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596" w:lineRule="exact"/>
        <w:jc w:val="both"/>
        <w:rPr>
          <w:rStyle w:val="21"/>
          <w:rFonts w:hint="eastAsia" w:ascii="黑体" w:hAnsi="黑体" w:eastAsia="黑体" w:cs="黑体"/>
          <w:b w:val="0"/>
          <w:bCs/>
          <w:color w:val="auto"/>
          <w:sz w:val="32"/>
          <w:szCs w:val="32"/>
          <w:highlight w:val="none"/>
          <w:lang w:eastAsia="zh-CN"/>
        </w:rPr>
      </w:pPr>
      <w:r>
        <w:rPr>
          <w:rStyle w:val="21"/>
          <w:rFonts w:hint="eastAsia" w:ascii="黑体" w:hAnsi="黑体" w:eastAsia="黑体" w:cs="黑体"/>
          <w:b w:val="0"/>
          <w:bCs/>
          <w:color w:val="auto"/>
          <w:sz w:val="32"/>
          <w:szCs w:val="32"/>
          <w:highlight w:val="none"/>
          <w:lang w:eastAsia="zh-CN"/>
        </w:rPr>
        <w:t>附件</w:t>
      </w:r>
    </w:p>
    <w:p>
      <w:pPr>
        <w:pStyle w:val="12"/>
        <w:spacing w:before="0" w:beforeAutospacing="0" w:after="0" w:afterAutospacing="0" w:line="596" w:lineRule="exact"/>
        <w:jc w:val="center"/>
        <w:rPr>
          <w:rStyle w:val="21"/>
          <w:rFonts w:hint="eastAsia" w:ascii="微软雅黑" w:eastAsia="微软雅黑"/>
          <w:b w:val="0"/>
          <w:color w:val="auto"/>
          <w:sz w:val="44"/>
          <w:szCs w:val="44"/>
          <w:highlight w:val="none"/>
          <w:lang w:val="en-US" w:eastAsia="zh-CN"/>
        </w:rPr>
      </w:pPr>
    </w:p>
    <w:p>
      <w:pPr>
        <w:pStyle w:val="12"/>
        <w:spacing w:before="0" w:beforeAutospacing="0" w:after="0" w:afterAutospacing="0" w:line="596" w:lineRule="exact"/>
        <w:jc w:val="center"/>
        <w:rPr>
          <w:rStyle w:val="21"/>
          <w:rFonts w:hint="eastAsia" w:ascii="微软雅黑" w:eastAsia="微软雅黑"/>
          <w:b w:val="0"/>
          <w:color w:val="auto"/>
          <w:sz w:val="44"/>
          <w:szCs w:val="44"/>
          <w:highlight w:val="none"/>
          <w:lang w:val="en-US" w:eastAsia="zh-CN"/>
        </w:rPr>
      </w:pPr>
    </w:p>
    <w:p>
      <w:pPr>
        <w:pStyle w:val="12"/>
        <w:spacing w:before="0" w:beforeAutospacing="0" w:after="0" w:afterAutospacing="0" w:line="596" w:lineRule="exact"/>
        <w:jc w:val="center"/>
        <w:rPr>
          <w:rStyle w:val="21"/>
          <w:rFonts w:hint="eastAsia" w:ascii="微软雅黑" w:eastAsia="微软雅黑"/>
          <w:b w:val="0"/>
          <w:color w:val="auto"/>
          <w:sz w:val="44"/>
          <w:szCs w:val="44"/>
          <w:highlight w:val="none"/>
          <w:lang w:val="en-US" w:eastAsia="zh-CN"/>
        </w:rPr>
      </w:pPr>
    </w:p>
    <w:p>
      <w:pPr>
        <w:pStyle w:val="12"/>
        <w:spacing w:before="0" w:beforeAutospacing="0" w:after="0" w:afterAutospacing="0" w:line="596" w:lineRule="exact"/>
        <w:jc w:val="center"/>
        <w:rPr>
          <w:rStyle w:val="21"/>
          <w:rFonts w:hint="eastAsia" w:ascii="方正小标宋简体" w:hAnsi="方正小标宋简体" w:eastAsia="方正小标宋简体" w:cs="方正小标宋简体"/>
          <w:b w:val="0"/>
          <w:color w:val="auto"/>
          <w:sz w:val="44"/>
          <w:szCs w:val="44"/>
          <w:highlight w:val="none"/>
        </w:rPr>
      </w:pPr>
      <w:r>
        <w:rPr>
          <w:rStyle w:val="21"/>
          <w:rFonts w:hint="eastAsia" w:ascii="方正小标宋简体" w:hAnsi="方正小标宋简体" w:eastAsia="方正小标宋简体" w:cs="方正小标宋简体"/>
          <w:b w:val="0"/>
          <w:color w:val="auto"/>
          <w:sz w:val="44"/>
          <w:szCs w:val="44"/>
          <w:highlight w:val="none"/>
          <w:lang w:val="en-US" w:eastAsia="zh-CN"/>
        </w:rPr>
        <w:t>广东</w:t>
      </w:r>
      <w:r>
        <w:rPr>
          <w:rStyle w:val="21"/>
          <w:rFonts w:hint="eastAsia" w:ascii="方正小标宋简体" w:hAnsi="方正小标宋简体" w:eastAsia="方正小标宋简体" w:cs="方正小标宋简体"/>
          <w:b w:val="0"/>
          <w:color w:val="auto"/>
          <w:sz w:val="44"/>
          <w:szCs w:val="44"/>
          <w:highlight w:val="none"/>
        </w:rPr>
        <w:t>省建设工程质量检测机构资质</w:t>
      </w:r>
    </w:p>
    <w:p>
      <w:pPr>
        <w:pStyle w:val="12"/>
        <w:spacing w:before="0" w:beforeAutospacing="0" w:after="0" w:afterAutospacing="0" w:line="596" w:lineRule="exact"/>
        <w:jc w:val="center"/>
        <w:rPr>
          <w:rStyle w:val="21"/>
          <w:rFonts w:hint="eastAsia" w:ascii="方正小标宋简体" w:hAnsi="方正小标宋简体" w:eastAsia="方正小标宋简体" w:cs="方正小标宋简体"/>
          <w:b w:val="0"/>
          <w:color w:val="auto"/>
          <w:sz w:val="44"/>
          <w:szCs w:val="44"/>
          <w:highlight w:val="none"/>
          <w:lang w:val="en-US" w:eastAsia="zh-CN"/>
        </w:rPr>
      </w:pPr>
      <w:r>
        <w:rPr>
          <w:rStyle w:val="21"/>
          <w:rFonts w:hint="eastAsia" w:ascii="方正小标宋简体" w:hAnsi="方正小标宋简体" w:eastAsia="方正小标宋简体" w:cs="方正小标宋简体"/>
          <w:b w:val="0"/>
          <w:color w:val="auto"/>
          <w:sz w:val="44"/>
          <w:szCs w:val="44"/>
          <w:highlight w:val="none"/>
        </w:rPr>
        <w:t>评审</w:t>
      </w:r>
      <w:r>
        <w:rPr>
          <w:rStyle w:val="21"/>
          <w:rFonts w:hint="eastAsia" w:ascii="方正小标宋简体" w:hAnsi="方正小标宋简体" w:eastAsia="方正小标宋简体" w:cs="方正小标宋简体"/>
          <w:b w:val="0"/>
          <w:color w:val="auto"/>
          <w:sz w:val="44"/>
          <w:szCs w:val="44"/>
          <w:highlight w:val="none"/>
          <w:lang w:val="en-US" w:eastAsia="zh-CN"/>
        </w:rPr>
        <w:t>工作技术指南</w:t>
      </w:r>
    </w:p>
    <w:p>
      <w:pPr>
        <w:pStyle w:val="12"/>
        <w:spacing w:before="0" w:beforeAutospacing="0" w:after="0" w:afterAutospacing="0" w:line="596" w:lineRule="exact"/>
        <w:jc w:val="center"/>
        <w:rPr>
          <w:rStyle w:val="21"/>
          <w:rFonts w:hint="eastAsia" w:ascii="方正小标宋简体" w:hAnsi="方正小标宋简体" w:eastAsia="方正小标宋简体" w:cs="方正小标宋简体"/>
          <w:b w:val="0"/>
          <w:color w:val="auto"/>
          <w:sz w:val="44"/>
          <w:szCs w:val="44"/>
          <w:highlight w:val="none"/>
        </w:rPr>
      </w:pPr>
    </w:p>
    <w:p>
      <w:pPr>
        <w:pStyle w:val="12"/>
        <w:spacing w:before="0" w:beforeAutospacing="0" w:after="0" w:afterAutospacing="0" w:line="596" w:lineRule="exact"/>
        <w:jc w:val="center"/>
        <w:rPr>
          <w:rFonts w:hint="eastAsia" w:ascii="方正小标宋简体" w:hAnsi="方正小标宋简体" w:eastAsia="方正小标宋简体" w:cs="方正小标宋简体"/>
          <w:b/>
          <w:color w:val="auto"/>
          <w:sz w:val="44"/>
          <w:szCs w:val="44"/>
          <w:highlight w:val="none"/>
        </w:rPr>
      </w:pPr>
      <w:r>
        <w:rPr>
          <w:rStyle w:val="21"/>
          <w:rFonts w:hint="eastAsia" w:ascii="方正小标宋简体" w:hAnsi="方正小标宋简体" w:eastAsia="方正小标宋简体" w:cs="方正小标宋简体"/>
          <w:b w:val="0"/>
          <w:color w:val="auto"/>
          <w:sz w:val="44"/>
          <w:szCs w:val="44"/>
          <w:highlight w:val="none"/>
        </w:rPr>
        <w:t>（</w:t>
      </w:r>
      <w:r>
        <w:rPr>
          <w:rStyle w:val="21"/>
          <w:rFonts w:hint="eastAsia" w:ascii="方正小标宋简体" w:hAnsi="方正小标宋简体" w:eastAsia="方正小标宋简体" w:cs="方正小标宋简体"/>
          <w:b w:val="0"/>
          <w:color w:val="auto"/>
          <w:sz w:val="44"/>
          <w:szCs w:val="44"/>
          <w:highlight w:val="none"/>
          <w:lang w:eastAsia="zh-CN"/>
        </w:rPr>
        <w:t>征求意见</w:t>
      </w:r>
      <w:r>
        <w:rPr>
          <w:rStyle w:val="21"/>
          <w:rFonts w:hint="eastAsia" w:ascii="方正小标宋简体" w:hAnsi="方正小标宋简体" w:eastAsia="方正小标宋简体" w:cs="方正小标宋简体"/>
          <w:b w:val="0"/>
          <w:color w:val="auto"/>
          <w:sz w:val="44"/>
          <w:szCs w:val="44"/>
          <w:highlight w:val="none"/>
        </w:rPr>
        <w:t>稿）</w:t>
      </w:r>
    </w:p>
    <w:p>
      <w:pPr>
        <w:jc w:val="center"/>
        <w:rPr>
          <w:rFonts w:hint="eastAsia" w:ascii="宋体" w:hAnsi="宋体"/>
          <w:b/>
          <w:sz w:val="44"/>
          <w:szCs w:val="44"/>
          <w:highlight w:val="none"/>
        </w:rPr>
      </w:pPr>
    </w:p>
    <w:p>
      <w:pPr>
        <w:jc w:val="center"/>
        <w:rPr>
          <w:rFonts w:hint="eastAsia" w:ascii="宋体" w:hAnsi="宋体"/>
          <w:b/>
          <w:sz w:val="44"/>
          <w:szCs w:val="44"/>
          <w:highlight w:val="none"/>
        </w:rPr>
      </w:pPr>
    </w:p>
    <w:p>
      <w:pPr>
        <w:jc w:val="center"/>
        <w:rPr>
          <w:rFonts w:hint="eastAsia" w:ascii="宋体" w:hAnsi="宋体"/>
          <w:b/>
          <w:sz w:val="44"/>
          <w:szCs w:val="44"/>
          <w:highlight w:val="none"/>
        </w:rPr>
      </w:pPr>
    </w:p>
    <w:p>
      <w:pPr>
        <w:jc w:val="center"/>
        <w:rPr>
          <w:rFonts w:hint="eastAsia" w:ascii="宋体" w:hAnsi="宋体"/>
          <w:b/>
          <w:sz w:val="44"/>
          <w:szCs w:val="44"/>
          <w:highlight w:val="none"/>
        </w:rPr>
      </w:pPr>
    </w:p>
    <w:p>
      <w:pPr>
        <w:jc w:val="center"/>
        <w:rPr>
          <w:rFonts w:hint="eastAsia" w:ascii="宋体" w:hAnsi="宋体"/>
          <w:b/>
          <w:sz w:val="44"/>
          <w:szCs w:val="44"/>
          <w:highlight w:val="none"/>
        </w:rPr>
      </w:pPr>
    </w:p>
    <w:p>
      <w:pPr>
        <w:jc w:val="center"/>
        <w:rPr>
          <w:rFonts w:hint="eastAsia" w:ascii="宋体" w:hAnsi="宋体"/>
          <w:b/>
          <w:sz w:val="44"/>
          <w:szCs w:val="44"/>
          <w:highlight w:val="none"/>
        </w:rPr>
      </w:pPr>
    </w:p>
    <w:p>
      <w:pPr>
        <w:pStyle w:val="2"/>
        <w:rPr>
          <w:rFonts w:hint="eastAsia" w:ascii="宋体" w:hAnsi="宋体"/>
          <w:b/>
          <w:sz w:val="44"/>
          <w:szCs w:val="44"/>
          <w:highlight w:val="none"/>
        </w:rPr>
      </w:pPr>
    </w:p>
    <w:p>
      <w:pPr>
        <w:pStyle w:val="2"/>
        <w:rPr>
          <w:rFonts w:hint="eastAsia" w:ascii="宋体" w:hAnsi="宋体"/>
          <w:b/>
          <w:sz w:val="44"/>
          <w:szCs w:val="44"/>
          <w:highlight w:val="none"/>
        </w:rPr>
      </w:pPr>
    </w:p>
    <w:p>
      <w:pPr>
        <w:pStyle w:val="2"/>
        <w:rPr>
          <w:rFonts w:hint="eastAsia" w:ascii="宋体" w:hAnsi="宋体"/>
          <w:b/>
          <w:sz w:val="44"/>
          <w:szCs w:val="44"/>
          <w:highlight w:val="none"/>
        </w:rPr>
      </w:pPr>
    </w:p>
    <w:p>
      <w:pPr>
        <w:pStyle w:val="2"/>
        <w:rPr>
          <w:rFonts w:hint="eastAsia" w:ascii="宋体" w:hAnsi="宋体"/>
          <w:b/>
          <w:sz w:val="44"/>
          <w:szCs w:val="44"/>
          <w:highlight w:val="none"/>
        </w:rPr>
      </w:pPr>
    </w:p>
    <w:p>
      <w:pPr>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广东省住房和城乡建设厅</w:t>
      </w:r>
    </w:p>
    <w:p>
      <w:pPr>
        <w:jc w:val="cente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2024</w:t>
      </w:r>
      <w:r>
        <w:rPr>
          <w:rFonts w:hint="eastAsia" w:ascii="黑体" w:hAnsi="黑体" w:eastAsia="黑体" w:cs="黑体"/>
          <w:b w:val="0"/>
          <w:bCs/>
          <w:sz w:val="32"/>
          <w:szCs w:val="32"/>
          <w:highlight w:val="none"/>
        </w:rPr>
        <w:t>年</w:t>
      </w:r>
      <w:r>
        <w:rPr>
          <w:rFonts w:hint="eastAsia" w:ascii="黑体" w:hAnsi="黑体" w:eastAsia="黑体" w:cs="黑体"/>
          <w:b w:val="0"/>
          <w:bCs/>
          <w:sz w:val="32"/>
          <w:szCs w:val="32"/>
          <w:highlight w:val="none"/>
          <w:lang w:val="en-US" w:eastAsia="zh-CN"/>
        </w:rPr>
        <w:t xml:space="preserve">  </w:t>
      </w:r>
      <w:r>
        <w:rPr>
          <w:rFonts w:hint="eastAsia" w:ascii="黑体" w:hAnsi="黑体" w:eastAsia="黑体" w:cs="黑体"/>
          <w:b w:val="0"/>
          <w:bCs/>
          <w:sz w:val="32"/>
          <w:szCs w:val="32"/>
          <w:highlight w:val="none"/>
        </w:rPr>
        <w:t>月</w:t>
      </w:r>
    </w:p>
    <w:p>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br w:type="page"/>
      </w:r>
    </w:p>
    <w:p>
      <w:pPr>
        <w:rPr>
          <w:rFonts w:hint="eastAsia"/>
          <w:highlight w:val="none"/>
        </w:rPr>
        <w:sectPr>
          <w:pgSz w:w="11906" w:h="16838"/>
          <w:pgMar w:top="1644" w:right="1474" w:bottom="1417"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ighlight w:val="none"/>
        </w:rPr>
        <w:br w:type="page"/>
      </w:r>
    </w:p>
    <w:p>
      <w:pPr>
        <w:keepNext w:val="0"/>
        <w:keepLines w:val="0"/>
        <w:pageBreakBefore w:val="0"/>
        <w:kinsoku/>
        <w:wordWrap/>
        <w:overflowPunct/>
        <w:topLinePunct w:val="0"/>
        <w:autoSpaceDE/>
        <w:autoSpaceDN/>
        <w:bidi w:val="0"/>
        <w:adjustRightInd/>
        <w:snapToGrid/>
        <w:spacing w:line="576" w:lineRule="exact"/>
        <w:jc w:val="center"/>
        <w:textAlignment w:val="auto"/>
        <w:rPr>
          <w:rStyle w:val="21"/>
          <w:rFonts w:hint="eastAsia" w:ascii="方正小标宋简体" w:hAnsi="方正小标宋简体" w:eastAsia="方正小标宋简体" w:cs="方正小标宋简体"/>
          <w:b w:val="0"/>
          <w:color w:val="auto"/>
          <w:sz w:val="44"/>
          <w:szCs w:val="44"/>
          <w:highlight w:val="none"/>
        </w:rPr>
      </w:pPr>
      <w:r>
        <w:rPr>
          <w:rStyle w:val="21"/>
          <w:rFonts w:hint="eastAsia" w:ascii="方正小标宋简体" w:hAnsi="方正小标宋简体" w:eastAsia="方正小标宋简体" w:cs="方正小标宋简体"/>
          <w:b w:val="0"/>
          <w:color w:val="auto"/>
          <w:sz w:val="44"/>
          <w:szCs w:val="44"/>
          <w:highlight w:val="none"/>
          <w:lang w:val="en-US" w:eastAsia="zh-CN"/>
        </w:rPr>
        <w:t>广东</w:t>
      </w:r>
      <w:r>
        <w:rPr>
          <w:rStyle w:val="21"/>
          <w:rFonts w:hint="eastAsia" w:ascii="方正小标宋简体" w:hAnsi="方正小标宋简体" w:eastAsia="方正小标宋简体" w:cs="方正小标宋简体"/>
          <w:b w:val="0"/>
          <w:color w:val="auto"/>
          <w:sz w:val="44"/>
          <w:szCs w:val="44"/>
          <w:highlight w:val="none"/>
        </w:rPr>
        <w:t>省建设工程质量检测机构资质</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jc w:val="center"/>
        <w:textAlignment w:val="auto"/>
        <w:rPr>
          <w:rStyle w:val="21"/>
          <w:rFonts w:hint="eastAsia" w:ascii="方正小标宋简体" w:hAnsi="方正小标宋简体" w:eastAsia="方正小标宋简体" w:cs="方正小标宋简体"/>
          <w:b w:val="0"/>
          <w:color w:val="auto"/>
          <w:sz w:val="44"/>
          <w:szCs w:val="44"/>
          <w:highlight w:val="none"/>
          <w:lang w:val="en-US" w:eastAsia="zh-CN"/>
        </w:rPr>
      </w:pPr>
      <w:r>
        <w:rPr>
          <w:rStyle w:val="21"/>
          <w:rFonts w:hint="eastAsia" w:ascii="方正小标宋简体" w:hAnsi="方正小标宋简体" w:eastAsia="方正小标宋简体" w:cs="方正小标宋简体"/>
          <w:b w:val="0"/>
          <w:color w:val="auto"/>
          <w:sz w:val="44"/>
          <w:szCs w:val="44"/>
          <w:highlight w:val="none"/>
        </w:rPr>
        <w:t>评审</w:t>
      </w:r>
      <w:r>
        <w:rPr>
          <w:rStyle w:val="21"/>
          <w:rFonts w:hint="eastAsia" w:ascii="方正小标宋简体" w:hAnsi="方正小标宋简体" w:eastAsia="方正小标宋简体" w:cs="方正小标宋简体"/>
          <w:b w:val="0"/>
          <w:color w:val="auto"/>
          <w:sz w:val="44"/>
          <w:szCs w:val="44"/>
          <w:highlight w:val="none"/>
          <w:lang w:val="en-US" w:eastAsia="zh-CN"/>
        </w:rPr>
        <w:t>工作技术指南</w:t>
      </w:r>
    </w:p>
    <w:p>
      <w:pPr>
        <w:pStyle w:val="12"/>
        <w:keepNext w:val="0"/>
        <w:keepLines w:val="0"/>
        <w:pageBreakBefore w:val="0"/>
        <w:kinsoku/>
        <w:overflowPunct/>
        <w:topLinePunct w:val="0"/>
        <w:autoSpaceDN/>
        <w:bidi w:val="0"/>
        <w:adjustRightInd/>
        <w:snapToGrid/>
        <w:spacing w:before="0" w:beforeAutospacing="0" w:after="0" w:afterAutospacing="0" w:line="576" w:lineRule="exact"/>
        <w:jc w:val="center"/>
        <w:textAlignment w:val="auto"/>
        <w:rPr>
          <w:rStyle w:val="21"/>
          <w:rFonts w:hint="eastAsia" w:ascii="微软雅黑" w:eastAsia="微软雅黑"/>
          <w:b w:val="0"/>
          <w:color w:val="auto"/>
          <w:sz w:val="44"/>
          <w:szCs w:val="44"/>
          <w:highlight w:val="none"/>
          <w:lang w:val="en-US" w:eastAsia="zh-CN"/>
        </w:rPr>
      </w:pP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1.目的</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为规范我省建设工程质量检测机构（以下简称检测机构）资质评审工作，统一评审标准、步骤和方法，确保评审结果</w:t>
      </w:r>
      <w:r>
        <w:rPr>
          <w:rFonts w:hint="eastAsia" w:ascii="仿宋_GB2312" w:hAnsi="仿宋_GB2312" w:eastAsia="仿宋_GB2312" w:cs="仿宋_GB2312"/>
          <w:color w:val="auto"/>
          <w:sz w:val="32"/>
          <w:szCs w:val="32"/>
          <w:highlight w:val="none"/>
        </w:rPr>
        <w:t>科学、规范、公正、客观</w:t>
      </w:r>
      <w:r>
        <w:rPr>
          <w:rFonts w:hint="eastAsia" w:ascii="仿宋_GB2312" w:hAnsi="仿宋_GB2312" w:eastAsia="仿宋_GB2312" w:cs="仿宋_GB2312"/>
          <w:b w:val="0"/>
          <w:bCs w:val="0"/>
          <w:color w:val="auto"/>
          <w:kern w:val="2"/>
          <w:sz w:val="32"/>
          <w:szCs w:val="32"/>
          <w:highlight w:val="none"/>
          <w:lang w:val="en-US" w:eastAsia="zh-CN" w:bidi="ar-SA"/>
        </w:rPr>
        <w:t>，编制本指南。</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2.设立依据</w:t>
      </w:r>
    </w:p>
    <w:p>
      <w:pPr>
        <w:keepNext w:val="0"/>
        <w:keepLines w:val="0"/>
        <w:pageBreakBefore w:val="0"/>
        <w:numPr>
          <w:ilvl w:val="0"/>
          <w:numId w:val="0"/>
        </w:numPr>
        <w:kinsoku/>
        <w:overflowPunct/>
        <w:topLinePunct w:val="0"/>
        <w:autoSpaceDN/>
        <w:bidi w:val="0"/>
        <w:adjustRightInd/>
        <w:snapToGrid/>
        <w:spacing w:line="576"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《建设工程质量管理条例》</w:t>
      </w:r>
      <w:r>
        <w:rPr>
          <w:rFonts w:hint="eastAsia" w:ascii="仿宋_GB2312" w:hAnsi="仿宋_GB2312" w:eastAsia="仿宋_GB2312" w:cs="仿宋_GB2312"/>
          <w:spacing w:val="0"/>
          <w:sz w:val="32"/>
          <w:szCs w:val="32"/>
          <w:highlight w:val="none"/>
        </w:rPr>
        <w:t>《建设工程质量检测管理办法》</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以下简称《管理办法》</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建设工程质量检测机构资质标准》</w:t>
      </w:r>
      <w:r>
        <w:rPr>
          <w:rFonts w:hint="eastAsia" w:ascii="仿宋_GB2312" w:hAnsi="仿宋_GB2312" w:eastAsia="仿宋_GB2312" w:cs="仿宋_GB2312"/>
          <w:color w:val="auto"/>
          <w:sz w:val="32"/>
          <w:szCs w:val="32"/>
          <w:highlight w:val="none"/>
        </w:rPr>
        <w:t>（以下简称《资质标准》）</w:t>
      </w:r>
      <w:r>
        <w:rPr>
          <w:rFonts w:hint="eastAsia" w:ascii="仿宋_GB2312" w:hAnsi="仿宋_GB2312" w:eastAsia="仿宋_GB2312" w:cs="仿宋_GB2312"/>
          <w:spacing w:val="0"/>
          <w:sz w:val="32"/>
          <w:szCs w:val="32"/>
          <w:highlight w:val="none"/>
        </w:rPr>
        <w:t>以及《检测和校准实验室能力的通用要求》</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GB/T 27025-2019</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以下简称《通用要求》</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b w:val="0"/>
          <w:bCs w:val="0"/>
          <w:i w:val="0"/>
          <w:iCs w:val="0"/>
          <w:sz w:val="32"/>
          <w:szCs w:val="32"/>
          <w:highlight w:val="none"/>
          <w:lang w:val="en-US" w:eastAsia="zh-CN"/>
        </w:rPr>
        <w:t>法律、法规、规章及规范标准</w:t>
      </w:r>
      <w:r>
        <w:rPr>
          <w:rFonts w:hint="eastAsia" w:ascii="仿宋_GB2312" w:hAnsi="仿宋_GB2312" w:eastAsia="仿宋_GB2312" w:cs="仿宋_GB2312"/>
          <w:color w:val="auto"/>
          <w:sz w:val="32"/>
          <w:szCs w:val="32"/>
          <w:highlight w:val="none"/>
        </w:rPr>
        <w:t>。</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3.适用范围</w:t>
      </w:r>
    </w:p>
    <w:p>
      <w:pPr>
        <w:keepNext w:val="0"/>
        <w:keepLines w:val="0"/>
        <w:pageBreakBefore w:val="0"/>
        <w:numPr>
          <w:ilvl w:val="0"/>
          <w:numId w:val="0"/>
        </w:numPr>
        <w:kinsoku/>
        <w:overflowPunct/>
        <w:topLinePunct w:val="0"/>
        <w:autoSpaceDN/>
        <w:bidi w:val="0"/>
        <w:adjustRightInd/>
        <w:snapToGrid/>
        <w:spacing w:line="576"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sz w:val="32"/>
          <w:szCs w:val="32"/>
          <w:highlight w:val="none"/>
          <w:lang w:val="en-US" w:eastAsia="zh-CN"/>
        </w:rPr>
        <w:t>3.1本省行政区域内</w:t>
      </w:r>
      <w:r>
        <w:rPr>
          <w:rFonts w:hint="eastAsia" w:ascii="仿宋_GB2312" w:hAnsi="仿宋_GB2312" w:eastAsia="仿宋_GB2312" w:cs="仿宋_GB2312"/>
          <w:color w:val="auto"/>
          <w:sz w:val="32"/>
          <w:szCs w:val="32"/>
          <w:highlight w:val="none"/>
        </w:rPr>
        <w:t>建设工程质量检测机构（以下简称检测机构）的资质评审活动及其监督管理，适用本</w:t>
      </w:r>
      <w:r>
        <w:rPr>
          <w:rFonts w:hint="eastAsia" w:ascii="仿宋_GB2312" w:hAnsi="仿宋_GB2312" w:eastAsia="仿宋_GB2312" w:cs="仿宋_GB2312"/>
          <w:color w:val="auto"/>
          <w:sz w:val="32"/>
          <w:szCs w:val="32"/>
          <w:highlight w:val="none"/>
          <w:lang w:val="en-US" w:eastAsia="zh-CN"/>
        </w:rPr>
        <w:t>指南</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N/>
        <w:bidi w:val="0"/>
        <w:adjustRightInd/>
        <w:snapToGrid/>
        <w:spacing w:line="576"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指南</w:t>
      </w:r>
      <w:r>
        <w:rPr>
          <w:rFonts w:hint="eastAsia" w:ascii="仿宋_GB2312" w:hAnsi="仿宋_GB2312" w:eastAsia="仿宋_GB2312" w:cs="仿宋_GB2312"/>
          <w:color w:val="auto"/>
          <w:sz w:val="32"/>
          <w:szCs w:val="32"/>
          <w:highlight w:val="none"/>
        </w:rPr>
        <w:t>所称资质评审，是指</w:t>
      </w:r>
      <w:r>
        <w:rPr>
          <w:rFonts w:hint="eastAsia" w:ascii="仿宋_GB2312" w:hAnsi="仿宋_GB2312" w:eastAsia="仿宋_GB2312" w:cs="仿宋_GB2312"/>
          <w:color w:val="auto"/>
          <w:sz w:val="32"/>
          <w:szCs w:val="32"/>
          <w:highlight w:val="none"/>
          <w:lang w:val="en-US" w:eastAsia="zh-CN"/>
        </w:rPr>
        <w:t>住房城乡建设主管部门</w:t>
      </w:r>
      <w:r>
        <w:rPr>
          <w:rFonts w:hint="eastAsia" w:ascii="仿宋_GB2312" w:hAnsi="仿宋_GB2312" w:eastAsia="仿宋_GB2312" w:cs="仿宋_GB2312"/>
          <w:color w:val="auto"/>
          <w:sz w:val="32"/>
          <w:szCs w:val="32"/>
          <w:highlight w:val="none"/>
        </w:rPr>
        <w:t>依据有关法律、法规和标准，对提出资质申请的检测机构资历及信誉、主要人员、检测设备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场所</w:t>
      </w:r>
      <w:r>
        <w:rPr>
          <w:rFonts w:hint="eastAsia" w:ascii="仿宋_GB2312" w:hAnsi="仿宋_GB2312" w:eastAsia="仿宋_GB2312" w:cs="仿宋_GB2312"/>
          <w:color w:val="auto"/>
          <w:sz w:val="32"/>
          <w:szCs w:val="32"/>
          <w:highlight w:val="none"/>
          <w:lang w:eastAsia="zh-CN"/>
        </w:rPr>
        <w:t>环境、质量保证体系</w:t>
      </w:r>
      <w:r>
        <w:rPr>
          <w:rFonts w:hint="eastAsia" w:ascii="仿宋_GB2312" w:hAnsi="仿宋_GB2312" w:eastAsia="仿宋_GB2312" w:cs="仿宋_GB2312"/>
          <w:color w:val="auto"/>
          <w:sz w:val="32"/>
          <w:szCs w:val="32"/>
          <w:highlight w:val="none"/>
        </w:rPr>
        <w:t>等基本条件和技术能力是否满足规定要求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所开展的专家评审活动。</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4.组织实施</w:t>
      </w:r>
    </w:p>
    <w:p>
      <w:pPr>
        <w:keepNext w:val="0"/>
        <w:keepLines w:val="0"/>
        <w:pageBreakBefore w:val="0"/>
        <w:numPr>
          <w:ilvl w:val="0"/>
          <w:numId w:val="0"/>
        </w:numPr>
        <w:kinsoku/>
        <w:overflowPunct/>
        <w:topLinePunct w:val="0"/>
        <w:autoSpaceDN/>
        <w:bidi w:val="0"/>
        <w:adjustRightInd/>
        <w:snapToGrid/>
        <w:spacing w:line="576" w:lineRule="exact"/>
        <w:ind w:firstLine="640" w:firstLineChars="200"/>
        <w:textAlignment w:val="auto"/>
        <w:outlineLvl w:val="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省住房城乡建设厅负责建立和完善检测机构资质评审</w:t>
      </w:r>
      <w:r>
        <w:rPr>
          <w:rFonts w:hint="eastAsia" w:ascii="仿宋_GB2312" w:hAnsi="仿宋_GB2312" w:eastAsia="仿宋_GB2312" w:cs="仿宋_GB2312"/>
          <w:color w:val="auto"/>
          <w:sz w:val="32"/>
          <w:szCs w:val="32"/>
          <w:highlight w:val="none"/>
          <w:lang w:val="en-US" w:eastAsia="zh-CN"/>
        </w:rPr>
        <w:t>制度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委托各地级以上市住房城乡建设主管部门，以及横琴粤澳深度合作区城市规划和建设局等</w:t>
      </w:r>
      <w:r>
        <w:rPr>
          <w:rFonts w:hint="eastAsia" w:ascii="仿宋_GB2312" w:hAnsi="仿宋_GB2312" w:eastAsia="仿宋_GB2312" w:cs="仿宋_GB2312"/>
          <w:b w:val="0"/>
          <w:bCs w:val="0"/>
          <w:sz w:val="32"/>
          <w:szCs w:val="32"/>
          <w:highlight w:val="none"/>
          <w:lang w:val="en-US" w:eastAsia="zh-CN"/>
        </w:rPr>
        <w:t>有关建设行政主管部门负责</w:t>
      </w:r>
      <w:r>
        <w:rPr>
          <w:rFonts w:hint="eastAsia" w:ascii="仿宋_GB2312" w:hAnsi="仿宋_GB2312" w:eastAsia="仿宋_GB2312" w:cs="仿宋_GB2312"/>
          <w:sz w:val="32"/>
          <w:szCs w:val="32"/>
          <w:highlight w:val="none"/>
        </w:rPr>
        <w:t>本行政区域内检测机构的</w:t>
      </w:r>
      <w:r>
        <w:rPr>
          <w:rFonts w:hint="eastAsia" w:ascii="仿宋_GB2312" w:hAnsi="仿宋_GB2312" w:eastAsia="仿宋_GB2312" w:cs="仿宋_GB2312"/>
          <w:b w:val="0"/>
          <w:bCs w:val="0"/>
          <w:sz w:val="32"/>
          <w:szCs w:val="32"/>
          <w:highlight w:val="none"/>
          <w:lang w:val="en-US" w:eastAsia="zh-CN"/>
        </w:rPr>
        <w:t>资质</w:t>
      </w:r>
      <w:r>
        <w:rPr>
          <w:rFonts w:hint="eastAsia" w:ascii="仿宋_GB2312" w:hAnsi="仿宋_GB2312" w:eastAsia="仿宋_GB2312" w:cs="仿宋_GB2312"/>
          <w:color w:val="auto"/>
          <w:sz w:val="32"/>
          <w:szCs w:val="32"/>
          <w:highlight w:val="none"/>
        </w:rPr>
        <w:t>评审</w:t>
      </w:r>
      <w:r>
        <w:rPr>
          <w:rFonts w:hint="eastAsia" w:ascii="仿宋_GB2312" w:hAnsi="仿宋_GB2312" w:eastAsia="仿宋_GB2312" w:cs="仿宋_GB2312"/>
          <w:color w:val="auto"/>
          <w:sz w:val="32"/>
          <w:szCs w:val="32"/>
          <w:highlight w:val="none"/>
          <w:lang w:eastAsia="zh-CN"/>
        </w:rPr>
        <w:t>、核准等审批</w:t>
      </w:r>
      <w:r>
        <w:rPr>
          <w:rFonts w:hint="eastAsia" w:ascii="仿宋_GB2312" w:hAnsi="仿宋_GB2312" w:eastAsia="仿宋_GB2312" w:cs="仿宋_GB2312"/>
          <w:color w:val="auto"/>
          <w:sz w:val="32"/>
          <w:szCs w:val="32"/>
          <w:highlight w:val="none"/>
        </w:rPr>
        <w:t>工作。</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5.材料审查</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shd w:val="clear" w:color="auto" w:fill="FFFFFF"/>
        </w:rPr>
      </w:pPr>
      <w:r>
        <w:rPr>
          <w:rFonts w:hint="eastAsia" w:ascii="仿宋_GB2312" w:eastAsia="仿宋_GB2312"/>
          <w:color w:val="auto"/>
          <w:kern w:val="2"/>
          <w:sz w:val="32"/>
          <w:szCs w:val="32"/>
          <w:highlight w:val="none"/>
        </w:rPr>
        <w:t>资质</w:t>
      </w:r>
      <w:r>
        <w:rPr>
          <w:rFonts w:hint="eastAsia" w:ascii="仿宋_GB2312" w:eastAsia="仿宋_GB2312"/>
          <w:color w:val="auto"/>
          <w:kern w:val="2"/>
          <w:sz w:val="32"/>
          <w:szCs w:val="32"/>
          <w:highlight w:val="none"/>
          <w:lang w:eastAsia="zh-CN"/>
        </w:rPr>
        <w:t>审批</w:t>
      </w:r>
      <w:r>
        <w:rPr>
          <w:rFonts w:hint="eastAsia" w:ascii="仿宋_GB2312" w:eastAsia="仿宋_GB2312"/>
          <w:color w:val="auto"/>
          <w:kern w:val="2"/>
          <w:sz w:val="32"/>
          <w:szCs w:val="32"/>
          <w:highlight w:val="none"/>
        </w:rPr>
        <w:t>机关收到申请人申请后，应按《</w:t>
      </w:r>
      <w:r>
        <w:rPr>
          <w:rFonts w:hint="eastAsia" w:ascii="仿宋_GB2312" w:eastAsia="仿宋_GB2312"/>
          <w:color w:val="auto"/>
          <w:kern w:val="2"/>
          <w:sz w:val="32"/>
          <w:szCs w:val="32"/>
          <w:highlight w:val="none"/>
          <w:lang w:val="en-US" w:eastAsia="zh-CN"/>
        </w:rPr>
        <w:t>广东省建设工程质量检测机构资质认定申请材料审查情况表</w:t>
      </w:r>
      <w:r>
        <w:rPr>
          <w:rFonts w:hint="eastAsia" w:ascii="仿宋_GB2312" w:eastAsia="仿宋_GB2312"/>
          <w:color w:val="auto"/>
          <w:kern w:val="2"/>
          <w:sz w:val="32"/>
          <w:szCs w:val="32"/>
          <w:highlight w:val="none"/>
        </w:rPr>
        <w:t>》要求进行材料审查，材料审查合格的，做出受理决定</w:t>
      </w:r>
      <w:r>
        <w:rPr>
          <w:rFonts w:hint="eastAsia" w:ascii="仿宋_GB2312" w:eastAsia="仿宋_GB2312"/>
          <w:color w:val="auto"/>
          <w:kern w:val="2"/>
          <w:sz w:val="32"/>
          <w:szCs w:val="32"/>
          <w:highlight w:val="none"/>
          <w:lang w:eastAsia="zh-CN"/>
        </w:rPr>
        <w:t>；</w:t>
      </w:r>
      <w:r>
        <w:rPr>
          <w:rFonts w:hint="eastAsia" w:ascii="仿宋_GB2312" w:eastAsia="仿宋_GB2312"/>
          <w:color w:val="auto"/>
          <w:sz w:val="32"/>
          <w:szCs w:val="32"/>
          <w:highlight w:val="none"/>
          <w:shd w:val="clear" w:color="auto" w:fill="FFFFFF"/>
        </w:rPr>
        <w:t>申请材料不全或不符合法定形式的，应在</w:t>
      </w:r>
      <w:r>
        <w:rPr>
          <w:rFonts w:hint="eastAsia" w:ascii="仿宋_GB2312" w:eastAsia="仿宋_GB2312"/>
          <w:color w:val="auto"/>
          <w:sz w:val="32"/>
          <w:szCs w:val="32"/>
          <w:highlight w:val="none"/>
          <w:shd w:val="clear" w:color="auto" w:fill="FFFFFF"/>
          <w:lang w:val="en-US" w:eastAsia="zh-CN"/>
        </w:rPr>
        <w:t>5</w:t>
      </w:r>
      <w:r>
        <w:rPr>
          <w:rFonts w:hint="eastAsia" w:ascii="仿宋_GB2312" w:eastAsia="仿宋_GB2312"/>
          <w:color w:val="auto"/>
          <w:sz w:val="32"/>
          <w:szCs w:val="32"/>
          <w:highlight w:val="none"/>
          <w:shd w:val="clear" w:color="auto" w:fill="FFFFFF"/>
        </w:rPr>
        <w:t>个工作日内</w:t>
      </w:r>
      <w:r>
        <w:rPr>
          <w:rFonts w:hint="eastAsia" w:ascii="仿宋_GB2312" w:hAnsi="仿宋_GB2312" w:eastAsia="仿宋_GB2312" w:cs="仿宋_GB2312"/>
          <w:b w:val="0"/>
          <w:bCs w:val="0"/>
          <w:color w:val="auto"/>
          <w:sz w:val="32"/>
          <w:szCs w:val="32"/>
          <w:highlight w:val="none"/>
          <w:lang w:eastAsia="zh-CN"/>
        </w:rPr>
        <w:t>一次性告知申请人不受理原因和需要补正的全部内容</w:t>
      </w:r>
      <w:r>
        <w:rPr>
          <w:rFonts w:hint="eastAsia" w:ascii="仿宋_GB2312" w:eastAsia="仿宋_GB2312"/>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lang w:eastAsia="zh-CN"/>
        </w:rPr>
        <w:t>逾期不告知的，</w:t>
      </w:r>
      <w:r>
        <w:rPr>
          <w:rFonts w:hint="eastAsia" w:ascii="仿宋_GB2312" w:eastAsia="仿宋_GB2312"/>
          <w:color w:val="auto"/>
          <w:sz w:val="32"/>
          <w:szCs w:val="32"/>
          <w:highlight w:val="none"/>
          <w:shd w:val="clear" w:color="auto" w:fill="FFFFFF"/>
        </w:rPr>
        <w:t>自收到申请材料之日起即为受理。</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6.评审方式确定</w:t>
      </w:r>
    </w:p>
    <w:p>
      <w:pPr>
        <w:pStyle w:val="1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kern w:val="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检测机构资质</w:t>
      </w:r>
      <w:r>
        <w:rPr>
          <w:rFonts w:hint="eastAsia" w:ascii="仿宋_GB2312" w:hAnsi="仿宋_GB2312" w:eastAsia="仿宋_GB2312" w:cs="仿宋_GB2312"/>
          <w:b w:val="0"/>
          <w:bCs w:val="0"/>
          <w:sz w:val="32"/>
          <w:szCs w:val="32"/>
          <w:highlight w:val="none"/>
        </w:rPr>
        <w:t>申请受理后</w:t>
      </w:r>
      <w:r>
        <w:rPr>
          <w:rFonts w:hint="eastAsia" w:ascii="仿宋_GB2312" w:hAnsi="仿宋_GB2312" w:eastAsia="仿宋_GB2312" w:cs="仿宋_GB2312"/>
          <w:b w:val="0"/>
          <w:bCs w:val="0"/>
          <w:sz w:val="32"/>
          <w:szCs w:val="32"/>
          <w:highlight w:val="none"/>
          <w:lang w:eastAsia="zh-CN"/>
        </w:rPr>
        <w:t>，</w:t>
      </w:r>
      <w:r>
        <w:rPr>
          <w:rFonts w:hint="eastAsia" w:ascii="仿宋_GB2312" w:eastAsia="仿宋_GB2312"/>
          <w:color w:val="auto"/>
          <w:kern w:val="2"/>
          <w:sz w:val="32"/>
          <w:szCs w:val="32"/>
          <w:highlight w:val="none"/>
          <w:lang w:eastAsia="zh-CN"/>
        </w:rPr>
        <w:t>资质审批</w:t>
      </w:r>
      <w:r>
        <w:rPr>
          <w:rFonts w:hint="eastAsia" w:ascii="仿宋_GB2312" w:eastAsia="仿宋_GB2312"/>
          <w:color w:val="auto"/>
          <w:kern w:val="2"/>
          <w:sz w:val="32"/>
          <w:szCs w:val="32"/>
          <w:highlight w:val="none"/>
        </w:rPr>
        <w:t>机关应</w:t>
      </w:r>
      <w:r>
        <w:rPr>
          <w:rFonts w:hint="eastAsia" w:ascii="仿宋_GB2312" w:eastAsia="仿宋_GB2312"/>
          <w:color w:val="auto"/>
          <w:sz w:val="32"/>
          <w:szCs w:val="32"/>
          <w:highlight w:val="none"/>
        </w:rPr>
        <w:t>根据检测机构的资质申请类别选择评审方式，</w:t>
      </w:r>
      <w:r>
        <w:rPr>
          <w:rFonts w:hint="eastAsia" w:ascii="仿宋_GB2312" w:eastAsia="仿宋_GB2312"/>
          <w:color w:val="auto"/>
          <w:kern w:val="2"/>
          <w:sz w:val="32"/>
          <w:szCs w:val="32"/>
          <w:highlight w:val="none"/>
        </w:rPr>
        <w:t>按</w:t>
      </w:r>
      <w:r>
        <w:rPr>
          <w:rFonts w:hint="eastAsia" w:ascii="仿宋_GB2312" w:eastAsia="仿宋_GB2312"/>
          <w:color w:val="auto"/>
          <w:kern w:val="2"/>
          <w:sz w:val="32"/>
          <w:szCs w:val="32"/>
          <w:highlight w:val="none"/>
          <w:lang w:eastAsia="zh-CN"/>
        </w:rPr>
        <w:t>《资质申请</w:t>
      </w:r>
      <w:r>
        <w:rPr>
          <w:rFonts w:hint="eastAsia" w:ascii="仿宋_GB2312" w:eastAsia="仿宋_GB2312"/>
          <w:color w:val="auto"/>
          <w:kern w:val="2"/>
          <w:sz w:val="32"/>
          <w:szCs w:val="32"/>
          <w:highlight w:val="none"/>
          <w:lang w:val="en-US" w:eastAsia="zh-CN"/>
        </w:rPr>
        <w:t>类别</w:t>
      </w:r>
      <w:r>
        <w:rPr>
          <w:rFonts w:hint="eastAsia" w:ascii="仿宋_GB2312" w:eastAsia="仿宋_GB2312"/>
          <w:color w:val="auto"/>
          <w:kern w:val="2"/>
          <w:sz w:val="32"/>
          <w:szCs w:val="32"/>
          <w:highlight w:val="none"/>
          <w:lang w:eastAsia="zh-CN"/>
        </w:rPr>
        <w:t>及评审方式一览表》</w:t>
      </w:r>
      <w:r>
        <w:rPr>
          <w:rFonts w:hint="eastAsia" w:ascii="仿宋_GB2312" w:eastAsia="仿宋_GB2312"/>
          <w:color w:val="auto"/>
          <w:kern w:val="2"/>
          <w:sz w:val="32"/>
          <w:szCs w:val="32"/>
          <w:highlight w:val="none"/>
          <w:lang w:val="en-US" w:eastAsia="zh-CN"/>
        </w:rPr>
        <w:t>要求，研究确定具体的评审方式。</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7.现场评审时限</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outlineLvl w:val="0"/>
        <w:rPr>
          <w:rFonts w:ascii="仿宋_GB2312" w:hAnsi="仿宋_GB2312" w:eastAsia="仿宋_GB2312" w:cs="仿宋_GB2312"/>
          <w:color w:val="auto"/>
          <w:sz w:val="32"/>
          <w:szCs w:val="32"/>
          <w:highlight w:val="none"/>
        </w:rPr>
      </w:pPr>
      <w:r>
        <w:rPr>
          <w:rFonts w:hint="eastAsia" w:ascii="仿宋_GB2312" w:eastAsia="仿宋_GB2312"/>
          <w:color w:val="auto"/>
          <w:kern w:val="2"/>
          <w:sz w:val="32"/>
          <w:szCs w:val="32"/>
          <w:highlight w:val="none"/>
          <w:lang w:val="en-US" w:eastAsia="zh-CN"/>
        </w:rPr>
        <w:t>资质审批</w:t>
      </w:r>
      <w:r>
        <w:rPr>
          <w:rFonts w:hint="eastAsia" w:ascii="仿宋_GB2312" w:eastAsia="仿宋_GB2312"/>
          <w:color w:val="auto"/>
          <w:kern w:val="2"/>
          <w:sz w:val="32"/>
          <w:szCs w:val="32"/>
          <w:highlight w:val="none"/>
        </w:rPr>
        <w:t>机关</w:t>
      </w:r>
      <w:r>
        <w:rPr>
          <w:rFonts w:hint="eastAsia" w:ascii="仿宋_GB2312" w:hAnsi="仿宋_GB2312" w:eastAsia="仿宋_GB2312" w:cs="仿宋_GB2312"/>
          <w:color w:val="auto"/>
          <w:sz w:val="32"/>
          <w:szCs w:val="32"/>
          <w:highlight w:val="none"/>
        </w:rPr>
        <w:t>应在实施</w:t>
      </w:r>
      <w:r>
        <w:rPr>
          <w:rFonts w:hint="eastAsia" w:ascii="仿宋_GB2312" w:hAnsi="仿宋_GB2312" w:eastAsia="仿宋_GB2312" w:cs="仿宋_GB2312"/>
          <w:color w:val="auto"/>
          <w:sz w:val="32"/>
          <w:szCs w:val="32"/>
          <w:highlight w:val="none"/>
          <w:lang w:val="en-US" w:eastAsia="zh-CN"/>
        </w:rPr>
        <w:t>现场</w:t>
      </w:r>
      <w:r>
        <w:rPr>
          <w:rFonts w:hint="eastAsia" w:ascii="仿宋_GB2312" w:hAnsi="仿宋_GB2312" w:eastAsia="仿宋_GB2312" w:cs="仿宋_GB2312"/>
          <w:color w:val="auto"/>
          <w:sz w:val="32"/>
          <w:szCs w:val="32"/>
          <w:highlight w:val="none"/>
        </w:rPr>
        <w:t>评审</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个工作日前书面告知</w:t>
      </w:r>
      <w:r>
        <w:rPr>
          <w:rFonts w:hint="eastAsia" w:ascii="仿宋_GB2312" w:hAnsi="仿宋_GB2312" w:eastAsia="仿宋_GB2312" w:cs="仿宋_GB2312"/>
          <w:color w:val="auto"/>
          <w:sz w:val="32"/>
          <w:szCs w:val="32"/>
          <w:highlight w:val="none"/>
          <w:lang w:eastAsia="zh-CN"/>
        </w:rPr>
        <w:t>被评审</w:t>
      </w:r>
      <w:r>
        <w:rPr>
          <w:rFonts w:hint="eastAsia" w:ascii="仿宋_GB2312" w:hAnsi="仿宋_GB2312" w:eastAsia="仿宋_GB2312" w:cs="仿宋_GB2312"/>
          <w:color w:val="auto"/>
          <w:sz w:val="32"/>
          <w:szCs w:val="32"/>
          <w:highlight w:val="none"/>
        </w:rPr>
        <w:t>机构。现场评审时间一般为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5个工作日</w:t>
      </w:r>
      <w:r>
        <w:rPr>
          <w:rFonts w:hint="eastAsia" w:ascii="仿宋_GB2312" w:hAnsi="仿宋_GB2312" w:eastAsia="仿宋_GB2312" w:cs="仿宋_GB2312"/>
          <w:color w:val="auto"/>
          <w:sz w:val="32"/>
          <w:szCs w:val="32"/>
          <w:highlight w:val="none"/>
        </w:rPr>
        <w:t>。</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8.延期评审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检测机构不能按期接受</w:t>
      </w:r>
      <w:r>
        <w:rPr>
          <w:rFonts w:hint="eastAsia" w:ascii="仿宋_GB2312" w:eastAsia="仿宋_GB2312"/>
          <w:color w:val="auto"/>
          <w:sz w:val="32"/>
          <w:szCs w:val="32"/>
          <w:highlight w:val="none"/>
          <w:lang w:val="en-US" w:eastAsia="zh-CN"/>
        </w:rPr>
        <w:t>现场</w:t>
      </w:r>
      <w:r>
        <w:rPr>
          <w:rFonts w:hint="eastAsia" w:ascii="仿宋_GB2312" w:eastAsia="仿宋_GB2312"/>
          <w:color w:val="auto"/>
          <w:sz w:val="32"/>
          <w:szCs w:val="32"/>
          <w:highlight w:val="none"/>
        </w:rPr>
        <w:t>评审的，可提交延期申请。延期申请原则上只能提出一次，延长期限不超过</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个工作日，由</w:t>
      </w:r>
      <w:r>
        <w:rPr>
          <w:rFonts w:hint="eastAsia" w:ascii="仿宋_GB2312" w:eastAsia="仿宋_GB2312"/>
          <w:color w:val="auto"/>
          <w:sz w:val="32"/>
          <w:szCs w:val="32"/>
          <w:highlight w:val="none"/>
          <w:lang w:val="en-US" w:eastAsia="zh-CN"/>
        </w:rPr>
        <w:t>于</w:t>
      </w:r>
      <w:r>
        <w:rPr>
          <w:rFonts w:hint="eastAsia" w:ascii="仿宋_GB2312" w:eastAsia="仿宋_GB2312"/>
          <w:color w:val="auto"/>
          <w:sz w:val="32"/>
          <w:szCs w:val="32"/>
          <w:highlight w:val="none"/>
        </w:rPr>
        <w:t>检测机构原因，不能在规定时间内完成</w:t>
      </w:r>
      <w:r>
        <w:rPr>
          <w:rFonts w:hint="eastAsia" w:ascii="仿宋_GB2312" w:eastAsia="仿宋_GB2312"/>
          <w:color w:val="auto"/>
          <w:sz w:val="32"/>
          <w:szCs w:val="32"/>
          <w:highlight w:val="none"/>
          <w:lang w:val="en-US" w:eastAsia="zh-CN"/>
        </w:rPr>
        <w:t>现场</w:t>
      </w:r>
      <w:r>
        <w:rPr>
          <w:rFonts w:hint="eastAsia" w:ascii="仿宋_GB2312" w:eastAsia="仿宋_GB2312"/>
          <w:color w:val="auto"/>
          <w:sz w:val="32"/>
          <w:szCs w:val="32"/>
          <w:highlight w:val="none"/>
        </w:rPr>
        <w:t>评审的，终止本次</w:t>
      </w:r>
      <w:r>
        <w:rPr>
          <w:rFonts w:hint="eastAsia" w:ascii="仿宋_GB2312" w:eastAsia="仿宋_GB2312"/>
          <w:color w:val="auto"/>
          <w:sz w:val="32"/>
          <w:szCs w:val="32"/>
          <w:highlight w:val="none"/>
          <w:lang w:val="en-US" w:eastAsia="zh-CN"/>
        </w:rPr>
        <w:t>资质核准</w:t>
      </w:r>
      <w:r>
        <w:rPr>
          <w:rFonts w:hint="eastAsia" w:ascii="仿宋_GB2312" w:eastAsia="仿宋_GB2312"/>
          <w:color w:val="auto"/>
          <w:sz w:val="32"/>
          <w:szCs w:val="32"/>
          <w:highlight w:val="none"/>
        </w:rPr>
        <w:t>。</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9.评审专家</w:t>
      </w:r>
    </w:p>
    <w:p>
      <w:pPr>
        <w:keepNext w:val="0"/>
        <w:keepLines w:val="0"/>
        <w:pageBreakBefore w:val="0"/>
        <w:kinsoku/>
        <w:overflowPunct/>
        <w:topLinePunct w:val="0"/>
        <w:autoSpaceDN/>
        <w:bidi w:val="0"/>
        <w:adjustRightInd/>
        <w:snapToGrid/>
        <w:spacing w:line="576"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评审专家</w:t>
      </w:r>
      <w:r>
        <w:rPr>
          <w:rFonts w:hint="eastAsia" w:ascii="仿宋_GB2312" w:hAnsi="仿宋_GB2312" w:eastAsia="仿宋_GB2312" w:cs="仿宋_GB2312"/>
          <w:color w:val="auto"/>
          <w:sz w:val="32"/>
          <w:szCs w:val="32"/>
          <w:highlight w:val="none"/>
          <w:lang w:val="en-US" w:eastAsia="zh-CN"/>
        </w:rPr>
        <w:t>应是由省住房城乡建设厅依据《广东省</w:t>
      </w:r>
      <w:r>
        <w:rPr>
          <w:rFonts w:hint="eastAsia" w:ascii="仿宋_GB2312" w:hAnsi="仿宋_GB2312" w:eastAsia="仿宋_GB2312" w:cs="仿宋_GB2312"/>
          <w:color w:val="auto"/>
          <w:sz w:val="32"/>
          <w:szCs w:val="32"/>
          <w:highlight w:val="none"/>
          <w:lang w:eastAsia="zh-CN"/>
        </w:rPr>
        <w:t>建设工程质量检测技术专家库管理办法</w:t>
      </w:r>
      <w:r>
        <w:rPr>
          <w:rFonts w:hint="eastAsia" w:ascii="仿宋_GB2312" w:hAnsi="仿宋_GB2312" w:eastAsia="仿宋_GB2312" w:cs="仿宋_GB2312"/>
          <w:color w:val="auto"/>
          <w:sz w:val="32"/>
          <w:szCs w:val="32"/>
          <w:highlight w:val="none"/>
          <w:lang w:val="en-US" w:eastAsia="zh-CN"/>
        </w:rPr>
        <w:t>》（以下简称《</w:t>
      </w:r>
      <w:r>
        <w:rPr>
          <w:rFonts w:hint="eastAsia" w:ascii="仿宋_GB2312" w:hAnsi="仿宋" w:eastAsia="仿宋_GB2312" w:cs="宋体"/>
          <w:sz w:val="32"/>
          <w:szCs w:val="32"/>
          <w:highlight w:val="none"/>
          <w:lang w:bidi="ar-SA"/>
        </w:rPr>
        <w:t>专家库管理办法</w:t>
      </w:r>
      <w:r>
        <w:rPr>
          <w:rFonts w:hint="eastAsia" w:ascii="仿宋_GB2312" w:hAnsi="仿宋_GB2312" w:eastAsia="仿宋_GB2312" w:cs="仿宋_GB2312"/>
          <w:color w:val="auto"/>
          <w:sz w:val="32"/>
          <w:szCs w:val="32"/>
          <w:highlight w:val="none"/>
          <w:lang w:val="en-US" w:eastAsia="zh-CN"/>
        </w:rPr>
        <w:t>》）组建的</w:t>
      </w:r>
      <w:r>
        <w:rPr>
          <w:rFonts w:hint="eastAsia" w:ascii="仿宋_GB2312" w:hAnsi="仿宋_GB2312" w:eastAsia="仿宋_GB2312" w:cs="仿宋_GB2312"/>
          <w:sz w:val="32"/>
          <w:szCs w:val="32"/>
          <w:highlight w:val="none"/>
          <w:lang w:val="en-US" w:eastAsia="zh-CN" w:bidi="ar-SA"/>
        </w:rPr>
        <w:t>专家库成员</w:t>
      </w:r>
      <w:r>
        <w:rPr>
          <w:rFonts w:hint="eastAsia" w:ascii="仿宋_GB2312" w:hAnsi="仿宋_GB2312" w:eastAsia="仿宋_GB2312" w:cs="仿宋_GB2312"/>
          <w:color w:val="auto"/>
          <w:sz w:val="32"/>
          <w:szCs w:val="32"/>
          <w:highlight w:val="none"/>
          <w:lang w:eastAsia="zh-CN"/>
        </w:rPr>
        <w:t>。</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10.评审专家使用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10.1</w:t>
      </w:r>
      <w:r>
        <w:rPr>
          <w:rFonts w:hint="eastAsia" w:ascii="仿宋_GB2312" w:hAnsi="仿宋_GB2312" w:eastAsia="仿宋_GB2312" w:cs="仿宋_GB2312"/>
          <w:b w:val="0"/>
          <w:bCs w:val="0"/>
          <w:color w:val="auto"/>
          <w:sz w:val="32"/>
          <w:szCs w:val="32"/>
          <w:highlight w:val="none"/>
        </w:rPr>
        <w:t>评审专家应根据检测机构所申请资质类别，按照专业覆盖的原则，</w:t>
      </w:r>
      <w:r>
        <w:rPr>
          <w:rFonts w:hint="eastAsia" w:ascii="仿宋_GB2312" w:hAnsi="仿宋_GB2312" w:eastAsia="仿宋_GB2312" w:cs="仿宋_GB2312"/>
          <w:b w:val="0"/>
          <w:bCs w:val="0"/>
          <w:color w:val="auto"/>
          <w:sz w:val="32"/>
          <w:szCs w:val="32"/>
          <w:highlight w:val="none"/>
          <w:lang w:val="en-US" w:eastAsia="zh-CN"/>
        </w:rPr>
        <w:t>由资质审批机关</w:t>
      </w:r>
      <w:r>
        <w:rPr>
          <w:rFonts w:hint="eastAsia" w:ascii="仿宋_GB2312" w:hAnsi="仿宋_GB2312" w:eastAsia="仿宋_GB2312" w:cs="仿宋_GB2312"/>
          <w:b w:val="0"/>
          <w:bCs w:val="0"/>
          <w:color w:val="auto"/>
          <w:sz w:val="32"/>
          <w:szCs w:val="32"/>
          <w:highlight w:val="none"/>
        </w:rPr>
        <w:t>从</w:t>
      </w:r>
      <w:r>
        <w:rPr>
          <w:rFonts w:hint="eastAsia" w:ascii="仿宋_GB2312" w:hAnsi="仿宋_GB2312" w:eastAsia="仿宋_GB2312" w:cs="仿宋_GB2312"/>
          <w:b w:val="0"/>
          <w:bCs w:val="0"/>
          <w:sz w:val="32"/>
          <w:szCs w:val="32"/>
          <w:highlight w:val="none"/>
          <w:lang w:bidi="ar-SA"/>
        </w:rPr>
        <w:t>省建设工程</w:t>
      </w:r>
      <w:r>
        <w:rPr>
          <w:rFonts w:hint="eastAsia" w:ascii="仿宋_GB2312" w:hAnsi="仿宋_GB2312" w:eastAsia="仿宋_GB2312" w:cs="仿宋_GB2312"/>
          <w:b w:val="0"/>
          <w:bCs w:val="0"/>
          <w:sz w:val="32"/>
          <w:szCs w:val="32"/>
          <w:highlight w:val="none"/>
          <w:lang w:eastAsia="zh-CN" w:bidi="ar-SA"/>
        </w:rPr>
        <w:t>质量检测</w:t>
      </w:r>
      <w:r>
        <w:rPr>
          <w:rFonts w:hint="eastAsia" w:ascii="仿宋_GB2312" w:hAnsi="仿宋_GB2312" w:eastAsia="仿宋_GB2312" w:cs="仿宋_GB2312"/>
          <w:b w:val="0"/>
          <w:bCs w:val="0"/>
          <w:sz w:val="32"/>
          <w:szCs w:val="32"/>
          <w:highlight w:val="none"/>
          <w:lang w:bidi="ar-SA"/>
        </w:rPr>
        <w:t>技术专家库</w:t>
      </w:r>
      <w:r>
        <w:rPr>
          <w:rFonts w:hint="eastAsia" w:ascii="仿宋_GB2312" w:hAnsi="仿宋_GB2312" w:eastAsia="仿宋_GB2312" w:cs="仿宋_GB2312"/>
          <w:b w:val="0"/>
          <w:bCs w:val="0"/>
          <w:sz w:val="32"/>
          <w:szCs w:val="32"/>
          <w:highlight w:val="none"/>
          <w:lang w:val="en-US" w:eastAsia="zh-CN" w:bidi="ar-SA"/>
        </w:rPr>
        <w:t>中</w:t>
      </w:r>
      <w:r>
        <w:rPr>
          <w:rFonts w:hint="eastAsia" w:ascii="仿宋_GB2312" w:hAnsi="仿宋_GB2312" w:eastAsia="仿宋_GB2312" w:cs="仿宋_GB2312"/>
          <w:b w:val="0"/>
          <w:bCs w:val="0"/>
          <w:sz w:val="32"/>
          <w:szCs w:val="32"/>
          <w:highlight w:val="none"/>
          <w:lang w:eastAsia="zh-CN" w:bidi="ar-SA"/>
        </w:rPr>
        <w:t>选取</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专家人数应根据检测机构资质申请范围确定</w:t>
      </w:r>
      <w:r>
        <w:rPr>
          <w:rFonts w:hint="eastAsia" w:ascii="仿宋_GB2312" w:hAnsi="仿宋_GB2312" w:eastAsia="仿宋_GB2312" w:cs="仿宋_GB2312"/>
          <w:b w:val="0"/>
          <w:bCs w:val="0"/>
          <w:color w:val="auto"/>
          <w:sz w:val="32"/>
          <w:szCs w:val="32"/>
          <w:highlight w:val="none"/>
          <w:lang w:eastAsia="zh-CN"/>
        </w:rPr>
        <w:t>，由</w:t>
      </w:r>
      <w:r>
        <w:rPr>
          <w:rFonts w:hint="eastAsia" w:ascii="仿宋_GB2312" w:hAnsi="仿宋_GB2312" w:eastAsia="仿宋_GB2312" w:cs="仿宋_GB2312"/>
          <w:b w:val="0"/>
          <w:bCs w:val="0"/>
          <w:color w:val="auto"/>
          <w:sz w:val="32"/>
          <w:szCs w:val="32"/>
          <w:highlight w:val="none"/>
          <w:lang w:val="en-US" w:eastAsia="zh-CN"/>
        </w:rPr>
        <w:t>3人（含）以上专家组成，</w:t>
      </w:r>
      <w:r>
        <w:rPr>
          <w:rFonts w:hint="eastAsia" w:ascii="仿宋_GB2312" w:hAnsi="仿宋_GB2312" w:eastAsia="仿宋_GB2312" w:cs="仿宋_GB2312"/>
          <w:b w:val="0"/>
          <w:bCs w:val="0"/>
          <w:color w:val="auto"/>
          <w:sz w:val="32"/>
          <w:szCs w:val="32"/>
          <w:highlight w:val="none"/>
        </w:rPr>
        <w:t>以确保在不超过</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个工作日内完成</w:t>
      </w:r>
      <w:r>
        <w:rPr>
          <w:rFonts w:hint="eastAsia" w:ascii="仿宋_GB2312" w:hAnsi="仿宋_GB2312" w:eastAsia="仿宋_GB2312" w:cs="仿宋_GB2312"/>
          <w:b w:val="0"/>
          <w:bCs w:val="0"/>
          <w:color w:val="auto"/>
          <w:sz w:val="32"/>
          <w:szCs w:val="32"/>
          <w:highlight w:val="none"/>
          <w:lang w:val="en-US" w:eastAsia="zh-CN"/>
        </w:rPr>
        <w:t>现场</w:t>
      </w:r>
      <w:r>
        <w:rPr>
          <w:rFonts w:hint="eastAsia" w:ascii="仿宋_GB2312" w:hAnsi="仿宋_GB2312" w:eastAsia="仿宋_GB2312" w:cs="仿宋_GB2312"/>
          <w:b w:val="0"/>
          <w:bCs w:val="0"/>
          <w:color w:val="auto"/>
          <w:sz w:val="32"/>
          <w:szCs w:val="32"/>
          <w:highlight w:val="none"/>
        </w:rPr>
        <w:t>评审为宜。</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10.2</w:t>
      </w:r>
      <w:r>
        <w:rPr>
          <w:rFonts w:hint="eastAsia" w:ascii="仿宋_GB2312" w:hAnsi="仿宋_GB2312" w:eastAsia="仿宋_GB2312" w:cs="仿宋_GB2312"/>
          <w:b w:val="0"/>
          <w:bCs w:val="0"/>
          <w:color w:val="auto"/>
          <w:sz w:val="32"/>
          <w:szCs w:val="32"/>
          <w:highlight w:val="none"/>
        </w:rPr>
        <w:t>资质评审应遵循回避原则。评审组成员与检测机构不得有利益关系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检测机构可以向</w:t>
      </w:r>
      <w:r>
        <w:rPr>
          <w:rFonts w:hint="eastAsia" w:ascii="仿宋_GB2312" w:hAnsi="仿宋_GB2312" w:eastAsia="仿宋_GB2312" w:cs="仿宋_GB2312"/>
          <w:b w:val="0"/>
          <w:bCs w:val="0"/>
          <w:color w:val="auto"/>
          <w:sz w:val="32"/>
          <w:szCs w:val="32"/>
          <w:highlight w:val="none"/>
          <w:lang w:eastAsia="zh-CN"/>
        </w:rPr>
        <w:t>资质审批</w:t>
      </w:r>
      <w:r>
        <w:rPr>
          <w:rFonts w:hint="eastAsia" w:ascii="仿宋_GB2312" w:hAnsi="仿宋_GB2312" w:eastAsia="仿宋_GB2312" w:cs="仿宋_GB2312"/>
          <w:b w:val="0"/>
          <w:bCs w:val="0"/>
          <w:color w:val="auto"/>
          <w:sz w:val="32"/>
          <w:szCs w:val="32"/>
          <w:highlight w:val="none"/>
        </w:rPr>
        <w:t>机关提出回避申请。</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10.3评审专家</w:t>
      </w:r>
      <w:r>
        <w:rPr>
          <w:rFonts w:hint="eastAsia" w:ascii="仿宋_GB2312" w:hAnsi="仿宋_GB2312" w:eastAsia="仿宋_GB2312" w:cs="仿宋_GB2312"/>
          <w:color w:val="auto"/>
          <w:sz w:val="32"/>
          <w:szCs w:val="32"/>
          <w:highlight w:val="none"/>
        </w:rPr>
        <w:t>如因特殊情况不能参加评审的，须在评审前</w:t>
      </w:r>
      <w:r>
        <w:rPr>
          <w:rFonts w:hint="eastAsia" w:ascii="仿宋_GB2312" w:hAnsi="仿宋_GB2312" w:eastAsia="仿宋_GB2312" w:cs="仿宋_GB2312"/>
          <w:color w:val="auto"/>
          <w:sz w:val="32"/>
          <w:szCs w:val="32"/>
          <w:highlight w:val="none"/>
          <w:lang w:val="en-US" w:eastAsia="zh-CN"/>
        </w:rPr>
        <w:t>2个工作</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lang w:val="en-US" w:eastAsia="zh-CN"/>
        </w:rPr>
        <w:t>报告</w:t>
      </w:r>
      <w:r>
        <w:rPr>
          <w:rFonts w:hint="eastAsia" w:ascii="仿宋_GB2312" w:hAnsi="仿宋_GB2312" w:eastAsia="仿宋_GB2312" w:cs="仿宋_GB2312"/>
          <w:color w:val="auto"/>
          <w:sz w:val="32"/>
          <w:szCs w:val="32"/>
          <w:highlight w:val="none"/>
          <w:lang w:eastAsia="zh-CN"/>
        </w:rPr>
        <w:t>资质审批机关</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资质审批</w:t>
      </w:r>
      <w:r>
        <w:rPr>
          <w:rFonts w:hint="eastAsia" w:ascii="仿宋_GB2312" w:hAnsi="仿宋_GB2312" w:eastAsia="仿宋_GB2312" w:cs="仿宋_GB2312"/>
          <w:color w:val="auto"/>
          <w:sz w:val="32"/>
          <w:szCs w:val="32"/>
          <w:highlight w:val="none"/>
          <w:lang w:val="en-US" w:eastAsia="zh-CN"/>
        </w:rPr>
        <w:t>机关</w:t>
      </w:r>
      <w:r>
        <w:rPr>
          <w:rFonts w:hint="eastAsia" w:ascii="仿宋_GB2312" w:hAnsi="仿宋_GB2312" w:eastAsia="仿宋_GB2312" w:cs="仿宋_GB2312"/>
          <w:color w:val="auto"/>
          <w:sz w:val="32"/>
          <w:szCs w:val="32"/>
          <w:highlight w:val="none"/>
        </w:rPr>
        <w:t>确定</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变更专家。</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11.评审组职责</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评审实行组长负责制，组长</w:t>
      </w:r>
      <w:r>
        <w:rPr>
          <w:rFonts w:hint="eastAsia" w:ascii="仿宋_GB2312" w:hAnsi="仿宋_GB2312" w:eastAsia="仿宋_GB2312" w:cs="仿宋_GB2312"/>
          <w:color w:val="auto"/>
          <w:sz w:val="32"/>
          <w:szCs w:val="32"/>
          <w:highlight w:val="none"/>
          <w:lang w:val="en-US" w:eastAsia="zh-CN"/>
        </w:rPr>
        <w:t>由</w:t>
      </w:r>
      <w:r>
        <w:rPr>
          <w:rFonts w:hint="eastAsia" w:ascii="仿宋_GB2312" w:eastAsia="仿宋_GB2312"/>
          <w:color w:val="auto"/>
          <w:kern w:val="2"/>
          <w:sz w:val="32"/>
          <w:szCs w:val="32"/>
          <w:highlight w:val="none"/>
          <w:lang w:val="en-US" w:eastAsia="zh-CN"/>
        </w:rPr>
        <w:t>资质审批</w:t>
      </w:r>
      <w:r>
        <w:rPr>
          <w:rFonts w:hint="eastAsia" w:ascii="仿宋_GB2312" w:eastAsia="仿宋_GB2312"/>
          <w:color w:val="auto"/>
          <w:kern w:val="2"/>
          <w:sz w:val="32"/>
          <w:szCs w:val="32"/>
          <w:highlight w:val="none"/>
        </w:rPr>
        <w:t>机关</w:t>
      </w:r>
      <w:r>
        <w:rPr>
          <w:rFonts w:hint="eastAsia" w:ascii="仿宋_GB2312" w:eastAsia="仿宋_GB2312"/>
          <w:color w:val="auto"/>
          <w:kern w:val="2"/>
          <w:sz w:val="32"/>
          <w:szCs w:val="32"/>
          <w:highlight w:val="none"/>
          <w:lang w:val="en-US" w:eastAsia="zh-CN"/>
        </w:rPr>
        <w:t>确定，</w:t>
      </w:r>
      <w:r>
        <w:rPr>
          <w:rFonts w:hint="eastAsia" w:ascii="仿宋_GB2312" w:hAnsi="仿宋_GB2312" w:eastAsia="仿宋_GB2312" w:cs="仿宋_GB2312"/>
          <w:color w:val="auto"/>
          <w:sz w:val="32"/>
          <w:szCs w:val="32"/>
          <w:highlight w:val="none"/>
        </w:rPr>
        <w:t>负责现场评审的全面工作，合理分配工作任务，沟通、协调现场评审过程，裁决评审工作中的分歧和其他事宜，跟踪验证整改，及时报告评审情况、报送评审材料。其他评审专家应服从评审组长的安排和调度，</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评审</w:t>
      </w:r>
      <w:r>
        <w:rPr>
          <w:rFonts w:hint="eastAsia" w:ascii="仿宋_GB2312" w:hAnsi="仿宋_GB2312" w:eastAsia="仿宋_GB2312" w:cs="仿宋_GB2312"/>
          <w:color w:val="auto"/>
          <w:sz w:val="32"/>
          <w:szCs w:val="32"/>
          <w:highlight w:val="none"/>
          <w:lang w:val="en-US" w:eastAsia="zh-CN"/>
        </w:rPr>
        <w:t>分工</w:t>
      </w:r>
      <w:r>
        <w:rPr>
          <w:rFonts w:hint="eastAsia" w:ascii="仿宋_GB2312" w:hAnsi="仿宋_GB2312" w:eastAsia="仿宋_GB2312" w:cs="仿宋_GB2312"/>
          <w:color w:val="auto"/>
          <w:sz w:val="32"/>
          <w:szCs w:val="32"/>
          <w:highlight w:val="none"/>
        </w:rPr>
        <w:t>完成评审工作。评审组应对其承担的评审</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的准确性、真实性、客观性和完整性负责。</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12.评审策划</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outlineLvl w:val="0"/>
        <w:rPr>
          <w:rFonts w:ascii="仿宋_GB2312" w:eastAsia="仿宋_GB2312"/>
          <w:b w:val="0"/>
          <w:bCs w:val="0"/>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12.1</w:t>
      </w:r>
      <w:r>
        <w:rPr>
          <w:rFonts w:hint="eastAsia" w:ascii="仿宋_GB2312" w:eastAsia="仿宋_GB2312"/>
          <w:b w:val="0"/>
          <w:bCs w:val="0"/>
          <w:color w:val="auto"/>
          <w:sz w:val="32"/>
          <w:szCs w:val="32"/>
          <w:highlight w:val="none"/>
          <w:lang w:val="en-US" w:eastAsia="zh-CN"/>
        </w:rPr>
        <w:t>评审</w:t>
      </w:r>
      <w:r>
        <w:rPr>
          <w:rFonts w:hint="eastAsia" w:ascii="仿宋_GB2312" w:eastAsia="仿宋_GB2312"/>
          <w:b w:val="0"/>
          <w:bCs w:val="0"/>
          <w:color w:val="auto"/>
          <w:sz w:val="32"/>
          <w:szCs w:val="32"/>
          <w:highlight w:val="none"/>
        </w:rPr>
        <w:t>组长负责专家评审工作的整体策划，具体内容如下：</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a.</w:t>
      </w:r>
      <w:r>
        <w:rPr>
          <w:rFonts w:hint="eastAsia" w:ascii="仿宋_GB2312" w:eastAsia="仿宋_GB2312"/>
          <w:b w:val="0"/>
          <w:bCs w:val="0"/>
          <w:color w:val="auto"/>
          <w:sz w:val="32"/>
          <w:szCs w:val="32"/>
          <w:highlight w:val="none"/>
        </w:rPr>
        <w:t>制定《专家评审计划表》，明确评审组分工范围，并于专家评审开始前书面告知评审组成员</w:t>
      </w:r>
      <w:r>
        <w:rPr>
          <w:rFonts w:hint="eastAsia" w:ascii="仿宋_GB2312" w:eastAsia="仿宋_GB2312"/>
          <w:b w:val="0"/>
          <w:bCs w:val="0"/>
          <w:color w:val="auto"/>
          <w:sz w:val="32"/>
          <w:szCs w:val="32"/>
          <w:highlight w:val="none"/>
          <w:lang w:val="en-US" w:eastAsia="zh-CN"/>
        </w:rPr>
        <w:t>和被评审机构</w:t>
      </w:r>
      <w:r>
        <w:rPr>
          <w:rFonts w:hint="eastAsia" w:ascii="仿宋_GB2312" w:eastAsia="仿宋_GB2312"/>
          <w:b w:val="0"/>
          <w:bCs w:val="0"/>
          <w:color w:val="auto"/>
          <w:sz w:val="32"/>
          <w:szCs w:val="32"/>
          <w:highlight w:val="none"/>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b.</w:t>
      </w:r>
      <w:r>
        <w:rPr>
          <w:rFonts w:hint="eastAsia" w:ascii="仿宋_GB2312" w:eastAsia="仿宋_GB2312"/>
          <w:b w:val="0"/>
          <w:bCs w:val="0"/>
          <w:color w:val="auto"/>
          <w:sz w:val="32"/>
          <w:szCs w:val="32"/>
          <w:highlight w:val="none"/>
        </w:rPr>
        <w:t>提前将</w:t>
      </w:r>
      <w:r>
        <w:rPr>
          <w:rFonts w:hint="eastAsia" w:ascii="仿宋_GB2312" w:eastAsia="仿宋_GB2312"/>
          <w:b w:val="0"/>
          <w:bCs w:val="0"/>
          <w:color w:val="auto"/>
          <w:sz w:val="32"/>
          <w:szCs w:val="32"/>
          <w:highlight w:val="none"/>
          <w:lang w:eastAsia="zh-CN"/>
        </w:rPr>
        <w:t>被评审</w:t>
      </w:r>
      <w:r>
        <w:rPr>
          <w:rFonts w:hint="eastAsia" w:ascii="仿宋_GB2312" w:eastAsia="仿宋_GB2312"/>
          <w:b w:val="0"/>
          <w:bCs w:val="0"/>
          <w:color w:val="auto"/>
          <w:sz w:val="32"/>
          <w:szCs w:val="32"/>
          <w:highlight w:val="none"/>
        </w:rPr>
        <w:t>机构的申请材料分发给评审组成员，要求</w:t>
      </w:r>
      <w:r>
        <w:rPr>
          <w:rFonts w:hint="eastAsia" w:ascii="仿宋_GB2312" w:eastAsia="仿宋_GB2312"/>
          <w:b w:val="0"/>
          <w:bCs w:val="0"/>
          <w:color w:val="auto"/>
          <w:sz w:val="32"/>
          <w:szCs w:val="32"/>
          <w:highlight w:val="none"/>
          <w:lang w:val="en-US" w:eastAsia="zh-CN"/>
        </w:rPr>
        <w:t>及指导各</w:t>
      </w:r>
      <w:r>
        <w:rPr>
          <w:rFonts w:hint="eastAsia" w:ascii="仿宋_GB2312" w:eastAsia="仿宋_GB2312"/>
          <w:b w:val="0"/>
          <w:bCs w:val="0"/>
          <w:color w:val="auto"/>
          <w:sz w:val="32"/>
          <w:szCs w:val="32"/>
          <w:highlight w:val="none"/>
        </w:rPr>
        <w:t>评审</w:t>
      </w:r>
      <w:r>
        <w:rPr>
          <w:rFonts w:hint="eastAsia" w:ascii="仿宋_GB2312" w:eastAsia="仿宋_GB2312"/>
          <w:b w:val="0"/>
          <w:bCs w:val="0"/>
          <w:color w:val="auto"/>
          <w:sz w:val="32"/>
          <w:szCs w:val="32"/>
          <w:highlight w:val="none"/>
          <w:lang w:val="en-US" w:eastAsia="zh-CN"/>
        </w:rPr>
        <w:t>专家</w:t>
      </w:r>
      <w:r>
        <w:rPr>
          <w:rFonts w:hint="eastAsia" w:ascii="仿宋_GB2312" w:eastAsia="仿宋_GB2312"/>
          <w:b w:val="0"/>
          <w:bCs w:val="0"/>
          <w:color w:val="auto"/>
          <w:sz w:val="32"/>
          <w:szCs w:val="32"/>
          <w:highlight w:val="none"/>
        </w:rPr>
        <w:t>就其所负责的评审范围进行具体策划</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特别是对现场试验项目的具体策划</w:t>
      </w:r>
      <w:r>
        <w:rPr>
          <w:rFonts w:hint="eastAsia" w:ascii="仿宋_GB2312" w:eastAsia="仿宋_GB2312"/>
          <w:b w:val="0"/>
          <w:bCs w:val="0"/>
          <w:color w:val="auto"/>
          <w:sz w:val="32"/>
          <w:szCs w:val="32"/>
          <w:highlight w:val="none"/>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c.</w:t>
      </w:r>
      <w:r>
        <w:rPr>
          <w:rFonts w:hint="eastAsia" w:ascii="仿宋_GB2312" w:eastAsia="仿宋_GB2312"/>
          <w:b w:val="0"/>
          <w:bCs w:val="0"/>
          <w:color w:val="auto"/>
          <w:sz w:val="32"/>
          <w:szCs w:val="32"/>
          <w:highlight w:val="none"/>
        </w:rPr>
        <w:t>备齐专家评审所需的相关书面文件。</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12.2</w:t>
      </w:r>
      <w:r>
        <w:rPr>
          <w:rFonts w:hint="eastAsia" w:ascii="仿宋_GB2312" w:eastAsia="仿宋_GB2312"/>
          <w:b w:val="0"/>
          <w:bCs w:val="0"/>
          <w:color w:val="auto"/>
          <w:sz w:val="32"/>
          <w:szCs w:val="32"/>
          <w:highlight w:val="none"/>
          <w:lang w:val="en-US" w:eastAsia="zh-CN"/>
        </w:rPr>
        <w:t xml:space="preserve">现场试验项目的选择应符合以下要求： </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a.应覆盖申请主要检测项目的参数、仪器设备、试验人员和关键检测方法，重点考核难度较大、操作复杂、</w:t>
      </w:r>
      <w:r>
        <w:rPr>
          <w:rFonts w:hint="eastAsia" w:ascii="仿宋_GB2312" w:hAnsi="宋体" w:eastAsia="仿宋_GB2312" w:cs="宋体"/>
          <w:b w:val="0"/>
          <w:bCs w:val="0"/>
          <w:color w:val="auto"/>
          <w:kern w:val="0"/>
          <w:sz w:val="32"/>
          <w:szCs w:val="32"/>
          <w:highlight w:val="none"/>
        </w:rPr>
        <w:t>标准规范</w:t>
      </w:r>
      <w:r>
        <w:rPr>
          <w:rFonts w:hint="eastAsia" w:ascii="仿宋_GB2312" w:eastAsia="仿宋_GB2312" w:cs="宋体"/>
          <w:b w:val="0"/>
          <w:bCs w:val="0"/>
          <w:color w:val="auto"/>
          <w:kern w:val="0"/>
          <w:sz w:val="32"/>
          <w:szCs w:val="32"/>
          <w:highlight w:val="none"/>
          <w:lang w:val="en-US" w:eastAsia="zh-CN"/>
        </w:rPr>
        <w:t>近期</w:t>
      </w:r>
      <w:r>
        <w:rPr>
          <w:rFonts w:hint="eastAsia" w:ascii="仿宋_GB2312" w:hAnsi="宋体" w:eastAsia="仿宋_GB2312" w:cs="宋体"/>
          <w:b w:val="0"/>
          <w:bCs w:val="0"/>
          <w:color w:val="auto"/>
          <w:kern w:val="0"/>
          <w:sz w:val="32"/>
          <w:szCs w:val="32"/>
          <w:highlight w:val="none"/>
        </w:rPr>
        <w:t>发生变更</w:t>
      </w:r>
      <w:r>
        <w:rPr>
          <w:rFonts w:hint="eastAsia" w:ascii="仿宋_GB2312" w:eastAsia="仿宋_GB2312" w:cs="宋体"/>
          <w:b w:val="0"/>
          <w:bCs w:val="0"/>
          <w:color w:val="auto"/>
          <w:kern w:val="0"/>
          <w:sz w:val="32"/>
          <w:szCs w:val="32"/>
          <w:highlight w:val="none"/>
          <w:lang w:eastAsia="zh-CN"/>
        </w:rPr>
        <w:t>，</w:t>
      </w:r>
      <w:r>
        <w:rPr>
          <w:rFonts w:hint="eastAsia" w:ascii="仿宋_GB2312" w:eastAsia="仿宋_GB2312" w:cs="宋体"/>
          <w:b w:val="0"/>
          <w:bCs w:val="0"/>
          <w:color w:val="auto"/>
          <w:kern w:val="0"/>
          <w:sz w:val="32"/>
          <w:szCs w:val="32"/>
          <w:highlight w:val="none"/>
          <w:lang w:val="en-US" w:eastAsia="zh-CN"/>
        </w:rPr>
        <w:t>以及建设工程检测常用</w:t>
      </w:r>
      <w:r>
        <w:rPr>
          <w:rFonts w:hint="eastAsia" w:ascii="仿宋_GB2312" w:eastAsia="仿宋_GB2312"/>
          <w:b w:val="0"/>
          <w:bCs w:val="0"/>
          <w:color w:val="auto"/>
          <w:sz w:val="32"/>
          <w:szCs w:val="32"/>
          <w:highlight w:val="none"/>
          <w:lang w:val="en-US" w:eastAsia="zh-CN"/>
        </w:rPr>
        <w:t>的项目；</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b.现场试验的参数应覆盖所有申请的检测专项，其中必备参数不少于20%；可选参数不少于15%；</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eastAsia="仿宋_GB2312"/>
          <w:b w:val="0"/>
          <w:bCs w:val="0"/>
          <w:color w:val="auto"/>
          <w:sz w:val="32"/>
          <w:szCs w:val="32"/>
          <w:highlight w:val="none"/>
          <w:lang w:val="en-US" w:eastAsia="zh-CN"/>
        </w:rPr>
        <w:t>c.取得检验检测机构资质认定（CMA资质认定）或中国合格评定国家认可委员会（CNAS）实验室认可的，</w:t>
      </w:r>
      <w:r>
        <w:rPr>
          <w:rFonts w:hint="eastAsia" w:ascii="仿宋_GB2312" w:eastAsia="仿宋_GB2312"/>
          <w:b w:val="0"/>
          <w:bCs w:val="0"/>
          <w:color w:val="auto"/>
          <w:sz w:val="32"/>
          <w:szCs w:val="32"/>
          <w:highlight w:val="none"/>
        </w:rPr>
        <w:t>且尚在有效期内的检测参数，经评审组确认后，可适当减少现场试验检测参数考核数量，但</w:t>
      </w:r>
      <w:r>
        <w:rPr>
          <w:rFonts w:hint="eastAsia" w:ascii="仿宋_GB2312" w:hAnsi="宋体" w:eastAsia="仿宋_GB2312" w:cs="宋体"/>
          <w:b w:val="0"/>
          <w:bCs w:val="0"/>
          <w:color w:val="auto"/>
          <w:kern w:val="0"/>
          <w:sz w:val="32"/>
          <w:szCs w:val="32"/>
          <w:highlight w:val="none"/>
        </w:rPr>
        <w:t>不应低于所申请专项资质全部必备检测参数和可选检测参数的</w:t>
      </w:r>
      <w:r>
        <w:rPr>
          <w:rFonts w:ascii="仿宋_GB2312" w:hAnsi="宋体" w:eastAsia="仿宋_GB2312" w:cs="宋体"/>
          <w:b w:val="0"/>
          <w:bCs w:val="0"/>
          <w:color w:val="auto"/>
          <w:kern w:val="0"/>
          <w:sz w:val="32"/>
          <w:szCs w:val="32"/>
          <w:highlight w:val="none"/>
        </w:rPr>
        <w:t>10%</w:t>
      </w:r>
      <w:r>
        <w:rPr>
          <w:rFonts w:hint="eastAsia" w:ascii="仿宋_GB2312" w:hAnsi="宋体" w:eastAsia="仿宋_GB2312" w:cs="宋体"/>
          <w:b w:val="0"/>
          <w:bCs w:val="0"/>
          <w:color w:val="auto"/>
          <w:kern w:val="0"/>
          <w:sz w:val="32"/>
          <w:szCs w:val="32"/>
          <w:highlight w:val="none"/>
        </w:rPr>
        <w:t>。</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d.一年内获得资质许可机关或市场监管部门组织的能力验证、中国合格评定国家认可委员会认可的能力验证提供者组织的能力验证或省级检测行业协会组织能力验证/比对试验结果满意的项目，检测人员等检测能力无变化的，可计入现场操作考核参数，免于现场操作考核；</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hAnsi="宋体" w:eastAsia="仿宋_GB2312" w:cs="宋体"/>
          <w:b w:val="0"/>
          <w:bCs w:val="0"/>
          <w:color w:val="auto"/>
          <w:kern w:val="0"/>
          <w:sz w:val="32"/>
          <w:szCs w:val="32"/>
          <w:highlight w:val="none"/>
          <w:lang w:eastAsia="zh-CN"/>
        </w:rPr>
      </w:pPr>
      <w:r>
        <w:rPr>
          <w:rFonts w:hint="eastAsia" w:ascii="仿宋_GB2312" w:hAnsi="宋体" w:eastAsia="仿宋_GB2312" w:cs="宋体"/>
          <w:b w:val="0"/>
          <w:bCs w:val="0"/>
          <w:color w:val="auto"/>
          <w:kern w:val="0"/>
          <w:sz w:val="32"/>
          <w:szCs w:val="32"/>
          <w:highlight w:val="none"/>
          <w:lang w:val="en-US" w:eastAsia="zh-CN"/>
        </w:rPr>
        <w:t>e.</w:t>
      </w:r>
      <w:r>
        <w:rPr>
          <w:rFonts w:hint="eastAsia" w:ascii="仿宋_GB2312" w:hAnsi="宋体" w:eastAsia="仿宋_GB2312" w:cs="宋体"/>
          <w:b w:val="0"/>
          <w:bCs w:val="0"/>
          <w:color w:val="auto"/>
          <w:kern w:val="0"/>
          <w:sz w:val="32"/>
          <w:szCs w:val="32"/>
          <w:highlight w:val="none"/>
        </w:rPr>
        <w:t>检测专项类别不同但检测对象、参数和方法实质相同的应视为同一检测参数</w:t>
      </w:r>
      <w:r>
        <w:rPr>
          <w:rFonts w:hint="eastAsia" w:ascii="仿宋_GB2312" w:hAnsi="宋体" w:eastAsia="仿宋_GB2312" w:cs="宋体"/>
          <w:b w:val="0"/>
          <w:bCs w:val="0"/>
          <w:color w:val="auto"/>
          <w:kern w:val="0"/>
          <w:sz w:val="32"/>
          <w:szCs w:val="32"/>
          <w:highlight w:val="none"/>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12.3对于下列试验项目，评审组可考虑安排盲样考核：</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a.能力验证或检测机构间比对试验结果不满意的项目；</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b.资质审批机关指定安排的项目；</w:t>
      </w:r>
    </w:p>
    <w:p>
      <w:pPr>
        <w:pStyle w:val="12"/>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盲样考核的样品应保证其赋值、不确定度以及相关重要性能（例如稳定性）的准确性和可靠性，应尽量采用有证标准物质。盲样考核样品由评审组提前向资质审批机关申请提供。</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黑体" w:hAnsi="黑体" w:eastAsia="黑体" w:cs="黑体"/>
          <w:color w:val="auto"/>
          <w:sz w:val="32"/>
          <w:szCs w:val="32"/>
          <w:highlight w:val="none"/>
          <w:lang w:val="en-US" w:eastAsia="zh-CN"/>
        </w:rPr>
      </w:pPr>
      <w:bookmarkStart w:id="0" w:name="_Toc22857"/>
      <w:bookmarkStart w:id="1" w:name="_Toc20540"/>
      <w:bookmarkStart w:id="2" w:name="_Toc14562"/>
      <w:bookmarkStart w:id="3" w:name="_Toc21376"/>
      <w:bookmarkStart w:id="4" w:name="_Toc29574"/>
      <w:bookmarkStart w:id="5" w:name="_Toc16405"/>
      <w:bookmarkStart w:id="6" w:name="_Toc13285"/>
      <w:bookmarkStart w:id="7" w:name="_Toc13971"/>
      <w:bookmarkStart w:id="8" w:name="_Toc15198"/>
      <w:bookmarkStart w:id="9" w:name="_Toc31548"/>
      <w:r>
        <w:rPr>
          <w:rFonts w:hint="eastAsia" w:ascii="黑体" w:hAnsi="黑体" w:eastAsia="黑体" w:cs="黑体"/>
          <w:color w:val="auto"/>
          <w:sz w:val="32"/>
          <w:szCs w:val="32"/>
          <w:highlight w:val="none"/>
          <w:lang w:val="en-US" w:eastAsia="zh-CN"/>
        </w:rPr>
        <w:t>13.评审范围</w:t>
      </w:r>
      <w:bookmarkEnd w:id="0"/>
      <w:bookmarkEnd w:id="1"/>
      <w:bookmarkEnd w:id="2"/>
      <w:bookmarkEnd w:id="3"/>
      <w:bookmarkEnd w:id="4"/>
      <w:bookmarkEnd w:id="5"/>
      <w:bookmarkEnd w:id="6"/>
      <w:bookmarkEnd w:id="7"/>
      <w:bookmarkEnd w:id="8"/>
      <w:bookmarkEnd w:id="9"/>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专家</w:t>
      </w:r>
      <w:r>
        <w:rPr>
          <w:rFonts w:hint="eastAsia" w:ascii="仿宋_GB2312" w:eastAsia="仿宋_GB2312"/>
          <w:color w:val="auto"/>
          <w:sz w:val="32"/>
          <w:szCs w:val="32"/>
          <w:highlight w:val="none"/>
        </w:rPr>
        <w:t>评审范围</w:t>
      </w:r>
      <w:r>
        <w:rPr>
          <w:rFonts w:hint="eastAsia" w:ascii="仿宋_GB2312" w:eastAsia="仿宋_GB2312"/>
          <w:color w:val="auto"/>
          <w:sz w:val="32"/>
          <w:szCs w:val="32"/>
          <w:highlight w:val="none"/>
          <w:lang w:val="en-US" w:eastAsia="zh-CN"/>
        </w:rPr>
        <w:t>应</w:t>
      </w:r>
      <w:r>
        <w:rPr>
          <w:rFonts w:hint="eastAsia" w:ascii="仿宋_GB2312" w:eastAsia="仿宋_GB2312"/>
          <w:color w:val="auto"/>
          <w:sz w:val="32"/>
          <w:szCs w:val="32"/>
          <w:highlight w:val="none"/>
        </w:rPr>
        <w:t>覆盖</w:t>
      </w:r>
      <w:r>
        <w:rPr>
          <w:rFonts w:hint="eastAsia" w:ascii="仿宋_GB2312" w:eastAsia="仿宋_GB2312"/>
          <w:color w:val="auto"/>
          <w:sz w:val="32"/>
          <w:szCs w:val="32"/>
          <w:highlight w:val="none"/>
          <w:lang w:val="en-US" w:eastAsia="zh-CN"/>
        </w:rPr>
        <w:t>《建设工程质量检测管理办法》及《建设工程质量检测机构资质标准》的资历及信誉、主要人员、检测设备、场所环境、质量保证体系等要求，以及《检测和校准实验室能力的通用要求》（GB/T 27025-2019）</w:t>
      </w:r>
      <w:r>
        <w:rPr>
          <w:rFonts w:hint="eastAsia" w:ascii="仿宋_GB2312" w:eastAsia="仿宋_GB2312"/>
          <w:color w:val="auto"/>
          <w:sz w:val="32"/>
          <w:szCs w:val="32"/>
          <w:highlight w:val="none"/>
        </w:rPr>
        <w:t>的全部要素和被评审机构申请许可并经</w:t>
      </w:r>
      <w:r>
        <w:rPr>
          <w:rFonts w:hint="eastAsia" w:ascii="仿宋_GB2312" w:eastAsia="仿宋_GB2312"/>
          <w:color w:val="auto"/>
          <w:sz w:val="32"/>
          <w:szCs w:val="32"/>
          <w:highlight w:val="none"/>
          <w:lang w:val="en-US" w:eastAsia="zh-CN"/>
        </w:rPr>
        <w:t>材料核查</w:t>
      </w:r>
      <w:r>
        <w:rPr>
          <w:rFonts w:hint="eastAsia" w:ascii="仿宋_GB2312" w:eastAsia="仿宋_GB2312"/>
          <w:color w:val="auto"/>
          <w:sz w:val="32"/>
          <w:szCs w:val="32"/>
          <w:highlight w:val="none"/>
        </w:rPr>
        <w:t>后的全部技术能力。</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14.评审流程</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专家评审流程主要包括预备会议、首次会议、现场核查、现场试验操作考核、报告批准人考核、关键岗位人员</w:t>
      </w:r>
      <w:r>
        <w:rPr>
          <w:rFonts w:hint="eastAsia" w:ascii="仿宋_GB2312" w:eastAsia="仿宋_GB2312"/>
          <w:color w:val="auto"/>
          <w:sz w:val="32"/>
          <w:szCs w:val="32"/>
          <w:highlight w:val="none"/>
          <w:lang w:val="en-US" w:eastAsia="zh-CN"/>
        </w:rPr>
        <w:t>核查</w:t>
      </w:r>
      <w:r>
        <w:rPr>
          <w:rFonts w:hint="eastAsia" w:ascii="仿宋_GB2312" w:eastAsia="仿宋_GB2312"/>
          <w:color w:val="auto"/>
          <w:sz w:val="32"/>
          <w:szCs w:val="32"/>
          <w:highlight w:val="none"/>
        </w:rPr>
        <w:t>、管理</w:t>
      </w:r>
      <w:r>
        <w:rPr>
          <w:rFonts w:hint="eastAsia" w:ascii="仿宋_GB2312" w:eastAsia="仿宋_GB2312"/>
          <w:color w:val="auto"/>
          <w:sz w:val="32"/>
          <w:szCs w:val="32"/>
          <w:highlight w:val="none"/>
          <w:lang w:val="en-US" w:eastAsia="zh-CN"/>
        </w:rPr>
        <w:t>体系核查</w:t>
      </w:r>
      <w:r>
        <w:rPr>
          <w:rFonts w:hint="eastAsia" w:ascii="仿宋_GB2312" w:eastAsia="仿宋_GB2312"/>
          <w:color w:val="auto"/>
          <w:sz w:val="32"/>
          <w:szCs w:val="32"/>
          <w:highlight w:val="none"/>
        </w:rPr>
        <w:t>、信息化</w:t>
      </w:r>
      <w:r>
        <w:rPr>
          <w:rFonts w:hint="eastAsia" w:ascii="仿宋_GB2312" w:eastAsia="仿宋_GB2312"/>
          <w:color w:val="auto"/>
          <w:sz w:val="32"/>
          <w:szCs w:val="32"/>
          <w:highlight w:val="none"/>
          <w:lang w:val="en-US" w:eastAsia="zh-CN"/>
        </w:rPr>
        <w:t>核查</w:t>
      </w:r>
      <w:r>
        <w:rPr>
          <w:rFonts w:hint="eastAsia" w:ascii="仿宋_GB2312" w:eastAsia="仿宋_GB2312"/>
          <w:color w:val="auto"/>
          <w:sz w:val="32"/>
          <w:szCs w:val="32"/>
          <w:highlight w:val="none"/>
        </w:rPr>
        <w:t>、评审内部会议、末次会议</w:t>
      </w:r>
      <w:r>
        <w:rPr>
          <w:rFonts w:hint="eastAsia" w:ascii="仿宋_GB2312" w:eastAsia="仿宋_GB2312"/>
          <w:color w:val="auto"/>
          <w:sz w:val="32"/>
          <w:szCs w:val="32"/>
          <w:highlight w:val="none"/>
          <w:lang w:val="en-US" w:eastAsia="zh-CN"/>
        </w:rPr>
        <w:t>等内容</w:t>
      </w:r>
      <w:r>
        <w:rPr>
          <w:rFonts w:hint="eastAsia" w:ascii="仿宋_GB2312" w:eastAsia="仿宋_GB2312"/>
          <w:color w:val="auto"/>
          <w:sz w:val="32"/>
          <w:szCs w:val="32"/>
          <w:highlight w:val="none"/>
        </w:rPr>
        <w:t>。</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15.预备会议</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textAlignment w:val="auto"/>
        <w:outlineLvl w:val="0"/>
        <w:rPr>
          <w:rFonts w:ascii="仿宋_GB2312" w:eastAsia="仿宋_GB2312"/>
          <w:color w:val="auto"/>
          <w:highlight w:val="none"/>
        </w:rPr>
      </w:pPr>
      <w:r>
        <w:rPr>
          <w:rFonts w:hint="eastAsia" w:ascii="仿宋_GB2312" w:eastAsia="仿宋_GB2312"/>
          <w:color w:val="auto"/>
          <w:sz w:val="32"/>
          <w:szCs w:val="32"/>
          <w:highlight w:val="none"/>
        </w:rPr>
        <w:t>评审组长主持召开评审工作预备会议，评审组全体成员参加。会议主要内容是明确现场评审计划及专家分工，</w:t>
      </w:r>
      <w:r>
        <w:rPr>
          <w:rFonts w:hint="eastAsia" w:ascii="仿宋_GB2312" w:eastAsia="仿宋_GB2312"/>
          <w:color w:val="auto"/>
          <w:sz w:val="32"/>
          <w:szCs w:val="32"/>
          <w:highlight w:val="none"/>
          <w:lang w:val="en-US" w:eastAsia="zh-CN"/>
        </w:rPr>
        <w:t>确定</w:t>
      </w:r>
      <w:r>
        <w:rPr>
          <w:rFonts w:hint="eastAsia" w:ascii="仿宋_GB2312" w:eastAsia="仿宋_GB2312"/>
          <w:color w:val="auto"/>
          <w:sz w:val="32"/>
          <w:szCs w:val="32"/>
          <w:highlight w:val="none"/>
        </w:rPr>
        <w:t>现场考核参数及其考核人员，提出现场评审工作要求。</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16.首次会议</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rPr>
        <w:t>评审组长</w:t>
      </w:r>
      <w:r>
        <w:rPr>
          <w:rFonts w:hint="eastAsia" w:ascii="仿宋_GB2312" w:eastAsia="仿宋_GB2312"/>
          <w:color w:val="auto"/>
          <w:sz w:val="32"/>
          <w:szCs w:val="32"/>
          <w:highlight w:val="none"/>
          <w:lang w:val="en-US" w:eastAsia="zh-CN"/>
        </w:rPr>
        <w:t>主持</w:t>
      </w:r>
      <w:r>
        <w:rPr>
          <w:rFonts w:hint="eastAsia" w:ascii="仿宋_GB2312" w:eastAsia="仿宋_GB2312"/>
          <w:color w:val="auto"/>
          <w:sz w:val="32"/>
          <w:szCs w:val="32"/>
          <w:highlight w:val="none"/>
        </w:rPr>
        <w:t>召开专家评审工作首次会议，评审组全体成员和检测机构主要人员参会，会议主要内容如下：</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a.</w:t>
      </w:r>
      <w:r>
        <w:rPr>
          <w:rFonts w:hint="eastAsia" w:ascii="仿宋_GB2312" w:eastAsia="仿宋_GB2312"/>
          <w:color w:val="auto"/>
          <w:sz w:val="32"/>
          <w:szCs w:val="32"/>
          <w:highlight w:val="none"/>
        </w:rPr>
        <w:t>宣读评审通知，介绍评审组成员；</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宣读</w:t>
      </w:r>
      <w:r>
        <w:rPr>
          <w:rFonts w:hint="eastAsia" w:ascii="仿宋_GB2312" w:eastAsia="仿宋_GB2312"/>
          <w:color w:val="auto"/>
          <w:sz w:val="32"/>
          <w:szCs w:val="32"/>
          <w:highlight w:val="none"/>
          <w:lang w:val="en-US" w:eastAsia="zh-CN"/>
        </w:rPr>
        <w:t>并签订</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资质评审</w:t>
      </w:r>
      <w:r>
        <w:rPr>
          <w:rFonts w:hint="eastAsia" w:ascii="仿宋_GB2312" w:eastAsia="仿宋_GB2312"/>
          <w:color w:val="auto"/>
          <w:sz w:val="32"/>
          <w:szCs w:val="32"/>
          <w:highlight w:val="none"/>
        </w:rPr>
        <w:t>承诺声明》，强调公平、公正、客观原则，并做出保密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廉洁</w:t>
      </w:r>
      <w:r>
        <w:rPr>
          <w:rFonts w:hint="eastAsia" w:ascii="仿宋_GB2312" w:eastAsia="仿宋_GB2312"/>
          <w:color w:val="auto"/>
          <w:sz w:val="32"/>
          <w:szCs w:val="32"/>
          <w:highlight w:val="none"/>
        </w:rPr>
        <w:t>承诺；</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c.明确</w:t>
      </w:r>
      <w:r>
        <w:rPr>
          <w:rFonts w:hint="eastAsia" w:ascii="仿宋_GB2312" w:eastAsia="仿宋_GB2312"/>
          <w:color w:val="auto"/>
          <w:sz w:val="32"/>
          <w:szCs w:val="32"/>
          <w:highlight w:val="none"/>
        </w:rPr>
        <w:t>评审日程安排及评审组成员分工，讲解评审方法和程序要求，强调抽样评审风险及评审判定原则；</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d.</w:t>
      </w:r>
      <w:r>
        <w:rPr>
          <w:rFonts w:hint="eastAsia" w:ascii="仿宋_GB2312" w:eastAsia="仿宋_GB2312"/>
          <w:color w:val="auto"/>
          <w:sz w:val="32"/>
          <w:szCs w:val="32"/>
          <w:highlight w:val="none"/>
        </w:rPr>
        <w:t>检测机构负责人向评审组介绍机构概况、主要人员及迎审工作情况，并做好评审配合工作。</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17.现场核查</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17.1</w:t>
      </w:r>
      <w:r>
        <w:rPr>
          <w:rFonts w:hint="eastAsia" w:ascii="仿宋_GB2312" w:eastAsia="仿宋_GB2312"/>
          <w:color w:val="auto"/>
          <w:sz w:val="32"/>
          <w:szCs w:val="32"/>
          <w:highlight w:val="none"/>
        </w:rPr>
        <w:t>首次会议结束后，评审组</w:t>
      </w:r>
      <w:r>
        <w:rPr>
          <w:rFonts w:hint="eastAsia" w:ascii="仿宋_GB2312" w:eastAsia="仿宋_GB2312"/>
          <w:color w:val="auto"/>
          <w:sz w:val="32"/>
          <w:szCs w:val="32"/>
          <w:highlight w:val="none"/>
          <w:lang w:val="en-US" w:eastAsia="zh-CN"/>
        </w:rPr>
        <w:t>应按照评审计划</w:t>
      </w:r>
      <w:r>
        <w:rPr>
          <w:rFonts w:hint="eastAsia" w:ascii="仿宋_GB2312" w:eastAsia="仿宋_GB2312"/>
          <w:color w:val="auto"/>
          <w:sz w:val="32"/>
          <w:szCs w:val="32"/>
          <w:highlight w:val="none"/>
        </w:rPr>
        <w:t>进行现场核查。</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17.2</w:t>
      </w:r>
      <w:r>
        <w:rPr>
          <w:rFonts w:hint="eastAsia" w:ascii="仿宋_GB2312" w:eastAsia="仿宋_GB2312"/>
          <w:color w:val="auto"/>
          <w:sz w:val="32"/>
          <w:szCs w:val="32"/>
          <w:highlight w:val="none"/>
        </w:rPr>
        <w:t>评审组应</w:t>
      </w:r>
      <w:r>
        <w:rPr>
          <w:rFonts w:hint="eastAsia" w:ascii="仿宋_GB2312" w:eastAsia="仿宋_GB2312"/>
          <w:color w:val="auto"/>
          <w:sz w:val="32"/>
          <w:szCs w:val="32"/>
          <w:highlight w:val="none"/>
          <w:lang w:val="en-US" w:eastAsia="zh-CN"/>
        </w:rPr>
        <w:t>核查</w:t>
      </w:r>
      <w:r>
        <w:rPr>
          <w:rFonts w:hint="eastAsia" w:ascii="仿宋_GB2312" w:eastAsia="仿宋_GB2312"/>
          <w:color w:val="auto"/>
          <w:sz w:val="32"/>
          <w:szCs w:val="32"/>
          <w:highlight w:val="none"/>
        </w:rPr>
        <w:t>检测机构</w:t>
      </w:r>
      <w:r>
        <w:rPr>
          <w:rFonts w:hint="eastAsia" w:ascii="仿宋_GB2312" w:eastAsia="仿宋_GB2312"/>
          <w:color w:val="auto"/>
          <w:sz w:val="32"/>
          <w:szCs w:val="32"/>
          <w:highlight w:val="none"/>
          <w:lang w:val="en-US" w:eastAsia="zh-CN"/>
        </w:rPr>
        <w:t>申报资料</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lang w:val="en-US" w:eastAsia="zh-CN"/>
        </w:rPr>
        <w:t>真实性</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并根据申报资料</w:t>
      </w:r>
      <w:r>
        <w:rPr>
          <w:rFonts w:hint="eastAsia" w:ascii="仿宋_GB2312" w:eastAsia="仿宋_GB2312"/>
          <w:color w:val="auto"/>
          <w:sz w:val="32"/>
          <w:szCs w:val="32"/>
          <w:highlight w:val="none"/>
        </w:rPr>
        <w:t>核查检测机构人员（数量、职称、注册情况、工作经历等）、场所环境、设备设施、样品管理、操作规程、体系运行、安全防护</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环境保护和检测参数开展情况等是否一致且满足要求。</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17.3</w:t>
      </w:r>
      <w:r>
        <w:rPr>
          <w:rFonts w:hint="eastAsia" w:ascii="仿宋_GB2312" w:eastAsia="仿宋_GB2312"/>
          <w:color w:val="auto"/>
          <w:sz w:val="32"/>
          <w:szCs w:val="32"/>
          <w:highlight w:val="none"/>
        </w:rPr>
        <w:t>评审组现场核查内容应包括：</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a.</w:t>
      </w:r>
      <w:r>
        <w:rPr>
          <w:rFonts w:hint="eastAsia" w:ascii="仿宋_GB2312" w:eastAsia="仿宋_GB2312"/>
          <w:color w:val="auto"/>
          <w:sz w:val="32"/>
          <w:szCs w:val="32"/>
          <w:highlight w:val="none"/>
        </w:rPr>
        <w:t>检测机构资历和信誉是否满足《资质标准》的要求；</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检测设备设施是否齐全，检测设备仪器功能、量程、精度、配套设备设施是否满足所申请专项资质的全部必备检测参数</w:t>
      </w:r>
      <w:r>
        <w:rPr>
          <w:rFonts w:hint="eastAsia" w:ascii="仿宋_GB2312" w:eastAsia="仿宋_GB2312"/>
          <w:color w:val="auto"/>
          <w:sz w:val="32"/>
          <w:szCs w:val="32"/>
          <w:highlight w:val="none"/>
          <w:lang w:val="en" w:eastAsia="zh-CN"/>
        </w:rPr>
        <w:t>以及申请的可选参数</w:t>
      </w:r>
      <w:r>
        <w:rPr>
          <w:rFonts w:hint="eastAsia" w:ascii="仿宋_GB2312" w:eastAsia="仿宋_GB2312"/>
          <w:color w:val="auto"/>
          <w:sz w:val="32"/>
          <w:szCs w:val="32"/>
          <w:highlight w:val="none"/>
        </w:rPr>
        <w:t>要求。</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w:t>
      </w:r>
      <w:r>
        <w:rPr>
          <w:rFonts w:hint="eastAsia" w:ascii="仿宋_GB2312" w:eastAsia="仿宋_GB2312"/>
          <w:color w:val="auto"/>
          <w:sz w:val="32"/>
          <w:szCs w:val="32"/>
          <w:highlight w:val="none"/>
        </w:rPr>
        <w:t>检测机构所有仪器设备是否具有所有权；主要仪器设备的管理档案、标识、使用记录、维护维修记录、检定/校准记录等是否完整、规范。</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 w:hAnsi="仿宋" w:eastAsia="仿宋" w:cs="仿宋"/>
          <w:color w:val="auto"/>
          <w:sz w:val="32"/>
          <w:szCs w:val="32"/>
          <w:highlight w:val="none"/>
        </w:rPr>
      </w:pPr>
      <w:r>
        <w:rPr>
          <w:rFonts w:hint="eastAsia" w:ascii="仿宋_GB2312" w:eastAsia="仿宋_GB2312"/>
          <w:color w:val="auto"/>
          <w:sz w:val="32"/>
          <w:szCs w:val="32"/>
          <w:highlight w:val="none"/>
          <w:lang w:val="en-US" w:eastAsia="zh-CN"/>
        </w:rPr>
        <w:t>d.</w:t>
      </w:r>
      <w:r>
        <w:rPr>
          <w:rFonts w:hint="eastAsia" w:ascii="仿宋_GB2312" w:eastAsia="仿宋_GB2312"/>
          <w:color w:val="auto"/>
          <w:sz w:val="32"/>
          <w:szCs w:val="32"/>
          <w:highlight w:val="none"/>
        </w:rPr>
        <w:t>检测场所不动产权属证书或者租赁合同是否有效</w:t>
      </w:r>
      <w:r>
        <w:rPr>
          <w:rFonts w:hint="eastAsia" w:ascii="仿宋" w:hAnsi="仿宋" w:eastAsia="仿宋" w:cs="仿宋"/>
          <w:color w:val="auto"/>
          <w:sz w:val="32"/>
          <w:szCs w:val="32"/>
          <w:highlight w:val="none"/>
        </w:rPr>
        <w:t>；</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e.</w:t>
      </w:r>
      <w:r>
        <w:rPr>
          <w:rFonts w:hint="eastAsia" w:ascii="仿宋_GB2312" w:eastAsia="仿宋_GB2312"/>
          <w:color w:val="auto"/>
          <w:sz w:val="32"/>
          <w:szCs w:val="32"/>
          <w:highlight w:val="none"/>
        </w:rPr>
        <w:t>检测机构</w:t>
      </w:r>
      <w:r>
        <w:rPr>
          <w:rFonts w:hint="eastAsia" w:ascii="仿宋_GB2312" w:eastAsia="仿宋_GB2312"/>
          <w:color w:val="auto"/>
          <w:sz w:val="32"/>
          <w:szCs w:val="32"/>
          <w:highlight w:val="none"/>
          <w:lang w:val="en-US" w:eastAsia="zh-CN"/>
        </w:rPr>
        <w:t>技术人员</w:t>
      </w:r>
      <w:r>
        <w:rPr>
          <w:rFonts w:hint="eastAsia" w:ascii="仿宋_GB2312" w:eastAsia="仿宋_GB2312"/>
          <w:color w:val="auto"/>
          <w:sz w:val="32"/>
          <w:szCs w:val="32"/>
          <w:highlight w:val="none"/>
        </w:rPr>
        <w:t>签订的劳动（聘用）合同和办理的社会保险是否齐全、规范、有效，社会保险应连续缴纳3个月以上；</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f.</w:t>
      </w:r>
      <w:r>
        <w:rPr>
          <w:rFonts w:hint="eastAsia" w:ascii="仿宋_GB2312" w:eastAsia="仿宋_GB2312"/>
          <w:color w:val="auto"/>
          <w:sz w:val="32"/>
          <w:szCs w:val="32"/>
          <w:highlight w:val="none"/>
        </w:rPr>
        <w:t>检测机构参加能力验证或比对实验的计划和实施情况，重点关注能力验证或比对试验的结果；</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g.</w:t>
      </w:r>
      <w:r>
        <w:rPr>
          <w:rFonts w:hint="eastAsia" w:ascii="仿宋_GB2312" w:eastAsia="仿宋_GB2312"/>
          <w:color w:val="auto"/>
          <w:sz w:val="32"/>
          <w:szCs w:val="32"/>
          <w:highlight w:val="none"/>
        </w:rPr>
        <w:t>检测机构所申请检测参数检测报告的符合性；</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h.</w:t>
      </w:r>
      <w:r>
        <w:rPr>
          <w:rFonts w:hint="eastAsia" w:ascii="仿宋_GB2312" w:eastAsia="仿宋_GB2312"/>
          <w:color w:val="auto"/>
          <w:sz w:val="32"/>
          <w:szCs w:val="32"/>
          <w:highlight w:val="none"/>
        </w:rPr>
        <w:t>检测机构管理体系文件是否按现行有效的标准、规范进行及时更新。</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对于设立多个检测场所的检测机构，评审组可</w:t>
      </w:r>
      <w:r>
        <w:rPr>
          <w:rFonts w:hint="eastAsia" w:ascii="仿宋_GB2312" w:eastAsia="仿宋_GB2312"/>
          <w:color w:val="auto"/>
          <w:sz w:val="32"/>
          <w:szCs w:val="32"/>
          <w:highlight w:val="none"/>
          <w:lang w:val="en-US" w:eastAsia="zh-CN"/>
        </w:rPr>
        <w:t>指定</w:t>
      </w:r>
      <w:r>
        <w:rPr>
          <w:rFonts w:hint="eastAsia" w:ascii="仿宋_GB2312" w:eastAsia="仿宋_GB2312"/>
          <w:color w:val="auto"/>
          <w:sz w:val="32"/>
          <w:szCs w:val="32"/>
          <w:highlight w:val="none"/>
        </w:rPr>
        <w:t>专家分别负责不同检测场所的现场核查。</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18.现场试验操作考核</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18.1评审</w:t>
      </w:r>
      <w:r>
        <w:rPr>
          <w:rFonts w:hint="eastAsia" w:ascii="仿宋_GB2312" w:hAnsi="宋体" w:eastAsia="仿宋_GB2312" w:cs="宋体"/>
          <w:b w:val="0"/>
          <w:bCs w:val="0"/>
          <w:color w:val="auto"/>
          <w:kern w:val="0"/>
          <w:sz w:val="32"/>
          <w:szCs w:val="32"/>
          <w:highlight w:val="none"/>
        </w:rPr>
        <w:t>组长可根据现场</w:t>
      </w:r>
      <w:r>
        <w:rPr>
          <w:rFonts w:hint="eastAsia" w:ascii="仿宋_GB2312" w:hAnsi="宋体" w:eastAsia="仿宋_GB2312" w:cs="宋体"/>
          <w:b w:val="0"/>
          <w:bCs w:val="0"/>
          <w:color w:val="auto"/>
          <w:kern w:val="0"/>
          <w:sz w:val="32"/>
          <w:szCs w:val="32"/>
          <w:highlight w:val="none"/>
          <w:lang w:eastAsia="zh-CN"/>
        </w:rPr>
        <w:t>核查</w:t>
      </w:r>
      <w:r>
        <w:rPr>
          <w:rFonts w:hint="eastAsia" w:ascii="仿宋_GB2312" w:hAnsi="宋体" w:eastAsia="仿宋_GB2312" w:cs="宋体"/>
          <w:b w:val="0"/>
          <w:bCs w:val="0"/>
          <w:color w:val="auto"/>
          <w:kern w:val="0"/>
          <w:sz w:val="32"/>
          <w:szCs w:val="32"/>
          <w:highlight w:val="none"/>
        </w:rPr>
        <w:t>情况完善评审安排</w:t>
      </w: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lang w:val="en-US" w:eastAsia="zh-CN"/>
        </w:rPr>
        <w:t>按</w:t>
      </w:r>
      <w:r>
        <w:rPr>
          <w:rFonts w:hint="eastAsia" w:ascii="仿宋_GB2312" w:hAnsi="宋体" w:eastAsia="仿宋_GB2312" w:cs="宋体"/>
          <w:b w:val="0"/>
          <w:bCs w:val="0"/>
          <w:color w:val="auto"/>
          <w:kern w:val="0"/>
          <w:sz w:val="32"/>
          <w:szCs w:val="32"/>
          <w:highlight w:val="none"/>
        </w:rPr>
        <w:t>实际情况调整原拟定的技术能力考核方式</w:t>
      </w: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rPr>
        <w:t>现场试验项目及试验要求，并与</w:t>
      </w:r>
      <w:r>
        <w:rPr>
          <w:rFonts w:hint="eastAsia" w:ascii="仿宋_GB2312" w:hAnsi="宋体" w:eastAsia="仿宋_GB2312" w:cs="宋体"/>
          <w:b w:val="0"/>
          <w:bCs w:val="0"/>
          <w:color w:val="auto"/>
          <w:kern w:val="0"/>
          <w:sz w:val="32"/>
          <w:szCs w:val="32"/>
          <w:highlight w:val="none"/>
          <w:lang w:eastAsia="zh-CN"/>
        </w:rPr>
        <w:t>被评审</w:t>
      </w:r>
      <w:r>
        <w:rPr>
          <w:rFonts w:hint="eastAsia" w:ascii="仿宋_GB2312" w:hAnsi="宋体" w:eastAsia="仿宋_GB2312" w:cs="宋体"/>
          <w:b w:val="0"/>
          <w:bCs w:val="0"/>
          <w:color w:val="auto"/>
          <w:kern w:val="0"/>
          <w:sz w:val="32"/>
          <w:szCs w:val="32"/>
          <w:highlight w:val="none"/>
        </w:rPr>
        <w:t>机构沟通后确认。现场试验项目须进行书面委托，明确每个项目的试验要求。</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18.2</w:t>
      </w:r>
      <w:r>
        <w:rPr>
          <w:rFonts w:hint="eastAsia" w:ascii="仿宋_GB2312" w:hAnsi="宋体" w:eastAsia="仿宋_GB2312" w:cs="宋体"/>
          <w:b w:val="0"/>
          <w:bCs w:val="0"/>
          <w:color w:val="auto"/>
          <w:kern w:val="0"/>
          <w:sz w:val="32"/>
          <w:szCs w:val="32"/>
          <w:highlight w:val="none"/>
        </w:rPr>
        <w:t>现场试验重点考核内容如下：</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eastAsia="仿宋_GB2312"/>
          <w:b w:val="0"/>
          <w:bCs w:val="0"/>
          <w:color w:val="auto"/>
          <w:sz w:val="32"/>
          <w:szCs w:val="32"/>
          <w:highlight w:val="none"/>
        </w:rPr>
      </w:pPr>
      <w:r>
        <w:rPr>
          <w:rFonts w:hint="eastAsia" w:ascii="仿宋_GB2312" w:hAnsi="宋体" w:eastAsia="仿宋_GB2312" w:cs="宋体"/>
          <w:b w:val="0"/>
          <w:bCs w:val="0"/>
          <w:color w:val="auto"/>
          <w:kern w:val="0"/>
          <w:sz w:val="32"/>
          <w:szCs w:val="32"/>
          <w:highlight w:val="none"/>
          <w:lang w:val="en-US" w:eastAsia="zh-CN"/>
        </w:rPr>
        <w:t>a.</w:t>
      </w:r>
      <w:r>
        <w:rPr>
          <w:rFonts w:hint="eastAsia" w:ascii="仿宋_GB2312" w:hAnsi="宋体" w:eastAsia="仿宋_GB2312" w:cs="宋体"/>
          <w:b w:val="0"/>
          <w:bCs w:val="0"/>
          <w:color w:val="auto"/>
          <w:kern w:val="0"/>
          <w:sz w:val="32"/>
          <w:szCs w:val="32"/>
          <w:highlight w:val="none"/>
        </w:rPr>
        <w:t>检测人员是否与所</w:t>
      </w:r>
      <w:r>
        <w:rPr>
          <w:rFonts w:hint="eastAsia" w:ascii="仿宋_GB2312" w:eastAsia="仿宋_GB2312"/>
          <w:b w:val="0"/>
          <w:bCs w:val="0"/>
          <w:color w:val="auto"/>
          <w:sz w:val="32"/>
          <w:szCs w:val="32"/>
          <w:highlight w:val="none"/>
        </w:rPr>
        <w:t>申报技术人员配置表相对应；</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b.</w:t>
      </w:r>
      <w:r>
        <w:rPr>
          <w:rFonts w:hint="eastAsia" w:ascii="仿宋_GB2312" w:hAnsi="宋体" w:eastAsia="仿宋_GB2312" w:cs="宋体"/>
          <w:b w:val="0"/>
          <w:bCs w:val="0"/>
          <w:color w:val="auto"/>
          <w:kern w:val="0"/>
          <w:sz w:val="32"/>
          <w:szCs w:val="32"/>
          <w:highlight w:val="none"/>
        </w:rPr>
        <w:t>检测人员实际操作过程是否完整、规范、熟练；</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c.</w:t>
      </w:r>
      <w:r>
        <w:rPr>
          <w:rFonts w:hint="eastAsia" w:ascii="仿宋_GB2312" w:hAnsi="宋体" w:eastAsia="仿宋_GB2312" w:cs="宋体"/>
          <w:b w:val="0"/>
          <w:bCs w:val="0"/>
          <w:color w:val="auto"/>
          <w:kern w:val="0"/>
          <w:sz w:val="32"/>
          <w:szCs w:val="32"/>
          <w:highlight w:val="none"/>
        </w:rPr>
        <w:t>随机抽查提问，确定检测人员相关检测知识是否扎实；</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d.</w:t>
      </w:r>
      <w:r>
        <w:rPr>
          <w:rFonts w:hint="eastAsia" w:ascii="仿宋_GB2312" w:hAnsi="宋体" w:eastAsia="仿宋_GB2312" w:cs="宋体"/>
          <w:b w:val="0"/>
          <w:bCs w:val="0"/>
          <w:color w:val="auto"/>
          <w:kern w:val="0"/>
          <w:sz w:val="32"/>
          <w:szCs w:val="32"/>
          <w:highlight w:val="none"/>
        </w:rPr>
        <w:t>现场试验操作考核检测数据原始记录和所出具的检测报告是否完整、规范。</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18</w:t>
      </w:r>
      <w:r>
        <w:rPr>
          <w:rFonts w:hint="eastAsia"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lang w:val="en-US" w:eastAsia="zh-CN"/>
        </w:rPr>
        <w:t>3评审</w:t>
      </w:r>
      <w:r>
        <w:rPr>
          <w:rFonts w:hint="eastAsia" w:ascii="仿宋_GB2312" w:hAnsi="宋体" w:eastAsia="仿宋_GB2312" w:cs="宋体"/>
          <w:b w:val="0"/>
          <w:bCs w:val="0"/>
          <w:color w:val="auto"/>
          <w:kern w:val="0"/>
          <w:sz w:val="32"/>
          <w:szCs w:val="32"/>
          <w:highlight w:val="none"/>
        </w:rPr>
        <w:t>专家</w:t>
      </w:r>
      <w:r>
        <w:rPr>
          <w:rFonts w:hint="eastAsia" w:ascii="仿宋_GB2312" w:hAnsi="宋体" w:eastAsia="仿宋_GB2312" w:cs="宋体"/>
          <w:b w:val="0"/>
          <w:bCs w:val="0"/>
          <w:color w:val="auto"/>
          <w:kern w:val="0"/>
          <w:sz w:val="32"/>
          <w:szCs w:val="32"/>
          <w:highlight w:val="none"/>
          <w:lang w:val="en-US" w:eastAsia="zh-CN"/>
        </w:rPr>
        <w:t>在</w:t>
      </w:r>
      <w:r>
        <w:rPr>
          <w:rFonts w:hint="eastAsia" w:ascii="仿宋_GB2312" w:hAnsi="宋体" w:eastAsia="仿宋_GB2312" w:cs="宋体"/>
          <w:b w:val="0"/>
          <w:bCs w:val="0"/>
          <w:color w:val="auto"/>
          <w:kern w:val="0"/>
          <w:sz w:val="32"/>
          <w:szCs w:val="32"/>
          <w:highlight w:val="none"/>
        </w:rPr>
        <w:t>现场试验</w:t>
      </w:r>
      <w:r>
        <w:rPr>
          <w:rFonts w:hint="eastAsia" w:ascii="仿宋_GB2312" w:hAnsi="宋体" w:eastAsia="仿宋_GB2312" w:cs="宋体"/>
          <w:b w:val="0"/>
          <w:bCs w:val="0"/>
          <w:color w:val="auto"/>
          <w:kern w:val="0"/>
          <w:sz w:val="32"/>
          <w:szCs w:val="32"/>
          <w:highlight w:val="none"/>
          <w:lang w:val="en-US" w:eastAsia="zh-CN"/>
        </w:rPr>
        <w:t>考核</w:t>
      </w:r>
      <w:r>
        <w:rPr>
          <w:rFonts w:hint="eastAsia" w:ascii="仿宋_GB2312" w:hAnsi="宋体" w:eastAsia="仿宋_GB2312" w:cs="宋体"/>
          <w:b w:val="0"/>
          <w:bCs w:val="0"/>
          <w:color w:val="auto"/>
          <w:kern w:val="0"/>
          <w:sz w:val="32"/>
          <w:szCs w:val="32"/>
          <w:highlight w:val="none"/>
        </w:rPr>
        <w:t>时应：</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a</w:t>
      </w:r>
      <w:r>
        <w:rPr>
          <w:rFonts w:hint="eastAsia"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lang w:val="en-US" w:eastAsia="zh-CN"/>
        </w:rPr>
        <w:t>观察样品信息及状态；</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b</w:t>
      </w:r>
      <w:r>
        <w:rPr>
          <w:rFonts w:hint="eastAsia"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lang w:val="en-US" w:eastAsia="zh-CN"/>
        </w:rPr>
        <w:t>见证</w:t>
      </w:r>
      <w:r>
        <w:rPr>
          <w:rFonts w:hint="eastAsia" w:ascii="仿宋_GB2312" w:hAnsi="宋体" w:eastAsia="仿宋_GB2312" w:cs="宋体"/>
          <w:b w:val="0"/>
          <w:bCs w:val="0"/>
          <w:color w:val="auto"/>
          <w:kern w:val="0"/>
          <w:sz w:val="32"/>
          <w:szCs w:val="32"/>
          <w:highlight w:val="none"/>
        </w:rPr>
        <w:t>关键试验过程；</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c</w:t>
      </w:r>
      <w:r>
        <w:rPr>
          <w:rFonts w:hint="eastAsia" w:ascii="仿宋_GB2312" w:hAnsi="宋体" w:eastAsia="仿宋_GB2312" w:cs="宋体"/>
          <w:b w:val="0"/>
          <w:bCs w:val="0"/>
          <w:color w:val="auto"/>
          <w:kern w:val="0"/>
          <w:sz w:val="32"/>
          <w:szCs w:val="32"/>
          <w:highlight w:val="none"/>
        </w:rPr>
        <w:t>.观察试验设备和试验环境；</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d</w:t>
      </w:r>
      <w:r>
        <w:rPr>
          <w:rFonts w:hint="eastAsia" w:ascii="仿宋_GB2312" w:hAnsi="宋体" w:eastAsia="仿宋_GB2312" w:cs="宋体"/>
          <w:b w:val="0"/>
          <w:bCs w:val="0"/>
          <w:color w:val="auto"/>
          <w:kern w:val="0"/>
          <w:sz w:val="32"/>
          <w:szCs w:val="32"/>
          <w:highlight w:val="none"/>
        </w:rPr>
        <w:t>.对试验人员提问相关技术问题</w:t>
      </w:r>
      <w:r>
        <w:rPr>
          <w:rFonts w:hint="eastAsia" w:ascii="仿宋_GB2312" w:hAnsi="宋体" w:eastAsia="仿宋_GB2312" w:cs="宋体"/>
          <w:b w:val="0"/>
          <w:bCs w:val="0"/>
          <w:color w:val="auto"/>
          <w:kern w:val="0"/>
          <w:sz w:val="32"/>
          <w:szCs w:val="32"/>
          <w:highlight w:val="none"/>
          <w:lang w:eastAsia="zh-CN"/>
        </w:rPr>
        <w:t>；</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e</w:t>
      </w:r>
      <w:r>
        <w:rPr>
          <w:rFonts w:hint="eastAsia"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lang w:val="en-US" w:eastAsia="zh-CN"/>
        </w:rPr>
        <w:t>关注其它应考核的内容</w:t>
      </w:r>
      <w:r>
        <w:rPr>
          <w:rFonts w:hint="eastAsia" w:ascii="仿宋_GB2312" w:hAnsi="宋体" w:eastAsia="仿宋_GB2312" w:cs="宋体"/>
          <w:b w:val="0"/>
          <w:bCs w:val="0"/>
          <w:color w:val="auto"/>
          <w:kern w:val="0"/>
          <w:sz w:val="32"/>
          <w:szCs w:val="32"/>
          <w:highlight w:val="none"/>
        </w:rPr>
        <w:t>。</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18.4</w:t>
      </w:r>
      <w:r>
        <w:rPr>
          <w:rFonts w:hint="eastAsia" w:ascii="仿宋_GB2312" w:hAnsi="宋体" w:eastAsia="仿宋_GB2312" w:cs="宋体"/>
          <w:b w:val="0"/>
          <w:bCs w:val="0"/>
          <w:color w:val="auto"/>
          <w:kern w:val="0"/>
          <w:sz w:val="32"/>
          <w:szCs w:val="32"/>
          <w:highlight w:val="none"/>
        </w:rPr>
        <w:t>对耗时较长的检测项目，评审组可针对部分重要检测参数或关键试验过程进行考核，</w:t>
      </w:r>
      <w:r>
        <w:rPr>
          <w:rFonts w:hint="eastAsia" w:ascii="仿宋_GB2312" w:hAnsi="宋体" w:eastAsia="仿宋_GB2312" w:cs="宋体"/>
          <w:b w:val="0"/>
          <w:bCs w:val="0"/>
          <w:color w:val="auto"/>
          <w:kern w:val="0"/>
          <w:sz w:val="32"/>
          <w:szCs w:val="32"/>
          <w:highlight w:val="none"/>
          <w:lang w:val="en-US" w:eastAsia="zh-CN"/>
        </w:rPr>
        <w:t>或</w:t>
      </w:r>
      <w:r>
        <w:rPr>
          <w:rFonts w:hint="eastAsia" w:ascii="仿宋_GB2312" w:hAnsi="宋体" w:eastAsia="仿宋_GB2312" w:cs="宋体"/>
          <w:b w:val="0"/>
          <w:bCs w:val="0"/>
          <w:color w:val="auto"/>
          <w:kern w:val="0"/>
          <w:sz w:val="32"/>
          <w:szCs w:val="32"/>
          <w:highlight w:val="none"/>
        </w:rPr>
        <w:t>通过现场提问、重要步骤演示等方式进行能力确认。</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b w:val="0"/>
          <w:bCs w:val="0"/>
          <w:color w:val="auto"/>
          <w:kern w:val="0"/>
          <w:sz w:val="32"/>
          <w:szCs w:val="32"/>
          <w:highlight w:val="none"/>
          <w:lang w:val="en-US" w:eastAsia="zh-CN"/>
        </w:rPr>
      </w:pPr>
      <w:r>
        <w:rPr>
          <w:rFonts w:hint="eastAsia" w:ascii="仿宋_GB2312" w:hAnsi="宋体" w:eastAsia="仿宋_GB2312" w:cs="宋体"/>
          <w:b w:val="0"/>
          <w:bCs w:val="0"/>
          <w:color w:val="auto"/>
          <w:kern w:val="0"/>
          <w:sz w:val="32"/>
          <w:szCs w:val="32"/>
          <w:highlight w:val="none"/>
          <w:lang w:val="en-US" w:eastAsia="zh-CN"/>
        </w:rPr>
        <w:t>18</w:t>
      </w:r>
      <w:r>
        <w:rPr>
          <w:rFonts w:hint="eastAsia"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lang w:val="en-US" w:eastAsia="zh-CN"/>
        </w:rPr>
        <w:t>5</w:t>
      </w:r>
      <w:r>
        <w:rPr>
          <w:rFonts w:hint="eastAsia" w:ascii="仿宋_GB2312" w:hAnsi="宋体" w:eastAsia="仿宋_GB2312" w:cs="宋体"/>
          <w:b w:val="0"/>
          <w:bCs w:val="0"/>
          <w:color w:val="auto"/>
          <w:kern w:val="0"/>
          <w:sz w:val="32"/>
          <w:szCs w:val="32"/>
          <w:highlight w:val="none"/>
        </w:rPr>
        <w:t>现场试验应尽可能</w:t>
      </w:r>
      <w:r>
        <w:rPr>
          <w:rFonts w:hint="eastAsia" w:ascii="仿宋_GB2312" w:hAnsi="宋体" w:eastAsia="仿宋_GB2312" w:cs="宋体"/>
          <w:b w:val="0"/>
          <w:bCs w:val="0"/>
          <w:color w:val="auto"/>
          <w:kern w:val="0"/>
          <w:sz w:val="32"/>
          <w:szCs w:val="32"/>
          <w:highlight w:val="none"/>
          <w:lang w:val="en-US" w:eastAsia="zh-CN"/>
        </w:rPr>
        <w:t>利用</w:t>
      </w:r>
      <w:r>
        <w:rPr>
          <w:rFonts w:hint="eastAsia" w:ascii="仿宋_GB2312" w:hAnsi="宋体" w:eastAsia="仿宋_GB2312" w:cs="宋体"/>
          <w:b w:val="0"/>
          <w:bCs w:val="0"/>
          <w:color w:val="auto"/>
          <w:kern w:val="0"/>
          <w:sz w:val="32"/>
          <w:szCs w:val="32"/>
          <w:highlight w:val="none"/>
          <w:lang w:eastAsia="zh-CN"/>
        </w:rPr>
        <w:t>被评审</w:t>
      </w:r>
      <w:r>
        <w:rPr>
          <w:rFonts w:hint="eastAsia" w:ascii="仿宋_GB2312" w:hAnsi="宋体" w:eastAsia="仿宋_GB2312" w:cs="宋体"/>
          <w:b w:val="0"/>
          <w:bCs w:val="0"/>
          <w:color w:val="auto"/>
          <w:kern w:val="0"/>
          <w:sz w:val="32"/>
          <w:szCs w:val="32"/>
          <w:highlight w:val="none"/>
        </w:rPr>
        <w:t>机构正在进行的检测活动进行，</w:t>
      </w:r>
      <w:r>
        <w:rPr>
          <w:rFonts w:hint="eastAsia" w:ascii="仿宋_GB2312" w:eastAsia="仿宋_GB2312"/>
          <w:b w:val="0"/>
          <w:bCs w:val="0"/>
          <w:color w:val="auto"/>
          <w:kern w:val="0"/>
          <w:sz w:val="32"/>
          <w:szCs w:val="32"/>
          <w:highlight w:val="none"/>
        </w:rPr>
        <w:t>可选择盲样考核、人员比对、设备比对、样品复测、</w:t>
      </w:r>
      <w:r>
        <w:rPr>
          <w:rFonts w:hint="eastAsia" w:ascii="仿宋_GB2312" w:eastAsia="仿宋_GB2312"/>
          <w:b w:val="0"/>
          <w:bCs w:val="0"/>
          <w:color w:val="auto"/>
          <w:kern w:val="0"/>
          <w:sz w:val="32"/>
          <w:szCs w:val="32"/>
          <w:highlight w:val="none"/>
          <w:lang w:eastAsia="zh-CN"/>
        </w:rPr>
        <w:t>常规试验</w:t>
      </w:r>
      <w:r>
        <w:rPr>
          <w:rFonts w:hint="eastAsia" w:ascii="仿宋_GB2312" w:eastAsia="仿宋_GB2312"/>
          <w:b w:val="0"/>
          <w:bCs w:val="0"/>
          <w:color w:val="auto"/>
          <w:kern w:val="0"/>
          <w:sz w:val="32"/>
          <w:szCs w:val="32"/>
          <w:highlight w:val="none"/>
        </w:rPr>
        <w:t>等</w:t>
      </w:r>
      <w:r>
        <w:rPr>
          <w:rFonts w:hint="eastAsia" w:ascii="仿宋_GB2312" w:eastAsia="仿宋_GB2312"/>
          <w:b w:val="0"/>
          <w:bCs w:val="0"/>
          <w:color w:val="auto"/>
          <w:kern w:val="0"/>
          <w:sz w:val="32"/>
          <w:szCs w:val="32"/>
          <w:highlight w:val="none"/>
          <w:lang w:val="en-US" w:eastAsia="zh-CN"/>
        </w:rPr>
        <w:t>考核形式。</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18</w:t>
      </w:r>
      <w:r>
        <w:rPr>
          <w:rFonts w:hint="eastAsia" w:ascii="仿宋_GB2312" w:hAnsi="宋体" w:eastAsia="仿宋_GB2312" w:cs="宋体"/>
          <w:b w:val="0"/>
          <w:bCs w:val="0"/>
          <w:color w:val="auto"/>
          <w:kern w:val="0"/>
          <w:sz w:val="32"/>
          <w:szCs w:val="32"/>
          <w:highlight w:val="none"/>
        </w:rPr>
        <w:t>.</w:t>
      </w:r>
      <w:r>
        <w:rPr>
          <w:rFonts w:hint="eastAsia" w:ascii="仿宋_GB2312" w:hAnsi="宋体" w:eastAsia="仿宋_GB2312" w:cs="宋体"/>
          <w:b w:val="0"/>
          <w:bCs w:val="0"/>
          <w:color w:val="auto"/>
          <w:kern w:val="0"/>
          <w:sz w:val="32"/>
          <w:szCs w:val="32"/>
          <w:highlight w:val="none"/>
          <w:lang w:val="en-US" w:eastAsia="zh-CN"/>
        </w:rPr>
        <w:t>6</w:t>
      </w:r>
      <w:r>
        <w:rPr>
          <w:rFonts w:hint="eastAsia" w:ascii="仿宋_GB2312" w:hAnsi="宋体" w:eastAsia="仿宋_GB2312" w:cs="宋体"/>
          <w:b w:val="0"/>
          <w:bCs w:val="0"/>
          <w:color w:val="auto"/>
          <w:kern w:val="0"/>
          <w:sz w:val="32"/>
          <w:szCs w:val="32"/>
          <w:highlight w:val="none"/>
          <w:lang w:eastAsia="zh-CN"/>
        </w:rPr>
        <w:t>被评审</w:t>
      </w:r>
      <w:r>
        <w:rPr>
          <w:rFonts w:hint="eastAsia" w:ascii="仿宋_GB2312" w:hAnsi="宋体" w:eastAsia="仿宋_GB2312" w:cs="宋体"/>
          <w:b w:val="0"/>
          <w:bCs w:val="0"/>
          <w:color w:val="auto"/>
          <w:kern w:val="0"/>
          <w:sz w:val="32"/>
          <w:szCs w:val="32"/>
          <w:highlight w:val="none"/>
        </w:rPr>
        <w:t>机构应对现场试验项目出具记录和报告。</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eastAsia="仿宋_GB2312"/>
          <w:b w:val="0"/>
          <w:bCs w:val="0"/>
          <w:color w:val="auto"/>
          <w:kern w:val="0"/>
          <w:sz w:val="32"/>
          <w:szCs w:val="32"/>
          <w:highlight w:val="none"/>
          <w:lang w:val="en-US" w:eastAsia="zh-CN"/>
        </w:rPr>
        <w:t>18.7</w:t>
      </w:r>
      <w:r>
        <w:rPr>
          <w:rFonts w:hint="eastAsia" w:ascii="仿宋_GB2312" w:eastAsia="仿宋_GB2312"/>
          <w:b w:val="0"/>
          <w:bCs w:val="0"/>
          <w:color w:val="auto"/>
          <w:kern w:val="0"/>
          <w:sz w:val="32"/>
          <w:szCs w:val="32"/>
          <w:highlight w:val="none"/>
        </w:rPr>
        <w:t>考核所需试样、设</w:t>
      </w:r>
      <w:r>
        <w:rPr>
          <w:rFonts w:hint="eastAsia" w:ascii="仿宋_GB2312" w:eastAsia="仿宋_GB2312"/>
          <w:color w:val="auto"/>
          <w:kern w:val="0"/>
          <w:sz w:val="32"/>
          <w:szCs w:val="32"/>
          <w:highlight w:val="none"/>
        </w:rPr>
        <w:t>备、场地均由检测机构提供。</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19.报告批准人考核</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19.1</w:t>
      </w:r>
      <w:r>
        <w:rPr>
          <w:rFonts w:hint="eastAsia" w:ascii="仿宋_GB2312" w:eastAsia="仿宋_GB2312"/>
          <w:color w:val="auto"/>
          <w:sz w:val="32"/>
          <w:szCs w:val="32"/>
          <w:highlight w:val="none"/>
        </w:rPr>
        <w:t>评审组应采取座谈的方式对报告批准人进行考核，根据考核情况来确定其是否具备相应的能力，对不具备能力的签字范围应进行删减，主要考核内容如下：</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a.</w:t>
      </w:r>
      <w:r>
        <w:rPr>
          <w:rFonts w:hint="eastAsia" w:ascii="仿宋_GB2312" w:eastAsia="仿宋_GB2312"/>
          <w:color w:val="auto"/>
          <w:sz w:val="32"/>
          <w:szCs w:val="32"/>
          <w:highlight w:val="none"/>
        </w:rPr>
        <w:t>报告批准人资历条件与其签字范围是否相吻合；</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报告批准人对其职责、权限、签字范围是否明确；</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w:t>
      </w:r>
      <w:r>
        <w:rPr>
          <w:rFonts w:hint="eastAsia" w:ascii="仿宋_GB2312" w:eastAsia="仿宋_GB2312"/>
          <w:color w:val="auto"/>
          <w:sz w:val="32"/>
          <w:szCs w:val="32"/>
          <w:highlight w:val="none"/>
        </w:rPr>
        <w:t>报告批准人对签字范围内所涉及的检测标准、规范是否理解并掌握；</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d.</w:t>
      </w:r>
      <w:r>
        <w:rPr>
          <w:rFonts w:hint="eastAsia" w:ascii="仿宋_GB2312" w:eastAsia="仿宋_GB2312"/>
          <w:color w:val="auto"/>
          <w:sz w:val="32"/>
          <w:szCs w:val="32"/>
          <w:highlight w:val="none"/>
        </w:rPr>
        <w:t>报告批准人对检测报告形成过程和试验检测过程是否熟悉；</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e.</w:t>
      </w:r>
      <w:r>
        <w:rPr>
          <w:rFonts w:hint="eastAsia" w:ascii="仿宋_GB2312" w:eastAsia="仿宋_GB2312"/>
          <w:color w:val="auto"/>
          <w:sz w:val="32"/>
          <w:szCs w:val="32"/>
          <w:highlight w:val="none"/>
        </w:rPr>
        <w:t>报告批准人在签字范围内对检测结果进行</w:t>
      </w:r>
      <w:r>
        <w:rPr>
          <w:rFonts w:hint="eastAsia" w:ascii="仿宋_GB2312" w:eastAsia="仿宋_GB2312"/>
          <w:strike w:val="0"/>
          <w:dstrike w:val="0"/>
          <w:color w:val="auto"/>
          <w:sz w:val="32"/>
          <w:szCs w:val="32"/>
          <w:highlight w:val="none"/>
          <w:lang w:val="en-US" w:eastAsia="zh-CN"/>
        </w:rPr>
        <w:t>评价判断</w:t>
      </w:r>
      <w:r>
        <w:rPr>
          <w:rFonts w:hint="eastAsia" w:ascii="仿宋_GB2312" w:eastAsia="仿宋_GB2312"/>
          <w:color w:val="auto"/>
          <w:sz w:val="32"/>
          <w:szCs w:val="32"/>
          <w:highlight w:val="none"/>
        </w:rPr>
        <w:t>的能力；</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f.</w:t>
      </w:r>
      <w:r>
        <w:rPr>
          <w:rFonts w:hint="eastAsia" w:ascii="仿宋_GB2312" w:eastAsia="仿宋_GB2312"/>
          <w:color w:val="auto"/>
          <w:sz w:val="32"/>
          <w:szCs w:val="32"/>
          <w:highlight w:val="none"/>
        </w:rPr>
        <w:t>评审组用于确认报告批准人能力的其他方面。</w:t>
      </w:r>
    </w:p>
    <w:p>
      <w:pPr>
        <w:pStyle w:val="12"/>
        <w:keepNext w:val="0"/>
        <w:keepLines w:val="0"/>
        <w:pageBreakBefore w:val="0"/>
        <w:kinsoku/>
        <w:overflowPunct/>
        <w:topLinePunct w:val="0"/>
        <w:autoSpaceDE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19.2</w:t>
      </w:r>
      <w:r>
        <w:rPr>
          <w:rFonts w:hint="eastAsia" w:ascii="仿宋_GB2312" w:eastAsia="仿宋_GB2312"/>
          <w:color w:val="auto"/>
          <w:sz w:val="32"/>
          <w:szCs w:val="32"/>
          <w:highlight w:val="none"/>
        </w:rPr>
        <w:t>当检测机构所申请专项资质报告批准人考核通过的签字范围不能覆盖专项资质全部必备检测参数，则该专项资质评审不通过。</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20.关键岗位人员核查</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ascii="黑体" w:hAnsi="黑体" w:eastAsia="黑体"/>
          <w:color w:val="auto"/>
          <w:sz w:val="32"/>
          <w:szCs w:val="32"/>
          <w:highlight w:val="none"/>
        </w:rPr>
      </w:pPr>
      <w:r>
        <w:rPr>
          <w:rFonts w:hint="eastAsia" w:ascii="仿宋_GB2312" w:eastAsia="仿宋_GB2312"/>
          <w:color w:val="auto"/>
          <w:sz w:val="32"/>
          <w:szCs w:val="32"/>
          <w:highlight w:val="none"/>
        </w:rPr>
        <w:t>对检测机构技术负责人</w:t>
      </w:r>
      <w:r>
        <w:rPr>
          <w:rFonts w:hint="eastAsia" w:ascii="仿宋_GB2312" w:eastAsia="仿宋_GB2312"/>
          <w:color w:val="auto"/>
          <w:sz w:val="32"/>
          <w:szCs w:val="32"/>
          <w:highlight w:val="none"/>
          <w:lang w:val="en-US" w:eastAsia="zh-CN"/>
        </w:rPr>
        <w:t>和</w:t>
      </w:r>
      <w:r>
        <w:rPr>
          <w:rFonts w:hint="eastAsia" w:ascii="仿宋_GB2312" w:eastAsia="仿宋_GB2312"/>
          <w:color w:val="auto"/>
          <w:sz w:val="32"/>
          <w:szCs w:val="32"/>
          <w:highlight w:val="none"/>
        </w:rPr>
        <w:t>质量负责人</w:t>
      </w:r>
      <w:r>
        <w:rPr>
          <w:rFonts w:hint="eastAsia" w:ascii="仿宋_GB2312" w:eastAsia="仿宋_GB2312"/>
          <w:color w:val="auto"/>
          <w:sz w:val="32"/>
          <w:szCs w:val="32"/>
          <w:highlight w:val="none"/>
          <w:lang w:val="en-US" w:eastAsia="zh-CN"/>
        </w:rPr>
        <w:t>等关键岗位人员</w:t>
      </w:r>
      <w:r>
        <w:rPr>
          <w:rFonts w:hint="eastAsia" w:ascii="仿宋_GB2312" w:eastAsia="仿宋_GB2312"/>
          <w:color w:val="auto"/>
          <w:sz w:val="32"/>
          <w:szCs w:val="32"/>
          <w:highlight w:val="none"/>
        </w:rPr>
        <w:t>应重点核查资历条件是否满足资质标准及有关要求。</w:t>
      </w:r>
      <w:r>
        <w:rPr>
          <w:rFonts w:hint="eastAsia" w:ascii="仿宋_GB2312" w:eastAsia="仿宋_GB2312"/>
          <w:color w:val="auto"/>
          <w:sz w:val="32"/>
          <w:szCs w:val="32"/>
          <w:highlight w:val="none"/>
          <w:lang w:val="en-US" w:eastAsia="zh-CN"/>
        </w:rPr>
        <w:t>必要时，可通过</w:t>
      </w:r>
      <w:r>
        <w:rPr>
          <w:rFonts w:hint="eastAsia" w:ascii="仿宋_GB2312" w:eastAsia="仿宋_GB2312"/>
          <w:color w:val="auto"/>
          <w:sz w:val="32"/>
          <w:szCs w:val="32"/>
          <w:highlight w:val="none"/>
        </w:rPr>
        <w:t>座谈问答、场景模拟或书面考试等方式进行</w:t>
      </w:r>
      <w:r>
        <w:rPr>
          <w:rFonts w:hint="eastAsia" w:ascii="仿宋_GB2312" w:eastAsia="仿宋_GB2312"/>
          <w:color w:val="auto"/>
          <w:sz w:val="32"/>
          <w:szCs w:val="32"/>
          <w:highlight w:val="none"/>
          <w:lang w:val="en-US" w:eastAsia="zh-CN"/>
        </w:rPr>
        <w:t>考核</w:t>
      </w:r>
      <w:r>
        <w:rPr>
          <w:rFonts w:hint="eastAsia" w:ascii="仿宋_GB2312" w:eastAsia="仿宋_GB2312"/>
          <w:color w:val="auto"/>
          <w:sz w:val="32"/>
          <w:szCs w:val="32"/>
          <w:highlight w:val="none"/>
        </w:rPr>
        <w:t>。</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21.管理体系核查</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21.1检测机构申请资质时，管理体系应运行不少于3个月，</w:t>
      </w:r>
      <w:r>
        <w:rPr>
          <w:rFonts w:hint="eastAsia" w:ascii="仿宋_GB2312" w:eastAsia="仿宋_GB2312"/>
          <w:color w:val="auto"/>
          <w:sz w:val="32"/>
          <w:szCs w:val="32"/>
          <w:highlight w:val="none"/>
        </w:rPr>
        <w:t>且进行过覆盖</w:t>
      </w:r>
      <w:r>
        <w:rPr>
          <w:rFonts w:hint="eastAsia" w:ascii="仿宋_GB2312" w:eastAsia="仿宋_GB2312"/>
          <w:color w:val="auto"/>
          <w:sz w:val="32"/>
          <w:szCs w:val="32"/>
          <w:highlight w:val="none"/>
          <w:lang w:val="en-US" w:eastAsia="zh-CN"/>
        </w:rPr>
        <w:t>所有</w:t>
      </w:r>
      <w:r>
        <w:rPr>
          <w:rFonts w:hint="eastAsia" w:ascii="仿宋_GB2312" w:eastAsia="仿宋_GB2312"/>
          <w:color w:val="auto"/>
          <w:sz w:val="32"/>
          <w:szCs w:val="32"/>
          <w:highlight w:val="none"/>
        </w:rPr>
        <w:t>场所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活动的内审</w:t>
      </w:r>
      <w:r>
        <w:rPr>
          <w:rFonts w:hint="eastAsia" w:ascii="仿宋_GB2312" w:eastAsia="仿宋_GB2312"/>
          <w:color w:val="auto"/>
          <w:sz w:val="32"/>
          <w:szCs w:val="32"/>
          <w:highlight w:val="none"/>
          <w:lang w:val="en-US" w:eastAsia="zh-CN"/>
        </w:rPr>
        <w:t>和管理评审；新增检测场所的，应开展不少于1次内审活动</w:t>
      </w:r>
      <w:r>
        <w:rPr>
          <w:rFonts w:hint="eastAsia" w:ascii="仿宋_GB2312" w:eastAsia="仿宋_GB2312"/>
          <w:color w:val="auto"/>
          <w:sz w:val="32"/>
          <w:szCs w:val="32"/>
          <w:highlight w:val="none"/>
        </w:rPr>
        <w:t>。</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21.2</w:t>
      </w:r>
      <w:r>
        <w:rPr>
          <w:rFonts w:hint="eastAsia" w:ascii="仿宋_GB2312" w:eastAsia="仿宋_GB2312"/>
          <w:color w:val="auto"/>
          <w:sz w:val="32"/>
          <w:szCs w:val="32"/>
          <w:highlight w:val="none"/>
        </w:rPr>
        <w:t>评审组应依据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管理办法</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《资质标准》及《通用要求》等文件</w:t>
      </w:r>
      <w:r>
        <w:rPr>
          <w:rFonts w:hint="eastAsia" w:ascii="仿宋_GB2312" w:eastAsia="仿宋_GB2312"/>
          <w:color w:val="auto"/>
          <w:sz w:val="32"/>
          <w:szCs w:val="32"/>
          <w:highlight w:val="none"/>
        </w:rPr>
        <w:t>要求</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被评审</w:t>
      </w:r>
      <w:r>
        <w:rPr>
          <w:rFonts w:hint="eastAsia" w:ascii="仿宋_GB2312" w:eastAsia="仿宋_GB2312"/>
          <w:color w:val="auto"/>
          <w:sz w:val="32"/>
          <w:szCs w:val="32"/>
          <w:highlight w:val="none"/>
        </w:rPr>
        <w:t>机构管理体系逐一进行</w:t>
      </w:r>
      <w:r>
        <w:rPr>
          <w:rFonts w:hint="eastAsia" w:ascii="仿宋_GB2312" w:eastAsia="仿宋_GB2312"/>
          <w:color w:val="auto"/>
          <w:sz w:val="32"/>
          <w:szCs w:val="32"/>
          <w:highlight w:val="none"/>
          <w:lang w:val="en-US" w:eastAsia="zh-CN"/>
        </w:rPr>
        <w:t>核</w:t>
      </w:r>
      <w:r>
        <w:rPr>
          <w:rFonts w:hint="eastAsia" w:ascii="仿宋_GB2312" w:eastAsia="仿宋_GB2312"/>
          <w:color w:val="auto"/>
          <w:sz w:val="32"/>
          <w:szCs w:val="32"/>
          <w:highlight w:val="none"/>
        </w:rPr>
        <w:t>查，并重点关注以下内容：</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a.</w:t>
      </w:r>
      <w:r>
        <w:rPr>
          <w:rFonts w:hint="eastAsia" w:ascii="仿宋_GB2312" w:eastAsia="仿宋_GB2312"/>
          <w:color w:val="auto"/>
          <w:sz w:val="32"/>
          <w:szCs w:val="32"/>
          <w:highlight w:val="none"/>
        </w:rPr>
        <w:t xml:space="preserve">机构的环境设施； </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机构独立支配的仪器设备配置情况；</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w:t>
      </w:r>
      <w:r>
        <w:rPr>
          <w:rFonts w:hint="eastAsia" w:ascii="仿宋_GB2312" w:eastAsia="仿宋_GB2312"/>
          <w:color w:val="auto"/>
          <w:sz w:val="32"/>
          <w:szCs w:val="32"/>
          <w:highlight w:val="none"/>
        </w:rPr>
        <w:t>机构仪器设备的量值溯源情况，提供量值溯源服务的机构能力的评价，校准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检定证书的信息；</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d.</w:t>
      </w:r>
      <w:r>
        <w:rPr>
          <w:rFonts w:hint="eastAsia" w:ascii="仿宋_GB2312" w:eastAsia="仿宋_GB2312"/>
          <w:color w:val="auto"/>
          <w:sz w:val="32"/>
          <w:szCs w:val="32"/>
          <w:highlight w:val="none"/>
        </w:rPr>
        <w:t>机构参加能力验证或检测机构间比对活动的计划及实施情况，关注能力验证或检测机构间比对活动的结果；</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e.</w:t>
      </w:r>
      <w:r>
        <w:rPr>
          <w:rFonts w:hint="eastAsia" w:ascii="仿宋_GB2312" w:eastAsia="仿宋_GB2312"/>
          <w:color w:val="auto"/>
          <w:sz w:val="32"/>
          <w:szCs w:val="32"/>
          <w:highlight w:val="none"/>
        </w:rPr>
        <w:t>机构内审和管理评审形成的纠正措施和改进的实施和验证；</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f.</w:t>
      </w:r>
      <w:r>
        <w:rPr>
          <w:rFonts w:hint="eastAsia" w:ascii="仿宋_GB2312" w:eastAsia="仿宋_GB2312"/>
          <w:color w:val="auto"/>
          <w:sz w:val="32"/>
          <w:szCs w:val="32"/>
          <w:highlight w:val="none"/>
        </w:rPr>
        <w:t>机构对人员培训</w:t>
      </w:r>
      <w:r>
        <w:rPr>
          <w:rFonts w:hint="eastAsia" w:ascii="仿宋_GB2312" w:eastAsia="仿宋_GB2312"/>
          <w:strike w:val="0"/>
          <w:dstrike w:val="0"/>
          <w:color w:val="auto"/>
          <w:sz w:val="32"/>
          <w:szCs w:val="32"/>
          <w:highlight w:val="none"/>
        </w:rPr>
        <w:t>计划</w:t>
      </w:r>
      <w:r>
        <w:rPr>
          <w:rFonts w:hint="eastAsia" w:ascii="仿宋_GB2312" w:eastAsia="仿宋_GB2312"/>
          <w:color w:val="auto"/>
          <w:sz w:val="32"/>
          <w:szCs w:val="32"/>
          <w:highlight w:val="none"/>
        </w:rPr>
        <w:t>与机构当前和预期的任务相适应的情况</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以</w:t>
      </w:r>
      <w:r>
        <w:rPr>
          <w:rFonts w:hint="eastAsia" w:ascii="仿宋_GB2312" w:eastAsia="仿宋_GB2312"/>
          <w:strike w:val="0"/>
          <w:dstrike w:val="0"/>
          <w:color w:val="auto"/>
          <w:sz w:val="32"/>
          <w:szCs w:val="32"/>
          <w:highlight w:val="none"/>
        </w:rPr>
        <w:t>及培训实施的有效性评价</w:t>
      </w:r>
      <w:r>
        <w:rPr>
          <w:rFonts w:hint="eastAsia" w:ascii="仿宋_GB2312" w:eastAsia="仿宋_GB2312"/>
          <w:strike w:val="0"/>
          <w:dstrike w:val="0"/>
          <w:color w:val="auto"/>
          <w:sz w:val="32"/>
          <w:szCs w:val="32"/>
          <w:highlight w:val="none"/>
          <w:lang w:eastAsia="zh-CN"/>
        </w:rPr>
        <w:t>；</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g.</w:t>
      </w:r>
      <w:r>
        <w:rPr>
          <w:rFonts w:hint="eastAsia" w:ascii="仿宋_GB2312" w:eastAsia="仿宋_GB2312"/>
          <w:color w:val="auto"/>
          <w:sz w:val="32"/>
          <w:szCs w:val="32"/>
          <w:highlight w:val="none"/>
        </w:rPr>
        <w:t>机构出具记录和报告的符合性；</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h.</w:t>
      </w:r>
      <w:r>
        <w:rPr>
          <w:rFonts w:hint="eastAsia" w:ascii="仿宋_GB2312" w:eastAsia="仿宋_GB2312"/>
          <w:color w:val="auto"/>
          <w:sz w:val="32"/>
          <w:szCs w:val="32"/>
          <w:highlight w:val="none"/>
        </w:rPr>
        <w:t>机构结果有效性的监控</w:t>
      </w:r>
      <w:r>
        <w:rPr>
          <w:rFonts w:hint="eastAsia" w:ascii="仿宋_GB2312" w:eastAsia="仿宋_GB2312"/>
          <w:color w:val="auto"/>
          <w:sz w:val="32"/>
          <w:szCs w:val="32"/>
          <w:highlight w:val="none"/>
          <w:lang w:val="en-US" w:eastAsia="zh-CN"/>
        </w:rPr>
        <w:t>与评价</w:t>
      </w:r>
      <w:r>
        <w:rPr>
          <w:rFonts w:hint="eastAsia" w:ascii="仿宋_GB2312" w:eastAsia="仿宋_GB2312"/>
          <w:color w:val="auto"/>
          <w:sz w:val="32"/>
          <w:szCs w:val="32"/>
          <w:highlight w:val="none"/>
        </w:rPr>
        <w:t>；</w:t>
      </w:r>
    </w:p>
    <w:p>
      <w:pPr>
        <w:pStyle w:val="12"/>
        <w:keepNext w:val="0"/>
        <w:keepLines w:val="0"/>
        <w:pageBreakBefore w:val="0"/>
        <w:kinsoku/>
        <w:wordWrap w:val="0"/>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i.</w:t>
      </w:r>
      <w:r>
        <w:rPr>
          <w:rFonts w:hint="eastAsia" w:ascii="仿宋_GB2312" w:eastAsia="仿宋_GB2312"/>
          <w:color w:val="auto"/>
          <w:sz w:val="32"/>
          <w:szCs w:val="32"/>
          <w:highlight w:val="none"/>
        </w:rPr>
        <w:t>管理体系文件是否按现行有效的标准进行改版或修改；</w:t>
      </w:r>
    </w:p>
    <w:p>
      <w:pPr>
        <w:pStyle w:val="12"/>
        <w:keepNext w:val="0"/>
        <w:keepLines w:val="0"/>
        <w:pageBreakBefore w:val="0"/>
        <w:numPr>
          <w:ilvl w:val="0"/>
          <w:numId w:val="0"/>
        </w:numPr>
        <w:kinsoku/>
        <w:overflowPunct/>
        <w:topLinePunct w:val="0"/>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22.信息化核查</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22.1 检测机构应当有建设工程检测过程数据和结果数据、检测影像资料及检测报告记录（含非结构化电子数据及结构化数据）的留存制度；</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22.2 检测机构应当有信息化管理系统，对检测业务受理、检测数据采集、检测信息上传、检测报告出具、检测档案管理等活动进行信息化管理，保证建设工程质量检测活动全过程可追溯。</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22.3</w:t>
      </w:r>
      <w:r>
        <w:rPr>
          <w:rFonts w:hint="eastAsia" w:ascii="仿宋_GB2312" w:eastAsia="仿宋_GB2312"/>
          <w:color w:val="auto"/>
          <w:sz w:val="32"/>
          <w:szCs w:val="32"/>
          <w:highlight w:val="none"/>
        </w:rPr>
        <w:t>评审组应对检测机构信息化管理系统的运行有效性进行审查。通过查阅信息化管理系统中有关检测过程数据和结果数据、检测影像资料、检测报告资料等信息对其进行评价。</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22.4</w:t>
      </w:r>
      <w:r>
        <w:rPr>
          <w:rFonts w:hint="eastAsia" w:ascii="仿宋_GB2312" w:eastAsia="仿宋_GB2312"/>
          <w:color w:val="auto"/>
          <w:sz w:val="32"/>
          <w:szCs w:val="32"/>
          <w:highlight w:val="none"/>
        </w:rPr>
        <w:t>检测机构信息化管理系统应满足资质标准的要求，未建立信息化管理系统的，检测机构资质评审不通过。</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23.能力确认</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23.1</w:t>
      </w:r>
      <w:r>
        <w:rPr>
          <w:rFonts w:hint="eastAsia" w:ascii="仿宋_GB2312" w:eastAsia="仿宋_GB2312"/>
          <w:color w:val="auto"/>
          <w:sz w:val="32"/>
          <w:szCs w:val="32"/>
          <w:highlight w:val="none"/>
        </w:rPr>
        <w:t>评审组应根据现场考核情况，确认检测机构检测能力范围，能力确认应基于现场考核的结果和评审组的专业判断。</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23.2必备项目或参数存在主要设备不满足、或人员能力不满足、或场所环境不满足且无法限时整改</w:t>
      </w:r>
      <w:r>
        <w:rPr>
          <w:rFonts w:hint="eastAsia" w:ascii="仿宋_GB2312" w:eastAsia="仿宋_GB2312"/>
          <w:strike w:val="0"/>
          <w:dstrike w:val="0"/>
          <w:color w:val="auto"/>
          <w:sz w:val="32"/>
          <w:szCs w:val="32"/>
          <w:highlight w:val="none"/>
          <w:lang w:val="en-US" w:eastAsia="zh-CN"/>
        </w:rPr>
        <w:t>的</w:t>
      </w:r>
      <w:r>
        <w:rPr>
          <w:rFonts w:hint="eastAsia" w:ascii="仿宋_GB2312" w:eastAsia="仿宋_GB2312"/>
          <w:color w:val="auto"/>
          <w:sz w:val="32"/>
          <w:szCs w:val="32"/>
          <w:highlight w:val="none"/>
          <w:lang w:val="en-US" w:eastAsia="zh-CN"/>
        </w:rPr>
        <w:t>，该必备项目或参数不予通过，该专项不通过。</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23.3可选参数的主要设备不满足、或人员能力、或场所环境不满足且无法限时整改</w:t>
      </w:r>
      <w:r>
        <w:rPr>
          <w:rFonts w:hint="eastAsia" w:ascii="仿宋_GB2312" w:eastAsia="仿宋_GB2312"/>
          <w:strike w:val="0"/>
          <w:dstrike w:val="0"/>
          <w:color w:val="auto"/>
          <w:sz w:val="32"/>
          <w:szCs w:val="32"/>
          <w:highlight w:val="none"/>
          <w:lang w:val="en-US" w:eastAsia="zh-CN"/>
        </w:rPr>
        <w:t>的</w:t>
      </w:r>
      <w:r>
        <w:rPr>
          <w:rFonts w:hint="eastAsia" w:ascii="仿宋_GB2312" w:eastAsia="仿宋_GB2312"/>
          <w:color w:val="auto"/>
          <w:sz w:val="32"/>
          <w:szCs w:val="32"/>
          <w:highlight w:val="none"/>
          <w:lang w:val="en-US" w:eastAsia="zh-CN"/>
        </w:rPr>
        <w:t>，该参数不予通过。</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23.4其他不符合事项经整改验证满足要求后能力予以确认。</w:t>
      </w:r>
    </w:p>
    <w:p>
      <w:pPr>
        <w:keepNext w:val="0"/>
        <w:keepLines w:val="0"/>
        <w:pageBreakBefore w:val="0"/>
        <w:kinsoku/>
        <w:overflowPunct/>
        <w:topLinePunct w:val="0"/>
        <w:autoSpaceDN/>
        <w:bidi w:val="0"/>
        <w:adjustRightInd/>
        <w:snapToGrid/>
        <w:spacing w:line="576"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24.</w:t>
      </w:r>
      <w:r>
        <w:rPr>
          <w:rFonts w:hint="eastAsia" w:ascii="黑体" w:hAnsi="黑体" w:eastAsia="黑体" w:cs="黑体"/>
          <w:color w:val="auto"/>
          <w:sz w:val="32"/>
          <w:szCs w:val="32"/>
          <w:highlight w:val="none"/>
        </w:rPr>
        <w:t>评审组内部评议</w:t>
      </w:r>
    </w:p>
    <w:p>
      <w:pPr>
        <w:keepNext w:val="0"/>
        <w:keepLines w:val="0"/>
        <w:pageBreakBefore w:val="0"/>
        <w:kinsoku/>
        <w:overflowPunct/>
        <w:topLinePunct w:val="0"/>
        <w:autoSpaceDN/>
        <w:bidi w:val="0"/>
        <w:adjustRightInd/>
        <w:snapToGrid/>
        <w:spacing w:line="576" w:lineRule="exact"/>
        <w:ind w:firstLine="640" w:firstLineChars="200"/>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24.1</w:t>
      </w:r>
      <w:r>
        <w:rPr>
          <w:rFonts w:hint="eastAsia" w:ascii="仿宋_GB2312" w:eastAsia="仿宋_GB2312"/>
          <w:color w:val="auto"/>
          <w:sz w:val="32"/>
          <w:szCs w:val="32"/>
          <w:highlight w:val="none"/>
        </w:rPr>
        <w:t>组长组织</w:t>
      </w:r>
      <w:r>
        <w:rPr>
          <w:rFonts w:hint="eastAsia" w:ascii="仿宋_GB2312" w:eastAsia="仿宋_GB2312"/>
          <w:color w:val="auto"/>
          <w:sz w:val="32"/>
          <w:szCs w:val="32"/>
          <w:highlight w:val="none"/>
          <w:lang w:val="en-US" w:eastAsia="zh-CN"/>
        </w:rPr>
        <w:t>召开</w:t>
      </w:r>
      <w:r>
        <w:rPr>
          <w:rFonts w:hint="eastAsia" w:ascii="仿宋_GB2312" w:eastAsia="仿宋_GB2312"/>
          <w:color w:val="auto"/>
          <w:sz w:val="32"/>
          <w:szCs w:val="32"/>
          <w:highlight w:val="none"/>
        </w:rPr>
        <w:t>评审组内部会议，所有评审组成员参加，主要内容</w:t>
      </w:r>
      <w:r>
        <w:rPr>
          <w:rFonts w:hint="eastAsia" w:ascii="仿宋_GB2312" w:eastAsia="仿宋_GB2312"/>
          <w:color w:val="auto"/>
          <w:sz w:val="32"/>
          <w:szCs w:val="32"/>
          <w:highlight w:val="none"/>
          <w:lang w:val="en-US" w:eastAsia="zh-CN"/>
        </w:rPr>
        <w:t>包括：</w:t>
      </w:r>
      <w:r>
        <w:rPr>
          <w:rFonts w:hint="eastAsia" w:ascii="仿宋_GB2312" w:eastAsia="仿宋_GB2312"/>
          <w:color w:val="auto"/>
          <w:sz w:val="32"/>
          <w:szCs w:val="32"/>
          <w:highlight w:val="none"/>
        </w:rPr>
        <w:t>交流评审情况，了解评审进度，讨论评审中发现的问题并提出处理意见，必要时可根据评审实际情况适当调整评审计划。</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24.2</w:t>
      </w:r>
      <w:r>
        <w:rPr>
          <w:rFonts w:hint="eastAsia" w:ascii="仿宋_GB2312" w:eastAsia="仿宋_GB2312"/>
          <w:color w:val="auto"/>
          <w:sz w:val="32"/>
          <w:szCs w:val="32"/>
          <w:highlight w:val="none"/>
        </w:rPr>
        <w:t>最后一次评审组内部会议应对评审情况进行汇总，确</w:t>
      </w:r>
      <w:r>
        <w:rPr>
          <w:rFonts w:hint="eastAsia" w:ascii="仿宋_GB2312" w:eastAsia="仿宋_GB2312"/>
          <w:color w:val="auto"/>
          <w:sz w:val="32"/>
          <w:szCs w:val="32"/>
          <w:highlight w:val="none"/>
          <w:lang w:val="en-US" w:eastAsia="zh-CN"/>
        </w:rPr>
        <w:t>认</w:t>
      </w:r>
      <w:r>
        <w:rPr>
          <w:rFonts w:hint="eastAsia" w:ascii="仿宋_GB2312" w:eastAsia="仿宋_GB2312"/>
          <w:strike w:val="0"/>
          <w:color w:val="auto"/>
          <w:sz w:val="32"/>
          <w:szCs w:val="32"/>
          <w:highlight w:val="none"/>
          <w:lang w:val="en-US" w:eastAsia="zh-CN"/>
        </w:rPr>
        <w:t>被评审机构</w:t>
      </w:r>
      <w:r>
        <w:rPr>
          <w:rFonts w:hint="eastAsia" w:ascii="仿宋_GB2312" w:eastAsia="仿宋_GB2312"/>
          <w:color w:val="auto"/>
          <w:sz w:val="32"/>
          <w:szCs w:val="32"/>
          <w:highlight w:val="none"/>
        </w:rPr>
        <w:t>评审通过的检测能力，</w:t>
      </w:r>
      <w:r>
        <w:rPr>
          <w:rFonts w:hint="eastAsia" w:ascii="仿宋_GB2312" w:eastAsia="仿宋_GB2312"/>
          <w:color w:val="auto"/>
          <w:sz w:val="32"/>
          <w:szCs w:val="32"/>
          <w:highlight w:val="none"/>
          <w:lang w:val="en-US" w:eastAsia="zh-CN"/>
        </w:rPr>
        <w:t>确定</w:t>
      </w:r>
      <w:r>
        <w:rPr>
          <w:rFonts w:hint="eastAsia" w:ascii="仿宋_GB2312" w:eastAsia="仿宋_GB2312"/>
          <w:color w:val="auto"/>
          <w:sz w:val="32"/>
          <w:szCs w:val="32"/>
          <w:highlight w:val="none"/>
        </w:rPr>
        <w:t>评审不符合事项和问题，</w:t>
      </w:r>
      <w:r>
        <w:rPr>
          <w:rFonts w:hint="eastAsia" w:ascii="仿宋_GB2312" w:eastAsia="仿宋_GB2312"/>
          <w:color w:val="auto"/>
          <w:sz w:val="32"/>
          <w:szCs w:val="32"/>
          <w:highlight w:val="none"/>
          <w:lang w:val="en-US" w:eastAsia="zh-CN"/>
        </w:rPr>
        <w:t>收集</w:t>
      </w:r>
      <w:r>
        <w:rPr>
          <w:rFonts w:hint="eastAsia" w:ascii="仿宋_GB2312" w:eastAsia="仿宋_GB2312"/>
          <w:color w:val="auto"/>
          <w:sz w:val="32"/>
          <w:szCs w:val="32"/>
          <w:highlight w:val="none"/>
        </w:rPr>
        <w:t>整理完善</w:t>
      </w:r>
      <w:r>
        <w:rPr>
          <w:rFonts w:hint="eastAsia" w:ascii="仿宋_GB2312" w:eastAsia="仿宋_GB2312"/>
          <w:color w:val="auto"/>
          <w:sz w:val="32"/>
          <w:szCs w:val="32"/>
          <w:highlight w:val="none"/>
          <w:lang w:val="en-US" w:eastAsia="zh-CN"/>
        </w:rPr>
        <w:t>相关</w:t>
      </w:r>
      <w:r>
        <w:rPr>
          <w:rFonts w:hint="eastAsia" w:ascii="仿宋_GB2312" w:eastAsia="仿宋_GB2312"/>
          <w:color w:val="auto"/>
          <w:sz w:val="32"/>
          <w:szCs w:val="32"/>
          <w:highlight w:val="none"/>
        </w:rPr>
        <w:t>评审资料</w:t>
      </w:r>
      <w:r>
        <w:rPr>
          <w:rFonts w:hint="eastAsia" w:ascii="仿宋_GB2312" w:eastAsia="仿宋_GB2312"/>
          <w:color w:val="auto"/>
          <w:sz w:val="32"/>
          <w:szCs w:val="32"/>
          <w:highlight w:val="none"/>
          <w:lang w:val="en-US" w:eastAsia="zh-CN"/>
        </w:rPr>
        <w:t>和不符合项证据</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初步形成评审意见</w:t>
      </w:r>
      <w:r>
        <w:rPr>
          <w:rFonts w:hint="eastAsia" w:ascii="仿宋_GB2312" w:eastAsia="仿宋_GB2312"/>
          <w:color w:val="auto"/>
          <w:sz w:val="32"/>
          <w:szCs w:val="32"/>
          <w:highlight w:val="none"/>
        </w:rPr>
        <w:t>。</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25.</w:t>
      </w:r>
      <w:r>
        <w:rPr>
          <w:rFonts w:hint="eastAsia" w:ascii="黑体" w:hAnsi="黑体" w:eastAsia="黑体" w:cs="黑体"/>
          <w:color w:val="auto"/>
          <w:sz w:val="32"/>
          <w:szCs w:val="32"/>
          <w:highlight w:val="none"/>
        </w:rPr>
        <w:t>与</w:t>
      </w:r>
      <w:r>
        <w:rPr>
          <w:rFonts w:hint="eastAsia" w:ascii="黑体" w:hAnsi="黑体" w:eastAsia="黑体" w:cs="黑体"/>
          <w:color w:val="auto"/>
          <w:sz w:val="32"/>
          <w:szCs w:val="32"/>
          <w:highlight w:val="none"/>
          <w:lang w:eastAsia="zh-CN"/>
        </w:rPr>
        <w:t>被评审</w:t>
      </w:r>
      <w:r>
        <w:rPr>
          <w:rFonts w:hint="eastAsia" w:ascii="黑体" w:hAnsi="黑体" w:eastAsia="黑体" w:cs="黑体"/>
          <w:color w:val="auto"/>
          <w:sz w:val="32"/>
          <w:szCs w:val="32"/>
          <w:highlight w:val="none"/>
        </w:rPr>
        <w:t>机构沟通</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hAnsi="宋体" w:eastAsia="仿宋_GB2312" w:cs="宋体"/>
          <w:color w:val="auto"/>
          <w:kern w:val="0"/>
          <w:sz w:val="32"/>
          <w:szCs w:val="32"/>
          <w:highlight w:val="none"/>
          <w:lang w:val="en-US" w:eastAsia="zh-CN" w:bidi="ar-SA"/>
        </w:rPr>
      </w:pPr>
      <w:r>
        <w:rPr>
          <w:rFonts w:hint="eastAsia" w:ascii="仿宋_GB2312" w:hAnsi="宋体" w:eastAsia="仿宋_GB2312" w:cs="宋体"/>
          <w:color w:val="auto"/>
          <w:kern w:val="0"/>
          <w:sz w:val="32"/>
          <w:szCs w:val="32"/>
          <w:highlight w:val="none"/>
          <w:lang w:val="en-US" w:eastAsia="zh-CN" w:bidi="ar-SA"/>
        </w:rPr>
        <w:t>评审组与被评审机构主要负责人沟通评审的初步意见，确认不符合项和不通过检测专项、检测项目、检测参数及报告批准人等事项。</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26.</w:t>
      </w:r>
      <w:r>
        <w:rPr>
          <w:rFonts w:hint="eastAsia" w:ascii="黑体" w:hAnsi="黑体" w:eastAsia="黑体" w:cs="黑体"/>
          <w:color w:val="auto"/>
          <w:sz w:val="32"/>
          <w:szCs w:val="32"/>
          <w:highlight w:val="none"/>
        </w:rPr>
        <w:t>末次会议</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组长主持召开末次会议，参会人员与首次会议相同。会议主要内容如下：</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a.通报评审情况，</w:t>
      </w:r>
      <w:r>
        <w:rPr>
          <w:rFonts w:hint="eastAsia" w:ascii="仿宋_GB2312" w:eastAsia="仿宋_GB2312"/>
          <w:color w:val="auto"/>
          <w:sz w:val="32"/>
          <w:szCs w:val="32"/>
          <w:highlight w:val="none"/>
        </w:rPr>
        <w:t>宣读评审报告的主要内容；</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通报检测机构不符合事项，提出整改意见并规定整改期限；</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w:t>
      </w:r>
      <w:r>
        <w:rPr>
          <w:rFonts w:hint="eastAsia" w:ascii="仿宋_GB2312" w:eastAsia="仿宋_GB2312"/>
          <w:color w:val="auto"/>
          <w:sz w:val="32"/>
          <w:szCs w:val="32"/>
          <w:highlight w:val="none"/>
        </w:rPr>
        <w:t>检测机构负责人对评审结论发表意见，并在相关的评审记录上签字确认；</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d.</w:t>
      </w:r>
      <w:r>
        <w:rPr>
          <w:rFonts w:hint="eastAsia" w:ascii="仿宋_GB2312" w:eastAsia="仿宋_GB2312"/>
          <w:color w:val="auto"/>
          <w:sz w:val="32"/>
          <w:szCs w:val="32"/>
          <w:highlight w:val="none"/>
        </w:rPr>
        <w:t>再次声明保密承诺，宣布</w:t>
      </w:r>
      <w:r>
        <w:rPr>
          <w:rFonts w:hint="eastAsia" w:ascii="仿宋_GB2312" w:eastAsia="仿宋_GB2312"/>
          <w:color w:val="auto"/>
          <w:sz w:val="32"/>
          <w:szCs w:val="32"/>
          <w:highlight w:val="none"/>
          <w:lang w:val="en-US" w:eastAsia="zh-CN"/>
        </w:rPr>
        <w:t>现场</w:t>
      </w:r>
      <w:r>
        <w:rPr>
          <w:rFonts w:hint="eastAsia" w:ascii="仿宋_GB2312" w:eastAsia="仿宋_GB2312"/>
          <w:color w:val="auto"/>
          <w:sz w:val="32"/>
          <w:szCs w:val="32"/>
          <w:highlight w:val="none"/>
        </w:rPr>
        <w:t>评审结束。</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评审组应将检测机构提供的文件资料原件全部归还给机构，并将评审</w:t>
      </w:r>
      <w:r>
        <w:rPr>
          <w:rFonts w:hint="eastAsia" w:ascii="仿宋_GB2312" w:eastAsia="仿宋_GB2312"/>
          <w:color w:val="auto"/>
          <w:sz w:val="32"/>
          <w:szCs w:val="32"/>
          <w:highlight w:val="none"/>
          <w:lang w:eastAsia="zh-CN"/>
        </w:rPr>
        <w:t>整改</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、不通过项</w:t>
      </w:r>
      <w:r>
        <w:rPr>
          <w:rFonts w:hint="eastAsia" w:ascii="仿宋_GB2312" w:eastAsia="仿宋_GB2312"/>
          <w:color w:val="auto"/>
          <w:sz w:val="32"/>
          <w:szCs w:val="32"/>
          <w:highlight w:val="none"/>
        </w:rPr>
        <w:t>清单复印件转交检测机构。</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黑体" w:hAnsi="黑体" w:eastAsia="黑体" w:cs="黑体"/>
          <w:color w:val="auto"/>
          <w:sz w:val="32"/>
          <w:szCs w:val="32"/>
          <w:highlight w:val="none"/>
        </w:rPr>
      </w:pPr>
      <w:bookmarkStart w:id="10" w:name="_Toc4954"/>
      <w:bookmarkStart w:id="11" w:name="_Toc28524"/>
      <w:bookmarkStart w:id="12" w:name="_Toc32461"/>
      <w:bookmarkStart w:id="13" w:name="_Toc14623"/>
      <w:bookmarkStart w:id="14" w:name="_Toc22736"/>
      <w:bookmarkStart w:id="15" w:name="_Toc22436"/>
      <w:bookmarkStart w:id="16" w:name="_Toc9424"/>
      <w:bookmarkStart w:id="17" w:name="_Toc9753"/>
      <w:bookmarkStart w:id="18" w:name="_Toc26254"/>
      <w:bookmarkStart w:id="19" w:name="_Toc4814"/>
      <w:bookmarkStart w:id="20" w:name="_Toc24935"/>
      <w:bookmarkStart w:id="21" w:name="_Toc21951"/>
      <w:bookmarkStart w:id="22" w:name="_Toc8664"/>
      <w:bookmarkStart w:id="23" w:name="_Toc5489"/>
      <w:bookmarkStart w:id="24" w:name="_Toc21251"/>
      <w:bookmarkStart w:id="25" w:name="_Toc12562"/>
      <w:bookmarkStart w:id="26" w:name="_Toc2607"/>
      <w:bookmarkStart w:id="27" w:name="_Toc31292"/>
      <w:bookmarkStart w:id="28" w:name="_Toc1011"/>
      <w:bookmarkStart w:id="29" w:name="_Toc8489"/>
      <w:r>
        <w:rPr>
          <w:rFonts w:hint="eastAsia" w:ascii="黑体" w:hAnsi="黑体" w:eastAsia="黑体" w:cs="黑体"/>
          <w:color w:val="auto"/>
          <w:sz w:val="32"/>
          <w:szCs w:val="32"/>
          <w:highlight w:val="none"/>
          <w:lang w:val="en-US" w:eastAsia="zh-CN"/>
        </w:rPr>
        <w:t>27.</w:t>
      </w:r>
      <w:r>
        <w:rPr>
          <w:rFonts w:hint="eastAsia" w:ascii="黑体" w:hAnsi="黑体" w:eastAsia="黑体" w:cs="黑体"/>
          <w:color w:val="auto"/>
          <w:sz w:val="32"/>
          <w:szCs w:val="32"/>
          <w:highlight w:val="none"/>
        </w:rPr>
        <w:t>整改验证</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hint="eastAsia" w:ascii="仿宋_GB2312" w:eastAsia="仿宋_GB2312"/>
          <w:color w:val="auto"/>
          <w:sz w:val="32"/>
          <w:szCs w:val="32"/>
          <w:highlight w:val="none"/>
        </w:rPr>
        <w:t>.1对在规定期限内完成整改的</w:t>
      </w:r>
      <w:r>
        <w:rPr>
          <w:rFonts w:hint="eastAsia" w:ascii="仿宋_GB2312" w:eastAsia="仿宋_GB2312"/>
          <w:color w:val="auto"/>
          <w:sz w:val="32"/>
          <w:szCs w:val="32"/>
          <w:highlight w:val="none"/>
          <w:lang w:eastAsia="zh-CN"/>
        </w:rPr>
        <w:t>被评审</w:t>
      </w:r>
      <w:r>
        <w:rPr>
          <w:rFonts w:hint="eastAsia" w:ascii="仿宋_GB2312" w:eastAsia="仿宋_GB2312"/>
          <w:color w:val="auto"/>
          <w:sz w:val="32"/>
          <w:szCs w:val="32"/>
          <w:highlight w:val="none"/>
        </w:rPr>
        <w:t>机构，</w:t>
      </w:r>
      <w:r>
        <w:rPr>
          <w:rFonts w:hint="eastAsia" w:ascii="仿宋_GB2312" w:eastAsia="仿宋_GB2312"/>
          <w:color w:val="auto"/>
          <w:sz w:val="32"/>
          <w:szCs w:val="32"/>
          <w:highlight w:val="none"/>
          <w:lang w:val="en-US" w:eastAsia="zh-CN"/>
        </w:rPr>
        <w:t>评审</w:t>
      </w:r>
      <w:r>
        <w:rPr>
          <w:rFonts w:hint="eastAsia" w:ascii="仿宋_GB2312" w:eastAsia="仿宋_GB2312"/>
          <w:color w:val="auto"/>
          <w:sz w:val="32"/>
          <w:szCs w:val="32"/>
          <w:highlight w:val="none"/>
        </w:rPr>
        <w:t>组长或其指定的专家应对其</w:t>
      </w:r>
      <w:r>
        <w:rPr>
          <w:rFonts w:hint="eastAsia" w:ascii="仿宋_GB2312" w:eastAsia="仿宋_GB2312"/>
          <w:color w:val="auto"/>
          <w:sz w:val="32"/>
          <w:szCs w:val="32"/>
          <w:highlight w:val="none"/>
          <w:lang w:val="en-US" w:eastAsia="zh-CN"/>
        </w:rPr>
        <w:t>整改</w:t>
      </w:r>
      <w:r>
        <w:rPr>
          <w:rFonts w:hint="eastAsia" w:ascii="仿宋_GB2312" w:eastAsia="仿宋_GB2312"/>
          <w:color w:val="auto"/>
          <w:sz w:val="32"/>
          <w:szCs w:val="32"/>
          <w:highlight w:val="none"/>
        </w:rPr>
        <w:t>措施进行跟踪验证，并从以下方面确认其是否有效：</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a</w:t>
      </w:r>
      <w:r>
        <w:rPr>
          <w:rFonts w:hint="eastAsia" w:ascii="仿宋_GB2312" w:eastAsia="仿宋_GB2312"/>
          <w:color w:val="auto"/>
          <w:sz w:val="32"/>
          <w:szCs w:val="32"/>
          <w:highlight w:val="none"/>
        </w:rPr>
        <w:t>.机构对不符合事项是否进行了原因分析；</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.机构制订的</w:t>
      </w:r>
      <w:r>
        <w:rPr>
          <w:rFonts w:hint="eastAsia" w:ascii="仿宋_GB2312" w:eastAsia="仿宋_GB2312"/>
          <w:color w:val="auto"/>
          <w:sz w:val="32"/>
          <w:szCs w:val="32"/>
          <w:highlight w:val="none"/>
          <w:lang w:val="en-US" w:eastAsia="zh-CN"/>
        </w:rPr>
        <w:t>整改</w:t>
      </w:r>
      <w:r>
        <w:rPr>
          <w:rFonts w:hint="eastAsia" w:ascii="仿宋_GB2312" w:eastAsia="仿宋_GB2312"/>
          <w:color w:val="auto"/>
          <w:sz w:val="32"/>
          <w:szCs w:val="32"/>
          <w:highlight w:val="none"/>
        </w:rPr>
        <w:t>措施是否具有针对性；</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w:t>
      </w:r>
      <w:r>
        <w:rPr>
          <w:rFonts w:hint="eastAsia" w:ascii="仿宋_GB2312" w:eastAsia="仿宋_GB2312"/>
          <w:color w:val="auto"/>
          <w:sz w:val="32"/>
          <w:szCs w:val="32"/>
          <w:highlight w:val="none"/>
        </w:rPr>
        <w:t>不符合事项是否已得到</w:t>
      </w:r>
      <w:r>
        <w:rPr>
          <w:rFonts w:hint="eastAsia" w:ascii="仿宋_GB2312" w:eastAsia="仿宋_GB2312"/>
          <w:color w:val="auto"/>
          <w:sz w:val="32"/>
          <w:szCs w:val="32"/>
          <w:highlight w:val="none"/>
          <w:lang w:val="en-US" w:eastAsia="zh-CN"/>
        </w:rPr>
        <w:t>整改</w:t>
      </w:r>
      <w:r>
        <w:rPr>
          <w:rFonts w:hint="eastAsia" w:ascii="仿宋_GB2312" w:eastAsia="仿宋_GB2312"/>
          <w:color w:val="auto"/>
          <w:sz w:val="32"/>
          <w:szCs w:val="32"/>
          <w:highlight w:val="none"/>
        </w:rPr>
        <w:t>；</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d</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整改</w:t>
      </w:r>
      <w:r>
        <w:rPr>
          <w:rFonts w:hint="eastAsia" w:ascii="仿宋_GB2312" w:eastAsia="仿宋_GB2312"/>
          <w:color w:val="auto"/>
          <w:sz w:val="32"/>
          <w:szCs w:val="32"/>
          <w:highlight w:val="none"/>
        </w:rPr>
        <w:t>措施是否有效，能否预防类似问题不再发生。</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hint="eastAsia" w:ascii="仿宋_GB2312" w:eastAsia="仿宋_GB2312"/>
          <w:color w:val="auto"/>
          <w:sz w:val="32"/>
          <w:szCs w:val="32"/>
          <w:highlight w:val="none"/>
        </w:rPr>
        <w:t>.2对于以下情况，</w:t>
      </w:r>
      <w:r>
        <w:rPr>
          <w:rFonts w:hint="eastAsia" w:ascii="仿宋_GB2312" w:eastAsia="仿宋_GB2312"/>
          <w:color w:val="auto"/>
          <w:sz w:val="32"/>
          <w:szCs w:val="32"/>
          <w:highlight w:val="none"/>
          <w:lang w:val="en-US" w:eastAsia="zh-CN"/>
        </w:rPr>
        <w:t>评审</w:t>
      </w:r>
      <w:r>
        <w:rPr>
          <w:rFonts w:hint="eastAsia" w:ascii="仿宋_GB2312" w:eastAsia="仿宋_GB2312"/>
          <w:color w:val="auto"/>
          <w:sz w:val="32"/>
          <w:szCs w:val="32"/>
          <w:highlight w:val="none"/>
        </w:rPr>
        <w:t>组长或其指定的专家应</w:t>
      </w:r>
      <w:r>
        <w:rPr>
          <w:rFonts w:hint="eastAsia" w:ascii="仿宋_GB2312" w:eastAsia="仿宋_GB2312"/>
          <w:color w:val="auto"/>
          <w:sz w:val="32"/>
          <w:szCs w:val="32"/>
          <w:highlight w:val="none"/>
          <w:lang w:val="en-US" w:eastAsia="zh-CN"/>
        </w:rPr>
        <w:t>到</w:t>
      </w:r>
      <w:r>
        <w:rPr>
          <w:rFonts w:hint="eastAsia" w:ascii="仿宋_GB2312" w:eastAsia="仿宋_GB2312"/>
          <w:color w:val="auto"/>
          <w:sz w:val="32"/>
          <w:szCs w:val="32"/>
          <w:highlight w:val="none"/>
        </w:rPr>
        <w:t>现场</w:t>
      </w:r>
      <w:r>
        <w:rPr>
          <w:rFonts w:hint="eastAsia" w:ascii="仿宋_GB2312" w:eastAsia="仿宋_GB2312"/>
          <w:color w:val="auto"/>
          <w:sz w:val="32"/>
          <w:szCs w:val="32"/>
          <w:highlight w:val="none"/>
          <w:lang w:val="en-US" w:eastAsia="zh-CN"/>
        </w:rPr>
        <w:t>或通过视频方式</w:t>
      </w:r>
      <w:r>
        <w:rPr>
          <w:rFonts w:hint="eastAsia" w:ascii="仿宋_GB2312" w:eastAsia="仿宋_GB2312"/>
          <w:color w:val="auto"/>
          <w:sz w:val="32"/>
          <w:szCs w:val="32"/>
          <w:highlight w:val="none"/>
        </w:rPr>
        <w:t>进行验证：</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a</w:t>
      </w:r>
      <w:r>
        <w:rPr>
          <w:rFonts w:hint="eastAsia" w:ascii="仿宋_GB2312" w:eastAsia="仿宋_GB2312"/>
          <w:color w:val="auto"/>
          <w:sz w:val="32"/>
          <w:szCs w:val="32"/>
          <w:highlight w:val="none"/>
        </w:rPr>
        <w:t>.涉及可能影响检测结果有效性的；</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.涉及环境设施不符合要求的；</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w:t>
      </w:r>
      <w:r>
        <w:rPr>
          <w:rFonts w:hint="eastAsia" w:ascii="仿宋_GB2312" w:eastAsia="仿宋_GB2312"/>
          <w:color w:val="auto"/>
          <w:sz w:val="32"/>
          <w:szCs w:val="32"/>
          <w:highlight w:val="none"/>
        </w:rPr>
        <w:t>.涉及仪器设备故障或部分欠缺的；</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d</w:t>
      </w:r>
      <w:r>
        <w:rPr>
          <w:rFonts w:hint="eastAsia" w:ascii="仿宋_GB2312" w:eastAsia="仿宋_GB2312"/>
          <w:color w:val="auto"/>
          <w:sz w:val="32"/>
          <w:szCs w:val="32"/>
          <w:highlight w:val="none"/>
        </w:rPr>
        <w:t>.对整改材料仅进行书面审查不能确认其整改是否有效的其他情形。</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hint="eastAsia" w:ascii="仿宋_GB2312" w:eastAsia="仿宋_GB2312"/>
          <w:color w:val="auto"/>
          <w:sz w:val="32"/>
          <w:szCs w:val="32"/>
          <w:highlight w:val="none"/>
        </w:rPr>
        <w:t>.3对未按期完成整改或整改不符合要求的</w:t>
      </w:r>
      <w:r>
        <w:rPr>
          <w:rFonts w:hint="eastAsia" w:ascii="仿宋_GB2312" w:eastAsia="仿宋_GB2312"/>
          <w:color w:val="auto"/>
          <w:sz w:val="32"/>
          <w:szCs w:val="32"/>
          <w:highlight w:val="none"/>
          <w:lang w:eastAsia="zh-CN"/>
        </w:rPr>
        <w:t>被评审</w:t>
      </w:r>
      <w:r>
        <w:rPr>
          <w:rFonts w:hint="eastAsia" w:ascii="仿宋_GB2312" w:eastAsia="仿宋_GB2312"/>
          <w:color w:val="auto"/>
          <w:sz w:val="32"/>
          <w:szCs w:val="32"/>
          <w:highlight w:val="none"/>
        </w:rPr>
        <w:t>机构，</w:t>
      </w:r>
      <w:r>
        <w:rPr>
          <w:rFonts w:hint="eastAsia" w:ascii="仿宋_GB2312" w:eastAsia="仿宋_GB2312"/>
          <w:color w:val="auto"/>
          <w:sz w:val="32"/>
          <w:szCs w:val="32"/>
          <w:highlight w:val="none"/>
          <w:lang w:val="en-US" w:eastAsia="zh-CN"/>
        </w:rPr>
        <w:t>评审</w:t>
      </w:r>
      <w:r>
        <w:rPr>
          <w:rFonts w:hint="eastAsia" w:ascii="仿宋_GB2312" w:eastAsia="仿宋_GB2312"/>
          <w:color w:val="auto"/>
          <w:sz w:val="32"/>
          <w:szCs w:val="32"/>
          <w:highlight w:val="none"/>
        </w:rPr>
        <w:t>组长应与评审组成员进行充分研究，及时作出不予通过或相关能力不予推荐的结论。</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27.4</w:t>
      </w:r>
      <w:r>
        <w:rPr>
          <w:rFonts w:hint="eastAsia" w:ascii="仿宋_GB2312" w:eastAsia="仿宋_GB2312"/>
          <w:color w:val="auto"/>
          <w:sz w:val="32"/>
          <w:szCs w:val="32"/>
          <w:highlight w:val="none"/>
        </w:rPr>
        <w:t>必备参数的整改没有通过，则该专项不予推荐，可选参数涉及的整改未按期完成，则该参数不予推荐。</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黑体" w:hAnsi="黑体" w:eastAsia="黑体" w:cs="黑体"/>
          <w:color w:val="auto"/>
          <w:sz w:val="32"/>
          <w:szCs w:val="32"/>
          <w:highlight w:val="none"/>
          <w:lang w:val="en-US" w:eastAsia="zh-CN"/>
        </w:rPr>
      </w:pPr>
      <w:bookmarkStart w:id="30" w:name="_Toc15118"/>
      <w:bookmarkStart w:id="31" w:name="_Toc5115"/>
      <w:bookmarkStart w:id="32" w:name="_Toc31915"/>
      <w:bookmarkStart w:id="33" w:name="_Toc32086"/>
      <w:bookmarkStart w:id="34" w:name="_Toc25566"/>
      <w:bookmarkStart w:id="35" w:name="_Toc19567"/>
      <w:bookmarkStart w:id="36" w:name="_Toc8089"/>
      <w:bookmarkStart w:id="37" w:name="_Toc2198"/>
      <w:bookmarkStart w:id="38" w:name="_Toc30965"/>
      <w:bookmarkStart w:id="39" w:name="_Toc19330"/>
      <w:bookmarkStart w:id="40" w:name="_Toc12912"/>
      <w:bookmarkStart w:id="41" w:name="_Toc8129"/>
      <w:bookmarkStart w:id="42" w:name="_Toc17540"/>
      <w:bookmarkStart w:id="43" w:name="_Toc6469"/>
      <w:bookmarkStart w:id="44" w:name="_Toc1660"/>
      <w:bookmarkStart w:id="45" w:name="_Toc5924"/>
      <w:bookmarkStart w:id="46" w:name="_Toc31964"/>
      <w:bookmarkStart w:id="47" w:name="_Toc7173"/>
      <w:bookmarkStart w:id="48" w:name="_Toc16170"/>
      <w:bookmarkStart w:id="49" w:name="_Toc6346"/>
      <w:r>
        <w:rPr>
          <w:rFonts w:hint="eastAsia" w:ascii="黑体" w:hAnsi="黑体" w:eastAsia="黑体" w:cs="黑体"/>
          <w:color w:val="auto"/>
          <w:sz w:val="32"/>
          <w:szCs w:val="32"/>
          <w:highlight w:val="none"/>
          <w:lang w:val="en-US" w:eastAsia="zh-CN"/>
        </w:rPr>
        <w:t>28.整改期限</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评审整改期限原则上不超过10个工作日，具体时间由</w:t>
      </w:r>
      <w:r>
        <w:rPr>
          <w:rFonts w:hint="eastAsia" w:ascii="仿宋_GB2312" w:hAnsi="仿宋_GB2312" w:eastAsia="仿宋_GB2312" w:cs="仿宋_GB2312"/>
          <w:b w:val="0"/>
          <w:bCs w:val="0"/>
          <w:color w:val="auto"/>
          <w:sz w:val="32"/>
          <w:szCs w:val="32"/>
          <w:highlight w:val="none"/>
          <w:lang w:val="en-US" w:eastAsia="zh-CN"/>
        </w:rPr>
        <w:t>专家评审组结合专家评审时间要求（不超过20个工作日）确定</w:t>
      </w:r>
      <w:r>
        <w:rPr>
          <w:rFonts w:hint="eastAsia" w:ascii="仿宋_GB2312" w:eastAsia="仿宋_GB2312"/>
          <w:color w:val="auto"/>
          <w:sz w:val="32"/>
          <w:szCs w:val="32"/>
          <w:highlight w:val="none"/>
          <w:lang w:val="en-US" w:eastAsia="zh-CN"/>
        </w:rPr>
        <w:t>。</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29.</w:t>
      </w:r>
      <w:r>
        <w:rPr>
          <w:rFonts w:hint="eastAsia" w:ascii="黑体" w:hAnsi="黑体" w:eastAsia="黑体" w:cs="黑体"/>
          <w:color w:val="auto"/>
          <w:sz w:val="32"/>
          <w:szCs w:val="32"/>
          <w:highlight w:val="none"/>
        </w:rPr>
        <w:t>材料上报</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29.1</w:t>
      </w:r>
      <w:r>
        <w:rPr>
          <w:rFonts w:hint="eastAsia" w:ascii="仿宋_GB2312" w:eastAsia="仿宋_GB2312"/>
          <w:color w:val="auto"/>
          <w:sz w:val="32"/>
          <w:szCs w:val="32"/>
          <w:highlight w:val="none"/>
        </w:rPr>
        <w:t>现场评审</w:t>
      </w:r>
      <w:r>
        <w:rPr>
          <w:rFonts w:hint="eastAsia" w:ascii="仿宋_GB2312" w:eastAsia="仿宋_GB2312"/>
          <w:color w:val="auto"/>
          <w:sz w:val="32"/>
          <w:szCs w:val="32"/>
          <w:highlight w:val="none"/>
          <w:lang w:val="en-US" w:eastAsia="zh-CN"/>
        </w:rPr>
        <w:t>及整改跟踪验证</w:t>
      </w:r>
      <w:r>
        <w:rPr>
          <w:rFonts w:hint="eastAsia" w:ascii="仿宋_GB2312" w:eastAsia="仿宋_GB2312"/>
          <w:color w:val="auto"/>
          <w:sz w:val="32"/>
          <w:szCs w:val="32"/>
          <w:highlight w:val="none"/>
        </w:rPr>
        <w:t>结束后，</w:t>
      </w:r>
      <w:r>
        <w:rPr>
          <w:rFonts w:hint="eastAsia" w:ascii="仿宋_GB2312" w:eastAsia="仿宋_GB2312"/>
          <w:color w:val="auto"/>
          <w:sz w:val="32"/>
          <w:szCs w:val="32"/>
          <w:highlight w:val="none"/>
          <w:lang w:val="en-US" w:eastAsia="zh-CN"/>
        </w:rPr>
        <w:t>评审</w:t>
      </w:r>
      <w:r>
        <w:rPr>
          <w:rFonts w:hint="eastAsia" w:ascii="仿宋_GB2312" w:eastAsia="仿宋_GB2312"/>
          <w:color w:val="auto"/>
          <w:sz w:val="32"/>
          <w:szCs w:val="32"/>
          <w:highlight w:val="none"/>
        </w:rPr>
        <w:t>组长应在</w:t>
      </w:r>
      <w:r>
        <w:rPr>
          <w:rFonts w:ascii="仿宋_GB2312" w:eastAsia="仿宋_GB2312"/>
          <w:color w:val="auto"/>
          <w:sz w:val="32"/>
          <w:szCs w:val="32"/>
          <w:highlight w:val="none"/>
        </w:rPr>
        <w:t>3</w:t>
      </w:r>
      <w:r>
        <w:rPr>
          <w:rFonts w:hint="eastAsia" w:ascii="仿宋_GB2312" w:eastAsia="仿宋_GB2312"/>
          <w:color w:val="auto"/>
          <w:sz w:val="32"/>
          <w:szCs w:val="32"/>
          <w:highlight w:val="none"/>
        </w:rPr>
        <w:t>个工作日内将《</w:t>
      </w:r>
      <w:r>
        <w:rPr>
          <w:rFonts w:hint="eastAsia" w:ascii="仿宋_GB2312" w:eastAsia="仿宋_GB2312"/>
          <w:color w:val="auto"/>
          <w:sz w:val="32"/>
          <w:szCs w:val="32"/>
          <w:highlight w:val="none"/>
          <w:lang w:val="en-US" w:eastAsia="zh-CN"/>
        </w:rPr>
        <w:t>广东省建设工程质量检测机构资质评审报告</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等评审材料</w:t>
      </w:r>
      <w:r>
        <w:rPr>
          <w:rFonts w:hint="eastAsia" w:ascii="仿宋_GB2312" w:eastAsia="仿宋_GB2312"/>
          <w:color w:val="auto"/>
          <w:sz w:val="32"/>
          <w:szCs w:val="32"/>
          <w:highlight w:val="none"/>
        </w:rPr>
        <w:t>移交</w:t>
      </w:r>
      <w:r>
        <w:rPr>
          <w:rFonts w:hint="eastAsia" w:ascii="仿宋_GB2312" w:eastAsia="仿宋_GB2312"/>
          <w:color w:val="auto"/>
          <w:sz w:val="32"/>
          <w:szCs w:val="32"/>
          <w:highlight w:val="none"/>
          <w:lang w:eastAsia="zh-CN"/>
        </w:rPr>
        <w:t>资质审批</w:t>
      </w:r>
      <w:r>
        <w:rPr>
          <w:rFonts w:hint="eastAsia" w:ascii="仿宋_GB2312" w:eastAsia="仿宋_GB2312"/>
          <w:color w:val="auto"/>
          <w:sz w:val="32"/>
          <w:szCs w:val="32"/>
          <w:highlight w:val="none"/>
        </w:rPr>
        <w:t>机关。</w:t>
      </w:r>
      <w:r>
        <w:rPr>
          <w:rFonts w:hint="eastAsia" w:ascii="仿宋_GB2312" w:eastAsia="仿宋_GB2312"/>
          <w:color w:val="auto"/>
          <w:sz w:val="32"/>
          <w:szCs w:val="32"/>
          <w:highlight w:val="none"/>
          <w:lang w:val="en-US" w:eastAsia="zh-CN"/>
        </w:rPr>
        <w:t>其他纸质材料由被评审机构封存，并签订《被评审机构封存材料保存承诺书》。</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29.2上报材料以纸质材料原件为主，并附相关电子扫描文件，主要包括：</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a.广东省建设工程质量检测机构资质评审报告；</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b.申请书；</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c.资质评审</w:t>
      </w:r>
      <w:r>
        <w:rPr>
          <w:rFonts w:hint="eastAsia" w:ascii="仿宋_GB2312" w:eastAsia="仿宋_GB2312"/>
          <w:color w:val="auto"/>
          <w:sz w:val="32"/>
          <w:szCs w:val="32"/>
          <w:highlight w:val="none"/>
        </w:rPr>
        <w:t>承诺声明</w:t>
      </w:r>
      <w:r>
        <w:rPr>
          <w:rFonts w:hint="eastAsia" w:ascii="仿宋_GB2312" w:eastAsia="仿宋_GB2312"/>
          <w:color w:val="auto"/>
          <w:sz w:val="32"/>
          <w:szCs w:val="32"/>
          <w:highlight w:val="none"/>
          <w:lang w:val="en-US" w:eastAsia="zh-CN"/>
        </w:rPr>
        <w:t>；</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d.专家评审计划表；</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e.专家评审会议签到表；</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f.被评审机构封存材料保存承诺书</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g.建设工程质量检测机构资质评审材料封存清单；</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h.其他需要上报的评审工作材料。</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30.终止</w:t>
      </w:r>
      <w:r>
        <w:rPr>
          <w:rFonts w:hint="eastAsia" w:ascii="黑体" w:hAnsi="黑体" w:eastAsia="黑体" w:cs="黑体"/>
          <w:color w:val="auto"/>
          <w:sz w:val="32"/>
          <w:szCs w:val="32"/>
          <w:highlight w:val="none"/>
        </w:rPr>
        <w:t>评审</w:t>
      </w:r>
    </w:p>
    <w:p>
      <w:pPr>
        <w:pStyle w:val="9"/>
        <w:keepNext w:val="0"/>
        <w:keepLines w:val="0"/>
        <w:pageBreakBefore w:val="0"/>
        <w:kinsoku/>
        <w:overflowPunct/>
        <w:topLinePunct w:val="0"/>
        <w:autoSpaceDN/>
        <w:bidi w:val="0"/>
        <w:adjustRightInd/>
        <w:snapToGrid/>
        <w:spacing w:after="0" w:line="576" w:lineRule="exact"/>
        <w:ind w:left="0" w:leftChars="0" w:firstLine="640" w:firstLineChars="200"/>
        <w:textAlignment w:val="auto"/>
        <w:outlineLvl w:val="0"/>
        <w:rPr>
          <w:rFonts w:ascii="黑体" w:hAnsi="黑体" w:eastAsia="黑体" w:cs="黑体"/>
          <w:color w:val="auto"/>
          <w:sz w:val="32"/>
          <w:szCs w:val="32"/>
          <w:highlight w:val="none"/>
        </w:rPr>
      </w:pPr>
      <w:r>
        <w:rPr>
          <w:rFonts w:hint="eastAsia" w:ascii="仿宋_GB2312" w:eastAsia="仿宋_GB2312"/>
          <w:color w:val="auto"/>
          <w:sz w:val="32"/>
          <w:szCs w:val="32"/>
          <w:highlight w:val="none"/>
        </w:rPr>
        <w:t>发生下列情况之一，评审组报告</w:t>
      </w:r>
      <w:r>
        <w:rPr>
          <w:rFonts w:hint="eastAsia" w:ascii="仿宋_GB2312" w:eastAsia="仿宋_GB2312"/>
          <w:color w:val="auto"/>
          <w:sz w:val="32"/>
          <w:szCs w:val="32"/>
          <w:highlight w:val="none"/>
          <w:lang w:eastAsia="zh-CN"/>
        </w:rPr>
        <w:t>资质审批</w:t>
      </w:r>
      <w:r>
        <w:rPr>
          <w:rFonts w:hint="eastAsia" w:ascii="仿宋_GB2312" w:eastAsia="仿宋_GB2312"/>
          <w:color w:val="auto"/>
          <w:sz w:val="32"/>
          <w:szCs w:val="32"/>
          <w:highlight w:val="none"/>
        </w:rPr>
        <w:t>机关同意后可终止评审工作：</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a</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被评审</w:t>
      </w:r>
      <w:r>
        <w:rPr>
          <w:rFonts w:hint="eastAsia" w:ascii="仿宋_GB2312" w:eastAsia="仿宋_GB2312"/>
          <w:color w:val="auto"/>
          <w:sz w:val="32"/>
          <w:szCs w:val="32"/>
          <w:highlight w:val="none"/>
        </w:rPr>
        <w:t>机构实际状况与申请资料严重不符</w:t>
      </w:r>
      <w:r>
        <w:rPr>
          <w:rFonts w:hint="eastAsia" w:ascii="仿宋_GB2312" w:eastAsia="仿宋_GB2312"/>
          <w:color w:val="auto"/>
          <w:sz w:val="32"/>
          <w:szCs w:val="32"/>
          <w:highlight w:val="none"/>
          <w:lang w:eastAsia="zh-CN"/>
        </w:rPr>
        <w:t>；</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实际能力与申请检测项目</w:t>
      </w:r>
      <w:r>
        <w:rPr>
          <w:rFonts w:hint="eastAsia" w:ascii="仿宋_GB2312" w:eastAsia="仿宋_GB2312"/>
          <w:color w:val="auto"/>
          <w:sz w:val="32"/>
          <w:szCs w:val="32"/>
          <w:highlight w:val="none"/>
          <w:lang w:val="en-US" w:eastAsia="zh-CN"/>
        </w:rPr>
        <w:t>严重</w:t>
      </w:r>
      <w:r>
        <w:rPr>
          <w:rFonts w:hint="eastAsia" w:ascii="仿宋_GB2312" w:eastAsia="仿宋_GB2312"/>
          <w:color w:val="auto"/>
          <w:sz w:val="32"/>
          <w:szCs w:val="32"/>
          <w:highlight w:val="none"/>
        </w:rPr>
        <w:t>不符，不能满足基本条件；</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w:t>
      </w:r>
      <w:r>
        <w:rPr>
          <w:rFonts w:hint="eastAsia" w:ascii="仿宋_GB2312" w:eastAsia="仿宋_GB2312"/>
          <w:color w:val="auto"/>
          <w:sz w:val="32"/>
          <w:szCs w:val="32"/>
          <w:highlight w:val="none"/>
        </w:rPr>
        <w:t>.检测机构管理体系</w:t>
      </w:r>
      <w:r>
        <w:rPr>
          <w:rFonts w:hint="eastAsia" w:ascii="仿宋_GB2312" w:eastAsia="仿宋_GB2312"/>
          <w:color w:val="auto"/>
          <w:sz w:val="32"/>
          <w:szCs w:val="32"/>
          <w:highlight w:val="none"/>
          <w:lang w:val="en-US" w:eastAsia="zh-CN"/>
        </w:rPr>
        <w:t>运行</w:t>
      </w:r>
      <w:r>
        <w:rPr>
          <w:rFonts w:hint="eastAsia" w:ascii="仿宋_GB2312" w:eastAsia="仿宋_GB2312"/>
          <w:color w:val="auto"/>
          <w:sz w:val="32"/>
          <w:szCs w:val="32"/>
          <w:highlight w:val="none"/>
        </w:rPr>
        <w:t>失效，相关记录缺失或失实；</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d</w:t>
      </w:r>
      <w:r>
        <w:rPr>
          <w:rFonts w:hint="eastAsia" w:ascii="仿宋_GB2312" w:eastAsia="仿宋_GB2312"/>
          <w:color w:val="auto"/>
          <w:sz w:val="32"/>
          <w:szCs w:val="32"/>
          <w:highlight w:val="none"/>
        </w:rPr>
        <w:t>.现场不具备评审条件；</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e</w:t>
      </w:r>
      <w:r>
        <w:rPr>
          <w:rFonts w:hint="eastAsia" w:ascii="仿宋_GB2312" w:eastAsia="仿宋_GB2312"/>
          <w:color w:val="auto"/>
          <w:sz w:val="32"/>
          <w:szCs w:val="32"/>
          <w:highlight w:val="none"/>
        </w:rPr>
        <w:t>.检测机构有意干扰评审工作，评审工作不能正常进行；</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f</w:t>
      </w:r>
      <w:r>
        <w:rPr>
          <w:rFonts w:hint="eastAsia" w:ascii="仿宋_GB2312" w:eastAsia="仿宋_GB2312"/>
          <w:color w:val="auto"/>
          <w:sz w:val="32"/>
          <w:szCs w:val="32"/>
          <w:highlight w:val="none"/>
        </w:rPr>
        <w:t>.检测机构存在其他严重的违法违规问题</w:t>
      </w:r>
      <w:r>
        <w:rPr>
          <w:rFonts w:hint="eastAsia" w:ascii="仿宋_GB2312" w:eastAsia="仿宋_GB2312"/>
          <w:color w:val="auto"/>
          <w:sz w:val="32"/>
          <w:szCs w:val="32"/>
          <w:highlight w:val="none"/>
          <w:lang w:eastAsia="zh-CN"/>
        </w:rPr>
        <w:t>；</w:t>
      </w:r>
    </w:p>
    <w:p>
      <w:pPr>
        <w:keepNext w:val="0"/>
        <w:keepLines w:val="0"/>
        <w:pageBreakBefore w:val="0"/>
        <w:kinsoku/>
        <w:overflowPunct/>
        <w:topLinePunct w:val="0"/>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g</w:t>
      </w:r>
      <w:r>
        <w:rPr>
          <w:rFonts w:hint="eastAsia" w:ascii="仿宋_GB2312" w:eastAsia="仿宋_GB2312"/>
          <w:color w:val="auto"/>
          <w:sz w:val="32"/>
          <w:szCs w:val="32"/>
          <w:highlight w:val="none"/>
        </w:rPr>
        <w:t>.因不可抗拒力造成无法进行评审工作</w:t>
      </w:r>
      <w:r>
        <w:rPr>
          <w:rFonts w:hint="eastAsia" w:ascii="仿宋_GB2312" w:eastAsia="仿宋_GB2312"/>
          <w:color w:val="auto"/>
          <w:sz w:val="32"/>
          <w:szCs w:val="32"/>
          <w:highlight w:val="none"/>
          <w:lang w:eastAsia="zh-CN"/>
        </w:rPr>
        <w:t>；</w:t>
      </w:r>
    </w:p>
    <w:p>
      <w:pPr>
        <w:keepNext w:val="0"/>
        <w:keepLines w:val="0"/>
        <w:pageBreakBefore w:val="0"/>
        <w:kinsoku/>
        <w:overflowPunct/>
        <w:topLinePunct w:val="0"/>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h.无法完成现场评审的其他情形。</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31.影像</w:t>
      </w:r>
      <w:r>
        <w:rPr>
          <w:rFonts w:hint="eastAsia" w:ascii="黑体" w:hAnsi="黑体" w:eastAsia="黑体" w:cs="黑体"/>
          <w:color w:val="auto"/>
          <w:kern w:val="2"/>
          <w:sz w:val="32"/>
          <w:szCs w:val="32"/>
          <w:highlight w:val="none"/>
        </w:rPr>
        <w:t>留存</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textAlignment w:val="auto"/>
        <w:outlineLvl w:val="0"/>
        <w:rPr>
          <w:rFonts w:ascii="仿宋_GB2312" w:eastAsia="仿宋_GB2312"/>
          <w:bCs/>
          <w:color w:val="auto"/>
          <w:sz w:val="32"/>
          <w:szCs w:val="32"/>
          <w:highlight w:val="none"/>
        </w:rPr>
      </w:pPr>
      <w:r>
        <w:rPr>
          <w:rFonts w:hint="eastAsia" w:ascii="仿宋_GB2312" w:eastAsia="仿宋_GB2312"/>
          <w:bCs/>
          <w:color w:val="auto"/>
          <w:sz w:val="32"/>
          <w:szCs w:val="32"/>
          <w:highlight w:val="none"/>
          <w:lang w:val="en-US" w:eastAsia="zh-CN"/>
        </w:rPr>
        <w:t>现场</w:t>
      </w:r>
      <w:r>
        <w:rPr>
          <w:rFonts w:hint="eastAsia" w:ascii="仿宋_GB2312" w:eastAsia="仿宋_GB2312"/>
          <w:bCs/>
          <w:color w:val="auto"/>
          <w:sz w:val="32"/>
          <w:szCs w:val="32"/>
          <w:highlight w:val="none"/>
        </w:rPr>
        <w:t>评审过程中评审组可对评审过程关键环节进行影像记录，以留存备查。</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hint="eastAsia" w:ascii="黑体" w:hAnsi="黑体" w:eastAsia="黑体" w:cs="黑体"/>
          <w:color w:val="auto"/>
          <w:kern w:val="2"/>
          <w:sz w:val="32"/>
          <w:szCs w:val="32"/>
          <w:highlight w:val="none"/>
        </w:rPr>
      </w:pPr>
      <w:r>
        <w:rPr>
          <w:rStyle w:val="21"/>
          <w:rFonts w:hint="eastAsia" w:ascii="黑体" w:hAnsi="黑体" w:eastAsia="黑体"/>
          <w:b w:val="0"/>
          <w:color w:val="auto"/>
          <w:sz w:val="32"/>
          <w:szCs w:val="32"/>
          <w:highlight w:val="none"/>
          <w:lang w:val="en-US" w:eastAsia="zh-CN"/>
        </w:rPr>
        <w:t>32.</w:t>
      </w:r>
      <w:r>
        <w:rPr>
          <w:rFonts w:hint="eastAsia" w:ascii="黑体" w:hAnsi="黑体" w:eastAsia="黑体" w:cs="黑体"/>
          <w:color w:val="auto"/>
          <w:kern w:val="2"/>
          <w:sz w:val="32"/>
          <w:szCs w:val="32"/>
          <w:highlight w:val="none"/>
        </w:rPr>
        <w:t>监督要求</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资质审批</w:t>
      </w:r>
      <w:r>
        <w:rPr>
          <w:rFonts w:hint="eastAsia" w:ascii="仿宋_GB2312" w:eastAsia="仿宋_GB2312"/>
          <w:color w:val="auto"/>
          <w:sz w:val="32"/>
          <w:szCs w:val="32"/>
          <w:highlight w:val="none"/>
        </w:rPr>
        <w:t>机关应加强对资质评审工作的监督管理，指派监督员</w:t>
      </w:r>
      <w:r>
        <w:rPr>
          <w:rFonts w:hint="eastAsia" w:ascii="仿宋_GB2312" w:hAnsi="仿宋_GB2312" w:eastAsia="仿宋_GB2312" w:cs="仿宋_GB2312"/>
          <w:b w:val="0"/>
          <w:bCs w:val="0"/>
          <w:sz w:val="32"/>
          <w:szCs w:val="32"/>
          <w:highlight w:val="none"/>
          <w:lang w:val="en-US" w:eastAsia="zh-CN"/>
        </w:rPr>
        <w:t>对现场评审进行全程监督指导，</w:t>
      </w:r>
      <w:r>
        <w:rPr>
          <w:rFonts w:hint="eastAsia" w:ascii="仿宋_GB2312" w:eastAsia="仿宋_GB2312"/>
          <w:color w:val="auto"/>
          <w:sz w:val="32"/>
          <w:szCs w:val="32"/>
          <w:highlight w:val="none"/>
        </w:rPr>
        <w:t>及时查处违反本办法的行为</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并按照《</w:t>
      </w:r>
      <w:r>
        <w:rPr>
          <w:rFonts w:hint="eastAsia" w:ascii="仿宋_GB2312" w:hAnsi="仿宋" w:eastAsia="仿宋_GB2312" w:cs="宋体"/>
          <w:sz w:val="32"/>
          <w:szCs w:val="32"/>
          <w:highlight w:val="none"/>
          <w:lang w:bidi="ar-SA"/>
        </w:rPr>
        <w:t>专家库管理办法</w:t>
      </w:r>
      <w:r>
        <w:rPr>
          <w:rFonts w:hint="eastAsia" w:ascii="仿宋_GB2312" w:hAnsi="仿宋_GB2312" w:eastAsia="仿宋_GB2312" w:cs="仿宋_GB2312"/>
          <w:b w:val="0"/>
          <w:bCs w:val="0"/>
          <w:sz w:val="32"/>
          <w:szCs w:val="32"/>
          <w:highlight w:val="none"/>
          <w:lang w:val="en-US" w:eastAsia="zh-CN"/>
        </w:rPr>
        <w:t>》明确的具体要求对</w:t>
      </w:r>
      <w:r>
        <w:rPr>
          <w:rFonts w:hint="eastAsia" w:ascii="仿宋_GB2312" w:hAnsi="仿宋" w:eastAsia="仿宋_GB2312" w:cs="宋体"/>
          <w:sz w:val="32"/>
          <w:szCs w:val="32"/>
          <w:highlight w:val="none"/>
          <w:lang w:val="en-US" w:eastAsia="zh-CN" w:bidi="ar-SA"/>
        </w:rPr>
        <w:t>评审专家</w:t>
      </w:r>
      <w:r>
        <w:rPr>
          <w:rFonts w:hint="eastAsia" w:ascii="仿宋_GB2312" w:hAnsi="仿宋" w:eastAsia="仿宋_GB2312" w:cs="宋体"/>
          <w:sz w:val="32"/>
          <w:szCs w:val="32"/>
          <w:highlight w:val="none"/>
          <w:lang w:eastAsia="zh-CN" w:bidi="ar-SA"/>
        </w:rPr>
        <w:t>履职</w:t>
      </w:r>
      <w:r>
        <w:rPr>
          <w:rFonts w:hint="eastAsia" w:ascii="仿宋_GB2312" w:hAnsi="仿宋" w:eastAsia="仿宋_GB2312" w:cs="宋体"/>
          <w:sz w:val="32"/>
          <w:szCs w:val="32"/>
          <w:highlight w:val="none"/>
          <w:lang w:val="en-US" w:eastAsia="zh-CN" w:bidi="ar-SA"/>
        </w:rPr>
        <w:t>情况进行</w:t>
      </w:r>
      <w:r>
        <w:rPr>
          <w:rFonts w:hint="eastAsia" w:ascii="仿宋_GB2312" w:hAnsi="仿宋" w:eastAsia="仿宋_GB2312" w:cs="宋体"/>
          <w:sz w:val="32"/>
          <w:szCs w:val="32"/>
          <w:highlight w:val="none"/>
          <w:lang w:eastAsia="zh-CN" w:bidi="ar-SA"/>
        </w:rPr>
        <w:t>评价。</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33.监督</w:t>
      </w:r>
      <w:r>
        <w:rPr>
          <w:rFonts w:hint="eastAsia" w:ascii="黑体" w:hAnsi="黑体" w:eastAsia="黑体" w:cs="黑体"/>
          <w:color w:val="auto"/>
          <w:kern w:val="2"/>
          <w:sz w:val="32"/>
          <w:szCs w:val="32"/>
          <w:highlight w:val="none"/>
        </w:rPr>
        <w:t>内容</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rPr>
        <w:t>资质评审工作的监督检查，主要包括下列内容：</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a</w:t>
      </w:r>
      <w:r>
        <w:rPr>
          <w:rFonts w:hint="eastAsia" w:ascii="仿宋_GB2312" w:eastAsia="仿宋_GB2312"/>
          <w:color w:val="auto"/>
          <w:sz w:val="32"/>
          <w:szCs w:val="32"/>
          <w:highlight w:val="none"/>
        </w:rPr>
        <w:t>.监督评审工作程序是否规范，评审过程是否公平；</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b</w:t>
      </w:r>
      <w:r>
        <w:rPr>
          <w:rFonts w:hint="eastAsia" w:ascii="仿宋_GB2312" w:eastAsia="仿宋_GB2312"/>
          <w:color w:val="auto"/>
          <w:sz w:val="32"/>
          <w:szCs w:val="32"/>
          <w:highlight w:val="none"/>
        </w:rPr>
        <w:t>.监督现场评审纪律是否严肃，各方职责履行是否到位；</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c</w:t>
      </w:r>
      <w:r>
        <w:rPr>
          <w:rFonts w:hint="eastAsia" w:ascii="仿宋_GB2312" w:eastAsia="仿宋_GB2312"/>
          <w:color w:val="auto"/>
          <w:sz w:val="32"/>
          <w:szCs w:val="32"/>
          <w:highlight w:val="none"/>
        </w:rPr>
        <w:t>.监督评审专家是否独立评审，行为是否守规，结论复核是否认真。</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34.</w:t>
      </w:r>
      <w:r>
        <w:rPr>
          <w:rFonts w:hint="eastAsia" w:ascii="黑体" w:hAnsi="黑体" w:eastAsia="黑体" w:cs="黑体"/>
          <w:color w:val="auto"/>
          <w:kern w:val="2"/>
          <w:sz w:val="32"/>
          <w:szCs w:val="32"/>
          <w:highlight w:val="none"/>
        </w:rPr>
        <w:t>虚假上报</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rPr>
        <w:t>评审组应如实上报评审结果，确保出具的评审报告和结论真实、可靠。在评审过程中发现检测机构隐瞒有关情况或提供虚假材料申请资质的，应及时上报</w:t>
      </w:r>
      <w:r>
        <w:rPr>
          <w:rFonts w:hint="eastAsia" w:ascii="仿宋_GB2312" w:eastAsia="仿宋_GB2312"/>
          <w:color w:val="auto"/>
          <w:sz w:val="32"/>
          <w:szCs w:val="32"/>
          <w:highlight w:val="none"/>
          <w:lang w:eastAsia="zh-CN"/>
        </w:rPr>
        <w:t>资质审批</w:t>
      </w:r>
      <w:r>
        <w:rPr>
          <w:rFonts w:hint="eastAsia" w:ascii="仿宋_GB2312" w:eastAsia="仿宋_GB2312"/>
          <w:color w:val="auto"/>
          <w:sz w:val="32"/>
          <w:szCs w:val="32"/>
          <w:highlight w:val="none"/>
        </w:rPr>
        <w:t>机关。</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35.</w:t>
      </w:r>
      <w:r>
        <w:rPr>
          <w:rFonts w:hint="eastAsia" w:ascii="黑体" w:hAnsi="黑体" w:eastAsia="黑体" w:cs="黑体"/>
          <w:color w:val="auto"/>
          <w:kern w:val="2"/>
          <w:sz w:val="32"/>
          <w:szCs w:val="32"/>
          <w:highlight w:val="none"/>
        </w:rPr>
        <w:t>违规</w:t>
      </w:r>
      <w:r>
        <w:rPr>
          <w:rFonts w:hint="eastAsia" w:ascii="黑体" w:hAnsi="黑体" w:eastAsia="黑体" w:cs="黑体"/>
          <w:color w:val="auto"/>
          <w:kern w:val="2"/>
          <w:sz w:val="32"/>
          <w:szCs w:val="32"/>
          <w:highlight w:val="none"/>
          <w:lang w:val="en-US" w:eastAsia="zh-CN"/>
        </w:rPr>
        <w:t>处理</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rPr>
        <w:t>省住房城乡建设厅对违反评审规定的评审组成员，</w:t>
      </w:r>
      <w:r>
        <w:rPr>
          <w:rFonts w:hint="eastAsia" w:ascii="仿宋_GB2312" w:eastAsia="仿宋_GB2312"/>
          <w:color w:val="auto"/>
          <w:sz w:val="32"/>
          <w:szCs w:val="32"/>
          <w:highlight w:val="none"/>
          <w:lang w:val="en-US" w:eastAsia="zh-CN"/>
        </w:rPr>
        <w:t>按照</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 w:eastAsia="仿宋_GB2312" w:cs="宋体"/>
          <w:sz w:val="32"/>
          <w:szCs w:val="32"/>
          <w:highlight w:val="none"/>
          <w:lang w:bidi="ar-SA"/>
        </w:rPr>
        <w:t>专家库管理办法</w:t>
      </w:r>
      <w:r>
        <w:rPr>
          <w:rFonts w:hint="eastAsia" w:ascii="仿宋_GB2312" w:hAnsi="仿宋_GB2312" w:eastAsia="仿宋_GB2312" w:cs="仿宋_GB2312"/>
          <w:b w:val="0"/>
          <w:bCs w:val="0"/>
          <w:sz w:val="32"/>
          <w:szCs w:val="32"/>
          <w:highlight w:val="none"/>
          <w:lang w:val="en-US" w:eastAsia="zh-CN"/>
        </w:rPr>
        <w:t>》</w:t>
      </w:r>
      <w:r>
        <w:rPr>
          <w:rFonts w:hint="eastAsia" w:ascii="仿宋_GB2312" w:eastAsia="仿宋_GB2312"/>
          <w:color w:val="auto"/>
          <w:sz w:val="32"/>
          <w:szCs w:val="32"/>
          <w:highlight w:val="none"/>
          <w:lang w:val="en-US" w:eastAsia="zh-CN"/>
        </w:rPr>
        <w:t>有关规定进行处理</w:t>
      </w:r>
      <w:r>
        <w:rPr>
          <w:rFonts w:hint="eastAsia" w:ascii="仿宋_GB2312" w:eastAsia="仿宋_GB2312"/>
          <w:color w:val="auto"/>
          <w:sz w:val="32"/>
          <w:szCs w:val="32"/>
          <w:highlight w:val="none"/>
        </w:rPr>
        <w:t>。</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left"/>
        <w:textAlignment w:val="auto"/>
        <w:rPr>
          <w:rStyle w:val="21"/>
          <w:rFonts w:ascii="黑体" w:hAnsi="黑体" w:eastAsia="黑体" w:cs="宋体"/>
          <w:b w:val="0"/>
          <w:color w:val="auto"/>
          <w:highlight w:val="none"/>
        </w:rPr>
      </w:pPr>
      <w:r>
        <w:rPr>
          <w:rStyle w:val="21"/>
          <w:rFonts w:hint="eastAsia" w:ascii="黑体" w:hAnsi="黑体" w:eastAsia="黑体"/>
          <w:b w:val="0"/>
          <w:color w:val="auto"/>
          <w:sz w:val="32"/>
          <w:szCs w:val="32"/>
          <w:highlight w:val="none"/>
          <w:lang w:val="en-US" w:eastAsia="zh-CN"/>
        </w:rPr>
        <w:t>36.</w:t>
      </w:r>
      <w:r>
        <w:rPr>
          <w:rStyle w:val="21"/>
          <w:rFonts w:hint="eastAsia" w:ascii="黑体" w:hAnsi="黑体" w:eastAsia="黑体"/>
          <w:b w:val="0"/>
          <w:color w:val="auto"/>
          <w:sz w:val="32"/>
          <w:szCs w:val="32"/>
          <w:highlight w:val="none"/>
        </w:rPr>
        <w:t>附则</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36.1</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val="en-US" w:eastAsia="zh-CN"/>
        </w:rPr>
        <w:t>指南</w:t>
      </w:r>
      <w:r>
        <w:rPr>
          <w:rFonts w:hint="eastAsia" w:ascii="仿宋_GB2312" w:eastAsia="仿宋_GB2312"/>
          <w:color w:val="auto"/>
          <w:sz w:val="32"/>
          <w:szCs w:val="32"/>
          <w:highlight w:val="none"/>
        </w:rPr>
        <w:t>由省住房和城乡建设主管部门负责解释。</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36.2</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val="en-US" w:eastAsia="zh-CN"/>
        </w:rPr>
        <w:t>指南</w:t>
      </w:r>
      <w:r>
        <w:rPr>
          <w:rFonts w:hint="eastAsia" w:ascii="仿宋_GB2312" w:eastAsia="仿宋_GB2312"/>
          <w:color w:val="auto"/>
          <w:sz w:val="32"/>
          <w:szCs w:val="32"/>
          <w:highlight w:val="none"/>
        </w:rPr>
        <w:t>自202</w:t>
      </w:r>
      <w:r>
        <w:rPr>
          <w:rFonts w:hint="eastAsia" w:ascii="仿宋_GB2312" w:eastAsia="仿宋_GB2312"/>
          <w:color w:val="auto"/>
          <w:sz w:val="32"/>
          <w:szCs w:val="32"/>
          <w:highlight w:val="none"/>
          <w:lang w:val="en-US" w:eastAsia="zh-CN"/>
        </w:rPr>
        <w:t>4</w:t>
      </w:r>
      <w:bookmarkStart w:id="96" w:name="_GoBack"/>
      <w:bookmarkEnd w:id="96"/>
      <w:r>
        <w:rPr>
          <w:rFonts w:hint="eastAsia" w:ascii="仿宋_GB2312" w:eastAsia="仿宋_GB2312"/>
          <w:color w:val="auto"/>
          <w:sz w:val="32"/>
          <w:szCs w:val="32"/>
          <w:highlight w:val="none"/>
        </w:rPr>
        <w:t>年  月   日起施行。</w:t>
      </w:r>
    </w:p>
    <w:p>
      <w:pPr>
        <w:pStyle w:val="12"/>
        <w:keepNext w:val="0"/>
        <w:keepLines w:val="0"/>
        <w:pageBreakBefore w:val="0"/>
        <w:kinsoku/>
        <w:overflowPunct/>
        <w:topLinePunct w:val="0"/>
        <w:autoSpaceDN/>
        <w:bidi w:val="0"/>
        <w:adjustRightInd/>
        <w:snapToGrid/>
        <w:spacing w:before="0" w:beforeAutospacing="0" w:after="0" w:afterAutospacing="0" w:line="576" w:lineRule="exact"/>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20" w:hanging="1920" w:hangingChars="6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附件：1.广东省建设工程质量检测机构资质核准申请材料审查情况表</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20" w:hanging="1920" w:hangingChars="6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2.资质申请类别及评审方式一览表</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20" w:hanging="1920" w:hangingChars="6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3.资质评审承诺声明</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20" w:hanging="1920" w:hangingChars="6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4.专家评审计划表</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16" w:leftChars="760" w:hanging="320" w:hangingChars="1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5.专家评审会议签到表</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16" w:leftChars="760" w:hanging="320" w:hangingChars="1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6.被评审机构封存材料保存承诺书</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16" w:leftChars="760" w:hanging="320" w:hangingChars="1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7.建设工程质量检测机构资质评审材料封存清单</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16" w:leftChars="760" w:hanging="320" w:hangingChars="1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8.建设工程质量检测机构资质评审材料报送清单</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16" w:leftChars="760" w:hanging="320" w:hangingChars="100"/>
        <w:jc w:val="both"/>
        <w:textAlignment w:val="auto"/>
        <w:outlineLvl w:val="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9.广东省建设工程质量检测机构资质评审报告</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left="1916" w:leftChars="760" w:hanging="320" w:hangingChars="100"/>
        <w:jc w:val="both"/>
        <w:textAlignment w:val="auto"/>
        <w:outlineLvl w:val="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w:t>
      </w:r>
      <w:r>
        <w:rPr>
          <w:rFonts w:hint="default" w:ascii="仿宋_GB2312" w:eastAsia="仿宋_GB2312"/>
          <w:color w:val="auto"/>
          <w:sz w:val="32"/>
          <w:szCs w:val="32"/>
          <w:highlight w:val="none"/>
          <w:lang w:val="en-US" w:eastAsia="zh-CN"/>
        </w:rPr>
        <w:t>仪器设备配置表</w:t>
      </w:r>
    </w:p>
    <w:p>
      <w:pPr>
        <w:pStyle w:val="12"/>
        <w:keepNext w:val="0"/>
        <w:keepLines w:val="0"/>
        <w:pageBreakBefore w:val="0"/>
        <w:kinsoku/>
        <w:overflowPunct/>
        <w:topLinePunct w:val="0"/>
        <w:autoSpaceDN/>
        <w:bidi w:val="0"/>
        <w:adjustRightInd/>
        <w:snapToGrid/>
        <w:spacing w:before="0" w:beforeAutospacing="0" w:after="0" w:afterAutospacing="0" w:line="576" w:lineRule="exact"/>
        <w:ind w:firstLine="640" w:firstLineChars="200"/>
        <w:jc w:val="both"/>
        <w:textAlignment w:val="auto"/>
        <w:outlineLvl w:val="0"/>
        <w:rPr>
          <w:rFonts w:hint="eastAsia" w:ascii="仿宋_GB2312" w:eastAsia="仿宋_GB2312"/>
          <w:color w:val="auto"/>
          <w:sz w:val="32"/>
          <w:szCs w:val="32"/>
          <w:highlight w:val="none"/>
        </w:rPr>
        <w:sectPr>
          <w:footerReference r:id="rId3" w:type="default"/>
          <w:pgSz w:w="11906" w:h="16838"/>
          <w:pgMar w:top="1644" w:right="1474" w:bottom="141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12"/>
        <w:spacing w:before="0" w:beforeAutospacing="0" w:after="0" w:afterAutospacing="0" w:line="596" w:lineRule="exact"/>
        <w:jc w:val="both"/>
        <w:outlineLvl w:val="0"/>
        <w:rPr>
          <w:rFonts w:hint="eastAsia" w:ascii="仿宋_GB2312" w:eastAsia="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pStyle w:val="2"/>
        <w:jc w:val="center"/>
        <w:rPr>
          <w:rFonts w:hint="eastAsia" w:ascii="方正小标宋简体" w:hAnsi="方正小标宋简体" w:eastAsia="方正小标宋简体" w:cs="方正小标宋简体"/>
          <w:sz w:val="44"/>
          <w:szCs w:val="44"/>
          <w:highlight w:val="none"/>
          <w:lang w:val="en-US" w:eastAsia="zh-CN"/>
        </w:rPr>
      </w:pPr>
      <w:bookmarkStart w:id="50" w:name="bookmark5"/>
      <w:bookmarkEnd w:id="50"/>
      <w:bookmarkStart w:id="51" w:name="_Toc513117581"/>
      <w:bookmarkEnd w:id="51"/>
      <w:bookmarkStart w:id="52" w:name="_Toc513117579"/>
      <w:bookmarkEnd w:id="52"/>
      <w:bookmarkStart w:id="53" w:name="_Toc513117580"/>
      <w:bookmarkEnd w:id="53"/>
      <w:r>
        <w:rPr>
          <w:rFonts w:hint="eastAsia" w:ascii="方正小标宋简体" w:hAnsi="方正小标宋简体" w:eastAsia="方正小标宋简体" w:cs="方正小标宋简体"/>
          <w:sz w:val="44"/>
          <w:szCs w:val="44"/>
          <w:highlight w:val="none"/>
          <w:lang w:val="en-US" w:eastAsia="zh-CN"/>
        </w:rPr>
        <w:t>广东省建设工程质量检测机构资质认定申请材料审查情况表</w:t>
      </w:r>
    </w:p>
    <w:tbl>
      <w:tblPr>
        <w:tblStyle w:val="14"/>
        <w:tblW w:w="14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713"/>
        <w:gridCol w:w="6"/>
        <w:gridCol w:w="1728"/>
        <w:gridCol w:w="1011"/>
        <w:gridCol w:w="6252"/>
        <w:gridCol w:w="122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3" w:type="dxa"/>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核查内容</w:t>
            </w:r>
          </w:p>
        </w:tc>
        <w:tc>
          <w:tcPr>
            <w:tcW w:w="713" w:type="dxa"/>
            <w:noWrap w:val="0"/>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745" w:type="dxa"/>
            <w:gridSpan w:val="3"/>
            <w:noWrap w:val="0"/>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材料名称</w:t>
            </w:r>
          </w:p>
        </w:tc>
        <w:tc>
          <w:tcPr>
            <w:tcW w:w="6252" w:type="dxa"/>
            <w:noWrap w:val="0"/>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审查标准</w:t>
            </w:r>
          </w:p>
        </w:tc>
        <w:tc>
          <w:tcPr>
            <w:tcW w:w="1225" w:type="dxa"/>
            <w:noWrap w:val="0"/>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审查结论</w:t>
            </w:r>
          </w:p>
        </w:tc>
        <w:tc>
          <w:tcPr>
            <w:tcW w:w="2012" w:type="dxa"/>
            <w:noWrap w:val="0"/>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blHeader/>
          <w:jc w:val="center"/>
        </w:trPr>
        <w:tc>
          <w:tcPr>
            <w:tcW w:w="1263" w:type="dxa"/>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资质申</w:t>
            </w:r>
          </w:p>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请表</w:t>
            </w:r>
          </w:p>
        </w:tc>
        <w:tc>
          <w:tcPr>
            <w:tcW w:w="713" w:type="dxa"/>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2745" w:type="dxa"/>
            <w:gridSpan w:val="3"/>
            <w:noWrap w:val="0"/>
            <w:vAlign w:val="center"/>
          </w:tcPr>
          <w:p>
            <w:pP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建设工程质量检测机构资质申请表</w:t>
            </w:r>
          </w:p>
        </w:tc>
        <w:tc>
          <w:tcPr>
            <w:tcW w:w="6252" w:type="dxa"/>
            <w:noWrap w:val="0"/>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内容齐全，</w:t>
            </w:r>
            <w:r>
              <w:rPr>
                <w:rFonts w:hint="eastAsia" w:ascii="仿宋_GB2312" w:hAnsi="仿宋_GB2312" w:eastAsia="仿宋_GB2312" w:cs="仿宋_GB2312"/>
                <w:color w:val="auto"/>
                <w:sz w:val="24"/>
                <w:highlight w:val="none"/>
                <w:lang w:val="en-US" w:eastAsia="zh-CN"/>
              </w:rPr>
              <w:t>与国务院住房和城乡建设主管部门制定格式内容一致。</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exact"/>
          <w:tblHeader/>
          <w:jc w:val="center"/>
        </w:trPr>
        <w:tc>
          <w:tcPr>
            <w:tcW w:w="1263" w:type="dxa"/>
            <w:vMerge w:val="restart"/>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资历及</w:t>
            </w:r>
          </w:p>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信誉</w:t>
            </w:r>
          </w:p>
        </w:tc>
        <w:tc>
          <w:tcPr>
            <w:tcW w:w="713" w:type="dxa"/>
            <w:noWrap w:val="0"/>
            <w:vAlign w:val="center"/>
          </w:tcPr>
          <w:p>
            <w:pPr>
              <w:jc w:val="center"/>
              <w:rPr>
                <w:rFonts w:hint="eastAsia" w:ascii="仿宋_GB2312" w:hAnsi="仿宋_GB2312" w:eastAsia="仿宋_GB2312" w:cs="仿宋_GB2312"/>
                <w:color w:val="auto"/>
                <w:kern w:val="2"/>
                <w:sz w:val="24"/>
                <w:szCs w:val="20"/>
                <w:highlight w:val="none"/>
                <w:lang w:val="en-US" w:eastAsia="zh-CN" w:bidi="ar-SA"/>
              </w:rPr>
            </w:pPr>
            <w:r>
              <w:rPr>
                <w:rFonts w:hint="eastAsia" w:ascii="仿宋_GB2312" w:hAnsi="仿宋_GB2312" w:eastAsia="仿宋_GB2312" w:cs="仿宋_GB2312"/>
                <w:color w:val="auto"/>
                <w:sz w:val="24"/>
                <w:highlight w:val="none"/>
                <w:lang w:val="en-US" w:eastAsia="zh-CN"/>
              </w:rPr>
              <w:t>2</w:t>
            </w:r>
          </w:p>
        </w:tc>
        <w:tc>
          <w:tcPr>
            <w:tcW w:w="2745" w:type="dxa"/>
            <w:gridSpan w:val="3"/>
            <w:noWrap w:val="0"/>
            <w:vAlign w:val="center"/>
          </w:tcPr>
          <w:p>
            <w:pPr>
              <w:rPr>
                <w:rFonts w:hint="eastAsia" w:ascii="仿宋_GB2312" w:hAnsi="仿宋_GB2312" w:eastAsia="仿宋_GB2312" w:cs="仿宋_GB2312"/>
                <w:color w:val="auto"/>
                <w:kern w:val="2"/>
                <w:sz w:val="24"/>
                <w:szCs w:val="20"/>
                <w:highlight w:val="none"/>
                <w:lang w:val="en-US" w:eastAsia="zh-CN" w:bidi="ar-SA"/>
              </w:rPr>
            </w:pPr>
            <w:r>
              <w:rPr>
                <w:rFonts w:hint="eastAsia" w:ascii="仿宋_GB2312" w:hAnsi="仿宋_GB2312" w:eastAsia="仿宋_GB2312" w:cs="仿宋_GB2312"/>
                <w:color w:val="auto"/>
                <w:sz w:val="24"/>
                <w:highlight w:val="none"/>
              </w:rPr>
              <w:t>法人证书或营业执照</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机构应为独立法人资格的企业、事业单位，或依法设立的合伙企业；</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法人证书或营业执照需在有效期内；</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经营范围中应包含建设工程质量检测类别</w:t>
            </w:r>
            <w:r>
              <w:rPr>
                <w:rFonts w:hint="eastAsia" w:ascii="仿宋_GB2312" w:hAnsi="仿宋_GB2312" w:eastAsia="仿宋_GB2312" w:cs="仿宋_GB2312"/>
                <w:color w:val="auto"/>
                <w:sz w:val="24"/>
                <w:highlight w:val="none"/>
                <w:lang w:eastAsia="zh-CN"/>
              </w:rPr>
              <w:t>；</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4.检测机构的法人、机构负责人是否是因违法被吊销营业执照、责令关闭未满三年并负有个人责任的公司、企业法定代表人</w:t>
            </w:r>
            <w:r>
              <w:rPr>
                <w:rFonts w:hint="eastAsia" w:ascii="仿宋_GB2312" w:hAnsi="仿宋_GB2312" w:eastAsia="仿宋_GB2312" w:cs="仿宋_GB2312"/>
                <w:color w:val="auto"/>
                <w:sz w:val="24"/>
                <w:highlight w:val="none"/>
              </w:rPr>
              <w:t>。</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2745" w:type="dxa"/>
            <w:gridSpan w:val="3"/>
            <w:noWrap w:val="0"/>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检测机构企业信用证明文件</w:t>
            </w:r>
          </w:p>
        </w:tc>
        <w:tc>
          <w:tcPr>
            <w:tcW w:w="6252" w:type="dxa"/>
            <w:noWrap w:val="0"/>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社会信誉良好，近3年未发生过一般及以上工程质量安全责任事故。</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7"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noWrap w:val="0"/>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w:t>
            </w:r>
          </w:p>
        </w:tc>
        <w:tc>
          <w:tcPr>
            <w:tcW w:w="2745" w:type="dxa"/>
            <w:gridSpan w:val="3"/>
            <w:noWrap w:val="0"/>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val="en-US" w:eastAsia="zh-CN"/>
              </w:rPr>
              <w:t>建设</w:t>
            </w:r>
            <w:r>
              <w:rPr>
                <w:rFonts w:hint="eastAsia" w:ascii="仿宋_GB2312" w:hAnsi="仿宋_GB2312" w:eastAsia="仿宋_GB2312" w:cs="仿宋_GB2312"/>
                <w:color w:val="auto"/>
                <w:sz w:val="24"/>
                <w:highlight w:val="none"/>
              </w:rPr>
              <w:t>工程质量检测经历证明</w:t>
            </w:r>
            <w:r>
              <w:rPr>
                <w:rFonts w:hint="eastAsia" w:ascii="仿宋_GB2312" w:hAnsi="仿宋_GB2312" w:eastAsia="仿宋_GB2312" w:cs="仿宋_GB2312"/>
                <w:color w:val="auto"/>
                <w:sz w:val="24"/>
                <w:highlight w:val="none"/>
                <w:lang w:val="en-US" w:eastAsia="zh-CN"/>
              </w:rPr>
              <w:t>材料</w:t>
            </w:r>
            <w:r>
              <w:rPr>
                <w:rFonts w:hint="eastAsia" w:ascii="仿宋_GB2312" w:hAnsi="仿宋_GB2312" w:eastAsia="仿宋_GB2312" w:cs="仿宋_GB2312"/>
                <w:color w:val="auto"/>
                <w:sz w:val="24"/>
                <w:highlight w:val="none"/>
                <w:lang w:eastAsia="zh-CN"/>
              </w:rPr>
              <w:t>（首次获得或满足年限要求的</w:t>
            </w:r>
            <w:r>
              <w:rPr>
                <w:rFonts w:hint="eastAsia" w:ascii="仿宋_GB2312" w:hAnsi="仿宋_GB2312" w:eastAsia="仿宋_GB2312" w:cs="仿宋_GB2312"/>
                <w:color w:val="auto"/>
                <w:sz w:val="24"/>
                <w:highlight w:val="none"/>
              </w:rPr>
              <w:t>建设工程</w:t>
            </w:r>
            <w:r>
              <w:rPr>
                <w:rFonts w:hint="eastAsia" w:ascii="仿宋_GB2312" w:hAnsi="仿宋_GB2312" w:eastAsia="仿宋_GB2312" w:cs="仿宋_GB2312"/>
                <w:color w:val="auto"/>
                <w:sz w:val="24"/>
                <w:highlight w:val="none"/>
                <w:lang w:eastAsia="zh-CN"/>
              </w:rPr>
              <w:t>质量</w:t>
            </w:r>
            <w:r>
              <w:rPr>
                <w:rFonts w:hint="eastAsia" w:ascii="仿宋_GB2312" w:hAnsi="仿宋_GB2312" w:eastAsia="仿宋_GB2312" w:cs="仿宋_GB2312"/>
                <w:color w:val="auto"/>
                <w:sz w:val="24"/>
                <w:highlight w:val="none"/>
              </w:rPr>
              <w:t>检测机构资质</w:t>
            </w:r>
            <w:r>
              <w:rPr>
                <w:rFonts w:hint="eastAsia" w:ascii="仿宋_GB2312" w:hAnsi="仿宋_GB2312" w:eastAsia="仿宋_GB2312" w:cs="仿宋_GB2312"/>
                <w:color w:val="auto"/>
                <w:sz w:val="24"/>
                <w:highlight w:val="none"/>
                <w:lang w:eastAsia="zh-CN"/>
              </w:rPr>
              <w:t>证书等）。</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核查从事建设工程质量检测的年限，需满足以下要求：</w:t>
            </w:r>
          </w:p>
          <w:p>
            <w:pPr>
              <w:numPr>
                <w:ilvl w:val="0"/>
                <w:numId w:val="0"/>
              </w:num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申请主体结构及装饰装修、钢结构、地基基础、建筑幕墙、道路工程、桥梁及地下工程等6个专项资质应具有3年以上建设工程质量检测经历。</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申请综合资质应具有15年以上建设工程质量检测经历。</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注：</w:t>
            </w:r>
            <w:r>
              <w:rPr>
                <w:rFonts w:hint="eastAsia" w:ascii="仿宋_GB2312" w:hAnsi="仿宋_GB2312" w:eastAsia="仿宋_GB2312" w:cs="仿宋_GB2312"/>
                <w:color w:val="auto"/>
                <w:sz w:val="24"/>
                <w:highlight w:val="none"/>
              </w:rPr>
              <w:t>属于机构改制</w:t>
            </w:r>
            <w:r>
              <w:rPr>
                <w:rFonts w:hint="eastAsia" w:ascii="仿宋_GB2312" w:hAnsi="仿宋_GB2312" w:eastAsia="仿宋_GB2312" w:cs="仿宋_GB2312"/>
                <w:color w:val="auto"/>
                <w:sz w:val="24"/>
                <w:highlight w:val="none"/>
                <w:lang w:val="en-US" w:eastAsia="zh-CN"/>
              </w:rPr>
              <w:t>等</w:t>
            </w:r>
            <w:r>
              <w:rPr>
                <w:rFonts w:hint="eastAsia" w:ascii="仿宋_GB2312" w:hAnsi="仿宋_GB2312" w:eastAsia="仿宋_GB2312" w:cs="仿宋_GB2312"/>
                <w:color w:val="auto"/>
                <w:sz w:val="24"/>
                <w:highlight w:val="none"/>
              </w:rPr>
              <w:t>的检测机构，由</w:t>
            </w:r>
            <w:r>
              <w:rPr>
                <w:rFonts w:hint="eastAsia" w:ascii="仿宋_GB2312" w:hAnsi="仿宋_GB2312" w:eastAsia="仿宋_GB2312" w:cs="仿宋_GB2312"/>
                <w:color w:val="auto"/>
                <w:sz w:val="24"/>
                <w:highlight w:val="none"/>
                <w:lang w:val="en-US" w:eastAsia="zh-CN"/>
              </w:rPr>
              <w:t>改制前机构</w:t>
            </w:r>
            <w:r>
              <w:rPr>
                <w:rFonts w:hint="eastAsia" w:ascii="仿宋_GB2312" w:hAnsi="仿宋_GB2312" w:eastAsia="仿宋_GB2312" w:cs="仿宋_GB2312"/>
                <w:color w:val="auto"/>
                <w:sz w:val="24"/>
                <w:highlight w:val="none"/>
              </w:rPr>
              <w:t>取得建设工程检测机构资质的时间点</w:t>
            </w:r>
            <w:r>
              <w:rPr>
                <w:rFonts w:hint="eastAsia" w:ascii="仿宋_GB2312" w:hAnsi="仿宋_GB2312" w:eastAsia="仿宋_GB2312" w:cs="仿宋_GB2312"/>
                <w:color w:val="auto"/>
                <w:sz w:val="24"/>
                <w:highlight w:val="none"/>
                <w:lang w:val="en-US" w:eastAsia="zh-CN"/>
              </w:rPr>
              <w:t>起算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已按照原</w:t>
            </w:r>
            <w:r>
              <w:rPr>
                <w:rFonts w:hint="eastAsia" w:ascii="仿宋_GB2312" w:hAnsi="仿宋_GB2312" w:eastAsia="仿宋_GB2312" w:cs="仿宋_GB2312"/>
                <w:color w:val="auto"/>
                <w:sz w:val="24"/>
                <w:highlight w:val="none"/>
                <w:lang w:eastAsia="zh-CN"/>
              </w:rPr>
              <w:t>资质</w:t>
            </w:r>
            <w:r>
              <w:rPr>
                <w:rFonts w:hint="eastAsia" w:ascii="仿宋_GB2312" w:hAnsi="仿宋_GB2312" w:eastAsia="仿宋_GB2312" w:cs="仿宋_GB2312"/>
                <w:color w:val="auto"/>
                <w:sz w:val="24"/>
                <w:highlight w:val="none"/>
              </w:rPr>
              <w:t>标准取得建设工程质量检测机构资质的检测机构按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建设工程质量检测机构</w:t>
            </w:r>
            <w:r>
              <w:rPr>
                <w:rFonts w:hint="eastAsia" w:ascii="仿宋_GB2312" w:hAnsi="仿宋_GB2312" w:eastAsia="仿宋_GB2312" w:cs="仿宋_GB2312"/>
                <w:color w:val="auto"/>
                <w:sz w:val="24"/>
                <w:highlight w:val="none"/>
                <w:lang w:eastAsia="zh-CN"/>
              </w:rPr>
              <w:t>资质</w:t>
            </w:r>
            <w:r>
              <w:rPr>
                <w:rFonts w:hint="eastAsia" w:ascii="仿宋_GB2312" w:hAnsi="仿宋_GB2312" w:eastAsia="仿宋_GB2312" w:cs="仿宋_GB2312"/>
                <w:color w:val="auto"/>
                <w:sz w:val="24"/>
                <w:highlight w:val="none"/>
              </w:rPr>
              <w:t>标准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申请重新核定时，不考核检测机构检测经历</w:t>
            </w:r>
            <w:r>
              <w:rPr>
                <w:rFonts w:hint="eastAsia" w:ascii="仿宋_GB2312" w:hAnsi="仿宋_GB2312" w:eastAsia="仿宋_GB2312" w:cs="仿宋_GB2312"/>
                <w:color w:val="auto"/>
                <w:sz w:val="24"/>
                <w:highlight w:val="none"/>
                <w:lang w:eastAsia="zh-CN"/>
              </w:rPr>
              <w:t>。</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745" w:type="dxa"/>
            <w:gridSpan w:val="3"/>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已通过市场监管部门资质认定的证书及附表</w:t>
            </w:r>
            <w:r>
              <w:rPr>
                <w:rFonts w:hint="eastAsia" w:ascii="仿宋_GB2312" w:hAnsi="仿宋_GB2312" w:eastAsia="仿宋_GB2312" w:cs="仿宋_GB2312"/>
                <w:color w:val="auto"/>
                <w:sz w:val="24"/>
                <w:highlight w:val="none"/>
                <w:lang w:val="en-US" w:eastAsia="zh-CN"/>
              </w:rPr>
              <w:t>等</w:t>
            </w:r>
          </w:p>
        </w:tc>
        <w:tc>
          <w:tcPr>
            <w:tcW w:w="6252" w:type="dxa"/>
            <w:noWrap w:val="0"/>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相关证书及附表，以及</w:t>
            </w:r>
            <w:r>
              <w:rPr>
                <w:rFonts w:hint="eastAsia" w:ascii="仿宋_GB2312" w:hAnsi="仿宋_GB2312" w:eastAsia="仿宋_GB2312" w:cs="仿宋_GB2312"/>
                <w:color w:val="auto"/>
                <w:sz w:val="24"/>
                <w:highlight w:val="none"/>
              </w:rPr>
              <w:t>是否在有效期内，是否涵盖拟申请项目、参数</w:t>
            </w:r>
            <w:r>
              <w:rPr>
                <w:rFonts w:hint="eastAsia" w:ascii="仿宋_GB2312" w:hAnsi="仿宋_GB2312" w:eastAsia="仿宋_GB2312" w:cs="仿宋_GB2312"/>
                <w:color w:val="auto"/>
                <w:sz w:val="24"/>
                <w:highlight w:val="none"/>
                <w:lang w:eastAsia="zh-CN"/>
              </w:rPr>
              <w:t>。</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noWrap w:val="0"/>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w:t>
            </w:r>
          </w:p>
        </w:tc>
        <w:tc>
          <w:tcPr>
            <w:tcW w:w="2745" w:type="dxa"/>
            <w:gridSpan w:val="3"/>
            <w:noWrap w:val="0"/>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已有建设工程质量检测机构资质证书及附表</w:t>
            </w:r>
          </w:p>
        </w:tc>
        <w:tc>
          <w:tcPr>
            <w:tcW w:w="6252" w:type="dxa"/>
            <w:noWrap w:val="0"/>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相关证书及附表，以及</w:t>
            </w:r>
            <w:r>
              <w:rPr>
                <w:rFonts w:hint="eastAsia" w:ascii="仿宋_GB2312" w:hAnsi="仿宋_GB2312" w:eastAsia="仿宋_GB2312" w:cs="仿宋_GB2312"/>
                <w:color w:val="auto"/>
                <w:sz w:val="24"/>
                <w:highlight w:val="none"/>
              </w:rPr>
              <w:t>是否在有效期内</w:t>
            </w:r>
            <w:r>
              <w:rPr>
                <w:rFonts w:hint="eastAsia" w:ascii="仿宋_GB2312" w:hAnsi="仿宋_GB2312" w:eastAsia="仿宋_GB2312" w:cs="仿宋_GB2312"/>
                <w:color w:val="auto"/>
                <w:sz w:val="24"/>
                <w:highlight w:val="none"/>
                <w:lang w:eastAsia="zh-CN"/>
              </w:rPr>
              <w:t>。</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default" w:ascii="仿宋_GB2312" w:hAnsi="仿宋_GB2312" w:eastAsia="仿宋_GB2312" w:cs="仿宋_GB2312"/>
                <w:color w:val="auto"/>
                <w:sz w:val="24"/>
                <w:highlight w:val="none"/>
                <w:lang w:val="en-US"/>
              </w:rPr>
            </w:pPr>
            <w:r>
              <w:rPr>
                <w:rFonts w:hint="eastAsia" w:ascii="仿宋_GB2312" w:hAnsi="Times New Roman" w:eastAsia="仿宋_GB2312" w:cs="Times New Roman"/>
                <w:color w:val="auto"/>
                <w:kern w:val="0"/>
                <w:sz w:val="24"/>
                <w:szCs w:val="24"/>
                <w:highlight w:val="none"/>
              </w:rPr>
              <w:t>按</w:t>
            </w:r>
            <w:r>
              <w:rPr>
                <w:rFonts w:hint="eastAsia" w:ascii="仿宋_GB2312" w:eastAsia="仿宋_GB2312" w:cs="Times New Roman"/>
                <w:color w:val="auto"/>
                <w:kern w:val="0"/>
                <w:sz w:val="24"/>
                <w:szCs w:val="24"/>
                <w:highlight w:val="none"/>
                <w:lang w:val="en-US" w:eastAsia="zh-CN"/>
              </w:rPr>
              <w:t>新</w:t>
            </w:r>
            <w:r>
              <w:rPr>
                <w:rFonts w:hint="eastAsia" w:ascii="仿宋_GB2312" w:hAnsi="Times New Roman" w:eastAsia="仿宋_GB2312" w:cs="Times New Roman"/>
                <w:color w:val="auto"/>
                <w:kern w:val="0"/>
                <w:sz w:val="24"/>
                <w:szCs w:val="24"/>
                <w:highlight w:val="none"/>
                <w:lang w:eastAsia="zh-CN"/>
              </w:rPr>
              <w:t>资质</w:t>
            </w:r>
            <w:r>
              <w:rPr>
                <w:rFonts w:hint="eastAsia" w:ascii="仿宋_GB2312" w:hAnsi="Times New Roman" w:eastAsia="仿宋_GB2312" w:cs="Times New Roman"/>
                <w:color w:val="auto"/>
                <w:kern w:val="0"/>
                <w:sz w:val="24"/>
                <w:szCs w:val="24"/>
                <w:highlight w:val="none"/>
              </w:rPr>
              <w:t>标准申请</w:t>
            </w:r>
            <w:r>
              <w:rPr>
                <w:rFonts w:hint="eastAsia" w:ascii="仿宋_GB2312" w:eastAsia="仿宋_GB2312" w:cs="Times New Roman"/>
                <w:color w:val="auto"/>
                <w:kern w:val="0"/>
                <w:sz w:val="24"/>
                <w:szCs w:val="24"/>
                <w:highlight w:val="none"/>
                <w:lang w:val="en-US" w:eastAsia="zh-CN"/>
              </w:rPr>
              <w:t>核定的原检测机构，以及有检测经历要求的资质申请。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blHeader/>
          <w:jc w:val="center"/>
        </w:trPr>
        <w:tc>
          <w:tcPr>
            <w:tcW w:w="1263" w:type="dxa"/>
            <w:vMerge w:val="restart"/>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主要人员</w:t>
            </w:r>
          </w:p>
        </w:tc>
        <w:tc>
          <w:tcPr>
            <w:tcW w:w="719" w:type="dxa"/>
            <w:gridSpan w:val="2"/>
            <w:vMerge w:val="restart"/>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w:t>
            </w:r>
          </w:p>
        </w:tc>
        <w:tc>
          <w:tcPr>
            <w:tcW w:w="1728" w:type="dxa"/>
            <w:vMerge w:val="restart"/>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技术负责人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质量负责人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注册工程师</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技术人员</w:t>
            </w:r>
            <w:r>
              <w:rPr>
                <w:rFonts w:hint="eastAsia" w:ascii="仿宋_GB2312" w:hAnsi="仿宋_GB2312" w:eastAsia="仿宋_GB2312" w:cs="仿宋_GB2312"/>
                <w:color w:val="auto"/>
                <w:sz w:val="24"/>
                <w:highlight w:val="none"/>
                <w:lang w:val="en-US" w:eastAsia="zh-CN"/>
              </w:rPr>
              <w:t>等的合同、</w:t>
            </w:r>
            <w:r>
              <w:rPr>
                <w:rFonts w:hint="eastAsia" w:ascii="仿宋_GB2312" w:hAnsi="仿宋_GB2312" w:eastAsia="仿宋_GB2312" w:cs="仿宋_GB2312"/>
                <w:color w:val="auto"/>
                <w:sz w:val="24"/>
                <w:highlight w:val="none"/>
              </w:rPr>
              <w:t>社保信息、职称（注册执业资格）证书、学历/学位证书、工作经历证明材料（如培训证书/单位开具工作年限证明/人员上岗确认资料/检测报告证明/个人简历单位盖章版等可证明材料）</w:t>
            </w:r>
            <w:r>
              <w:rPr>
                <w:rFonts w:hint="eastAsia" w:ascii="仿宋_GB2312" w:hAnsi="仿宋_GB2312" w:eastAsia="仿宋_GB2312" w:cs="仿宋_GB2312"/>
                <w:color w:val="auto"/>
                <w:sz w:val="24"/>
                <w:highlight w:val="none"/>
                <w:lang w:eastAsia="zh-CN"/>
              </w:rPr>
              <w:t>。</w:t>
            </w:r>
          </w:p>
        </w:tc>
        <w:tc>
          <w:tcPr>
            <w:tcW w:w="1011" w:type="dxa"/>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技术负责人</w:t>
            </w:r>
          </w:p>
        </w:tc>
        <w:tc>
          <w:tcPr>
            <w:tcW w:w="6252" w:type="dxa"/>
            <w:noWrap w:val="0"/>
            <w:vAlign w:val="center"/>
          </w:tcPr>
          <w:p>
            <w:pPr>
              <w:numPr>
                <w:ilvl w:val="0"/>
                <w:numId w:val="0"/>
              </w:num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1.专项资质：</w:t>
            </w:r>
            <w:r>
              <w:rPr>
                <w:rFonts w:hint="eastAsia" w:ascii="仿宋_GB2312" w:hAnsi="仿宋_GB2312" w:eastAsia="仿宋_GB2312" w:cs="仿宋_GB2312"/>
                <w:color w:val="auto"/>
                <w:sz w:val="24"/>
                <w:highlight w:val="none"/>
              </w:rPr>
              <w:t>具有工程类专业高级及以上技术职称，且具有5年以上质量检测工作经历。</w:t>
            </w:r>
          </w:p>
          <w:p>
            <w:pPr>
              <w:numPr>
                <w:ilvl w:val="0"/>
                <w:numId w:val="0"/>
              </w:numPr>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2.综合资质：</w:t>
            </w:r>
            <w:r>
              <w:rPr>
                <w:rFonts w:hint="eastAsia" w:ascii="仿宋_GB2312" w:hAnsi="仿宋_GB2312" w:eastAsia="仿宋_GB2312" w:cs="仿宋_GB2312"/>
                <w:color w:val="auto"/>
                <w:sz w:val="24"/>
                <w:highlight w:val="none"/>
              </w:rPr>
              <w:t>具有工程类专业</w:t>
            </w:r>
            <w:r>
              <w:rPr>
                <w:rFonts w:hint="eastAsia" w:ascii="仿宋_GB2312" w:hAnsi="仿宋_GB2312" w:eastAsia="仿宋_GB2312" w:cs="仿宋_GB2312"/>
                <w:color w:val="auto"/>
                <w:sz w:val="24"/>
                <w:highlight w:val="none"/>
                <w:lang w:val="en-US" w:eastAsia="zh-CN"/>
              </w:rPr>
              <w:t>正</w:t>
            </w:r>
            <w:r>
              <w:rPr>
                <w:rFonts w:hint="eastAsia" w:ascii="仿宋_GB2312" w:hAnsi="仿宋_GB2312" w:eastAsia="仿宋_GB2312" w:cs="仿宋_GB2312"/>
                <w:color w:val="auto"/>
                <w:sz w:val="24"/>
                <w:highlight w:val="none"/>
              </w:rPr>
              <w:t>高级技术职称，且具有</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年以上质量检测工作经历。</w:t>
            </w:r>
          </w:p>
        </w:tc>
        <w:tc>
          <w:tcPr>
            <w:tcW w:w="1225" w:type="dxa"/>
            <w:vMerge w:val="restart"/>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vMerge w:val="restart"/>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hRule="atLeas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lang w:val="en-US" w:eastAsia="zh-CN"/>
              </w:rPr>
            </w:pPr>
          </w:p>
        </w:tc>
        <w:tc>
          <w:tcPr>
            <w:tcW w:w="719" w:type="dxa"/>
            <w:gridSpan w:val="2"/>
            <w:vMerge w:val="continue"/>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lang w:val="en-US" w:eastAsia="zh-CN"/>
              </w:rPr>
            </w:pPr>
          </w:p>
        </w:tc>
        <w:tc>
          <w:tcPr>
            <w:tcW w:w="1728" w:type="dxa"/>
            <w:vMerge w:val="continue"/>
            <w:noWrap w:val="0"/>
            <w:vAlign w:val="center"/>
          </w:tcPr>
          <w:p>
            <w:pPr>
              <w:numPr>
                <w:ilvl w:val="0"/>
                <w:numId w:val="0"/>
              </w:numPr>
              <w:ind w:left="0" w:leftChars="0" w:firstLine="0" w:firstLineChars="0"/>
              <w:rPr>
                <w:rFonts w:hint="eastAsia" w:ascii="仿宋_GB2312" w:hAnsi="仿宋_GB2312" w:eastAsia="仿宋_GB2312" w:cs="仿宋_GB2312"/>
                <w:color w:val="auto"/>
                <w:sz w:val="24"/>
                <w:highlight w:val="none"/>
              </w:rPr>
            </w:pPr>
          </w:p>
        </w:tc>
        <w:tc>
          <w:tcPr>
            <w:tcW w:w="1011" w:type="dxa"/>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质量负责人</w:t>
            </w:r>
          </w:p>
        </w:tc>
        <w:tc>
          <w:tcPr>
            <w:tcW w:w="6252" w:type="dxa"/>
            <w:noWrap w:val="0"/>
            <w:vAlign w:val="center"/>
          </w:tcPr>
          <w:p>
            <w:pPr>
              <w:numPr>
                <w:ilvl w:val="0"/>
                <w:numId w:val="0"/>
              </w:num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1.专项资质：</w:t>
            </w:r>
            <w:r>
              <w:rPr>
                <w:rFonts w:hint="eastAsia" w:ascii="仿宋_GB2312" w:hAnsi="仿宋_GB2312" w:eastAsia="仿宋_GB2312" w:cs="仿宋_GB2312"/>
                <w:color w:val="auto"/>
                <w:sz w:val="24"/>
                <w:highlight w:val="none"/>
              </w:rPr>
              <w:t>具有工程类专业中级及以上技术职称，且具有5年以上质量检测工作经历。</w:t>
            </w:r>
          </w:p>
          <w:p>
            <w:pPr>
              <w:numPr>
                <w:ilvl w:val="0"/>
                <w:numId w:val="0"/>
              </w:numPr>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2.综合资质：</w:t>
            </w:r>
            <w:r>
              <w:rPr>
                <w:rFonts w:hint="eastAsia" w:ascii="仿宋_GB2312" w:hAnsi="仿宋_GB2312" w:eastAsia="仿宋_GB2312" w:cs="仿宋_GB2312"/>
                <w:color w:val="auto"/>
                <w:sz w:val="24"/>
                <w:highlight w:val="none"/>
              </w:rPr>
              <w:t>具有工程类专业</w:t>
            </w:r>
            <w:r>
              <w:rPr>
                <w:rFonts w:hint="eastAsia" w:ascii="仿宋_GB2312" w:hAnsi="仿宋_GB2312" w:eastAsia="仿宋_GB2312" w:cs="仿宋_GB2312"/>
                <w:color w:val="auto"/>
                <w:sz w:val="24"/>
                <w:highlight w:val="none"/>
                <w:lang w:val="en-US" w:eastAsia="zh-CN"/>
              </w:rPr>
              <w:t>高</w:t>
            </w:r>
            <w:r>
              <w:rPr>
                <w:rFonts w:hint="eastAsia" w:ascii="仿宋_GB2312" w:hAnsi="仿宋_GB2312" w:eastAsia="仿宋_GB2312" w:cs="仿宋_GB2312"/>
                <w:color w:val="auto"/>
                <w:sz w:val="24"/>
                <w:highlight w:val="none"/>
              </w:rPr>
              <w:t>级及以上技术职称，且具有</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年以上质量检测工作经历。</w:t>
            </w:r>
          </w:p>
        </w:tc>
        <w:tc>
          <w:tcPr>
            <w:tcW w:w="1225" w:type="dxa"/>
            <w:vMerge w:val="continue"/>
            <w:noWrap w:val="0"/>
            <w:vAlign w:val="center"/>
          </w:tcPr>
          <w:p>
            <w:pPr>
              <w:rPr>
                <w:rFonts w:hint="eastAsia" w:ascii="仿宋_GB2312" w:hAnsi="仿宋_GB2312" w:eastAsia="仿宋_GB2312" w:cs="仿宋_GB2312"/>
                <w:color w:val="auto"/>
                <w:sz w:val="24"/>
                <w:highlight w:val="none"/>
              </w:rPr>
            </w:pPr>
          </w:p>
        </w:tc>
        <w:tc>
          <w:tcPr>
            <w:tcW w:w="2012" w:type="dxa"/>
            <w:vMerge w:val="continue"/>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lang w:val="en-US" w:eastAsia="zh-CN"/>
              </w:rPr>
            </w:pPr>
          </w:p>
        </w:tc>
        <w:tc>
          <w:tcPr>
            <w:tcW w:w="719" w:type="dxa"/>
            <w:gridSpan w:val="2"/>
            <w:vMerge w:val="continue"/>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lang w:val="en-US" w:eastAsia="zh-CN"/>
              </w:rPr>
            </w:pPr>
          </w:p>
        </w:tc>
        <w:tc>
          <w:tcPr>
            <w:tcW w:w="1728" w:type="dxa"/>
            <w:vMerge w:val="continue"/>
            <w:noWrap w:val="0"/>
            <w:vAlign w:val="center"/>
          </w:tcPr>
          <w:p>
            <w:pPr>
              <w:numPr>
                <w:ilvl w:val="0"/>
                <w:numId w:val="0"/>
              </w:numPr>
              <w:ind w:left="0" w:leftChars="0" w:firstLine="0" w:firstLineChars="0"/>
              <w:rPr>
                <w:rFonts w:hint="eastAsia" w:ascii="仿宋_GB2312" w:hAnsi="仿宋_GB2312" w:eastAsia="仿宋_GB2312" w:cs="仿宋_GB2312"/>
                <w:color w:val="auto"/>
                <w:sz w:val="24"/>
                <w:highlight w:val="none"/>
              </w:rPr>
            </w:pPr>
          </w:p>
        </w:tc>
        <w:tc>
          <w:tcPr>
            <w:tcW w:w="1011" w:type="dxa"/>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注册工程师</w:t>
            </w:r>
          </w:p>
        </w:tc>
        <w:tc>
          <w:tcPr>
            <w:tcW w:w="6252" w:type="dxa"/>
            <w:noWrap w:val="0"/>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1.专项资质：</w:t>
            </w:r>
            <w:r>
              <w:rPr>
                <w:rFonts w:hint="eastAsia" w:ascii="仿宋_GB2312" w:hAnsi="仿宋_GB2312" w:eastAsia="仿宋_GB2312" w:cs="仿宋_GB2312"/>
                <w:color w:val="auto"/>
                <w:sz w:val="24"/>
                <w:highlight w:val="none"/>
              </w:rPr>
              <w:t>主体结构及装饰装修/钢结构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不少于1名二级注册结构工程师，且具有2年以上质量检测工作经历；地基基础：不少于1名注册土木工程师（岩土），且具有2年以上质量检测工作经历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桥梁及地下工程</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不少于1名一级注册结构工程师、1名注册土木工程师（岩土），且具有2年以上质量检测工作经历</w:t>
            </w:r>
            <w:r>
              <w:rPr>
                <w:rFonts w:hint="eastAsia" w:ascii="仿宋_GB2312" w:hAnsi="仿宋_GB2312" w:eastAsia="仿宋_GB2312" w:cs="仿宋_GB2312"/>
                <w:color w:val="auto"/>
                <w:sz w:val="24"/>
                <w:highlight w:val="none"/>
                <w:lang w:eastAsia="zh-CN"/>
              </w:rPr>
              <w:t>。</w:t>
            </w:r>
          </w:p>
          <w:p>
            <w:pPr>
              <w:numPr>
                <w:ilvl w:val="0"/>
                <w:numId w:val="0"/>
              </w:numPr>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2.综合资质：</w:t>
            </w:r>
            <w:r>
              <w:rPr>
                <w:rFonts w:hint="eastAsia" w:ascii="仿宋_GB2312" w:hAnsi="仿宋_GB2312" w:eastAsia="仿宋_GB2312" w:cs="仿宋_GB2312"/>
                <w:color w:val="auto"/>
                <w:sz w:val="24"/>
                <w:highlight w:val="none"/>
              </w:rPr>
              <w:t>不少于</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名注册结构工程师</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一级注册结构工程师</w:t>
            </w:r>
            <w:r>
              <w:rPr>
                <w:rFonts w:hint="eastAsia" w:ascii="仿宋_GB2312" w:hAnsi="仿宋_GB2312" w:eastAsia="仿宋_GB2312" w:cs="仿宋_GB2312"/>
                <w:color w:val="auto"/>
                <w:sz w:val="24"/>
                <w:highlight w:val="none"/>
                <w:lang w:val="en-US" w:eastAsia="zh-CN"/>
              </w:rPr>
              <w:t>不少于2名</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、注册土木工程师（岩土）</w:t>
            </w:r>
            <w:r>
              <w:rPr>
                <w:rFonts w:hint="eastAsia" w:ascii="仿宋_GB2312" w:hAnsi="仿宋_GB2312" w:eastAsia="仿宋_GB2312" w:cs="仿宋_GB2312"/>
                <w:color w:val="auto"/>
                <w:sz w:val="24"/>
                <w:highlight w:val="none"/>
                <w:lang w:val="en-US" w:eastAsia="zh-CN"/>
              </w:rPr>
              <w:t>不少于2名，</w:t>
            </w:r>
            <w:r>
              <w:rPr>
                <w:rFonts w:hint="eastAsia" w:ascii="仿宋_GB2312" w:hAnsi="仿宋_GB2312" w:eastAsia="仿宋_GB2312" w:cs="仿宋_GB2312"/>
                <w:color w:val="auto"/>
                <w:sz w:val="24"/>
                <w:highlight w:val="none"/>
              </w:rPr>
              <w:t>且</w:t>
            </w:r>
            <w:r>
              <w:rPr>
                <w:rFonts w:hint="eastAsia" w:ascii="仿宋_GB2312" w:hAnsi="仿宋_GB2312" w:eastAsia="仿宋_GB2312" w:cs="仿宋_GB2312"/>
                <w:color w:val="auto"/>
                <w:sz w:val="24"/>
                <w:highlight w:val="none"/>
                <w:lang w:val="en-US" w:eastAsia="zh-CN"/>
              </w:rPr>
              <w:t>均</w:t>
            </w:r>
            <w:r>
              <w:rPr>
                <w:rFonts w:hint="eastAsia" w:ascii="仿宋_GB2312" w:hAnsi="仿宋_GB2312" w:eastAsia="仿宋_GB2312" w:cs="仿宋_GB2312"/>
                <w:color w:val="auto"/>
                <w:sz w:val="24"/>
                <w:highlight w:val="none"/>
              </w:rPr>
              <w:t>具有2年以上质量检测工作经历</w:t>
            </w:r>
            <w:r>
              <w:rPr>
                <w:rFonts w:hint="eastAsia" w:ascii="仿宋_GB2312" w:hAnsi="仿宋_GB2312" w:eastAsia="仿宋_GB2312" w:cs="仿宋_GB2312"/>
                <w:color w:val="auto"/>
                <w:sz w:val="24"/>
                <w:highlight w:val="none"/>
                <w:lang w:eastAsia="zh-CN"/>
              </w:rPr>
              <w:t>。</w:t>
            </w:r>
          </w:p>
        </w:tc>
        <w:tc>
          <w:tcPr>
            <w:tcW w:w="1225" w:type="dxa"/>
            <w:vMerge w:val="continue"/>
            <w:noWrap w:val="0"/>
            <w:vAlign w:val="center"/>
          </w:tcPr>
          <w:p>
            <w:pPr>
              <w:rPr>
                <w:rFonts w:hint="eastAsia" w:ascii="仿宋_GB2312" w:hAnsi="仿宋_GB2312" w:eastAsia="仿宋_GB2312" w:cs="仿宋_GB2312"/>
                <w:color w:val="auto"/>
                <w:sz w:val="24"/>
                <w:highlight w:val="none"/>
              </w:rPr>
            </w:pPr>
          </w:p>
        </w:tc>
        <w:tc>
          <w:tcPr>
            <w:tcW w:w="2012" w:type="dxa"/>
            <w:vMerge w:val="continue"/>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lang w:val="en-US" w:eastAsia="zh-CN"/>
              </w:rPr>
            </w:pPr>
          </w:p>
        </w:tc>
        <w:tc>
          <w:tcPr>
            <w:tcW w:w="719" w:type="dxa"/>
            <w:gridSpan w:val="2"/>
            <w:vMerge w:val="continue"/>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lang w:val="en-US" w:eastAsia="zh-CN"/>
              </w:rPr>
            </w:pPr>
          </w:p>
        </w:tc>
        <w:tc>
          <w:tcPr>
            <w:tcW w:w="1728" w:type="dxa"/>
            <w:vMerge w:val="continue"/>
            <w:noWrap w:val="0"/>
            <w:vAlign w:val="center"/>
          </w:tcPr>
          <w:p>
            <w:pPr>
              <w:numPr>
                <w:ilvl w:val="0"/>
                <w:numId w:val="0"/>
              </w:numPr>
              <w:ind w:left="0" w:leftChars="0" w:firstLine="0" w:firstLineChars="0"/>
              <w:rPr>
                <w:rFonts w:hint="eastAsia" w:ascii="仿宋_GB2312" w:hAnsi="仿宋_GB2312" w:eastAsia="仿宋_GB2312" w:cs="仿宋_GB2312"/>
                <w:color w:val="auto"/>
                <w:sz w:val="24"/>
                <w:highlight w:val="none"/>
              </w:rPr>
            </w:pPr>
          </w:p>
        </w:tc>
        <w:tc>
          <w:tcPr>
            <w:tcW w:w="1011" w:type="dxa"/>
            <w:vMerge w:val="restart"/>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技术人员</w:t>
            </w:r>
          </w:p>
        </w:tc>
        <w:tc>
          <w:tcPr>
            <w:tcW w:w="6252" w:type="dxa"/>
            <w:noWrap w:val="0"/>
            <w:vAlign w:val="center"/>
          </w:tcPr>
          <w:p>
            <w:pPr>
              <w:numPr>
                <w:ilvl w:val="0"/>
                <w:numId w:val="0"/>
              </w:numPr>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职称人员数量</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见</w:t>
            </w:r>
            <w:r>
              <w:rPr>
                <w:rFonts w:hint="eastAsia" w:ascii="仿宋_GB2312" w:hAnsi="仿宋_GB2312" w:eastAsia="仿宋_GB2312" w:cs="仿宋_GB2312"/>
                <w:color w:val="auto"/>
                <w:sz w:val="24"/>
                <w:highlight w:val="none"/>
              </w:rPr>
              <w:t>资质标准</w:t>
            </w:r>
            <w:r>
              <w:rPr>
                <w:rFonts w:hint="eastAsia" w:ascii="仿宋_GB2312" w:hAnsi="仿宋_GB2312" w:eastAsia="仿宋_GB2312" w:cs="仿宋_GB2312"/>
                <w:color w:val="auto"/>
                <w:sz w:val="24"/>
                <w:highlight w:val="none"/>
                <w:lang w:eastAsia="zh-CN"/>
              </w:rPr>
              <w:t>）</w:t>
            </w:r>
          </w:p>
        </w:tc>
        <w:tc>
          <w:tcPr>
            <w:tcW w:w="1225" w:type="dxa"/>
            <w:vMerge w:val="continue"/>
            <w:noWrap w:val="0"/>
            <w:vAlign w:val="center"/>
          </w:tcPr>
          <w:p>
            <w:pPr>
              <w:rPr>
                <w:rFonts w:hint="eastAsia" w:ascii="仿宋_GB2312" w:hAnsi="仿宋_GB2312" w:eastAsia="仿宋_GB2312" w:cs="仿宋_GB2312"/>
                <w:color w:val="auto"/>
                <w:sz w:val="24"/>
                <w:highlight w:val="none"/>
              </w:rPr>
            </w:pPr>
          </w:p>
        </w:tc>
        <w:tc>
          <w:tcPr>
            <w:tcW w:w="2012" w:type="dxa"/>
            <w:vMerge w:val="continue"/>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lang w:val="en-US" w:eastAsia="zh-CN"/>
              </w:rPr>
            </w:pPr>
          </w:p>
        </w:tc>
        <w:tc>
          <w:tcPr>
            <w:tcW w:w="719" w:type="dxa"/>
            <w:gridSpan w:val="2"/>
            <w:vMerge w:val="continue"/>
            <w:noWrap w:val="0"/>
            <w:vAlign w:val="center"/>
          </w:tcPr>
          <w:p>
            <w:pPr>
              <w:numPr>
                <w:ilvl w:val="0"/>
                <w:numId w:val="0"/>
              </w:numPr>
              <w:ind w:left="0" w:leftChars="0" w:firstLine="0" w:firstLineChars="0"/>
              <w:jc w:val="center"/>
              <w:rPr>
                <w:rFonts w:hint="eastAsia" w:ascii="仿宋_GB2312" w:hAnsi="仿宋_GB2312" w:eastAsia="仿宋_GB2312" w:cs="仿宋_GB2312"/>
                <w:color w:val="auto"/>
                <w:sz w:val="24"/>
                <w:highlight w:val="none"/>
                <w:lang w:val="en-US" w:eastAsia="zh-CN"/>
              </w:rPr>
            </w:pPr>
          </w:p>
        </w:tc>
        <w:tc>
          <w:tcPr>
            <w:tcW w:w="1728" w:type="dxa"/>
            <w:vMerge w:val="continue"/>
            <w:noWrap w:val="0"/>
            <w:vAlign w:val="center"/>
          </w:tcPr>
          <w:p>
            <w:pPr>
              <w:numPr>
                <w:ilvl w:val="0"/>
                <w:numId w:val="0"/>
              </w:numPr>
              <w:ind w:left="0" w:leftChars="0" w:firstLine="0" w:firstLineChars="0"/>
              <w:rPr>
                <w:rFonts w:hint="eastAsia" w:ascii="仿宋_GB2312" w:hAnsi="仿宋_GB2312" w:eastAsia="仿宋_GB2312" w:cs="仿宋_GB2312"/>
                <w:color w:val="auto"/>
                <w:sz w:val="24"/>
                <w:highlight w:val="none"/>
              </w:rPr>
            </w:pPr>
          </w:p>
        </w:tc>
        <w:tc>
          <w:tcPr>
            <w:tcW w:w="1011" w:type="dxa"/>
            <w:vMerge w:val="continue"/>
            <w:noWrap w:val="0"/>
            <w:vAlign w:val="center"/>
          </w:tcPr>
          <w:p>
            <w:pPr>
              <w:numPr>
                <w:ilvl w:val="0"/>
                <w:numId w:val="0"/>
              </w:numPr>
              <w:ind w:left="0" w:leftChars="0" w:firstLine="0" w:firstLineChars="0"/>
              <w:rPr>
                <w:rFonts w:hint="eastAsia" w:ascii="仿宋_GB2312" w:hAnsi="仿宋_GB2312" w:eastAsia="仿宋_GB2312" w:cs="仿宋_GB2312"/>
                <w:color w:val="auto"/>
                <w:sz w:val="24"/>
                <w:highlight w:val="none"/>
              </w:rPr>
            </w:pPr>
          </w:p>
        </w:tc>
        <w:tc>
          <w:tcPr>
            <w:tcW w:w="6252" w:type="dxa"/>
            <w:noWrap w:val="0"/>
            <w:vAlign w:val="center"/>
          </w:tcPr>
          <w:p>
            <w:pPr>
              <w:numPr>
                <w:ilvl w:val="0"/>
                <w:numId w:val="0"/>
              </w:numPr>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技术人员</w:t>
            </w:r>
            <w:r>
              <w:rPr>
                <w:rFonts w:hint="eastAsia" w:ascii="仿宋_GB2312" w:hAnsi="仿宋_GB2312" w:eastAsia="仿宋_GB2312" w:cs="仿宋_GB2312"/>
                <w:color w:val="auto"/>
                <w:sz w:val="24"/>
                <w:highlight w:val="none"/>
              </w:rPr>
              <w:t>具备相应的检测知识和专业能力</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技术人员数量满足要求</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见</w:t>
            </w:r>
            <w:r>
              <w:rPr>
                <w:rFonts w:hint="eastAsia" w:ascii="仿宋_GB2312" w:hAnsi="仿宋_GB2312" w:eastAsia="仿宋_GB2312" w:cs="仿宋_GB2312"/>
                <w:color w:val="auto"/>
                <w:sz w:val="24"/>
                <w:highlight w:val="none"/>
              </w:rPr>
              <w:t>资质标准</w:t>
            </w:r>
            <w:r>
              <w:rPr>
                <w:rFonts w:hint="eastAsia" w:ascii="仿宋_GB2312" w:hAnsi="仿宋_GB2312" w:eastAsia="仿宋_GB2312" w:cs="仿宋_GB2312"/>
                <w:color w:val="auto"/>
                <w:sz w:val="24"/>
                <w:highlight w:val="none"/>
                <w:lang w:eastAsia="zh-CN"/>
              </w:rPr>
              <w:t>）</w:t>
            </w:r>
          </w:p>
        </w:tc>
        <w:tc>
          <w:tcPr>
            <w:tcW w:w="1225" w:type="dxa"/>
            <w:vMerge w:val="continue"/>
            <w:noWrap w:val="0"/>
            <w:vAlign w:val="center"/>
          </w:tcPr>
          <w:p>
            <w:pPr>
              <w:rPr>
                <w:rFonts w:hint="eastAsia" w:ascii="仿宋_GB2312" w:hAnsi="仿宋_GB2312" w:eastAsia="仿宋_GB2312" w:cs="仿宋_GB2312"/>
                <w:color w:val="auto"/>
                <w:sz w:val="24"/>
                <w:highlight w:val="none"/>
              </w:rPr>
            </w:pPr>
          </w:p>
        </w:tc>
        <w:tc>
          <w:tcPr>
            <w:tcW w:w="2012" w:type="dxa"/>
            <w:vMerge w:val="continue"/>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3" w:hRule="exact"/>
          <w:tblHeader/>
          <w:jc w:val="center"/>
        </w:trPr>
        <w:tc>
          <w:tcPr>
            <w:tcW w:w="1263" w:type="dxa"/>
            <w:vMerge w:val="restart"/>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检测设备及场所</w:t>
            </w:r>
          </w:p>
        </w:tc>
        <w:tc>
          <w:tcPr>
            <w:tcW w:w="713" w:type="dxa"/>
            <w:noWrap w:val="0"/>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8</w:t>
            </w:r>
          </w:p>
        </w:tc>
        <w:tc>
          <w:tcPr>
            <w:tcW w:w="2745" w:type="dxa"/>
            <w:gridSpan w:val="3"/>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主要检测仪器、设备清单</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申请资质所对应的检测仪器设备配置一览表、发票复印件等所有权证明资料</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设备须满足《仪器设备配置表》要求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noWrap w:val="0"/>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9</w:t>
            </w:r>
          </w:p>
        </w:tc>
        <w:tc>
          <w:tcPr>
            <w:tcW w:w="2745" w:type="dxa"/>
            <w:gridSpan w:val="3"/>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检测场所不动产权属证书或者租赁合同</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1.房产证或房屋租赁合同（租赁</w:t>
            </w:r>
            <w:r>
              <w:rPr>
                <w:rFonts w:hint="eastAsia" w:ascii="仿宋_GB2312" w:hAnsi="仿宋_GB2312" w:eastAsia="仿宋_GB2312" w:cs="仿宋_GB2312"/>
                <w:color w:val="auto"/>
                <w:sz w:val="24"/>
                <w:highlight w:val="none"/>
                <w:lang w:val="en-US" w:eastAsia="zh-CN"/>
              </w:rPr>
              <w:t>合同</w:t>
            </w:r>
            <w:r>
              <w:rPr>
                <w:rFonts w:hint="eastAsia" w:ascii="仿宋_GB2312" w:hAnsi="仿宋_GB2312" w:eastAsia="仿宋_GB2312" w:cs="仿宋_GB2312"/>
                <w:color w:val="auto"/>
                <w:sz w:val="24"/>
                <w:highlight w:val="none"/>
              </w:rPr>
              <w:t>期限应</w:t>
            </w:r>
            <w:r>
              <w:rPr>
                <w:rFonts w:hint="eastAsia" w:ascii="仿宋_GB2312" w:hAnsi="仿宋_GB2312" w:eastAsia="仿宋_GB2312" w:cs="仿宋_GB2312"/>
                <w:color w:val="auto"/>
                <w:sz w:val="24"/>
                <w:highlight w:val="none"/>
                <w:lang w:eastAsia="zh-CN"/>
              </w:rPr>
              <w:t>不少于</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年），提交房屋租赁合同的需同时提交出租方的房产证复印件；</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2.如无房产证的，可提供当地村委（或街道办事处）开具的证明；</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3.如与第二方签订租赁合同，须同时提供第一方的同意转租的证明。</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tblHeader/>
          <w:jc w:val="center"/>
        </w:trPr>
        <w:tc>
          <w:tcPr>
            <w:tcW w:w="1263" w:type="dxa"/>
            <w:vMerge w:val="restart"/>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管理水平</w:t>
            </w:r>
          </w:p>
        </w:tc>
        <w:tc>
          <w:tcPr>
            <w:tcW w:w="713" w:type="dxa"/>
            <w:vMerge w:val="restart"/>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w:t>
            </w:r>
          </w:p>
        </w:tc>
        <w:tc>
          <w:tcPr>
            <w:tcW w:w="1734" w:type="dxa"/>
            <w:gridSpan w:val="2"/>
            <w:vMerge w:val="restart"/>
            <w:noWrap w:val="0"/>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质量保证体系文件</w:t>
            </w:r>
          </w:p>
        </w:tc>
        <w:tc>
          <w:tcPr>
            <w:tcW w:w="1011" w:type="dxa"/>
            <w:noWrap w:val="0"/>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管理手册/质量手册</w:t>
            </w:r>
            <w:r>
              <w:rPr>
                <w:rFonts w:hint="eastAsia" w:ascii="仿宋_GB2312" w:hAnsi="仿宋_GB2312" w:eastAsia="仿宋_GB2312" w:cs="仿宋_GB2312"/>
                <w:color w:val="auto"/>
                <w:sz w:val="24"/>
                <w:highlight w:val="none"/>
                <w:lang w:val="en-US" w:eastAsia="zh-CN"/>
              </w:rPr>
              <w:t>等</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1.提供成套文件；</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2.文件编制依据至少包括：《建设工程质量检测管理办法》（住建部令第57号）、《检测和校准实验室能力的通用要求》GB/T 27025-2019</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1734" w:type="dxa"/>
            <w:gridSpan w:val="2"/>
            <w:vMerge w:val="continue"/>
            <w:noWrap w:val="0"/>
            <w:vAlign w:val="center"/>
          </w:tcPr>
          <w:p>
            <w:pPr>
              <w:rPr>
                <w:rFonts w:hint="eastAsia" w:ascii="仿宋_GB2312" w:hAnsi="仿宋_GB2312" w:eastAsia="仿宋_GB2312" w:cs="仿宋_GB2312"/>
                <w:color w:val="auto"/>
                <w:sz w:val="24"/>
                <w:highlight w:val="none"/>
              </w:rPr>
            </w:pPr>
          </w:p>
        </w:tc>
        <w:tc>
          <w:tcPr>
            <w:tcW w:w="1011" w:type="dxa"/>
            <w:noWrap w:val="0"/>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程序文件</w:t>
            </w:r>
            <w:r>
              <w:rPr>
                <w:rFonts w:hint="eastAsia" w:ascii="仿宋_GB2312" w:hAnsi="仿宋_GB2312" w:eastAsia="仿宋_GB2312" w:cs="仿宋_GB2312"/>
                <w:color w:val="auto"/>
                <w:sz w:val="24"/>
                <w:highlight w:val="none"/>
                <w:lang w:val="en-US" w:eastAsia="zh-CN"/>
              </w:rPr>
              <w:t>等</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提供成套文件</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1734" w:type="dxa"/>
            <w:gridSpan w:val="2"/>
            <w:vMerge w:val="continue"/>
            <w:noWrap w:val="0"/>
            <w:vAlign w:val="center"/>
          </w:tcPr>
          <w:p>
            <w:pPr>
              <w:rPr>
                <w:rFonts w:hint="eastAsia" w:ascii="仿宋_GB2312" w:hAnsi="仿宋_GB2312" w:eastAsia="仿宋_GB2312" w:cs="仿宋_GB2312"/>
                <w:color w:val="auto"/>
                <w:sz w:val="24"/>
                <w:highlight w:val="none"/>
              </w:rPr>
            </w:pPr>
          </w:p>
        </w:tc>
        <w:tc>
          <w:tcPr>
            <w:tcW w:w="1011" w:type="dxa"/>
            <w:noWrap w:val="0"/>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作业指导书/检测实施细则</w:t>
            </w:r>
            <w:r>
              <w:rPr>
                <w:rFonts w:hint="eastAsia" w:ascii="仿宋_GB2312" w:hAnsi="仿宋_GB2312" w:eastAsia="仿宋_GB2312" w:cs="仿宋_GB2312"/>
                <w:color w:val="auto"/>
                <w:sz w:val="24"/>
                <w:highlight w:val="none"/>
                <w:lang w:val="en-US" w:eastAsia="zh-CN"/>
              </w:rPr>
              <w:t>等</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提供《检测实施细则/检测作业指导书目录》；</w:t>
            </w:r>
          </w:p>
          <w:p>
            <w:pPr>
              <w:rPr>
                <w:rFonts w:hint="eastAsia" w:ascii="仿宋_GB2312" w:hAnsi="仿宋_GB2312" w:eastAsia="仿宋_GB2312" w:cs="仿宋_GB2312"/>
                <w:color w:val="auto"/>
                <w:sz w:val="24"/>
                <w:highlight w:val="none"/>
              </w:rPr>
            </w:pP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1734" w:type="dxa"/>
            <w:gridSpan w:val="2"/>
            <w:vMerge w:val="continue"/>
            <w:noWrap w:val="0"/>
            <w:vAlign w:val="center"/>
          </w:tcPr>
          <w:p>
            <w:pPr>
              <w:jc w:val="center"/>
              <w:rPr>
                <w:rFonts w:hint="eastAsia" w:ascii="仿宋_GB2312" w:hAnsi="仿宋_GB2312" w:eastAsia="仿宋_GB2312" w:cs="仿宋_GB2312"/>
                <w:color w:val="auto"/>
                <w:sz w:val="24"/>
                <w:highlight w:val="none"/>
              </w:rPr>
            </w:pPr>
          </w:p>
        </w:tc>
        <w:tc>
          <w:tcPr>
            <w:tcW w:w="1011" w:type="dxa"/>
            <w:noWrap w:val="0"/>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质量记录与技术记录</w:t>
            </w:r>
            <w:r>
              <w:rPr>
                <w:rFonts w:hint="eastAsia" w:ascii="仿宋_GB2312" w:hAnsi="仿宋_GB2312" w:eastAsia="仿宋_GB2312" w:cs="仿宋_GB2312"/>
                <w:color w:val="auto"/>
                <w:sz w:val="24"/>
                <w:highlight w:val="none"/>
                <w:lang w:val="en-US" w:eastAsia="zh-CN"/>
              </w:rPr>
              <w:t>表格</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1.提供《质量记录目录清单》；</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2.提供《技术记录目录清单》。</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1734" w:type="dxa"/>
            <w:gridSpan w:val="2"/>
            <w:vMerge w:val="continue"/>
            <w:noWrap w:val="0"/>
            <w:vAlign w:val="center"/>
          </w:tcPr>
          <w:p>
            <w:pPr>
              <w:rPr>
                <w:rFonts w:hint="eastAsia" w:ascii="仿宋_GB2312" w:hAnsi="仿宋_GB2312" w:eastAsia="仿宋_GB2312" w:cs="仿宋_GB2312"/>
                <w:color w:val="auto"/>
                <w:sz w:val="24"/>
                <w:highlight w:val="none"/>
              </w:rPr>
            </w:pPr>
          </w:p>
        </w:tc>
        <w:tc>
          <w:tcPr>
            <w:tcW w:w="1011" w:type="dxa"/>
            <w:noWrap w:val="0"/>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其他质量保证体系文件</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1.信息化管理制度；</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建设</w:t>
            </w:r>
            <w:r>
              <w:rPr>
                <w:rFonts w:hint="eastAsia" w:ascii="仿宋_GB2312" w:hAnsi="仿宋_GB2312" w:eastAsia="仿宋_GB2312" w:cs="仿宋_GB2312"/>
                <w:color w:val="auto"/>
                <w:sz w:val="24"/>
                <w:highlight w:val="none"/>
              </w:rPr>
              <w:t>工程质量检测机构资质证书申请相关的其他质量保证体系文件。</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rPr>
            </w:pPr>
          </w:p>
        </w:tc>
        <w:tc>
          <w:tcPr>
            <w:tcW w:w="713" w:type="dxa"/>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w:t>
            </w:r>
          </w:p>
        </w:tc>
        <w:tc>
          <w:tcPr>
            <w:tcW w:w="2745" w:type="dxa"/>
            <w:gridSpan w:val="3"/>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信息化管理系统证明文件</w:t>
            </w:r>
          </w:p>
        </w:tc>
        <w:tc>
          <w:tcPr>
            <w:tcW w:w="6252" w:type="dxa"/>
            <w:noWrap w:val="0"/>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信息化系统研发成果或采购合同</w:t>
            </w:r>
            <w:r>
              <w:rPr>
                <w:rFonts w:hint="eastAsia" w:ascii="仿宋_GB2312" w:hAnsi="仿宋_GB2312" w:eastAsia="仿宋_GB2312" w:cs="仿宋_GB2312"/>
                <w:color w:val="auto"/>
                <w:sz w:val="24"/>
                <w:highlight w:val="none"/>
                <w:lang w:val="en-US" w:eastAsia="zh-CN"/>
              </w:rPr>
              <w:t>等。</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exact"/>
          <w:tblHeader/>
          <w:jc w:val="center"/>
        </w:trPr>
        <w:tc>
          <w:tcPr>
            <w:tcW w:w="1263" w:type="dxa"/>
            <w:vMerge w:val="restart"/>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其他</w:t>
            </w:r>
          </w:p>
        </w:tc>
        <w:tc>
          <w:tcPr>
            <w:tcW w:w="713" w:type="dxa"/>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w:t>
            </w:r>
          </w:p>
        </w:tc>
        <w:tc>
          <w:tcPr>
            <w:tcW w:w="2745" w:type="dxa"/>
            <w:gridSpan w:val="3"/>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责令限期整改通知书</w:t>
            </w:r>
          </w:p>
        </w:tc>
        <w:tc>
          <w:tcPr>
            <w:tcW w:w="6252"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资质许可机关出具的责令限期整改通知书。</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仅限</w:t>
            </w:r>
            <w:r>
              <w:rPr>
                <w:rFonts w:hint="eastAsia" w:ascii="仿宋_GB2312" w:hAnsi="Times New Roman" w:eastAsia="仿宋_GB2312" w:cs="Times New Roman"/>
                <w:color w:val="auto"/>
                <w:kern w:val="0"/>
                <w:sz w:val="24"/>
                <w:szCs w:val="24"/>
                <w:highlight w:val="none"/>
              </w:rPr>
              <w:t>责令限期整改</w:t>
            </w:r>
            <w:r>
              <w:rPr>
                <w:rFonts w:hint="eastAsia" w:ascii="仿宋_GB2312" w:hAnsi="Times New Roman" w:eastAsia="仿宋_GB2312" w:cs="Times New Roman"/>
                <w:color w:val="auto"/>
                <w:kern w:val="0"/>
                <w:sz w:val="24"/>
                <w:szCs w:val="24"/>
                <w:highlight w:val="none"/>
                <w:lang w:val="en-US" w:eastAsia="zh-CN"/>
              </w:rPr>
              <w:t>申请重新核定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lang w:val="en-US" w:eastAsia="zh-CN"/>
              </w:rPr>
            </w:pPr>
          </w:p>
        </w:tc>
        <w:tc>
          <w:tcPr>
            <w:tcW w:w="713" w:type="dxa"/>
            <w:noWrap w:val="0"/>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w:t>
            </w:r>
          </w:p>
        </w:tc>
        <w:tc>
          <w:tcPr>
            <w:tcW w:w="2745" w:type="dxa"/>
            <w:gridSpan w:val="3"/>
            <w:noWrap w:val="0"/>
            <w:vAlign w:val="center"/>
          </w:tcPr>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相关注销资料文件</w:t>
            </w:r>
          </w:p>
        </w:tc>
        <w:tc>
          <w:tcPr>
            <w:tcW w:w="6252" w:type="dxa"/>
            <w:noWrap w:val="0"/>
            <w:vAlign w:val="center"/>
          </w:tcPr>
          <w:p>
            <w:pP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符合相关规定的注销资料文件。</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rPr>
            </w:pPr>
            <w:r>
              <w:rPr>
                <w:rFonts w:hint="eastAsia" w:ascii="仿宋_GB2312" w:hAnsi="黑体" w:eastAsia="仿宋_GB2312"/>
                <w:color w:val="auto"/>
                <w:kern w:val="0"/>
                <w:sz w:val="24"/>
                <w:highlight w:val="none"/>
                <w:lang w:val="en-US" w:eastAsia="zh-CN"/>
              </w:rPr>
              <w:t>仅限资质注销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tblHeader/>
          <w:jc w:val="center"/>
        </w:trPr>
        <w:tc>
          <w:tcPr>
            <w:tcW w:w="1263" w:type="dxa"/>
            <w:vMerge w:val="continue"/>
            <w:noWrap w:val="0"/>
            <w:vAlign w:val="center"/>
          </w:tcPr>
          <w:p>
            <w:pPr>
              <w:jc w:val="center"/>
              <w:rPr>
                <w:rFonts w:hint="eastAsia" w:ascii="仿宋_GB2312" w:hAnsi="仿宋_GB2312" w:eastAsia="仿宋_GB2312" w:cs="仿宋_GB2312"/>
                <w:color w:val="auto"/>
                <w:sz w:val="24"/>
                <w:highlight w:val="none"/>
                <w:lang w:val="en-US" w:eastAsia="zh-CN"/>
              </w:rPr>
            </w:pPr>
          </w:p>
        </w:tc>
        <w:tc>
          <w:tcPr>
            <w:tcW w:w="713" w:type="dxa"/>
            <w:noWrap w:val="0"/>
            <w:vAlign w:val="center"/>
          </w:tcPr>
          <w:p>
            <w:pPr>
              <w:jc w:val="center"/>
              <w:rPr>
                <w:rFonts w:hint="default" w:ascii="仿宋_GB2312" w:hAnsi="仿宋_GB2312" w:eastAsia="仿宋_GB2312" w:cs="仿宋_GB2312"/>
                <w:color w:val="auto"/>
                <w:kern w:val="2"/>
                <w:sz w:val="24"/>
                <w:szCs w:val="20"/>
                <w:highlight w:val="none"/>
                <w:lang w:val="en-US" w:eastAsia="zh-CN" w:bidi="ar-SA"/>
              </w:rPr>
            </w:pPr>
            <w:r>
              <w:rPr>
                <w:rFonts w:hint="eastAsia" w:ascii="仿宋_GB2312" w:hAnsi="仿宋_GB2312" w:eastAsia="仿宋_GB2312" w:cs="仿宋_GB2312"/>
                <w:color w:val="auto"/>
                <w:sz w:val="24"/>
                <w:highlight w:val="none"/>
                <w:lang w:val="en-US" w:eastAsia="zh-CN"/>
              </w:rPr>
              <w:t>14</w:t>
            </w:r>
          </w:p>
        </w:tc>
        <w:tc>
          <w:tcPr>
            <w:tcW w:w="8997" w:type="dxa"/>
            <w:gridSpan w:val="4"/>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有无违反《建设工程质量检测管理办法》第三十条规定，以及按照第三十五条规定完成整改情况。</w:t>
            </w:r>
          </w:p>
        </w:tc>
        <w:tc>
          <w:tcPr>
            <w:tcW w:w="1225" w:type="dxa"/>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p>
          <w:p>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lang w:eastAsia="zh-CN"/>
              </w:rPr>
              <w:t>不适用</w:t>
            </w:r>
          </w:p>
        </w:tc>
        <w:tc>
          <w:tcPr>
            <w:tcW w:w="2012" w:type="dxa"/>
            <w:noWrap w:val="0"/>
            <w:vAlign w:val="center"/>
          </w:tcPr>
          <w:p>
            <w:pPr>
              <w:rPr>
                <w:rFonts w:hint="eastAsia" w:ascii="仿宋_GB2312" w:hAnsi="仿宋_GB2312" w:eastAsia="仿宋_GB2312" w:cs="仿宋_GB2312"/>
                <w:color w:val="auto"/>
                <w:sz w:val="24"/>
                <w:highlight w:val="none"/>
                <w:lang w:eastAsia="zh-CN"/>
              </w:rPr>
            </w:pPr>
            <w:r>
              <w:rPr>
                <w:rFonts w:hint="eastAsia" w:ascii="仿宋_GB2312" w:hAnsi="黑体" w:eastAsia="仿宋_GB2312"/>
                <w:color w:val="auto"/>
                <w:kern w:val="0"/>
                <w:sz w:val="24"/>
                <w:highlight w:val="none"/>
              </w:rPr>
              <w:t>申请综合资质</w:t>
            </w:r>
            <w:r>
              <w:rPr>
                <w:rFonts w:hint="eastAsia" w:ascii="仿宋_GB2312" w:hAnsi="黑体" w:eastAsia="仿宋_GB2312"/>
                <w:color w:val="auto"/>
                <w:kern w:val="0"/>
                <w:sz w:val="24"/>
                <w:highlight w:val="none"/>
                <w:lang w:eastAsia="zh-CN"/>
              </w:rPr>
              <w:t>、</w:t>
            </w:r>
            <w:r>
              <w:rPr>
                <w:rFonts w:hint="eastAsia" w:ascii="仿宋_GB2312" w:hAnsi="黑体" w:eastAsia="仿宋_GB2312"/>
                <w:color w:val="auto"/>
                <w:kern w:val="0"/>
                <w:sz w:val="24"/>
                <w:highlight w:val="none"/>
              </w:rPr>
              <w:t>资质增项</w:t>
            </w:r>
            <w:r>
              <w:rPr>
                <w:rFonts w:hint="eastAsia" w:ascii="仿宋_GB2312" w:hAnsi="黑体" w:eastAsia="仿宋_GB2312"/>
                <w:color w:val="auto"/>
                <w:kern w:val="0"/>
                <w:sz w:val="24"/>
                <w:highlight w:val="none"/>
                <w:lang w:eastAsia="zh-CN"/>
              </w:rPr>
              <w:t>（</w:t>
            </w:r>
            <w:r>
              <w:rPr>
                <w:rFonts w:hint="eastAsia" w:ascii="仿宋_GB2312" w:hAnsi="黑体" w:eastAsia="仿宋_GB2312"/>
                <w:color w:val="auto"/>
                <w:kern w:val="0"/>
                <w:sz w:val="24"/>
                <w:highlight w:val="none"/>
                <w:lang w:val="en-US" w:eastAsia="zh-CN"/>
              </w:rPr>
              <w:t>含增加</w:t>
            </w:r>
            <w:r>
              <w:rPr>
                <w:rFonts w:hint="eastAsia" w:ascii="仿宋_GB2312" w:hAnsi="黑体" w:eastAsia="仿宋_GB2312"/>
                <w:color w:val="auto"/>
                <w:kern w:val="0"/>
                <w:sz w:val="24"/>
                <w:highlight w:val="none"/>
              </w:rPr>
              <w:t>参数</w:t>
            </w:r>
            <w:r>
              <w:rPr>
                <w:rFonts w:hint="eastAsia" w:ascii="仿宋_GB2312" w:hAnsi="黑体" w:eastAsia="仿宋_GB2312"/>
                <w:color w:val="auto"/>
                <w:kern w:val="0"/>
                <w:sz w:val="24"/>
                <w:highlight w:val="none"/>
                <w:lang w:eastAsia="zh-CN"/>
              </w:rPr>
              <w:t>）、</w:t>
            </w:r>
            <w:r>
              <w:rPr>
                <w:rFonts w:hint="eastAsia" w:ascii="仿宋_GB2312" w:hAnsi="黑体" w:eastAsia="仿宋_GB2312"/>
                <w:color w:val="auto"/>
                <w:kern w:val="0"/>
                <w:sz w:val="24"/>
                <w:highlight w:val="none"/>
              </w:rPr>
              <w:t>资质延续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tblHeader/>
          <w:jc w:val="center"/>
        </w:trPr>
        <w:tc>
          <w:tcPr>
            <w:tcW w:w="1976" w:type="dxa"/>
            <w:gridSpan w:val="2"/>
            <w:noWrap w:val="0"/>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结论</w:t>
            </w:r>
          </w:p>
        </w:tc>
        <w:tc>
          <w:tcPr>
            <w:tcW w:w="10222" w:type="dxa"/>
            <w:gridSpan w:val="5"/>
            <w:noWrap w:val="0"/>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符合</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sym w:font="Wingdings" w:char="00A8"/>
            </w:r>
            <w:r>
              <w:rPr>
                <w:rFonts w:hint="eastAsia" w:ascii="仿宋_GB2312" w:hAnsi="仿宋_GB2312" w:eastAsia="仿宋_GB2312" w:cs="仿宋_GB2312"/>
                <w:color w:val="auto"/>
                <w:sz w:val="24"/>
                <w:highlight w:val="none"/>
              </w:rPr>
              <w:t>不符合</w:t>
            </w:r>
            <w:r>
              <w:rPr>
                <w:rFonts w:hint="eastAsia" w:ascii="仿宋_GB2312" w:hAnsi="仿宋_GB2312" w:eastAsia="仿宋_GB2312" w:cs="仿宋_GB2312"/>
                <w:color w:val="auto"/>
                <w:sz w:val="24"/>
                <w:highlight w:val="none"/>
                <w:lang w:val="en-US" w:eastAsia="zh-CN"/>
              </w:rPr>
              <w:t xml:space="preserve">  </w:t>
            </w:r>
          </w:p>
        </w:tc>
        <w:tc>
          <w:tcPr>
            <w:tcW w:w="2012" w:type="dxa"/>
            <w:noWrap w:val="0"/>
            <w:vAlign w:val="center"/>
          </w:tcPr>
          <w:p>
            <w:pPr>
              <w:rPr>
                <w:rFonts w:hint="eastAsia" w:ascii="仿宋_GB2312" w:hAnsi="黑体" w:eastAsia="仿宋_GB2312"/>
                <w:color w:val="auto"/>
                <w:kern w:val="0"/>
                <w:sz w:val="24"/>
                <w:highlight w:val="none"/>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注：</w:t>
      </w:r>
      <w:r>
        <w:rPr>
          <w:rFonts w:hint="eastAsia" w:ascii="仿宋_GB2312" w:hAnsi="仿宋_GB2312" w:eastAsia="仿宋_GB2312" w:cs="仿宋_GB2312"/>
          <w:color w:val="auto"/>
          <w:sz w:val="24"/>
          <w:szCs w:val="24"/>
          <w:highlight w:val="none"/>
        </w:rPr>
        <w:t>1.相关人员应不超过法定退休年龄；</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.技术负责人和质量负责人不得为同一人；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.技术人员是指从事检测试验、检测数据处理、检测报告出具和检测活动技术管理的人员；</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4.检测</w:t>
      </w:r>
      <w:r>
        <w:rPr>
          <w:rFonts w:hint="eastAsia" w:ascii="仿宋_GB2312" w:hAnsi="仿宋_GB2312" w:eastAsia="仿宋_GB2312" w:cs="仿宋_GB2312"/>
          <w:color w:val="auto"/>
          <w:sz w:val="24"/>
          <w:szCs w:val="24"/>
          <w:highlight w:val="none"/>
        </w:rPr>
        <w:t>人员不得同时受聘于两个或者两个以上的检测机构（单位）；</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仿宋_GB2312" w:eastAsia="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同一技术</w:t>
      </w:r>
      <w:r>
        <w:rPr>
          <w:rFonts w:hint="eastAsia" w:ascii="仿宋_GB2312" w:hAnsi="仿宋_GB2312" w:eastAsia="仿宋_GB2312" w:cs="仿宋_GB2312"/>
          <w:color w:val="auto"/>
          <w:sz w:val="24"/>
          <w:szCs w:val="24"/>
          <w:highlight w:val="none"/>
        </w:rPr>
        <w:t>人员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注册人员从事检测活动所属的检测专项不得超过2个。</w:t>
      </w:r>
    </w:p>
    <w:p>
      <w:pPr>
        <w:spacing w:line="280" w:lineRule="exact"/>
        <w:ind w:firstLine="0" w:firstLineChars="0"/>
        <w:rPr>
          <w:rFonts w:hint="eastAsia" w:ascii="仿宋_GB2312" w:hAnsi="仿宋_GB2312" w:eastAsia="仿宋_GB2312" w:cs="仿宋_GB2312"/>
          <w:color w:val="auto"/>
          <w:sz w:val="24"/>
          <w:szCs w:val="24"/>
          <w:highlight w:val="none"/>
        </w:rPr>
      </w:pPr>
    </w:p>
    <w:p>
      <w:pPr>
        <w:widowControl/>
        <w:jc w:val="left"/>
        <w:rPr>
          <w:color w:val="auto"/>
          <w:highlight w:val="none"/>
        </w:rPr>
        <w:sectPr>
          <w:pgSz w:w="16838" w:h="11906" w:orient="landscape"/>
          <w:pgMar w:top="1587" w:right="1644" w:bottom="147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color w:val="auto"/>
          <w:highlight w:val="none"/>
        </w:rPr>
        <w:br w:type="page"/>
      </w:r>
    </w:p>
    <w:p>
      <w:pPr>
        <w:pStyle w:val="12"/>
        <w:shd w:val="clear" w:color="auto" w:fill="FFFFFF"/>
        <w:spacing w:before="0" w:beforeAutospacing="0" w:after="0" w:afterAutospacing="0" w:line="540" w:lineRule="exact"/>
        <w:jc w:val="both"/>
        <w:rPr>
          <w:rFonts w:hint="eastAsia" w:ascii="黑体" w:hAnsi="黑体" w:eastAsia="黑体" w:cs="黑体"/>
          <w:color w:val="auto"/>
          <w:sz w:val="32"/>
          <w:szCs w:val="32"/>
          <w:highlight w:val="none"/>
          <w:lang w:val="en-US" w:eastAsia="zh-CN"/>
        </w:rPr>
      </w:pPr>
      <w:bookmarkStart w:id="54" w:name="_Toc6165"/>
      <w:bookmarkStart w:id="55" w:name="_Toc8712"/>
      <w:bookmarkStart w:id="56" w:name="_Toc11178"/>
      <w:bookmarkStart w:id="57" w:name="_Toc13055"/>
      <w:bookmarkStart w:id="58" w:name="_Toc18478"/>
      <w:bookmarkStart w:id="59" w:name="_Toc15852"/>
      <w:bookmarkStart w:id="60" w:name="_Toc24337"/>
      <w:bookmarkStart w:id="61" w:name="_Toc8217"/>
      <w:bookmarkStart w:id="62" w:name="_Toc16214"/>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spacing w:line="300" w:lineRule="auto"/>
        <w:jc w:val="center"/>
        <w:rPr>
          <w:rFonts w:ascii="微软雅黑" w:hAnsi="宋体" w:eastAsia="微软雅黑"/>
          <w:color w:val="auto"/>
          <w:spacing w:val="8"/>
          <w:sz w:val="36"/>
          <w:szCs w:val="36"/>
          <w:highlight w:val="none"/>
        </w:rPr>
      </w:pPr>
      <w:r>
        <w:rPr>
          <w:rFonts w:hint="eastAsia" w:ascii="方正小标宋简体" w:hAnsi="方正小标宋简体" w:eastAsia="方正小标宋简体" w:cs="方正小标宋简体"/>
          <w:kern w:val="0"/>
          <w:sz w:val="44"/>
          <w:szCs w:val="44"/>
          <w:highlight w:val="none"/>
          <w:lang w:val="en-US" w:eastAsia="zh-CN" w:bidi="ar-SA"/>
        </w:rPr>
        <w:t>资质申请类别及评审方式一览表</w:t>
      </w:r>
      <w:bookmarkEnd w:id="54"/>
      <w:bookmarkEnd w:id="55"/>
      <w:bookmarkEnd w:id="56"/>
      <w:bookmarkEnd w:id="57"/>
      <w:bookmarkEnd w:id="58"/>
      <w:bookmarkEnd w:id="59"/>
      <w:bookmarkEnd w:id="60"/>
      <w:bookmarkEnd w:id="61"/>
      <w:bookmarkEnd w:id="62"/>
    </w:p>
    <w:tbl>
      <w:tblPr>
        <w:tblStyle w:val="15"/>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8"/>
        <w:gridCol w:w="2386"/>
        <w:gridCol w:w="2800"/>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0" w:type="dxa"/>
            <w:vAlign w:val="center"/>
          </w:tcPr>
          <w:p>
            <w:pPr>
              <w:jc w:val="center"/>
              <w:rPr>
                <w:rFonts w:ascii="仿宋_GB2312" w:hAnsi="黑体" w:eastAsia="仿宋_GB2312"/>
                <w:color w:val="auto"/>
                <w:kern w:val="0"/>
                <w:sz w:val="24"/>
                <w:highlight w:val="none"/>
              </w:rPr>
            </w:pPr>
            <w:r>
              <w:rPr>
                <w:rFonts w:hint="eastAsia" w:ascii="仿宋_GB2312" w:hAnsi="黑体" w:eastAsia="仿宋_GB2312"/>
                <w:color w:val="auto"/>
                <w:kern w:val="0"/>
                <w:sz w:val="24"/>
                <w:highlight w:val="none"/>
              </w:rPr>
              <w:t>序号</w:t>
            </w:r>
          </w:p>
        </w:tc>
        <w:tc>
          <w:tcPr>
            <w:tcW w:w="3504" w:type="dxa"/>
            <w:gridSpan w:val="2"/>
            <w:vAlign w:val="center"/>
          </w:tcPr>
          <w:p>
            <w:pPr>
              <w:jc w:val="center"/>
              <w:rPr>
                <w:rFonts w:hint="eastAsia" w:ascii="仿宋_GB2312" w:hAnsi="黑体" w:eastAsia="仿宋_GB2312"/>
                <w:color w:val="auto"/>
                <w:kern w:val="0"/>
                <w:sz w:val="24"/>
                <w:highlight w:val="none"/>
                <w:lang w:eastAsia="zh-CN"/>
              </w:rPr>
            </w:pPr>
            <w:r>
              <w:rPr>
                <w:rFonts w:hint="eastAsia" w:ascii="仿宋_GB2312" w:hAnsi="黑体" w:eastAsia="仿宋_GB2312"/>
                <w:color w:val="auto"/>
                <w:kern w:val="0"/>
                <w:sz w:val="24"/>
                <w:highlight w:val="none"/>
              </w:rPr>
              <w:t>资质申请</w:t>
            </w:r>
            <w:r>
              <w:rPr>
                <w:rFonts w:hint="eastAsia" w:ascii="仿宋_GB2312" w:hAnsi="黑体" w:eastAsia="仿宋_GB2312"/>
                <w:color w:val="auto"/>
                <w:kern w:val="0"/>
                <w:sz w:val="24"/>
                <w:highlight w:val="none"/>
                <w:lang w:val="en-US" w:eastAsia="zh-CN"/>
              </w:rPr>
              <w:t>类别</w:t>
            </w:r>
          </w:p>
        </w:tc>
        <w:tc>
          <w:tcPr>
            <w:tcW w:w="2800" w:type="dxa"/>
            <w:vAlign w:val="center"/>
          </w:tcPr>
          <w:p>
            <w:pPr>
              <w:jc w:val="center"/>
              <w:rPr>
                <w:rFonts w:ascii="仿宋_GB2312" w:hAnsi="黑体" w:eastAsia="仿宋_GB2312"/>
                <w:color w:val="auto"/>
                <w:kern w:val="0"/>
                <w:sz w:val="24"/>
                <w:highlight w:val="none"/>
              </w:rPr>
            </w:pPr>
            <w:r>
              <w:rPr>
                <w:rFonts w:hint="eastAsia" w:ascii="仿宋_GB2312" w:hAnsi="黑体" w:eastAsia="仿宋_GB2312"/>
                <w:color w:val="auto"/>
                <w:kern w:val="0"/>
                <w:sz w:val="24"/>
                <w:highlight w:val="none"/>
              </w:rPr>
              <w:t>评审方式</w:t>
            </w:r>
          </w:p>
        </w:tc>
        <w:tc>
          <w:tcPr>
            <w:tcW w:w="1973" w:type="dxa"/>
            <w:vAlign w:val="center"/>
          </w:tcPr>
          <w:p>
            <w:pPr>
              <w:jc w:val="center"/>
              <w:rPr>
                <w:rFonts w:hint="eastAsia" w:ascii="仿宋_GB2312" w:hAnsi="黑体" w:eastAsia="仿宋_GB2312"/>
                <w:color w:val="auto"/>
                <w:kern w:val="0"/>
                <w:sz w:val="24"/>
                <w:highlight w:val="none"/>
                <w:lang w:val="en-US" w:eastAsia="zh-CN"/>
              </w:rPr>
            </w:pPr>
            <w:r>
              <w:rPr>
                <w:rFonts w:hint="eastAsia" w:ascii="仿宋_GB2312" w:hAnsi="黑体" w:eastAsia="仿宋_GB2312"/>
                <w:color w:val="auto"/>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0" w:type="dxa"/>
            <w:vAlign w:val="center"/>
          </w:tcPr>
          <w:p>
            <w:pPr>
              <w:jc w:val="center"/>
              <w:rPr>
                <w:rFonts w:ascii="仿宋_GB2312" w:hAnsi="黑体" w:eastAsia="仿宋_GB2312"/>
                <w:color w:val="auto"/>
                <w:kern w:val="0"/>
                <w:sz w:val="24"/>
                <w:highlight w:val="none"/>
              </w:rPr>
            </w:pPr>
            <w:r>
              <w:rPr>
                <w:rFonts w:hint="eastAsia" w:ascii="仿宋_GB2312" w:hAnsi="黑体" w:eastAsia="仿宋_GB2312"/>
                <w:color w:val="auto"/>
                <w:kern w:val="0"/>
                <w:sz w:val="24"/>
                <w:highlight w:val="none"/>
              </w:rPr>
              <w:t>1</w:t>
            </w:r>
          </w:p>
        </w:tc>
        <w:tc>
          <w:tcPr>
            <w:tcW w:w="3504" w:type="dxa"/>
            <w:gridSpan w:val="2"/>
            <w:vAlign w:val="center"/>
          </w:tcPr>
          <w:p>
            <w:pPr>
              <w:jc w:val="left"/>
              <w:rPr>
                <w:rFonts w:hint="eastAsia" w:ascii="仿宋_GB2312" w:hAnsi="黑体" w:eastAsia="仿宋_GB2312"/>
                <w:color w:val="auto"/>
                <w:kern w:val="0"/>
                <w:sz w:val="24"/>
                <w:highlight w:val="none"/>
                <w:lang w:eastAsia="zh-CN"/>
              </w:rPr>
            </w:pPr>
            <w:r>
              <w:rPr>
                <w:rFonts w:hint="eastAsia" w:ascii="仿宋_GB2312" w:hAnsi="黑体" w:eastAsia="仿宋_GB2312"/>
                <w:color w:val="auto"/>
                <w:kern w:val="0"/>
                <w:sz w:val="24"/>
                <w:highlight w:val="none"/>
                <w:lang w:val="en-US" w:eastAsia="zh-CN"/>
              </w:rPr>
              <w:t>新设立</w:t>
            </w:r>
          </w:p>
        </w:tc>
        <w:tc>
          <w:tcPr>
            <w:tcW w:w="2800" w:type="dxa"/>
            <w:vAlign w:val="center"/>
          </w:tcPr>
          <w:p>
            <w:pPr>
              <w:jc w:val="left"/>
              <w:rPr>
                <w:rFonts w:ascii="仿宋_GB2312" w:hAnsi="黑体" w:eastAsia="仿宋_GB2312"/>
                <w:color w:val="auto"/>
                <w:kern w:val="0"/>
                <w:sz w:val="24"/>
                <w:highlight w:val="none"/>
              </w:rPr>
            </w:pPr>
            <w:r>
              <w:rPr>
                <w:rFonts w:hint="eastAsia" w:ascii="仿宋_GB2312" w:eastAsia="仿宋_GB2312"/>
                <w:color w:val="auto"/>
                <w:kern w:val="0"/>
                <w:sz w:val="24"/>
                <w:highlight w:val="none"/>
              </w:rPr>
              <w:t>现场评审</w:t>
            </w:r>
          </w:p>
        </w:tc>
        <w:tc>
          <w:tcPr>
            <w:tcW w:w="1973" w:type="dxa"/>
            <w:vAlign w:val="center"/>
          </w:tcPr>
          <w:p>
            <w:pPr>
              <w:jc w:val="left"/>
              <w:rPr>
                <w:rFonts w:hint="eastAsia"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0" w:type="dxa"/>
            <w:vAlign w:val="center"/>
          </w:tcPr>
          <w:p>
            <w:pPr>
              <w:jc w:val="center"/>
              <w:rPr>
                <w:rFonts w:hint="eastAsia" w:ascii="仿宋_GB2312" w:hAnsi="黑体" w:eastAsia="仿宋_GB2312"/>
                <w:color w:val="auto"/>
                <w:kern w:val="0"/>
                <w:sz w:val="24"/>
                <w:highlight w:val="none"/>
                <w:lang w:val="en-US" w:eastAsia="zh-CN"/>
              </w:rPr>
            </w:pPr>
            <w:r>
              <w:rPr>
                <w:rFonts w:hint="eastAsia" w:ascii="仿宋_GB2312" w:hAnsi="黑体" w:eastAsia="仿宋_GB2312"/>
                <w:color w:val="auto"/>
                <w:kern w:val="0"/>
                <w:sz w:val="24"/>
                <w:highlight w:val="none"/>
                <w:lang w:val="en-US" w:eastAsia="zh-CN"/>
              </w:rPr>
              <w:t>2</w:t>
            </w:r>
          </w:p>
        </w:tc>
        <w:tc>
          <w:tcPr>
            <w:tcW w:w="3504" w:type="dxa"/>
            <w:gridSpan w:val="2"/>
            <w:vAlign w:val="center"/>
          </w:tcPr>
          <w:p>
            <w:pPr>
              <w:jc w:val="left"/>
              <w:rPr>
                <w:rFonts w:hint="eastAsia" w:ascii="仿宋_GB2312" w:hAnsi="黑体" w:eastAsia="仿宋_GB2312"/>
                <w:color w:val="auto"/>
                <w:kern w:val="0"/>
                <w:sz w:val="24"/>
                <w:highlight w:val="none"/>
              </w:rPr>
            </w:pPr>
            <w:r>
              <w:rPr>
                <w:rFonts w:hint="eastAsia" w:ascii="仿宋_GB2312" w:hAnsi="黑体" w:eastAsia="仿宋_GB2312"/>
                <w:color w:val="auto"/>
                <w:kern w:val="0"/>
                <w:sz w:val="24"/>
                <w:highlight w:val="none"/>
              </w:rPr>
              <w:t>申请综合资质</w:t>
            </w:r>
          </w:p>
        </w:tc>
        <w:tc>
          <w:tcPr>
            <w:tcW w:w="2800" w:type="dxa"/>
            <w:vAlign w:val="center"/>
          </w:tcPr>
          <w:p>
            <w:pPr>
              <w:jc w:val="left"/>
              <w:rPr>
                <w:rFonts w:hint="eastAsia" w:ascii="仿宋_GB2312" w:eastAsia="仿宋_GB2312"/>
                <w:color w:val="auto"/>
                <w:kern w:val="0"/>
                <w:sz w:val="24"/>
                <w:highlight w:val="none"/>
              </w:rPr>
            </w:pPr>
            <w:r>
              <w:rPr>
                <w:rFonts w:hint="eastAsia" w:ascii="仿宋_GB2312" w:eastAsia="仿宋_GB2312"/>
                <w:color w:val="auto"/>
                <w:kern w:val="0"/>
                <w:sz w:val="24"/>
                <w:highlight w:val="none"/>
              </w:rPr>
              <w:t>现场评审</w:t>
            </w:r>
          </w:p>
        </w:tc>
        <w:tc>
          <w:tcPr>
            <w:tcW w:w="1973" w:type="dxa"/>
            <w:vAlign w:val="center"/>
          </w:tcPr>
          <w:p>
            <w:pPr>
              <w:jc w:val="left"/>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申请之日起前一年内无57号</w:t>
            </w:r>
            <w:r>
              <w:rPr>
                <w:rFonts w:hint="eastAsia" w:ascii="仿宋_GB2312" w:hAnsi="仿宋_GB2312" w:eastAsia="仿宋_GB2312" w:cs="仿宋_GB2312"/>
                <w:sz w:val="18"/>
                <w:szCs w:val="18"/>
                <w:highlight w:val="none"/>
              </w:rPr>
              <w:t>部令第30条</w:t>
            </w:r>
            <w:r>
              <w:rPr>
                <w:rFonts w:hint="eastAsia" w:ascii="仿宋_GB2312" w:hAnsi="仿宋_GB2312" w:eastAsia="仿宋_GB2312" w:cs="仿宋_GB2312"/>
                <w:sz w:val="18"/>
                <w:szCs w:val="18"/>
                <w:highlight w:val="none"/>
                <w:lang w:val="en-US" w:eastAsia="zh-CN"/>
              </w:rPr>
              <w:t>规定</w:t>
            </w:r>
            <w:r>
              <w:rPr>
                <w:rFonts w:hint="eastAsia" w:ascii="仿宋_GB2312" w:hAnsi="仿宋_GB2312" w:eastAsia="仿宋_GB2312" w:cs="仿宋_GB2312"/>
                <w:sz w:val="18"/>
                <w:szCs w:val="18"/>
                <w:highlight w:val="none"/>
              </w:rPr>
              <w:t>行为</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且无第35条规定未完成整改</w:t>
            </w:r>
            <w:r>
              <w:rPr>
                <w:rFonts w:hint="eastAsia" w:ascii="仿宋_GB2312" w:hAnsi="仿宋_GB2312" w:eastAsia="仿宋_GB2312" w:cs="仿宋_GB2312"/>
                <w:sz w:val="18"/>
                <w:szCs w:val="18"/>
                <w:highlight w:val="none"/>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0" w:type="dxa"/>
            <w:vAlign w:val="center"/>
          </w:tcPr>
          <w:p>
            <w:pPr>
              <w:jc w:val="center"/>
              <w:rPr>
                <w:rFonts w:hint="eastAsia" w:ascii="仿宋_GB2312" w:hAnsi="黑体" w:eastAsia="仿宋_GB2312"/>
                <w:color w:val="auto"/>
                <w:kern w:val="0"/>
                <w:sz w:val="24"/>
                <w:highlight w:val="none"/>
                <w:lang w:eastAsia="zh-CN"/>
              </w:rPr>
            </w:pPr>
            <w:r>
              <w:rPr>
                <w:rFonts w:hint="eastAsia" w:ascii="仿宋_GB2312" w:hAnsi="黑体" w:eastAsia="仿宋_GB2312"/>
                <w:color w:val="auto"/>
                <w:kern w:val="0"/>
                <w:sz w:val="24"/>
                <w:highlight w:val="none"/>
                <w:lang w:val="en-US" w:eastAsia="zh-CN"/>
              </w:rPr>
              <w:t>3</w:t>
            </w:r>
          </w:p>
        </w:tc>
        <w:tc>
          <w:tcPr>
            <w:tcW w:w="3504" w:type="dxa"/>
            <w:gridSpan w:val="2"/>
            <w:vAlign w:val="center"/>
          </w:tcPr>
          <w:p>
            <w:pPr>
              <w:jc w:val="left"/>
              <w:rPr>
                <w:rFonts w:hint="eastAsia" w:ascii="仿宋_GB2312" w:hAnsi="黑体" w:eastAsia="仿宋_GB2312"/>
                <w:color w:val="auto"/>
                <w:kern w:val="0"/>
                <w:sz w:val="24"/>
                <w:highlight w:val="none"/>
                <w:lang w:eastAsia="zh-CN"/>
              </w:rPr>
            </w:pPr>
            <w:r>
              <w:rPr>
                <w:rFonts w:hint="eastAsia" w:ascii="仿宋_GB2312" w:hAnsi="黑体" w:eastAsia="仿宋_GB2312"/>
                <w:color w:val="auto"/>
                <w:kern w:val="0"/>
                <w:sz w:val="24"/>
                <w:highlight w:val="none"/>
              </w:rPr>
              <w:t>资质增项</w:t>
            </w:r>
            <w:r>
              <w:rPr>
                <w:rFonts w:hint="eastAsia" w:ascii="仿宋_GB2312" w:hAnsi="黑体" w:eastAsia="仿宋_GB2312"/>
                <w:color w:val="auto"/>
                <w:kern w:val="0"/>
                <w:sz w:val="24"/>
                <w:highlight w:val="none"/>
                <w:lang w:eastAsia="zh-CN"/>
              </w:rPr>
              <w:t>（</w:t>
            </w:r>
            <w:r>
              <w:rPr>
                <w:rFonts w:hint="eastAsia" w:ascii="仿宋_GB2312" w:hAnsi="黑体" w:eastAsia="仿宋_GB2312"/>
                <w:color w:val="auto"/>
                <w:kern w:val="0"/>
                <w:sz w:val="24"/>
                <w:highlight w:val="none"/>
                <w:lang w:val="en-US" w:eastAsia="zh-CN"/>
              </w:rPr>
              <w:t>含增加</w:t>
            </w:r>
            <w:r>
              <w:rPr>
                <w:rFonts w:hint="eastAsia" w:ascii="仿宋_GB2312" w:hAnsi="黑体" w:eastAsia="仿宋_GB2312"/>
                <w:color w:val="auto"/>
                <w:kern w:val="0"/>
                <w:sz w:val="24"/>
                <w:highlight w:val="none"/>
              </w:rPr>
              <w:t>参数</w:t>
            </w:r>
            <w:r>
              <w:rPr>
                <w:rFonts w:hint="eastAsia" w:ascii="仿宋_GB2312" w:hAnsi="黑体" w:eastAsia="仿宋_GB2312"/>
                <w:color w:val="auto"/>
                <w:kern w:val="0"/>
                <w:sz w:val="24"/>
                <w:highlight w:val="none"/>
                <w:lang w:eastAsia="zh-CN"/>
              </w:rPr>
              <w:t>）</w:t>
            </w:r>
          </w:p>
        </w:tc>
        <w:tc>
          <w:tcPr>
            <w:tcW w:w="2800" w:type="dxa"/>
            <w:vAlign w:val="center"/>
          </w:tcPr>
          <w:p>
            <w:pPr>
              <w:jc w:val="left"/>
              <w:rPr>
                <w:rFonts w:ascii="仿宋_GB2312" w:hAnsi="黑体" w:eastAsia="仿宋_GB2312"/>
                <w:color w:val="auto"/>
                <w:kern w:val="0"/>
                <w:sz w:val="24"/>
                <w:highlight w:val="none"/>
              </w:rPr>
            </w:pPr>
            <w:r>
              <w:rPr>
                <w:rFonts w:hint="eastAsia" w:ascii="仿宋_GB2312" w:eastAsia="仿宋_GB2312"/>
                <w:color w:val="auto"/>
                <w:kern w:val="0"/>
                <w:sz w:val="24"/>
                <w:highlight w:val="none"/>
              </w:rPr>
              <w:t>现场评审</w:t>
            </w:r>
          </w:p>
        </w:tc>
        <w:tc>
          <w:tcPr>
            <w:tcW w:w="1973" w:type="dxa"/>
            <w:vAlign w:val="center"/>
          </w:tcPr>
          <w:p>
            <w:pPr>
              <w:jc w:val="lef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申请之日起前一年内无57号</w:t>
            </w:r>
            <w:r>
              <w:rPr>
                <w:rFonts w:hint="eastAsia" w:ascii="仿宋_GB2312" w:hAnsi="仿宋_GB2312" w:eastAsia="仿宋_GB2312" w:cs="仿宋_GB2312"/>
                <w:sz w:val="18"/>
                <w:szCs w:val="18"/>
                <w:highlight w:val="none"/>
              </w:rPr>
              <w:t>部令第30条</w:t>
            </w:r>
            <w:r>
              <w:rPr>
                <w:rFonts w:hint="eastAsia" w:ascii="仿宋_GB2312" w:hAnsi="仿宋_GB2312" w:eastAsia="仿宋_GB2312" w:cs="仿宋_GB2312"/>
                <w:sz w:val="18"/>
                <w:szCs w:val="18"/>
                <w:highlight w:val="none"/>
                <w:lang w:val="en-US" w:eastAsia="zh-CN"/>
              </w:rPr>
              <w:t>规定</w:t>
            </w:r>
            <w:r>
              <w:rPr>
                <w:rFonts w:hint="eastAsia" w:ascii="仿宋_GB2312" w:hAnsi="仿宋_GB2312" w:eastAsia="仿宋_GB2312" w:cs="仿宋_GB2312"/>
                <w:sz w:val="18"/>
                <w:szCs w:val="18"/>
                <w:highlight w:val="none"/>
              </w:rPr>
              <w:t>行为</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且无第35条规定未完成整改</w:t>
            </w:r>
            <w:r>
              <w:rPr>
                <w:rFonts w:hint="eastAsia" w:ascii="仿宋_GB2312" w:hAnsi="仿宋_GB2312" w:eastAsia="仿宋_GB2312" w:cs="仿宋_GB2312"/>
                <w:sz w:val="18"/>
                <w:szCs w:val="18"/>
                <w:highlight w:val="none"/>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0" w:type="dxa"/>
            <w:vAlign w:val="center"/>
          </w:tcPr>
          <w:p>
            <w:pPr>
              <w:jc w:val="center"/>
              <w:rPr>
                <w:rFonts w:hint="eastAsia" w:ascii="仿宋_GB2312" w:hAnsi="黑体" w:eastAsia="仿宋_GB2312"/>
                <w:color w:val="auto"/>
                <w:kern w:val="0"/>
                <w:sz w:val="24"/>
                <w:highlight w:val="none"/>
                <w:lang w:eastAsia="zh-CN"/>
              </w:rPr>
            </w:pPr>
            <w:r>
              <w:rPr>
                <w:rFonts w:hint="eastAsia" w:ascii="仿宋_GB2312" w:hAnsi="黑体" w:eastAsia="仿宋_GB2312"/>
                <w:color w:val="auto"/>
                <w:kern w:val="0"/>
                <w:sz w:val="24"/>
                <w:highlight w:val="none"/>
                <w:lang w:val="en-US" w:eastAsia="zh-CN"/>
              </w:rPr>
              <w:t>4</w:t>
            </w:r>
          </w:p>
        </w:tc>
        <w:tc>
          <w:tcPr>
            <w:tcW w:w="3504" w:type="dxa"/>
            <w:gridSpan w:val="2"/>
            <w:vAlign w:val="center"/>
          </w:tcPr>
          <w:p>
            <w:pPr>
              <w:jc w:val="left"/>
              <w:rPr>
                <w:rFonts w:ascii="仿宋_GB2312" w:hAnsi="黑体" w:eastAsia="仿宋_GB2312"/>
                <w:color w:val="auto"/>
                <w:kern w:val="0"/>
                <w:sz w:val="24"/>
                <w:highlight w:val="none"/>
              </w:rPr>
            </w:pPr>
            <w:r>
              <w:rPr>
                <w:rFonts w:hint="eastAsia" w:ascii="仿宋_GB2312" w:hAnsi="黑体" w:eastAsia="仿宋_GB2312"/>
                <w:color w:val="auto"/>
                <w:kern w:val="0"/>
                <w:sz w:val="24"/>
                <w:highlight w:val="none"/>
              </w:rPr>
              <w:t>资质延续</w:t>
            </w:r>
          </w:p>
        </w:tc>
        <w:tc>
          <w:tcPr>
            <w:tcW w:w="2800" w:type="dxa"/>
            <w:vAlign w:val="center"/>
          </w:tcPr>
          <w:p>
            <w:pPr>
              <w:jc w:val="left"/>
              <w:rPr>
                <w:rFonts w:ascii="黑体" w:hAnsi="黑体" w:eastAsia="黑体"/>
                <w:color w:val="auto"/>
                <w:kern w:val="0"/>
                <w:sz w:val="24"/>
                <w:highlight w:val="none"/>
              </w:rPr>
            </w:pPr>
            <w:r>
              <w:rPr>
                <w:rFonts w:hint="eastAsia" w:ascii="仿宋_GB2312" w:eastAsia="仿宋_GB2312"/>
                <w:color w:val="auto"/>
                <w:kern w:val="0"/>
                <w:sz w:val="24"/>
                <w:highlight w:val="none"/>
                <w:lang w:val="en-US" w:eastAsia="zh-CN"/>
              </w:rPr>
              <w:t>形式审查（可结合审查实际视情开展现场评审）</w:t>
            </w:r>
          </w:p>
        </w:tc>
        <w:tc>
          <w:tcPr>
            <w:tcW w:w="1973" w:type="dxa"/>
            <w:vAlign w:val="center"/>
          </w:tcPr>
          <w:p>
            <w:pPr>
              <w:jc w:val="left"/>
              <w:rPr>
                <w:rFonts w:hint="eastAsia" w:ascii="仿宋_GB2312" w:eastAsia="仿宋_GB2312"/>
                <w:color w:val="auto"/>
                <w:kern w:val="0"/>
                <w:sz w:val="24"/>
                <w:highlight w:val="none"/>
                <w:lang w:val="en-US" w:eastAsia="zh-CN"/>
              </w:rPr>
            </w:pPr>
            <w:r>
              <w:rPr>
                <w:rFonts w:hint="eastAsia" w:ascii="仿宋_GB2312" w:hAnsi="仿宋_GB2312" w:eastAsia="仿宋_GB2312" w:cs="仿宋_GB2312"/>
                <w:sz w:val="18"/>
                <w:szCs w:val="18"/>
                <w:highlight w:val="none"/>
                <w:lang w:val="en-US" w:eastAsia="zh-CN"/>
              </w:rPr>
              <w:t>资质证书有效期内无57号</w:t>
            </w:r>
            <w:r>
              <w:rPr>
                <w:rFonts w:hint="eastAsia" w:ascii="仿宋_GB2312" w:hAnsi="仿宋_GB2312" w:eastAsia="仿宋_GB2312" w:cs="仿宋_GB2312"/>
                <w:sz w:val="18"/>
                <w:szCs w:val="18"/>
                <w:highlight w:val="none"/>
              </w:rPr>
              <w:t>部令第30条</w:t>
            </w:r>
            <w:r>
              <w:rPr>
                <w:rFonts w:hint="eastAsia" w:ascii="仿宋_GB2312" w:hAnsi="仿宋_GB2312" w:eastAsia="仿宋_GB2312" w:cs="仿宋_GB2312"/>
                <w:sz w:val="18"/>
                <w:szCs w:val="18"/>
                <w:highlight w:val="none"/>
                <w:lang w:val="en-US" w:eastAsia="zh-CN"/>
              </w:rPr>
              <w:t>规定</w:t>
            </w:r>
            <w:r>
              <w:rPr>
                <w:rFonts w:hint="eastAsia" w:ascii="仿宋_GB2312" w:hAnsi="仿宋_GB2312" w:eastAsia="仿宋_GB2312" w:cs="仿宋_GB2312"/>
                <w:sz w:val="18"/>
                <w:szCs w:val="18"/>
                <w:highlight w:val="none"/>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0" w:type="dxa"/>
            <w:vAlign w:val="center"/>
          </w:tcPr>
          <w:p>
            <w:pPr>
              <w:jc w:val="center"/>
              <w:rPr>
                <w:rFonts w:hint="default" w:ascii="仿宋_GB2312" w:hAnsi="黑体" w:eastAsia="仿宋_GB2312"/>
                <w:color w:val="auto"/>
                <w:kern w:val="0"/>
                <w:sz w:val="24"/>
                <w:highlight w:val="none"/>
                <w:lang w:val="en-US" w:eastAsia="zh-CN"/>
              </w:rPr>
            </w:pPr>
            <w:r>
              <w:rPr>
                <w:rFonts w:hint="eastAsia" w:ascii="仿宋_GB2312" w:hAnsi="黑体" w:eastAsia="仿宋_GB2312"/>
                <w:color w:val="auto"/>
                <w:kern w:val="0"/>
                <w:sz w:val="24"/>
                <w:highlight w:val="none"/>
                <w:lang w:val="en-US" w:eastAsia="zh-CN"/>
              </w:rPr>
              <w:t>5</w:t>
            </w:r>
          </w:p>
        </w:tc>
        <w:tc>
          <w:tcPr>
            <w:tcW w:w="3504" w:type="dxa"/>
            <w:gridSpan w:val="2"/>
            <w:vAlign w:val="center"/>
          </w:tcPr>
          <w:p>
            <w:pPr>
              <w:jc w:val="left"/>
              <w:rPr>
                <w:rFonts w:hint="eastAsia" w:ascii="仿宋_GB2312" w:hAnsi="黑体" w:eastAsia="仿宋_GB2312"/>
                <w:color w:val="auto"/>
                <w:kern w:val="0"/>
                <w:sz w:val="24"/>
                <w:highlight w:val="none"/>
                <w:lang w:val="en-US" w:eastAsia="zh-CN"/>
              </w:rPr>
            </w:pPr>
            <w:r>
              <w:rPr>
                <w:rFonts w:hint="eastAsia" w:ascii="仿宋_GB2312" w:hAnsi="黑体" w:eastAsia="仿宋_GB2312"/>
                <w:color w:val="auto"/>
                <w:kern w:val="0"/>
                <w:sz w:val="24"/>
                <w:highlight w:val="none"/>
                <w:lang w:val="en-US" w:eastAsia="zh-CN"/>
              </w:rPr>
              <w:t>资质</w:t>
            </w:r>
            <w:r>
              <w:rPr>
                <w:rFonts w:hint="eastAsia" w:ascii="仿宋_GB2312" w:hAnsi="黑体" w:eastAsia="仿宋_GB2312"/>
                <w:color w:val="auto"/>
                <w:kern w:val="0"/>
                <w:sz w:val="24"/>
                <w:highlight w:val="none"/>
              </w:rPr>
              <w:t>变更</w:t>
            </w:r>
            <w:r>
              <w:rPr>
                <w:rFonts w:hint="eastAsia" w:ascii="仿宋_GB2312" w:hAnsi="黑体" w:eastAsia="仿宋_GB2312"/>
                <w:color w:val="auto"/>
                <w:kern w:val="0"/>
                <w:sz w:val="24"/>
                <w:highlight w:val="none"/>
                <w:lang w:eastAsia="zh-CN"/>
              </w:rPr>
              <w:t>（</w:t>
            </w:r>
            <w:r>
              <w:rPr>
                <w:rFonts w:hint="eastAsia" w:ascii="仿宋_GB2312" w:hAnsi="黑体" w:eastAsia="仿宋_GB2312"/>
                <w:color w:val="auto"/>
                <w:kern w:val="0"/>
                <w:sz w:val="24"/>
                <w:highlight w:val="none"/>
                <w:lang w:val="en-US" w:eastAsia="zh-CN"/>
              </w:rPr>
              <w:t>名称、地址、法人代表等</w:t>
            </w:r>
            <w:r>
              <w:rPr>
                <w:rFonts w:hint="eastAsia" w:ascii="仿宋_GB2312" w:hAnsi="黑体" w:eastAsia="仿宋_GB2312"/>
                <w:color w:val="auto"/>
                <w:kern w:val="0"/>
                <w:sz w:val="24"/>
                <w:highlight w:val="none"/>
                <w:lang w:eastAsia="zh-CN"/>
              </w:rPr>
              <w:t>）</w:t>
            </w:r>
          </w:p>
        </w:tc>
        <w:tc>
          <w:tcPr>
            <w:tcW w:w="2800" w:type="dxa"/>
            <w:vAlign w:val="center"/>
          </w:tcPr>
          <w:p>
            <w:pPr>
              <w:jc w:val="left"/>
              <w:rPr>
                <w:rFonts w:hint="eastAsia" w:ascii="仿宋_GB2312" w:eastAsia="仿宋_GB2312"/>
                <w:color w:val="auto"/>
                <w:kern w:val="0"/>
                <w:sz w:val="24"/>
                <w:highlight w:val="none"/>
              </w:rPr>
            </w:pPr>
            <w:r>
              <w:rPr>
                <w:rFonts w:hint="eastAsia" w:ascii="仿宋_GB2312" w:eastAsia="仿宋_GB2312"/>
                <w:color w:val="auto"/>
                <w:kern w:val="0"/>
                <w:sz w:val="24"/>
                <w:highlight w:val="none"/>
              </w:rPr>
              <w:t>形式审查</w:t>
            </w:r>
          </w:p>
        </w:tc>
        <w:tc>
          <w:tcPr>
            <w:tcW w:w="1973" w:type="dxa"/>
            <w:vAlign w:val="center"/>
          </w:tcPr>
          <w:p>
            <w:pPr>
              <w:jc w:val="left"/>
              <w:rPr>
                <w:rFonts w:hint="eastAsia"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0" w:type="dxa"/>
            <w:vAlign w:val="center"/>
          </w:tcPr>
          <w:p>
            <w:pPr>
              <w:jc w:val="center"/>
              <w:rPr>
                <w:rFonts w:hint="eastAsia" w:ascii="仿宋_GB2312" w:hAnsi="黑体" w:eastAsia="仿宋_GB2312"/>
                <w:color w:val="auto"/>
                <w:kern w:val="0"/>
                <w:sz w:val="24"/>
                <w:highlight w:val="none"/>
                <w:lang w:eastAsia="zh-CN"/>
              </w:rPr>
            </w:pPr>
            <w:r>
              <w:rPr>
                <w:rFonts w:hint="eastAsia" w:ascii="仿宋_GB2312" w:hAnsi="黑体" w:eastAsia="仿宋_GB2312"/>
                <w:color w:val="auto"/>
                <w:kern w:val="0"/>
                <w:sz w:val="24"/>
                <w:highlight w:val="none"/>
                <w:lang w:val="en-US" w:eastAsia="zh-CN"/>
              </w:rPr>
              <w:t>6</w:t>
            </w:r>
          </w:p>
        </w:tc>
        <w:tc>
          <w:tcPr>
            <w:tcW w:w="3504" w:type="dxa"/>
            <w:gridSpan w:val="2"/>
            <w:vAlign w:val="center"/>
          </w:tcPr>
          <w:p>
            <w:pPr>
              <w:jc w:val="left"/>
              <w:rPr>
                <w:rFonts w:ascii="仿宋_GB2312" w:hAnsi="黑体" w:eastAsia="仿宋_GB2312"/>
                <w:color w:val="auto"/>
                <w:kern w:val="0"/>
                <w:sz w:val="24"/>
                <w:highlight w:val="none"/>
              </w:rPr>
            </w:pPr>
            <w:r>
              <w:rPr>
                <w:rFonts w:hint="eastAsia" w:ascii="仿宋_GB2312" w:hAnsi="黑体" w:eastAsia="仿宋_GB2312"/>
                <w:color w:val="auto"/>
                <w:kern w:val="0"/>
                <w:sz w:val="24"/>
                <w:highlight w:val="none"/>
                <w:lang w:val="en-US" w:eastAsia="zh-CN"/>
              </w:rPr>
              <w:t>资质注销</w:t>
            </w:r>
          </w:p>
        </w:tc>
        <w:tc>
          <w:tcPr>
            <w:tcW w:w="2800" w:type="dxa"/>
            <w:vAlign w:val="center"/>
          </w:tcPr>
          <w:p>
            <w:pPr>
              <w:jc w:val="left"/>
              <w:rPr>
                <w:rFonts w:ascii="黑体" w:hAnsi="黑体" w:eastAsia="黑体"/>
                <w:color w:val="auto"/>
                <w:kern w:val="0"/>
                <w:sz w:val="24"/>
                <w:highlight w:val="none"/>
              </w:rPr>
            </w:pPr>
            <w:r>
              <w:rPr>
                <w:rFonts w:hint="eastAsia" w:ascii="仿宋_GB2312" w:eastAsia="仿宋_GB2312"/>
                <w:color w:val="auto"/>
                <w:kern w:val="0"/>
                <w:sz w:val="24"/>
                <w:highlight w:val="none"/>
              </w:rPr>
              <w:t>形式审查</w:t>
            </w:r>
          </w:p>
        </w:tc>
        <w:tc>
          <w:tcPr>
            <w:tcW w:w="1973" w:type="dxa"/>
            <w:vAlign w:val="center"/>
          </w:tcPr>
          <w:p>
            <w:pPr>
              <w:jc w:val="left"/>
              <w:rPr>
                <w:rFonts w:hint="eastAsia"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restart"/>
            <w:vAlign w:val="center"/>
          </w:tcPr>
          <w:p>
            <w:pPr>
              <w:jc w:val="center"/>
              <w:rPr>
                <w:rFonts w:hint="eastAsia" w:ascii="仿宋_GB2312" w:eastAsia="仿宋_GB2312"/>
                <w:color w:val="auto"/>
                <w:kern w:val="0"/>
                <w:sz w:val="24"/>
                <w:highlight w:val="none"/>
                <w:lang w:eastAsia="zh-CN"/>
              </w:rPr>
            </w:pPr>
            <w:r>
              <w:rPr>
                <w:rFonts w:hint="eastAsia" w:ascii="仿宋_GB2312" w:eastAsia="仿宋_GB2312"/>
                <w:color w:val="auto"/>
                <w:kern w:val="0"/>
                <w:sz w:val="24"/>
                <w:highlight w:val="none"/>
                <w:lang w:val="en-US" w:eastAsia="zh-CN"/>
              </w:rPr>
              <w:t>7</w:t>
            </w:r>
          </w:p>
        </w:tc>
        <w:tc>
          <w:tcPr>
            <w:tcW w:w="1118" w:type="dxa"/>
            <w:vMerge w:val="restart"/>
            <w:vAlign w:val="center"/>
          </w:tcPr>
          <w:p>
            <w:pPr>
              <w:jc w:val="center"/>
              <w:rPr>
                <w:rFonts w:hint="eastAsia" w:ascii="仿宋_GB2312" w:eastAsia="仿宋_GB2312"/>
                <w:color w:val="auto"/>
                <w:kern w:val="0"/>
                <w:sz w:val="24"/>
                <w:highlight w:val="none"/>
                <w:lang w:val="en-US" w:eastAsia="zh-CN"/>
              </w:rPr>
            </w:pPr>
            <w:r>
              <w:rPr>
                <w:rFonts w:hint="eastAsia" w:ascii="仿宋_GB2312" w:hAnsi="黑体" w:eastAsia="仿宋_GB2312"/>
                <w:color w:val="auto"/>
                <w:kern w:val="0"/>
                <w:sz w:val="24"/>
                <w:highlight w:val="none"/>
                <w:lang w:val="en-US" w:eastAsia="zh-CN"/>
              </w:rPr>
              <w:t>重新核定</w:t>
            </w:r>
          </w:p>
        </w:tc>
        <w:tc>
          <w:tcPr>
            <w:tcW w:w="2386" w:type="dxa"/>
            <w:vAlign w:val="center"/>
          </w:tcPr>
          <w:p>
            <w:pPr>
              <w:jc w:val="left"/>
              <w:rPr>
                <w:rFonts w:ascii="仿宋_GB2312" w:eastAsia="仿宋_GB2312"/>
                <w:color w:val="auto"/>
                <w:kern w:val="0"/>
                <w:sz w:val="24"/>
                <w:highlight w:val="none"/>
              </w:rPr>
            </w:pPr>
            <w:r>
              <w:rPr>
                <w:rFonts w:hint="eastAsia" w:ascii="仿宋_GB2312" w:hAnsi="Times New Roman" w:eastAsia="仿宋_GB2312"/>
                <w:color w:val="auto"/>
                <w:kern w:val="0"/>
                <w:sz w:val="24"/>
                <w:highlight w:val="none"/>
                <w:lang w:val="en-US" w:eastAsia="zh-CN"/>
              </w:rPr>
              <w:t>合并、重组、改制、分立等</w:t>
            </w:r>
          </w:p>
        </w:tc>
        <w:tc>
          <w:tcPr>
            <w:tcW w:w="2800" w:type="dxa"/>
            <w:vAlign w:val="center"/>
          </w:tcPr>
          <w:p>
            <w:pPr>
              <w:jc w:val="left"/>
              <w:rPr>
                <w:rFonts w:ascii="仿宋_GB2312" w:eastAsia="仿宋_GB2312"/>
                <w:color w:val="auto"/>
                <w:kern w:val="0"/>
                <w:sz w:val="24"/>
                <w:highlight w:val="none"/>
              </w:rPr>
            </w:pPr>
            <w:r>
              <w:rPr>
                <w:rFonts w:hint="eastAsia" w:ascii="仿宋_GB2312" w:eastAsia="仿宋_GB2312"/>
                <w:color w:val="auto"/>
                <w:kern w:val="0"/>
                <w:sz w:val="24"/>
                <w:highlight w:val="none"/>
              </w:rPr>
              <w:t>现场评审</w:t>
            </w:r>
          </w:p>
        </w:tc>
        <w:tc>
          <w:tcPr>
            <w:tcW w:w="1973" w:type="dxa"/>
            <w:vAlign w:val="center"/>
          </w:tcPr>
          <w:p>
            <w:pPr>
              <w:jc w:val="left"/>
              <w:rPr>
                <w:rFonts w:hint="eastAsia"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jc w:val="center"/>
              <w:rPr>
                <w:rFonts w:hint="eastAsia" w:ascii="仿宋_GB2312" w:eastAsia="仿宋_GB2312"/>
                <w:color w:val="auto"/>
                <w:kern w:val="0"/>
                <w:sz w:val="24"/>
                <w:highlight w:val="none"/>
                <w:lang w:val="en-US" w:eastAsia="zh-CN"/>
              </w:rPr>
            </w:pPr>
          </w:p>
        </w:tc>
        <w:tc>
          <w:tcPr>
            <w:tcW w:w="1118" w:type="dxa"/>
            <w:vMerge w:val="continue"/>
            <w:vAlign w:val="center"/>
          </w:tcPr>
          <w:p>
            <w:pPr>
              <w:jc w:val="center"/>
              <w:rPr>
                <w:rFonts w:hint="eastAsia" w:ascii="仿宋_GB2312" w:hAnsi="黑体" w:eastAsia="仿宋_GB2312"/>
                <w:color w:val="auto"/>
                <w:kern w:val="0"/>
                <w:sz w:val="24"/>
                <w:highlight w:val="none"/>
              </w:rPr>
            </w:pPr>
          </w:p>
        </w:tc>
        <w:tc>
          <w:tcPr>
            <w:tcW w:w="2386" w:type="dxa"/>
            <w:vAlign w:val="center"/>
          </w:tcPr>
          <w:p>
            <w:pPr>
              <w:jc w:val="left"/>
              <w:rPr>
                <w:rFonts w:hint="eastAsia" w:ascii="仿宋_GB2312" w:eastAsia="仿宋_GB2312"/>
                <w:color w:val="auto"/>
                <w:kern w:val="0"/>
                <w:sz w:val="24"/>
                <w:highlight w:val="none"/>
              </w:rPr>
            </w:pPr>
            <w:r>
              <w:rPr>
                <w:rFonts w:hint="eastAsia" w:ascii="仿宋_GB2312" w:hAnsi="Times New Roman" w:eastAsia="仿宋_GB2312" w:cs="Times New Roman"/>
                <w:color w:val="auto"/>
                <w:kern w:val="0"/>
                <w:sz w:val="24"/>
                <w:szCs w:val="24"/>
                <w:highlight w:val="none"/>
              </w:rPr>
              <w:t>按</w:t>
            </w:r>
            <w:r>
              <w:rPr>
                <w:rFonts w:hint="eastAsia" w:ascii="仿宋_GB2312" w:eastAsia="仿宋_GB2312" w:cs="Times New Roman"/>
                <w:color w:val="auto"/>
                <w:kern w:val="0"/>
                <w:sz w:val="24"/>
                <w:szCs w:val="24"/>
                <w:highlight w:val="none"/>
                <w:lang w:val="en-US" w:eastAsia="zh-CN"/>
              </w:rPr>
              <w:t>新</w:t>
            </w:r>
            <w:r>
              <w:rPr>
                <w:rFonts w:hint="eastAsia" w:ascii="仿宋_GB2312" w:hAnsi="Times New Roman" w:eastAsia="仿宋_GB2312" w:cs="Times New Roman"/>
                <w:color w:val="auto"/>
                <w:kern w:val="0"/>
                <w:sz w:val="24"/>
                <w:szCs w:val="24"/>
                <w:highlight w:val="none"/>
                <w:lang w:eastAsia="zh-CN"/>
              </w:rPr>
              <w:t>资质</w:t>
            </w:r>
            <w:r>
              <w:rPr>
                <w:rFonts w:hint="eastAsia" w:ascii="仿宋_GB2312" w:hAnsi="Times New Roman" w:eastAsia="仿宋_GB2312" w:cs="Times New Roman"/>
                <w:color w:val="auto"/>
                <w:kern w:val="0"/>
                <w:sz w:val="24"/>
                <w:szCs w:val="24"/>
                <w:highlight w:val="none"/>
              </w:rPr>
              <w:t>标准申请</w:t>
            </w:r>
            <w:r>
              <w:rPr>
                <w:rFonts w:hint="eastAsia" w:ascii="仿宋_GB2312" w:eastAsia="仿宋_GB2312" w:cs="Times New Roman"/>
                <w:color w:val="auto"/>
                <w:kern w:val="0"/>
                <w:sz w:val="24"/>
                <w:szCs w:val="24"/>
                <w:highlight w:val="none"/>
                <w:lang w:val="en-US" w:eastAsia="zh-CN"/>
              </w:rPr>
              <w:t>核定的原检测机构</w:t>
            </w:r>
          </w:p>
        </w:tc>
        <w:tc>
          <w:tcPr>
            <w:tcW w:w="2800" w:type="dxa"/>
            <w:vAlign w:val="center"/>
          </w:tcPr>
          <w:p>
            <w:pPr>
              <w:jc w:val="left"/>
              <w:rPr>
                <w:rFonts w:hint="default" w:ascii="仿宋_GB2312" w:eastAsia="仿宋_GB2312"/>
                <w:color w:val="auto"/>
                <w:kern w:val="0"/>
                <w:sz w:val="24"/>
                <w:highlight w:val="none"/>
                <w:lang w:val="en-US"/>
              </w:rPr>
            </w:pPr>
            <w:r>
              <w:rPr>
                <w:rFonts w:hint="eastAsia" w:ascii="仿宋_GB2312" w:eastAsia="仿宋_GB2312"/>
                <w:color w:val="auto"/>
                <w:kern w:val="0"/>
                <w:sz w:val="24"/>
                <w:highlight w:val="none"/>
              </w:rPr>
              <w:t>现场评审</w:t>
            </w:r>
          </w:p>
        </w:tc>
        <w:tc>
          <w:tcPr>
            <w:tcW w:w="1973" w:type="dxa"/>
            <w:vAlign w:val="center"/>
          </w:tcPr>
          <w:p>
            <w:pPr>
              <w:jc w:val="left"/>
              <w:rPr>
                <w:rFonts w:hint="eastAsia"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jc w:val="center"/>
              <w:rPr>
                <w:rFonts w:hint="eastAsia" w:ascii="仿宋_GB2312" w:eastAsia="仿宋_GB2312"/>
                <w:color w:val="auto"/>
                <w:kern w:val="0"/>
                <w:sz w:val="24"/>
                <w:highlight w:val="none"/>
                <w:lang w:val="en-US" w:eastAsia="zh-CN"/>
              </w:rPr>
            </w:pPr>
          </w:p>
        </w:tc>
        <w:tc>
          <w:tcPr>
            <w:tcW w:w="1118" w:type="dxa"/>
            <w:vMerge w:val="continue"/>
            <w:vAlign w:val="center"/>
          </w:tcPr>
          <w:p>
            <w:pPr>
              <w:jc w:val="center"/>
              <w:rPr>
                <w:rFonts w:hint="eastAsia" w:ascii="仿宋_GB2312" w:hAnsi="黑体" w:eastAsia="仿宋_GB2312"/>
                <w:color w:val="auto"/>
                <w:kern w:val="0"/>
                <w:sz w:val="24"/>
                <w:highlight w:val="none"/>
              </w:rPr>
            </w:pPr>
          </w:p>
        </w:tc>
        <w:tc>
          <w:tcPr>
            <w:tcW w:w="2386" w:type="dxa"/>
            <w:vAlign w:val="center"/>
          </w:tcPr>
          <w:p>
            <w:pPr>
              <w:jc w:val="left"/>
              <w:rPr>
                <w:rFonts w:hint="default" w:ascii="仿宋_GB2312" w:hAnsi="Times New Roman" w:eastAsia="仿宋_GB2312" w:cs="Times New Roman"/>
                <w:color w:val="auto"/>
                <w:kern w:val="0"/>
                <w:sz w:val="24"/>
                <w:szCs w:val="24"/>
                <w:highlight w:val="none"/>
                <w:lang w:val="en-US" w:eastAsia="zh-CN"/>
              </w:rPr>
            </w:pPr>
            <w:r>
              <w:rPr>
                <w:rFonts w:hint="eastAsia" w:ascii="仿宋_GB2312" w:hAnsi="Times New Roman" w:eastAsia="仿宋_GB2312" w:cs="Times New Roman"/>
                <w:color w:val="auto"/>
                <w:kern w:val="0"/>
                <w:sz w:val="24"/>
                <w:szCs w:val="24"/>
                <w:highlight w:val="none"/>
              </w:rPr>
              <w:t>责令限期整改</w:t>
            </w:r>
          </w:p>
        </w:tc>
        <w:tc>
          <w:tcPr>
            <w:tcW w:w="2800" w:type="dxa"/>
            <w:vAlign w:val="center"/>
          </w:tcPr>
          <w:p>
            <w:pPr>
              <w:jc w:val="left"/>
              <w:rPr>
                <w:rFonts w:hint="eastAsia" w:ascii="仿宋_GB2312" w:eastAsia="仿宋_GB2312"/>
                <w:color w:val="auto"/>
                <w:kern w:val="0"/>
                <w:sz w:val="24"/>
                <w:highlight w:val="none"/>
              </w:rPr>
            </w:pPr>
            <w:r>
              <w:rPr>
                <w:rFonts w:hint="eastAsia" w:ascii="仿宋_GB2312" w:eastAsia="仿宋_GB2312"/>
                <w:color w:val="auto"/>
                <w:kern w:val="0"/>
                <w:sz w:val="24"/>
                <w:highlight w:val="none"/>
                <w:lang w:val="en-US" w:eastAsia="zh-CN"/>
              </w:rPr>
              <w:t>结合整改内容和要求开展现场评审或形式评审</w:t>
            </w:r>
          </w:p>
        </w:tc>
        <w:tc>
          <w:tcPr>
            <w:tcW w:w="1973" w:type="dxa"/>
            <w:vAlign w:val="center"/>
          </w:tcPr>
          <w:p>
            <w:pPr>
              <w:jc w:val="left"/>
              <w:rPr>
                <w:rFonts w:hint="default" w:ascii="仿宋_GB2312" w:eastAsia="仿宋_GB2312"/>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jc w:val="center"/>
              <w:rPr>
                <w:rFonts w:hint="eastAsia" w:ascii="仿宋_GB2312" w:eastAsia="仿宋_GB2312"/>
                <w:color w:val="auto"/>
                <w:kern w:val="0"/>
                <w:sz w:val="24"/>
                <w:highlight w:val="none"/>
                <w:lang w:val="en-US" w:eastAsia="zh-CN"/>
              </w:rPr>
            </w:pPr>
          </w:p>
        </w:tc>
        <w:tc>
          <w:tcPr>
            <w:tcW w:w="1118" w:type="dxa"/>
            <w:vMerge w:val="continue"/>
            <w:vAlign w:val="center"/>
          </w:tcPr>
          <w:p>
            <w:pPr>
              <w:jc w:val="center"/>
              <w:rPr>
                <w:rFonts w:hint="eastAsia" w:ascii="仿宋_GB2312" w:hAnsi="黑体" w:eastAsia="仿宋_GB2312"/>
                <w:color w:val="auto"/>
                <w:kern w:val="0"/>
                <w:sz w:val="24"/>
                <w:highlight w:val="none"/>
              </w:rPr>
            </w:pPr>
          </w:p>
        </w:tc>
        <w:tc>
          <w:tcPr>
            <w:tcW w:w="2386" w:type="dxa"/>
            <w:vAlign w:val="center"/>
          </w:tcPr>
          <w:p>
            <w:pPr>
              <w:jc w:val="left"/>
              <w:rPr>
                <w:rFonts w:hint="eastAsia" w:ascii="仿宋_GB2312" w:eastAsia="仿宋_GB2312"/>
                <w:color w:val="auto"/>
                <w:kern w:val="0"/>
                <w:sz w:val="24"/>
                <w:highlight w:val="none"/>
                <w:lang w:val="en-US" w:eastAsia="zh-CN"/>
              </w:rPr>
            </w:pPr>
            <w:r>
              <w:rPr>
                <w:rFonts w:hint="eastAsia" w:ascii="仿宋_GB2312" w:eastAsia="仿宋_GB2312"/>
                <w:color w:val="auto"/>
                <w:kern w:val="0"/>
                <w:sz w:val="24"/>
                <w:highlight w:val="none"/>
                <w:lang w:val="en-US" w:eastAsia="zh-CN"/>
              </w:rPr>
              <w:t>检测机构</w:t>
            </w:r>
            <w:r>
              <w:rPr>
                <w:rFonts w:hint="eastAsia" w:ascii="仿宋_GB2312" w:eastAsia="仿宋_GB2312"/>
                <w:color w:val="auto"/>
                <w:kern w:val="0"/>
                <w:sz w:val="24"/>
                <w:highlight w:val="none"/>
              </w:rPr>
              <w:t>检测场所、技术人员、仪器设备</w:t>
            </w:r>
            <w:r>
              <w:rPr>
                <w:rFonts w:hint="eastAsia" w:ascii="仿宋_GB2312" w:eastAsia="仿宋_GB2312"/>
                <w:color w:val="auto"/>
                <w:kern w:val="0"/>
                <w:sz w:val="24"/>
                <w:highlight w:val="none"/>
                <w:lang w:val="en-US" w:eastAsia="zh-CN"/>
              </w:rPr>
              <w:t>等事项发生</w:t>
            </w:r>
            <w:r>
              <w:rPr>
                <w:rFonts w:hint="eastAsia" w:ascii="仿宋_GB2312" w:eastAsia="仿宋_GB2312"/>
                <w:color w:val="auto"/>
                <w:kern w:val="0"/>
                <w:sz w:val="24"/>
                <w:highlight w:val="none"/>
              </w:rPr>
              <w:t>变更</w:t>
            </w:r>
            <w:r>
              <w:rPr>
                <w:rFonts w:hint="eastAsia" w:ascii="仿宋_GB2312" w:eastAsia="仿宋_GB2312"/>
                <w:color w:val="auto"/>
                <w:kern w:val="0"/>
                <w:sz w:val="24"/>
                <w:highlight w:val="none"/>
                <w:lang w:val="en-US" w:eastAsia="zh-CN"/>
              </w:rPr>
              <w:t>影响其符合资质标准的</w:t>
            </w:r>
          </w:p>
        </w:tc>
        <w:tc>
          <w:tcPr>
            <w:tcW w:w="2800" w:type="dxa"/>
            <w:vAlign w:val="center"/>
          </w:tcPr>
          <w:p>
            <w:pPr>
              <w:jc w:val="left"/>
              <w:rPr>
                <w:rFonts w:hint="eastAsia" w:ascii="仿宋_GB2312" w:eastAsia="仿宋_GB2312"/>
                <w:color w:val="auto"/>
                <w:kern w:val="0"/>
                <w:sz w:val="24"/>
                <w:highlight w:val="none"/>
              </w:rPr>
            </w:pPr>
            <w:r>
              <w:rPr>
                <w:rFonts w:hint="eastAsia" w:ascii="仿宋_GB2312" w:eastAsia="仿宋_GB2312"/>
                <w:color w:val="auto"/>
                <w:kern w:val="0"/>
                <w:sz w:val="24"/>
                <w:highlight w:val="none"/>
                <w:lang w:val="en-US" w:eastAsia="zh-CN"/>
              </w:rPr>
              <w:t>结合变更内容开展现场评审或形式评审</w:t>
            </w:r>
          </w:p>
        </w:tc>
        <w:tc>
          <w:tcPr>
            <w:tcW w:w="1973" w:type="dxa"/>
            <w:vAlign w:val="center"/>
          </w:tcPr>
          <w:p>
            <w:pPr>
              <w:jc w:val="left"/>
              <w:rPr>
                <w:rFonts w:hint="eastAsia" w:ascii="仿宋_GB2312" w:eastAsia="仿宋_GB2312"/>
                <w:color w:val="auto"/>
                <w:kern w:val="0"/>
                <w:sz w:val="24"/>
                <w:highlight w:val="none"/>
              </w:rPr>
            </w:pPr>
          </w:p>
        </w:tc>
      </w:tr>
    </w:tbl>
    <w:p>
      <w:pPr>
        <w:pStyle w:val="12"/>
        <w:spacing w:before="0" w:beforeAutospacing="0" w:after="0" w:afterAutospacing="0" w:line="276" w:lineRule="auto"/>
        <w:jc w:val="both"/>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注：1.新设立（首次申请）时应严格执行专家评审全部流程，对检测机构所提交申请材料内容进行现场核查，对所申请专项资质范围内的人员、仪器设备、检测场所、质量保证体系等条件进行全方位评价。</w:t>
      </w:r>
    </w:p>
    <w:p>
      <w:pPr>
        <w:pStyle w:val="12"/>
        <w:spacing w:before="0" w:beforeAutospacing="0" w:after="0" w:afterAutospacing="0" w:line="276" w:lineRule="auto"/>
        <w:ind w:firstLine="480" w:firstLineChars="200"/>
        <w:jc w:val="both"/>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2.资质增项重点对与增项项目相关的要素进行评审，增加参数原则上只对与参数相关的要素进行评审。</w:t>
      </w:r>
    </w:p>
    <w:p>
      <w:pPr>
        <w:pStyle w:val="12"/>
        <w:spacing w:before="0" w:beforeAutospacing="0" w:after="0" w:afterAutospacing="0" w:line="276" w:lineRule="auto"/>
        <w:ind w:firstLine="480" w:firstLineChars="200"/>
        <w:jc w:val="both"/>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3.检测机构取得资质后不再符合资质标准要求的，应在整改完成后执行重新核定程序，重新核定评审方式由资质审批机关确定。</w:t>
      </w:r>
    </w:p>
    <w:p>
      <w:pPr>
        <w:pStyle w:val="12"/>
        <w:spacing w:before="0" w:beforeAutospacing="0" w:after="0" w:afterAutospacing="0" w:line="276" w:lineRule="auto"/>
        <w:ind w:firstLine="480" w:firstLineChars="200"/>
        <w:jc w:val="both"/>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4.对于不在同一设区市行政区的检测机构场所（分支机构）可采取人员集中开展能力核准，以及场所、设备远程视频核查的方式进行。</w:t>
      </w:r>
    </w:p>
    <w:p>
      <w:pPr>
        <w:jc w:val="left"/>
        <w:rPr>
          <w:rFonts w:ascii="仿宋_GB2312" w:eastAsia="仿宋_GB2312"/>
          <w:color w:val="auto"/>
          <w:highlight w:val="none"/>
        </w:rPr>
      </w:pPr>
      <w:r>
        <w:rPr>
          <w:rFonts w:hint="eastAsia" w:ascii="仿宋_GB2312" w:eastAsia="仿宋_GB2312"/>
          <w:color w:val="auto"/>
          <w:highlight w:val="none"/>
        </w:rPr>
        <w:br w:type="page"/>
      </w:r>
    </w:p>
    <w:p>
      <w:pPr>
        <w:pStyle w:val="12"/>
        <w:shd w:val="clear" w:color="auto" w:fill="FFFFFF"/>
        <w:spacing w:before="0" w:beforeAutospacing="0" w:after="0" w:afterAutospacing="0" w:line="540" w:lineRule="exact"/>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pStyle w:val="2"/>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资质评审承诺声明</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本人</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组织</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在</w:t>
      </w:r>
      <w:r>
        <w:rPr>
          <w:rFonts w:hint="eastAsia" w:ascii="仿宋_GB2312" w:eastAsia="仿宋_GB2312"/>
          <w:color w:val="auto"/>
          <w:sz w:val="30"/>
          <w:szCs w:val="30"/>
          <w:highlight w:val="none"/>
          <w:u w:val="single"/>
        </w:rPr>
        <w:t>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w:t>
      </w:r>
      <w:r>
        <w:rPr>
          <w:rFonts w:hint="eastAsia" w:ascii="仿宋_GB2312" w:eastAsia="仿宋_GB2312"/>
          <w:color w:val="auto"/>
          <w:sz w:val="30"/>
          <w:szCs w:val="30"/>
          <w:highlight w:val="none"/>
          <w:u w:val="single"/>
          <w:lang w:eastAsia="zh-CN"/>
        </w:rPr>
        <w:t>被评审</w:t>
      </w:r>
      <w:r>
        <w:rPr>
          <w:rFonts w:hint="eastAsia" w:ascii="仿宋_GB2312" w:eastAsia="仿宋_GB2312"/>
          <w:color w:val="auto"/>
          <w:sz w:val="30"/>
          <w:szCs w:val="30"/>
          <w:highlight w:val="none"/>
          <w:u w:val="single"/>
        </w:rPr>
        <w:t>机构名称）</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w:t>
      </w:r>
      <w:r>
        <w:rPr>
          <w:rFonts w:hint="eastAsia" w:ascii="仿宋_GB2312" w:eastAsia="仿宋_GB2312"/>
          <w:color w:val="auto"/>
          <w:sz w:val="30"/>
          <w:szCs w:val="30"/>
          <w:highlight w:val="none"/>
        </w:rPr>
        <w:t>评审</w:t>
      </w:r>
      <w:r>
        <w:rPr>
          <w:rFonts w:hint="eastAsia" w:ascii="仿宋_GB2312" w:eastAsia="仿宋_GB2312"/>
          <w:color w:val="auto"/>
          <w:sz w:val="30"/>
          <w:szCs w:val="30"/>
          <w:highlight w:val="none"/>
          <w:lang w:val="en-US" w:eastAsia="zh-CN"/>
        </w:rPr>
        <w:t>过程中</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为确保评审工作</w:t>
      </w:r>
      <w:r>
        <w:rPr>
          <w:rFonts w:hint="eastAsia" w:ascii="仿宋_GB2312" w:eastAsia="仿宋_GB2312"/>
          <w:color w:val="auto"/>
          <w:sz w:val="30"/>
          <w:szCs w:val="30"/>
          <w:highlight w:val="none"/>
        </w:rPr>
        <w:t>公正</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客观、廉洁</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保密</w:t>
      </w:r>
      <w:r>
        <w:rPr>
          <w:rFonts w:hint="eastAsia" w:ascii="仿宋_GB2312" w:eastAsia="仿宋_GB2312"/>
          <w:color w:val="auto"/>
          <w:sz w:val="30"/>
          <w:szCs w:val="30"/>
          <w:highlight w:val="none"/>
        </w:rPr>
        <w:t>，现郑重承诺声明如下：</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1</w:t>
      </w:r>
      <w:r>
        <w:rPr>
          <w:rFonts w:ascii="仿宋_GB2312" w:eastAsia="仿宋_GB2312"/>
          <w:color w:val="auto"/>
          <w:sz w:val="30"/>
          <w:szCs w:val="30"/>
          <w:highlight w:val="none"/>
        </w:rPr>
        <w:t>.</w:t>
      </w:r>
      <w:r>
        <w:rPr>
          <w:rFonts w:hint="eastAsia" w:ascii="仿宋_GB2312" w:eastAsia="仿宋_GB2312"/>
          <w:color w:val="auto"/>
          <w:sz w:val="30"/>
          <w:szCs w:val="30"/>
          <w:highlight w:val="none"/>
        </w:rPr>
        <w:t>严格遵守国家和</w:t>
      </w:r>
      <w:r>
        <w:rPr>
          <w:rFonts w:hint="eastAsia" w:ascii="仿宋_GB2312" w:eastAsia="仿宋_GB2312"/>
          <w:color w:val="auto"/>
          <w:sz w:val="30"/>
          <w:szCs w:val="30"/>
          <w:highlight w:val="none"/>
          <w:lang w:val="en-US" w:eastAsia="zh-CN"/>
        </w:rPr>
        <w:t>广东</w:t>
      </w:r>
      <w:r>
        <w:rPr>
          <w:rFonts w:hint="eastAsia" w:ascii="仿宋_GB2312" w:eastAsia="仿宋_GB2312"/>
          <w:color w:val="auto"/>
          <w:sz w:val="30"/>
          <w:szCs w:val="30"/>
          <w:highlight w:val="none"/>
        </w:rPr>
        <w:t>省有关法律、法规要求，严格按照有关标准、规范和规定</w:t>
      </w:r>
      <w:r>
        <w:rPr>
          <w:rFonts w:hint="eastAsia" w:ascii="仿宋_GB2312" w:eastAsia="仿宋_GB2312"/>
          <w:color w:val="auto"/>
          <w:sz w:val="30"/>
          <w:szCs w:val="30"/>
          <w:highlight w:val="none"/>
          <w:lang w:val="en-US" w:eastAsia="zh-CN"/>
        </w:rPr>
        <w:t>开展评审活动</w:t>
      </w:r>
      <w:r>
        <w:rPr>
          <w:rFonts w:hint="eastAsia" w:ascii="仿宋_GB2312" w:eastAsia="仿宋_GB2312"/>
          <w:color w:val="auto"/>
          <w:sz w:val="30"/>
          <w:szCs w:val="30"/>
          <w:highlight w:val="none"/>
        </w:rPr>
        <w:t>；</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ind w:firstLine="600" w:firstLineChars="200"/>
        <w:textAlignment w:val="auto"/>
        <w:rPr>
          <w:rFonts w:ascii="仿宋_GB2312" w:eastAsia="仿宋_GB2312"/>
          <w:color w:val="auto"/>
          <w:sz w:val="30"/>
          <w:szCs w:val="30"/>
          <w:highlight w:val="none"/>
        </w:rPr>
      </w:pPr>
      <w:r>
        <w:rPr>
          <w:rFonts w:ascii="仿宋_GB2312" w:eastAsia="仿宋_GB2312"/>
          <w:color w:val="auto"/>
          <w:sz w:val="30"/>
          <w:szCs w:val="30"/>
          <w:highlight w:val="none"/>
        </w:rPr>
        <w:t>2.</w:t>
      </w:r>
      <w:r>
        <w:rPr>
          <w:rFonts w:hint="eastAsia" w:ascii="仿宋_GB2312" w:eastAsia="仿宋_GB2312"/>
          <w:color w:val="auto"/>
          <w:sz w:val="30"/>
          <w:szCs w:val="30"/>
          <w:highlight w:val="none"/>
        </w:rPr>
        <w:t>本人及所在</w:t>
      </w:r>
      <w:r>
        <w:rPr>
          <w:rFonts w:hint="eastAsia" w:ascii="仿宋_GB2312" w:eastAsia="仿宋_GB2312"/>
          <w:color w:val="auto"/>
          <w:sz w:val="30"/>
          <w:szCs w:val="30"/>
          <w:highlight w:val="none"/>
          <w:lang w:val="en-US" w:eastAsia="zh-CN"/>
        </w:rPr>
        <w:t>组织</w:t>
      </w:r>
      <w:r>
        <w:rPr>
          <w:rFonts w:hint="eastAsia" w:ascii="仿宋_GB2312" w:eastAsia="仿宋_GB2312"/>
          <w:color w:val="auto"/>
          <w:sz w:val="30"/>
          <w:szCs w:val="30"/>
          <w:highlight w:val="none"/>
        </w:rPr>
        <w:t>与</w:t>
      </w:r>
      <w:r>
        <w:rPr>
          <w:rFonts w:hint="eastAsia" w:ascii="仿宋_GB2312" w:eastAsia="仿宋_GB2312"/>
          <w:color w:val="auto"/>
          <w:sz w:val="30"/>
          <w:szCs w:val="30"/>
          <w:highlight w:val="none"/>
          <w:lang w:eastAsia="zh-CN"/>
        </w:rPr>
        <w:t>被评审</w:t>
      </w:r>
      <w:r>
        <w:rPr>
          <w:rFonts w:hint="eastAsia" w:ascii="仿宋_GB2312" w:eastAsia="仿宋_GB2312"/>
          <w:color w:val="auto"/>
          <w:sz w:val="30"/>
          <w:szCs w:val="30"/>
          <w:highlight w:val="none"/>
        </w:rPr>
        <w:t>机构无隶属关系或者</w:t>
      </w:r>
      <w:r>
        <w:rPr>
          <w:rFonts w:hint="eastAsia" w:ascii="仿宋_GB2312" w:eastAsia="仿宋_GB2312"/>
          <w:color w:val="auto"/>
          <w:sz w:val="30"/>
          <w:szCs w:val="30"/>
          <w:highlight w:val="none"/>
          <w:lang w:val="en-US" w:eastAsia="zh-CN"/>
        </w:rPr>
        <w:t>发生</w:t>
      </w:r>
      <w:r>
        <w:rPr>
          <w:rFonts w:hint="eastAsia" w:ascii="仿宋_GB2312" w:eastAsia="仿宋_GB2312"/>
          <w:color w:val="auto"/>
          <w:sz w:val="30"/>
          <w:szCs w:val="30"/>
          <w:highlight w:val="none"/>
        </w:rPr>
        <w:t>经济、商务及其他利害关系；</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3</w:t>
      </w:r>
      <w:r>
        <w:rPr>
          <w:rFonts w:ascii="仿宋_GB2312" w:eastAsia="仿宋_GB2312"/>
          <w:color w:val="auto"/>
          <w:sz w:val="30"/>
          <w:szCs w:val="30"/>
          <w:highlight w:val="none"/>
        </w:rPr>
        <w:t>.</w:t>
      </w:r>
      <w:r>
        <w:rPr>
          <w:rFonts w:hint="eastAsia" w:ascii="仿宋_GB2312" w:eastAsia="仿宋_GB2312"/>
          <w:color w:val="auto"/>
          <w:sz w:val="30"/>
          <w:szCs w:val="30"/>
          <w:highlight w:val="none"/>
        </w:rPr>
        <w:t>本人及所在组织未曾向</w:t>
      </w:r>
      <w:r>
        <w:rPr>
          <w:rFonts w:hint="eastAsia" w:ascii="仿宋_GB2312" w:eastAsia="仿宋_GB2312"/>
          <w:color w:val="auto"/>
          <w:sz w:val="30"/>
          <w:szCs w:val="30"/>
          <w:highlight w:val="none"/>
          <w:lang w:eastAsia="zh-CN"/>
        </w:rPr>
        <w:t>被评审</w:t>
      </w:r>
      <w:r>
        <w:rPr>
          <w:rFonts w:hint="eastAsia" w:ascii="仿宋_GB2312" w:eastAsia="仿宋_GB2312"/>
          <w:color w:val="auto"/>
          <w:sz w:val="30"/>
          <w:szCs w:val="30"/>
          <w:highlight w:val="none"/>
        </w:rPr>
        <w:t>机构提供过任何有损评审结论公正性的指导和咨询；</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ind w:firstLine="600" w:firstLineChars="200"/>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4</w:t>
      </w:r>
      <w:r>
        <w:rPr>
          <w:rFonts w:ascii="仿宋_GB2312" w:eastAsia="仿宋_GB2312"/>
          <w:color w:val="auto"/>
          <w:sz w:val="30"/>
          <w:szCs w:val="30"/>
          <w:highlight w:val="none"/>
        </w:rPr>
        <w:t>.</w:t>
      </w:r>
      <w:r>
        <w:rPr>
          <w:rFonts w:hint="eastAsia" w:ascii="仿宋_GB2312" w:eastAsia="仿宋_GB2312"/>
          <w:color w:val="auto"/>
          <w:sz w:val="30"/>
          <w:szCs w:val="30"/>
          <w:highlight w:val="none"/>
        </w:rPr>
        <w:t>本人在</w:t>
      </w:r>
      <w:r>
        <w:rPr>
          <w:rFonts w:hint="eastAsia" w:ascii="仿宋_GB2312" w:eastAsia="仿宋_GB2312"/>
          <w:color w:val="auto"/>
          <w:sz w:val="30"/>
          <w:szCs w:val="30"/>
          <w:highlight w:val="none"/>
          <w:lang w:val="en-US" w:eastAsia="zh-CN"/>
        </w:rPr>
        <w:t>授权</w:t>
      </w:r>
      <w:r>
        <w:rPr>
          <w:rFonts w:hint="eastAsia" w:ascii="仿宋_GB2312" w:eastAsia="仿宋_GB2312"/>
          <w:color w:val="auto"/>
          <w:sz w:val="30"/>
          <w:szCs w:val="30"/>
          <w:highlight w:val="none"/>
        </w:rPr>
        <w:t>范围内独立开展工作，坚持以事实为依据，不主观臆断、不受外界因素的干扰和影响，不做任何有违评审</w:t>
      </w:r>
      <w:r>
        <w:rPr>
          <w:rFonts w:hint="eastAsia" w:ascii="仿宋_GB2312" w:eastAsia="仿宋_GB2312"/>
          <w:color w:val="auto"/>
          <w:sz w:val="30"/>
          <w:szCs w:val="30"/>
          <w:highlight w:val="none"/>
          <w:lang w:val="en-US" w:eastAsia="zh-CN"/>
        </w:rPr>
        <w:t>公正</w:t>
      </w:r>
      <w:r>
        <w:rPr>
          <w:rFonts w:hint="eastAsia" w:ascii="仿宋_GB2312" w:eastAsia="仿宋_GB2312"/>
          <w:color w:val="auto"/>
          <w:sz w:val="30"/>
          <w:szCs w:val="30"/>
          <w:highlight w:val="none"/>
        </w:rPr>
        <w:t>的</w:t>
      </w:r>
      <w:r>
        <w:rPr>
          <w:rFonts w:hint="eastAsia" w:ascii="仿宋_GB2312" w:eastAsia="仿宋_GB2312"/>
          <w:color w:val="auto"/>
          <w:sz w:val="30"/>
          <w:szCs w:val="30"/>
          <w:highlight w:val="none"/>
          <w:lang w:val="en-US" w:eastAsia="zh-CN"/>
        </w:rPr>
        <w:t>事情</w:t>
      </w:r>
      <w:r>
        <w:rPr>
          <w:rFonts w:hint="eastAsia" w:ascii="仿宋_GB2312" w:eastAsia="仿宋_GB2312"/>
          <w:color w:val="auto"/>
          <w:sz w:val="30"/>
          <w:szCs w:val="30"/>
          <w:highlight w:val="none"/>
        </w:rPr>
        <w:t>；</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ascii="仿宋_GB2312" w:eastAsia="仿宋_GB2312"/>
          <w:color w:val="auto"/>
          <w:sz w:val="30"/>
          <w:szCs w:val="30"/>
          <w:highlight w:val="none"/>
        </w:rPr>
      </w:pPr>
      <w:r>
        <w:rPr>
          <w:rFonts w:hint="eastAsia" w:ascii="仿宋_GB2312" w:eastAsia="仿宋_GB2312"/>
          <w:color w:val="auto"/>
          <w:sz w:val="30"/>
          <w:szCs w:val="30"/>
          <w:highlight w:val="none"/>
        </w:rPr>
        <w:t>5</w:t>
      </w:r>
      <w:r>
        <w:rPr>
          <w:rFonts w:ascii="仿宋_GB2312" w:eastAsia="仿宋_GB2312"/>
          <w:color w:val="auto"/>
          <w:sz w:val="30"/>
          <w:szCs w:val="30"/>
          <w:highlight w:val="none"/>
        </w:rPr>
        <w:t>.</w:t>
      </w:r>
      <w:r>
        <w:rPr>
          <w:rFonts w:hint="eastAsia" w:ascii="仿宋_GB2312" w:eastAsia="仿宋_GB2312"/>
          <w:color w:val="auto"/>
          <w:sz w:val="30"/>
          <w:szCs w:val="30"/>
          <w:highlight w:val="none"/>
        </w:rPr>
        <w:t>保证相关信息、材料的真实性；遵守评审工作程序，对所负责评审工作的准确性、真实性、客观性和完整性负责</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尊重检测机构知识产权，严守技术、商业秘密，不泄露在评审过程中获得的相关信息；</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6</w:t>
      </w:r>
      <w:r>
        <w:rPr>
          <w:rFonts w:ascii="仿宋_GB2312" w:eastAsia="仿宋_GB2312"/>
          <w:color w:val="auto"/>
          <w:sz w:val="30"/>
          <w:szCs w:val="30"/>
          <w:highlight w:val="none"/>
        </w:rPr>
        <w:t>.</w:t>
      </w:r>
      <w:r>
        <w:rPr>
          <w:rFonts w:hint="eastAsia" w:ascii="仿宋_GB2312" w:eastAsia="仿宋_GB2312"/>
          <w:color w:val="auto"/>
          <w:sz w:val="30"/>
          <w:szCs w:val="30"/>
          <w:highlight w:val="none"/>
        </w:rPr>
        <w:t>恪守职业道德，廉洁自律，不收受</w:t>
      </w:r>
      <w:r>
        <w:rPr>
          <w:rFonts w:hint="eastAsia" w:ascii="仿宋_GB2312" w:eastAsia="仿宋_GB2312"/>
          <w:color w:val="auto"/>
          <w:sz w:val="30"/>
          <w:szCs w:val="30"/>
          <w:highlight w:val="none"/>
          <w:lang w:val="en-US" w:eastAsia="zh-CN"/>
        </w:rPr>
        <w:t>/不赠送</w:t>
      </w:r>
      <w:r>
        <w:rPr>
          <w:rFonts w:hint="eastAsia" w:ascii="仿宋_GB2312" w:eastAsia="仿宋_GB2312"/>
          <w:color w:val="auto"/>
          <w:sz w:val="30"/>
          <w:szCs w:val="30"/>
          <w:highlight w:val="none"/>
        </w:rPr>
        <w:t>礼品、礼金、宴请，不进行</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不接受任何形式的馈赠或贿赂行为</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不参加</w:t>
      </w:r>
      <w:r>
        <w:rPr>
          <w:rFonts w:hint="eastAsia" w:ascii="仿宋_GB2312" w:eastAsia="仿宋_GB2312"/>
          <w:color w:val="auto"/>
          <w:sz w:val="30"/>
          <w:szCs w:val="30"/>
          <w:highlight w:val="none"/>
          <w:lang w:val="en-US" w:eastAsia="zh-CN"/>
        </w:rPr>
        <w:t>/组织</w:t>
      </w:r>
      <w:r>
        <w:rPr>
          <w:rFonts w:hint="eastAsia" w:ascii="仿宋_GB2312" w:eastAsia="仿宋_GB2312"/>
          <w:color w:val="auto"/>
          <w:sz w:val="30"/>
          <w:szCs w:val="30"/>
          <w:highlight w:val="none"/>
        </w:rPr>
        <w:t>与现场评审无关的活动。</w:t>
      </w:r>
    </w:p>
    <w:p>
      <w:pPr>
        <w:pStyle w:val="12"/>
        <w:keepNext w:val="0"/>
        <w:keepLines w:val="0"/>
        <w:pageBreakBefore w:val="0"/>
        <w:widowControl/>
        <w:kinsoku/>
        <w:wordWrap/>
        <w:overflowPunct/>
        <w:topLinePunct w:val="0"/>
        <w:autoSpaceDE/>
        <w:autoSpaceDN/>
        <w:bidi w:val="0"/>
        <w:adjustRightInd/>
        <w:snapToGrid/>
        <w:spacing w:before="0" w:beforeAutospacing="0" w:after="157" w:afterLines="50" w:afterAutospacing="0" w:line="500" w:lineRule="exact"/>
        <w:ind w:firstLine="600" w:firstLineChars="200"/>
        <w:jc w:val="both"/>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以上承诺声明，请有关各方予以监督，如有违反，愿为此承担相应法律责任。</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评审组成员（签名）：                             </w:t>
      </w: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hint="eastAsia" w:ascii="仿宋_GB2312" w:eastAsia="仿宋_GB2312"/>
          <w:color w:val="auto"/>
          <w:sz w:val="30"/>
          <w:szCs w:val="30"/>
          <w:highlight w:val="none"/>
        </w:rPr>
      </w:pPr>
    </w:p>
    <w:p>
      <w:pPr>
        <w:pStyle w:val="12"/>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被评审机构负责人（签名）、公章：                       </w:t>
      </w:r>
    </w:p>
    <w:p>
      <w:pPr>
        <w:keepNext w:val="0"/>
        <w:keepLines w:val="0"/>
        <w:pageBreakBefore w:val="0"/>
        <w:kinsoku/>
        <w:wordWrap/>
        <w:overflowPunct/>
        <w:topLinePunct w:val="0"/>
        <w:autoSpaceDE/>
        <w:autoSpaceDN/>
        <w:bidi w:val="0"/>
        <w:adjustRightInd/>
        <w:snapToGrid w:val="0"/>
        <w:spacing w:line="500" w:lineRule="exact"/>
        <w:ind w:firstLine="4500" w:firstLineChars="1500"/>
        <w:textAlignment w:val="auto"/>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t>时间：　　年　月　日</w:t>
      </w:r>
    </w:p>
    <w:p>
      <w:pPr>
        <w:rPr>
          <w:rFonts w:hint="eastAsia" w:ascii="仿宋_GB2312" w:hAnsi="宋体" w:eastAsia="仿宋_GB2312" w:cs="宋体"/>
          <w:color w:val="auto"/>
          <w:kern w:val="0"/>
          <w:sz w:val="30"/>
          <w:szCs w:val="30"/>
          <w:highlight w:val="none"/>
        </w:rPr>
      </w:pPr>
      <w:r>
        <w:rPr>
          <w:rFonts w:hint="eastAsia" w:ascii="仿宋_GB2312" w:hAnsi="宋体" w:eastAsia="仿宋_GB2312" w:cs="宋体"/>
          <w:color w:val="auto"/>
          <w:kern w:val="0"/>
          <w:sz w:val="30"/>
          <w:szCs w:val="30"/>
          <w:highlight w:val="none"/>
        </w:rPr>
        <w:br w:type="page"/>
      </w:r>
    </w:p>
    <w:p>
      <w:pPr>
        <w:pStyle w:val="2"/>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Cs/>
          <w:color w:val="auto"/>
          <w:sz w:val="44"/>
          <w:szCs w:val="44"/>
          <w:highlight w:val="none"/>
        </w:rPr>
      </w:pPr>
      <w:r>
        <w:rPr>
          <w:rFonts w:hint="eastAsia" w:ascii="方正小标宋简体" w:hAnsi="方正小标宋简体" w:eastAsia="方正小标宋简体" w:cs="方正小标宋简体"/>
          <w:sz w:val="44"/>
          <w:szCs w:val="44"/>
          <w:highlight w:val="none"/>
          <w:lang w:val="en-US" w:eastAsia="zh-CN"/>
        </w:rPr>
        <w:t>专家评审计划表</w:t>
      </w:r>
    </w:p>
    <w:p>
      <w:pPr>
        <w:spacing w:line="460" w:lineRule="exact"/>
        <w:jc w:val="right"/>
        <w:rPr>
          <w:rFonts w:hint="eastAsia" w:ascii="仿宋" w:hAnsi="仿宋" w:eastAsia="仿宋"/>
          <w:color w:val="auto"/>
          <w:highlight w:val="none"/>
        </w:rPr>
      </w:pPr>
      <w:r>
        <w:rPr>
          <w:rFonts w:hint="eastAsia" w:ascii="仿宋" w:hAnsi="仿宋" w:eastAsia="仿宋"/>
          <w:color w:val="auto"/>
          <w:highlight w:val="none"/>
        </w:rPr>
        <w:t>共   页  第  页</w:t>
      </w:r>
    </w:p>
    <w:p>
      <w:pPr>
        <w:pStyle w:val="2"/>
        <w:jc w:val="right"/>
        <w:rPr>
          <w:highlight w:val="none"/>
        </w:rPr>
      </w:pPr>
      <w:r>
        <w:rPr>
          <w:rFonts w:hint="eastAsia" w:ascii="宋体" w:hAnsi="宋体" w:cs="宋体"/>
          <w:bCs/>
          <w:color w:val="auto"/>
          <w:sz w:val="24"/>
          <w:highlight w:val="none"/>
        </w:rPr>
        <w:t>评审组长：</w:t>
      </w:r>
      <w:r>
        <w:rPr>
          <w:rFonts w:hint="eastAsia" w:ascii="宋体" w:hAnsi="宋体" w:cs="宋体"/>
          <w:color w:val="auto"/>
          <w:sz w:val="24"/>
          <w:highlight w:val="none"/>
          <w:u w:val="single"/>
        </w:rPr>
        <w:t>　　　　　　　　</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日期：</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w:t>
      </w:r>
      <w:r>
        <w:rPr>
          <w:rFonts w:hint="eastAsia" w:ascii="宋体" w:hAnsi="宋体" w:cs="宋体"/>
          <w:bCs/>
          <w:color w:val="auto"/>
          <w:sz w:val="24"/>
          <w:highlight w:val="none"/>
        </w:rPr>
        <w:t>年</w:t>
      </w:r>
      <w:r>
        <w:rPr>
          <w:rFonts w:hint="eastAsia" w:ascii="宋体" w:hAnsi="宋体" w:cs="宋体"/>
          <w:color w:val="auto"/>
          <w:sz w:val="24"/>
          <w:highlight w:val="none"/>
          <w:u w:val="single"/>
        </w:rPr>
        <w:t>　　</w:t>
      </w:r>
      <w:r>
        <w:rPr>
          <w:rFonts w:hint="eastAsia" w:ascii="宋体" w:hAnsi="宋体" w:cs="宋体"/>
          <w:bCs/>
          <w:color w:val="auto"/>
          <w:sz w:val="24"/>
          <w:highlight w:val="none"/>
        </w:rPr>
        <w:t>月</w:t>
      </w:r>
      <w:r>
        <w:rPr>
          <w:rFonts w:hint="eastAsia" w:ascii="宋体" w:hAnsi="宋体" w:cs="宋体"/>
          <w:color w:val="auto"/>
          <w:sz w:val="24"/>
          <w:highlight w:val="none"/>
          <w:u w:val="single"/>
        </w:rPr>
        <w:t>　　</w:t>
      </w:r>
      <w:r>
        <w:rPr>
          <w:rFonts w:hint="eastAsia" w:ascii="宋体" w:hAnsi="宋体" w:cs="宋体"/>
          <w:bCs/>
          <w:color w:val="auto"/>
          <w:sz w:val="24"/>
          <w:highlight w:val="none"/>
        </w:rPr>
        <w:t>日</w:t>
      </w:r>
    </w:p>
    <w:tbl>
      <w:tblPr>
        <w:tblStyle w:val="14"/>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2"/>
        <w:gridCol w:w="569"/>
        <w:gridCol w:w="969"/>
        <w:gridCol w:w="2970"/>
        <w:gridCol w:w="2023"/>
        <w:gridCol w:w="13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872" w:type="dxa"/>
            <w:gridSpan w:val="2"/>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检测机构名称</w:t>
            </w:r>
          </w:p>
        </w:tc>
        <w:tc>
          <w:tcPr>
            <w:tcW w:w="7753" w:type="dxa"/>
            <w:gridSpan w:val="4"/>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872" w:type="dxa"/>
            <w:gridSpan w:val="2"/>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评审类别</w:t>
            </w:r>
          </w:p>
        </w:tc>
        <w:tc>
          <w:tcPr>
            <w:tcW w:w="7753" w:type="dxa"/>
            <w:gridSpan w:val="4"/>
            <w:vAlign w:val="center"/>
          </w:tcPr>
          <w:p>
            <w:pPr>
              <w:spacing w:before="74"/>
              <w:rPr>
                <w:rFonts w:hint="eastAsia" w:ascii="宋体" w:hAnsi="宋体" w:cs="宋体"/>
                <w:bCs/>
                <w:color w:val="auto"/>
                <w:spacing w:val="-5"/>
                <w:sz w:val="24"/>
                <w:highlight w:val="none"/>
                <w:lang w:eastAsia="zh-CN"/>
              </w:rPr>
            </w:pPr>
            <w:r>
              <w:rPr>
                <w:rFonts w:hint="eastAsia" w:ascii="宋体" w:hAnsi="宋体" w:cs="宋体"/>
                <w:bCs/>
                <w:color w:val="auto"/>
                <w:spacing w:val="-5"/>
                <w:sz w:val="24"/>
                <w:highlight w:val="none"/>
              </w:rPr>
              <w:t>□</w:t>
            </w:r>
            <w:r>
              <w:rPr>
                <w:rFonts w:hint="eastAsia" w:ascii="宋体" w:hAnsi="宋体" w:cs="宋体"/>
                <w:bCs/>
                <w:color w:val="auto"/>
                <w:spacing w:val="-5"/>
                <w:sz w:val="24"/>
                <w:highlight w:val="none"/>
                <w:lang w:val="en-US" w:eastAsia="zh-CN"/>
              </w:rPr>
              <w:t>新设立（首次申请、综合资质申请）</w:t>
            </w:r>
            <w:r>
              <w:rPr>
                <w:rFonts w:hint="eastAsia" w:ascii="宋体" w:hAnsi="宋体" w:cs="宋体"/>
                <w:bCs/>
                <w:color w:val="auto"/>
                <w:spacing w:val="-5"/>
                <w:sz w:val="24"/>
                <w:highlight w:val="none"/>
              </w:rPr>
              <w:t>□资质增项</w:t>
            </w:r>
            <w:r>
              <w:rPr>
                <w:rFonts w:hint="eastAsia" w:ascii="宋体" w:hAnsi="宋体" w:cs="宋体"/>
                <w:bCs/>
                <w:color w:val="auto"/>
                <w:spacing w:val="-5"/>
                <w:sz w:val="24"/>
                <w:highlight w:val="none"/>
                <w:lang w:eastAsia="zh-CN"/>
              </w:rPr>
              <w:t>（</w:t>
            </w:r>
            <w:r>
              <w:rPr>
                <w:rFonts w:hint="eastAsia" w:ascii="宋体" w:hAnsi="宋体" w:cs="宋体"/>
                <w:bCs/>
                <w:color w:val="auto"/>
                <w:spacing w:val="-5"/>
                <w:sz w:val="24"/>
                <w:highlight w:val="none"/>
                <w:lang w:val="en-US" w:eastAsia="zh-CN"/>
              </w:rPr>
              <w:t>含增加参数</w:t>
            </w:r>
            <w:r>
              <w:rPr>
                <w:rFonts w:hint="eastAsia" w:ascii="宋体" w:hAnsi="宋体" w:cs="宋体"/>
                <w:bCs/>
                <w:color w:val="auto"/>
                <w:spacing w:val="-5"/>
                <w:sz w:val="24"/>
                <w:highlight w:val="none"/>
                <w:lang w:eastAsia="zh-CN"/>
              </w:rPr>
              <w:t>）</w:t>
            </w:r>
          </w:p>
          <w:p>
            <w:pPr>
              <w:spacing w:before="74"/>
              <w:rPr>
                <w:rFonts w:hint="default" w:ascii="宋体" w:hAnsi="宋体" w:eastAsia="宋体" w:cs="宋体"/>
                <w:bCs/>
                <w:color w:val="auto"/>
                <w:sz w:val="24"/>
                <w:highlight w:val="none"/>
                <w:lang w:val="en-US" w:eastAsia="zh-CN"/>
              </w:rPr>
            </w:pPr>
            <w:r>
              <w:rPr>
                <w:rFonts w:hint="eastAsia" w:ascii="宋体" w:hAnsi="宋体" w:cs="宋体"/>
                <w:bCs/>
                <w:color w:val="auto"/>
                <w:spacing w:val="-5"/>
                <w:sz w:val="24"/>
                <w:highlight w:val="none"/>
                <w:lang w:eastAsia="zh-CN"/>
              </w:rPr>
              <w:t>□</w:t>
            </w:r>
            <w:r>
              <w:rPr>
                <w:rFonts w:hint="eastAsia" w:ascii="宋体" w:hAnsi="宋体" w:cs="宋体"/>
                <w:bCs/>
                <w:color w:val="auto"/>
                <w:spacing w:val="-5"/>
                <w:sz w:val="24"/>
                <w:highlight w:val="none"/>
              </w:rPr>
              <w:t>重新核定</w:t>
            </w:r>
            <w:r>
              <w:rPr>
                <w:rFonts w:hint="eastAsia" w:ascii="宋体" w:hAnsi="宋体" w:cs="宋体"/>
                <w:bCs/>
                <w:color w:val="auto"/>
                <w:spacing w:val="-5"/>
                <w:sz w:val="24"/>
                <w:highlight w:val="none"/>
                <w:lang w:val="en-US" w:eastAsia="zh-CN"/>
              </w:rPr>
              <w:t xml:space="preserve">  </w:t>
            </w:r>
            <w:r>
              <w:rPr>
                <w:rFonts w:hint="eastAsia" w:ascii="宋体" w:hAnsi="宋体" w:cs="宋体"/>
                <w:bCs/>
                <w:color w:val="auto"/>
                <w:spacing w:val="-5"/>
                <w:sz w:val="24"/>
                <w:highlight w:val="none"/>
                <w:u w:val="single"/>
                <w:lang w:val="en-US" w:eastAsia="zh-CN"/>
              </w:rPr>
              <w:t xml:space="preserve">（填具体对应类型）    </w:t>
            </w:r>
            <w:r>
              <w:rPr>
                <w:rFonts w:hint="eastAsia" w:ascii="宋体" w:hAnsi="宋体" w:cs="宋体"/>
                <w:bCs/>
                <w:color w:val="auto"/>
                <w:spacing w:val="-5"/>
                <w:sz w:val="24"/>
                <w:highlight w:val="none"/>
                <w:lang w:eastAsia="zh-CN"/>
              </w:rPr>
              <w:t>□</w:t>
            </w:r>
            <w:r>
              <w:rPr>
                <w:rFonts w:hint="eastAsia" w:ascii="宋体" w:hAnsi="宋体" w:cs="宋体"/>
                <w:bCs/>
                <w:color w:val="auto"/>
                <w:spacing w:val="-5"/>
                <w:sz w:val="24"/>
                <w:highlight w:val="none"/>
              </w:rPr>
              <w:t xml:space="preserve">资质延续 </w:t>
            </w:r>
            <w:r>
              <w:rPr>
                <w:rFonts w:hint="eastAsia" w:ascii="宋体" w:hAnsi="宋体" w:cs="宋体"/>
                <w:bCs/>
                <w:color w:val="auto"/>
                <w:spacing w:val="-5"/>
                <w:sz w:val="24"/>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872" w:type="dxa"/>
            <w:gridSpan w:val="2"/>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评审范围</w:t>
            </w:r>
          </w:p>
        </w:tc>
        <w:tc>
          <w:tcPr>
            <w:tcW w:w="7753" w:type="dxa"/>
            <w:gridSpan w:val="4"/>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872" w:type="dxa"/>
            <w:gridSpan w:val="2"/>
            <w:vAlign w:val="center"/>
          </w:tcPr>
          <w:p>
            <w:pPr>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评审</w:t>
            </w:r>
            <w:r>
              <w:rPr>
                <w:rFonts w:hint="eastAsia" w:ascii="宋体" w:hAnsi="宋体" w:cs="宋体"/>
                <w:bCs/>
                <w:color w:val="auto"/>
                <w:sz w:val="24"/>
                <w:highlight w:val="none"/>
                <w:lang w:val="en-US" w:eastAsia="zh-CN"/>
              </w:rPr>
              <w:t>依据</w:t>
            </w:r>
          </w:p>
        </w:tc>
        <w:tc>
          <w:tcPr>
            <w:tcW w:w="7753" w:type="dxa"/>
            <w:gridSpan w:val="4"/>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872" w:type="dxa"/>
            <w:gridSpan w:val="2"/>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评审日期</w:t>
            </w:r>
          </w:p>
        </w:tc>
        <w:tc>
          <w:tcPr>
            <w:tcW w:w="7753" w:type="dxa"/>
            <w:gridSpan w:val="4"/>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872" w:type="dxa"/>
            <w:gridSpan w:val="2"/>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评审地点</w:t>
            </w:r>
          </w:p>
        </w:tc>
        <w:tc>
          <w:tcPr>
            <w:tcW w:w="7753" w:type="dxa"/>
            <w:gridSpan w:val="4"/>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625" w:type="dxa"/>
            <w:gridSpan w:val="6"/>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评  审  工  作  日  程  安  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日期</w:t>
            </w:r>
          </w:p>
        </w:tc>
        <w:tc>
          <w:tcPr>
            <w:tcW w:w="1632" w:type="dxa"/>
            <w:gridSpan w:val="2"/>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时间</w:t>
            </w:r>
          </w:p>
        </w:tc>
        <w:tc>
          <w:tcPr>
            <w:tcW w:w="3157"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工 作 内 容</w:t>
            </w:r>
          </w:p>
        </w:tc>
        <w:tc>
          <w:tcPr>
            <w:tcW w:w="2150" w:type="dxa"/>
            <w:tcBorders>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评审组分工</w:t>
            </w:r>
          </w:p>
        </w:tc>
        <w:tc>
          <w:tcPr>
            <w:tcW w:w="1418" w:type="dxa"/>
            <w:tcBorders>
              <w:left w:val="single" w:color="auto" w:sz="4" w:space="0"/>
            </w:tcBorders>
            <w:vAlign w:val="center"/>
          </w:tcPr>
          <w:p>
            <w:pPr>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rPr>
                <w:rFonts w:ascii="宋体" w:hAnsi="宋体" w:cs="宋体"/>
                <w:bCs/>
                <w:color w:val="auto"/>
                <w:sz w:val="24"/>
                <w:highlight w:val="none"/>
              </w:rPr>
            </w:pPr>
          </w:p>
        </w:tc>
        <w:tc>
          <w:tcPr>
            <w:tcW w:w="1632" w:type="dxa"/>
            <w:gridSpan w:val="2"/>
            <w:vAlign w:val="center"/>
          </w:tcPr>
          <w:p>
            <w:pPr>
              <w:rPr>
                <w:rFonts w:ascii="宋体" w:hAnsi="宋体" w:cs="宋体"/>
                <w:bCs/>
                <w:color w:val="auto"/>
                <w:sz w:val="24"/>
                <w:highlight w:val="none"/>
              </w:rPr>
            </w:pPr>
          </w:p>
        </w:tc>
        <w:tc>
          <w:tcPr>
            <w:tcW w:w="3157" w:type="dxa"/>
            <w:vAlign w:val="center"/>
          </w:tcPr>
          <w:p>
            <w:pPr>
              <w:rPr>
                <w:rFonts w:ascii="宋体" w:hAnsi="宋体" w:cs="宋体"/>
                <w:bCs/>
                <w:color w:val="auto"/>
                <w:sz w:val="24"/>
                <w:highlight w:val="none"/>
              </w:rPr>
            </w:pPr>
          </w:p>
        </w:tc>
        <w:tc>
          <w:tcPr>
            <w:tcW w:w="2150" w:type="dxa"/>
            <w:tcBorders>
              <w:right w:val="single" w:color="auto" w:sz="4" w:space="0"/>
            </w:tcBorders>
            <w:vAlign w:val="center"/>
          </w:tcPr>
          <w:p>
            <w:pPr>
              <w:rPr>
                <w:rFonts w:ascii="宋体" w:hAnsi="宋体" w:cs="宋体"/>
                <w:bCs/>
                <w:color w:val="auto"/>
                <w:sz w:val="24"/>
                <w:highlight w:val="none"/>
              </w:rPr>
            </w:pPr>
          </w:p>
        </w:tc>
        <w:tc>
          <w:tcPr>
            <w:tcW w:w="1418" w:type="dxa"/>
            <w:tcBorders>
              <w:left w:val="single" w:color="auto" w:sz="4" w:space="0"/>
            </w:tcBorders>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rPr>
                <w:rFonts w:ascii="宋体" w:hAnsi="宋体" w:cs="宋体"/>
                <w:bCs/>
                <w:color w:val="auto"/>
                <w:sz w:val="24"/>
                <w:highlight w:val="none"/>
              </w:rPr>
            </w:pPr>
          </w:p>
        </w:tc>
        <w:tc>
          <w:tcPr>
            <w:tcW w:w="1632" w:type="dxa"/>
            <w:gridSpan w:val="2"/>
            <w:vAlign w:val="center"/>
          </w:tcPr>
          <w:p>
            <w:pPr>
              <w:rPr>
                <w:rFonts w:ascii="宋体" w:hAnsi="宋体" w:cs="宋体"/>
                <w:bCs/>
                <w:color w:val="auto"/>
                <w:sz w:val="24"/>
                <w:highlight w:val="none"/>
              </w:rPr>
            </w:pPr>
          </w:p>
        </w:tc>
        <w:tc>
          <w:tcPr>
            <w:tcW w:w="3157" w:type="dxa"/>
            <w:vAlign w:val="center"/>
          </w:tcPr>
          <w:p>
            <w:pPr>
              <w:rPr>
                <w:rFonts w:ascii="宋体" w:hAnsi="宋体" w:cs="宋体"/>
                <w:bCs/>
                <w:color w:val="auto"/>
                <w:sz w:val="24"/>
                <w:highlight w:val="none"/>
              </w:rPr>
            </w:pPr>
          </w:p>
        </w:tc>
        <w:tc>
          <w:tcPr>
            <w:tcW w:w="2150" w:type="dxa"/>
            <w:tcBorders>
              <w:right w:val="single" w:color="auto" w:sz="4" w:space="0"/>
            </w:tcBorders>
            <w:vAlign w:val="center"/>
          </w:tcPr>
          <w:p>
            <w:pPr>
              <w:rPr>
                <w:rFonts w:ascii="宋体" w:hAnsi="宋体" w:cs="宋体"/>
                <w:bCs/>
                <w:color w:val="auto"/>
                <w:sz w:val="24"/>
                <w:highlight w:val="none"/>
              </w:rPr>
            </w:pPr>
          </w:p>
        </w:tc>
        <w:tc>
          <w:tcPr>
            <w:tcW w:w="1418" w:type="dxa"/>
            <w:tcBorders>
              <w:left w:val="single" w:color="auto" w:sz="4" w:space="0"/>
            </w:tcBorders>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rPr>
                <w:rFonts w:ascii="宋体" w:hAnsi="宋体" w:cs="宋体"/>
                <w:bCs/>
                <w:color w:val="auto"/>
                <w:sz w:val="24"/>
                <w:highlight w:val="none"/>
              </w:rPr>
            </w:pPr>
          </w:p>
        </w:tc>
        <w:tc>
          <w:tcPr>
            <w:tcW w:w="1632" w:type="dxa"/>
            <w:gridSpan w:val="2"/>
            <w:vAlign w:val="center"/>
          </w:tcPr>
          <w:p>
            <w:pPr>
              <w:rPr>
                <w:rFonts w:ascii="宋体" w:hAnsi="宋体" w:cs="宋体"/>
                <w:bCs/>
                <w:color w:val="auto"/>
                <w:sz w:val="24"/>
                <w:highlight w:val="none"/>
              </w:rPr>
            </w:pPr>
          </w:p>
        </w:tc>
        <w:tc>
          <w:tcPr>
            <w:tcW w:w="3157" w:type="dxa"/>
            <w:vAlign w:val="center"/>
          </w:tcPr>
          <w:p>
            <w:pPr>
              <w:rPr>
                <w:rFonts w:ascii="宋体" w:hAnsi="宋体" w:cs="宋体"/>
                <w:bCs/>
                <w:color w:val="auto"/>
                <w:sz w:val="24"/>
                <w:highlight w:val="none"/>
              </w:rPr>
            </w:pPr>
          </w:p>
        </w:tc>
        <w:tc>
          <w:tcPr>
            <w:tcW w:w="2150" w:type="dxa"/>
            <w:tcBorders>
              <w:right w:val="single" w:color="auto" w:sz="4" w:space="0"/>
            </w:tcBorders>
            <w:vAlign w:val="center"/>
          </w:tcPr>
          <w:p>
            <w:pPr>
              <w:rPr>
                <w:rFonts w:ascii="宋体" w:hAnsi="宋体" w:cs="宋体"/>
                <w:bCs/>
                <w:color w:val="auto"/>
                <w:sz w:val="24"/>
                <w:highlight w:val="none"/>
              </w:rPr>
            </w:pPr>
          </w:p>
        </w:tc>
        <w:tc>
          <w:tcPr>
            <w:tcW w:w="1418" w:type="dxa"/>
            <w:tcBorders>
              <w:left w:val="single" w:color="auto" w:sz="4" w:space="0"/>
            </w:tcBorders>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rPr>
                <w:rFonts w:ascii="宋体" w:hAnsi="宋体" w:cs="宋体"/>
                <w:bCs/>
                <w:color w:val="auto"/>
                <w:sz w:val="24"/>
                <w:highlight w:val="none"/>
              </w:rPr>
            </w:pPr>
          </w:p>
        </w:tc>
        <w:tc>
          <w:tcPr>
            <w:tcW w:w="1632" w:type="dxa"/>
            <w:gridSpan w:val="2"/>
            <w:vAlign w:val="center"/>
          </w:tcPr>
          <w:p>
            <w:pPr>
              <w:rPr>
                <w:rFonts w:ascii="宋体" w:hAnsi="宋体" w:cs="宋体"/>
                <w:bCs/>
                <w:color w:val="auto"/>
                <w:sz w:val="24"/>
                <w:highlight w:val="none"/>
              </w:rPr>
            </w:pPr>
          </w:p>
        </w:tc>
        <w:tc>
          <w:tcPr>
            <w:tcW w:w="3157" w:type="dxa"/>
            <w:vAlign w:val="center"/>
          </w:tcPr>
          <w:p>
            <w:pPr>
              <w:rPr>
                <w:rFonts w:ascii="宋体" w:hAnsi="宋体" w:cs="宋体"/>
                <w:bCs/>
                <w:color w:val="auto"/>
                <w:sz w:val="24"/>
                <w:highlight w:val="none"/>
              </w:rPr>
            </w:pPr>
          </w:p>
        </w:tc>
        <w:tc>
          <w:tcPr>
            <w:tcW w:w="2150" w:type="dxa"/>
            <w:tcBorders>
              <w:right w:val="single" w:color="auto" w:sz="4" w:space="0"/>
            </w:tcBorders>
            <w:vAlign w:val="center"/>
          </w:tcPr>
          <w:p>
            <w:pPr>
              <w:rPr>
                <w:rFonts w:ascii="宋体" w:hAnsi="宋体" w:cs="宋体"/>
                <w:bCs/>
                <w:color w:val="auto"/>
                <w:sz w:val="24"/>
                <w:highlight w:val="none"/>
              </w:rPr>
            </w:pPr>
          </w:p>
        </w:tc>
        <w:tc>
          <w:tcPr>
            <w:tcW w:w="1418" w:type="dxa"/>
            <w:tcBorders>
              <w:left w:val="single" w:color="auto" w:sz="4" w:space="0"/>
            </w:tcBorders>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rPr>
                <w:rFonts w:ascii="宋体" w:hAnsi="宋体" w:cs="宋体"/>
                <w:bCs/>
                <w:color w:val="auto"/>
                <w:sz w:val="24"/>
                <w:highlight w:val="none"/>
              </w:rPr>
            </w:pPr>
          </w:p>
        </w:tc>
        <w:tc>
          <w:tcPr>
            <w:tcW w:w="1632" w:type="dxa"/>
            <w:gridSpan w:val="2"/>
            <w:vAlign w:val="center"/>
          </w:tcPr>
          <w:p>
            <w:pPr>
              <w:rPr>
                <w:rFonts w:ascii="宋体" w:hAnsi="宋体" w:cs="宋体"/>
                <w:bCs/>
                <w:color w:val="auto"/>
                <w:sz w:val="24"/>
                <w:highlight w:val="none"/>
              </w:rPr>
            </w:pPr>
          </w:p>
        </w:tc>
        <w:tc>
          <w:tcPr>
            <w:tcW w:w="3157" w:type="dxa"/>
            <w:vAlign w:val="center"/>
          </w:tcPr>
          <w:p>
            <w:pPr>
              <w:rPr>
                <w:rFonts w:ascii="宋体" w:hAnsi="宋体" w:cs="宋体"/>
                <w:bCs/>
                <w:color w:val="auto"/>
                <w:sz w:val="24"/>
                <w:highlight w:val="none"/>
              </w:rPr>
            </w:pPr>
          </w:p>
        </w:tc>
        <w:tc>
          <w:tcPr>
            <w:tcW w:w="2150" w:type="dxa"/>
            <w:tcBorders>
              <w:right w:val="single" w:color="auto" w:sz="4" w:space="0"/>
            </w:tcBorders>
            <w:vAlign w:val="center"/>
          </w:tcPr>
          <w:p>
            <w:pPr>
              <w:rPr>
                <w:rFonts w:ascii="宋体" w:hAnsi="宋体" w:cs="宋体"/>
                <w:bCs/>
                <w:color w:val="auto"/>
                <w:sz w:val="24"/>
                <w:highlight w:val="none"/>
              </w:rPr>
            </w:pPr>
          </w:p>
        </w:tc>
        <w:tc>
          <w:tcPr>
            <w:tcW w:w="1418" w:type="dxa"/>
            <w:tcBorders>
              <w:left w:val="single" w:color="auto" w:sz="4" w:space="0"/>
            </w:tcBorders>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rPr>
                <w:rFonts w:ascii="宋体" w:hAnsi="宋体" w:cs="宋体"/>
                <w:bCs/>
                <w:color w:val="auto"/>
                <w:sz w:val="24"/>
                <w:highlight w:val="none"/>
              </w:rPr>
            </w:pPr>
          </w:p>
        </w:tc>
        <w:tc>
          <w:tcPr>
            <w:tcW w:w="1632" w:type="dxa"/>
            <w:gridSpan w:val="2"/>
            <w:vAlign w:val="center"/>
          </w:tcPr>
          <w:p>
            <w:pPr>
              <w:rPr>
                <w:rFonts w:ascii="宋体" w:hAnsi="宋体" w:cs="宋体"/>
                <w:bCs/>
                <w:color w:val="auto"/>
                <w:sz w:val="24"/>
                <w:highlight w:val="none"/>
              </w:rPr>
            </w:pPr>
          </w:p>
        </w:tc>
        <w:tc>
          <w:tcPr>
            <w:tcW w:w="3157" w:type="dxa"/>
            <w:vAlign w:val="center"/>
          </w:tcPr>
          <w:p>
            <w:pPr>
              <w:rPr>
                <w:rFonts w:ascii="宋体" w:hAnsi="宋体" w:cs="宋体"/>
                <w:bCs/>
                <w:color w:val="auto"/>
                <w:sz w:val="24"/>
                <w:highlight w:val="none"/>
              </w:rPr>
            </w:pPr>
          </w:p>
        </w:tc>
        <w:tc>
          <w:tcPr>
            <w:tcW w:w="2150" w:type="dxa"/>
            <w:tcBorders>
              <w:right w:val="single" w:color="auto" w:sz="4" w:space="0"/>
            </w:tcBorders>
            <w:vAlign w:val="center"/>
          </w:tcPr>
          <w:p>
            <w:pPr>
              <w:rPr>
                <w:rFonts w:ascii="宋体" w:hAnsi="宋体" w:cs="宋体"/>
                <w:bCs/>
                <w:color w:val="auto"/>
                <w:sz w:val="24"/>
                <w:highlight w:val="none"/>
              </w:rPr>
            </w:pPr>
          </w:p>
        </w:tc>
        <w:tc>
          <w:tcPr>
            <w:tcW w:w="1418" w:type="dxa"/>
            <w:tcBorders>
              <w:left w:val="single" w:color="auto" w:sz="4" w:space="0"/>
            </w:tcBorders>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rPr>
                <w:rFonts w:ascii="宋体" w:hAnsi="宋体" w:cs="宋体"/>
                <w:bCs/>
                <w:color w:val="auto"/>
                <w:sz w:val="24"/>
                <w:highlight w:val="none"/>
              </w:rPr>
            </w:pPr>
          </w:p>
        </w:tc>
        <w:tc>
          <w:tcPr>
            <w:tcW w:w="1632" w:type="dxa"/>
            <w:gridSpan w:val="2"/>
            <w:vAlign w:val="center"/>
          </w:tcPr>
          <w:p>
            <w:pPr>
              <w:rPr>
                <w:rFonts w:ascii="宋体" w:hAnsi="宋体" w:cs="宋体"/>
                <w:bCs/>
                <w:color w:val="auto"/>
                <w:sz w:val="24"/>
                <w:highlight w:val="none"/>
              </w:rPr>
            </w:pPr>
          </w:p>
        </w:tc>
        <w:tc>
          <w:tcPr>
            <w:tcW w:w="3157" w:type="dxa"/>
            <w:vAlign w:val="center"/>
          </w:tcPr>
          <w:p>
            <w:pPr>
              <w:rPr>
                <w:rFonts w:ascii="宋体" w:hAnsi="宋体" w:cs="宋体"/>
                <w:bCs/>
                <w:color w:val="auto"/>
                <w:sz w:val="24"/>
                <w:highlight w:val="none"/>
              </w:rPr>
            </w:pPr>
          </w:p>
        </w:tc>
        <w:tc>
          <w:tcPr>
            <w:tcW w:w="2150" w:type="dxa"/>
            <w:tcBorders>
              <w:right w:val="single" w:color="auto" w:sz="4" w:space="0"/>
            </w:tcBorders>
            <w:vAlign w:val="center"/>
          </w:tcPr>
          <w:p>
            <w:pPr>
              <w:rPr>
                <w:rFonts w:ascii="宋体" w:hAnsi="宋体" w:cs="宋体"/>
                <w:bCs/>
                <w:color w:val="auto"/>
                <w:sz w:val="24"/>
                <w:highlight w:val="none"/>
              </w:rPr>
            </w:pPr>
          </w:p>
        </w:tc>
        <w:tc>
          <w:tcPr>
            <w:tcW w:w="1418" w:type="dxa"/>
            <w:tcBorders>
              <w:left w:val="single" w:color="auto" w:sz="4" w:space="0"/>
            </w:tcBorders>
            <w:vAlign w:val="center"/>
          </w:tcPr>
          <w:p>
            <w:pPr>
              <w:rPr>
                <w:rFonts w:ascii="宋体" w:hAnsi="宋体" w:cs="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8" w:type="dxa"/>
            <w:vAlign w:val="center"/>
          </w:tcPr>
          <w:p>
            <w:pPr>
              <w:rPr>
                <w:rFonts w:ascii="宋体" w:hAnsi="宋体" w:cs="宋体"/>
                <w:bCs/>
                <w:color w:val="auto"/>
                <w:sz w:val="24"/>
                <w:highlight w:val="none"/>
              </w:rPr>
            </w:pPr>
          </w:p>
        </w:tc>
        <w:tc>
          <w:tcPr>
            <w:tcW w:w="1632" w:type="dxa"/>
            <w:gridSpan w:val="2"/>
            <w:vAlign w:val="center"/>
          </w:tcPr>
          <w:p>
            <w:pPr>
              <w:rPr>
                <w:rFonts w:ascii="宋体" w:hAnsi="宋体" w:cs="宋体"/>
                <w:bCs/>
                <w:color w:val="auto"/>
                <w:sz w:val="24"/>
                <w:highlight w:val="none"/>
              </w:rPr>
            </w:pPr>
          </w:p>
        </w:tc>
        <w:tc>
          <w:tcPr>
            <w:tcW w:w="3157" w:type="dxa"/>
            <w:vAlign w:val="center"/>
          </w:tcPr>
          <w:p>
            <w:pPr>
              <w:rPr>
                <w:rFonts w:ascii="宋体" w:hAnsi="宋体" w:cs="宋体"/>
                <w:bCs/>
                <w:color w:val="auto"/>
                <w:sz w:val="24"/>
                <w:highlight w:val="none"/>
              </w:rPr>
            </w:pPr>
          </w:p>
        </w:tc>
        <w:tc>
          <w:tcPr>
            <w:tcW w:w="2150" w:type="dxa"/>
            <w:tcBorders>
              <w:right w:val="single" w:color="auto" w:sz="4" w:space="0"/>
            </w:tcBorders>
            <w:vAlign w:val="center"/>
          </w:tcPr>
          <w:p>
            <w:pPr>
              <w:rPr>
                <w:rFonts w:ascii="宋体" w:hAnsi="宋体" w:cs="宋体"/>
                <w:bCs/>
                <w:color w:val="auto"/>
                <w:sz w:val="24"/>
                <w:highlight w:val="none"/>
              </w:rPr>
            </w:pPr>
          </w:p>
        </w:tc>
        <w:tc>
          <w:tcPr>
            <w:tcW w:w="1418" w:type="dxa"/>
            <w:tcBorders>
              <w:left w:val="single" w:color="auto" w:sz="4" w:space="0"/>
            </w:tcBorders>
            <w:vAlign w:val="center"/>
          </w:tcPr>
          <w:p>
            <w:pPr>
              <w:rPr>
                <w:rFonts w:ascii="宋体" w:hAnsi="宋体" w:cs="宋体"/>
                <w:bCs/>
                <w:color w:val="auto"/>
                <w:sz w:val="24"/>
                <w:highlight w:val="none"/>
              </w:rPr>
            </w:pPr>
          </w:p>
        </w:tc>
      </w:tr>
    </w:tbl>
    <w:p>
      <w:pPr>
        <w:spacing w:line="320" w:lineRule="exact"/>
        <w:rPr>
          <w:rFonts w:ascii="仿宋_GB2312" w:eastAsia="仿宋_GB2312"/>
          <w:color w:val="auto"/>
          <w:highlight w:val="none"/>
        </w:rPr>
      </w:pPr>
      <w:r>
        <w:rPr>
          <w:rFonts w:hint="eastAsia" w:ascii="仿宋_GB2312" w:eastAsia="仿宋_GB2312"/>
          <w:color w:val="auto"/>
          <w:highlight w:val="none"/>
        </w:rPr>
        <w:t>注：１.为准确控制评审时间，评审组要制定详细的评审活动日程安排。</w:t>
      </w:r>
    </w:p>
    <w:p>
      <w:pPr>
        <w:spacing w:line="320" w:lineRule="exact"/>
        <w:ind w:firstLine="420" w:firstLineChars="200"/>
        <w:rPr>
          <w:rFonts w:ascii="仿宋_GB2312" w:eastAsia="仿宋_GB2312"/>
          <w:color w:val="auto"/>
          <w:highlight w:val="none"/>
        </w:rPr>
      </w:pPr>
      <w:r>
        <w:rPr>
          <w:rFonts w:hint="eastAsia" w:ascii="仿宋_GB2312" w:eastAsia="仿宋_GB2312"/>
          <w:color w:val="auto"/>
          <w:highlight w:val="none"/>
        </w:rPr>
        <w:t>２.请在“□”内打“√”表示所选项。</w:t>
      </w:r>
    </w:p>
    <w:p>
      <w:pPr>
        <w:rPr>
          <w:color w:val="auto"/>
          <w:highlight w:val="none"/>
        </w:rPr>
      </w:pPr>
      <w:r>
        <w:rPr>
          <w:color w:val="auto"/>
          <w:highlight w:val="none"/>
        </w:rPr>
        <w:br w:type="page"/>
      </w:r>
    </w:p>
    <w:p>
      <w:pPr>
        <w:pStyle w:val="12"/>
        <w:shd w:val="clear" w:color="auto" w:fill="FFFFFF"/>
        <w:spacing w:before="0" w:beforeAutospacing="0" w:after="0" w:afterAutospacing="0" w:line="540" w:lineRule="exact"/>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方正小标宋_GBK" w:hAnsi="宋体" w:eastAsia="方正小标宋_GBK" w:cs="宋体"/>
          <w:color w:val="auto"/>
          <w:kern w:val="0"/>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bidi="ar-SA"/>
        </w:rPr>
        <w:t>专家评审会议签到表</w:t>
      </w:r>
    </w:p>
    <w:p>
      <w:pPr>
        <w:spacing w:line="460" w:lineRule="exact"/>
        <w:jc w:val="right"/>
        <w:rPr>
          <w:rFonts w:ascii="方正大标宋简体" w:hAnsi="华文楷体" w:eastAsia="方正大标宋简体"/>
          <w:b/>
          <w:color w:val="auto"/>
          <w:sz w:val="32"/>
          <w:szCs w:val="32"/>
          <w:highlight w:val="none"/>
        </w:rPr>
      </w:pPr>
      <w:r>
        <w:rPr>
          <w:rFonts w:hint="eastAsia" w:ascii="仿宋" w:hAnsi="仿宋" w:eastAsia="仿宋"/>
          <w:color w:val="auto"/>
          <w:highlight w:val="none"/>
        </w:rPr>
        <w:t>共   页  第  页</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37"/>
        <w:gridCol w:w="2543"/>
        <w:gridCol w:w="1879"/>
        <w:gridCol w:w="272"/>
        <w:gridCol w:w="26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737" w:type="dxa"/>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检测机构名称</w:t>
            </w:r>
          </w:p>
        </w:tc>
        <w:tc>
          <w:tcPr>
            <w:tcW w:w="7324" w:type="dxa"/>
            <w:gridSpan w:val="4"/>
            <w:vAlign w:val="center"/>
          </w:tcPr>
          <w:p>
            <w:pPr>
              <w:rPr>
                <w:rFonts w:asciiTheme="minorEastAsia" w:hAnsiTheme="minorEastAsia"/>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737" w:type="dxa"/>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会议名称</w:t>
            </w:r>
          </w:p>
        </w:tc>
        <w:tc>
          <w:tcPr>
            <w:tcW w:w="7324" w:type="dxa"/>
            <w:gridSpan w:val="4"/>
            <w:vAlign w:val="center"/>
          </w:tcPr>
          <w:p>
            <w:pPr>
              <w:spacing w:line="0" w:lineRule="atLeast"/>
              <w:rPr>
                <w:rFonts w:asciiTheme="minorEastAsia" w:hAnsiTheme="minorEastAsia"/>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737" w:type="dxa"/>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会议日期</w:t>
            </w:r>
          </w:p>
        </w:tc>
        <w:tc>
          <w:tcPr>
            <w:tcW w:w="2543" w:type="dxa"/>
            <w:vAlign w:val="center"/>
          </w:tcPr>
          <w:p>
            <w:pPr>
              <w:spacing w:line="0" w:lineRule="atLeast"/>
              <w:rPr>
                <w:rFonts w:asciiTheme="minorEastAsia" w:hAnsiTheme="minorEastAsia"/>
                <w:bCs/>
                <w:color w:val="auto"/>
                <w:sz w:val="24"/>
                <w:highlight w:val="none"/>
              </w:rPr>
            </w:pPr>
            <w:r>
              <w:rPr>
                <w:rFonts w:hint="eastAsia" w:asciiTheme="minorEastAsia" w:hAnsiTheme="minorEastAsia"/>
                <w:bCs/>
                <w:color w:val="auto"/>
                <w:sz w:val="24"/>
                <w:highlight w:val="none"/>
              </w:rPr>
              <w:t xml:space="preserve">  </w:t>
            </w:r>
          </w:p>
        </w:tc>
        <w:tc>
          <w:tcPr>
            <w:tcW w:w="1879" w:type="dxa"/>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会议地点</w:t>
            </w:r>
          </w:p>
        </w:tc>
        <w:tc>
          <w:tcPr>
            <w:tcW w:w="2902" w:type="dxa"/>
            <w:gridSpan w:val="2"/>
            <w:vAlign w:val="center"/>
          </w:tcPr>
          <w:p>
            <w:pPr>
              <w:spacing w:line="0" w:lineRule="atLeast"/>
              <w:rPr>
                <w:rFonts w:asciiTheme="minorEastAsia" w:hAnsiTheme="minorEastAsia"/>
                <w:bCs/>
                <w:color w:val="auto"/>
                <w:sz w:val="24"/>
                <w:highlight w:val="none"/>
              </w:rPr>
            </w:pPr>
            <w:r>
              <w:rPr>
                <w:rFonts w:hint="eastAsia" w:asciiTheme="minorEastAsia" w:hAnsiTheme="minorEastAsia"/>
                <w:bCs/>
                <w:color w:val="auto"/>
                <w:sz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061" w:type="dxa"/>
            <w:gridSpan w:val="5"/>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参 加 会 议 人 员 名 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061" w:type="dxa"/>
            <w:gridSpan w:val="5"/>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评审组成员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评审职位</w:t>
            </w:r>
          </w:p>
        </w:tc>
        <w:tc>
          <w:tcPr>
            <w:tcW w:w="2151" w:type="dxa"/>
            <w:gridSpan w:val="2"/>
            <w:vAlign w:val="center"/>
          </w:tcPr>
          <w:p>
            <w:pPr>
              <w:spacing w:line="0" w:lineRule="atLeast"/>
              <w:jc w:val="center"/>
              <w:rPr>
                <w:rFonts w:hint="default" w:eastAsia="宋体" w:asciiTheme="minorEastAsia" w:hAnsiTheme="minorEastAsia"/>
                <w:bCs/>
                <w:color w:val="auto"/>
                <w:sz w:val="24"/>
                <w:highlight w:val="none"/>
                <w:lang w:val="en-US" w:eastAsia="zh-CN"/>
              </w:rPr>
            </w:pPr>
            <w:r>
              <w:rPr>
                <w:rFonts w:hint="eastAsia" w:asciiTheme="minorEastAsia" w:hAnsiTheme="minorEastAsia"/>
                <w:bCs/>
                <w:color w:val="auto"/>
                <w:sz w:val="24"/>
                <w:highlight w:val="none"/>
              </w:rPr>
              <w:t>签    名</w:t>
            </w:r>
          </w:p>
        </w:tc>
        <w:tc>
          <w:tcPr>
            <w:tcW w:w="2630" w:type="dxa"/>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lang w:val="en-US" w:eastAsia="zh-CN"/>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评审组长</w:t>
            </w:r>
          </w:p>
        </w:tc>
        <w:tc>
          <w:tcPr>
            <w:tcW w:w="2151" w:type="dxa"/>
            <w:gridSpan w:val="2"/>
            <w:vAlign w:val="center"/>
          </w:tcPr>
          <w:p>
            <w:pPr>
              <w:jc w:val="center"/>
              <w:rPr>
                <w:rFonts w:asciiTheme="minorEastAsia" w:hAnsiTheme="minorEastAsia"/>
                <w:bCs/>
                <w:color w:val="auto"/>
                <w:sz w:val="24"/>
                <w:highlight w:val="none"/>
              </w:rPr>
            </w:pPr>
          </w:p>
        </w:tc>
        <w:tc>
          <w:tcPr>
            <w:tcW w:w="2630" w:type="dxa"/>
            <w:vAlign w:val="center"/>
          </w:tcPr>
          <w:p>
            <w:pPr>
              <w:jc w:val="center"/>
              <w:rPr>
                <w:rFonts w:asciiTheme="minorEastAsia" w:hAnsiTheme="minorEastAsia"/>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评审员</w:t>
            </w:r>
          </w:p>
        </w:tc>
        <w:tc>
          <w:tcPr>
            <w:tcW w:w="2151" w:type="dxa"/>
            <w:gridSpan w:val="2"/>
            <w:vAlign w:val="center"/>
          </w:tcPr>
          <w:p>
            <w:pPr>
              <w:jc w:val="center"/>
              <w:rPr>
                <w:rFonts w:asciiTheme="minorEastAsia" w:hAnsiTheme="minorEastAsia"/>
                <w:bCs/>
                <w:color w:val="auto"/>
                <w:sz w:val="24"/>
                <w:highlight w:val="none"/>
              </w:rPr>
            </w:pPr>
          </w:p>
        </w:tc>
        <w:tc>
          <w:tcPr>
            <w:tcW w:w="2630" w:type="dxa"/>
            <w:vAlign w:val="center"/>
          </w:tcPr>
          <w:p>
            <w:pPr>
              <w:jc w:val="center"/>
              <w:rPr>
                <w:rFonts w:asciiTheme="minorEastAsia" w:hAnsiTheme="minorEastAsia"/>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jc w:val="center"/>
              <w:rPr>
                <w:rFonts w:asciiTheme="minorEastAsia" w:hAnsiTheme="minorEastAsia"/>
                <w:bCs/>
                <w:color w:val="auto"/>
                <w:sz w:val="24"/>
                <w:highlight w:val="none"/>
              </w:rPr>
            </w:pPr>
          </w:p>
        </w:tc>
        <w:tc>
          <w:tcPr>
            <w:tcW w:w="2151" w:type="dxa"/>
            <w:gridSpan w:val="2"/>
            <w:vAlign w:val="center"/>
          </w:tcPr>
          <w:p>
            <w:pPr>
              <w:jc w:val="center"/>
              <w:rPr>
                <w:rFonts w:asciiTheme="minorEastAsia" w:hAnsiTheme="minorEastAsia"/>
                <w:bCs/>
                <w:color w:val="auto"/>
                <w:sz w:val="24"/>
                <w:highlight w:val="none"/>
              </w:rPr>
            </w:pPr>
          </w:p>
        </w:tc>
        <w:tc>
          <w:tcPr>
            <w:tcW w:w="2630" w:type="dxa"/>
            <w:vAlign w:val="center"/>
          </w:tcPr>
          <w:p>
            <w:pPr>
              <w:jc w:val="center"/>
              <w:rPr>
                <w:rFonts w:asciiTheme="minorEastAsia" w:hAnsiTheme="minorEastAsia"/>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jc w:val="center"/>
              <w:rPr>
                <w:rFonts w:asciiTheme="minorEastAsia" w:hAnsiTheme="minorEastAsia"/>
                <w:bCs/>
                <w:color w:val="auto"/>
                <w:sz w:val="24"/>
                <w:highlight w:val="none"/>
              </w:rPr>
            </w:pPr>
          </w:p>
        </w:tc>
        <w:tc>
          <w:tcPr>
            <w:tcW w:w="2151" w:type="dxa"/>
            <w:gridSpan w:val="2"/>
            <w:vAlign w:val="center"/>
          </w:tcPr>
          <w:p>
            <w:pPr>
              <w:jc w:val="center"/>
              <w:rPr>
                <w:rFonts w:asciiTheme="minorEastAsia" w:hAnsiTheme="minorEastAsia"/>
                <w:bCs/>
                <w:color w:val="auto"/>
                <w:sz w:val="24"/>
                <w:highlight w:val="none"/>
              </w:rPr>
            </w:pPr>
          </w:p>
        </w:tc>
        <w:tc>
          <w:tcPr>
            <w:tcW w:w="2630" w:type="dxa"/>
            <w:vAlign w:val="center"/>
          </w:tcPr>
          <w:p>
            <w:pPr>
              <w:jc w:val="center"/>
              <w:rPr>
                <w:rFonts w:asciiTheme="minorEastAsia" w:hAnsiTheme="minorEastAsia"/>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061" w:type="dxa"/>
            <w:gridSpan w:val="5"/>
            <w:vAlign w:val="center"/>
          </w:tcPr>
          <w:p>
            <w:pPr>
              <w:jc w:val="center"/>
              <w:rPr>
                <w:rFonts w:hint="default" w:eastAsia="宋体" w:asciiTheme="minorEastAsia" w:hAnsiTheme="minorEastAsia"/>
                <w:bCs/>
                <w:color w:val="auto"/>
                <w:sz w:val="24"/>
                <w:highlight w:val="none"/>
                <w:lang w:val="en-US" w:eastAsia="zh-CN"/>
              </w:rPr>
            </w:pPr>
            <w:r>
              <w:rPr>
                <w:rFonts w:hint="eastAsia" w:asciiTheme="minorEastAsia" w:hAnsiTheme="minorEastAsia"/>
                <w:bCs/>
                <w:color w:val="auto"/>
                <w:sz w:val="24"/>
                <w:highlight w:val="none"/>
                <w:lang w:val="en-US" w:eastAsia="zh-CN"/>
              </w:rPr>
              <w:t>被评审方人员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jc w:val="center"/>
              <w:rPr>
                <w:rFonts w:hint="eastAsia" w:eastAsia="宋体" w:asciiTheme="minorEastAsia" w:hAnsiTheme="minorEastAsia"/>
                <w:bCs/>
                <w:color w:val="auto"/>
                <w:sz w:val="24"/>
                <w:highlight w:val="none"/>
                <w:lang w:val="en-US" w:eastAsia="zh-CN"/>
              </w:rPr>
            </w:pPr>
            <w:r>
              <w:rPr>
                <w:rFonts w:hint="eastAsia" w:asciiTheme="minorEastAsia" w:hAnsiTheme="minorEastAsia"/>
                <w:bCs/>
                <w:color w:val="auto"/>
                <w:sz w:val="24"/>
                <w:highlight w:val="none"/>
                <w:lang w:val="en-US" w:eastAsia="zh-CN"/>
              </w:rPr>
              <w:t>单位+职务</w:t>
            </w:r>
          </w:p>
        </w:tc>
        <w:tc>
          <w:tcPr>
            <w:tcW w:w="2151" w:type="dxa"/>
            <w:gridSpan w:val="2"/>
            <w:vAlign w:val="center"/>
          </w:tcPr>
          <w:p>
            <w:pPr>
              <w:spacing w:line="0" w:lineRule="atLeast"/>
              <w:jc w:val="center"/>
              <w:rPr>
                <w:rFonts w:hint="default" w:eastAsia="宋体" w:cs="Times New Roman" w:asciiTheme="minorEastAsia" w:hAnsiTheme="minorEastAsia"/>
                <w:bCs/>
                <w:color w:val="auto"/>
                <w:kern w:val="2"/>
                <w:sz w:val="24"/>
                <w:szCs w:val="24"/>
                <w:highlight w:val="none"/>
                <w:lang w:val="en-US" w:eastAsia="zh-CN" w:bidi="ar-SA"/>
              </w:rPr>
            </w:pPr>
            <w:r>
              <w:rPr>
                <w:rFonts w:hint="eastAsia" w:asciiTheme="minorEastAsia" w:hAnsiTheme="minorEastAsia"/>
                <w:bCs/>
                <w:color w:val="auto"/>
                <w:sz w:val="24"/>
                <w:highlight w:val="none"/>
              </w:rPr>
              <w:t>签    名</w:t>
            </w:r>
          </w:p>
        </w:tc>
        <w:tc>
          <w:tcPr>
            <w:tcW w:w="2630" w:type="dxa"/>
            <w:vAlign w:val="center"/>
          </w:tcPr>
          <w:p>
            <w:pPr>
              <w:spacing w:line="0" w:lineRule="atLeast"/>
              <w:jc w:val="center"/>
              <w:rPr>
                <w:rFonts w:eastAsia="宋体" w:cs="Times New Roman" w:asciiTheme="minorEastAsia" w:hAnsiTheme="minorEastAsia"/>
                <w:bCs/>
                <w:color w:val="auto"/>
                <w:kern w:val="2"/>
                <w:sz w:val="24"/>
                <w:szCs w:val="24"/>
                <w:highlight w:val="none"/>
                <w:lang w:val="en-US" w:eastAsia="zh-CN" w:bidi="ar-SA"/>
              </w:rPr>
            </w:pPr>
            <w:r>
              <w:rPr>
                <w:rFonts w:hint="eastAsia" w:asciiTheme="minorEastAsia" w:hAnsiTheme="minorEastAsia"/>
                <w:bCs/>
                <w:color w:val="auto"/>
                <w:sz w:val="24"/>
                <w:highlight w:val="none"/>
                <w:lang w:val="en-US" w:eastAsia="zh-CN"/>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jc w:val="center"/>
              <w:rPr>
                <w:rFonts w:asciiTheme="minorEastAsia" w:hAnsiTheme="minorEastAsia"/>
                <w:bCs/>
                <w:color w:val="auto"/>
                <w:sz w:val="24"/>
                <w:highlight w:val="none"/>
              </w:rPr>
            </w:pPr>
          </w:p>
        </w:tc>
        <w:tc>
          <w:tcPr>
            <w:tcW w:w="2151" w:type="dxa"/>
            <w:gridSpan w:val="2"/>
            <w:vAlign w:val="center"/>
          </w:tcPr>
          <w:p>
            <w:pPr>
              <w:jc w:val="center"/>
              <w:rPr>
                <w:rFonts w:asciiTheme="minorEastAsia" w:hAnsiTheme="minorEastAsia"/>
                <w:bCs/>
                <w:color w:val="auto"/>
                <w:sz w:val="24"/>
                <w:highlight w:val="none"/>
              </w:rPr>
            </w:pPr>
          </w:p>
        </w:tc>
        <w:tc>
          <w:tcPr>
            <w:tcW w:w="2630" w:type="dxa"/>
            <w:vAlign w:val="center"/>
          </w:tcPr>
          <w:p>
            <w:pPr>
              <w:jc w:val="center"/>
              <w:rPr>
                <w:rFonts w:asciiTheme="minorEastAsia" w:hAnsiTheme="minorEastAsia"/>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061" w:type="dxa"/>
            <w:gridSpan w:val="5"/>
            <w:vAlign w:val="center"/>
          </w:tcPr>
          <w:p>
            <w:pPr>
              <w:jc w:val="center"/>
              <w:rPr>
                <w:rFonts w:hint="eastAsia" w:eastAsia="宋体" w:asciiTheme="minorEastAsia" w:hAnsiTheme="minorEastAsia"/>
                <w:bCs/>
                <w:color w:val="auto"/>
                <w:sz w:val="24"/>
                <w:highlight w:val="none"/>
                <w:lang w:val="en-US" w:eastAsia="zh-CN"/>
              </w:rPr>
            </w:pPr>
            <w:r>
              <w:rPr>
                <w:rFonts w:hint="eastAsia" w:asciiTheme="minorEastAsia" w:hAnsiTheme="minorEastAsia"/>
                <w:bCs/>
                <w:color w:val="auto"/>
                <w:sz w:val="24"/>
                <w:highlight w:val="none"/>
                <w:lang w:val="en-US" w:eastAsia="zh-CN"/>
              </w:rPr>
              <w:t>监督员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spacing w:line="0" w:lineRule="atLeast"/>
              <w:jc w:val="center"/>
              <w:rPr>
                <w:rFonts w:eastAsia="宋体" w:cs="Times New Roman" w:asciiTheme="minorEastAsia" w:hAnsiTheme="minorEastAsia"/>
                <w:bCs/>
                <w:color w:val="auto"/>
                <w:kern w:val="2"/>
                <w:sz w:val="24"/>
                <w:szCs w:val="24"/>
                <w:highlight w:val="none"/>
                <w:lang w:val="en-US" w:eastAsia="zh-CN" w:bidi="ar-SA"/>
              </w:rPr>
            </w:pPr>
            <w:r>
              <w:rPr>
                <w:rFonts w:hint="eastAsia" w:asciiTheme="minorEastAsia" w:hAnsiTheme="minorEastAsia"/>
                <w:bCs/>
                <w:color w:val="auto"/>
                <w:sz w:val="24"/>
                <w:highlight w:val="none"/>
                <w:lang w:val="en-US" w:eastAsia="zh-CN"/>
              </w:rPr>
              <w:t>单位+职务</w:t>
            </w:r>
          </w:p>
        </w:tc>
        <w:tc>
          <w:tcPr>
            <w:tcW w:w="2151" w:type="dxa"/>
            <w:gridSpan w:val="2"/>
            <w:vAlign w:val="center"/>
          </w:tcPr>
          <w:p>
            <w:pPr>
              <w:spacing w:line="0" w:lineRule="atLeast"/>
              <w:jc w:val="center"/>
              <w:rPr>
                <w:rFonts w:hint="eastAsia" w:eastAsia="宋体" w:cs="Times New Roman" w:asciiTheme="minorEastAsia" w:hAnsiTheme="minorEastAsia"/>
                <w:bCs/>
                <w:color w:val="auto"/>
                <w:kern w:val="2"/>
                <w:sz w:val="24"/>
                <w:szCs w:val="24"/>
                <w:highlight w:val="none"/>
                <w:lang w:val="en-US" w:eastAsia="zh-CN" w:bidi="ar-SA"/>
              </w:rPr>
            </w:pPr>
            <w:r>
              <w:rPr>
                <w:rFonts w:hint="eastAsia" w:asciiTheme="minorEastAsia" w:hAnsiTheme="minorEastAsia"/>
                <w:bCs/>
                <w:color w:val="auto"/>
                <w:sz w:val="24"/>
                <w:highlight w:val="none"/>
              </w:rPr>
              <w:t>签    名</w:t>
            </w:r>
          </w:p>
        </w:tc>
        <w:tc>
          <w:tcPr>
            <w:tcW w:w="2630" w:type="dxa"/>
            <w:vAlign w:val="center"/>
          </w:tcPr>
          <w:p>
            <w:pPr>
              <w:spacing w:line="0" w:lineRule="atLeast"/>
              <w:jc w:val="center"/>
              <w:rPr>
                <w:rFonts w:hint="eastAsia" w:eastAsia="宋体" w:cs="Times New Roman" w:asciiTheme="minorEastAsia" w:hAnsiTheme="minorEastAsia"/>
                <w:bCs/>
                <w:color w:val="auto"/>
                <w:kern w:val="2"/>
                <w:sz w:val="21"/>
                <w:szCs w:val="24"/>
                <w:highlight w:val="none"/>
                <w:lang w:val="en-US" w:eastAsia="zh-CN" w:bidi="ar-SA"/>
              </w:rPr>
            </w:pPr>
            <w:r>
              <w:rPr>
                <w:rFonts w:hint="eastAsia" w:asciiTheme="minorEastAsia" w:hAnsiTheme="minorEastAsia"/>
                <w:bCs/>
                <w:color w:val="auto"/>
                <w:sz w:val="24"/>
                <w:highlight w:val="none"/>
                <w:lang w:val="en-US" w:eastAsia="zh-CN"/>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spacing w:line="0" w:lineRule="atLeast"/>
              <w:jc w:val="center"/>
              <w:rPr>
                <w:rFonts w:asciiTheme="minorEastAsia" w:hAnsiTheme="minorEastAsia"/>
                <w:bCs/>
                <w:color w:val="auto"/>
                <w:sz w:val="24"/>
                <w:highlight w:val="none"/>
              </w:rPr>
            </w:pPr>
          </w:p>
        </w:tc>
        <w:tc>
          <w:tcPr>
            <w:tcW w:w="2151" w:type="dxa"/>
            <w:gridSpan w:val="2"/>
            <w:vAlign w:val="center"/>
          </w:tcPr>
          <w:p>
            <w:pPr>
              <w:jc w:val="center"/>
              <w:rPr>
                <w:rFonts w:asciiTheme="minorEastAsia" w:hAnsiTheme="minorEastAsia"/>
                <w:bCs/>
                <w:color w:val="auto"/>
                <w:sz w:val="24"/>
                <w:highlight w:val="none"/>
              </w:rPr>
            </w:pPr>
          </w:p>
        </w:tc>
        <w:tc>
          <w:tcPr>
            <w:tcW w:w="2630" w:type="dxa"/>
            <w:vAlign w:val="center"/>
          </w:tcPr>
          <w:p>
            <w:pPr>
              <w:jc w:val="center"/>
              <w:rPr>
                <w:rFonts w:asciiTheme="minorEastAsia" w:hAnsiTheme="minorEastAsia"/>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061" w:type="dxa"/>
            <w:gridSpan w:val="5"/>
            <w:vAlign w:val="center"/>
          </w:tcPr>
          <w:p>
            <w:pPr>
              <w:jc w:val="center"/>
              <w:rPr>
                <w:rFonts w:asciiTheme="minorEastAsia" w:hAnsiTheme="minorEastAsia"/>
                <w:bCs/>
                <w:color w:val="auto"/>
                <w:highlight w:val="none"/>
              </w:rPr>
            </w:pPr>
            <w:r>
              <w:rPr>
                <w:rFonts w:hint="eastAsia" w:asciiTheme="minorEastAsia" w:hAnsiTheme="minorEastAsia"/>
                <w:bCs/>
                <w:color w:val="auto"/>
                <w:sz w:val="24"/>
                <w:highlight w:val="none"/>
              </w:rPr>
              <w:t>列席人员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spacing w:line="0" w:lineRule="atLeast"/>
              <w:jc w:val="center"/>
              <w:rPr>
                <w:rFonts w:asciiTheme="minorEastAsia" w:hAnsiTheme="minorEastAsia"/>
                <w:bCs/>
                <w:color w:val="auto"/>
                <w:sz w:val="24"/>
                <w:highlight w:val="none"/>
              </w:rPr>
            </w:pPr>
            <w:r>
              <w:rPr>
                <w:rFonts w:hint="eastAsia" w:asciiTheme="minorEastAsia" w:hAnsiTheme="minorEastAsia"/>
                <w:bCs/>
                <w:color w:val="auto"/>
                <w:sz w:val="24"/>
                <w:highlight w:val="none"/>
                <w:lang w:val="en-US" w:eastAsia="zh-CN"/>
              </w:rPr>
              <w:t>单位+职务</w:t>
            </w:r>
          </w:p>
        </w:tc>
        <w:tc>
          <w:tcPr>
            <w:tcW w:w="2151" w:type="dxa"/>
            <w:gridSpan w:val="2"/>
            <w:vAlign w:val="center"/>
          </w:tcPr>
          <w:p>
            <w:pPr>
              <w:spacing w:line="0" w:lineRule="atLeast"/>
              <w:jc w:val="center"/>
              <w:rPr>
                <w:rFonts w:hint="eastAsia" w:eastAsia="宋体" w:asciiTheme="minorEastAsia" w:hAnsiTheme="minorEastAsia"/>
                <w:bCs/>
                <w:color w:val="auto"/>
                <w:sz w:val="24"/>
                <w:highlight w:val="none"/>
                <w:lang w:val="en-US" w:eastAsia="zh-CN"/>
              </w:rPr>
            </w:pPr>
            <w:r>
              <w:rPr>
                <w:rFonts w:hint="eastAsia" w:asciiTheme="minorEastAsia" w:hAnsiTheme="minorEastAsia"/>
                <w:bCs/>
                <w:color w:val="auto"/>
                <w:sz w:val="24"/>
                <w:highlight w:val="none"/>
              </w:rPr>
              <w:t>签    名</w:t>
            </w:r>
          </w:p>
        </w:tc>
        <w:tc>
          <w:tcPr>
            <w:tcW w:w="2630" w:type="dxa"/>
            <w:vAlign w:val="center"/>
          </w:tcPr>
          <w:p>
            <w:pPr>
              <w:spacing w:line="0" w:lineRule="atLeast"/>
              <w:jc w:val="center"/>
              <w:rPr>
                <w:rFonts w:hint="eastAsia" w:eastAsia="宋体" w:asciiTheme="minorEastAsia" w:hAnsiTheme="minorEastAsia"/>
                <w:bCs/>
                <w:color w:val="auto"/>
                <w:highlight w:val="none"/>
                <w:lang w:val="en-US" w:eastAsia="zh-CN"/>
              </w:rPr>
            </w:pPr>
            <w:r>
              <w:rPr>
                <w:rFonts w:hint="eastAsia" w:asciiTheme="minorEastAsia" w:hAnsiTheme="minorEastAsia"/>
                <w:bCs/>
                <w:color w:val="auto"/>
                <w:sz w:val="24"/>
                <w:highlight w:val="none"/>
                <w:lang w:val="en-US" w:eastAsia="zh-CN"/>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spacing w:line="0" w:lineRule="atLeast"/>
              <w:jc w:val="center"/>
              <w:rPr>
                <w:rFonts w:asciiTheme="minorEastAsia" w:hAnsiTheme="minorEastAsia"/>
                <w:bCs/>
                <w:color w:val="auto"/>
                <w:sz w:val="24"/>
                <w:highlight w:val="none"/>
              </w:rPr>
            </w:pPr>
          </w:p>
        </w:tc>
        <w:tc>
          <w:tcPr>
            <w:tcW w:w="2151" w:type="dxa"/>
            <w:gridSpan w:val="2"/>
            <w:vAlign w:val="center"/>
          </w:tcPr>
          <w:p>
            <w:pPr>
              <w:spacing w:line="0" w:lineRule="atLeast"/>
              <w:jc w:val="center"/>
              <w:rPr>
                <w:rFonts w:asciiTheme="minorEastAsia" w:hAnsiTheme="minorEastAsia"/>
                <w:bCs/>
                <w:color w:val="auto"/>
                <w:sz w:val="24"/>
                <w:highlight w:val="none"/>
              </w:rPr>
            </w:pPr>
          </w:p>
        </w:tc>
        <w:tc>
          <w:tcPr>
            <w:tcW w:w="2630" w:type="dxa"/>
            <w:vAlign w:val="center"/>
          </w:tcPr>
          <w:p>
            <w:pPr>
              <w:jc w:val="center"/>
              <w:rPr>
                <w:rFonts w:asciiTheme="minorEastAsia" w:hAnsiTheme="minorEastAsia"/>
                <w:bCs/>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4280" w:type="dxa"/>
            <w:gridSpan w:val="2"/>
            <w:vAlign w:val="center"/>
          </w:tcPr>
          <w:p>
            <w:pPr>
              <w:spacing w:line="0" w:lineRule="atLeast"/>
              <w:jc w:val="center"/>
              <w:rPr>
                <w:rFonts w:asciiTheme="minorEastAsia" w:hAnsiTheme="minorEastAsia"/>
                <w:bCs/>
                <w:color w:val="auto"/>
                <w:sz w:val="24"/>
                <w:highlight w:val="none"/>
              </w:rPr>
            </w:pPr>
          </w:p>
        </w:tc>
        <w:tc>
          <w:tcPr>
            <w:tcW w:w="2151" w:type="dxa"/>
            <w:gridSpan w:val="2"/>
            <w:vAlign w:val="center"/>
          </w:tcPr>
          <w:p>
            <w:pPr>
              <w:spacing w:line="0" w:lineRule="atLeast"/>
              <w:jc w:val="center"/>
              <w:rPr>
                <w:rFonts w:asciiTheme="minorEastAsia" w:hAnsiTheme="minorEastAsia"/>
                <w:bCs/>
                <w:color w:val="auto"/>
                <w:sz w:val="24"/>
                <w:highlight w:val="none"/>
              </w:rPr>
            </w:pPr>
          </w:p>
        </w:tc>
        <w:tc>
          <w:tcPr>
            <w:tcW w:w="2630" w:type="dxa"/>
            <w:vAlign w:val="center"/>
          </w:tcPr>
          <w:p>
            <w:pPr>
              <w:jc w:val="center"/>
              <w:rPr>
                <w:rFonts w:asciiTheme="minorEastAsia" w:hAnsiTheme="minorEastAsia"/>
                <w:bCs/>
                <w:color w:val="auto"/>
                <w:highlight w:val="none"/>
              </w:rPr>
            </w:pPr>
          </w:p>
        </w:tc>
      </w:tr>
    </w:tbl>
    <w:p>
      <w:pPr>
        <w:snapToGrid w:val="0"/>
        <w:spacing w:line="360" w:lineRule="auto"/>
        <w:jc w:val="center"/>
        <w:rPr>
          <w:rFonts w:ascii="仿宋_GB2312" w:eastAsia="仿宋_GB2312"/>
          <w:color w:val="auto"/>
          <w:highlight w:val="none"/>
        </w:rPr>
      </w:pPr>
      <w:r>
        <w:rPr>
          <w:rFonts w:ascii="仿宋_GB2312" w:eastAsia="仿宋_GB2312"/>
          <w:color w:val="auto"/>
          <w:highlight w:val="none"/>
        </w:rPr>
        <w:br w:type="page"/>
      </w:r>
    </w:p>
    <w:p>
      <w:pPr>
        <w:snapToGrid w:val="0"/>
        <w:spacing w:line="360" w:lineRule="auto"/>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附件6</w:t>
      </w: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ascii="新宋体" w:hAnsi="新宋体" w:eastAsia="新宋体"/>
          <w:b/>
          <w:bCs/>
          <w:sz w:val="32"/>
          <w:szCs w:val="32"/>
          <w:highlight w:val="none"/>
        </w:rPr>
      </w:pPr>
      <w:r>
        <w:rPr>
          <w:rFonts w:hint="eastAsia" w:ascii="方正小标宋简体" w:hAnsi="方正小标宋简体" w:eastAsia="方正小标宋简体" w:cs="方正小标宋简体"/>
          <w:kern w:val="0"/>
          <w:sz w:val="44"/>
          <w:szCs w:val="44"/>
          <w:highlight w:val="none"/>
          <w:lang w:val="en-US" w:eastAsia="zh-CN" w:bidi="ar-SA"/>
        </w:rPr>
        <w:t>被评审机构封存材料保存承诺书</w:t>
      </w: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ascii="微软雅黑" w:eastAsia="微软雅黑"/>
          <w:b/>
          <w:bCs/>
          <w:sz w:val="32"/>
          <w:szCs w:val="32"/>
          <w:highlight w:val="none"/>
        </w:rPr>
      </w:pPr>
    </w:p>
    <w:p>
      <w:pPr>
        <w:keepNext w:val="0"/>
        <w:keepLines w:val="0"/>
        <w:pageBreakBefore w:val="0"/>
        <w:widowControl w:val="0"/>
        <w:kinsoku/>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 w:hAnsi="仿宋" w:eastAsia="仿宋"/>
          <w:szCs w:val="28"/>
          <w:highlight w:val="none"/>
        </w:rPr>
        <w:t xml:space="preserve">    </w:t>
      </w:r>
      <w:r>
        <w:rPr>
          <w:rFonts w:hint="eastAsia" w:ascii="仿宋_GB2312" w:hAnsi="仿宋_GB2312" w:eastAsia="仿宋_GB2312" w:cs="仿宋_GB2312"/>
          <w:sz w:val="32"/>
          <w:szCs w:val="32"/>
          <w:highlight w:val="none"/>
        </w:rPr>
        <w:t>本机构于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lang w:val="en-US" w:eastAsia="zh-CN"/>
        </w:rPr>
        <w:t>日</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日接受</w:t>
      </w:r>
      <w:r>
        <w:rPr>
          <w:rFonts w:hint="eastAsia" w:ascii="仿宋_GB2312" w:hAnsi="仿宋_GB2312" w:eastAsia="仿宋_GB2312" w:cs="仿宋_GB2312"/>
          <w:sz w:val="32"/>
          <w:szCs w:val="32"/>
          <w:highlight w:val="none"/>
          <w:lang w:val="en-US" w:eastAsia="zh-CN"/>
        </w:rPr>
        <w:t>专家</w:t>
      </w:r>
      <w:r>
        <w:rPr>
          <w:rFonts w:hint="eastAsia" w:ascii="仿宋_GB2312" w:hAnsi="仿宋_GB2312" w:eastAsia="仿宋_GB2312" w:cs="仿宋_GB2312"/>
          <w:sz w:val="32"/>
          <w:szCs w:val="32"/>
          <w:highlight w:val="none"/>
        </w:rPr>
        <w:t>评审组评审，现对评审组封存材料作出承诺：</w:t>
      </w:r>
    </w:p>
    <w:p>
      <w:pPr>
        <w:keepNext w:val="0"/>
        <w:keepLines w:val="0"/>
        <w:pageBreakBefore w:val="0"/>
        <w:widowControl w:val="0"/>
        <w:kinsoku/>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本机构按照档案管理要求，妥善保管封存材料，不擅自开封，不遗失。如因擅自开封或遗失造成的后果，本机构愿意承担全部法律责任。</w:t>
      </w:r>
    </w:p>
    <w:p>
      <w:pPr>
        <w:keepNext w:val="0"/>
        <w:keepLines w:val="0"/>
        <w:pageBreakBefore w:val="0"/>
        <w:widowControl w:val="0"/>
        <w:kinsoku/>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（机构盖章）</w:t>
      </w:r>
    </w:p>
    <w:p>
      <w:pPr>
        <w:keepNext w:val="0"/>
        <w:keepLines w:val="0"/>
        <w:pageBreakBefore w:val="0"/>
        <w:widowControl w:val="0"/>
        <w:kinsoku/>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 xml:space="preserve">                           负责人（签名）：</w:t>
      </w:r>
      <w:r>
        <w:rPr>
          <w:rFonts w:hint="eastAsia" w:ascii="仿宋_GB2312" w:hAnsi="仿宋_GB2312" w:eastAsia="仿宋_GB2312" w:cs="仿宋_GB2312"/>
          <w:sz w:val="32"/>
          <w:szCs w:val="32"/>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kinsoku/>
        <w:overflowPunct/>
        <w:topLinePunct w:val="0"/>
        <w:autoSpaceDE/>
        <w:autoSpaceDN/>
        <w:bidi w:val="0"/>
        <w:adjustRightInd/>
        <w:spacing w:line="240" w:lineRule="auto"/>
        <w:textAlignment w:val="auto"/>
        <w:rPr>
          <w:rFonts w:ascii="仿宋_GB2312" w:eastAsia="仿宋_GB2312"/>
          <w:color w:val="auto"/>
          <w:highlight w:val="none"/>
        </w:rPr>
      </w:pPr>
      <w:r>
        <w:rPr>
          <w:rFonts w:ascii="仿宋_GB2312" w:eastAsia="仿宋_GB2312"/>
          <w:color w:val="auto"/>
          <w:highlight w:val="none"/>
        </w:rPr>
        <w:br w:type="page"/>
      </w:r>
    </w:p>
    <w:p>
      <w:pPr>
        <w:pStyle w:val="12"/>
        <w:shd w:val="clear" w:color="auto" w:fill="FFFFFF"/>
        <w:spacing w:before="0" w:beforeAutospacing="0" w:after="0" w:afterAutospacing="0" w:line="540" w:lineRule="exact"/>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7</w:t>
      </w:r>
    </w:p>
    <w:p>
      <w:pPr>
        <w:pStyle w:val="2"/>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建设工程质量检测机构资质评审材料封存清单</w:t>
      </w:r>
    </w:p>
    <w:p>
      <w:pPr>
        <w:rPr>
          <w:rFonts w:hint="eastAsia"/>
          <w:b/>
          <w:color w:val="000000" w:themeColor="text1"/>
          <w:sz w:val="24"/>
          <w:szCs w:val="24"/>
          <w:highlight w:val="none"/>
          <w14:textFill>
            <w14:solidFill>
              <w14:schemeClr w14:val="tx1"/>
            </w14:solidFill>
          </w14:textFill>
        </w:rPr>
      </w:pPr>
    </w:p>
    <w:p>
      <w:pPr>
        <w:spacing w:after="0" w:afterLines="-2147483648" w:line="360" w:lineRule="auto"/>
        <w:rPr>
          <w:rFonts w:hint="default"/>
          <w:b/>
          <w:color w:val="000000" w:themeColor="text1"/>
          <w:sz w:val="24"/>
          <w:szCs w:val="24"/>
          <w:highlight w:val="none"/>
          <w:u w:val="single"/>
          <w14:textFill>
            <w14:solidFill>
              <w14:schemeClr w14:val="tx1"/>
            </w14:solidFill>
          </w14:textFill>
        </w:rPr>
      </w:pPr>
      <w:r>
        <w:rPr>
          <w:rFonts w:hint="eastAsia"/>
          <w:b w:val="0"/>
          <w:bCs/>
          <w:sz w:val="21"/>
          <w:szCs w:val="21"/>
          <w:highlight w:val="none"/>
          <w:lang w:val="en-US" w:eastAsia="zh-CN"/>
        </w:rPr>
        <w:t>检测</w:t>
      </w:r>
      <w:r>
        <w:rPr>
          <w:rFonts w:hint="eastAsia"/>
          <w:b w:val="0"/>
          <w:bCs/>
          <w:sz w:val="21"/>
          <w:szCs w:val="21"/>
          <w:highlight w:val="none"/>
        </w:rPr>
        <w:t xml:space="preserve">机构名称：    </w:t>
      </w:r>
    </w:p>
    <w:tbl>
      <w:tblPr>
        <w:tblStyle w:val="14"/>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370"/>
        <w:gridCol w:w="1418"/>
        <w:gridCol w:w="113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trPr>
        <w:tc>
          <w:tcPr>
            <w:tcW w:w="699" w:type="dxa"/>
            <w:vAlign w:val="center"/>
          </w:tcPr>
          <w:p>
            <w:pPr>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仿宋_GB2312"/>
                <w:b/>
                <w:bCs/>
                <w:color w:val="000000" w:themeColor="text1"/>
                <w:sz w:val="21"/>
                <w:szCs w:val="21"/>
                <w:highlight w:val="none"/>
                <w14:textFill>
                  <w14:solidFill>
                    <w14:schemeClr w14:val="tx1"/>
                  </w14:solidFill>
                </w14:textFill>
              </w:rPr>
              <w:t>序号</w:t>
            </w:r>
          </w:p>
        </w:tc>
        <w:tc>
          <w:tcPr>
            <w:tcW w:w="4370" w:type="dxa"/>
            <w:vAlign w:val="center"/>
          </w:tcPr>
          <w:p>
            <w:pPr>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内容</w:t>
            </w:r>
          </w:p>
        </w:tc>
        <w:tc>
          <w:tcPr>
            <w:tcW w:w="1418" w:type="dxa"/>
            <w:vAlign w:val="center"/>
          </w:tcPr>
          <w:p>
            <w:pPr>
              <w:spacing w:line="280" w:lineRule="exact"/>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资料形式</w:t>
            </w:r>
          </w:p>
        </w:tc>
        <w:tc>
          <w:tcPr>
            <w:tcW w:w="1133" w:type="dxa"/>
            <w:vAlign w:val="center"/>
          </w:tcPr>
          <w:p>
            <w:pPr>
              <w:spacing w:line="280" w:lineRule="exact"/>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份数</w:t>
            </w:r>
          </w:p>
        </w:tc>
        <w:tc>
          <w:tcPr>
            <w:tcW w:w="1276" w:type="dxa"/>
            <w:vAlign w:val="center"/>
          </w:tcPr>
          <w:p>
            <w:pPr>
              <w:spacing w:line="280" w:lineRule="exact"/>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9" w:type="dxa"/>
            <w:vAlign w:val="center"/>
          </w:tcPr>
          <w:p>
            <w:pPr>
              <w:numPr>
                <w:ilvl w:val="-1"/>
                <w:numId w:val="0"/>
              </w:numPr>
              <w:ind w:left="0" w:firstLine="0"/>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w:t>
            </w:r>
          </w:p>
        </w:tc>
        <w:tc>
          <w:tcPr>
            <w:tcW w:w="4370" w:type="dxa"/>
            <w:vAlign w:val="center"/>
          </w:tcPr>
          <w:p>
            <w:pPr>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1、主要设备一览表；</w:t>
            </w:r>
          </w:p>
          <w:p>
            <w:pP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2、检验检测设备独立调配的证明文件复印件：</w:t>
            </w:r>
            <w:r>
              <w:rPr>
                <w:rFonts w:ascii="宋体" w:hAnsi="宋体" w:cs="仿宋_GB2312"/>
                <w:color w:val="000000" w:themeColor="text1"/>
                <w:sz w:val="21"/>
                <w:szCs w:val="21"/>
                <w:highlight w:val="none"/>
                <w14:textFill>
                  <w14:solidFill>
                    <w14:schemeClr w14:val="tx1"/>
                  </w14:solidFill>
                </w14:textFill>
              </w:rPr>
              <w:t>设备发票</w:t>
            </w:r>
            <w:r>
              <w:rPr>
                <w:rFonts w:hint="eastAsia" w:ascii="宋体" w:hAnsi="宋体" w:cs="仿宋_GB2312"/>
                <w:color w:val="000000" w:themeColor="text1"/>
                <w:sz w:val="21"/>
                <w:szCs w:val="21"/>
                <w:highlight w:val="none"/>
                <w14:textFill>
                  <w14:solidFill>
                    <w14:schemeClr w14:val="tx1"/>
                  </w14:solidFill>
                </w14:textFill>
              </w:rPr>
              <w:t>，或上</w:t>
            </w:r>
            <w:r>
              <w:rPr>
                <w:rFonts w:ascii="宋体" w:hAnsi="宋体" w:cs="仿宋_GB2312"/>
                <w:color w:val="000000" w:themeColor="text1"/>
                <w:sz w:val="21"/>
                <w:szCs w:val="21"/>
                <w:highlight w:val="none"/>
                <w14:textFill>
                  <w14:solidFill>
                    <w14:schemeClr w14:val="tx1"/>
                  </w14:solidFill>
                </w14:textFill>
              </w:rPr>
              <w:t>级</w:t>
            </w:r>
            <w:r>
              <w:rPr>
                <w:rFonts w:hint="eastAsia" w:ascii="宋体" w:hAnsi="宋体" w:cs="仿宋_GB2312"/>
                <w:color w:val="000000" w:themeColor="text1"/>
                <w:sz w:val="21"/>
                <w:szCs w:val="21"/>
                <w:highlight w:val="none"/>
                <w14:textFill>
                  <w14:solidFill>
                    <w14:schemeClr w14:val="tx1"/>
                  </w14:solidFill>
                </w14:textFill>
              </w:rPr>
              <w:t>行政</w:t>
            </w:r>
            <w:r>
              <w:rPr>
                <w:rFonts w:ascii="宋体" w:hAnsi="宋体" w:cs="仿宋_GB2312"/>
                <w:color w:val="000000" w:themeColor="text1"/>
                <w:sz w:val="21"/>
                <w:szCs w:val="21"/>
                <w:highlight w:val="none"/>
                <w14:textFill>
                  <w14:solidFill>
                    <w14:schemeClr w14:val="tx1"/>
                  </w14:solidFill>
                </w14:textFill>
              </w:rPr>
              <w:t>主管部门出具的</w:t>
            </w:r>
            <w:r>
              <w:rPr>
                <w:rFonts w:hint="eastAsia" w:ascii="宋体" w:hAnsi="宋体" w:cs="仿宋_GB2312"/>
                <w:color w:val="000000" w:themeColor="text1"/>
                <w:sz w:val="21"/>
                <w:szCs w:val="21"/>
                <w:highlight w:val="none"/>
                <w14:textFill>
                  <w14:solidFill>
                    <w14:schemeClr w14:val="tx1"/>
                  </w14:solidFill>
                </w14:textFill>
              </w:rPr>
              <w:t>检验检测</w:t>
            </w:r>
            <w:r>
              <w:rPr>
                <w:rFonts w:ascii="宋体" w:hAnsi="宋体" w:cs="仿宋_GB2312"/>
                <w:color w:val="000000" w:themeColor="text1"/>
                <w:sz w:val="21"/>
                <w:szCs w:val="21"/>
                <w:highlight w:val="none"/>
                <w14:textFill>
                  <w14:solidFill>
                    <w14:schemeClr w14:val="tx1"/>
                  </w14:solidFill>
                </w14:textFill>
              </w:rPr>
              <w:t>仪器设备等固定资产独立使用权证明</w:t>
            </w:r>
            <w:r>
              <w:rPr>
                <w:rFonts w:hint="eastAsia" w:ascii="宋体" w:hAnsi="宋体" w:cs="仿宋_GB2312"/>
                <w:color w:val="000000" w:themeColor="text1"/>
                <w:sz w:val="21"/>
                <w:szCs w:val="21"/>
                <w:highlight w:val="none"/>
                <w14:textFill>
                  <w14:solidFill>
                    <w14:schemeClr w14:val="tx1"/>
                  </w14:solidFill>
                </w14:textFill>
              </w:rPr>
              <w:t>，或设备投标证明文件。</w:t>
            </w:r>
          </w:p>
        </w:tc>
        <w:tc>
          <w:tcPr>
            <w:tcW w:w="1418"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复印件</w:t>
            </w:r>
          </w:p>
        </w:tc>
        <w:tc>
          <w:tcPr>
            <w:tcW w:w="1133"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一份</w:t>
            </w:r>
          </w:p>
        </w:tc>
        <w:tc>
          <w:tcPr>
            <w:tcW w:w="1276" w:type="dxa"/>
          </w:tcPr>
          <w:p>
            <w:pPr>
              <w:rPr>
                <w:rFonts w:ascii="宋体" w:hAnsi="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699" w:type="dxa"/>
            <w:vAlign w:val="center"/>
          </w:tcPr>
          <w:p>
            <w:pPr>
              <w:numPr>
                <w:ilvl w:val="-1"/>
                <w:numId w:val="0"/>
              </w:numPr>
              <w:ind w:left="0" w:firstLine="0"/>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2</w:t>
            </w:r>
          </w:p>
        </w:tc>
        <w:tc>
          <w:tcPr>
            <w:tcW w:w="4370" w:type="dxa"/>
            <w:vAlign w:val="center"/>
          </w:tcPr>
          <w:p>
            <w:pP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报告批准</w:t>
            </w:r>
            <w:r>
              <w:rPr>
                <w:rFonts w:hint="eastAsia" w:ascii="宋体" w:hAnsi="宋体" w:cs="仿宋_GB2312"/>
                <w:color w:val="000000" w:themeColor="text1"/>
                <w:sz w:val="21"/>
                <w:szCs w:val="21"/>
                <w:highlight w:val="none"/>
                <w14:textFill>
                  <w14:solidFill>
                    <w14:schemeClr w14:val="tx1"/>
                  </w14:solidFill>
                </w14:textFill>
              </w:rPr>
              <w:t>人符合相关技术能力要求的文件复印件。</w:t>
            </w:r>
          </w:p>
        </w:tc>
        <w:tc>
          <w:tcPr>
            <w:tcW w:w="1418"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复印件</w:t>
            </w:r>
          </w:p>
        </w:tc>
        <w:tc>
          <w:tcPr>
            <w:tcW w:w="1133"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一份</w:t>
            </w:r>
          </w:p>
        </w:tc>
        <w:tc>
          <w:tcPr>
            <w:tcW w:w="1276" w:type="dxa"/>
          </w:tcPr>
          <w:p>
            <w:pPr>
              <w:rPr>
                <w:rFonts w:ascii="宋体" w:hAnsi="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99" w:type="dxa"/>
            <w:vAlign w:val="center"/>
          </w:tcPr>
          <w:p>
            <w:pPr>
              <w:numPr>
                <w:ilvl w:val="-1"/>
                <w:numId w:val="0"/>
              </w:numPr>
              <w:ind w:left="0" w:firstLine="0"/>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3</w:t>
            </w:r>
          </w:p>
        </w:tc>
        <w:tc>
          <w:tcPr>
            <w:tcW w:w="4370" w:type="dxa"/>
            <w:vAlign w:val="center"/>
          </w:tcPr>
          <w:p>
            <w:pP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lang w:val="en-US" w:eastAsia="zh-CN"/>
                <w14:textFill>
                  <w14:solidFill>
                    <w14:schemeClr w14:val="tx1"/>
                  </w14:solidFill>
                </w14:textFill>
              </w:rPr>
              <w:t>本次资质申请涉及的技术人员</w:t>
            </w:r>
            <w:r>
              <w:rPr>
                <w:rFonts w:hint="eastAsia" w:ascii="宋体" w:hAnsi="宋体" w:cs="仿宋_GB2312"/>
                <w:color w:val="000000" w:themeColor="text1"/>
                <w:sz w:val="21"/>
                <w:szCs w:val="21"/>
                <w:highlight w:val="none"/>
                <w14:textFill>
                  <w14:solidFill>
                    <w14:schemeClr w14:val="tx1"/>
                  </w14:solidFill>
                </w14:textFill>
              </w:rPr>
              <w:t>在职文件材料，如</w:t>
            </w:r>
            <w:r>
              <w:rPr>
                <w:rFonts w:hint="eastAsia" w:ascii="宋体" w:hAnsi="宋体" w:cs="仿宋_GB2312"/>
                <w:color w:val="000000" w:themeColor="text1"/>
                <w:sz w:val="21"/>
                <w:szCs w:val="21"/>
                <w:highlight w:val="none"/>
                <w:lang w:val="en-US" w:eastAsia="zh-CN"/>
                <w14:textFill>
                  <w14:solidFill>
                    <w14:schemeClr w14:val="tx1"/>
                  </w14:solidFill>
                </w14:textFill>
              </w:rPr>
              <w:t>学历、</w:t>
            </w:r>
            <w:r>
              <w:rPr>
                <w:rFonts w:hint="eastAsia" w:ascii="宋体" w:hAnsi="宋体" w:cs="仿宋_GB2312"/>
                <w:color w:val="000000" w:themeColor="text1"/>
                <w:sz w:val="21"/>
                <w:szCs w:val="21"/>
                <w:highlight w:val="none"/>
                <w14:textFill>
                  <w14:solidFill>
                    <w14:schemeClr w14:val="tx1"/>
                  </w14:solidFill>
                </w14:textFill>
              </w:rPr>
              <w:t>社保、劳动合同、</w:t>
            </w:r>
            <w:r>
              <w:rPr>
                <w:rFonts w:hint="eastAsia" w:ascii="宋体" w:hAnsi="宋体" w:cs="仿宋_GB2312"/>
                <w:color w:val="000000" w:themeColor="text1"/>
                <w:sz w:val="21"/>
                <w:szCs w:val="21"/>
                <w:highlight w:val="none"/>
                <w:lang w:val="en-US" w:eastAsia="zh-CN"/>
                <w14:textFill>
                  <w14:solidFill>
                    <w14:schemeClr w14:val="tx1"/>
                  </w14:solidFill>
                </w14:textFill>
              </w:rPr>
              <w:t>职称证书及其证明文件、注册证书、培训合格证</w:t>
            </w:r>
            <w:r>
              <w:rPr>
                <w:rFonts w:hint="eastAsia" w:ascii="宋体" w:hAnsi="宋体" w:cs="仿宋_GB2312"/>
                <w:color w:val="000000" w:themeColor="text1"/>
                <w:sz w:val="21"/>
                <w:szCs w:val="21"/>
                <w:highlight w:val="none"/>
                <w14:textFill>
                  <w14:solidFill>
                    <w14:schemeClr w14:val="tx1"/>
                  </w14:solidFill>
                </w14:textFill>
              </w:rPr>
              <w:t>等。</w:t>
            </w:r>
          </w:p>
        </w:tc>
        <w:tc>
          <w:tcPr>
            <w:tcW w:w="1418"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复印件</w:t>
            </w:r>
          </w:p>
        </w:tc>
        <w:tc>
          <w:tcPr>
            <w:tcW w:w="1133"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一份</w:t>
            </w:r>
          </w:p>
        </w:tc>
        <w:tc>
          <w:tcPr>
            <w:tcW w:w="1276" w:type="dxa"/>
          </w:tcPr>
          <w:p>
            <w:pPr>
              <w:rPr>
                <w:rFonts w:ascii="宋体" w:hAnsi="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99" w:type="dxa"/>
            <w:vAlign w:val="center"/>
          </w:tcPr>
          <w:p>
            <w:pPr>
              <w:numPr>
                <w:ilvl w:val="-1"/>
                <w:numId w:val="0"/>
              </w:numPr>
              <w:ind w:left="0" w:firstLine="0"/>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4</w:t>
            </w:r>
          </w:p>
        </w:tc>
        <w:tc>
          <w:tcPr>
            <w:tcW w:w="4370" w:type="dxa"/>
            <w:vAlign w:val="center"/>
          </w:tcPr>
          <w:p>
            <w:pPr>
              <w:tabs>
                <w:tab w:val="left" w:pos="630"/>
              </w:tabs>
              <w:autoSpaceDE w:val="0"/>
              <w:autoSpaceDN w:val="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shd w:val="clear" w:color="auto" w:fill="FFFFFF"/>
                <w14:textFill>
                  <w14:solidFill>
                    <w14:schemeClr w14:val="tx1"/>
                  </w14:solidFill>
                </w14:textFill>
              </w:rPr>
              <w:t>国家有明确规定的特殊行业，</w:t>
            </w:r>
            <w:r>
              <w:rPr>
                <w:rFonts w:hint="eastAsia" w:ascii="宋体" w:hAnsi="宋体" w:cs="仿宋_GB2312"/>
                <w:color w:val="000000" w:themeColor="text1"/>
                <w:sz w:val="21"/>
                <w:szCs w:val="21"/>
                <w:highlight w:val="none"/>
                <w:shd w:val="clear" w:color="auto" w:fill="FFFFFF"/>
                <w:lang w:val="en-US" w:eastAsia="zh-CN"/>
                <w14:textFill>
                  <w14:solidFill>
                    <w14:schemeClr w14:val="tx1"/>
                  </w14:solidFill>
                </w14:textFill>
              </w:rPr>
              <w:t>如</w:t>
            </w:r>
            <w:r>
              <w:rPr>
                <w:rFonts w:hint="eastAsia" w:ascii="宋体" w:hAnsi="宋体" w:cs="仿宋_GB2312"/>
                <w:color w:val="000000" w:themeColor="text1"/>
                <w:sz w:val="21"/>
                <w:szCs w:val="21"/>
                <w:highlight w:val="none"/>
                <w:shd w:val="clear" w:color="auto" w:fill="FFFFFF"/>
                <w14:textFill>
                  <w14:solidFill>
                    <w14:schemeClr w14:val="tx1"/>
                  </w14:solidFill>
                </w14:textFill>
              </w:rPr>
              <w:t>无损检测等检验检测人员上岗从业证明复印件。</w:t>
            </w:r>
          </w:p>
        </w:tc>
        <w:tc>
          <w:tcPr>
            <w:tcW w:w="1418"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复印件</w:t>
            </w:r>
          </w:p>
        </w:tc>
        <w:tc>
          <w:tcPr>
            <w:tcW w:w="1133"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一份</w:t>
            </w:r>
          </w:p>
        </w:tc>
        <w:tc>
          <w:tcPr>
            <w:tcW w:w="1276" w:type="dxa"/>
          </w:tcPr>
          <w:p>
            <w:pPr>
              <w:rPr>
                <w:rFonts w:ascii="宋体" w:hAnsi="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99" w:type="dxa"/>
            <w:vAlign w:val="center"/>
          </w:tcPr>
          <w:p>
            <w:pPr>
              <w:numPr>
                <w:ilvl w:val="-1"/>
                <w:numId w:val="0"/>
              </w:numPr>
              <w:ind w:left="0" w:firstLine="0"/>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4370" w:type="dxa"/>
            <w:vAlign w:val="center"/>
          </w:tcPr>
          <w:p>
            <w:pPr>
              <w:tabs>
                <w:tab w:val="left" w:pos="630"/>
              </w:tabs>
              <w:autoSpaceDE w:val="0"/>
              <w:autoSpaceDN w:val="0"/>
              <w:rPr>
                <w:rFonts w:ascii="宋体" w:hAnsi="宋体" w:cs="仿宋_GB2312"/>
                <w:color w:val="000000" w:themeColor="text1"/>
                <w:sz w:val="21"/>
                <w:szCs w:val="21"/>
                <w:highlight w:val="none"/>
                <w:shd w:val="clear" w:color="auto" w:fill="FFFFFF"/>
                <w14:textFill>
                  <w14:solidFill>
                    <w14:schemeClr w14:val="tx1"/>
                  </w14:solidFill>
                </w14:textFill>
              </w:rPr>
            </w:pPr>
            <w:r>
              <w:rPr>
                <w:rFonts w:hint="eastAsia" w:ascii="宋体" w:hAnsi="宋体" w:cs="仿宋_GB2312"/>
                <w:color w:val="000000" w:themeColor="text1"/>
                <w:sz w:val="21"/>
                <w:szCs w:val="21"/>
                <w:highlight w:val="none"/>
                <w:shd w:val="clear" w:color="auto" w:fill="FFFFFF"/>
                <w14:textFill>
                  <w14:solidFill>
                    <w14:schemeClr w14:val="tx1"/>
                  </w14:solidFill>
                </w14:textFill>
              </w:rPr>
              <w:t>评审现场试验委托书及现场试验原始记录和报告。</w:t>
            </w:r>
          </w:p>
        </w:tc>
        <w:tc>
          <w:tcPr>
            <w:tcW w:w="1418"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原件</w:t>
            </w:r>
          </w:p>
        </w:tc>
        <w:tc>
          <w:tcPr>
            <w:tcW w:w="1133" w:type="dxa"/>
            <w:vAlign w:val="center"/>
          </w:tcPr>
          <w:p>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一份</w:t>
            </w:r>
          </w:p>
        </w:tc>
        <w:tc>
          <w:tcPr>
            <w:tcW w:w="1276" w:type="dxa"/>
          </w:tcPr>
          <w:p>
            <w:pPr>
              <w:rPr>
                <w:rFonts w:ascii="宋体" w:hAnsi="宋体" w:cs="宋体"/>
                <w:b/>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699" w:type="dxa"/>
            <w:vAlign w:val="center"/>
          </w:tcPr>
          <w:p>
            <w:pPr>
              <w:numPr>
                <w:ilvl w:val="-1"/>
                <w:numId w:val="0"/>
              </w:numPr>
              <w:ind w:left="0" w:firstLine="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w:t>
            </w:r>
          </w:p>
        </w:tc>
        <w:tc>
          <w:tcPr>
            <w:tcW w:w="4370" w:type="dxa"/>
            <w:vAlign w:val="center"/>
          </w:tcPr>
          <w:p>
            <w:pPr>
              <w:tabs>
                <w:tab w:val="left" w:pos="630"/>
              </w:tabs>
              <w:autoSpaceDE w:val="0"/>
              <w:autoSpaceDN w:val="0"/>
              <w:rPr>
                <w:rFonts w:hint="eastAsia" w:ascii="宋体" w:hAnsi="宋体" w:cs="仿宋_GB2312"/>
                <w:color w:val="000000" w:themeColor="text1"/>
                <w:sz w:val="21"/>
                <w:szCs w:val="21"/>
                <w:highlight w:val="none"/>
                <w:shd w:val="clear" w:color="auto" w:fill="FFFFFF"/>
                <w14:textFill>
                  <w14:solidFill>
                    <w14:schemeClr w14:val="tx1"/>
                  </w14:solidFill>
                </w14:textFill>
              </w:rPr>
            </w:pPr>
            <w:r>
              <w:rPr>
                <w:rFonts w:hint="eastAsia" w:ascii="宋体" w:hAnsi="宋体" w:cs="仿宋_GB2312"/>
                <w:sz w:val="21"/>
                <w:szCs w:val="21"/>
                <w:highlight w:val="none"/>
                <w:lang w:val="en-US" w:eastAsia="zh-CN"/>
              </w:rPr>
              <w:t>其他需要封存的评审材料</w:t>
            </w:r>
          </w:p>
        </w:tc>
        <w:tc>
          <w:tcPr>
            <w:tcW w:w="1418" w:type="dxa"/>
            <w:vAlign w:val="center"/>
          </w:tcPr>
          <w:p>
            <w:pPr>
              <w:jc w:val="center"/>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复印件</w:t>
            </w:r>
          </w:p>
        </w:tc>
        <w:tc>
          <w:tcPr>
            <w:tcW w:w="1133" w:type="dxa"/>
            <w:vAlign w:val="center"/>
          </w:tcPr>
          <w:p>
            <w:pPr>
              <w:jc w:val="center"/>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一份</w:t>
            </w:r>
          </w:p>
        </w:tc>
        <w:tc>
          <w:tcPr>
            <w:tcW w:w="1276" w:type="dxa"/>
          </w:tcPr>
          <w:p>
            <w:pPr>
              <w:rPr>
                <w:rFonts w:ascii="宋体" w:hAnsi="宋体" w:cs="宋体"/>
                <w:b/>
                <w:bCs/>
                <w:color w:val="000000" w:themeColor="text1"/>
                <w:sz w:val="21"/>
                <w:szCs w:val="21"/>
                <w:highlight w:val="none"/>
                <w14:textFill>
                  <w14:solidFill>
                    <w14:schemeClr w14:val="tx1"/>
                  </w14:solidFill>
                </w14:textFill>
              </w:rPr>
            </w:pPr>
          </w:p>
        </w:tc>
      </w:tr>
    </w:tbl>
    <w:p>
      <w:pPr>
        <w:rPr>
          <w:b/>
          <w:color w:val="000000" w:themeColor="text1"/>
          <w:sz w:val="24"/>
          <w:szCs w:val="24"/>
          <w:highlight w:val="none"/>
          <w14:textFill>
            <w14:solidFill>
              <w14:schemeClr w14:val="tx1"/>
            </w14:solidFill>
          </w14:textFill>
        </w:rPr>
      </w:pPr>
    </w:p>
    <w:p>
      <w:pPr>
        <w:rPr>
          <w:b/>
          <w:color w:val="000000" w:themeColor="text1"/>
          <w:sz w:val="24"/>
          <w:szCs w:val="24"/>
          <w:highlight w:val="none"/>
          <w14:textFill>
            <w14:solidFill>
              <w14:schemeClr w14:val="tx1"/>
            </w14:solidFill>
          </w14:textFill>
        </w:rPr>
      </w:pPr>
    </w:p>
    <w:p>
      <w:pPr>
        <w:ind w:firstLine="0" w:firstLineChars="0"/>
        <w:rPr>
          <w:rFonts w:ascii="仿宋" w:hAnsi="仿宋" w:eastAsia="仿宋" w:cs="仿宋_GB2312"/>
          <w:color w:val="000000" w:themeColor="text1"/>
          <w:spacing w:val="-20"/>
          <w:sz w:val="30"/>
          <w:szCs w:val="30"/>
          <w:highlight w:val="none"/>
          <w14:textFill>
            <w14:solidFill>
              <w14:schemeClr w14:val="tx1"/>
            </w14:solidFill>
          </w14:textFill>
        </w:rPr>
      </w:pPr>
      <w:r>
        <w:rPr>
          <w:rFonts w:hint="eastAsia" w:ascii="仿宋" w:hAnsi="仿宋" w:eastAsia="仿宋" w:cs="仿宋_GB2312"/>
          <w:color w:val="000000" w:themeColor="text1"/>
          <w:sz w:val="30"/>
          <w:szCs w:val="30"/>
          <w:highlight w:val="none"/>
          <w14:textFill>
            <w14:solidFill>
              <w14:schemeClr w14:val="tx1"/>
            </w14:solidFill>
          </w14:textFill>
        </w:rPr>
        <w:t>组</w:t>
      </w:r>
      <w:r>
        <w:rPr>
          <w:rFonts w:hint="eastAsia" w:ascii="仿宋" w:hAnsi="仿宋" w:eastAsia="仿宋" w:cs="仿宋_GB2312"/>
          <w:color w:val="000000" w:themeColor="text1"/>
          <w:spacing w:val="-20"/>
          <w:sz w:val="30"/>
          <w:szCs w:val="30"/>
          <w:highlight w:val="none"/>
          <w14:textFill>
            <w14:solidFill>
              <w14:schemeClr w14:val="tx1"/>
            </w14:solidFill>
          </w14:textFill>
        </w:rPr>
        <w:t>长签名：                            日期：        年    月    日</w:t>
      </w:r>
    </w:p>
    <w:p>
      <w:pPr>
        <w:pStyle w:val="2"/>
        <w:rPr>
          <w:highlight w:val="none"/>
        </w:rPr>
      </w:pPr>
    </w:p>
    <w:p>
      <w:pPr>
        <w:rPr>
          <w:highlight w:val="none"/>
        </w:rPr>
      </w:pPr>
    </w:p>
    <w:p>
      <w:pPr>
        <w:rPr>
          <w:highlight w:val="none"/>
        </w:rPr>
      </w:pPr>
      <w:r>
        <w:rPr>
          <w:highlight w:val="none"/>
        </w:rPr>
        <w:br w:type="page"/>
      </w:r>
    </w:p>
    <w:p>
      <w:pPr>
        <w:pStyle w:val="12"/>
        <w:shd w:val="clear" w:color="auto" w:fill="FFFFFF"/>
        <w:spacing w:before="0" w:beforeAutospacing="0" w:after="0" w:afterAutospacing="0" w:line="540" w:lineRule="exact"/>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8</w:t>
      </w:r>
    </w:p>
    <w:p>
      <w:pPr>
        <w:numPr>
          <w:ilvl w:val="0"/>
          <w:numId w:val="0"/>
        </w:numPr>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bidi="ar-SA"/>
        </w:rPr>
        <w:t>建设工程质量检测机构资质评审材料报送清单</w:t>
      </w:r>
    </w:p>
    <w:p>
      <w:pPr>
        <w:spacing w:line="360" w:lineRule="auto"/>
        <w:rPr>
          <w:b/>
          <w:sz w:val="24"/>
          <w:szCs w:val="24"/>
          <w:highlight w:val="none"/>
        </w:rPr>
      </w:pPr>
    </w:p>
    <w:p>
      <w:pPr>
        <w:spacing w:line="360" w:lineRule="auto"/>
        <w:rPr>
          <w:b w:val="0"/>
          <w:bCs/>
          <w:sz w:val="21"/>
          <w:szCs w:val="21"/>
          <w:highlight w:val="none"/>
        </w:rPr>
      </w:pPr>
      <w:r>
        <w:rPr>
          <w:rFonts w:hint="eastAsia"/>
          <w:b w:val="0"/>
          <w:bCs/>
          <w:sz w:val="21"/>
          <w:szCs w:val="21"/>
          <w:highlight w:val="none"/>
          <w:lang w:val="en-US" w:eastAsia="zh-CN"/>
        </w:rPr>
        <w:t>检测</w:t>
      </w:r>
      <w:r>
        <w:rPr>
          <w:rFonts w:hint="eastAsia"/>
          <w:b w:val="0"/>
          <w:bCs/>
          <w:sz w:val="21"/>
          <w:szCs w:val="21"/>
          <w:highlight w:val="none"/>
        </w:rPr>
        <w:t xml:space="preserve">机构名称：    </w:t>
      </w:r>
    </w:p>
    <w:tbl>
      <w:tblPr>
        <w:tblStyle w:val="1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127"/>
        <w:gridCol w:w="1174"/>
        <w:gridCol w:w="1174"/>
        <w:gridCol w:w="131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700" w:type="dxa"/>
            <w:vAlign w:val="center"/>
          </w:tcPr>
          <w:p>
            <w:pPr>
              <w:jc w:val="center"/>
              <w:rPr>
                <w:rFonts w:ascii="宋体" w:hAnsi="宋体" w:cs="宋体"/>
                <w:b/>
                <w:sz w:val="21"/>
                <w:szCs w:val="21"/>
                <w:highlight w:val="none"/>
              </w:rPr>
            </w:pPr>
            <w:r>
              <w:rPr>
                <w:rFonts w:hint="eastAsia" w:ascii="宋体" w:hAnsi="宋体" w:cs="仿宋_GB2312"/>
                <w:b/>
                <w:bCs/>
                <w:sz w:val="21"/>
                <w:szCs w:val="21"/>
                <w:highlight w:val="none"/>
              </w:rPr>
              <w:t>序号</w:t>
            </w:r>
          </w:p>
        </w:tc>
        <w:tc>
          <w:tcPr>
            <w:tcW w:w="4127" w:type="dxa"/>
            <w:vAlign w:val="center"/>
          </w:tcPr>
          <w:p>
            <w:pPr>
              <w:jc w:val="center"/>
              <w:rPr>
                <w:rFonts w:ascii="宋体" w:hAnsi="宋体" w:cs="宋体"/>
                <w:b/>
                <w:sz w:val="21"/>
                <w:szCs w:val="21"/>
                <w:highlight w:val="none"/>
              </w:rPr>
            </w:pPr>
            <w:r>
              <w:rPr>
                <w:rFonts w:hint="eastAsia" w:ascii="宋体" w:hAnsi="宋体" w:cs="宋体"/>
                <w:b/>
                <w:sz w:val="21"/>
                <w:szCs w:val="21"/>
                <w:highlight w:val="none"/>
              </w:rPr>
              <w:t>提交资料</w:t>
            </w:r>
          </w:p>
        </w:tc>
        <w:tc>
          <w:tcPr>
            <w:tcW w:w="1174" w:type="dxa"/>
            <w:vAlign w:val="center"/>
          </w:tcPr>
          <w:p>
            <w:pPr>
              <w:spacing w:line="280" w:lineRule="exact"/>
              <w:jc w:val="center"/>
              <w:rPr>
                <w:b/>
                <w:sz w:val="21"/>
                <w:szCs w:val="21"/>
                <w:highlight w:val="none"/>
              </w:rPr>
            </w:pPr>
            <w:r>
              <w:rPr>
                <w:rFonts w:hint="eastAsia"/>
                <w:b/>
                <w:sz w:val="21"/>
                <w:szCs w:val="21"/>
                <w:highlight w:val="none"/>
              </w:rPr>
              <w:t>应 提 交</w:t>
            </w:r>
          </w:p>
          <w:p>
            <w:pPr>
              <w:spacing w:line="280" w:lineRule="exact"/>
              <w:jc w:val="center"/>
              <w:rPr>
                <w:b/>
                <w:sz w:val="21"/>
                <w:szCs w:val="21"/>
                <w:highlight w:val="none"/>
              </w:rPr>
            </w:pPr>
            <w:r>
              <w:rPr>
                <w:rFonts w:hint="eastAsia"/>
                <w:b/>
                <w:sz w:val="21"/>
                <w:szCs w:val="21"/>
                <w:highlight w:val="none"/>
              </w:rPr>
              <w:t>资料形式</w:t>
            </w:r>
          </w:p>
        </w:tc>
        <w:tc>
          <w:tcPr>
            <w:tcW w:w="1174" w:type="dxa"/>
            <w:vAlign w:val="center"/>
          </w:tcPr>
          <w:p>
            <w:pPr>
              <w:spacing w:line="280" w:lineRule="exact"/>
              <w:jc w:val="center"/>
              <w:rPr>
                <w:b/>
                <w:sz w:val="21"/>
                <w:szCs w:val="21"/>
                <w:highlight w:val="none"/>
              </w:rPr>
            </w:pPr>
            <w:r>
              <w:rPr>
                <w:rFonts w:hint="eastAsia"/>
                <w:b/>
                <w:sz w:val="21"/>
                <w:szCs w:val="21"/>
                <w:highlight w:val="none"/>
              </w:rPr>
              <w:t>应提交</w:t>
            </w:r>
          </w:p>
          <w:p>
            <w:pPr>
              <w:spacing w:line="280" w:lineRule="exact"/>
              <w:jc w:val="center"/>
              <w:rPr>
                <w:b/>
                <w:sz w:val="21"/>
                <w:szCs w:val="21"/>
                <w:highlight w:val="none"/>
              </w:rPr>
            </w:pPr>
            <w:r>
              <w:rPr>
                <w:rFonts w:hint="eastAsia"/>
                <w:b/>
                <w:sz w:val="21"/>
                <w:szCs w:val="21"/>
                <w:highlight w:val="none"/>
              </w:rPr>
              <w:t>份  数</w:t>
            </w:r>
          </w:p>
        </w:tc>
        <w:tc>
          <w:tcPr>
            <w:tcW w:w="1313" w:type="dxa"/>
            <w:vAlign w:val="center"/>
          </w:tcPr>
          <w:p>
            <w:pPr>
              <w:spacing w:line="320" w:lineRule="exact"/>
              <w:jc w:val="center"/>
              <w:rPr>
                <w:b/>
                <w:spacing w:val="-20"/>
                <w:sz w:val="21"/>
                <w:szCs w:val="21"/>
                <w:highlight w:val="none"/>
              </w:rPr>
            </w:pPr>
            <w:r>
              <w:rPr>
                <w:rFonts w:hint="eastAsia"/>
                <w:b/>
                <w:spacing w:val="-20"/>
                <w:sz w:val="21"/>
                <w:szCs w:val="21"/>
                <w:highlight w:val="none"/>
              </w:rPr>
              <w:t>申请资料是</w:t>
            </w:r>
          </w:p>
          <w:p>
            <w:pPr>
              <w:spacing w:line="320" w:lineRule="exact"/>
              <w:jc w:val="center"/>
              <w:rPr>
                <w:b/>
                <w:spacing w:val="-20"/>
                <w:sz w:val="21"/>
                <w:szCs w:val="21"/>
                <w:highlight w:val="none"/>
              </w:rPr>
            </w:pPr>
            <w:r>
              <w:rPr>
                <w:rFonts w:hint="eastAsia"/>
                <w:b/>
                <w:spacing w:val="-20"/>
                <w:sz w:val="21"/>
                <w:szCs w:val="21"/>
                <w:highlight w:val="none"/>
              </w:rPr>
              <w:t>否符合要求</w:t>
            </w:r>
          </w:p>
        </w:tc>
        <w:tc>
          <w:tcPr>
            <w:tcW w:w="799" w:type="dxa"/>
            <w:vAlign w:val="center"/>
          </w:tcPr>
          <w:p>
            <w:pPr>
              <w:spacing w:line="280" w:lineRule="exact"/>
              <w:jc w:val="center"/>
              <w:rPr>
                <w:b/>
                <w:sz w:val="21"/>
                <w:szCs w:val="21"/>
                <w:highlight w:val="none"/>
              </w:rPr>
            </w:pPr>
            <w:r>
              <w:rPr>
                <w:rFonts w:hint="eastAsia"/>
                <w:b/>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numPr>
                <w:ilvl w:val="0"/>
                <w:numId w:val="0"/>
              </w:numPr>
              <w:ind w:leftChars="0"/>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p>
        </w:tc>
        <w:tc>
          <w:tcPr>
            <w:tcW w:w="4127" w:type="dxa"/>
            <w:vAlign w:val="center"/>
          </w:tcPr>
          <w:p>
            <w:pPr>
              <w:jc w:val="left"/>
              <w:rPr>
                <w:rFonts w:ascii="宋体" w:hAnsi="宋体"/>
                <w:sz w:val="21"/>
                <w:szCs w:val="21"/>
                <w:highlight w:val="none"/>
              </w:rPr>
            </w:pPr>
            <w:r>
              <w:rPr>
                <w:rFonts w:hint="eastAsia" w:ascii="宋体" w:hAnsi="宋体" w:cs="仿宋_GB2312"/>
                <w:sz w:val="21"/>
                <w:szCs w:val="21"/>
                <w:highlight w:val="none"/>
              </w:rPr>
              <w:t>评审报告</w:t>
            </w:r>
          </w:p>
        </w:tc>
        <w:tc>
          <w:tcPr>
            <w:tcW w:w="1174" w:type="dxa"/>
            <w:vAlign w:val="center"/>
          </w:tcPr>
          <w:p>
            <w:pPr>
              <w:jc w:val="center"/>
              <w:rPr>
                <w:rFonts w:hint="eastAsia" w:ascii="宋体" w:hAnsi="宋体" w:eastAsia="宋体" w:cs="宋体"/>
                <w:b/>
                <w:bCs/>
                <w:sz w:val="21"/>
                <w:szCs w:val="21"/>
                <w:highlight w:val="none"/>
                <w:lang w:val="en-US" w:eastAsia="zh-CN"/>
              </w:rPr>
            </w:pPr>
            <w:r>
              <w:rPr>
                <w:rFonts w:hint="eastAsia"/>
                <w:b/>
                <w:sz w:val="21"/>
                <w:szCs w:val="21"/>
                <w:highlight w:val="none"/>
              </w:rPr>
              <w:t>原件</w:t>
            </w:r>
            <w:r>
              <w:rPr>
                <w:rFonts w:hint="eastAsia"/>
                <w:b/>
                <w:sz w:val="21"/>
                <w:szCs w:val="21"/>
                <w:highlight w:val="none"/>
                <w:lang w:val="en-US" w:eastAsia="zh-CN"/>
              </w:rPr>
              <w:t>及</w:t>
            </w:r>
            <w:r>
              <w:rPr>
                <w:rFonts w:hint="eastAsia" w:ascii="宋体" w:hAnsi="宋体" w:cs="宋体"/>
                <w:b/>
                <w:bCs/>
                <w:sz w:val="21"/>
                <w:szCs w:val="21"/>
                <w:highlight w:val="none"/>
                <w:lang w:val="en-US" w:eastAsia="zh-CN"/>
              </w:rPr>
              <w:t>电子扫描件</w:t>
            </w:r>
          </w:p>
        </w:tc>
        <w:tc>
          <w:tcPr>
            <w:tcW w:w="1174"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一份</w:t>
            </w:r>
          </w:p>
        </w:tc>
        <w:tc>
          <w:tcPr>
            <w:tcW w:w="1313" w:type="dxa"/>
            <w:vAlign w:val="center"/>
          </w:tcPr>
          <w:p>
            <w:pPr>
              <w:rPr>
                <w:rFonts w:ascii="宋体" w:hAnsi="宋体" w:cs="宋体"/>
                <w:b/>
                <w:bCs/>
                <w:sz w:val="21"/>
                <w:szCs w:val="21"/>
                <w:highlight w:val="none"/>
              </w:rPr>
            </w:pPr>
            <w:r>
              <w:rPr>
                <w:rFonts w:hint="eastAsia"/>
                <w:sz w:val="21"/>
                <w:szCs w:val="21"/>
                <w:highlight w:val="none"/>
              </w:rPr>
              <w:t>口是口否</w:t>
            </w:r>
          </w:p>
        </w:tc>
        <w:tc>
          <w:tcPr>
            <w:tcW w:w="799" w:type="dxa"/>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numPr>
                <w:ilvl w:val="0"/>
                <w:numId w:val="0"/>
              </w:numPr>
              <w:ind w:leftChars="0"/>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w:t>
            </w:r>
          </w:p>
        </w:tc>
        <w:tc>
          <w:tcPr>
            <w:tcW w:w="4127" w:type="dxa"/>
            <w:vAlign w:val="center"/>
          </w:tcPr>
          <w:p>
            <w:pPr>
              <w:jc w:val="left"/>
              <w:rPr>
                <w:rFonts w:ascii="宋体" w:hAnsi="宋体" w:cs="宋体"/>
                <w:b/>
                <w:bCs/>
                <w:sz w:val="21"/>
                <w:szCs w:val="21"/>
                <w:highlight w:val="none"/>
              </w:rPr>
            </w:pPr>
            <w:r>
              <w:rPr>
                <w:rFonts w:hint="eastAsia" w:ascii="宋体" w:hAnsi="宋体" w:cs="仿宋_GB2312"/>
                <w:sz w:val="21"/>
                <w:szCs w:val="21"/>
                <w:highlight w:val="none"/>
              </w:rPr>
              <w:t>申请书</w:t>
            </w:r>
          </w:p>
        </w:tc>
        <w:tc>
          <w:tcPr>
            <w:tcW w:w="1174" w:type="dxa"/>
            <w:vAlign w:val="center"/>
          </w:tcPr>
          <w:p>
            <w:pPr>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电子扫描件</w:t>
            </w:r>
          </w:p>
        </w:tc>
        <w:tc>
          <w:tcPr>
            <w:tcW w:w="1174"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一份</w:t>
            </w:r>
          </w:p>
        </w:tc>
        <w:tc>
          <w:tcPr>
            <w:tcW w:w="1313" w:type="dxa"/>
            <w:vAlign w:val="center"/>
          </w:tcPr>
          <w:p>
            <w:pPr>
              <w:rPr>
                <w:rFonts w:ascii="宋体" w:hAnsi="宋体" w:cs="宋体"/>
                <w:b/>
                <w:bCs/>
                <w:sz w:val="21"/>
                <w:szCs w:val="21"/>
                <w:highlight w:val="none"/>
              </w:rPr>
            </w:pPr>
            <w:r>
              <w:rPr>
                <w:rFonts w:hint="eastAsia"/>
                <w:sz w:val="21"/>
                <w:szCs w:val="21"/>
                <w:highlight w:val="none"/>
              </w:rPr>
              <w:t>口是口否</w:t>
            </w:r>
          </w:p>
        </w:tc>
        <w:tc>
          <w:tcPr>
            <w:tcW w:w="799" w:type="dxa"/>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jc w:val="center"/>
              <w:rPr>
                <w:rFonts w:hint="eastAsia" w:ascii="宋体" w:hAnsi="宋体" w:eastAsia="宋体" w:cs="仿宋_GB2312"/>
                <w:sz w:val="21"/>
                <w:szCs w:val="21"/>
                <w:highlight w:val="none"/>
                <w:lang w:val="en-US" w:eastAsia="zh-CN"/>
              </w:rPr>
            </w:pPr>
            <w:r>
              <w:rPr>
                <w:rFonts w:hint="eastAsia" w:ascii="宋体" w:hAnsi="宋体" w:cs="仿宋_GB2312"/>
                <w:sz w:val="21"/>
                <w:szCs w:val="21"/>
                <w:highlight w:val="none"/>
                <w:lang w:val="en-US" w:eastAsia="zh-CN"/>
              </w:rPr>
              <w:t>3</w:t>
            </w:r>
          </w:p>
        </w:tc>
        <w:tc>
          <w:tcPr>
            <w:tcW w:w="4127" w:type="dxa"/>
            <w:vAlign w:val="center"/>
          </w:tcPr>
          <w:p>
            <w:pPr>
              <w:jc w:val="left"/>
              <w:rPr>
                <w:rFonts w:hint="eastAsia" w:ascii="宋体" w:hAnsi="宋体" w:cs="仿宋_GB2312"/>
                <w:sz w:val="21"/>
                <w:szCs w:val="21"/>
                <w:highlight w:val="none"/>
              </w:rPr>
            </w:pPr>
            <w:r>
              <w:rPr>
                <w:rFonts w:hint="eastAsia" w:ascii="宋体" w:hAnsi="宋体" w:cs="仿宋_GB2312"/>
                <w:sz w:val="21"/>
                <w:szCs w:val="21"/>
                <w:highlight w:val="none"/>
                <w:lang w:val="en-US" w:eastAsia="zh-CN"/>
              </w:rPr>
              <w:t>资质评审</w:t>
            </w:r>
            <w:r>
              <w:rPr>
                <w:rFonts w:hint="eastAsia" w:ascii="宋体" w:hAnsi="宋体" w:cs="仿宋_GB2312"/>
                <w:sz w:val="21"/>
                <w:szCs w:val="21"/>
                <w:highlight w:val="none"/>
              </w:rPr>
              <w:t>承诺声明</w:t>
            </w:r>
          </w:p>
        </w:tc>
        <w:tc>
          <w:tcPr>
            <w:tcW w:w="1174" w:type="dxa"/>
            <w:vAlign w:val="center"/>
          </w:tcPr>
          <w:p>
            <w:pPr>
              <w:jc w:val="center"/>
              <w:rPr>
                <w:rFonts w:ascii="宋体" w:hAnsi="宋体" w:cs="宋体"/>
                <w:b/>
                <w:bCs/>
                <w:sz w:val="21"/>
                <w:szCs w:val="21"/>
                <w:highlight w:val="none"/>
              </w:rPr>
            </w:pPr>
            <w:r>
              <w:rPr>
                <w:rFonts w:hint="eastAsia"/>
                <w:b/>
                <w:sz w:val="21"/>
                <w:szCs w:val="21"/>
                <w:highlight w:val="none"/>
              </w:rPr>
              <w:t>原件</w:t>
            </w:r>
            <w:r>
              <w:rPr>
                <w:rFonts w:hint="eastAsia"/>
                <w:b/>
                <w:sz w:val="21"/>
                <w:szCs w:val="21"/>
                <w:highlight w:val="none"/>
                <w:lang w:val="en-US" w:eastAsia="zh-CN"/>
              </w:rPr>
              <w:t>及</w:t>
            </w:r>
            <w:r>
              <w:rPr>
                <w:rFonts w:hint="eastAsia" w:ascii="宋体" w:hAnsi="宋体" w:cs="宋体"/>
                <w:b/>
                <w:bCs/>
                <w:sz w:val="21"/>
                <w:szCs w:val="21"/>
                <w:highlight w:val="none"/>
                <w:lang w:val="en-US" w:eastAsia="zh-CN"/>
              </w:rPr>
              <w:t>电子扫描件</w:t>
            </w:r>
          </w:p>
        </w:tc>
        <w:tc>
          <w:tcPr>
            <w:tcW w:w="1174"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一份</w:t>
            </w:r>
          </w:p>
        </w:tc>
        <w:tc>
          <w:tcPr>
            <w:tcW w:w="1313" w:type="dxa"/>
            <w:vAlign w:val="center"/>
          </w:tcPr>
          <w:p>
            <w:pPr>
              <w:rPr>
                <w:rFonts w:ascii="宋体" w:hAnsi="宋体" w:cs="宋体"/>
                <w:b/>
                <w:bCs/>
                <w:sz w:val="21"/>
                <w:szCs w:val="21"/>
                <w:highlight w:val="none"/>
              </w:rPr>
            </w:pPr>
            <w:r>
              <w:rPr>
                <w:rFonts w:hint="eastAsia"/>
                <w:sz w:val="21"/>
                <w:szCs w:val="21"/>
                <w:highlight w:val="none"/>
              </w:rPr>
              <w:t>口是口否</w:t>
            </w:r>
          </w:p>
        </w:tc>
        <w:tc>
          <w:tcPr>
            <w:tcW w:w="799" w:type="dxa"/>
            <w:vAlign w:val="center"/>
          </w:tcPr>
          <w:p>
            <w:pPr>
              <w:jc w:val="cente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jc w:val="center"/>
              <w:rPr>
                <w:rFonts w:hint="eastAsia" w:ascii="宋体" w:hAnsi="宋体" w:eastAsia="宋体" w:cs="仿宋_GB2312"/>
                <w:sz w:val="21"/>
                <w:szCs w:val="21"/>
                <w:highlight w:val="none"/>
                <w:lang w:val="en-US" w:eastAsia="zh-CN"/>
              </w:rPr>
            </w:pPr>
            <w:r>
              <w:rPr>
                <w:rFonts w:hint="eastAsia" w:ascii="宋体" w:hAnsi="宋体" w:cs="仿宋_GB2312"/>
                <w:sz w:val="21"/>
                <w:szCs w:val="21"/>
                <w:highlight w:val="none"/>
                <w:lang w:val="en-US" w:eastAsia="zh-CN"/>
              </w:rPr>
              <w:t>4</w:t>
            </w:r>
          </w:p>
        </w:tc>
        <w:tc>
          <w:tcPr>
            <w:tcW w:w="4127" w:type="dxa"/>
            <w:vAlign w:val="center"/>
          </w:tcPr>
          <w:p>
            <w:pPr>
              <w:jc w:val="left"/>
              <w:rPr>
                <w:rFonts w:hint="eastAsia" w:ascii="宋体" w:hAnsi="宋体" w:cs="仿宋_GB2312"/>
                <w:sz w:val="21"/>
                <w:szCs w:val="21"/>
                <w:highlight w:val="none"/>
              </w:rPr>
            </w:pPr>
            <w:r>
              <w:rPr>
                <w:rFonts w:hint="eastAsia" w:ascii="宋体" w:hAnsi="宋体" w:cs="仿宋_GB2312"/>
                <w:sz w:val="21"/>
                <w:szCs w:val="21"/>
                <w:highlight w:val="none"/>
                <w:lang w:val="en-US" w:eastAsia="zh-CN"/>
              </w:rPr>
              <w:t>专家评审计划表</w:t>
            </w:r>
          </w:p>
        </w:tc>
        <w:tc>
          <w:tcPr>
            <w:tcW w:w="1174" w:type="dxa"/>
            <w:vAlign w:val="center"/>
          </w:tcPr>
          <w:p>
            <w:pPr>
              <w:jc w:val="center"/>
              <w:rPr>
                <w:rFonts w:ascii="宋体" w:hAnsi="宋体" w:cs="宋体"/>
                <w:b/>
                <w:bCs/>
                <w:sz w:val="21"/>
                <w:szCs w:val="21"/>
                <w:highlight w:val="none"/>
              </w:rPr>
            </w:pPr>
            <w:r>
              <w:rPr>
                <w:rFonts w:hint="eastAsia"/>
                <w:b/>
                <w:sz w:val="21"/>
                <w:szCs w:val="21"/>
                <w:highlight w:val="none"/>
              </w:rPr>
              <w:t>原件</w:t>
            </w:r>
            <w:r>
              <w:rPr>
                <w:rFonts w:hint="eastAsia"/>
                <w:b/>
                <w:sz w:val="21"/>
                <w:szCs w:val="21"/>
                <w:highlight w:val="none"/>
                <w:lang w:val="en-US" w:eastAsia="zh-CN"/>
              </w:rPr>
              <w:t>及</w:t>
            </w:r>
            <w:r>
              <w:rPr>
                <w:rFonts w:hint="eastAsia" w:ascii="宋体" w:hAnsi="宋体" w:cs="宋体"/>
                <w:b/>
                <w:bCs/>
                <w:sz w:val="21"/>
                <w:szCs w:val="21"/>
                <w:highlight w:val="none"/>
                <w:lang w:val="en-US" w:eastAsia="zh-CN"/>
              </w:rPr>
              <w:t>电子扫描件</w:t>
            </w:r>
          </w:p>
        </w:tc>
        <w:tc>
          <w:tcPr>
            <w:tcW w:w="1174" w:type="dxa"/>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一份</w:t>
            </w:r>
          </w:p>
        </w:tc>
        <w:tc>
          <w:tcPr>
            <w:tcW w:w="1313" w:type="dxa"/>
            <w:vAlign w:val="center"/>
          </w:tcPr>
          <w:p>
            <w:pPr>
              <w:rPr>
                <w:rFonts w:ascii="宋体" w:hAnsi="宋体" w:cs="宋体"/>
                <w:b/>
                <w:bCs/>
                <w:sz w:val="21"/>
                <w:szCs w:val="21"/>
                <w:highlight w:val="none"/>
              </w:rPr>
            </w:pPr>
            <w:r>
              <w:rPr>
                <w:rFonts w:hint="eastAsia"/>
                <w:sz w:val="21"/>
                <w:szCs w:val="21"/>
                <w:highlight w:val="none"/>
              </w:rPr>
              <w:t>口是口否</w:t>
            </w:r>
          </w:p>
        </w:tc>
        <w:tc>
          <w:tcPr>
            <w:tcW w:w="799" w:type="dxa"/>
          </w:tcPr>
          <w:p>
            <w:pP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jc w:val="center"/>
              <w:rPr>
                <w:rFonts w:hint="eastAsia" w:ascii="宋体" w:hAnsi="宋体" w:eastAsia="宋体" w:cs="仿宋_GB2312"/>
                <w:sz w:val="21"/>
                <w:szCs w:val="21"/>
                <w:highlight w:val="none"/>
                <w:lang w:val="en-US" w:eastAsia="zh-CN"/>
              </w:rPr>
            </w:pPr>
            <w:r>
              <w:rPr>
                <w:rFonts w:hint="eastAsia" w:ascii="宋体" w:hAnsi="宋体" w:cs="仿宋_GB2312"/>
                <w:sz w:val="21"/>
                <w:szCs w:val="21"/>
                <w:highlight w:val="none"/>
                <w:lang w:val="en-US" w:eastAsia="zh-CN"/>
              </w:rPr>
              <w:t>5</w:t>
            </w:r>
          </w:p>
        </w:tc>
        <w:tc>
          <w:tcPr>
            <w:tcW w:w="4127" w:type="dxa"/>
            <w:vAlign w:val="center"/>
          </w:tcPr>
          <w:p>
            <w:pPr>
              <w:jc w:val="left"/>
              <w:rPr>
                <w:rFonts w:hint="eastAsia" w:ascii="宋体" w:hAnsi="宋体" w:cs="仿宋_GB2312"/>
                <w:sz w:val="21"/>
                <w:szCs w:val="21"/>
                <w:highlight w:val="none"/>
                <w:lang w:eastAsia="zh-CN"/>
              </w:rPr>
            </w:pPr>
            <w:r>
              <w:rPr>
                <w:rFonts w:hint="eastAsia" w:ascii="宋体" w:hAnsi="宋体" w:cs="仿宋_GB2312"/>
                <w:sz w:val="21"/>
                <w:szCs w:val="21"/>
                <w:highlight w:val="none"/>
                <w:lang w:val="en-US" w:eastAsia="zh-CN"/>
              </w:rPr>
              <w:t>专家评审会议签到表</w:t>
            </w:r>
          </w:p>
        </w:tc>
        <w:tc>
          <w:tcPr>
            <w:tcW w:w="1174" w:type="dxa"/>
            <w:vAlign w:val="center"/>
          </w:tcPr>
          <w:p>
            <w:pPr>
              <w:jc w:val="center"/>
              <w:rPr>
                <w:rFonts w:hint="eastAsia" w:ascii="宋体" w:hAnsi="宋体" w:cs="宋体"/>
                <w:b/>
                <w:bCs/>
                <w:sz w:val="21"/>
                <w:szCs w:val="21"/>
                <w:highlight w:val="none"/>
              </w:rPr>
            </w:pPr>
            <w:r>
              <w:rPr>
                <w:rFonts w:hint="eastAsia"/>
                <w:b/>
                <w:sz w:val="21"/>
                <w:szCs w:val="21"/>
                <w:highlight w:val="none"/>
              </w:rPr>
              <w:t>原件</w:t>
            </w:r>
            <w:r>
              <w:rPr>
                <w:rFonts w:hint="eastAsia"/>
                <w:b/>
                <w:sz w:val="21"/>
                <w:szCs w:val="21"/>
                <w:highlight w:val="none"/>
                <w:lang w:val="en-US" w:eastAsia="zh-CN"/>
              </w:rPr>
              <w:t>及</w:t>
            </w:r>
            <w:r>
              <w:rPr>
                <w:rFonts w:hint="eastAsia" w:ascii="宋体" w:hAnsi="宋体" w:cs="宋体"/>
                <w:b/>
                <w:bCs/>
                <w:sz w:val="21"/>
                <w:szCs w:val="21"/>
                <w:highlight w:val="none"/>
                <w:lang w:val="en-US" w:eastAsia="zh-CN"/>
              </w:rPr>
              <w:t>电子扫描件</w:t>
            </w:r>
          </w:p>
        </w:tc>
        <w:tc>
          <w:tcPr>
            <w:tcW w:w="1174" w:type="dxa"/>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一份</w:t>
            </w:r>
          </w:p>
        </w:tc>
        <w:tc>
          <w:tcPr>
            <w:tcW w:w="1313" w:type="dxa"/>
            <w:vAlign w:val="center"/>
          </w:tcPr>
          <w:p>
            <w:pPr>
              <w:rPr>
                <w:rFonts w:hint="eastAsia"/>
                <w:sz w:val="21"/>
                <w:szCs w:val="21"/>
                <w:highlight w:val="none"/>
              </w:rPr>
            </w:pPr>
            <w:r>
              <w:rPr>
                <w:rFonts w:hint="eastAsia"/>
                <w:sz w:val="21"/>
                <w:szCs w:val="21"/>
                <w:highlight w:val="none"/>
              </w:rPr>
              <w:t>口是口否</w:t>
            </w:r>
          </w:p>
        </w:tc>
        <w:tc>
          <w:tcPr>
            <w:tcW w:w="799" w:type="dxa"/>
          </w:tcPr>
          <w:p>
            <w:pP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jc w:val="center"/>
              <w:rPr>
                <w:rFonts w:hint="eastAsia" w:ascii="宋体" w:hAnsi="宋体" w:eastAsia="宋体" w:cs="仿宋_GB2312"/>
                <w:sz w:val="21"/>
                <w:szCs w:val="21"/>
                <w:highlight w:val="none"/>
                <w:lang w:val="en-US" w:eastAsia="zh-CN"/>
              </w:rPr>
            </w:pPr>
            <w:r>
              <w:rPr>
                <w:rFonts w:hint="eastAsia" w:ascii="宋体" w:hAnsi="宋体" w:cs="仿宋_GB2312"/>
                <w:sz w:val="21"/>
                <w:szCs w:val="21"/>
                <w:highlight w:val="none"/>
                <w:lang w:val="en-US" w:eastAsia="zh-CN"/>
              </w:rPr>
              <w:t>6</w:t>
            </w:r>
          </w:p>
        </w:tc>
        <w:tc>
          <w:tcPr>
            <w:tcW w:w="4127" w:type="dxa"/>
            <w:vAlign w:val="center"/>
          </w:tcPr>
          <w:p>
            <w:pPr>
              <w:jc w:val="left"/>
              <w:rPr>
                <w:rFonts w:hint="eastAsia" w:ascii="宋体" w:hAnsi="宋体" w:cs="仿宋_GB2312"/>
                <w:sz w:val="21"/>
                <w:szCs w:val="21"/>
                <w:highlight w:val="none"/>
                <w:lang w:eastAsia="zh-CN"/>
              </w:rPr>
            </w:pPr>
            <w:r>
              <w:rPr>
                <w:rFonts w:hint="eastAsia" w:ascii="宋体" w:hAnsi="宋体" w:cs="仿宋_GB2312"/>
                <w:color w:val="auto"/>
                <w:sz w:val="21"/>
                <w:szCs w:val="21"/>
                <w:highlight w:val="none"/>
              </w:rPr>
              <w:t>评审材料封存清单</w:t>
            </w:r>
          </w:p>
        </w:tc>
        <w:tc>
          <w:tcPr>
            <w:tcW w:w="1174" w:type="dxa"/>
            <w:vAlign w:val="center"/>
          </w:tcPr>
          <w:p>
            <w:pPr>
              <w:jc w:val="center"/>
              <w:rPr>
                <w:rFonts w:hint="eastAsia" w:ascii="宋体" w:hAnsi="宋体" w:cs="宋体"/>
                <w:b/>
                <w:bCs/>
                <w:sz w:val="21"/>
                <w:szCs w:val="21"/>
                <w:highlight w:val="none"/>
              </w:rPr>
            </w:pPr>
            <w:r>
              <w:rPr>
                <w:rFonts w:hint="eastAsia"/>
                <w:b/>
                <w:sz w:val="21"/>
                <w:szCs w:val="21"/>
                <w:highlight w:val="none"/>
              </w:rPr>
              <w:t>原件</w:t>
            </w:r>
            <w:r>
              <w:rPr>
                <w:rFonts w:hint="eastAsia"/>
                <w:b/>
                <w:sz w:val="21"/>
                <w:szCs w:val="21"/>
                <w:highlight w:val="none"/>
                <w:lang w:val="en-US" w:eastAsia="zh-CN"/>
              </w:rPr>
              <w:t>及</w:t>
            </w:r>
            <w:r>
              <w:rPr>
                <w:rFonts w:hint="eastAsia" w:ascii="宋体" w:hAnsi="宋体" w:cs="宋体"/>
                <w:b/>
                <w:bCs/>
                <w:sz w:val="21"/>
                <w:szCs w:val="21"/>
                <w:highlight w:val="none"/>
                <w:lang w:val="en-US" w:eastAsia="zh-CN"/>
              </w:rPr>
              <w:t>电子扫描件</w:t>
            </w:r>
          </w:p>
        </w:tc>
        <w:tc>
          <w:tcPr>
            <w:tcW w:w="1174" w:type="dxa"/>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一份</w:t>
            </w:r>
          </w:p>
        </w:tc>
        <w:tc>
          <w:tcPr>
            <w:tcW w:w="1313" w:type="dxa"/>
            <w:vAlign w:val="center"/>
          </w:tcPr>
          <w:p>
            <w:pPr>
              <w:rPr>
                <w:rFonts w:hint="eastAsia"/>
                <w:sz w:val="21"/>
                <w:szCs w:val="21"/>
                <w:highlight w:val="none"/>
              </w:rPr>
            </w:pPr>
            <w:r>
              <w:rPr>
                <w:rFonts w:hint="eastAsia"/>
                <w:sz w:val="21"/>
                <w:szCs w:val="21"/>
                <w:highlight w:val="none"/>
              </w:rPr>
              <w:t>口是口否</w:t>
            </w:r>
          </w:p>
        </w:tc>
        <w:tc>
          <w:tcPr>
            <w:tcW w:w="799" w:type="dxa"/>
          </w:tcPr>
          <w:p>
            <w:pP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jc w:val="center"/>
              <w:rPr>
                <w:rFonts w:hint="eastAsia" w:ascii="宋体" w:hAnsi="宋体" w:eastAsia="宋体" w:cs="仿宋_GB2312"/>
                <w:sz w:val="21"/>
                <w:szCs w:val="21"/>
                <w:highlight w:val="none"/>
                <w:lang w:val="en-US" w:eastAsia="zh-CN"/>
              </w:rPr>
            </w:pPr>
            <w:r>
              <w:rPr>
                <w:rFonts w:hint="eastAsia" w:ascii="宋体" w:hAnsi="宋体" w:cs="仿宋_GB2312"/>
                <w:sz w:val="21"/>
                <w:szCs w:val="21"/>
                <w:highlight w:val="none"/>
                <w:lang w:val="en-US" w:eastAsia="zh-CN"/>
              </w:rPr>
              <w:t>7</w:t>
            </w:r>
          </w:p>
        </w:tc>
        <w:tc>
          <w:tcPr>
            <w:tcW w:w="4127" w:type="dxa"/>
            <w:vAlign w:val="center"/>
          </w:tcPr>
          <w:p>
            <w:pPr>
              <w:jc w:val="left"/>
              <w:rPr>
                <w:rFonts w:hint="eastAsia" w:ascii="宋体" w:hAnsi="宋体" w:cs="仿宋_GB2312"/>
                <w:sz w:val="21"/>
                <w:szCs w:val="21"/>
                <w:highlight w:val="none"/>
              </w:rPr>
            </w:pPr>
            <w:r>
              <w:rPr>
                <w:rFonts w:hint="eastAsia" w:ascii="宋体" w:hAnsi="宋体" w:cs="仿宋_GB2312"/>
                <w:sz w:val="21"/>
                <w:szCs w:val="21"/>
                <w:highlight w:val="none"/>
                <w:lang w:val="en-US" w:eastAsia="zh-CN"/>
              </w:rPr>
              <w:t>被评审机构封存材料保存承诺书</w:t>
            </w:r>
          </w:p>
        </w:tc>
        <w:tc>
          <w:tcPr>
            <w:tcW w:w="1174" w:type="dxa"/>
            <w:vAlign w:val="center"/>
          </w:tcPr>
          <w:p>
            <w:pPr>
              <w:jc w:val="center"/>
              <w:rPr>
                <w:rFonts w:hint="eastAsia" w:ascii="宋体" w:hAnsi="宋体" w:cs="仿宋_GB2312"/>
                <w:sz w:val="21"/>
                <w:szCs w:val="21"/>
                <w:highlight w:val="none"/>
              </w:rPr>
            </w:pPr>
            <w:r>
              <w:rPr>
                <w:rFonts w:hint="eastAsia"/>
                <w:b/>
                <w:sz w:val="21"/>
                <w:szCs w:val="21"/>
                <w:highlight w:val="none"/>
              </w:rPr>
              <w:t>原件</w:t>
            </w:r>
            <w:r>
              <w:rPr>
                <w:rFonts w:hint="eastAsia"/>
                <w:b/>
                <w:sz w:val="21"/>
                <w:szCs w:val="21"/>
                <w:highlight w:val="none"/>
                <w:lang w:val="en-US" w:eastAsia="zh-CN"/>
              </w:rPr>
              <w:t>及</w:t>
            </w:r>
            <w:r>
              <w:rPr>
                <w:rFonts w:hint="eastAsia" w:ascii="宋体" w:hAnsi="宋体" w:cs="宋体"/>
                <w:b/>
                <w:bCs/>
                <w:sz w:val="21"/>
                <w:szCs w:val="21"/>
                <w:highlight w:val="none"/>
                <w:lang w:val="en-US" w:eastAsia="zh-CN"/>
              </w:rPr>
              <w:t>电子扫描件</w:t>
            </w:r>
          </w:p>
        </w:tc>
        <w:tc>
          <w:tcPr>
            <w:tcW w:w="1174" w:type="dxa"/>
            <w:vAlign w:val="center"/>
          </w:tcPr>
          <w:p>
            <w:pPr>
              <w:jc w:val="center"/>
              <w:rPr>
                <w:rFonts w:hint="eastAsia" w:hAnsi="宋体" w:cs="宋体"/>
                <w:b/>
                <w:bCs/>
                <w:sz w:val="21"/>
                <w:szCs w:val="21"/>
                <w:highlight w:val="none"/>
              </w:rPr>
            </w:pPr>
            <w:r>
              <w:rPr>
                <w:rFonts w:hint="eastAsia" w:ascii="宋体" w:hAnsi="宋体" w:cs="宋体"/>
                <w:b/>
                <w:bCs/>
                <w:sz w:val="21"/>
                <w:szCs w:val="21"/>
                <w:highlight w:val="none"/>
              </w:rPr>
              <w:t>一份</w:t>
            </w:r>
          </w:p>
        </w:tc>
        <w:tc>
          <w:tcPr>
            <w:tcW w:w="1313" w:type="dxa"/>
            <w:vAlign w:val="center"/>
          </w:tcPr>
          <w:p>
            <w:pPr>
              <w:rPr>
                <w:rFonts w:hint="eastAsia"/>
                <w:sz w:val="21"/>
                <w:szCs w:val="21"/>
                <w:highlight w:val="none"/>
              </w:rPr>
            </w:pPr>
            <w:r>
              <w:rPr>
                <w:rFonts w:hint="eastAsia"/>
                <w:sz w:val="21"/>
                <w:szCs w:val="21"/>
                <w:highlight w:val="none"/>
              </w:rPr>
              <w:t>口是口否</w:t>
            </w:r>
          </w:p>
        </w:tc>
        <w:tc>
          <w:tcPr>
            <w:tcW w:w="799" w:type="dxa"/>
          </w:tcPr>
          <w:p>
            <w:pPr>
              <w:rPr>
                <w:rFonts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0" w:type="dxa"/>
            <w:vAlign w:val="center"/>
          </w:tcPr>
          <w:p>
            <w:pPr>
              <w:jc w:val="center"/>
              <w:rPr>
                <w:rFonts w:hint="default" w:ascii="宋体" w:hAnsi="宋体" w:cs="仿宋_GB2312"/>
                <w:sz w:val="21"/>
                <w:szCs w:val="21"/>
                <w:highlight w:val="none"/>
                <w:lang w:val="en-US" w:eastAsia="zh-CN"/>
              </w:rPr>
            </w:pPr>
            <w:r>
              <w:rPr>
                <w:rFonts w:hint="eastAsia" w:ascii="宋体" w:hAnsi="宋体" w:cs="仿宋_GB2312"/>
                <w:sz w:val="21"/>
                <w:szCs w:val="21"/>
                <w:highlight w:val="none"/>
                <w:lang w:val="en-US" w:eastAsia="zh-CN"/>
              </w:rPr>
              <w:t>8</w:t>
            </w:r>
          </w:p>
        </w:tc>
        <w:tc>
          <w:tcPr>
            <w:tcW w:w="4127" w:type="dxa"/>
            <w:vAlign w:val="center"/>
          </w:tcPr>
          <w:p>
            <w:pPr>
              <w:jc w:val="left"/>
              <w:rPr>
                <w:rFonts w:hint="eastAsia" w:ascii="宋体" w:hAnsi="宋体" w:eastAsia="宋体" w:cs="仿宋_GB2312"/>
                <w:kern w:val="2"/>
                <w:sz w:val="21"/>
                <w:szCs w:val="21"/>
                <w:highlight w:val="none"/>
                <w:lang w:val="en-US" w:eastAsia="zh-CN" w:bidi="ar-SA"/>
              </w:rPr>
            </w:pPr>
            <w:r>
              <w:rPr>
                <w:rFonts w:hint="eastAsia" w:ascii="宋体" w:hAnsi="宋体" w:cs="仿宋_GB2312"/>
                <w:sz w:val="21"/>
                <w:szCs w:val="21"/>
                <w:highlight w:val="none"/>
                <w:lang w:val="en-US" w:eastAsia="zh-CN"/>
              </w:rPr>
              <w:t>其他需要上报的评审工作材料</w:t>
            </w:r>
          </w:p>
        </w:tc>
        <w:tc>
          <w:tcPr>
            <w:tcW w:w="1174" w:type="dxa"/>
            <w:vAlign w:val="center"/>
          </w:tcPr>
          <w:p>
            <w:pPr>
              <w:jc w:val="center"/>
              <w:rPr>
                <w:rFonts w:hint="eastAsia" w:ascii="宋体" w:hAnsi="宋体" w:eastAsia="宋体" w:cs="仿宋_GB2312"/>
                <w:kern w:val="2"/>
                <w:sz w:val="21"/>
                <w:szCs w:val="21"/>
                <w:highlight w:val="none"/>
                <w:lang w:val="en-US" w:eastAsia="zh-CN" w:bidi="ar-SA"/>
              </w:rPr>
            </w:pPr>
            <w:r>
              <w:rPr>
                <w:rFonts w:hint="eastAsia"/>
                <w:b/>
                <w:sz w:val="21"/>
                <w:szCs w:val="21"/>
                <w:highlight w:val="none"/>
              </w:rPr>
              <w:t>原件</w:t>
            </w:r>
            <w:r>
              <w:rPr>
                <w:rFonts w:hint="eastAsia"/>
                <w:b/>
                <w:sz w:val="21"/>
                <w:szCs w:val="21"/>
                <w:highlight w:val="none"/>
                <w:lang w:val="en-US" w:eastAsia="zh-CN"/>
              </w:rPr>
              <w:t>及</w:t>
            </w:r>
            <w:r>
              <w:rPr>
                <w:rFonts w:hint="eastAsia" w:ascii="宋体" w:hAnsi="宋体" w:cs="宋体"/>
                <w:b/>
                <w:bCs/>
                <w:sz w:val="21"/>
                <w:szCs w:val="21"/>
                <w:highlight w:val="none"/>
                <w:lang w:val="en-US" w:eastAsia="zh-CN"/>
              </w:rPr>
              <w:t>电子扫描件</w:t>
            </w:r>
          </w:p>
        </w:tc>
        <w:tc>
          <w:tcPr>
            <w:tcW w:w="1174" w:type="dxa"/>
            <w:vAlign w:val="center"/>
          </w:tcPr>
          <w:p>
            <w:pPr>
              <w:jc w:val="center"/>
              <w:rPr>
                <w:rFonts w:hint="eastAsia" w:ascii="Times New Roman" w:hAnsi="宋体" w:eastAsia="宋体" w:cs="宋体"/>
                <w:b/>
                <w:bCs/>
                <w:kern w:val="2"/>
                <w:sz w:val="21"/>
                <w:szCs w:val="21"/>
                <w:highlight w:val="none"/>
                <w:lang w:val="en-US" w:eastAsia="zh-CN" w:bidi="ar-SA"/>
              </w:rPr>
            </w:pPr>
            <w:r>
              <w:rPr>
                <w:rFonts w:hint="eastAsia" w:ascii="宋体" w:hAnsi="宋体" w:cs="宋体"/>
                <w:b/>
                <w:bCs/>
                <w:sz w:val="21"/>
                <w:szCs w:val="21"/>
                <w:highlight w:val="none"/>
              </w:rPr>
              <w:t>一份</w:t>
            </w:r>
          </w:p>
        </w:tc>
        <w:tc>
          <w:tcPr>
            <w:tcW w:w="1313" w:type="dxa"/>
            <w:vAlign w:val="center"/>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口是口否</w:t>
            </w:r>
          </w:p>
        </w:tc>
        <w:tc>
          <w:tcPr>
            <w:tcW w:w="799" w:type="dxa"/>
          </w:tcPr>
          <w:p>
            <w:pPr>
              <w:rPr>
                <w:rFonts w:ascii="宋体" w:hAnsi="宋体" w:cs="宋体"/>
                <w:b/>
                <w:bCs/>
                <w:sz w:val="21"/>
                <w:szCs w:val="21"/>
                <w:highlight w:val="none"/>
              </w:rPr>
            </w:pPr>
          </w:p>
        </w:tc>
      </w:tr>
    </w:tbl>
    <w:p>
      <w:pPr>
        <w:jc w:val="right"/>
        <w:rPr>
          <w:rFonts w:ascii="宋体" w:hAnsi="宋体" w:cs="仿宋_GB2312"/>
          <w:bCs/>
          <w:sz w:val="24"/>
          <w:szCs w:val="24"/>
          <w:highlight w:val="none"/>
        </w:rPr>
      </w:pPr>
    </w:p>
    <w:p>
      <w:pPr>
        <w:jc w:val="center"/>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 xml:space="preserve">          </w:t>
      </w:r>
    </w:p>
    <w:p>
      <w:pPr>
        <w:jc w:val="center"/>
        <w:rPr>
          <w:rFonts w:hint="eastAsia" w:ascii="仿宋" w:hAnsi="仿宋" w:eastAsia="仿宋" w:cs="仿宋_GB2312"/>
          <w:sz w:val="30"/>
          <w:szCs w:val="30"/>
          <w:highlight w:val="none"/>
        </w:rPr>
      </w:pPr>
    </w:p>
    <w:p>
      <w:pPr>
        <w:jc w:val="center"/>
        <w:rPr>
          <w:rFonts w:ascii="仿宋" w:hAnsi="仿宋" w:eastAsia="仿宋" w:cs="仿宋_GB2312"/>
          <w:spacing w:val="-20"/>
          <w:szCs w:val="28"/>
          <w:highlight w:val="none"/>
        </w:rPr>
      </w:pPr>
      <w:r>
        <w:rPr>
          <w:rFonts w:hint="eastAsia" w:ascii="仿宋" w:hAnsi="仿宋" w:eastAsia="仿宋" w:cs="仿宋_GB2312"/>
          <w:sz w:val="30"/>
          <w:szCs w:val="30"/>
          <w:highlight w:val="none"/>
          <w:lang w:val="en-US" w:eastAsia="zh-CN"/>
        </w:rPr>
        <w:t xml:space="preserve">         </w:t>
      </w:r>
      <w:r>
        <w:rPr>
          <w:rFonts w:hint="eastAsia" w:ascii="仿宋" w:hAnsi="仿宋" w:eastAsia="仿宋" w:cs="仿宋_GB2312"/>
          <w:sz w:val="30"/>
          <w:szCs w:val="30"/>
          <w:highlight w:val="none"/>
        </w:rPr>
        <w:t xml:space="preserve">   </w:t>
      </w:r>
      <w:r>
        <w:rPr>
          <w:rFonts w:hint="eastAsia" w:ascii="仿宋" w:hAnsi="仿宋" w:eastAsia="仿宋" w:cs="仿宋_GB2312"/>
          <w:szCs w:val="28"/>
          <w:highlight w:val="none"/>
        </w:rPr>
        <w:t xml:space="preserve"> </w:t>
      </w:r>
      <w:r>
        <w:rPr>
          <w:rFonts w:hint="eastAsia" w:ascii="仿宋" w:hAnsi="仿宋" w:eastAsia="仿宋" w:cs="仿宋_GB2312"/>
          <w:szCs w:val="28"/>
          <w:highlight w:val="none"/>
          <w:lang w:val="en-US" w:eastAsia="zh-CN"/>
        </w:rPr>
        <w:t>评审</w:t>
      </w:r>
      <w:r>
        <w:rPr>
          <w:rFonts w:hint="eastAsia" w:ascii="仿宋" w:hAnsi="仿宋" w:eastAsia="仿宋" w:cs="仿宋_GB2312"/>
          <w:szCs w:val="28"/>
          <w:highlight w:val="none"/>
        </w:rPr>
        <w:t>组长</w:t>
      </w:r>
      <w:r>
        <w:rPr>
          <w:rFonts w:hint="eastAsia" w:ascii="仿宋" w:hAnsi="仿宋" w:eastAsia="仿宋" w:cs="仿宋_GB2312"/>
          <w:spacing w:val="-20"/>
          <w:szCs w:val="28"/>
          <w:highlight w:val="none"/>
        </w:rPr>
        <w:t>：</w:t>
      </w:r>
    </w:p>
    <w:p>
      <w:pPr>
        <w:jc w:val="center"/>
        <w:rPr>
          <w:rFonts w:ascii="仿宋" w:hAnsi="仿宋" w:eastAsia="仿宋" w:cs="仿宋_GB2312"/>
          <w:spacing w:val="-20"/>
          <w:sz w:val="18"/>
          <w:szCs w:val="18"/>
          <w:highlight w:val="none"/>
        </w:rPr>
      </w:pPr>
    </w:p>
    <w:p>
      <w:pPr>
        <w:jc w:val="center"/>
        <w:rPr>
          <w:highlight w:val="none"/>
        </w:rPr>
      </w:pPr>
      <w:r>
        <w:rPr>
          <w:rFonts w:hint="eastAsia" w:ascii="仿宋" w:hAnsi="仿宋" w:eastAsia="仿宋" w:cs="仿宋_GB2312"/>
          <w:spacing w:val="-20"/>
          <w:szCs w:val="28"/>
          <w:highlight w:val="none"/>
        </w:rPr>
        <w:t xml:space="preserve">                                     日   期：   </w:t>
      </w:r>
      <w:r>
        <w:rPr>
          <w:rFonts w:hint="eastAsia" w:ascii="仿宋" w:hAnsi="仿宋" w:eastAsia="仿宋" w:cs="仿宋_GB2312"/>
          <w:spacing w:val="-20"/>
          <w:szCs w:val="28"/>
          <w:highlight w:val="none"/>
          <w:lang w:val="en-US" w:eastAsia="zh-CN"/>
        </w:rPr>
        <w:t xml:space="preserve"> </w:t>
      </w:r>
      <w:r>
        <w:rPr>
          <w:rFonts w:hint="eastAsia" w:ascii="仿宋" w:hAnsi="仿宋" w:eastAsia="仿宋" w:cs="仿宋_GB2312"/>
          <w:spacing w:val="-20"/>
          <w:szCs w:val="28"/>
          <w:highlight w:val="none"/>
        </w:rPr>
        <w:t xml:space="preserve">  年    月    日</w:t>
      </w:r>
    </w:p>
    <w:p>
      <w:pPr>
        <w:pStyle w:val="2"/>
        <w:rPr>
          <w:highlight w:val="none"/>
        </w:rPr>
      </w:pP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pStyle w:val="12"/>
        <w:shd w:val="clear" w:color="auto" w:fill="FFFFFF"/>
        <w:spacing w:before="0" w:beforeAutospacing="0" w:after="0" w:afterAutospacing="0" w:line="540" w:lineRule="exact"/>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9</w:t>
      </w: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tabs>
          <w:tab w:val="left" w:leader="underscore" w:pos="7980"/>
        </w:tabs>
        <w:spacing w:before="0" w:beforeAutospacing="0" w:after="0" w:afterAutospacing="0" w:line="360" w:lineRule="auto"/>
        <w:ind w:left="420"/>
        <w:jc w:val="center"/>
        <w:rPr>
          <w:rFonts w:hint="eastAsia" w:ascii="方正小标宋简体" w:hAnsi="方正小标宋简体" w:eastAsia="方正小标宋简体" w:cs="方正小标宋简体"/>
          <w:kern w:val="0"/>
          <w:sz w:val="44"/>
          <w:szCs w:val="44"/>
          <w:highlight w:val="none"/>
          <w:lang w:val="en-US" w:eastAsia="zh-CN" w:bidi="ar-SA"/>
        </w:rPr>
      </w:pPr>
      <w:r>
        <w:rPr>
          <w:rFonts w:hint="eastAsia" w:ascii="方正小标宋简体" w:hAnsi="方正小标宋简体" w:eastAsia="方正小标宋简体" w:cs="方正小标宋简体"/>
          <w:kern w:val="0"/>
          <w:sz w:val="44"/>
          <w:szCs w:val="44"/>
          <w:highlight w:val="none"/>
          <w:lang w:val="en-US" w:eastAsia="zh-CN" w:bidi="ar-SA"/>
        </w:rPr>
        <w:t>广东省建设工程质量检测机构资质</w:t>
      </w:r>
    </w:p>
    <w:p>
      <w:pPr>
        <w:pStyle w:val="12"/>
        <w:shd w:val="clear" w:color="auto" w:fill="FFFFFF"/>
        <w:spacing w:before="0" w:beforeAutospacing="0" w:after="0" w:afterAutospacing="0" w:line="360" w:lineRule="auto"/>
        <w:ind w:left="420"/>
        <w:jc w:val="center"/>
        <w:rPr>
          <w:rFonts w:hint="eastAsia" w:ascii="方正小标宋简体" w:hAnsi="方正小标宋简体" w:eastAsia="方正小标宋简体" w:cs="方正小标宋简体"/>
          <w:kern w:val="0"/>
          <w:sz w:val="44"/>
          <w:szCs w:val="44"/>
          <w:highlight w:val="none"/>
          <w:lang w:val="en-US" w:eastAsia="zh-CN" w:bidi="ar-SA"/>
        </w:rPr>
      </w:pPr>
      <w:r>
        <w:rPr>
          <w:rFonts w:hint="eastAsia" w:ascii="方正小标宋简体" w:hAnsi="方正小标宋简体" w:eastAsia="方正小标宋简体" w:cs="方正小标宋简体"/>
          <w:kern w:val="0"/>
          <w:sz w:val="44"/>
          <w:szCs w:val="44"/>
          <w:highlight w:val="none"/>
          <w:lang w:val="en-US" w:eastAsia="zh-CN" w:bidi="ar-SA"/>
        </w:rPr>
        <w:t>评 审 报 告</w:t>
      </w: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spacing w:before="0" w:beforeAutospacing="0" w:after="0" w:afterAutospacing="0" w:line="540" w:lineRule="exact"/>
        <w:ind w:left="420"/>
        <w:jc w:val="center"/>
        <w:rPr>
          <w:rFonts w:ascii="Times New Roman" w:hAnsi="Times New Roman" w:eastAsia="微软雅黑" w:cs="Times New Roman"/>
          <w:color w:val="auto"/>
          <w:sz w:val="44"/>
          <w:szCs w:val="44"/>
          <w:highlight w:val="none"/>
        </w:rPr>
      </w:pPr>
    </w:p>
    <w:p>
      <w:pPr>
        <w:pStyle w:val="12"/>
        <w:shd w:val="clear" w:color="auto" w:fill="FFFFFF"/>
        <w:tabs>
          <w:tab w:val="left" w:leader="underscore" w:pos="7980"/>
        </w:tabs>
        <w:spacing w:before="0" w:beforeAutospacing="0" w:after="0" w:afterAutospacing="0" w:line="480" w:lineRule="auto"/>
        <w:ind w:left="420" w:firstLine="320" w:firstLineChars="1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检测机构名称：</w:t>
      </w:r>
      <w:r>
        <w:rPr>
          <w:rFonts w:ascii="Times New Roman" w:hAnsi="Times New Roman" w:eastAsia="黑体" w:cs="Times New Roman"/>
          <w:color w:val="auto"/>
          <w:sz w:val="32"/>
          <w:szCs w:val="32"/>
          <w:highlight w:val="none"/>
        </w:rPr>
        <w:tab/>
      </w:r>
    </w:p>
    <w:p>
      <w:pPr>
        <w:pStyle w:val="12"/>
        <w:shd w:val="clear" w:color="auto" w:fill="FFFFFF"/>
        <w:tabs>
          <w:tab w:val="left" w:leader="underscore" w:pos="7980"/>
        </w:tabs>
        <w:spacing w:before="0" w:beforeAutospacing="0" w:after="0" w:afterAutospacing="0" w:line="480" w:lineRule="auto"/>
        <w:ind w:left="420" w:firstLine="320" w:firstLineChars="100"/>
        <w:jc w:val="both"/>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评 审 组</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黑体" w:cs="Times New Roman"/>
          <w:color w:val="auto"/>
          <w:sz w:val="32"/>
          <w:szCs w:val="32"/>
          <w:highlight w:val="none"/>
        </w:rPr>
        <w:t>成</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黑体" w:cs="Times New Roman"/>
          <w:color w:val="auto"/>
          <w:sz w:val="32"/>
          <w:szCs w:val="32"/>
          <w:highlight w:val="none"/>
        </w:rPr>
        <w:t>员：</w:t>
      </w:r>
      <w:r>
        <w:rPr>
          <w:rFonts w:hint="eastAsia" w:ascii="Times New Roman" w:hAnsi="Times New Roman" w:eastAsia="黑体" w:cs="Times New Roman"/>
          <w:color w:val="auto"/>
          <w:sz w:val="32"/>
          <w:szCs w:val="32"/>
          <w:highlight w:val="none"/>
        </w:rPr>
        <w:tab/>
      </w:r>
    </w:p>
    <w:p>
      <w:pPr>
        <w:pStyle w:val="12"/>
        <w:shd w:val="clear" w:color="auto" w:fill="FFFFFF"/>
        <w:tabs>
          <w:tab w:val="left" w:leader="underscore" w:pos="7980"/>
        </w:tabs>
        <w:spacing w:before="0" w:beforeAutospacing="0" w:after="0" w:afterAutospacing="0" w:line="480" w:lineRule="auto"/>
        <w:ind w:left="420" w:firstLine="320" w:firstLineChars="100"/>
        <w:jc w:val="both"/>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监</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黑体" w:cs="Times New Roman"/>
          <w:color w:val="auto"/>
          <w:sz w:val="32"/>
          <w:szCs w:val="32"/>
          <w:highlight w:val="none"/>
          <w:lang w:eastAsia="zh-CN"/>
        </w:rPr>
        <w:t>督</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黑体" w:cs="Times New Roman"/>
          <w:color w:val="auto"/>
          <w:sz w:val="32"/>
          <w:szCs w:val="32"/>
          <w:highlight w:val="none"/>
          <w:lang w:eastAsia="zh-CN"/>
        </w:rPr>
        <w:t>员</w:t>
      </w:r>
      <w:r>
        <w:rPr>
          <w:rFonts w:hint="eastAsia"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rPr>
        <w:tab/>
      </w:r>
    </w:p>
    <w:p>
      <w:pPr>
        <w:pStyle w:val="12"/>
        <w:shd w:val="clear" w:color="auto" w:fill="FFFFFF"/>
        <w:spacing w:before="0" w:beforeAutospacing="0" w:after="0" w:afterAutospacing="0" w:line="480" w:lineRule="auto"/>
        <w:ind w:left="420" w:firstLine="320" w:firstLineChars="10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评</w:t>
      </w:r>
      <w:r>
        <w:rPr>
          <w:rFonts w:hint="eastAsia" w:ascii="Times New Roman" w:hAnsi="Times New Roman" w:eastAsia="黑体" w:cs="Times New Roman"/>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审</w:t>
      </w:r>
      <w:r>
        <w:rPr>
          <w:rFonts w:hint="eastAsia" w:ascii="Times New Roman" w:hAnsi="Times New Roman" w:eastAsia="黑体" w:cs="Times New Roman"/>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时</w:t>
      </w:r>
      <w:r>
        <w:rPr>
          <w:rFonts w:hint="eastAsia" w:ascii="Times New Roman" w:hAnsi="Times New Roman" w:eastAsia="黑体" w:cs="Times New Roman"/>
          <w:color w:val="auto"/>
          <w:sz w:val="32"/>
          <w:szCs w:val="32"/>
          <w:highlight w:val="none"/>
          <w:lang w:val="en-US" w:eastAsia="zh-CN"/>
        </w:rPr>
        <w:t xml:space="preserve">  </w:t>
      </w:r>
      <w:r>
        <w:rPr>
          <w:rFonts w:ascii="Times New Roman" w:hAnsi="Times New Roman" w:eastAsia="黑体" w:cs="Times New Roman"/>
          <w:color w:val="auto"/>
          <w:sz w:val="32"/>
          <w:szCs w:val="32"/>
          <w:highlight w:val="none"/>
        </w:rPr>
        <w:t>间：　　　年　月　日~　　　年　月　日</w:t>
      </w:r>
    </w:p>
    <w:p>
      <w:pPr>
        <w:pStyle w:val="12"/>
        <w:shd w:val="clear" w:color="auto" w:fill="FFFFFF"/>
        <w:tabs>
          <w:tab w:val="left" w:leader="underscore" w:pos="7980"/>
        </w:tabs>
        <w:spacing w:before="0" w:beforeAutospacing="0" w:after="0" w:afterAutospacing="0" w:line="480" w:lineRule="auto"/>
        <w:ind w:left="420" w:firstLine="320" w:firstLineChars="100"/>
        <w:jc w:val="both"/>
        <w:rPr>
          <w:rFonts w:ascii="Times New Roman" w:hAnsi="Times New Roman" w:eastAsia="黑体" w:cs="Times New Roman"/>
          <w:color w:val="auto"/>
          <w:sz w:val="32"/>
          <w:szCs w:val="32"/>
          <w:highlight w:val="none"/>
        </w:rPr>
      </w:pPr>
    </w:p>
    <w:p>
      <w:pPr>
        <w:pStyle w:val="12"/>
        <w:shd w:val="clear" w:color="auto" w:fill="FFFFFF"/>
        <w:spacing w:before="0" w:beforeAutospacing="0" w:after="0" w:afterAutospacing="0" w:line="360" w:lineRule="auto"/>
        <w:ind w:left="420" w:firstLine="320" w:firstLineChars="100"/>
        <w:rPr>
          <w:rFonts w:ascii="Times New Roman" w:hAnsi="Times New Roman" w:eastAsia="黑体" w:cs="Times New Roman"/>
          <w:color w:val="auto"/>
          <w:sz w:val="32"/>
          <w:szCs w:val="32"/>
          <w:highlight w:val="none"/>
        </w:rPr>
      </w:pPr>
    </w:p>
    <w:p>
      <w:pPr>
        <w:pStyle w:val="12"/>
        <w:shd w:val="clear" w:color="auto" w:fill="FFFFFF"/>
        <w:spacing w:before="0" w:beforeAutospacing="0" w:after="0" w:afterAutospacing="0" w:line="360" w:lineRule="auto"/>
        <w:ind w:left="420" w:firstLine="320" w:firstLineChars="100"/>
        <w:jc w:val="center"/>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广东</w:t>
      </w:r>
      <w:r>
        <w:rPr>
          <w:rFonts w:ascii="Times New Roman" w:hAnsi="Times New Roman" w:eastAsia="黑体" w:cs="Times New Roman"/>
          <w:color w:val="auto"/>
          <w:sz w:val="32"/>
          <w:szCs w:val="32"/>
          <w:highlight w:val="none"/>
        </w:rPr>
        <w:t>省住房和城乡建设制</w:t>
      </w:r>
    </w:p>
    <w:p>
      <w:pPr>
        <w:pStyle w:val="9"/>
        <w:ind w:left="420"/>
        <w:rPr>
          <w:color w:val="auto"/>
          <w:highlight w:val="none"/>
        </w:rPr>
      </w:pPr>
    </w:p>
    <w:p>
      <w:pPr>
        <w:rPr>
          <w:rFonts w:ascii="仿宋" w:hAnsi="仿宋" w:eastAsia="仿宋"/>
          <w:color w:val="auto"/>
          <w:sz w:val="32"/>
          <w:szCs w:val="32"/>
          <w:highlight w:val="none"/>
        </w:rPr>
      </w:pPr>
      <w:r>
        <w:rPr>
          <w:rFonts w:ascii="仿宋" w:hAnsi="仿宋" w:eastAsia="仿宋"/>
          <w:color w:val="auto"/>
          <w:sz w:val="32"/>
          <w:szCs w:val="32"/>
          <w:highlight w:val="none"/>
        </w:rPr>
        <w:br w:type="page"/>
      </w:r>
    </w:p>
    <w:tbl>
      <w:tblPr>
        <w:tblStyle w:val="14"/>
        <w:tblpPr w:leftFromText="180" w:rightFromText="180" w:vertAnchor="text" w:horzAnchor="page" w:tblpXSpec="center" w:tblpY="7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5" w:type="dxa"/>
          </w:tcPr>
          <w:p>
            <w:pPr>
              <w:spacing w:line="360" w:lineRule="auto"/>
              <w:jc w:val="center"/>
              <w:rPr>
                <w:rFonts w:eastAsia="仿宋_GB2312"/>
                <w:b/>
                <w:color w:val="auto"/>
                <w:sz w:val="32"/>
                <w:highlight w:val="none"/>
              </w:rPr>
            </w:pPr>
          </w:p>
          <w:p>
            <w:pPr>
              <w:spacing w:line="360" w:lineRule="auto"/>
              <w:jc w:val="center"/>
              <w:rPr>
                <w:rFonts w:eastAsia="仿宋_GB2312"/>
                <w:b/>
                <w:color w:val="auto"/>
                <w:sz w:val="28"/>
                <w:highlight w:val="none"/>
              </w:rPr>
            </w:pPr>
          </w:p>
          <w:p>
            <w:pPr>
              <w:spacing w:line="360" w:lineRule="auto"/>
              <w:jc w:val="center"/>
              <w:rPr>
                <w:rFonts w:hint="eastAsia" w:ascii="仿宋_GB2312" w:hAnsi="仿宋_GB2312" w:eastAsia="仿宋_GB2312" w:cs="仿宋_GB2312"/>
                <w:b/>
                <w:color w:val="auto"/>
                <w:sz w:val="44"/>
                <w:highlight w:val="none"/>
              </w:rPr>
            </w:pPr>
            <w:r>
              <w:rPr>
                <w:rFonts w:hint="eastAsia" w:ascii="仿宋_GB2312" w:hAnsi="仿宋_GB2312" w:eastAsia="仿宋_GB2312" w:cs="仿宋_GB2312"/>
                <w:b/>
                <w:color w:val="auto"/>
                <w:sz w:val="44"/>
                <w:highlight w:val="none"/>
              </w:rPr>
              <w:t>填  表  说  明</w:t>
            </w:r>
          </w:p>
          <w:p>
            <w:pPr>
              <w:spacing w:line="360" w:lineRule="auto"/>
              <w:jc w:val="center"/>
              <w:rPr>
                <w:rFonts w:ascii="仿宋_GB2312" w:hAnsi="仿宋" w:eastAsia="仿宋_GB2312"/>
                <w:b/>
                <w:color w:val="auto"/>
                <w:sz w:val="32"/>
                <w:highlight w:val="none"/>
              </w:rPr>
            </w:pPr>
          </w:p>
          <w:p>
            <w:pPr>
              <w:spacing w:line="360" w:lineRule="auto"/>
              <w:ind w:firstLine="640" w:firstLineChars="200"/>
              <w:rPr>
                <w:rFonts w:ascii="仿宋_GB2312" w:hAnsi="仿宋" w:eastAsia="仿宋_GB2312"/>
                <w:color w:val="auto"/>
                <w:sz w:val="32"/>
                <w:highlight w:val="none"/>
              </w:rPr>
            </w:pPr>
            <w:r>
              <w:rPr>
                <w:rFonts w:hint="eastAsia" w:ascii="仿宋_GB2312" w:hAnsi="仿宋" w:eastAsia="仿宋_GB2312"/>
                <w:color w:val="auto"/>
                <w:sz w:val="32"/>
                <w:highlight w:val="none"/>
              </w:rPr>
              <w:t>一、本报告用于建设工程质量检测机构资质专家评审；</w:t>
            </w:r>
          </w:p>
          <w:p>
            <w:pPr>
              <w:pStyle w:val="9"/>
              <w:spacing w:after="0" w:line="360" w:lineRule="auto"/>
              <w:ind w:left="0" w:leftChars="0" w:firstLine="640" w:firstLineChars="200"/>
              <w:rPr>
                <w:rFonts w:ascii="仿宋_GB2312" w:hAnsi="仿宋" w:eastAsia="仿宋_GB2312"/>
                <w:color w:val="auto"/>
                <w:sz w:val="32"/>
                <w:highlight w:val="none"/>
              </w:rPr>
            </w:pPr>
            <w:r>
              <w:rPr>
                <w:rFonts w:hint="eastAsia" w:ascii="仿宋_GB2312" w:hAnsi="仿宋" w:eastAsia="仿宋_GB2312"/>
                <w:color w:val="auto"/>
                <w:sz w:val="32"/>
                <w:highlight w:val="none"/>
              </w:rPr>
              <w:t>二、本报告有印章和签字页的须为原件；</w:t>
            </w:r>
          </w:p>
          <w:p>
            <w:pPr>
              <w:pStyle w:val="9"/>
              <w:spacing w:after="0" w:line="360" w:lineRule="auto"/>
              <w:ind w:left="0" w:leftChars="0" w:firstLine="616" w:firstLineChars="200"/>
              <w:rPr>
                <w:rFonts w:ascii="仿宋_GB2312" w:hAnsi="仿宋" w:eastAsia="仿宋_GB2312"/>
                <w:color w:val="auto"/>
                <w:sz w:val="32"/>
                <w:highlight w:val="none"/>
              </w:rPr>
            </w:pPr>
            <w:r>
              <w:rPr>
                <w:rFonts w:hint="eastAsia" w:ascii="仿宋_GB2312" w:hAnsi="仿宋" w:eastAsia="仿宋_GB2312"/>
                <w:color w:val="auto"/>
                <w:spacing w:val="4"/>
                <w:kern w:val="0"/>
                <w:sz w:val="30"/>
                <w:highlight w:val="none"/>
              </w:rPr>
              <w:t>三、本报告的表格填报页数不够时，可用A4（</w:t>
            </w:r>
            <w:r>
              <w:rPr>
                <w:rFonts w:hint="eastAsia" w:ascii="仿宋_GB2312" w:hAnsi="仿宋" w:eastAsia="仿宋_GB2312"/>
                <w:color w:val="auto"/>
                <w:sz w:val="32"/>
                <w:highlight w:val="none"/>
              </w:rPr>
              <w:t>（210mm×297mm）</w:t>
            </w:r>
            <w:r>
              <w:rPr>
                <w:rFonts w:hint="eastAsia" w:ascii="仿宋_GB2312" w:hAnsi="仿宋" w:eastAsia="仿宋_GB2312"/>
                <w:color w:val="auto"/>
                <w:spacing w:val="4"/>
                <w:kern w:val="0"/>
                <w:sz w:val="30"/>
                <w:highlight w:val="none"/>
              </w:rPr>
              <w:t>）纸附页，但须同正页格式一致；</w:t>
            </w:r>
          </w:p>
          <w:p>
            <w:pPr>
              <w:spacing w:line="360" w:lineRule="auto"/>
              <w:ind w:firstLine="640" w:firstLineChars="200"/>
              <w:rPr>
                <w:rFonts w:ascii="仿宋_GB2312" w:hAnsi="仿宋" w:eastAsia="仿宋_GB2312"/>
                <w:color w:val="auto"/>
                <w:sz w:val="32"/>
                <w:highlight w:val="none"/>
              </w:rPr>
            </w:pPr>
            <w:r>
              <w:rPr>
                <w:rFonts w:hint="eastAsia" w:ascii="仿宋_GB2312" w:hAnsi="仿宋" w:eastAsia="仿宋_GB2312"/>
                <w:color w:val="auto"/>
                <w:sz w:val="32"/>
                <w:highlight w:val="none"/>
              </w:rPr>
              <w:t>四、本表应使用</w:t>
            </w:r>
            <w:r>
              <w:rPr>
                <w:rFonts w:hint="eastAsia" w:ascii="仿宋_GB2312" w:hAnsi="仿宋" w:eastAsia="仿宋_GB2312"/>
                <w:color w:val="auto"/>
                <w:sz w:val="32"/>
                <w:highlight w:val="none"/>
                <w:lang w:val="en-US" w:eastAsia="zh-CN"/>
              </w:rPr>
              <w:t>黑色</w:t>
            </w:r>
            <w:r>
              <w:rPr>
                <w:rFonts w:hint="eastAsia" w:ascii="仿宋_GB2312" w:hAnsi="仿宋" w:eastAsia="仿宋_GB2312"/>
                <w:color w:val="auto"/>
                <w:sz w:val="32"/>
                <w:highlight w:val="none"/>
              </w:rPr>
              <w:t>笔填写，或使用计算机打印，要求字迹工整，清晰，不得涂改；</w:t>
            </w:r>
          </w:p>
          <w:p>
            <w:pPr>
              <w:spacing w:line="360" w:lineRule="auto"/>
              <w:ind w:firstLine="640" w:firstLineChars="200"/>
              <w:rPr>
                <w:rFonts w:hint="eastAsia" w:ascii="仿宋_GB2312" w:hAnsi="仿宋" w:eastAsia="仿宋_GB2312"/>
                <w:color w:val="auto"/>
                <w:sz w:val="32"/>
                <w:highlight w:val="none"/>
              </w:rPr>
            </w:pPr>
            <w:r>
              <w:rPr>
                <w:rFonts w:hint="eastAsia" w:ascii="仿宋_GB2312" w:hAnsi="仿宋" w:eastAsia="仿宋_GB2312"/>
                <w:color w:val="auto"/>
                <w:sz w:val="32"/>
                <w:highlight w:val="none"/>
              </w:rPr>
              <w:t>五、本表数字均使用阿拉伯数字；</w:t>
            </w:r>
          </w:p>
          <w:p>
            <w:pPr>
              <w:autoSpaceDE w:val="0"/>
              <w:autoSpaceDN w:val="0"/>
              <w:snapToGrid w:val="0"/>
              <w:spacing w:line="360" w:lineRule="auto"/>
              <w:ind w:firstLine="640" w:firstLineChars="200"/>
              <w:rPr>
                <w:rFonts w:ascii="仿宋_GB2312" w:hAnsi="仿宋" w:eastAsia="仿宋_GB2312"/>
                <w:color w:val="auto"/>
                <w:sz w:val="32"/>
                <w:highlight w:val="none"/>
              </w:rPr>
            </w:pPr>
            <w:r>
              <w:rPr>
                <w:rFonts w:hint="eastAsia" w:ascii="仿宋_GB2312" w:hAnsi="仿宋" w:eastAsia="仿宋_GB2312"/>
                <w:color w:val="auto"/>
                <w:sz w:val="32"/>
                <w:highlight w:val="none"/>
                <w:lang w:val="en-US" w:eastAsia="zh-CN"/>
              </w:rPr>
              <w:t>六、</w:t>
            </w:r>
            <w:r>
              <w:rPr>
                <w:rFonts w:hint="eastAsia" w:ascii="仿宋_GB2312" w:hAnsi="仿宋" w:eastAsia="仿宋_GB2312"/>
                <w:color w:val="auto"/>
                <w:sz w:val="32"/>
                <w:highlight w:val="none"/>
              </w:rPr>
              <w:t>本报告须经评审组全体成员签字有效。</w:t>
            </w:r>
          </w:p>
          <w:p>
            <w:pPr>
              <w:pStyle w:val="9"/>
              <w:ind w:left="0" w:leftChars="0"/>
              <w:jc w:val="center"/>
              <w:rPr>
                <w:rFonts w:ascii="仿宋" w:hAnsi="仿宋" w:eastAsia="仿宋"/>
                <w:color w:val="auto"/>
                <w:sz w:val="32"/>
                <w:highlight w:val="none"/>
              </w:rPr>
            </w:pPr>
          </w:p>
          <w:p>
            <w:pPr>
              <w:spacing w:line="360" w:lineRule="auto"/>
              <w:jc w:val="center"/>
              <w:rPr>
                <w:rFonts w:ascii="仿宋" w:hAnsi="仿宋" w:eastAsia="仿宋"/>
                <w:color w:val="auto"/>
                <w:sz w:val="32"/>
                <w:highlight w:val="none"/>
              </w:rPr>
            </w:pPr>
          </w:p>
          <w:p>
            <w:pPr>
              <w:spacing w:line="360" w:lineRule="auto"/>
              <w:jc w:val="center"/>
              <w:rPr>
                <w:rFonts w:ascii="仿宋" w:hAnsi="仿宋" w:eastAsia="仿宋"/>
                <w:color w:val="auto"/>
                <w:sz w:val="32"/>
                <w:highlight w:val="none"/>
              </w:rPr>
            </w:pPr>
          </w:p>
          <w:p>
            <w:pPr>
              <w:spacing w:line="360" w:lineRule="auto"/>
              <w:jc w:val="center"/>
              <w:rPr>
                <w:rFonts w:ascii="仿宋" w:hAnsi="仿宋" w:eastAsia="仿宋"/>
                <w:color w:val="auto"/>
                <w:sz w:val="32"/>
                <w:highlight w:val="none"/>
              </w:rPr>
            </w:pPr>
          </w:p>
          <w:p>
            <w:pPr>
              <w:spacing w:line="360" w:lineRule="auto"/>
              <w:jc w:val="center"/>
              <w:rPr>
                <w:rFonts w:ascii="仿宋" w:hAnsi="仿宋" w:eastAsia="仿宋"/>
                <w:color w:val="auto"/>
                <w:sz w:val="32"/>
                <w:highlight w:val="none"/>
              </w:rPr>
            </w:pPr>
          </w:p>
          <w:p>
            <w:pPr>
              <w:spacing w:line="360" w:lineRule="auto"/>
              <w:jc w:val="center"/>
              <w:rPr>
                <w:rFonts w:ascii="仿宋" w:hAnsi="仿宋" w:eastAsia="仿宋"/>
                <w:color w:val="auto"/>
                <w:sz w:val="32"/>
                <w:highlight w:val="none"/>
              </w:rPr>
            </w:pPr>
          </w:p>
          <w:p>
            <w:pPr>
              <w:spacing w:line="360" w:lineRule="auto"/>
              <w:rPr>
                <w:rFonts w:ascii="仿宋" w:hAnsi="仿宋" w:eastAsia="仿宋"/>
                <w:color w:val="auto"/>
                <w:sz w:val="32"/>
                <w:highlight w:val="none"/>
              </w:rPr>
            </w:pPr>
          </w:p>
          <w:p>
            <w:pPr>
              <w:spacing w:line="360" w:lineRule="auto"/>
              <w:rPr>
                <w:rFonts w:eastAsia="仿宋_GB2312"/>
                <w:color w:val="auto"/>
                <w:sz w:val="32"/>
                <w:highlight w:val="none"/>
              </w:rPr>
            </w:pPr>
          </w:p>
        </w:tc>
      </w:tr>
    </w:tbl>
    <w:p>
      <w:pPr>
        <w:rPr>
          <w:color w:val="auto"/>
          <w:highlight w:val="none"/>
        </w:rPr>
      </w:pPr>
      <w:r>
        <w:rPr>
          <w:color w:val="auto"/>
          <w:highlight w:val="none"/>
        </w:rPr>
        <w:br w:type="page"/>
      </w:r>
    </w:p>
    <w:p>
      <w:pPr>
        <w:pStyle w:val="12"/>
        <w:shd w:val="clear" w:color="auto" w:fill="FFFFFF"/>
        <w:tabs>
          <w:tab w:val="left" w:leader="underscore" w:pos="7980"/>
        </w:tabs>
        <w:spacing w:before="0" w:beforeAutospacing="0" w:after="0" w:afterAutospacing="0" w:line="360" w:lineRule="auto"/>
        <w:ind w:left="420"/>
        <w:jc w:val="center"/>
        <w:rPr>
          <w:rFonts w:ascii="Times New Roman" w:hAnsi="Times New Roman" w:eastAsia="微软雅黑" w:cs="Times New Roman"/>
          <w:color w:val="auto"/>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bidi="ar-SA"/>
        </w:rPr>
        <w:t>建设工程质量检测机构资质评审报告</w:t>
      </w:r>
    </w:p>
    <w:p>
      <w:pPr>
        <w:pStyle w:val="12"/>
        <w:shd w:val="clear" w:color="auto" w:fill="FFFFFF"/>
        <w:tabs>
          <w:tab w:val="left" w:leader="underscore" w:pos="7980"/>
        </w:tabs>
        <w:spacing w:before="0" w:beforeAutospacing="0" w:after="0" w:afterAutospacing="0" w:line="360" w:lineRule="auto"/>
        <w:ind w:left="420"/>
        <w:jc w:val="center"/>
        <w:rPr>
          <w:rFonts w:ascii="Times New Roman" w:hAnsi="Times New Roman" w:eastAsia="微软雅黑" w:cs="Times New Roman"/>
          <w:color w:val="auto"/>
          <w:sz w:val="44"/>
          <w:szCs w:val="44"/>
          <w:highlight w:val="none"/>
        </w:rPr>
      </w:pPr>
    </w:p>
    <w:p>
      <w:pPr>
        <w:pStyle w:val="12"/>
        <w:keepNext w:val="0"/>
        <w:keepLines w:val="0"/>
        <w:pageBreakBefore w:val="0"/>
        <w:shd w:val="clear" w:color="auto" w:fill="FFFFFF"/>
        <w:tabs>
          <w:tab w:val="left" w:leader="underscore" w:pos="7980"/>
        </w:tabs>
        <w:kinsoku/>
        <w:wordWrap/>
        <w:overflowPunct/>
        <w:topLinePunct w:val="0"/>
        <w:bidi w:val="0"/>
        <w:adjustRightInd/>
        <w:snapToGrid/>
        <w:spacing w:before="0" w:beforeAutospacing="0" w:after="0" w:afterAutospacing="0" w:line="560" w:lineRule="exact"/>
        <w:jc w:val="left"/>
        <w:textAlignment w:val="auto"/>
        <w:rPr>
          <w:rFonts w:hint="eastAsia" w:ascii="仿宋_GB2312" w:hAnsi="仿宋_GB2312" w:eastAsia="仿宋_GB2312" w:cs="仿宋_GB2312"/>
          <w:b/>
          <w:bCs/>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检测机构基本情况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pacing w:val="20"/>
          <w:sz w:val="32"/>
          <w:szCs w:val="32"/>
          <w:highlight w:val="none"/>
          <w:u w:val="single"/>
        </w:rPr>
      </w:pPr>
      <w:r>
        <w:rPr>
          <w:rFonts w:hint="eastAsia" w:ascii="仿宋_GB2312" w:hAnsi="仿宋_GB2312" w:eastAsia="仿宋_GB2312" w:cs="仿宋_GB2312"/>
          <w:b w:val="0"/>
          <w:bCs w:val="0"/>
          <w:spacing w:val="20"/>
          <w:sz w:val="32"/>
          <w:szCs w:val="32"/>
          <w:highlight w:val="none"/>
        </w:rPr>
        <w:t>检测机构名称：</w:t>
      </w:r>
      <w:r>
        <w:rPr>
          <w:rFonts w:hint="eastAsia" w:ascii="仿宋_GB2312" w:hAnsi="仿宋_GB2312" w:eastAsia="仿宋_GB2312" w:cs="仿宋_GB2312"/>
          <w:b w:val="0"/>
          <w:bCs w:val="0"/>
          <w:spacing w:val="20"/>
          <w:sz w:val="32"/>
          <w:szCs w:val="32"/>
          <w:highlight w:val="none"/>
          <w:u w:val="single"/>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pacing w:val="20"/>
          <w:sz w:val="32"/>
          <w:szCs w:val="32"/>
          <w:highlight w:val="none"/>
          <w:u w:val="single"/>
        </w:rPr>
      </w:pPr>
      <w:r>
        <w:rPr>
          <w:rFonts w:hint="eastAsia" w:ascii="仿宋_GB2312" w:hAnsi="仿宋_GB2312" w:eastAsia="仿宋_GB2312" w:cs="仿宋_GB2312"/>
          <w:b w:val="0"/>
          <w:bCs w:val="0"/>
          <w:spacing w:val="20"/>
          <w:sz w:val="32"/>
          <w:szCs w:val="32"/>
          <w:highlight w:val="none"/>
        </w:rPr>
        <w:t>注</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册</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地</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址：</w:t>
      </w:r>
      <w:r>
        <w:rPr>
          <w:rFonts w:hint="eastAsia" w:ascii="仿宋_GB2312" w:hAnsi="仿宋_GB2312" w:eastAsia="仿宋_GB2312" w:cs="仿宋_GB2312"/>
          <w:b w:val="0"/>
          <w:bCs w:val="0"/>
          <w:spacing w:val="20"/>
          <w:sz w:val="32"/>
          <w:szCs w:val="32"/>
          <w:highlight w:val="none"/>
          <w:u w:val="single"/>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pacing w:val="20"/>
          <w:sz w:val="32"/>
          <w:szCs w:val="32"/>
          <w:highlight w:val="none"/>
          <w:u w:val="single"/>
          <w:lang w:eastAsia="zh-CN"/>
        </w:rPr>
      </w:pPr>
      <w:r>
        <w:rPr>
          <w:rFonts w:hint="eastAsia" w:ascii="仿宋_GB2312" w:hAnsi="仿宋_GB2312" w:eastAsia="仿宋_GB2312" w:cs="仿宋_GB2312"/>
          <w:b w:val="0"/>
          <w:bCs w:val="0"/>
          <w:spacing w:val="20"/>
          <w:sz w:val="32"/>
          <w:szCs w:val="32"/>
          <w:highlight w:val="none"/>
        </w:rPr>
        <w:t>检测</w:t>
      </w:r>
      <w:r>
        <w:rPr>
          <w:rFonts w:hint="eastAsia" w:ascii="仿宋_GB2312" w:hAnsi="仿宋_GB2312" w:eastAsia="仿宋_GB2312" w:cs="仿宋_GB2312"/>
          <w:b w:val="0"/>
          <w:bCs w:val="0"/>
          <w:spacing w:val="20"/>
          <w:sz w:val="32"/>
          <w:szCs w:val="32"/>
          <w:highlight w:val="none"/>
          <w:lang w:val="en-US" w:eastAsia="zh-CN"/>
        </w:rPr>
        <w:t>场所</w:t>
      </w:r>
      <w:r>
        <w:rPr>
          <w:rFonts w:hint="eastAsia" w:ascii="仿宋_GB2312" w:hAnsi="仿宋_GB2312" w:eastAsia="仿宋_GB2312" w:cs="仿宋_GB2312"/>
          <w:b w:val="0"/>
          <w:bCs w:val="0"/>
          <w:spacing w:val="20"/>
          <w:sz w:val="32"/>
          <w:szCs w:val="32"/>
          <w:highlight w:val="none"/>
        </w:rPr>
        <w:t>地址</w:t>
      </w:r>
      <w:r>
        <w:rPr>
          <w:rFonts w:hint="eastAsia" w:ascii="仿宋_GB2312" w:hAnsi="仿宋_GB2312" w:eastAsia="仿宋_GB2312" w:cs="仿宋_GB2312"/>
          <w:b w:val="0"/>
          <w:bCs w:val="0"/>
          <w:spacing w:val="20"/>
          <w:sz w:val="32"/>
          <w:szCs w:val="32"/>
          <w:highlight w:val="none"/>
          <w:lang w:val="en-US" w:eastAsia="zh-CN"/>
        </w:rPr>
        <w:t>1</w:t>
      </w:r>
      <w:r>
        <w:rPr>
          <w:rFonts w:hint="eastAsia" w:ascii="仿宋_GB2312" w:hAnsi="仿宋_GB2312" w:eastAsia="仿宋_GB2312" w:cs="仿宋_GB2312"/>
          <w:b w:val="0"/>
          <w:bCs w:val="0"/>
          <w:spacing w:val="20"/>
          <w:sz w:val="32"/>
          <w:szCs w:val="32"/>
          <w:highlight w:val="none"/>
        </w:rPr>
        <w:t>：</w:t>
      </w:r>
      <w:r>
        <w:rPr>
          <w:rFonts w:hint="eastAsia" w:ascii="仿宋_GB2312" w:hAnsi="仿宋_GB2312" w:eastAsia="仿宋_GB2312" w:cs="仿宋_GB2312"/>
          <w:b w:val="0"/>
          <w:bCs w:val="0"/>
          <w:spacing w:val="20"/>
          <w:sz w:val="32"/>
          <w:szCs w:val="32"/>
          <w:highlight w:val="none"/>
          <w:u w:val="single"/>
        </w:rPr>
        <w:t>　　　　　　　　　　　　</w:t>
      </w:r>
      <w:r>
        <w:rPr>
          <w:rFonts w:hint="eastAsia" w:ascii="仿宋_GB2312" w:hAnsi="仿宋_GB2312" w:eastAsia="仿宋_GB2312" w:cs="仿宋_GB2312"/>
          <w:b w:val="0"/>
          <w:bCs w:val="0"/>
          <w:spacing w:val="20"/>
          <w:sz w:val="32"/>
          <w:szCs w:val="32"/>
          <w:highlight w:val="none"/>
          <w:u w:val="none"/>
          <w:lang w:val="en-US" w:eastAsia="zh-CN"/>
        </w:rPr>
        <w:t>面积：</w:t>
      </w:r>
      <w:r>
        <w:rPr>
          <w:rFonts w:hint="eastAsia" w:ascii="仿宋_GB2312" w:hAnsi="仿宋_GB2312" w:eastAsia="仿宋_GB2312" w:cs="仿宋_GB2312"/>
          <w:b w:val="0"/>
          <w:bCs w:val="0"/>
          <w:spacing w:val="20"/>
          <w:sz w:val="32"/>
          <w:szCs w:val="32"/>
          <w:highlight w:val="none"/>
          <w:u w:val="single"/>
        </w:rPr>
        <w:t>　　</w:t>
      </w:r>
      <w:r>
        <w:rPr>
          <w:rFonts w:hint="eastAsia" w:ascii="仿宋_GB2312" w:hAnsi="仿宋_GB2312" w:eastAsia="仿宋_GB2312" w:cs="仿宋_GB2312"/>
          <w:b w:val="0"/>
          <w:bCs w:val="0"/>
          <w:spacing w:val="20"/>
          <w:sz w:val="32"/>
          <w:szCs w:val="32"/>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pacing w:val="20"/>
          <w:sz w:val="32"/>
          <w:szCs w:val="32"/>
          <w:highlight w:val="none"/>
          <w:u w:val="single"/>
        </w:rPr>
      </w:pPr>
      <w:r>
        <w:rPr>
          <w:rFonts w:hint="eastAsia" w:ascii="仿宋_GB2312" w:hAnsi="仿宋_GB2312" w:eastAsia="仿宋_GB2312" w:cs="仿宋_GB2312"/>
          <w:b w:val="0"/>
          <w:bCs w:val="0"/>
          <w:spacing w:val="20"/>
          <w:sz w:val="32"/>
          <w:szCs w:val="32"/>
          <w:highlight w:val="none"/>
        </w:rPr>
        <w:t>检测</w:t>
      </w:r>
      <w:r>
        <w:rPr>
          <w:rFonts w:hint="eastAsia" w:ascii="仿宋_GB2312" w:hAnsi="仿宋_GB2312" w:eastAsia="仿宋_GB2312" w:cs="仿宋_GB2312"/>
          <w:b w:val="0"/>
          <w:bCs w:val="0"/>
          <w:spacing w:val="20"/>
          <w:sz w:val="32"/>
          <w:szCs w:val="32"/>
          <w:highlight w:val="none"/>
          <w:lang w:val="en-US" w:eastAsia="zh-CN"/>
        </w:rPr>
        <w:t>场所</w:t>
      </w:r>
      <w:r>
        <w:rPr>
          <w:rFonts w:hint="eastAsia" w:ascii="仿宋_GB2312" w:hAnsi="仿宋_GB2312" w:eastAsia="仿宋_GB2312" w:cs="仿宋_GB2312"/>
          <w:b w:val="0"/>
          <w:bCs w:val="0"/>
          <w:spacing w:val="20"/>
          <w:sz w:val="32"/>
          <w:szCs w:val="32"/>
          <w:highlight w:val="none"/>
        </w:rPr>
        <w:t>地址</w:t>
      </w:r>
      <w:r>
        <w:rPr>
          <w:rFonts w:hint="eastAsia" w:ascii="仿宋_GB2312" w:hAnsi="仿宋_GB2312" w:eastAsia="仿宋_GB2312" w:cs="仿宋_GB2312"/>
          <w:b w:val="0"/>
          <w:bCs w:val="0"/>
          <w:spacing w:val="20"/>
          <w:sz w:val="32"/>
          <w:szCs w:val="32"/>
          <w:highlight w:val="none"/>
          <w:lang w:val="en-US" w:eastAsia="zh-CN"/>
        </w:rPr>
        <w:t>2</w:t>
      </w:r>
      <w:r>
        <w:rPr>
          <w:rFonts w:hint="eastAsia" w:ascii="仿宋_GB2312" w:hAnsi="仿宋_GB2312" w:eastAsia="仿宋_GB2312" w:cs="仿宋_GB2312"/>
          <w:b w:val="0"/>
          <w:bCs w:val="0"/>
          <w:spacing w:val="20"/>
          <w:sz w:val="32"/>
          <w:szCs w:val="32"/>
          <w:highlight w:val="none"/>
        </w:rPr>
        <w:t>：</w:t>
      </w:r>
      <w:r>
        <w:rPr>
          <w:rFonts w:hint="eastAsia" w:ascii="仿宋_GB2312" w:hAnsi="仿宋_GB2312" w:eastAsia="仿宋_GB2312" w:cs="仿宋_GB2312"/>
          <w:b w:val="0"/>
          <w:bCs w:val="0"/>
          <w:spacing w:val="20"/>
          <w:sz w:val="32"/>
          <w:szCs w:val="32"/>
          <w:highlight w:val="none"/>
          <w:u w:val="single"/>
        </w:rPr>
        <w:t>　　　　　　　　　　　　</w:t>
      </w:r>
      <w:r>
        <w:rPr>
          <w:rFonts w:hint="eastAsia" w:ascii="仿宋_GB2312" w:hAnsi="仿宋_GB2312" w:eastAsia="仿宋_GB2312" w:cs="仿宋_GB2312"/>
          <w:b w:val="0"/>
          <w:bCs w:val="0"/>
          <w:spacing w:val="20"/>
          <w:sz w:val="32"/>
          <w:szCs w:val="32"/>
          <w:highlight w:val="none"/>
          <w:u w:val="none"/>
          <w:lang w:val="en-US" w:eastAsia="zh-CN"/>
        </w:rPr>
        <w:t>面积：</w:t>
      </w:r>
      <w:r>
        <w:rPr>
          <w:rFonts w:hint="eastAsia" w:ascii="仿宋_GB2312" w:hAnsi="仿宋_GB2312" w:eastAsia="仿宋_GB2312" w:cs="仿宋_GB2312"/>
          <w:b w:val="0"/>
          <w:bCs w:val="0"/>
          <w:spacing w:val="20"/>
          <w:sz w:val="32"/>
          <w:szCs w:val="32"/>
          <w:highlight w:val="none"/>
          <w:u w:val="single"/>
        </w:rPr>
        <w:t>　　</w:t>
      </w:r>
      <w:r>
        <w:rPr>
          <w:rFonts w:hint="eastAsia" w:ascii="仿宋_GB2312" w:hAnsi="仿宋_GB2312" w:eastAsia="仿宋_GB2312" w:cs="仿宋_GB2312"/>
          <w:b w:val="0"/>
          <w:bCs w:val="0"/>
          <w:spacing w:val="20"/>
          <w:sz w:val="32"/>
          <w:szCs w:val="32"/>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spacing w:val="20"/>
          <w:sz w:val="32"/>
          <w:szCs w:val="32"/>
          <w:highlight w:val="none"/>
          <w:u w:val="single"/>
        </w:rPr>
      </w:pPr>
      <w:r>
        <w:rPr>
          <w:rFonts w:hint="eastAsia" w:ascii="仿宋_GB2312" w:hAnsi="仿宋_GB2312" w:eastAsia="仿宋_GB2312" w:cs="仿宋_GB2312"/>
          <w:b w:val="0"/>
          <w:bCs w:val="0"/>
          <w:spacing w:val="20"/>
          <w:sz w:val="32"/>
          <w:szCs w:val="32"/>
          <w:highlight w:val="none"/>
        </w:rPr>
        <w:t>检测</w:t>
      </w:r>
      <w:r>
        <w:rPr>
          <w:rFonts w:hint="eastAsia" w:ascii="仿宋_GB2312" w:hAnsi="仿宋_GB2312" w:eastAsia="仿宋_GB2312" w:cs="仿宋_GB2312"/>
          <w:b w:val="0"/>
          <w:bCs w:val="0"/>
          <w:spacing w:val="20"/>
          <w:sz w:val="32"/>
          <w:szCs w:val="32"/>
          <w:highlight w:val="none"/>
          <w:lang w:val="en-US" w:eastAsia="zh-CN"/>
        </w:rPr>
        <w:t>场所</w:t>
      </w:r>
      <w:r>
        <w:rPr>
          <w:rFonts w:hint="eastAsia" w:ascii="仿宋_GB2312" w:hAnsi="仿宋_GB2312" w:eastAsia="仿宋_GB2312" w:cs="仿宋_GB2312"/>
          <w:b w:val="0"/>
          <w:bCs w:val="0"/>
          <w:spacing w:val="20"/>
          <w:sz w:val="32"/>
          <w:szCs w:val="32"/>
          <w:highlight w:val="none"/>
        </w:rPr>
        <w:t>地址</w:t>
      </w:r>
      <w:r>
        <w:rPr>
          <w:rFonts w:hint="eastAsia" w:ascii="仿宋_GB2312" w:hAnsi="仿宋_GB2312" w:eastAsia="仿宋_GB2312" w:cs="仿宋_GB2312"/>
          <w:b w:val="0"/>
          <w:bCs w:val="0"/>
          <w:spacing w:val="20"/>
          <w:sz w:val="32"/>
          <w:szCs w:val="32"/>
          <w:highlight w:val="none"/>
          <w:lang w:val="en-US" w:eastAsia="zh-CN"/>
        </w:rPr>
        <w:t>3</w:t>
      </w:r>
      <w:r>
        <w:rPr>
          <w:rFonts w:hint="eastAsia" w:ascii="仿宋_GB2312" w:hAnsi="仿宋_GB2312" w:eastAsia="仿宋_GB2312" w:cs="仿宋_GB2312"/>
          <w:b w:val="0"/>
          <w:bCs w:val="0"/>
          <w:spacing w:val="20"/>
          <w:sz w:val="32"/>
          <w:szCs w:val="32"/>
          <w:highlight w:val="none"/>
        </w:rPr>
        <w:t>：</w:t>
      </w:r>
      <w:r>
        <w:rPr>
          <w:rFonts w:hint="eastAsia" w:ascii="仿宋_GB2312" w:hAnsi="仿宋_GB2312" w:eastAsia="仿宋_GB2312" w:cs="仿宋_GB2312"/>
          <w:b w:val="0"/>
          <w:bCs w:val="0"/>
          <w:spacing w:val="20"/>
          <w:sz w:val="32"/>
          <w:szCs w:val="32"/>
          <w:highlight w:val="none"/>
          <w:u w:val="single"/>
        </w:rPr>
        <w:t>　</w:t>
      </w:r>
      <w:r>
        <w:rPr>
          <w:rFonts w:hint="eastAsia" w:ascii="仿宋_GB2312" w:hAnsi="仿宋_GB2312" w:eastAsia="仿宋_GB2312" w:cs="仿宋_GB2312"/>
          <w:b w:val="0"/>
          <w:bCs w:val="0"/>
          <w:spacing w:val="20"/>
          <w:sz w:val="24"/>
          <w:szCs w:val="24"/>
          <w:highlight w:val="none"/>
          <w:u w:val="single"/>
          <w:lang w:val="en-US" w:eastAsia="zh-CN"/>
        </w:rPr>
        <w:t>多于3个地址可继续加行填写</w:t>
      </w:r>
      <w:r>
        <w:rPr>
          <w:rFonts w:hint="eastAsia" w:ascii="仿宋_GB2312" w:hAnsi="仿宋_GB2312" w:eastAsia="仿宋_GB2312" w:cs="仿宋_GB2312"/>
          <w:b w:val="0"/>
          <w:bCs w:val="0"/>
          <w:spacing w:val="20"/>
          <w:sz w:val="32"/>
          <w:szCs w:val="32"/>
          <w:highlight w:val="none"/>
          <w:u w:val="single"/>
        </w:rPr>
        <w:t>　</w:t>
      </w:r>
      <w:r>
        <w:rPr>
          <w:rFonts w:hint="eastAsia" w:ascii="仿宋_GB2312" w:hAnsi="仿宋_GB2312" w:eastAsia="仿宋_GB2312" w:cs="仿宋_GB2312"/>
          <w:b w:val="0"/>
          <w:bCs w:val="0"/>
          <w:spacing w:val="20"/>
          <w:sz w:val="32"/>
          <w:szCs w:val="32"/>
          <w:highlight w:val="none"/>
          <w:u w:val="none"/>
          <w:lang w:val="en-US" w:eastAsia="zh-CN"/>
        </w:rPr>
        <w:t>面积：</w:t>
      </w:r>
      <w:r>
        <w:rPr>
          <w:rFonts w:hint="eastAsia" w:ascii="仿宋_GB2312" w:hAnsi="仿宋_GB2312" w:eastAsia="仿宋_GB2312" w:cs="仿宋_GB2312"/>
          <w:b w:val="0"/>
          <w:bCs w:val="0"/>
          <w:spacing w:val="20"/>
          <w:sz w:val="32"/>
          <w:szCs w:val="32"/>
          <w:highlight w:val="none"/>
          <w:u w:val="single"/>
        </w:rPr>
        <w:t>　　</w:t>
      </w:r>
      <w:r>
        <w:rPr>
          <w:rFonts w:hint="eastAsia" w:ascii="仿宋_GB2312" w:hAnsi="仿宋_GB2312" w:eastAsia="仿宋_GB2312" w:cs="仿宋_GB2312"/>
          <w:b w:val="0"/>
          <w:bCs w:val="0"/>
          <w:spacing w:val="20"/>
          <w:sz w:val="32"/>
          <w:szCs w:val="32"/>
          <w:highlight w:val="none"/>
          <w:u w:val="single"/>
          <w:lang w:val="en-US" w:eastAsia="zh-CN"/>
        </w:rPr>
        <w:t>㎡</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 xml:space="preserve">邮编：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传真：      </w:t>
      </w:r>
      <w:r>
        <w:rPr>
          <w:rFonts w:hint="eastAsia" w:ascii="仿宋_GB2312" w:hAnsi="仿宋_GB2312" w:eastAsia="仿宋_GB2312" w:cs="仿宋_GB2312"/>
          <w:b w:val="0"/>
          <w:bCs w:val="0"/>
          <w:spacing w:val="20"/>
          <w:sz w:val="32"/>
          <w:szCs w:val="32"/>
          <w:highlight w:val="none"/>
          <w:lang w:val="en-US" w:eastAsia="zh-CN"/>
        </w:rPr>
        <w:t>电子邮箱</w:t>
      </w:r>
      <w:r>
        <w:rPr>
          <w:rFonts w:hint="eastAsia" w:ascii="仿宋_GB2312" w:hAnsi="仿宋_GB2312" w:eastAsia="仿宋_GB2312" w:cs="仿宋_GB2312"/>
          <w:b w:val="0"/>
          <w:bCs w:val="0"/>
          <w:spacing w:val="20"/>
          <w:sz w:val="32"/>
          <w:szCs w:val="32"/>
          <w:highlight w:val="none"/>
        </w:rPr>
        <w:t xml:space="preserve">： </w:t>
      </w:r>
    </w:p>
    <w:p>
      <w:pPr>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lang w:val="en-US" w:eastAsia="zh-CN"/>
        </w:rPr>
        <w:t>法定代表人</w:t>
      </w:r>
      <w:r>
        <w:rPr>
          <w:rFonts w:hint="eastAsia" w:ascii="仿宋_GB2312" w:hAnsi="仿宋_GB2312" w:eastAsia="仿宋_GB2312" w:cs="仿宋_GB2312"/>
          <w:b w:val="0"/>
          <w:bCs w:val="0"/>
          <w:spacing w:val="20"/>
          <w:sz w:val="32"/>
          <w:szCs w:val="32"/>
          <w:highlight w:val="none"/>
        </w:rPr>
        <w:t xml:space="preserve">：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  职务：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 </w:t>
      </w:r>
      <w:r>
        <w:rPr>
          <w:rFonts w:hint="eastAsia" w:ascii="仿宋_GB2312" w:hAnsi="仿宋_GB2312" w:eastAsia="仿宋_GB2312" w:cs="仿宋_GB2312"/>
          <w:b w:val="0"/>
          <w:bCs w:val="0"/>
          <w:spacing w:val="20"/>
          <w:sz w:val="32"/>
          <w:szCs w:val="32"/>
          <w:highlight w:val="none"/>
          <w:lang w:val="en-US" w:eastAsia="zh-CN"/>
        </w:rPr>
        <w:t>联系</w:t>
      </w:r>
      <w:r>
        <w:rPr>
          <w:rFonts w:hint="eastAsia" w:ascii="仿宋_GB2312" w:hAnsi="仿宋_GB2312" w:eastAsia="仿宋_GB2312" w:cs="仿宋_GB2312"/>
          <w:b w:val="0"/>
          <w:bCs w:val="0"/>
          <w:spacing w:val="20"/>
          <w:sz w:val="32"/>
          <w:szCs w:val="32"/>
          <w:highlight w:val="none"/>
        </w:rPr>
        <w:t xml:space="preserve">电话：       </w:t>
      </w:r>
    </w:p>
    <w:p>
      <w:pPr>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lang w:val="en-US" w:eastAsia="zh-CN"/>
        </w:rPr>
        <w:t>技术负责人</w:t>
      </w:r>
      <w:r>
        <w:rPr>
          <w:rFonts w:hint="eastAsia" w:ascii="仿宋_GB2312" w:hAnsi="仿宋_GB2312" w:eastAsia="仿宋_GB2312" w:cs="仿宋_GB2312"/>
          <w:b w:val="0"/>
          <w:bCs w:val="0"/>
          <w:spacing w:val="20"/>
          <w:sz w:val="32"/>
          <w:szCs w:val="32"/>
          <w:highlight w:val="none"/>
        </w:rPr>
        <w:t xml:space="preserve">：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  职务：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  </w:t>
      </w:r>
      <w:r>
        <w:rPr>
          <w:rFonts w:hint="eastAsia" w:ascii="仿宋_GB2312" w:hAnsi="仿宋_GB2312" w:eastAsia="仿宋_GB2312" w:cs="仿宋_GB2312"/>
          <w:b w:val="0"/>
          <w:bCs w:val="0"/>
          <w:spacing w:val="20"/>
          <w:sz w:val="32"/>
          <w:szCs w:val="32"/>
          <w:highlight w:val="none"/>
          <w:lang w:val="en-US" w:eastAsia="zh-CN"/>
        </w:rPr>
        <w:t>联系</w:t>
      </w:r>
      <w:r>
        <w:rPr>
          <w:rFonts w:hint="eastAsia" w:ascii="仿宋_GB2312" w:hAnsi="仿宋_GB2312" w:eastAsia="仿宋_GB2312" w:cs="仿宋_GB2312"/>
          <w:b w:val="0"/>
          <w:bCs w:val="0"/>
          <w:spacing w:val="20"/>
          <w:sz w:val="32"/>
          <w:szCs w:val="32"/>
          <w:highlight w:val="none"/>
        </w:rPr>
        <w:t xml:space="preserve">电话：       </w:t>
      </w:r>
    </w:p>
    <w:p>
      <w:pPr>
        <w:keepNext w:val="0"/>
        <w:keepLines w:val="0"/>
        <w:pageBreakBefore w:val="0"/>
        <w:kinsoku/>
        <w:wordWrap/>
        <w:overflowPunct/>
        <w:topLinePunct w:val="0"/>
        <w:bidi w:val="0"/>
        <w:adjustRightInd/>
        <w:snapToGrid/>
        <w:spacing w:line="560" w:lineRule="exact"/>
        <w:jc w:val="left"/>
        <w:textAlignment w:val="auto"/>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lang w:val="en-US" w:eastAsia="zh-CN"/>
        </w:rPr>
        <w:t>质量负责人</w:t>
      </w:r>
      <w:r>
        <w:rPr>
          <w:rFonts w:hint="eastAsia" w:ascii="仿宋_GB2312" w:hAnsi="仿宋_GB2312" w:eastAsia="仿宋_GB2312" w:cs="仿宋_GB2312"/>
          <w:b w:val="0"/>
          <w:bCs w:val="0"/>
          <w:spacing w:val="20"/>
          <w:sz w:val="32"/>
          <w:szCs w:val="32"/>
          <w:highlight w:val="none"/>
        </w:rPr>
        <w:t xml:space="preserve">：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  职务：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 </w:t>
      </w:r>
      <w:r>
        <w:rPr>
          <w:rFonts w:hint="eastAsia" w:ascii="仿宋_GB2312" w:hAnsi="仿宋_GB2312" w:eastAsia="仿宋_GB2312" w:cs="仿宋_GB2312"/>
          <w:b w:val="0"/>
          <w:bCs w:val="0"/>
          <w:spacing w:val="20"/>
          <w:sz w:val="32"/>
          <w:szCs w:val="32"/>
          <w:highlight w:val="none"/>
          <w:lang w:val="en-US" w:eastAsia="zh-CN"/>
        </w:rPr>
        <w:t>联系</w:t>
      </w:r>
      <w:r>
        <w:rPr>
          <w:rFonts w:hint="eastAsia" w:ascii="仿宋_GB2312" w:hAnsi="仿宋_GB2312" w:eastAsia="仿宋_GB2312" w:cs="仿宋_GB2312"/>
          <w:b w:val="0"/>
          <w:bCs w:val="0"/>
          <w:spacing w:val="20"/>
          <w:sz w:val="32"/>
          <w:szCs w:val="32"/>
          <w:highlight w:val="none"/>
        </w:rPr>
        <w:t xml:space="preserve">电话：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联</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络</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人：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职务：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   </w:t>
      </w:r>
      <w:r>
        <w:rPr>
          <w:rFonts w:hint="eastAsia" w:ascii="仿宋_GB2312" w:hAnsi="仿宋_GB2312" w:eastAsia="仿宋_GB2312" w:cs="仿宋_GB2312"/>
          <w:b w:val="0"/>
          <w:bCs w:val="0"/>
          <w:spacing w:val="20"/>
          <w:sz w:val="32"/>
          <w:szCs w:val="32"/>
          <w:highlight w:val="none"/>
          <w:lang w:val="en-US" w:eastAsia="zh-CN"/>
        </w:rPr>
        <w:t>联系</w:t>
      </w:r>
      <w:r>
        <w:rPr>
          <w:rFonts w:hint="eastAsia" w:ascii="仿宋_GB2312" w:hAnsi="仿宋_GB2312" w:eastAsia="仿宋_GB2312" w:cs="仿宋_GB2312"/>
          <w:b w:val="0"/>
          <w:bCs w:val="0"/>
          <w:spacing w:val="20"/>
          <w:sz w:val="32"/>
          <w:szCs w:val="32"/>
          <w:highlight w:val="none"/>
        </w:rPr>
        <w:t xml:space="preserve">电话：    </w:t>
      </w:r>
      <w:r>
        <w:rPr>
          <w:rFonts w:hint="eastAsia" w:ascii="仿宋_GB2312" w:hAnsi="仿宋_GB2312" w:eastAsia="仿宋_GB2312" w:cs="仿宋_GB2312"/>
          <w:b w:val="0"/>
          <w:bCs w:val="0"/>
          <w:spacing w:val="20"/>
          <w:sz w:val="32"/>
          <w:szCs w:val="32"/>
          <w:highlight w:val="none"/>
          <w:lang w:val="en-US" w:eastAsia="zh-CN"/>
        </w:rPr>
        <w:t xml:space="preserve"> </w:t>
      </w:r>
      <w:r>
        <w:rPr>
          <w:rFonts w:hint="eastAsia" w:ascii="仿宋_GB2312" w:hAnsi="仿宋_GB2312" w:eastAsia="仿宋_GB2312" w:cs="仿宋_GB2312"/>
          <w:b w:val="0"/>
          <w:bCs w:val="0"/>
          <w:spacing w:val="20"/>
          <w:sz w:val="32"/>
          <w:szCs w:val="32"/>
          <w:highlight w:val="none"/>
        </w:rPr>
        <w:t xml:space="preserve">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b w:val="0"/>
          <w:bCs w:val="0"/>
          <w:color w:val="auto"/>
          <w:spacing w:val="20"/>
          <w:sz w:val="32"/>
          <w:szCs w:val="32"/>
          <w:highlight w:val="none"/>
          <w:lang w:val="en-US" w:eastAsia="zh-CN"/>
        </w:rPr>
      </w:pPr>
      <w:r>
        <w:rPr>
          <w:rFonts w:hint="eastAsia" w:ascii="仿宋_GB2312" w:hAnsi="仿宋_GB2312" w:eastAsia="仿宋_GB2312" w:cs="仿宋_GB2312"/>
          <w:b w:val="0"/>
          <w:bCs w:val="0"/>
          <w:color w:val="auto"/>
          <w:spacing w:val="20"/>
          <w:sz w:val="32"/>
          <w:szCs w:val="32"/>
          <w:highlight w:val="none"/>
        </w:rPr>
        <w:t>1.</w:t>
      </w:r>
      <w:r>
        <w:rPr>
          <w:rFonts w:hint="eastAsia" w:ascii="仿宋_GB2312" w:hAnsi="仿宋_GB2312" w:eastAsia="仿宋_GB2312" w:cs="仿宋_GB2312"/>
          <w:b w:val="0"/>
          <w:bCs w:val="0"/>
          <w:color w:val="auto"/>
          <w:spacing w:val="20"/>
          <w:sz w:val="32"/>
          <w:szCs w:val="32"/>
          <w:highlight w:val="none"/>
          <w:lang w:val="en-US" w:eastAsia="zh-CN"/>
        </w:rPr>
        <w:t>1</w:t>
      </w:r>
      <w:r>
        <w:rPr>
          <w:rFonts w:hint="eastAsia" w:ascii="仿宋_GB2312" w:hAnsi="仿宋_GB2312" w:eastAsia="仿宋_GB2312" w:cs="仿宋_GB2312"/>
          <w:b w:val="0"/>
          <w:bCs w:val="0"/>
          <w:color w:val="auto"/>
          <w:spacing w:val="20"/>
          <w:sz w:val="32"/>
          <w:szCs w:val="32"/>
          <w:highlight w:val="none"/>
        </w:rPr>
        <w:t xml:space="preserve"> 评审类型</w:t>
      </w:r>
    </w:p>
    <w:p>
      <w:pPr>
        <w:keepNext w:val="0"/>
        <w:keepLines w:val="0"/>
        <w:pageBreakBefore w:val="0"/>
        <w:kinsoku/>
        <w:wordWrap/>
        <w:overflowPunct/>
        <w:topLinePunct w:val="0"/>
        <w:bidi w:val="0"/>
        <w:adjustRightInd/>
        <w:snapToGrid/>
        <w:spacing w:line="560" w:lineRule="exact"/>
        <w:ind w:firstLine="720" w:firstLineChars="200"/>
        <w:textAlignment w:val="auto"/>
        <w:rPr>
          <w:rFonts w:hint="eastAsia" w:ascii="仿宋_GB2312" w:hAnsi="仿宋_GB2312" w:eastAsia="仿宋_GB2312" w:cs="仿宋_GB2312"/>
          <w:b w:val="0"/>
          <w:bCs w:val="0"/>
          <w:spacing w:val="20"/>
          <w:sz w:val="32"/>
          <w:szCs w:val="32"/>
          <w:highlight w:val="none"/>
          <w:u w:val="none"/>
          <w:lang w:val="en-US" w:eastAsia="zh-CN"/>
        </w:rPr>
      </w:pPr>
      <w:r>
        <w:rPr>
          <w:rFonts w:hint="eastAsia" w:ascii="仿宋_GB2312" w:hAnsi="仿宋_GB2312" w:eastAsia="仿宋_GB2312" w:cs="仿宋_GB2312"/>
          <w:b w:val="0"/>
          <w:bCs w:val="0"/>
          <w:spacing w:val="20"/>
          <w:sz w:val="32"/>
          <w:szCs w:val="32"/>
          <w:highlight w:val="none"/>
          <w:u w:val="none"/>
          <w:lang w:val="en-US" w:eastAsia="zh-CN"/>
        </w:rPr>
        <w:t>□新设立（首次申请、综合资质申请）</w:t>
      </w:r>
    </w:p>
    <w:p>
      <w:pPr>
        <w:keepNext w:val="0"/>
        <w:keepLines w:val="0"/>
        <w:pageBreakBefore w:val="0"/>
        <w:kinsoku/>
        <w:wordWrap/>
        <w:overflowPunct/>
        <w:topLinePunct w:val="0"/>
        <w:bidi w:val="0"/>
        <w:adjustRightInd/>
        <w:snapToGrid/>
        <w:spacing w:line="560" w:lineRule="exact"/>
        <w:ind w:firstLine="720" w:firstLineChars="200"/>
        <w:textAlignment w:val="auto"/>
        <w:rPr>
          <w:rFonts w:hint="eastAsia" w:ascii="仿宋_GB2312" w:hAnsi="仿宋_GB2312" w:eastAsia="仿宋_GB2312" w:cs="仿宋_GB2312"/>
          <w:b w:val="0"/>
          <w:bCs w:val="0"/>
          <w:spacing w:val="20"/>
          <w:sz w:val="32"/>
          <w:szCs w:val="32"/>
          <w:highlight w:val="none"/>
          <w:u w:val="none"/>
          <w:lang w:val="en-US" w:eastAsia="zh-CN"/>
        </w:rPr>
      </w:pPr>
      <w:r>
        <w:rPr>
          <w:rFonts w:hint="eastAsia" w:ascii="仿宋_GB2312" w:hAnsi="仿宋_GB2312" w:eastAsia="仿宋_GB2312" w:cs="仿宋_GB2312"/>
          <w:b w:val="0"/>
          <w:bCs w:val="0"/>
          <w:spacing w:val="20"/>
          <w:sz w:val="32"/>
          <w:szCs w:val="32"/>
          <w:highlight w:val="none"/>
          <w:u w:val="none"/>
          <w:lang w:val="en-US" w:eastAsia="zh-CN"/>
        </w:rPr>
        <w:t>□资质增项（含增加参数）</w:t>
      </w:r>
    </w:p>
    <w:p>
      <w:pPr>
        <w:keepNext w:val="0"/>
        <w:keepLines w:val="0"/>
        <w:pageBreakBefore w:val="0"/>
        <w:kinsoku/>
        <w:wordWrap/>
        <w:overflowPunct/>
        <w:topLinePunct w:val="0"/>
        <w:bidi w:val="0"/>
        <w:adjustRightInd w:val="0"/>
        <w:snapToGrid w:val="0"/>
        <w:spacing w:line="560" w:lineRule="exact"/>
        <w:ind w:firstLine="720" w:firstLineChars="200"/>
        <w:textAlignment w:val="auto"/>
        <w:rPr>
          <w:rFonts w:hint="eastAsia" w:ascii="仿宋_GB2312" w:hAnsi="仿宋_GB2312" w:eastAsia="仿宋_GB2312" w:cs="仿宋_GB2312"/>
          <w:b w:val="0"/>
          <w:bCs w:val="0"/>
          <w:spacing w:val="20"/>
          <w:sz w:val="32"/>
          <w:szCs w:val="32"/>
          <w:highlight w:val="none"/>
          <w:u w:val="none"/>
          <w:lang w:val="en-US" w:eastAsia="zh-CN"/>
        </w:rPr>
      </w:pPr>
      <w:r>
        <w:rPr>
          <w:rFonts w:hint="eastAsia" w:ascii="仿宋_GB2312" w:hAnsi="仿宋_GB2312" w:eastAsia="仿宋_GB2312" w:cs="仿宋_GB2312"/>
          <w:b w:val="0"/>
          <w:bCs w:val="0"/>
          <w:spacing w:val="20"/>
          <w:sz w:val="32"/>
          <w:szCs w:val="32"/>
          <w:highlight w:val="none"/>
          <w:u w:val="none"/>
          <w:lang w:val="en-US" w:eastAsia="zh-CN"/>
        </w:rPr>
        <w:t>□重新核定</w:t>
      </w:r>
      <w:r>
        <w:rPr>
          <w:rFonts w:hint="eastAsia" w:ascii="仿宋_GB2312" w:hAnsi="仿宋_GB2312" w:eastAsia="仿宋_GB2312" w:cs="仿宋_GB2312"/>
          <w:b w:val="0"/>
          <w:bCs w:val="0"/>
          <w:spacing w:val="20"/>
          <w:sz w:val="32"/>
          <w:szCs w:val="32"/>
          <w:highlight w:val="none"/>
          <w:u w:val="single"/>
        </w:rPr>
        <w:t>　　</w:t>
      </w:r>
      <w:r>
        <w:rPr>
          <w:rFonts w:hint="eastAsia" w:ascii="仿宋_GB2312" w:hAnsi="仿宋_GB2312" w:eastAsia="仿宋_GB2312" w:cs="仿宋_GB2312"/>
          <w:b w:val="0"/>
          <w:bCs w:val="0"/>
          <w:spacing w:val="20"/>
          <w:sz w:val="32"/>
          <w:szCs w:val="32"/>
          <w:highlight w:val="none"/>
          <w:u w:val="single"/>
          <w:lang w:val="en-US" w:eastAsia="zh-CN"/>
        </w:rPr>
        <w:t>（填具体对应类型）</w:t>
      </w:r>
      <w:r>
        <w:rPr>
          <w:rFonts w:hint="eastAsia" w:ascii="仿宋_GB2312" w:hAnsi="仿宋_GB2312" w:eastAsia="仿宋_GB2312" w:cs="仿宋_GB2312"/>
          <w:b w:val="0"/>
          <w:bCs w:val="0"/>
          <w:spacing w:val="20"/>
          <w:sz w:val="32"/>
          <w:szCs w:val="32"/>
          <w:highlight w:val="none"/>
          <w:u w:val="single"/>
        </w:rPr>
        <w:t>　　</w:t>
      </w:r>
    </w:p>
    <w:p>
      <w:pPr>
        <w:keepNext w:val="0"/>
        <w:keepLines w:val="0"/>
        <w:pageBreakBefore w:val="0"/>
        <w:kinsoku/>
        <w:wordWrap/>
        <w:overflowPunct/>
        <w:topLinePunct w:val="0"/>
        <w:bidi w:val="0"/>
        <w:adjustRightInd w:val="0"/>
        <w:snapToGrid w:val="0"/>
        <w:spacing w:line="560" w:lineRule="exact"/>
        <w:ind w:firstLine="720" w:firstLineChars="200"/>
        <w:textAlignment w:val="auto"/>
        <w:rPr>
          <w:rFonts w:hint="eastAsia" w:ascii="仿宋_GB2312" w:hAnsi="仿宋_GB2312" w:eastAsia="仿宋_GB2312" w:cs="仿宋_GB2312"/>
          <w:b w:val="0"/>
          <w:bCs w:val="0"/>
          <w:spacing w:val="20"/>
          <w:sz w:val="32"/>
          <w:szCs w:val="32"/>
          <w:highlight w:val="none"/>
          <w:u w:val="none"/>
          <w:lang w:val="en-US" w:eastAsia="zh-CN"/>
        </w:rPr>
      </w:pPr>
      <w:r>
        <w:rPr>
          <w:rFonts w:hint="eastAsia" w:ascii="仿宋_GB2312" w:hAnsi="仿宋_GB2312" w:eastAsia="仿宋_GB2312" w:cs="仿宋_GB2312"/>
          <w:b w:val="0"/>
          <w:bCs w:val="0"/>
          <w:spacing w:val="20"/>
          <w:sz w:val="32"/>
          <w:szCs w:val="32"/>
          <w:highlight w:val="none"/>
          <w:u w:val="none"/>
          <w:lang w:val="en-US" w:eastAsia="zh-CN"/>
        </w:rPr>
        <w:t>□资质延续</w:t>
      </w: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b w:val="0"/>
          <w:bCs w:val="0"/>
          <w:spacing w:val="20"/>
          <w:sz w:val="32"/>
          <w:szCs w:val="32"/>
          <w:highlight w:val="none"/>
        </w:rPr>
      </w:pPr>
      <w:r>
        <w:rPr>
          <w:rFonts w:hint="eastAsia" w:ascii="仿宋_GB2312" w:hAnsi="仿宋_GB2312" w:eastAsia="仿宋_GB2312" w:cs="仿宋_GB2312"/>
          <w:b w:val="0"/>
          <w:bCs w:val="0"/>
          <w:spacing w:val="20"/>
          <w:sz w:val="32"/>
          <w:szCs w:val="32"/>
          <w:highlight w:val="none"/>
        </w:rPr>
        <w:t>1.</w:t>
      </w:r>
      <w:r>
        <w:rPr>
          <w:rFonts w:hint="eastAsia" w:ascii="仿宋_GB2312" w:hAnsi="仿宋_GB2312" w:eastAsia="仿宋_GB2312" w:cs="仿宋_GB2312"/>
          <w:b w:val="0"/>
          <w:bCs w:val="0"/>
          <w:spacing w:val="20"/>
          <w:sz w:val="32"/>
          <w:szCs w:val="32"/>
          <w:highlight w:val="none"/>
          <w:lang w:val="en-US" w:eastAsia="zh-CN"/>
        </w:rPr>
        <w:t>2</w:t>
      </w:r>
      <w:r>
        <w:rPr>
          <w:rFonts w:hint="eastAsia" w:ascii="仿宋_GB2312" w:hAnsi="仿宋_GB2312" w:eastAsia="仿宋_GB2312" w:cs="仿宋_GB2312"/>
          <w:b w:val="0"/>
          <w:bCs w:val="0"/>
          <w:spacing w:val="20"/>
          <w:sz w:val="32"/>
          <w:szCs w:val="32"/>
          <w:highlight w:val="none"/>
        </w:rPr>
        <w:t xml:space="preserve"> 已获资质情况</w:t>
      </w:r>
    </w:p>
    <w:tbl>
      <w:tblPr>
        <w:tblStyle w:val="1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0"/>
        <w:gridCol w:w="2194"/>
        <w:gridCol w:w="219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000"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证书名称</w:t>
            </w:r>
          </w:p>
        </w:tc>
        <w:tc>
          <w:tcPr>
            <w:tcW w:w="2194"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编号</w:t>
            </w: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证书有效期</w:t>
            </w:r>
          </w:p>
        </w:tc>
        <w:tc>
          <w:tcPr>
            <w:tcW w:w="1607"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0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lang w:val="en-US" w:eastAsia="zh-CN"/>
              </w:rPr>
              <w:t>建设工程质量检测机构</w:t>
            </w:r>
            <w:r>
              <w:rPr>
                <w:rFonts w:hint="eastAsia" w:ascii="仿宋_GB2312" w:hAnsi="仿宋_GB2312" w:eastAsia="仿宋_GB2312" w:cs="仿宋_GB2312"/>
                <w:b w:val="0"/>
                <w:bCs w:val="0"/>
                <w:sz w:val="32"/>
                <w:szCs w:val="32"/>
                <w:highlight w:val="none"/>
              </w:rPr>
              <w:t>资质许可证书</w:t>
            </w:r>
          </w:p>
        </w:tc>
        <w:tc>
          <w:tcPr>
            <w:tcW w:w="2194"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0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pacing w:val="20"/>
                <w:sz w:val="32"/>
                <w:szCs w:val="32"/>
                <w:highlight w:val="none"/>
                <w:lang w:val="en-US" w:eastAsia="zh-CN"/>
              </w:rPr>
              <w:t>检验</w:t>
            </w:r>
            <w:r>
              <w:rPr>
                <w:rFonts w:hint="eastAsia" w:ascii="仿宋_GB2312" w:hAnsi="仿宋_GB2312" w:eastAsia="仿宋_GB2312" w:cs="仿宋_GB2312"/>
                <w:b w:val="0"/>
                <w:bCs w:val="0"/>
                <w:spacing w:val="20"/>
                <w:sz w:val="32"/>
                <w:szCs w:val="32"/>
                <w:highlight w:val="none"/>
              </w:rPr>
              <w:t>检测机构</w:t>
            </w:r>
            <w:r>
              <w:rPr>
                <w:rFonts w:hint="eastAsia" w:ascii="仿宋_GB2312" w:hAnsi="仿宋_GB2312" w:eastAsia="仿宋_GB2312" w:cs="仿宋_GB2312"/>
                <w:b w:val="0"/>
                <w:bCs w:val="0"/>
                <w:spacing w:val="20"/>
                <w:sz w:val="32"/>
                <w:szCs w:val="32"/>
                <w:highlight w:val="none"/>
                <w:lang w:eastAsia="zh-CN"/>
              </w:rPr>
              <w:t>资质</w:t>
            </w:r>
            <w:r>
              <w:rPr>
                <w:rFonts w:hint="eastAsia" w:ascii="仿宋_GB2312" w:hAnsi="仿宋_GB2312" w:eastAsia="仿宋_GB2312" w:cs="仿宋_GB2312"/>
                <w:b w:val="0"/>
                <w:bCs w:val="0"/>
                <w:spacing w:val="20"/>
                <w:sz w:val="32"/>
                <w:szCs w:val="32"/>
                <w:highlight w:val="none"/>
                <w:lang w:val="en-US" w:eastAsia="zh-CN"/>
              </w:rPr>
              <w:t>认定证书</w:t>
            </w:r>
          </w:p>
        </w:tc>
        <w:tc>
          <w:tcPr>
            <w:tcW w:w="2194"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0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pacing w:val="20"/>
                <w:sz w:val="32"/>
                <w:szCs w:val="32"/>
                <w:highlight w:val="none"/>
              </w:rPr>
              <w:t>实验室认可</w:t>
            </w:r>
            <w:r>
              <w:rPr>
                <w:rFonts w:hint="eastAsia" w:ascii="仿宋_GB2312" w:hAnsi="仿宋_GB2312" w:eastAsia="仿宋_GB2312" w:cs="仿宋_GB2312"/>
                <w:b w:val="0"/>
                <w:bCs w:val="0"/>
                <w:spacing w:val="20"/>
                <w:sz w:val="32"/>
                <w:szCs w:val="32"/>
                <w:highlight w:val="none"/>
                <w:lang w:val="en-US" w:eastAsia="zh-CN"/>
              </w:rPr>
              <w:t>证书</w:t>
            </w:r>
          </w:p>
        </w:tc>
        <w:tc>
          <w:tcPr>
            <w:tcW w:w="2194"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kern w:val="0"/>
                <w:sz w:val="32"/>
                <w:szCs w:val="32"/>
                <w:highlight w:val="none"/>
                <w:lang w:val="en-US" w:eastAsia="zh-CN"/>
              </w:rPr>
              <w:t>其它证书</w:t>
            </w:r>
          </w:p>
        </w:tc>
        <w:tc>
          <w:tcPr>
            <w:tcW w:w="2194"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2196"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c>
          <w:tcPr>
            <w:tcW w:w="160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仿宋_GB2312" w:eastAsia="仿宋_GB2312" w:cs="仿宋_GB2312"/>
                <w:b w:val="0"/>
                <w:bCs w:val="0"/>
                <w:sz w:val="32"/>
                <w:szCs w:val="32"/>
                <w:highlight w:val="none"/>
                <w:vertAlign w:val="baseline"/>
                <w:lang w:val="en-US" w:eastAsia="zh-CN"/>
              </w:rPr>
            </w:pPr>
          </w:p>
        </w:tc>
      </w:tr>
    </w:tbl>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
          <w:bCs/>
          <w:kern w:val="0"/>
          <w:sz w:val="32"/>
          <w:szCs w:val="32"/>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val="0"/>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评审组意见</w:t>
      </w:r>
    </w:p>
    <w:p>
      <w:pPr>
        <w:keepNext w:val="0"/>
        <w:keepLines w:val="0"/>
        <w:pageBreakBefore w:val="0"/>
        <w:kinsoku/>
        <w:wordWrap/>
        <w:overflowPunct/>
        <w:topLinePunct w:val="0"/>
        <w:autoSpaceDE w:val="0"/>
        <w:autoSpaceDN w:val="0"/>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本次评审的范围是全部要素和全部技术能力。评审通过采用“听、看、查、考、问”的方式展开</w:t>
      </w:r>
      <w:r>
        <w:rPr>
          <w:rFonts w:hint="eastAsia" w:ascii="仿宋_GB2312" w:hAnsi="仿宋_GB2312" w:eastAsia="仿宋_GB2312" w:cs="仿宋_GB2312"/>
          <w:sz w:val="32"/>
          <w:szCs w:val="32"/>
          <w:highlight w:val="none"/>
          <w:lang w:eastAsia="zh-CN"/>
        </w:rPr>
        <w:t>专家评审</w:t>
      </w:r>
      <w:r>
        <w:rPr>
          <w:rFonts w:hint="eastAsia" w:ascii="仿宋_GB2312" w:hAnsi="仿宋_GB2312" w:eastAsia="仿宋_GB2312" w:cs="仿宋_GB2312"/>
          <w:sz w:val="32"/>
          <w:szCs w:val="32"/>
          <w:highlight w:val="none"/>
        </w:rPr>
        <w:t>工作，评审情况如下：</w:t>
      </w:r>
    </w:p>
    <w:p>
      <w:pPr>
        <w:keepNext w:val="0"/>
        <w:keepLines w:val="0"/>
        <w:pageBreakBefore w:val="0"/>
        <w:kinsoku/>
        <w:wordWrap/>
        <w:overflowPunct/>
        <w:topLinePunct w:val="0"/>
        <w:autoSpaceDE w:val="0"/>
        <w:autoSpaceDN w:val="0"/>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(1)该机构建立于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单位</w:t>
      </w:r>
      <w:r>
        <w:rPr>
          <w:rFonts w:hint="eastAsia" w:ascii="仿宋_GB2312" w:hAnsi="仿宋_GB2312" w:eastAsia="仿宋_GB2312" w:cs="仿宋_GB2312"/>
          <w:sz w:val="32"/>
          <w:szCs w:val="32"/>
          <w:highlight w:val="none"/>
        </w:rPr>
        <w:t>，已依法</w:t>
      </w:r>
      <w:r>
        <w:rPr>
          <w:rFonts w:hint="eastAsia" w:ascii="仿宋_GB2312" w:hAnsi="仿宋_GB2312" w:eastAsia="仿宋_GB2312" w:cs="仿宋_GB2312"/>
          <w:sz w:val="32"/>
          <w:szCs w:val="32"/>
          <w:highlight w:val="none"/>
          <w:lang w:val="en-US" w:eastAsia="zh-CN"/>
        </w:rPr>
        <w:t>设立</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val="0"/>
        <w:autoSpaceDN w:val="0"/>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(2)该机构现</w:t>
      </w:r>
      <w:r>
        <w:rPr>
          <w:rFonts w:hint="eastAsia" w:ascii="仿宋_GB2312" w:hAnsi="仿宋_GB2312" w:eastAsia="仿宋_GB2312" w:cs="仿宋_GB2312"/>
          <w:sz w:val="32"/>
          <w:szCs w:val="32"/>
          <w:highlight w:val="none"/>
          <w:lang w:val="en-US" w:eastAsia="zh-CN"/>
        </w:rPr>
        <w:t>有仪器设备</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台（套）</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仪器设备固有资产原值</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val="0"/>
        <w:autoSpaceDN w:val="0"/>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)该机构现有工作人员</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名，其中</w:t>
      </w:r>
      <w:r>
        <w:rPr>
          <w:rFonts w:hint="eastAsia" w:ascii="仿宋_GB2312" w:hAnsi="仿宋_GB2312" w:eastAsia="仿宋_GB2312" w:cs="仿宋_GB2312"/>
          <w:sz w:val="32"/>
          <w:szCs w:val="32"/>
          <w:highlight w:val="none"/>
          <w:lang w:val="en-US" w:eastAsia="zh-CN"/>
        </w:rPr>
        <w:t>专业技术</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val="en-US" w:eastAsia="zh-CN"/>
        </w:rPr>
        <w:t>中级职称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高</w:t>
      </w:r>
      <w:r>
        <w:rPr>
          <w:rFonts w:hint="eastAsia" w:ascii="仿宋_GB2312" w:hAnsi="仿宋_GB2312" w:eastAsia="仿宋_GB2312" w:cs="仿宋_GB2312"/>
          <w:sz w:val="32"/>
          <w:szCs w:val="32"/>
          <w:highlight w:val="none"/>
          <w:lang w:val="en-US" w:eastAsia="zh-CN"/>
        </w:rPr>
        <w:t>级职称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正高级</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val="0"/>
        <w:autoSpaceDN w:val="0"/>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专家评审共安排</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lang w:eastAsia="zh-CN"/>
        </w:rPr>
        <w:t>个检测专项</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lang w:eastAsia="zh-CN"/>
        </w:rPr>
        <w:t>检测项目</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lang w:eastAsia="zh-CN"/>
        </w:rPr>
        <w:t xml:space="preserve">个参数的现场试验，其中必备项目试验参数占必备参数 </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lang w:eastAsia="zh-CN"/>
        </w:rPr>
        <w:t>％（含利用能力验证/比对试验结果的），可选参数占申请的可选参数</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lang w:eastAsia="zh-CN"/>
        </w:rPr>
        <w:t xml:space="preserve"> ％（含利用能力验证/比对试验结果的），对</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名报告批准人进行了考核。</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其他需要说明的事项:</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检测机构共申请</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个专项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个项目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个参数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eastAsia="zh-CN"/>
        </w:rPr>
        <w:t>专家评审</w:t>
      </w:r>
      <w:r>
        <w:rPr>
          <w:rFonts w:hint="eastAsia" w:ascii="仿宋_GB2312" w:hAnsi="仿宋_GB2312" w:eastAsia="仿宋_GB2312" w:cs="仿宋_GB2312"/>
          <w:sz w:val="32"/>
          <w:szCs w:val="32"/>
          <w:highlight w:val="none"/>
        </w:rPr>
        <w:t>，评审组推荐批准的认定项目共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个专项</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个项目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个参数</w:t>
      </w:r>
      <w:r>
        <w:rPr>
          <w:rFonts w:hint="eastAsia" w:ascii="仿宋_GB2312" w:hAnsi="仿宋_GB2312" w:eastAsia="仿宋_GB2312" w:cs="仿宋_GB2312"/>
          <w:sz w:val="32"/>
          <w:szCs w:val="32"/>
          <w:highlight w:val="none"/>
        </w:rPr>
        <w:t>，具体详见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建议批准的检测能力表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；同意推荐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名报告</w:t>
      </w:r>
      <w:r>
        <w:rPr>
          <w:rFonts w:hint="eastAsia" w:ascii="仿宋_GB2312" w:hAnsi="仿宋_GB2312" w:eastAsia="仿宋_GB2312" w:cs="仿宋_GB2312"/>
          <w:sz w:val="32"/>
          <w:szCs w:val="32"/>
          <w:highlight w:val="none"/>
          <w:lang w:val="en-US" w:eastAsia="zh-CN"/>
        </w:rPr>
        <w:t>批准</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具体详见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建议批准的</w:t>
      </w:r>
      <w:r>
        <w:rPr>
          <w:rFonts w:hint="eastAsia" w:ascii="仿宋_GB2312" w:hAnsi="仿宋_GB2312" w:eastAsia="仿宋_GB2312" w:cs="仿宋_GB2312"/>
          <w:sz w:val="32"/>
          <w:szCs w:val="32"/>
          <w:highlight w:val="none"/>
          <w:lang w:val="en-US" w:eastAsia="zh-CN"/>
        </w:rPr>
        <w:t>检测</w:t>
      </w:r>
      <w:r>
        <w:rPr>
          <w:rFonts w:hint="eastAsia" w:ascii="仿宋_GB2312" w:hAnsi="仿宋_GB2312" w:eastAsia="仿宋_GB2312" w:cs="仿宋_GB2312"/>
          <w:sz w:val="32"/>
          <w:szCs w:val="32"/>
          <w:highlight w:val="none"/>
        </w:rPr>
        <w:t>报告</w:t>
      </w:r>
      <w:r>
        <w:rPr>
          <w:rFonts w:hint="eastAsia" w:ascii="仿宋_GB2312" w:hAnsi="仿宋_GB2312" w:eastAsia="仿宋_GB2312" w:cs="仿宋_GB2312"/>
          <w:sz w:val="32"/>
          <w:szCs w:val="32"/>
          <w:highlight w:val="none"/>
          <w:lang w:val="en-US" w:eastAsia="zh-CN"/>
        </w:rPr>
        <w:t>批准</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附表</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val="0"/>
        <w:autoSpaceDN w:val="0"/>
        <w:bidi w:val="0"/>
        <w:snapToGrid w:val="0"/>
        <w:spacing w:line="560" w:lineRule="exact"/>
        <w:jc w:val="left"/>
        <w:textAlignment w:val="auto"/>
        <w:rPr>
          <w:rFonts w:hint="eastAsia" w:ascii="仿宋_GB2312" w:hAnsi="仿宋_GB2312" w:eastAsia="仿宋_GB2312" w:cs="仿宋_GB2312"/>
          <w:kern w:val="0"/>
          <w:sz w:val="32"/>
          <w:szCs w:val="32"/>
          <w:highlight w:val="none"/>
        </w:rPr>
      </w:pP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val="0"/>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评审结论</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□鉴于以上评审结果，评审组认为被评审机构的质量体系和技术能力满足《建设工程质量检测管理办法》（住建部57号令）、《建设工程质量检测机构资质标准》、《</w:t>
      </w:r>
      <w:r>
        <w:rPr>
          <w:rFonts w:hint="eastAsia" w:ascii="仿宋_GB2312" w:hAnsi="仿宋_GB2312" w:eastAsia="仿宋_GB2312" w:cs="仿宋_GB2312"/>
          <w:sz w:val="32"/>
          <w:szCs w:val="32"/>
          <w:highlight w:val="none"/>
          <w:lang w:eastAsia="zh-CN"/>
        </w:rPr>
        <w:t>建设工程质量检测管理办法实施意见</w:t>
      </w:r>
      <w:r>
        <w:rPr>
          <w:rFonts w:hint="eastAsia" w:ascii="仿宋_GB2312" w:hAnsi="仿宋_GB2312" w:eastAsia="仿宋_GB2312" w:cs="仿宋_GB2312"/>
          <w:sz w:val="32"/>
          <w:szCs w:val="32"/>
          <w:highlight w:val="none"/>
        </w:rPr>
        <w:t>》、《广东省建设工程质量检测管理实施细则》以及《检测和校准实验室能力的通用要求》（GB/T 27025-2019）</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，评审组同意将该检测机构通过</w:t>
      </w:r>
      <w:r>
        <w:rPr>
          <w:rFonts w:hint="eastAsia" w:ascii="仿宋_GB2312" w:hAnsi="仿宋_GB2312" w:eastAsia="仿宋_GB2312" w:cs="仿宋_GB2312"/>
          <w:sz w:val="32"/>
          <w:szCs w:val="32"/>
          <w:highlight w:val="none"/>
          <w:lang w:eastAsia="zh-CN"/>
        </w:rPr>
        <w:t>专家评审</w:t>
      </w:r>
      <w:r>
        <w:rPr>
          <w:rFonts w:hint="eastAsia" w:ascii="仿宋_GB2312" w:hAnsi="仿宋_GB2312" w:eastAsia="仿宋_GB2312" w:cs="仿宋_GB2312"/>
          <w:sz w:val="32"/>
          <w:szCs w:val="32"/>
          <w:highlight w:val="none"/>
        </w:rPr>
        <w:t>，报呈</w:t>
      </w:r>
      <w:r>
        <w:rPr>
          <w:rFonts w:hint="eastAsia" w:ascii="仿宋_GB2312" w:hAnsi="仿宋_GB2312" w:eastAsia="仿宋_GB2312" w:cs="仿宋_GB2312"/>
          <w:sz w:val="32"/>
          <w:szCs w:val="32"/>
          <w:highlight w:val="none"/>
          <w:lang w:val="en-US" w:eastAsia="zh-CN"/>
        </w:rPr>
        <w:t>资质审批部门</w:t>
      </w:r>
      <w:r>
        <w:rPr>
          <w:rFonts w:hint="eastAsia" w:ascii="仿宋_GB2312" w:hAnsi="仿宋_GB2312" w:eastAsia="仿宋_GB2312" w:cs="仿宋_GB2312"/>
          <w:sz w:val="32"/>
          <w:szCs w:val="32"/>
          <w:highlight w:val="none"/>
        </w:rPr>
        <w:t>审批。</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□鉴于以上评审结果，评审组认为被评审机构的质量体系和技术能力不满足《建设工程质量检测管理办法》（住建部57号令）、《建设工程质量检测机构资质标准》、《</w:t>
      </w:r>
      <w:r>
        <w:rPr>
          <w:rFonts w:hint="eastAsia" w:ascii="仿宋_GB2312" w:hAnsi="仿宋_GB2312" w:eastAsia="仿宋_GB2312" w:cs="仿宋_GB2312"/>
          <w:sz w:val="32"/>
          <w:szCs w:val="32"/>
          <w:highlight w:val="none"/>
          <w:lang w:eastAsia="zh-CN"/>
        </w:rPr>
        <w:t>建设工程质量检测管理办法实施意见</w:t>
      </w:r>
      <w:r>
        <w:rPr>
          <w:rFonts w:hint="eastAsia" w:ascii="仿宋_GB2312" w:hAnsi="仿宋_GB2312" w:eastAsia="仿宋_GB2312" w:cs="仿宋_GB2312"/>
          <w:sz w:val="32"/>
          <w:szCs w:val="32"/>
          <w:highlight w:val="none"/>
        </w:rPr>
        <w:t>》、《广东省建设工程质量检测管理实施细则》以及《检测和校准实验室能力的通用要求》（GB/T 27025-2019）</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，评审组不予通过</w:t>
      </w:r>
      <w:r>
        <w:rPr>
          <w:rFonts w:hint="eastAsia" w:ascii="仿宋_GB2312" w:hAnsi="仿宋_GB2312" w:eastAsia="仿宋_GB2312" w:cs="仿宋_GB2312"/>
          <w:sz w:val="32"/>
          <w:szCs w:val="32"/>
          <w:highlight w:val="none"/>
          <w:lang w:eastAsia="zh-CN"/>
        </w:rPr>
        <w:t>专家评审</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□鉴于以上评审结果，评审组认为被评审机构的质量体系和技术能力基本满足《建设工程质量检测管理办法》（住建部57号令）、《建设工程质量检测机构资质标准》、《</w:t>
      </w:r>
      <w:r>
        <w:rPr>
          <w:rFonts w:hint="eastAsia" w:ascii="仿宋_GB2312" w:hAnsi="仿宋_GB2312" w:eastAsia="仿宋_GB2312" w:cs="仿宋_GB2312"/>
          <w:sz w:val="32"/>
          <w:szCs w:val="32"/>
          <w:highlight w:val="none"/>
          <w:lang w:eastAsia="zh-CN"/>
        </w:rPr>
        <w:t>建设工程质量检测管理办法实施意见</w:t>
      </w:r>
      <w:r>
        <w:rPr>
          <w:rFonts w:hint="eastAsia" w:ascii="仿宋_GB2312" w:hAnsi="仿宋_GB2312" w:eastAsia="仿宋_GB2312" w:cs="仿宋_GB2312"/>
          <w:sz w:val="32"/>
          <w:szCs w:val="32"/>
          <w:highlight w:val="none"/>
        </w:rPr>
        <w:t>》、《广东省建设工程质量检测管理实施细则》以及《检测和校准实验室能力的通用要求》（GB/T 27025-2019）</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，建议检测机构按规定要求，提出</w:t>
      </w:r>
      <w:r>
        <w:rPr>
          <w:rFonts w:hint="eastAsia" w:ascii="仿宋_GB2312" w:hAnsi="仿宋_GB2312" w:eastAsia="仿宋_GB2312" w:cs="仿宋_GB2312"/>
          <w:sz w:val="32"/>
          <w:szCs w:val="32"/>
          <w:highlight w:val="none"/>
          <w:lang w:val="en-US" w:eastAsia="zh-CN"/>
        </w:rPr>
        <w:t>整改</w:t>
      </w:r>
      <w:r>
        <w:rPr>
          <w:rFonts w:hint="eastAsia" w:ascii="仿宋_GB2312" w:hAnsi="仿宋_GB2312" w:eastAsia="仿宋_GB2312" w:cs="仿宋_GB2312"/>
          <w:sz w:val="32"/>
          <w:szCs w:val="32"/>
          <w:highlight w:val="none"/>
        </w:rPr>
        <w:t>措施，并将落实情况报</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组跟踪审核后，同意将该检测机构通过</w:t>
      </w:r>
      <w:r>
        <w:rPr>
          <w:rFonts w:hint="eastAsia" w:ascii="仿宋_GB2312" w:hAnsi="仿宋_GB2312" w:eastAsia="仿宋_GB2312" w:cs="仿宋_GB2312"/>
          <w:sz w:val="32"/>
          <w:szCs w:val="32"/>
          <w:highlight w:val="none"/>
          <w:lang w:eastAsia="zh-CN"/>
        </w:rPr>
        <w:t>专家评审</w:t>
      </w:r>
      <w:r>
        <w:rPr>
          <w:rFonts w:hint="eastAsia" w:ascii="仿宋_GB2312" w:hAnsi="仿宋_GB2312" w:eastAsia="仿宋_GB2312" w:cs="仿宋_GB2312"/>
          <w:sz w:val="32"/>
          <w:szCs w:val="32"/>
          <w:highlight w:val="none"/>
        </w:rPr>
        <w:t>，报呈</w:t>
      </w:r>
      <w:r>
        <w:rPr>
          <w:rFonts w:hint="eastAsia" w:ascii="仿宋_GB2312" w:hAnsi="仿宋_GB2312" w:eastAsia="仿宋_GB2312" w:cs="仿宋_GB2312"/>
          <w:sz w:val="32"/>
          <w:szCs w:val="32"/>
          <w:highlight w:val="none"/>
          <w:lang w:val="en-US" w:eastAsia="zh-CN"/>
        </w:rPr>
        <w:t>资质审批部门</w:t>
      </w:r>
      <w:r>
        <w:rPr>
          <w:rFonts w:hint="eastAsia" w:ascii="仿宋_GB2312" w:hAnsi="仿宋_GB2312" w:eastAsia="仿宋_GB2312" w:cs="仿宋_GB2312"/>
          <w:sz w:val="32"/>
          <w:szCs w:val="32"/>
          <w:highlight w:val="none"/>
        </w:rPr>
        <w:t>审批。跟踪审核拟采用的方式是：</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提交必要的文件或见证材料进行文件审核。</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对部分</w:t>
      </w:r>
      <w:r>
        <w:rPr>
          <w:rFonts w:hint="eastAsia" w:ascii="仿宋_GB2312" w:hAnsi="仿宋_GB2312" w:eastAsia="仿宋_GB2312" w:cs="仿宋_GB2312"/>
          <w:sz w:val="32"/>
          <w:szCs w:val="32"/>
          <w:highlight w:val="none"/>
          <w:lang w:val="en-US" w:eastAsia="zh-CN"/>
        </w:rPr>
        <w:t>整改</w:t>
      </w:r>
      <w:r>
        <w:rPr>
          <w:rFonts w:hint="eastAsia" w:ascii="仿宋_GB2312" w:hAnsi="仿宋_GB2312" w:eastAsia="仿宋_GB2312" w:cs="仿宋_GB2312"/>
          <w:sz w:val="32"/>
          <w:szCs w:val="32"/>
          <w:highlight w:val="none"/>
        </w:rPr>
        <w:t>措施落实情况进行现场跟踪</w:t>
      </w:r>
      <w:r>
        <w:rPr>
          <w:rFonts w:hint="eastAsia" w:ascii="仿宋_GB2312" w:hAnsi="仿宋_GB2312" w:eastAsia="仿宋_GB2312" w:cs="仿宋_GB2312"/>
          <w:sz w:val="32"/>
          <w:szCs w:val="32"/>
          <w:highlight w:val="none"/>
          <w:lang w:val="en-US" w:eastAsia="zh-CN"/>
        </w:rPr>
        <w:t>或视频</w:t>
      </w:r>
      <w:r>
        <w:rPr>
          <w:rFonts w:hint="eastAsia" w:ascii="仿宋_GB2312" w:hAnsi="仿宋_GB2312" w:eastAsia="仿宋_GB2312" w:cs="仿宋_GB2312"/>
          <w:sz w:val="32"/>
          <w:szCs w:val="32"/>
          <w:highlight w:val="none"/>
        </w:rPr>
        <w:t>审核。</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文件审核和现场跟踪评审两种情况结合进行。</w:t>
      </w:r>
    </w:p>
    <w:p>
      <w:pPr>
        <w:keepNext w:val="0"/>
        <w:keepLines w:val="0"/>
        <w:pageBreakBefore w:val="0"/>
        <w:kinsoku/>
        <w:wordWrap/>
        <w:overflowPunct/>
        <w:topLinePunct w:val="0"/>
        <w:autoSpaceDE w:val="0"/>
        <w:autoSpaceDN w:val="0"/>
        <w:bidi w:val="0"/>
        <w:snapToGrid w:val="0"/>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评审组与检测机构商定完</w:t>
      </w:r>
      <w:r>
        <w:rPr>
          <w:rFonts w:hint="eastAsia" w:ascii="仿宋_GB2312" w:hAnsi="仿宋_GB2312" w:eastAsia="仿宋_GB2312" w:cs="仿宋_GB2312"/>
          <w:color w:val="auto"/>
          <w:sz w:val="32"/>
          <w:szCs w:val="32"/>
          <w:highlight w:val="none"/>
        </w:rPr>
        <w:t>成</w:t>
      </w:r>
      <w:r>
        <w:rPr>
          <w:rFonts w:hint="eastAsia" w:ascii="仿宋_GB2312" w:hAnsi="仿宋_GB2312" w:eastAsia="仿宋_GB2312" w:cs="仿宋_GB2312"/>
          <w:color w:val="auto"/>
          <w:sz w:val="32"/>
          <w:szCs w:val="32"/>
          <w:highlight w:val="none"/>
          <w:lang w:val="en-US" w:eastAsia="zh-CN"/>
        </w:rPr>
        <w:t>整改</w:t>
      </w:r>
      <w:r>
        <w:rPr>
          <w:rFonts w:hint="eastAsia" w:ascii="仿宋_GB2312" w:hAnsi="仿宋_GB2312" w:eastAsia="仿宋_GB2312" w:cs="仿宋_GB2312"/>
          <w:color w:val="auto"/>
          <w:sz w:val="32"/>
          <w:szCs w:val="32"/>
          <w:highlight w:val="none"/>
        </w:rPr>
        <w:t>措施</w:t>
      </w:r>
      <w:r>
        <w:rPr>
          <w:rFonts w:hint="eastAsia" w:ascii="仿宋_GB2312" w:hAnsi="仿宋_GB2312" w:eastAsia="仿宋_GB2312" w:cs="仿宋_GB2312"/>
          <w:sz w:val="32"/>
          <w:szCs w:val="32"/>
          <w:highlight w:val="none"/>
        </w:rPr>
        <w:t>时间：</w:t>
      </w:r>
      <w:r>
        <w:rPr>
          <w:rFonts w:hint="eastAsia" w:ascii="仿宋_GB2312" w:hAnsi="仿宋_GB2312" w:eastAsia="仿宋_GB2312" w:cs="仿宋_GB2312"/>
          <w:b w:val="0"/>
          <w:bCs w:val="0"/>
          <w:spacing w:val="20"/>
          <w:sz w:val="32"/>
          <w:szCs w:val="32"/>
          <w:highlight w:val="none"/>
          <w:u w:val="single"/>
        </w:rPr>
        <w:t>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整改项跟踪情况：</w:t>
      </w:r>
      <w:r>
        <w:rPr>
          <w:rFonts w:hint="eastAsia" w:ascii="仿宋_GB2312" w:hAnsi="仿宋_GB2312" w:eastAsia="仿宋_GB2312" w:cs="仿宋_GB2312"/>
          <w:sz w:val="32"/>
          <w:szCs w:val="32"/>
          <w:highlight w:val="none"/>
        </w:rPr>
        <w:t>本次评审共</w:t>
      </w:r>
      <w:r>
        <w:rPr>
          <w:rFonts w:hint="eastAsia" w:ascii="仿宋_GB2312" w:hAnsi="仿宋_GB2312" w:eastAsia="仿宋_GB2312" w:cs="仿宋_GB2312"/>
          <w:sz w:val="32"/>
          <w:szCs w:val="32"/>
          <w:highlight w:val="none"/>
          <w:lang w:val="en-US" w:eastAsia="zh-CN"/>
        </w:rPr>
        <w:t>发现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需要整改</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，已按期整改</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，未按期整改</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
          <w:bCs/>
          <w:kern w:val="0"/>
          <w:sz w:val="32"/>
          <w:szCs w:val="32"/>
          <w:highlight w:val="none"/>
        </w:rPr>
      </w:pPr>
    </w:p>
    <w:p>
      <w:pPr>
        <w:keepNext w:val="0"/>
        <w:keepLines w:val="0"/>
        <w:pageBreakBefore w:val="0"/>
        <w:kinsoku/>
        <w:wordWrap/>
        <w:overflowPunct/>
        <w:topLinePunct w:val="0"/>
        <w:autoSpaceDE w:val="0"/>
        <w:autoSpaceDN w:val="0"/>
        <w:bidi w:val="0"/>
        <w:snapToGrid w:val="0"/>
        <w:spacing w:line="560" w:lineRule="exac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评审组</w:t>
      </w:r>
      <w:r>
        <w:rPr>
          <w:rFonts w:hint="eastAsia" w:ascii="仿宋_GB2312" w:hAnsi="仿宋_GB2312" w:eastAsia="仿宋_GB2312" w:cs="仿宋_GB2312"/>
          <w:kern w:val="0"/>
          <w:sz w:val="32"/>
          <w:szCs w:val="32"/>
          <w:highlight w:val="none"/>
        </w:rPr>
        <w:t xml:space="preserve">签名：                                     </w:t>
      </w:r>
    </w:p>
    <w:p>
      <w:pPr>
        <w:keepNext w:val="0"/>
        <w:keepLines w:val="0"/>
        <w:pageBreakBefore w:val="0"/>
        <w:kinsoku/>
        <w:wordWrap/>
        <w:overflowPunct/>
        <w:topLinePunct w:val="0"/>
        <w:autoSpaceDE w:val="0"/>
        <w:autoSpaceDN w:val="0"/>
        <w:bidi w:val="0"/>
        <w:snapToGrid w:val="0"/>
        <w:spacing w:line="560" w:lineRule="exact"/>
        <w:jc w:val="left"/>
        <w:textAlignment w:val="auto"/>
        <w:rPr>
          <w:rFonts w:hint="eastAsia" w:ascii="仿宋_GB2312" w:hAnsi="仿宋_GB2312" w:eastAsia="仿宋_GB2312" w:cs="仿宋_GB2312"/>
          <w:kern w:val="0"/>
          <w:sz w:val="32"/>
          <w:szCs w:val="32"/>
          <w:highlight w:val="none"/>
        </w:rPr>
      </w:pPr>
    </w:p>
    <w:p>
      <w:pPr>
        <w:keepNext w:val="0"/>
        <w:keepLines w:val="0"/>
        <w:pageBreakBefore w:val="0"/>
        <w:kinsoku/>
        <w:wordWrap/>
        <w:overflowPunct/>
        <w:topLinePunct w:val="0"/>
        <w:autoSpaceDE w:val="0"/>
        <w:autoSpaceDN w:val="0"/>
        <w:bidi w:val="0"/>
        <w:snapToGrid w:val="0"/>
        <w:spacing w:line="560" w:lineRule="exact"/>
        <w:jc w:val="left"/>
        <w:textAlignment w:val="auto"/>
        <w:rPr>
          <w:rFonts w:hint="eastAsia" w:ascii="仿宋_GB2312" w:hAnsi="仿宋_GB2312" w:eastAsia="仿宋_GB2312" w:cs="仿宋_GB2312"/>
          <w:kern w:val="0"/>
          <w:sz w:val="32"/>
          <w:szCs w:val="32"/>
          <w:highlight w:val="none"/>
        </w:rPr>
      </w:pPr>
    </w:p>
    <w:p>
      <w:pPr>
        <w:keepNext w:val="0"/>
        <w:keepLines w:val="0"/>
        <w:pageBreakBefore w:val="0"/>
        <w:kinsoku/>
        <w:wordWrap/>
        <w:overflowPunct/>
        <w:topLinePunct w:val="0"/>
        <w:autoSpaceDE w:val="0"/>
        <w:autoSpaceDN w:val="0"/>
        <w:bidi w:val="0"/>
        <w:snapToGrid w:val="0"/>
        <w:spacing w:line="560" w:lineRule="exact"/>
        <w:ind w:firstLine="6400" w:firstLineChars="20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年   月   日</w:t>
      </w:r>
    </w:p>
    <w:p>
      <w:pPr>
        <w:spacing w:line="360" w:lineRule="auto"/>
        <w:jc w:val="left"/>
        <w:rPr>
          <w:rFonts w:hint="eastAsia" w:ascii="黑体" w:hAnsi="黑体" w:eastAsia="黑体" w:cs="黑体"/>
          <w:color w:val="auto"/>
          <w:sz w:val="32"/>
          <w:highlight w:val="none"/>
        </w:rPr>
      </w:pPr>
      <w:r>
        <w:rPr>
          <w:rFonts w:ascii="宋体"/>
          <w:b/>
          <w:bCs/>
          <w:kern w:val="0"/>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olor w:val="auto"/>
          <w:sz w:val="44"/>
          <w:highlight w:val="none"/>
          <w:lang w:eastAsia="zh-CN"/>
        </w:rPr>
      </w:pPr>
      <w:r>
        <w:rPr>
          <w:rFonts w:hint="eastAsia" w:ascii="方正小标宋简体" w:hAnsi="方正小标宋简体" w:eastAsia="方正小标宋简体" w:cs="方正小标宋简体"/>
          <w:bCs/>
          <w:color w:val="auto"/>
          <w:sz w:val="44"/>
          <w:szCs w:val="44"/>
          <w:highlight w:val="none"/>
          <w:lang w:val="en-US" w:eastAsia="zh-CN"/>
        </w:rPr>
        <w:t>建议批准的检测专项及检测能力表</w:t>
      </w:r>
    </w:p>
    <w:p>
      <w:pPr>
        <w:spacing w:line="360" w:lineRule="auto"/>
        <w:jc w:val="left"/>
        <w:rPr>
          <w:rFonts w:hint="eastAsia" w:asciiTheme="minorEastAsia" w:hAnsiTheme="minorEastAsia" w:eastAsiaTheme="minorEastAsia" w:cstheme="minorEastAsia"/>
          <w:color w:val="FFFFFF" w:themeColor="background1"/>
          <w:sz w:val="21"/>
          <w:szCs w:val="21"/>
          <w:highlight w:val="none"/>
          <w14:textFill>
            <w14:solidFill>
              <w14:schemeClr w14:val="bg1"/>
            </w14:solidFill>
          </w14:textFill>
        </w:rPr>
      </w:pPr>
      <w:r>
        <w:rPr>
          <w:rFonts w:hint="eastAsia" w:asciiTheme="minorEastAsia" w:hAnsiTheme="minorEastAsia" w:eastAsiaTheme="minorEastAsia" w:cstheme="minorEastAsia"/>
          <w:color w:val="auto"/>
          <w:sz w:val="21"/>
          <w:szCs w:val="21"/>
          <w:highlight w:val="none"/>
        </w:rPr>
        <w:t>机构名称：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FFFFFF" w:themeColor="background1"/>
          <w:sz w:val="21"/>
          <w:szCs w:val="21"/>
          <w:highlight w:val="none"/>
          <w14:textFill>
            <w14:solidFill>
              <w14:schemeClr w14:val="bg1"/>
            </w14:solidFill>
          </w14:textFill>
        </w:rPr>
        <w:t xml:space="preserve">    </w:t>
      </w:r>
      <w:r>
        <w:rPr>
          <w:rFonts w:hint="eastAsia" w:asciiTheme="minorEastAsia" w:hAnsiTheme="minorEastAsia" w:eastAsiaTheme="minorEastAsia" w:cstheme="minorEastAsia"/>
          <w:color w:val="FFFFFF" w:themeColor="background1"/>
          <w:sz w:val="21"/>
          <w:szCs w:val="21"/>
          <w:highlight w:val="none"/>
          <w:lang w:val="en-US" w:eastAsia="zh-CN"/>
          <w14:textFill>
            <w14:solidFill>
              <w14:schemeClr w14:val="bg1"/>
            </w14:solidFill>
          </w14:textFill>
        </w:rPr>
        <w:t>*</w:t>
      </w:r>
      <w:r>
        <w:rPr>
          <w:rFonts w:hint="eastAsia" w:asciiTheme="minorEastAsia" w:hAnsiTheme="minorEastAsia" w:eastAsiaTheme="minorEastAsia" w:cstheme="minorEastAsia"/>
          <w:color w:val="FFFFFF" w:themeColor="background1"/>
          <w:sz w:val="21"/>
          <w:szCs w:val="21"/>
          <w:highlight w:val="none"/>
          <w14:textFill>
            <w14:solidFill>
              <w14:schemeClr w14:val="bg1"/>
            </w14:solidFill>
          </w14:textFill>
        </w:rPr>
        <w:t xml:space="preserve">        </w:t>
      </w:r>
    </w:p>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检测场所地址</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FFFFFF" w:themeColor="background1"/>
          <w:sz w:val="21"/>
          <w:szCs w:val="21"/>
          <w:highlight w:val="none"/>
          <w:lang w:val="en-US" w:eastAsia="zh-CN"/>
          <w14:textFill>
            <w14:solidFill>
              <w14:schemeClr w14:val="bg1"/>
            </w14:solidFill>
          </w14:textFill>
        </w:rPr>
        <w:t>*</w:t>
      </w:r>
      <w:r>
        <w:rPr>
          <w:rFonts w:hint="eastAsia" w:asciiTheme="minorEastAsia" w:hAnsiTheme="minorEastAsia" w:eastAsiaTheme="minorEastAsia" w:cstheme="minorEastAsia"/>
          <w:color w:val="FFFFFF" w:themeColor="background1"/>
          <w:sz w:val="21"/>
          <w:szCs w:val="21"/>
          <w:highlight w:val="none"/>
          <w:u w:val="single"/>
          <w14:textFill>
            <w14:solidFill>
              <w14:schemeClr w14:val="bg1"/>
            </w14:solidFill>
          </w14:textFill>
        </w:rPr>
        <w:t xml:space="preserve">       </w:t>
      </w:r>
    </w:p>
    <w:tbl>
      <w:tblPr>
        <w:tblStyle w:val="14"/>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257"/>
        <w:gridCol w:w="1912"/>
        <w:gridCol w:w="193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检测专项</w:t>
            </w:r>
          </w:p>
        </w:tc>
        <w:tc>
          <w:tcPr>
            <w:tcW w:w="125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检测项目</w:t>
            </w: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必备参数</w:t>
            </w: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可选参数</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2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p>
        </w:tc>
      </w:tr>
    </w:tbl>
    <w:p>
      <w:pPr>
        <w:keepNext w:val="0"/>
        <w:keepLines w:val="0"/>
        <w:pageBreakBefore w:val="0"/>
        <w:widowControl w:val="0"/>
        <w:kinsoku/>
        <w:wordWrap/>
        <w:overflowPunct/>
        <w:topLinePunct w:val="0"/>
        <w:autoSpaceDE w:val="0"/>
        <w:autoSpaceDN w:val="0"/>
        <w:bidi w:val="0"/>
        <w:adjustRightInd w:val="0"/>
        <w:snapToGrid w:val="0"/>
        <w:spacing w:line="320" w:lineRule="exact"/>
        <w:ind w:right="431"/>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黑体" w:hAnsi="黑体" w:eastAsia="黑体"/>
          <w:color w:val="auto"/>
          <w:sz w:val="23"/>
          <w:highlight w:val="none"/>
          <w:lang w:val="en-US" w:eastAsia="zh-CN"/>
        </w:rPr>
        <w:t>注：</w:t>
      </w:r>
      <w:r>
        <w:rPr>
          <w:rFonts w:hint="eastAsia" w:asciiTheme="minorEastAsia" w:hAnsiTheme="minorEastAsia" w:eastAsiaTheme="minorEastAsia" w:cstheme="minorEastAsia"/>
          <w:color w:val="auto"/>
          <w:sz w:val="21"/>
          <w:szCs w:val="21"/>
          <w:highlight w:val="none"/>
          <w:lang w:val="en-US" w:eastAsia="zh-CN"/>
        </w:rPr>
        <w:t>1.此表按照检测场所地址分别填写。</w:t>
      </w:r>
    </w:p>
    <w:p>
      <w:pPr>
        <w:keepNext w:val="0"/>
        <w:keepLines w:val="0"/>
        <w:pageBreakBefore w:val="0"/>
        <w:widowControl w:val="0"/>
        <w:kinsoku/>
        <w:wordWrap/>
        <w:overflowPunct/>
        <w:topLinePunct w:val="0"/>
        <w:autoSpaceDE w:val="0"/>
        <w:autoSpaceDN w:val="0"/>
        <w:bidi w:val="0"/>
        <w:adjustRightInd w:val="0"/>
        <w:snapToGrid w:val="0"/>
        <w:spacing w:line="320" w:lineRule="exact"/>
        <w:ind w:right="431"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2.参数中有多种检测方法时应具体到检测机构具备相应检测能力的检测方法，例如混凝土强度（回弹法、钻芯法）、竖向抗压承载力（静载试验、自平衡）等参数；</w:t>
      </w:r>
    </w:p>
    <w:p>
      <w:pPr>
        <w:keepNext w:val="0"/>
        <w:keepLines w:val="0"/>
        <w:pageBreakBefore w:val="0"/>
        <w:widowControl w:val="0"/>
        <w:kinsoku/>
        <w:wordWrap/>
        <w:overflowPunct/>
        <w:topLinePunct w:val="0"/>
        <w:autoSpaceDE w:val="0"/>
        <w:autoSpaceDN w:val="0"/>
        <w:bidi w:val="0"/>
        <w:adjustRightInd w:val="0"/>
        <w:snapToGrid w:val="0"/>
        <w:spacing w:line="320" w:lineRule="exact"/>
        <w:ind w:right="431"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p>
    <w:p>
      <w:pPr>
        <w:autoSpaceDE w:val="0"/>
        <w:autoSpaceDN w:val="0"/>
        <w:adjustRightInd w:val="0"/>
        <w:snapToGrid w:val="0"/>
        <w:spacing w:before="120"/>
        <w:ind w:right="433"/>
        <w:rPr>
          <w:rFonts w:hint="eastAsia" w:asciiTheme="minorEastAsia" w:hAnsiTheme="minorEastAsia" w:eastAsiaTheme="minorEastAsia" w:cstheme="minorEastAsia"/>
          <w:color w:val="auto"/>
          <w:sz w:val="21"/>
          <w:szCs w:val="21"/>
          <w:highlight w:val="none"/>
        </w:rPr>
      </w:pPr>
    </w:p>
    <w:p>
      <w:pPr>
        <w:autoSpaceDE w:val="0"/>
        <w:autoSpaceDN w:val="0"/>
        <w:adjustRightInd w:val="0"/>
        <w:snapToGrid w:val="0"/>
        <w:spacing w:before="120"/>
        <w:ind w:right="433"/>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auto"/>
          <w:sz w:val="21"/>
          <w:szCs w:val="21"/>
          <w:highlight w:val="none"/>
        </w:rPr>
        <w:t>检测机构</w:t>
      </w:r>
      <w:r>
        <w:rPr>
          <w:rFonts w:hint="eastAsia" w:asciiTheme="minorEastAsia" w:hAnsiTheme="minorEastAsia" w:eastAsiaTheme="minorEastAsia" w:cstheme="minorEastAsia"/>
          <w:color w:val="auto"/>
          <w:sz w:val="21"/>
          <w:szCs w:val="21"/>
          <w:highlight w:val="none"/>
          <w:lang w:val="en-US" w:eastAsia="zh-CN"/>
        </w:rPr>
        <w:t>负责人（</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kern w:val="0"/>
          <w:sz w:val="21"/>
          <w:szCs w:val="21"/>
          <w:highlight w:val="none"/>
        </w:rPr>
        <w:t xml:space="preserve">                       </w:t>
      </w:r>
    </w:p>
    <w:p>
      <w:pPr>
        <w:pStyle w:val="2"/>
        <w:rPr>
          <w:rFonts w:hint="eastAsia" w:asciiTheme="minorEastAsia" w:hAnsiTheme="minorEastAsia" w:eastAsiaTheme="minorEastAsia" w:cstheme="minorEastAsia"/>
          <w:kern w:val="0"/>
          <w:sz w:val="21"/>
          <w:szCs w:val="21"/>
          <w:highlight w:val="none"/>
        </w:rPr>
      </w:pPr>
    </w:p>
    <w:p>
      <w:pPr>
        <w:autoSpaceDE w:val="0"/>
        <w:autoSpaceDN w:val="0"/>
        <w:adjustRightInd w:val="0"/>
        <w:snapToGrid w:val="0"/>
        <w:spacing w:before="120"/>
        <w:ind w:right="43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组长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 xml:space="preserve">                评审</w:t>
      </w:r>
      <w:r>
        <w:rPr>
          <w:rFonts w:hint="eastAsia" w:asciiTheme="minorEastAsia" w:hAnsiTheme="minorEastAsia" w:eastAsiaTheme="minorEastAsia" w:cstheme="minorEastAsia"/>
          <w:color w:val="auto"/>
          <w:sz w:val="21"/>
          <w:szCs w:val="21"/>
          <w:highlight w:val="none"/>
        </w:rPr>
        <w:t>专家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pPr>
        <w:spacing w:line="360" w:lineRule="auto"/>
        <w:jc w:val="left"/>
        <w:rPr>
          <w:rFonts w:ascii="微软雅黑" w:hAnsi="微软雅黑" w:eastAsia="微软雅黑"/>
          <w:color w:val="auto"/>
          <w:sz w:val="32"/>
          <w:highlight w:val="none"/>
        </w:rPr>
      </w:pPr>
      <w:r>
        <w:rPr>
          <w:rFonts w:hint="eastAsia" w:ascii="黑体" w:hAnsi="黑体" w:eastAsia="黑体"/>
          <w:color w:val="auto"/>
          <w:sz w:val="23"/>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表2</w:t>
      </w:r>
    </w:p>
    <w:p>
      <w:pPr>
        <w:spacing w:line="360" w:lineRule="auto"/>
        <w:jc w:val="center"/>
        <w:rPr>
          <w:rFonts w:hint="eastAsia" w:ascii="方正小标宋简体" w:hAnsi="方正小标宋简体" w:eastAsia="方正小标宋简体" w:cs="方正小标宋简体"/>
          <w:color w:val="auto"/>
          <w:sz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建议批准的</w:t>
      </w:r>
      <w:r>
        <w:rPr>
          <w:rFonts w:hint="eastAsia" w:ascii="方正小标宋简体" w:hAnsi="方正小标宋简体" w:eastAsia="方正小标宋简体" w:cs="方正小标宋简体"/>
          <w:bCs/>
          <w:color w:val="auto"/>
          <w:sz w:val="44"/>
          <w:szCs w:val="44"/>
          <w:highlight w:val="none"/>
        </w:rPr>
        <w:t>报告</w:t>
      </w:r>
      <w:r>
        <w:rPr>
          <w:rFonts w:hint="eastAsia" w:ascii="方正小标宋简体" w:hAnsi="方正小标宋简体" w:eastAsia="方正小标宋简体" w:cs="方正小标宋简体"/>
          <w:bCs/>
          <w:color w:val="auto"/>
          <w:sz w:val="44"/>
          <w:szCs w:val="44"/>
          <w:highlight w:val="none"/>
          <w:lang w:val="en-US" w:eastAsia="zh-CN"/>
        </w:rPr>
        <w:t>批准</w:t>
      </w:r>
      <w:r>
        <w:rPr>
          <w:rFonts w:hint="eastAsia" w:ascii="方正小标宋简体" w:hAnsi="方正小标宋简体" w:eastAsia="方正小标宋简体" w:cs="方正小标宋简体"/>
          <w:bCs/>
          <w:color w:val="auto"/>
          <w:sz w:val="44"/>
          <w:szCs w:val="44"/>
          <w:highlight w:val="none"/>
        </w:rPr>
        <w:t>人</w:t>
      </w:r>
      <w:r>
        <w:rPr>
          <w:rFonts w:hint="eastAsia" w:ascii="方正小标宋简体" w:hAnsi="方正小标宋简体" w:eastAsia="方正小标宋简体" w:cs="方正小标宋简体"/>
          <w:bCs/>
          <w:color w:val="auto"/>
          <w:sz w:val="44"/>
          <w:szCs w:val="44"/>
          <w:highlight w:val="none"/>
          <w:lang w:val="en-US" w:eastAsia="zh-CN"/>
        </w:rPr>
        <w:t>汇总</w:t>
      </w:r>
      <w:r>
        <w:rPr>
          <w:rFonts w:hint="eastAsia" w:ascii="方正小标宋简体" w:hAnsi="方正小标宋简体" w:eastAsia="方正小标宋简体" w:cs="方正小标宋简体"/>
          <w:bCs/>
          <w:color w:val="auto"/>
          <w:sz w:val="44"/>
          <w:szCs w:val="44"/>
          <w:highlight w:val="none"/>
        </w:rPr>
        <w:t>表</w:t>
      </w:r>
    </w:p>
    <w:p>
      <w:pPr>
        <w:spacing w:line="360" w:lineRule="auto"/>
        <w:jc w:val="left"/>
        <w:rPr>
          <w:rFonts w:hint="eastAsia" w:asciiTheme="minorEastAsia" w:hAnsiTheme="minorEastAsia" w:eastAsiaTheme="minorEastAsia" w:cstheme="minorEastAsia"/>
          <w:color w:val="FFFFFF" w:themeColor="background1"/>
          <w:sz w:val="21"/>
          <w:szCs w:val="21"/>
          <w:highlight w:val="none"/>
          <w14:textFill>
            <w14:solidFill>
              <w14:schemeClr w14:val="bg1"/>
            </w14:solidFill>
          </w14:textFill>
        </w:rPr>
      </w:pPr>
      <w:r>
        <w:rPr>
          <w:rFonts w:hint="eastAsia" w:asciiTheme="minorEastAsia" w:hAnsiTheme="minorEastAsia" w:eastAsiaTheme="minorEastAsia" w:cstheme="minorEastAsia"/>
          <w:color w:val="auto"/>
          <w:sz w:val="21"/>
          <w:szCs w:val="21"/>
          <w:highlight w:val="none"/>
        </w:rPr>
        <w:t>机构名称：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FFFFFF" w:themeColor="background1"/>
          <w:sz w:val="21"/>
          <w:szCs w:val="21"/>
          <w:highlight w:val="none"/>
          <w14:textFill>
            <w14:solidFill>
              <w14:schemeClr w14:val="bg1"/>
            </w14:solidFill>
          </w14:textFill>
        </w:rPr>
        <w:t xml:space="preserve"> </w:t>
      </w:r>
      <w:r>
        <w:rPr>
          <w:rFonts w:hint="eastAsia" w:asciiTheme="minorEastAsia" w:hAnsiTheme="minorEastAsia" w:eastAsiaTheme="minorEastAsia" w:cstheme="minorEastAsia"/>
          <w:color w:val="FFFFFF" w:themeColor="background1"/>
          <w:sz w:val="21"/>
          <w:szCs w:val="21"/>
          <w:highlight w:val="none"/>
          <w:lang w:val="en-US" w:eastAsia="zh-CN"/>
          <w14:textFill>
            <w14:solidFill>
              <w14:schemeClr w14:val="bg1"/>
            </w14:solidFill>
          </w14:textFill>
        </w:rPr>
        <w:t>.</w:t>
      </w:r>
      <w:r>
        <w:rPr>
          <w:rFonts w:hint="eastAsia" w:asciiTheme="minorEastAsia" w:hAnsiTheme="minorEastAsia" w:eastAsiaTheme="minorEastAsia" w:cstheme="minorEastAsia"/>
          <w:color w:val="FFFFFF" w:themeColor="background1"/>
          <w:sz w:val="21"/>
          <w:szCs w:val="21"/>
          <w:highlight w:val="none"/>
          <w14:textFill>
            <w14:solidFill>
              <w14:schemeClr w14:val="bg1"/>
            </w14:solidFill>
          </w14:textFill>
        </w:rPr>
        <w:t xml:space="preserve">        </w:t>
      </w:r>
    </w:p>
    <w:p>
      <w:pPr>
        <w:spacing w:line="360" w:lineRule="auto"/>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检测场所地址**：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FFFFFF" w:themeColor="background1"/>
          <w:sz w:val="21"/>
          <w:szCs w:val="21"/>
          <w:highlight w:val="none"/>
          <w14:textFill>
            <w14:solidFill>
              <w14:schemeClr w14:val="bg1"/>
            </w14:solidFill>
          </w14:textFill>
        </w:rPr>
        <w:t xml:space="preserve"> </w:t>
      </w:r>
      <w:r>
        <w:rPr>
          <w:rFonts w:hint="eastAsia" w:asciiTheme="minorEastAsia" w:hAnsiTheme="minorEastAsia" w:eastAsiaTheme="minorEastAsia" w:cstheme="minorEastAsia"/>
          <w:color w:val="FFFFFF" w:themeColor="background1"/>
          <w:sz w:val="21"/>
          <w:szCs w:val="21"/>
          <w:highlight w:val="none"/>
          <w:lang w:val="en-US" w:eastAsia="zh-CN"/>
          <w14:textFill>
            <w14:solidFill>
              <w14:schemeClr w14:val="bg1"/>
            </w14:solidFill>
          </w14:textFill>
        </w:rPr>
        <w:t>.</w:t>
      </w:r>
      <w:r>
        <w:rPr>
          <w:rFonts w:hint="eastAsia" w:asciiTheme="minorEastAsia" w:hAnsiTheme="minorEastAsia" w:eastAsiaTheme="minorEastAsia" w:cstheme="minorEastAsia"/>
          <w:color w:val="FFFFFF" w:themeColor="background1"/>
          <w:sz w:val="21"/>
          <w:szCs w:val="21"/>
          <w:highlight w:val="none"/>
          <w:u w:val="single"/>
          <w14:textFill>
            <w14:solidFill>
              <w14:schemeClr w14:val="bg1"/>
            </w14:solidFill>
          </w14:textFill>
        </w:rPr>
        <w:t xml:space="preserve">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92"/>
        <w:gridCol w:w="1687"/>
        <w:gridCol w:w="392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序号</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姓名</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职务/职称</w:t>
            </w:r>
          </w:p>
        </w:tc>
        <w:tc>
          <w:tcPr>
            <w:tcW w:w="413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签字范围</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1</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olor w:val="auto"/>
                <w:highlight w:val="none"/>
              </w:rPr>
            </w:pPr>
          </w:p>
        </w:tc>
        <w:tc>
          <w:tcPr>
            <w:tcW w:w="4139" w:type="dxa"/>
            <w:tcBorders>
              <w:top w:val="single" w:color="auto" w:sz="4" w:space="0"/>
              <w:left w:val="single" w:color="auto" w:sz="4" w:space="0"/>
              <w:bottom w:val="single" w:color="auto" w:sz="4" w:space="0"/>
              <w:right w:val="single" w:color="auto" w:sz="4" w:space="0"/>
              <w:tl2br w:val="nil"/>
              <w:tr2bl w:val="nil"/>
            </w:tcBorders>
            <w:vAlign w:val="center"/>
          </w:tcPr>
          <w:p>
            <w:pPr>
              <w:spacing w:before="312" w:beforeLines="100" w:line="288" w:lineRule="auto"/>
              <w:jc w:val="left"/>
              <w:rPr>
                <w:rFonts w:ascii="黑体" w:hAnsi="黑体" w:eastAsia="黑体"/>
                <w:color w:val="auto"/>
                <w:sz w:val="22"/>
                <w:highlight w:val="none"/>
              </w:rPr>
            </w:pPr>
            <w:r>
              <w:rPr>
                <w:rFonts w:hint="eastAsia" w:ascii="黑体" w:hAnsi="黑体" w:eastAsia="黑体"/>
                <w:color w:val="auto"/>
                <w:sz w:val="22"/>
                <w:highlight w:val="none"/>
              </w:rPr>
              <w:t>例：</w:t>
            </w:r>
          </w:p>
          <w:p>
            <w:pPr>
              <w:spacing w:line="288" w:lineRule="auto"/>
              <w:jc w:val="left"/>
              <w:rPr>
                <w:rFonts w:ascii="Calibri" w:hAnsi="Calibri" w:eastAsia="Calibri"/>
                <w:color w:val="auto"/>
                <w:highlight w:val="none"/>
              </w:rPr>
            </w:pPr>
            <w:r>
              <w:rPr>
                <w:rFonts w:hint="eastAsia" w:ascii="宋体" w:hAnsi="宋体"/>
                <w:b/>
                <w:color w:val="auto"/>
                <w:highlight w:val="none"/>
              </w:rPr>
              <w:t>建筑材料及构配件</w:t>
            </w:r>
            <w:r>
              <w:rPr>
                <w:rFonts w:hint="eastAsia" w:ascii="宋体" w:hAnsi="宋体"/>
                <w:color w:val="auto"/>
                <w:highlight w:val="none"/>
              </w:rPr>
              <w:t>：水泥，钢筋（含焊接与机械连接），骨料</w:t>
            </w:r>
            <w:r>
              <w:rPr>
                <w:rFonts w:ascii="Calibri" w:hAnsi="Calibri" w:eastAsia="Calibri"/>
                <w:color w:val="auto"/>
                <w:highlight w:val="none"/>
              </w:rPr>
              <w:t>/</w:t>
            </w:r>
            <w:r>
              <w:rPr>
                <w:rFonts w:hint="eastAsia" w:ascii="宋体" w:hAnsi="宋体"/>
                <w:color w:val="auto"/>
                <w:highlight w:val="none"/>
              </w:rPr>
              <w:t>集料，防水材料及防水密封材料</w:t>
            </w:r>
          </w:p>
          <w:p>
            <w:pPr>
              <w:spacing w:after="156" w:afterLines="50" w:line="288" w:lineRule="auto"/>
              <w:jc w:val="left"/>
              <w:rPr>
                <w:rFonts w:ascii="Calibri" w:hAnsi="Calibri" w:eastAsia="Calibri"/>
                <w:color w:val="auto"/>
                <w:highlight w:val="none"/>
              </w:rPr>
            </w:pPr>
            <w:r>
              <w:rPr>
                <w:rFonts w:hint="eastAsia" w:ascii="宋体" w:hAnsi="宋体"/>
                <w:b/>
                <w:color w:val="auto"/>
                <w:highlight w:val="none"/>
              </w:rPr>
              <w:t>主体结构及装饰装修</w:t>
            </w:r>
            <w:r>
              <w:rPr>
                <w:rFonts w:hint="eastAsia" w:ascii="宋体" w:hAnsi="宋体"/>
                <w:color w:val="auto"/>
                <w:highlight w:val="none"/>
              </w:rPr>
              <w:t>：混凝土结构构件强度、砌体结构构件强度，钢筋及保护层厚度，植筋锚固力</w:t>
            </w: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2</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olor w:val="auto"/>
                <w:highlight w:val="none"/>
              </w:rPr>
            </w:pPr>
          </w:p>
        </w:tc>
        <w:tc>
          <w:tcPr>
            <w:tcW w:w="413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3</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olor w:val="auto"/>
                <w:highlight w:val="none"/>
              </w:rPr>
            </w:pPr>
          </w:p>
        </w:tc>
        <w:tc>
          <w:tcPr>
            <w:tcW w:w="413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4</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olor w:val="auto"/>
                <w:highlight w:val="none"/>
              </w:rPr>
            </w:pPr>
          </w:p>
        </w:tc>
        <w:tc>
          <w:tcPr>
            <w:tcW w:w="413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olor w:val="auto"/>
                <w:highlight w:val="none"/>
              </w:rPr>
            </w:pPr>
            <w:r>
              <w:rPr>
                <w:rFonts w:hint="eastAsia" w:ascii="宋体" w:hAnsi="宋体"/>
                <w:color w:val="auto"/>
                <w:highlight w:val="none"/>
              </w:rPr>
              <w:t>5</w:t>
            </w:r>
          </w:p>
        </w:tc>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color w:val="auto"/>
                <w:highlight w:val="none"/>
              </w:rPr>
            </w:pPr>
          </w:p>
        </w:tc>
        <w:tc>
          <w:tcPr>
            <w:tcW w:w="413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c>
          <w:tcPr>
            <w:tcW w:w="1587"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Calibri" w:hAnsi="Calibri" w:eastAsia="Calibri"/>
                <w:color w:val="auto"/>
                <w:highlight w:val="none"/>
              </w:rPr>
            </w:pPr>
          </w:p>
        </w:tc>
      </w:tr>
    </w:tbl>
    <w:p>
      <w:pPr>
        <w:autoSpaceDE w:val="0"/>
        <w:autoSpaceDN w:val="0"/>
        <w:adjustRightInd w:val="0"/>
        <w:snapToGrid w:val="0"/>
        <w:spacing w:before="120"/>
        <w:ind w:right="433"/>
        <w:rPr>
          <w:rFonts w:hint="eastAsia" w:asciiTheme="minorEastAsia" w:hAnsiTheme="minorEastAsia" w:eastAsiaTheme="minorEastAsia" w:cstheme="minorEastAsia"/>
          <w:color w:val="auto"/>
          <w:sz w:val="21"/>
          <w:szCs w:val="21"/>
          <w:highlight w:val="none"/>
          <w:lang w:val="en-US" w:eastAsia="zh-CN"/>
        </w:rPr>
      </w:pPr>
      <w:r>
        <w:rPr>
          <w:rFonts w:hint="eastAsia" w:ascii="黑体" w:hAnsi="黑体" w:eastAsia="黑体"/>
          <w:color w:val="auto"/>
          <w:sz w:val="23"/>
          <w:highlight w:val="none"/>
          <w:lang w:eastAsia="zh-CN"/>
        </w:rPr>
        <w:t>注：</w:t>
      </w:r>
      <w:r>
        <w:rPr>
          <w:rFonts w:hint="eastAsia" w:asciiTheme="minorEastAsia" w:hAnsiTheme="minorEastAsia" w:eastAsiaTheme="minorEastAsia" w:cstheme="minorEastAsia"/>
          <w:color w:val="auto"/>
          <w:sz w:val="21"/>
          <w:szCs w:val="21"/>
          <w:highlight w:val="none"/>
          <w:lang w:val="en-US" w:eastAsia="zh-CN"/>
        </w:rPr>
        <w:t>签字范围以检测专项中的检测项目为单位填写。</w:t>
      </w:r>
    </w:p>
    <w:p>
      <w:pPr>
        <w:autoSpaceDE w:val="0"/>
        <w:autoSpaceDN w:val="0"/>
        <w:adjustRightInd w:val="0"/>
        <w:snapToGrid w:val="0"/>
        <w:spacing w:before="120"/>
        <w:ind w:right="433"/>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auto"/>
          <w:sz w:val="21"/>
          <w:szCs w:val="21"/>
          <w:highlight w:val="none"/>
        </w:rPr>
        <w:t>检测机构</w:t>
      </w:r>
      <w:r>
        <w:rPr>
          <w:rFonts w:hint="eastAsia" w:asciiTheme="minorEastAsia" w:hAnsiTheme="minorEastAsia" w:eastAsiaTheme="minorEastAsia" w:cstheme="minorEastAsia"/>
          <w:color w:val="auto"/>
          <w:sz w:val="21"/>
          <w:szCs w:val="21"/>
          <w:highlight w:val="none"/>
          <w:lang w:val="en-US" w:eastAsia="zh-CN"/>
        </w:rPr>
        <w:t>负责人（</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kern w:val="0"/>
          <w:sz w:val="21"/>
          <w:szCs w:val="21"/>
          <w:highlight w:val="none"/>
        </w:rPr>
        <w:t xml:space="preserve">                       </w:t>
      </w:r>
    </w:p>
    <w:p>
      <w:pPr>
        <w:pStyle w:val="2"/>
        <w:rPr>
          <w:rFonts w:hint="eastAsia" w:asciiTheme="minorEastAsia" w:hAnsiTheme="minorEastAsia" w:eastAsiaTheme="minorEastAsia" w:cstheme="minorEastAsia"/>
          <w:kern w:val="0"/>
          <w:sz w:val="21"/>
          <w:szCs w:val="21"/>
          <w:highlight w:val="none"/>
        </w:rPr>
      </w:pP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组长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 xml:space="preserve">                评审</w:t>
      </w:r>
      <w:r>
        <w:rPr>
          <w:rFonts w:hint="eastAsia" w:asciiTheme="minorEastAsia" w:hAnsiTheme="minorEastAsia" w:eastAsiaTheme="minorEastAsia" w:cstheme="minorEastAsia"/>
          <w:color w:val="auto"/>
          <w:sz w:val="21"/>
          <w:szCs w:val="21"/>
          <w:highlight w:val="none"/>
        </w:rPr>
        <w:t>专家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pPr>
        <w:rPr>
          <w:rFonts w:hint="eastAsia" w:ascii="黑体" w:hAnsi="黑体" w:eastAsia="黑体"/>
          <w:color w:val="auto"/>
          <w:sz w:val="23"/>
          <w:highlight w:val="none"/>
        </w:rPr>
      </w:pPr>
      <w:r>
        <w:rPr>
          <w:rFonts w:hint="eastAsia" w:ascii="黑体" w:hAnsi="黑体" w:eastAsia="黑体"/>
          <w:color w:val="auto"/>
          <w:sz w:val="23"/>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表3</w:t>
      </w:r>
    </w:p>
    <w:p>
      <w:pPr>
        <w:jc w:val="center"/>
        <w:rPr>
          <w:rFonts w:ascii="楷体_GB2312" w:hAnsi="楷体_GB2312" w:eastAsia="楷体_GB2312" w:cs="楷体_GB2312"/>
          <w:bCs/>
          <w:color w:val="auto"/>
          <w:sz w:val="36"/>
          <w:szCs w:val="28"/>
          <w:highlight w:val="none"/>
        </w:rPr>
      </w:pPr>
      <w:r>
        <w:rPr>
          <w:rFonts w:hint="eastAsia" w:ascii="方正小标宋简体" w:hAnsi="方正小标宋简体" w:eastAsia="方正小标宋简体" w:cs="方正小标宋简体"/>
          <w:bCs/>
          <w:color w:val="auto"/>
          <w:sz w:val="44"/>
          <w:szCs w:val="44"/>
          <w:highlight w:val="none"/>
        </w:rPr>
        <w:t>报告批准人考核</w:t>
      </w:r>
      <w:r>
        <w:rPr>
          <w:rFonts w:hint="eastAsia" w:ascii="方正小标宋简体" w:hAnsi="方正小标宋简体" w:eastAsia="方正小标宋简体" w:cs="方正小标宋简体"/>
          <w:bCs/>
          <w:color w:val="auto"/>
          <w:sz w:val="44"/>
          <w:szCs w:val="44"/>
          <w:highlight w:val="none"/>
          <w:lang w:val="en-US" w:eastAsia="zh-CN"/>
        </w:rPr>
        <w:t>记录</w:t>
      </w:r>
      <w:r>
        <w:rPr>
          <w:rFonts w:hint="eastAsia" w:ascii="方正小标宋简体" w:hAnsi="方正小标宋简体" w:eastAsia="方正小标宋简体" w:cs="方正小标宋简体"/>
          <w:bCs/>
          <w:color w:val="auto"/>
          <w:sz w:val="44"/>
          <w:szCs w:val="44"/>
          <w:highlight w:val="none"/>
        </w:rPr>
        <w:t>表</w:t>
      </w:r>
    </w:p>
    <w:p>
      <w:pPr>
        <w:tabs>
          <w:tab w:val="left" w:leader="underscore" w:pos="6720"/>
          <w:tab w:val="left" w:leader="underscore" w:pos="8820"/>
        </w:tabs>
        <w:jc w:val="left"/>
        <w:rPr>
          <w:rFonts w:ascii="宋体" w:hAnsi="宋体" w:cs="宋体"/>
          <w:bCs/>
          <w:color w:val="auto"/>
          <w:szCs w:val="21"/>
          <w:highlight w:val="none"/>
        </w:rPr>
      </w:pPr>
      <w:r>
        <w:rPr>
          <w:rFonts w:hint="eastAsia" w:ascii="宋体" w:hAnsi="宋体" w:cs="宋体"/>
          <w:color w:val="auto"/>
          <w:szCs w:val="21"/>
          <w:highlight w:val="none"/>
        </w:rPr>
        <w:t>检测机构名称：　　　　　　　　　　　　　　　　　　　考核类型：□新增  □</w:t>
      </w:r>
      <w:r>
        <w:rPr>
          <w:rFonts w:hint="eastAsia" w:ascii="宋体" w:hAnsi="宋体" w:cs="宋体"/>
          <w:color w:val="auto"/>
          <w:szCs w:val="21"/>
          <w:highlight w:val="none"/>
          <w:lang w:val="en-US" w:eastAsia="zh-CN"/>
        </w:rPr>
        <w:t>调整</w:t>
      </w:r>
      <w:r>
        <w:rPr>
          <w:rFonts w:hint="eastAsia" w:ascii="宋体" w:hAnsi="宋体" w:cs="宋体"/>
          <w:color w:val="auto"/>
          <w:szCs w:val="21"/>
          <w:highlight w:val="none"/>
        </w:rPr>
        <w:t>签字范围</w:t>
      </w:r>
    </w:p>
    <w:p>
      <w:pPr>
        <w:spacing w:line="460" w:lineRule="exact"/>
        <w:jc w:val="left"/>
        <w:rPr>
          <w:rFonts w:hint="eastAsia" w:ascii="宋体" w:hAnsi="宋体" w:cs="宋体"/>
          <w:bCs/>
          <w:color w:val="auto"/>
          <w:highlight w:val="none"/>
        </w:rPr>
      </w:pPr>
      <w:r>
        <w:rPr>
          <w:rFonts w:hint="eastAsia" w:ascii="宋体" w:hAnsi="宋体" w:cs="宋体"/>
          <w:bCs/>
          <w:color w:val="auto"/>
          <w:highlight w:val="none"/>
        </w:rPr>
        <w:t>检测场所地址</w:t>
      </w:r>
      <w:r>
        <w:rPr>
          <w:rFonts w:hint="eastAsia" w:ascii="宋体" w:hAnsi="宋体" w:cs="宋体"/>
          <w:bCs/>
          <w:color w:val="auto"/>
          <w:highlight w:val="none"/>
          <w:lang w:val="en-US" w:eastAsia="zh-CN"/>
        </w:rPr>
        <w:t>**</w:t>
      </w:r>
      <w:r>
        <w:rPr>
          <w:rFonts w:hint="eastAsia" w:ascii="宋体" w:hAnsi="宋体" w:cs="宋体"/>
          <w:bCs/>
          <w:color w:val="auto"/>
          <w:highlight w:val="none"/>
        </w:rPr>
        <w:t>：</w:t>
      </w:r>
      <w:r>
        <w:rPr>
          <w:rFonts w:hint="eastAsia" w:ascii="宋体" w:hAnsi="宋体" w:cs="宋体"/>
          <w:color w:val="auto"/>
          <w:szCs w:val="21"/>
          <w:highlight w:val="none"/>
        </w:rPr>
        <w:t>　　　　　　　　　　　　　　　　　　　　　　　　　</w:t>
      </w:r>
      <w:r>
        <w:rPr>
          <w:rFonts w:hint="eastAsia" w:ascii="宋体" w:hAnsi="宋体" w:cs="宋体"/>
          <w:bCs/>
          <w:color w:val="auto"/>
          <w:highlight w:val="none"/>
        </w:rPr>
        <w:t>　共   页  第  页</w:t>
      </w:r>
    </w:p>
    <w:tbl>
      <w:tblPr>
        <w:tblStyle w:val="15"/>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642"/>
        <w:gridCol w:w="567"/>
        <w:gridCol w:w="510"/>
        <w:gridCol w:w="1642"/>
        <w:gridCol w:w="1134"/>
        <w:gridCol w:w="107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pPr>
              <w:pStyle w:val="9"/>
              <w:spacing w:after="0" w:line="240" w:lineRule="auto"/>
              <w:ind w:left="0" w:leftChars="0"/>
              <w:jc w:val="center"/>
              <w:rPr>
                <w:color w:val="auto"/>
                <w:highlight w:val="none"/>
              </w:rPr>
            </w:pPr>
            <w:r>
              <w:rPr>
                <w:rFonts w:hint="eastAsia"/>
                <w:color w:val="auto"/>
                <w:highlight w:val="none"/>
              </w:rPr>
              <w:t>姓名</w:t>
            </w:r>
          </w:p>
        </w:tc>
        <w:tc>
          <w:tcPr>
            <w:tcW w:w="1642" w:type="dxa"/>
            <w:vAlign w:val="center"/>
          </w:tcPr>
          <w:p>
            <w:pPr>
              <w:pStyle w:val="9"/>
              <w:spacing w:after="0" w:line="240" w:lineRule="auto"/>
              <w:ind w:left="0" w:leftChars="0"/>
              <w:jc w:val="center"/>
              <w:rPr>
                <w:color w:val="auto"/>
                <w:highlight w:val="none"/>
              </w:rPr>
            </w:pPr>
          </w:p>
        </w:tc>
        <w:tc>
          <w:tcPr>
            <w:tcW w:w="1077" w:type="dxa"/>
            <w:gridSpan w:val="2"/>
            <w:vAlign w:val="center"/>
          </w:tcPr>
          <w:p>
            <w:pPr>
              <w:pStyle w:val="9"/>
              <w:spacing w:after="0" w:line="240" w:lineRule="auto"/>
              <w:ind w:left="0" w:leftChars="0"/>
              <w:jc w:val="center"/>
              <w:rPr>
                <w:color w:val="auto"/>
                <w:highlight w:val="none"/>
              </w:rPr>
            </w:pPr>
            <w:r>
              <w:rPr>
                <w:rFonts w:hint="eastAsia"/>
                <w:color w:val="auto"/>
                <w:highlight w:val="none"/>
              </w:rPr>
              <w:t>性别</w:t>
            </w:r>
          </w:p>
        </w:tc>
        <w:tc>
          <w:tcPr>
            <w:tcW w:w="1642" w:type="dxa"/>
            <w:vAlign w:val="center"/>
          </w:tcPr>
          <w:p>
            <w:pPr>
              <w:pStyle w:val="9"/>
              <w:spacing w:after="0" w:line="240" w:lineRule="auto"/>
              <w:ind w:left="0" w:leftChars="0"/>
              <w:jc w:val="center"/>
              <w:rPr>
                <w:color w:val="auto"/>
                <w:highlight w:val="none"/>
              </w:rPr>
            </w:pPr>
          </w:p>
        </w:tc>
        <w:tc>
          <w:tcPr>
            <w:tcW w:w="2211" w:type="dxa"/>
            <w:gridSpan w:val="2"/>
            <w:vAlign w:val="center"/>
          </w:tcPr>
          <w:p>
            <w:pPr>
              <w:pStyle w:val="9"/>
              <w:spacing w:after="0" w:line="240" w:lineRule="auto"/>
              <w:ind w:left="0" w:leftChars="0"/>
              <w:jc w:val="center"/>
              <w:rPr>
                <w:color w:val="auto"/>
                <w:highlight w:val="none"/>
              </w:rPr>
            </w:pPr>
            <w:r>
              <w:rPr>
                <w:rFonts w:hint="eastAsia"/>
                <w:color w:val="auto"/>
                <w:highlight w:val="none"/>
              </w:rPr>
              <w:t>出生年月</w:t>
            </w:r>
          </w:p>
        </w:tc>
        <w:tc>
          <w:tcPr>
            <w:tcW w:w="1562" w:type="dxa"/>
            <w:vAlign w:val="center"/>
          </w:tcPr>
          <w:p>
            <w:pPr>
              <w:pStyle w:val="9"/>
              <w:spacing w:after="0" w:line="240" w:lineRule="auto"/>
              <w:ind w:left="0" w:left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Align w:val="center"/>
          </w:tcPr>
          <w:p>
            <w:pPr>
              <w:pStyle w:val="9"/>
              <w:spacing w:after="0" w:line="240" w:lineRule="auto"/>
              <w:ind w:left="0" w:leftChars="0"/>
              <w:jc w:val="center"/>
              <w:rPr>
                <w:color w:val="auto"/>
                <w:highlight w:val="none"/>
              </w:rPr>
            </w:pPr>
            <w:r>
              <w:rPr>
                <w:rFonts w:hint="eastAsia"/>
                <w:color w:val="auto"/>
                <w:highlight w:val="none"/>
              </w:rPr>
              <w:t>职务</w:t>
            </w:r>
          </w:p>
        </w:tc>
        <w:tc>
          <w:tcPr>
            <w:tcW w:w="1642" w:type="dxa"/>
            <w:vAlign w:val="center"/>
          </w:tcPr>
          <w:p>
            <w:pPr>
              <w:pStyle w:val="9"/>
              <w:spacing w:after="0" w:line="240" w:lineRule="auto"/>
              <w:ind w:left="0" w:leftChars="0"/>
              <w:jc w:val="center"/>
              <w:rPr>
                <w:color w:val="auto"/>
                <w:highlight w:val="none"/>
              </w:rPr>
            </w:pPr>
          </w:p>
        </w:tc>
        <w:tc>
          <w:tcPr>
            <w:tcW w:w="1077" w:type="dxa"/>
            <w:gridSpan w:val="2"/>
            <w:vAlign w:val="center"/>
          </w:tcPr>
          <w:p>
            <w:pPr>
              <w:pStyle w:val="9"/>
              <w:spacing w:after="0" w:line="240" w:lineRule="auto"/>
              <w:ind w:left="0" w:leftChars="0"/>
              <w:jc w:val="center"/>
              <w:rPr>
                <w:color w:val="auto"/>
                <w:highlight w:val="none"/>
              </w:rPr>
            </w:pPr>
            <w:r>
              <w:rPr>
                <w:rFonts w:hint="eastAsia"/>
                <w:color w:val="auto"/>
                <w:highlight w:val="none"/>
              </w:rPr>
              <w:t>职称</w:t>
            </w:r>
          </w:p>
        </w:tc>
        <w:tc>
          <w:tcPr>
            <w:tcW w:w="1642" w:type="dxa"/>
            <w:vAlign w:val="center"/>
          </w:tcPr>
          <w:p>
            <w:pPr>
              <w:pStyle w:val="9"/>
              <w:spacing w:after="0" w:line="240" w:lineRule="auto"/>
              <w:ind w:left="0" w:leftChars="0"/>
              <w:jc w:val="center"/>
              <w:rPr>
                <w:color w:val="auto"/>
                <w:highlight w:val="none"/>
              </w:rPr>
            </w:pPr>
          </w:p>
        </w:tc>
        <w:tc>
          <w:tcPr>
            <w:tcW w:w="2211" w:type="dxa"/>
            <w:gridSpan w:val="2"/>
            <w:vAlign w:val="center"/>
          </w:tcPr>
          <w:p>
            <w:pPr>
              <w:pStyle w:val="9"/>
              <w:spacing w:after="0" w:line="240" w:lineRule="auto"/>
              <w:ind w:left="0" w:leftChars="0"/>
              <w:jc w:val="center"/>
              <w:rPr>
                <w:rFonts w:hint="default" w:eastAsia="宋体"/>
                <w:color w:val="auto"/>
                <w:highlight w:val="none"/>
                <w:lang w:val="en-US" w:eastAsia="zh-CN"/>
              </w:rPr>
            </w:pPr>
            <w:r>
              <w:rPr>
                <w:rFonts w:hint="eastAsia"/>
                <w:color w:val="auto"/>
                <w:highlight w:val="none"/>
                <w:lang w:val="en-US" w:eastAsia="zh-CN"/>
              </w:rPr>
              <w:t>文化程度</w:t>
            </w:r>
          </w:p>
        </w:tc>
        <w:tc>
          <w:tcPr>
            <w:tcW w:w="1562" w:type="dxa"/>
            <w:vAlign w:val="center"/>
          </w:tcPr>
          <w:p>
            <w:pPr>
              <w:pStyle w:val="9"/>
              <w:spacing w:after="0" w:line="240" w:lineRule="auto"/>
              <w:ind w:left="0" w:left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1" w:type="dxa"/>
            <w:gridSpan w:val="8"/>
            <w:vAlign w:val="center"/>
          </w:tcPr>
          <w:p>
            <w:pPr>
              <w:pStyle w:val="9"/>
              <w:spacing w:after="0" w:line="240" w:lineRule="auto"/>
              <w:ind w:left="0" w:leftChars="0"/>
              <w:jc w:val="left"/>
              <w:rPr>
                <w:rFonts w:hint="eastAsia" w:eastAsia="宋体"/>
                <w:color w:val="auto"/>
                <w:highlight w:val="none"/>
                <w:lang w:eastAsia="zh-CN"/>
              </w:rPr>
            </w:pPr>
            <w:r>
              <w:rPr>
                <w:rFonts w:hint="eastAsia"/>
                <w:color w:val="auto"/>
                <w:highlight w:val="none"/>
              </w:rPr>
              <w:t>毕业院校及专业</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1" w:type="dxa"/>
            <w:gridSpan w:val="8"/>
            <w:vAlign w:val="center"/>
          </w:tcPr>
          <w:p>
            <w:pPr>
              <w:pStyle w:val="9"/>
              <w:spacing w:after="0" w:line="240" w:lineRule="auto"/>
              <w:ind w:left="0" w:leftChars="0"/>
              <w:jc w:val="left"/>
              <w:rPr>
                <w:color w:val="auto"/>
                <w:highlight w:val="none"/>
              </w:rPr>
            </w:pPr>
            <w:r>
              <w:rPr>
                <w:rFonts w:hint="eastAsia"/>
                <w:color w:val="auto"/>
                <w:highlight w:val="none"/>
              </w:rPr>
              <w:t>申报签字范围：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1" w:type="dxa"/>
            <w:gridSpan w:val="8"/>
            <w:vAlign w:val="center"/>
          </w:tcPr>
          <w:p>
            <w:pPr>
              <w:pStyle w:val="9"/>
              <w:spacing w:after="0" w:line="240" w:lineRule="auto"/>
              <w:ind w:left="0" w:leftChars="0"/>
              <w:jc w:val="left"/>
              <w:rPr>
                <w:color w:val="auto"/>
                <w:highlight w:val="none"/>
              </w:rPr>
            </w:pPr>
            <w:r>
              <w:rPr>
                <w:rFonts w:hint="eastAsia"/>
                <w:color w:val="auto"/>
                <w:highlight w:val="none"/>
              </w:rPr>
              <w:t>检测工作经历：</w:t>
            </w:r>
          </w:p>
          <w:p>
            <w:pPr>
              <w:pStyle w:val="9"/>
              <w:spacing w:after="0" w:line="240" w:lineRule="auto"/>
              <w:ind w:left="0" w:leftChars="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286" w:type="dxa"/>
            <w:gridSpan w:val="3"/>
            <w:vAlign w:val="center"/>
          </w:tcPr>
          <w:p>
            <w:pPr>
              <w:autoSpaceDE w:val="0"/>
              <w:autoSpaceDN w:val="0"/>
              <w:adjustRightInd w:val="0"/>
              <w:spacing w:line="340" w:lineRule="exact"/>
              <w:jc w:val="center"/>
              <w:rPr>
                <w:color w:val="auto"/>
                <w:highlight w:val="none"/>
              </w:rPr>
            </w:pPr>
            <w:r>
              <w:rPr>
                <w:rFonts w:hint="eastAsia" w:ascii="宋体" w:hAnsi="宋体" w:cs="宋体"/>
                <w:color w:val="auto"/>
                <w:szCs w:val="21"/>
                <w:highlight w:val="none"/>
              </w:rPr>
              <w:t>考核项目或参数</w:t>
            </w:r>
          </w:p>
        </w:tc>
        <w:tc>
          <w:tcPr>
            <w:tcW w:w="3286" w:type="dxa"/>
            <w:gridSpan w:val="3"/>
            <w:vAlign w:val="center"/>
          </w:tcPr>
          <w:p>
            <w:pPr>
              <w:autoSpaceDE w:val="0"/>
              <w:autoSpaceDN w:val="0"/>
              <w:adjustRightInd w:val="0"/>
              <w:spacing w:line="340" w:lineRule="exact"/>
              <w:jc w:val="center"/>
              <w:rPr>
                <w:color w:val="auto"/>
                <w:highlight w:val="none"/>
              </w:rPr>
            </w:pPr>
            <w:r>
              <w:rPr>
                <w:rFonts w:hint="eastAsia" w:ascii="宋体" w:hAnsi="宋体" w:cs="宋体"/>
                <w:color w:val="auto"/>
                <w:szCs w:val="21"/>
                <w:highlight w:val="none"/>
              </w:rPr>
              <w:t>考核结果</w:t>
            </w:r>
          </w:p>
        </w:tc>
        <w:tc>
          <w:tcPr>
            <w:tcW w:w="2639" w:type="dxa"/>
            <w:gridSpan w:val="2"/>
            <w:vAlign w:val="center"/>
          </w:tcPr>
          <w:p>
            <w:pPr>
              <w:autoSpaceDE w:val="0"/>
              <w:autoSpaceDN w:val="0"/>
              <w:adjustRightInd w:val="0"/>
              <w:spacing w:line="340" w:lineRule="exact"/>
              <w:jc w:val="center"/>
              <w:rPr>
                <w:color w:val="auto"/>
                <w:highlight w:val="none"/>
              </w:rPr>
            </w:pPr>
            <w:r>
              <w:rPr>
                <w:rFonts w:hint="eastAsia" w:ascii="宋体" w:hAnsi="宋体" w:cs="宋体"/>
                <w:color w:val="auto"/>
                <w:szCs w:val="21"/>
                <w:highlight w:val="none"/>
              </w:rPr>
              <w:t>确认的签字范围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286" w:type="dxa"/>
            <w:gridSpan w:val="3"/>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水泥（胶砂强度、凝结时间）。</w:t>
            </w:r>
          </w:p>
        </w:tc>
        <w:tc>
          <w:tcPr>
            <w:tcW w:w="3286" w:type="dxa"/>
            <w:gridSpan w:val="3"/>
            <w:vAlign w:val="center"/>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水泥通过。</w:t>
            </w:r>
          </w:p>
        </w:tc>
        <w:tc>
          <w:tcPr>
            <w:tcW w:w="2639" w:type="dxa"/>
            <w:gridSpan w:val="2"/>
            <w:vMerge w:val="restart"/>
            <w:vAlign w:val="center"/>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建筑材料及构配件：水泥，骨料/集料。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286" w:type="dxa"/>
            <w:gridSpan w:val="3"/>
            <w:vAlign w:val="center"/>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钢筋（抗拉强度、重量偏差）。</w:t>
            </w:r>
          </w:p>
        </w:tc>
        <w:tc>
          <w:tcPr>
            <w:tcW w:w="3286" w:type="dxa"/>
            <w:gridSpan w:val="3"/>
            <w:vAlign w:val="center"/>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钢筋不熟悉，不通过。</w:t>
            </w:r>
          </w:p>
        </w:tc>
        <w:tc>
          <w:tcPr>
            <w:tcW w:w="2639" w:type="dxa"/>
            <w:gridSpan w:val="2"/>
            <w:vMerge w:val="continue"/>
            <w:vAlign w:val="center"/>
          </w:tcPr>
          <w:p>
            <w:pPr>
              <w:autoSpaceDE w:val="0"/>
              <w:autoSpaceDN w:val="0"/>
              <w:adjustRightInd w:val="0"/>
              <w:spacing w:line="3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286" w:type="dxa"/>
            <w:gridSpan w:val="3"/>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骨料/集料（颗粒级配、含泥量、泥块含量、氯离子含量）。</w:t>
            </w:r>
          </w:p>
        </w:tc>
        <w:tc>
          <w:tcPr>
            <w:tcW w:w="3286" w:type="dxa"/>
            <w:gridSpan w:val="3"/>
            <w:vAlign w:val="center"/>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骨料/集料通过</w:t>
            </w:r>
          </w:p>
        </w:tc>
        <w:tc>
          <w:tcPr>
            <w:tcW w:w="2639" w:type="dxa"/>
            <w:gridSpan w:val="2"/>
            <w:vMerge w:val="continue"/>
            <w:vAlign w:val="center"/>
          </w:tcPr>
          <w:p>
            <w:pPr>
              <w:autoSpaceDE w:val="0"/>
              <w:autoSpaceDN w:val="0"/>
              <w:adjustRightInd w:val="0"/>
              <w:spacing w:line="3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286" w:type="dxa"/>
            <w:gridSpan w:val="3"/>
            <w:vAlign w:val="center"/>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混凝土强度（回弹法/钻芯法）、砂浆强度（回弹法/贯入法等）、砖强度（回弹法）。</w:t>
            </w:r>
          </w:p>
        </w:tc>
        <w:tc>
          <w:tcPr>
            <w:tcW w:w="3286" w:type="dxa"/>
            <w:gridSpan w:val="3"/>
            <w:vAlign w:val="center"/>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混凝土结构构件强度、砌体结构构件强度现场检测通过</w:t>
            </w:r>
          </w:p>
        </w:tc>
        <w:tc>
          <w:tcPr>
            <w:tcW w:w="2639" w:type="dxa"/>
            <w:gridSpan w:val="2"/>
            <w:vMerge w:val="restart"/>
            <w:vAlign w:val="center"/>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主体结构及装饰装修：混凝土结构构件强度、砌体结构构件强度现场检测，钢筋及保护层厚度检测，植筋锚固力检验。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286" w:type="dxa"/>
            <w:gridSpan w:val="3"/>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钢筋保护层厚度。</w:t>
            </w:r>
          </w:p>
        </w:tc>
        <w:tc>
          <w:tcPr>
            <w:tcW w:w="3286" w:type="dxa"/>
            <w:gridSpan w:val="3"/>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钢筋及保护层厚度检测通过。</w:t>
            </w:r>
          </w:p>
        </w:tc>
        <w:tc>
          <w:tcPr>
            <w:tcW w:w="2639" w:type="dxa"/>
            <w:gridSpan w:val="2"/>
            <w:vMerge w:val="continue"/>
            <w:vAlign w:val="center"/>
          </w:tcPr>
          <w:p>
            <w:pPr>
              <w:autoSpaceDE w:val="0"/>
              <w:autoSpaceDN w:val="0"/>
              <w:adjustRightInd w:val="0"/>
              <w:spacing w:line="3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286" w:type="dxa"/>
            <w:gridSpan w:val="3"/>
          </w:tcPr>
          <w:p>
            <w:pPr>
              <w:autoSpaceDE w:val="0"/>
              <w:autoSpaceDN w:val="0"/>
              <w:adjustRightInd w:val="0"/>
              <w:spacing w:line="340" w:lineRule="exact"/>
              <w:jc w:val="center"/>
              <w:rPr>
                <w:color w:val="auto"/>
                <w:highlight w:val="none"/>
              </w:rPr>
            </w:pPr>
            <w:r>
              <w:rPr>
                <w:rFonts w:hint="eastAsia" w:ascii="仿宋_GB2312" w:hAnsi="仿宋_GB2312" w:eastAsia="仿宋_GB2312" w:cs="仿宋_GB2312"/>
                <w:color w:val="auto"/>
                <w:szCs w:val="21"/>
                <w:highlight w:val="none"/>
              </w:rPr>
              <w:t>植筋锚固承载力检验。</w:t>
            </w:r>
          </w:p>
        </w:tc>
        <w:tc>
          <w:tcPr>
            <w:tcW w:w="3286" w:type="dxa"/>
            <w:gridSpan w:val="3"/>
          </w:tcPr>
          <w:p>
            <w:pPr>
              <w:autoSpaceDE w:val="0"/>
              <w:autoSpaceDN w:val="0"/>
              <w:adjustRightInd w:val="0"/>
              <w:spacing w:line="3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植筋锚固力检验通过。</w:t>
            </w:r>
          </w:p>
        </w:tc>
        <w:tc>
          <w:tcPr>
            <w:tcW w:w="2639" w:type="dxa"/>
            <w:gridSpan w:val="2"/>
            <w:vMerge w:val="continue"/>
            <w:vAlign w:val="center"/>
          </w:tcPr>
          <w:p>
            <w:pPr>
              <w:autoSpaceDE w:val="0"/>
              <w:autoSpaceDN w:val="0"/>
              <w:adjustRightInd w:val="0"/>
              <w:spacing w:line="340" w:lineRule="exact"/>
              <w:jc w:val="center"/>
              <w:rPr>
                <w:rFonts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286" w:type="dxa"/>
            <w:gridSpan w:val="3"/>
          </w:tcPr>
          <w:p>
            <w:pPr>
              <w:autoSpaceDE w:val="0"/>
              <w:autoSpaceDN w:val="0"/>
              <w:adjustRightInd w:val="0"/>
              <w:spacing w:line="3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286" w:type="dxa"/>
            <w:gridSpan w:val="3"/>
          </w:tcPr>
          <w:p>
            <w:pPr>
              <w:autoSpaceDE w:val="0"/>
              <w:autoSpaceDN w:val="0"/>
              <w:adjustRightInd w:val="0"/>
              <w:spacing w:line="3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2639" w:type="dxa"/>
            <w:gridSpan w:val="2"/>
            <w:vAlign w:val="center"/>
          </w:tcPr>
          <w:p>
            <w:pPr>
              <w:autoSpaceDE w:val="0"/>
              <w:autoSpaceDN w:val="0"/>
              <w:adjustRightInd w:val="0"/>
              <w:spacing w:line="3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211" w:type="dxa"/>
            <w:gridSpan w:val="8"/>
          </w:tcPr>
          <w:p>
            <w:pPr>
              <w:autoSpaceDE w:val="0"/>
              <w:autoSpaceDN w:val="0"/>
              <w:adjustRightIn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49" w:type="dxa"/>
            <w:gridSpan w:val="7"/>
          </w:tcPr>
          <w:p>
            <w:pPr>
              <w:autoSpaceDE w:val="0"/>
              <w:autoSpaceDN w:val="0"/>
              <w:adjustRightInd w:val="0"/>
              <w:spacing w:line="3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质量检测工作经历、职称等资历条件是否</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所申报签字范围</w:t>
            </w:r>
            <w:r>
              <w:rPr>
                <w:rFonts w:hint="eastAsia" w:ascii="宋体" w:hAnsi="宋体" w:cs="宋体"/>
                <w:color w:val="auto"/>
                <w:szCs w:val="21"/>
                <w:highlight w:val="none"/>
                <w:lang w:val="en-US" w:eastAsia="zh-CN"/>
              </w:rPr>
              <w:t>要求</w:t>
            </w:r>
          </w:p>
        </w:tc>
        <w:tc>
          <w:tcPr>
            <w:tcW w:w="1562" w:type="dxa"/>
          </w:tcPr>
          <w:p>
            <w:pPr>
              <w:autoSpaceDE w:val="0"/>
              <w:autoSpaceDN w:val="0"/>
              <w:adjustRightIn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649" w:type="dxa"/>
            <w:gridSpan w:val="7"/>
          </w:tcPr>
          <w:p>
            <w:pPr>
              <w:autoSpaceDE w:val="0"/>
              <w:autoSpaceDN w:val="0"/>
              <w:adjustRightInd w:val="0"/>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是否明确所申报签字范围内的职责、</w:t>
            </w:r>
            <w:r>
              <w:rPr>
                <w:rFonts w:hint="eastAsia" w:ascii="宋体" w:hAnsi="宋体" w:cs="宋体"/>
                <w:color w:val="auto"/>
                <w:szCs w:val="21"/>
                <w:highlight w:val="none"/>
                <w:lang w:val="en-US" w:eastAsia="zh-CN"/>
              </w:rPr>
              <w:t>权利</w:t>
            </w:r>
          </w:p>
        </w:tc>
        <w:tc>
          <w:tcPr>
            <w:tcW w:w="1562" w:type="dxa"/>
          </w:tcPr>
          <w:p>
            <w:pPr>
              <w:autoSpaceDE w:val="0"/>
              <w:autoSpaceDN w:val="0"/>
              <w:adjustRightIn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649" w:type="dxa"/>
            <w:gridSpan w:val="7"/>
          </w:tcPr>
          <w:p>
            <w:pPr>
              <w:autoSpaceDE w:val="0"/>
              <w:autoSpaceDN w:val="0"/>
              <w:adjustRightInd w:val="0"/>
              <w:spacing w:line="3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是否熟悉</w:t>
            </w:r>
            <w:r>
              <w:rPr>
                <w:rFonts w:hint="eastAsia" w:ascii="宋体" w:hAnsi="宋体" w:cs="宋体"/>
                <w:color w:val="auto"/>
                <w:szCs w:val="21"/>
                <w:highlight w:val="none"/>
              </w:rPr>
              <w:t>并掌握</w:t>
            </w:r>
            <w:r>
              <w:rPr>
                <w:rFonts w:hint="eastAsia" w:ascii="宋体" w:hAnsi="宋体" w:cs="宋体"/>
                <w:color w:val="auto"/>
                <w:szCs w:val="21"/>
                <w:highlight w:val="none"/>
                <w:lang w:val="en-US" w:eastAsia="zh-CN"/>
              </w:rPr>
              <w:t>检测技术及检测机构体系管理程序</w:t>
            </w:r>
          </w:p>
        </w:tc>
        <w:tc>
          <w:tcPr>
            <w:tcW w:w="1562" w:type="dxa"/>
          </w:tcPr>
          <w:p>
            <w:pPr>
              <w:autoSpaceDE w:val="0"/>
              <w:autoSpaceDN w:val="0"/>
              <w:adjustRightIn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649" w:type="dxa"/>
            <w:gridSpan w:val="7"/>
          </w:tcPr>
          <w:p>
            <w:pPr>
              <w:autoSpaceDE w:val="0"/>
              <w:autoSpaceDN w:val="0"/>
              <w:adjustRightInd w:val="0"/>
              <w:spacing w:line="340" w:lineRule="exact"/>
              <w:jc w:val="left"/>
              <w:rPr>
                <w:rFonts w:ascii="宋体" w:hAnsi="宋体" w:cs="宋体"/>
                <w:color w:val="auto"/>
                <w:szCs w:val="21"/>
                <w:highlight w:val="none"/>
              </w:rPr>
            </w:pPr>
            <w:r>
              <w:rPr>
                <w:rFonts w:hint="eastAsia" w:ascii="宋体" w:hAnsi="宋体" w:cs="宋体"/>
                <w:color w:val="auto"/>
                <w:szCs w:val="21"/>
                <w:highlight w:val="none"/>
              </w:rPr>
              <w:t>是否理解并掌握所承担签字范围内涉及的检测标准、规范及试验检测方法</w:t>
            </w:r>
          </w:p>
        </w:tc>
        <w:tc>
          <w:tcPr>
            <w:tcW w:w="1562" w:type="dxa"/>
          </w:tcPr>
          <w:p>
            <w:pPr>
              <w:autoSpaceDE w:val="0"/>
              <w:autoSpaceDN w:val="0"/>
              <w:adjustRightIn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649" w:type="dxa"/>
            <w:gridSpan w:val="7"/>
          </w:tcPr>
          <w:p>
            <w:pPr>
              <w:autoSpaceDE w:val="0"/>
              <w:autoSpaceDN w:val="0"/>
              <w:adjustRightInd w:val="0"/>
              <w:spacing w:line="340" w:lineRule="exact"/>
              <w:jc w:val="left"/>
              <w:rPr>
                <w:rFonts w:ascii="宋体" w:hAnsi="宋体" w:cs="宋体"/>
                <w:color w:val="auto"/>
                <w:szCs w:val="21"/>
                <w:highlight w:val="none"/>
              </w:rPr>
            </w:pPr>
            <w:r>
              <w:rPr>
                <w:rFonts w:hint="eastAsia" w:ascii="宋体" w:hAnsi="宋体" w:cs="宋体"/>
                <w:color w:val="auto"/>
                <w:szCs w:val="21"/>
                <w:highlight w:val="none"/>
              </w:rPr>
              <w:t>是否熟悉检测报告审核签发程序</w:t>
            </w:r>
          </w:p>
        </w:tc>
        <w:tc>
          <w:tcPr>
            <w:tcW w:w="1562" w:type="dxa"/>
          </w:tcPr>
          <w:p>
            <w:pPr>
              <w:autoSpaceDE w:val="0"/>
              <w:autoSpaceDN w:val="0"/>
              <w:adjustRightIn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649" w:type="dxa"/>
            <w:gridSpan w:val="7"/>
          </w:tcPr>
          <w:p>
            <w:pPr>
              <w:autoSpaceDE w:val="0"/>
              <w:autoSpaceDN w:val="0"/>
              <w:adjustRightInd w:val="0"/>
              <w:spacing w:line="340" w:lineRule="exact"/>
              <w:jc w:val="left"/>
              <w:rPr>
                <w:rFonts w:ascii="宋体" w:hAnsi="宋体" w:cs="宋体"/>
                <w:color w:val="auto"/>
                <w:szCs w:val="21"/>
                <w:highlight w:val="none"/>
              </w:rPr>
            </w:pPr>
            <w:r>
              <w:rPr>
                <w:rFonts w:hint="eastAsia" w:ascii="宋体" w:hAnsi="宋体" w:cs="宋体"/>
                <w:color w:val="auto"/>
                <w:szCs w:val="21"/>
                <w:highlight w:val="none"/>
              </w:rPr>
              <w:t>是否具备对所承担签字范围内检测结果做出相应判断和评价的能力</w:t>
            </w:r>
          </w:p>
        </w:tc>
        <w:tc>
          <w:tcPr>
            <w:tcW w:w="1562" w:type="dxa"/>
          </w:tcPr>
          <w:p>
            <w:pPr>
              <w:autoSpaceDE w:val="0"/>
              <w:autoSpaceDN w:val="0"/>
              <w:adjustRightIn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649" w:type="dxa"/>
            <w:gridSpan w:val="7"/>
          </w:tcPr>
          <w:p>
            <w:pPr>
              <w:autoSpaceDE w:val="0"/>
              <w:autoSpaceDN w:val="0"/>
              <w:adjustRightInd w:val="0"/>
              <w:spacing w:line="340" w:lineRule="exact"/>
              <w:jc w:val="left"/>
              <w:rPr>
                <w:rFonts w:ascii="宋体" w:hAnsi="宋体" w:cs="宋体"/>
                <w:color w:val="auto"/>
                <w:szCs w:val="21"/>
                <w:highlight w:val="none"/>
              </w:rPr>
            </w:pPr>
            <w:r>
              <w:rPr>
                <w:rFonts w:hint="eastAsia" w:ascii="宋体" w:hAnsi="宋体" w:cs="宋体"/>
                <w:color w:val="auto"/>
                <w:szCs w:val="21"/>
                <w:highlight w:val="none"/>
              </w:rPr>
              <w:t>是否熟悉《检测和校准实验室能力的通用要求》及相关法律、法规要求</w:t>
            </w:r>
          </w:p>
        </w:tc>
        <w:tc>
          <w:tcPr>
            <w:tcW w:w="1562" w:type="dxa"/>
          </w:tcPr>
          <w:p>
            <w:pPr>
              <w:autoSpaceDE w:val="0"/>
              <w:autoSpaceDN w:val="0"/>
              <w:adjustRightInd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211" w:type="dxa"/>
            <w:gridSpan w:val="8"/>
          </w:tcPr>
          <w:p>
            <w:pPr>
              <w:autoSpaceDE w:val="0"/>
              <w:autoSpaceDN w:val="0"/>
              <w:adjustRightInd w:val="0"/>
              <w:spacing w:line="340" w:lineRule="exact"/>
              <w:jc w:val="left"/>
              <w:rPr>
                <w:rFonts w:ascii="宋体" w:hAnsi="宋体" w:cs="宋体"/>
                <w:color w:val="auto"/>
                <w:szCs w:val="21"/>
                <w:highlight w:val="none"/>
              </w:rPr>
            </w:pPr>
            <w:r>
              <w:rPr>
                <w:rFonts w:hint="eastAsia" w:ascii="宋体" w:hAnsi="宋体" w:cs="宋体"/>
                <w:color w:val="auto"/>
                <w:szCs w:val="21"/>
                <w:highlight w:val="none"/>
              </w:rPr>
              <w:t>需要说明的问题：</w:t>
            </w:r>
          </w:p>
          <w:p>
            <w:pPr>
              <w:autoSpaceDE w:val="0"/>
              <w:autoSpaceDN w:val="0"/>
              <w:adjustRightInd w:val="0"/>
              <w:spacing w:line="3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211" w:type="dxa"/>
            <w:gridSpan w:val="8"/>
          </w:tcPr>
          <w:p>
            <w:pPr>
              <w:tabs>
                <w:tab w:val="left" w:pos="525"/>
                <w:tab w:val="left" w:pos="840"/>
              </w:tabs>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推荐意见：□推荐为报告</w:t>
            </w:r>
            <w:r>
              <w:rPr>
                <w:rFonts w:hint="eastAsia" w:ascii="宋体" w:hAnsi="宋体" w:cs="宋体"/>
                <w:color w:val="auto"/>
                <w:szCs w:val="21"/>
                <w:highlight w:val="none"/>
                <w:lang w:val="en-US" w:eastAsia="zh-CN" w:bidi="ar"/>
              </w:rPr>
              <w:t>批准</w:t>
            </w:r>
            <w:r>
              <w:rPr>
                <w:rFonts w:hint="eastAsia" w:ascii="宋体" w:hAnsi="宋体" w:cs="宋体"/>
                <w:color w:val="auto"/>
                <w:szCs w:val="21"/>
                <w:highlight w:val="none"/>
                <w:lang w:bidi="ar"/>
              </w:rPr>
              <w:t>人      □暂不推荐</w:t>
            </w:r>
          </w:p>
          <w:p>
            <w:pPr>
              <w:tabs>
                <w:tab w:val="left" w:pos="525"/>
                <w:tab w:val="left" w:pos="840"/>
              </w:tabs>
              <w:snapToGrid w:val="0"/>
              <w:spacing w:line="360" w:lineRule="auto"/>
              <w:ind w:firstLine="1050" w:firstLineChars="500"/>
              <w:rPr>
                <w:highlight w:val="none"/>
              </w:rPr>
            </w:pPr>
            <w:r>
              <w:rPr>
                <w:rFonts w:hint="eastAsia" w:ascii="宋体" w:hAnsi="宋体" w:cs="宋体"/>
                <w:color w:val="auto"/>
                <w:szCs w:val="21"/>
                <w:highlight w:val="none"/>
                <w:lang w:bidi="ar"/>
              </w:rPr>
              <w:t>□推荐签字的范围：</w:t>
            </w:r>
            <w:r>
              <w:rPr>
                <w:rFonts w:hint="eastAsia" w:ascii="宋体" w:hAnsi="宋体" w:cs="宋体"/>
                <w:color w:val="auto"/>
                <w:szCs w:val="21"/>
                <w:highlight w:val="none"/>
                <w:u w:val="single"/>
                <w:lang w:bidi="ar"/>
              </w:rPr>
              <w:t xml:space="preserve">                                                   </w:t>
            </w:r>
          </w:p>
        </w:tc>
      </w:tr>
    </w:tbl>
    <w:p>
      <w:pPr>
        <w:rPr>
          <w:rFonts w:ascii="仿宋" w:hAnsi="仿宋" w:eastAsia="仿宋"/>
          <w:color w:val="auto"/>
          <w:szCs w:val="21"/>
          <w:highlight w:val="none"/>
        </w:rPr>
      </w:pPr>
      <w:r>
        <w:rPr>
          <w:rFonts w:hint="eastAsia" w:ascii="仿宋" w:hAnsi="仿宋" w:eastAsia="仿宋"/>
          <w:color w:val="auto"/>
          <w:szCs w:val="21"/>
          <w:highlight w:val="none"/>
        </w:rPr>
        <w:t>注：1、报告批准人每人1张记录表，若表中所留空格不够填写时，可续页；</w:t>
      </w:r>
    </w:p>
    <w:p>
      <w:pPr>
        <w:ind w:firstLine="411" w:firstLineChars="196"/>
        <w:rPr>
          <w:rFonts w:hint="eastAsia" w:ascii="仿宋" w:hAnsi="仿宋" w:eastAsia="仿宋"/>
          <w:color w:val="auto"/>
          <w:szCs w:val="21"/>
          <w:highlight w:val="none"/>
          <w:lang w:eastAsia="zh-CN"/>
        </w:rPr>
      </w:pPr>
      <w:r>
        <w:rPr>
          <w:rFonts w:hint="eastAsia" w:ascii="仿宋" w:hAnsi="仿宋" w:eastAsia="仿宋"/>
          <w:color w:val="auto"/>
          <w:szCs w:val="21"/>
          <w:highlight w:val="none"/>
        </w:rPr>
        <w:t>2、考核项目或参数应覆盖申报的所有检测项目</w:t>
      </w:r>
      <w:r>
        <w:rPr>
          <w:rFonts w:hint="eastAsia" w:ascii="仿宋" w:hAnsi="仿宋" w:eastAsia="仿宋"/>
          <w:color w:val="auto"/>
          <w:szCs w:val="21"/>
          <w:highlight w:val="none"/>
          <w:lang w:eastAsia="zh-CN"/>
        </w:rPr>
        <w:t>；</w:t>
      </w:r>
    </w:p>
    <w:p>
      <w:pPr>
        <w:rPr>
          <w:rFonts w:hint="eastAsia" w:ascii="仿宋" w:hAnsi="仿宋" w:eastAsia="仿宋"/>
          <w:bCs/>
          <w:color w:val="auto"/>
          <w:sz w:val="24"/>
          <w:highlight w:val="none"/>
        </w:rPr>
      </w:pPr>
      <w:r>
        <w:rPr>
          <w:rFonts w:hint="eastAsia" w:ascii="仿宋" w:hAnsi="仿宋" w:eastAsia="仿宋"/>
          <w:bCs/>
          <w:color w:val="auto"/>
          <w:sz w:val="24"/>
          <w:highlight w:val="none"/>
        </w:rPr>
        <w:t>评审专家（签名）：                                   日期：    年  月  日</w:t>
      </w:r>
    </w:p>
    <w:p>
      <w:pPr>
        <w:ind w:firstLine="6240" w:firstLineChars="2600"/>
        <w:rPr>
          <w:rFonts w:ascii="仿宋" w:hAnsi="仿宋" w:eastAsia="仿宋"/>
          <w:bCs/>
          <w:color w:val="auto"/>
          <w:sz w:val="24"/>
          <w:highlight w:val="none"/>
        </w:rPr>
        <w:sectPr>
          <w:pgSz w:w="11906" w:h="16838"/>
          <w:pgMar w:top="1644" w:right="1474" w:bottom="1417"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表4</w:t>
      </w:r>
    </w:p>
    <w:p>
      <w:pPr>
        <w:pStyle w:val="2"/>
        <w:jc w:val="center"/>
        <w:rPr>
          <w:rFonts w:hint="eastAsia" w:ascii="微软雅黑" w:hAnsi="微软雅黑" w:eastAsia="微软雅黑" w:cs="微软雅黑"/>
          <w:bCs/>
          <w:color w:val="auto"/>
          <w:kern w:val="2"/>
          <w:sz w:val="44"/>
          <w:szCs w:val="44"/>
          <w:highlight w:val="none"/>
          <w:lang w:val="en-US" w:eastAsia="zh-CN" w:bidi="ar-SA"/>
        </w:rPr>
      </w:pPr>
      <w:r>
        <w:rPr>
          <w:rFonts w:hint="eastAsia" w:ascii="方正小标宋简体" w:hAnsi="方正小标宋简体" w:eastAsia="方正小标宋简体" w:cs="方正小标宋简体"/>
          <w:bCs/>
          <w:color w:val="auto"/>
          <w:kern w:val="2"/>
          <w:sz w:val="44"/>
          <w:szCs w:val="44"/>
          <w:highlight w:val="none"/>
          <w:lang w:val="en-US" w:eastAsia="zh-CN" w:bidi="ar-SA"/>
        </w:rPr>
        <w:t>检测能力确认方式及确认结果一览表</w:t>
      </w:r>
    </w:p>
    <w:p>
      <w:pPr>
        <w:snapToGrid w:val="0"/>
        <w:spacing w:line="360" w:lineRule="auto"/>
        <w:rPr>
          <w:rFonts w:hint="eastAsia" w:ascii="宋体" w:hAnsi="宋体"/>
          <w:sz w:val="21"/>
          <w:szCs w:val="21"/>
          <w:highlight w:val="none"/>
        </w:rPr>
      </w:pPr>
      <w:r>
        <w:rPr>
          <w:rFonts w:hint="eastAsia" w:ascii="宋体" w:hAnsi="宋体" w:cs="宋体"/>
          <w:bCs/>
          <w:color w:val="auto"/>
          <w:highlight w:val="none"/>
        </w:rPr>
        <w:t>检测</w:t>
      </w:r>
      <w:r>
        <w:rPr>
          <w:rFonts w:hint="eastAsia" w:ascii="宋体" w:hAnsi="宋体"/>
          <w:sz w:val="21"/>
          <w:szCs w:val="21"/>
          <w:highlight w:val="none"/>
        </w:rPr>
        <w:t>机构名称：</w:t>
      </w:r>
      <w:r>
        <w:rPr>
          <w:rFonts w:hint="eastAsia" w:ascii="宋体" w:hAnsi="宋体"/>
          <w:sz w:val="21"/>
          <w:szCs w:val="21"/>
          <w:highlight w:val="none"/>
          <w:u w:val="single"/>
        </w:rPr>
        <w:t>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　　　</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仿宋" w:hAnsi="仿宋" w:eastAsia="仿宋"/>
          <w:color w:val="auto"/>
          <w:highlight w:val="none"/>
        </w:rPr>
      </w:pPr>
      <w:r>
        <w:rPr>
          <w:rFonts w:hint="eastAsia" w:ascii="宋体" w:hAnsi="宋体" w:cs="宋体"/>
          <w:bCs/>
          <w:color w:val="auto"/>
          <w:highlight w:val="none"/>
        </w:rPr>
        <w:t>检测场所地址</w:t>
      </w:r>
      <w:r>
        <w:rPr>
          <w:rFonts w:hint="eastAsia" w:ascii="宋体" w:hAnsi="宋体" w:cs="宋体"/>
          <w:bCs/>
          <w:color w:val="auto"/>
          <w:highlight w:val="none"/>
          <w:lang w:val="en-US" w:eastAsia="zh-CN"/>
        </w:rPr>
        <w:t>**</w:t>
      </w:r>
      <w:r>
        <w:rPr>
          <w:rFonts w:hint="eastAsia" w:ascii="宋体" w:hAnsi="宋体" w:cs="宋体"/>
          <w:bCs/>
          <w:color w:val="auto"/>
          <w:highlight w:val="none"/>
        </w:rPr>
        <w:t>：</w:t>
      </w:r>
      <w:r>
        <w:rPr>
          <w:rFonts w:hint="eastAsia" w:ascii="宋体" w:hAnsi="宋体"/>
          <w:sz w:val="21"/>
          <w:szCs w:val="21"/>
          <w:highlight w:val="none"/>
          <w:u w:val="single"/>
        </w:rPr>
        <w:t>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none"/>
          <w:lang w:val="en-US" w:eastAsia="zh-CN"/>
        </w:rPr>
        <w:t xml:space="preserve">                                            </w:t>
      </w:r>
      <w:r>
        <w:rPr>
          <w:rFonts w:hint="eastAsia" w:ascii="仿宋" w:hAnsi="仿宋" w:eastAsia="仿宋"/>
          <w:color w:val="auto"/>
          <w:highlight w:val="none"/>
        </w:rPr>
        <w:t>共   页  第  页</w:t>
      </w:r>
    </w:p>
    <w:tbl>
      <w:tblPr>
        <w:tblStyle w:val="14"/>
        <w:tblpPr w:leftFromText="180" w:rightFromText="180" w:vertAnchor="text" w:horzAnchor="page" w:tblpX="1516" w:tblpY="184"/>
        <w:tblOverlap w:val="never"/>
        <w:tblW w:w="13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4"/>
        <w:gridCol w:w="703"/>
        <w:gridCol w:w="1067"/>
        <w:gridCol w:w="866"/>
        <w:gridCol w:w="952"/>
        <w:gridCol w:w="1854"/>
        <w:gridCol w:w="763"/>
        <w:gridCol w:w="1300"/>
        <w:gridCol w:w="750"/>
        <w:gridCol w:w="1062"/>
        <w:gridCol w:w="1167"/>
        <w:gridCol w:w="119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trPr>
        <w:tc>
          <w:tcPr>
            <w:tcW w:w="644" w:type="dxa"/>
            <w:vMerge w:val="restart"/>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703" w:type="dxa"/>
            <w:vMerge w:val="restart"/>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检测专项</w:t>
            </w:r>
          </w:p>
        </w:tc>
        <w:tc>
          <w:tcPr>
            <w:tcW w:w="1067" w:type="dxa"/>
            <w:vMerge w:val="restart"/>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检测项目</w:t>
            </w:r>
          </w:p>
        </w:tc>
        <w:tc>
          <w:tcPr>
            <w:tcW w:w="3672" w:type="dxa"/>
            <w:gridSpan w:val="3"/>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参数</w:t>
            </w:r>
          </w:p>
        </w:tc>
        <w:tc>
          <w:tcPr>
            <w:tcW w:w="5042" w:type="dxa"/>
            <w:gridSpan w:val="5"/>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现场</w:t>
            </w:r>
            <w:r>
              <w:rPr>
                <w:rFonts w:hint="eastAsia" w:asciiTheme="minorEastAsia" w:hAnsiTheme="minorEastAsia" w:eastAsiaTheme="minorEastAsia" w:cstheme="minorEastAsia"/>
                <w:bCs/>
                <w:color w:val="auto"/>
                <w:sz w:val="21"/>
                <w:szCs w:val="21"/>
                <w:highlight w:val="none"/>
                <w:lang w:val="en-US" w:eastAsia="zh-CN"/>
              </w:rPr>
              <w:t>确认</w:t>
            </w:r>
            <w:r>
              <w:rPr>
                <w:rFonts w:hint="eastAsia" w:asciiTheme="minorEastAsia" w:hAnsiTheme="minorEastAsia" w:eastAsiaTheme="minorEastAsia" w:cstheme="minorEastAsia"/>
                <w:bCs/>
                <w:color w:val="auto"/>
                <w:sz w:val="21"/>
                <w:szCs w:val="21"/>
                <w:highlight w:val="none"/>
              </w:rPr>
              <w:t>方式</w:t>
            </w:r>
          </w:p>
        </w:tc>
        <w:tc>
          <w:tcPr>
            <w:tcW w:w="1192" w:type="dxa"/>
            <w:vMerge w:val="restart"/>
            <w:shd w:val="clear" w:color="auto" w:fill="auto"/>
            <w:vAlign w:val="center"/>
          </w:tcPr>
          <w:p>
            <w:pPr>
              <w:pStyle w:val="2"/>
              <w:jc w:val="center"/>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确认结果</w:t>
            </w:r>
          </w:p>
        </w:tc>
        <w:tc>
          <w:tcPr>
            <w:tcW w:w="1479" w:type="dxa"/>
            <w:vMerge w:val="restart"/>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blHeader/>
        </w:trPr>
        <w:tc>
          <w:tcPr>
            <w:tcW w:w="644" w:type="dxa"/>
            <w:vMerge w:val="continue"/>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03" w:type="dxa"/>
            <w:vMerge w:val="continue"/>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7" w:type="dxa"/>
            <w:vMerge w:val="continue"/>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866"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编号</w:t>
            </w:r>
          </w:p>
        </w:tc>
        <w:tc>
          <w:tcPr>
            <w:tcW w:w="95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名称</w:t>
            </w:r>
          </w:p>
        </w:tc>
        <w:tc>
          <w:tcPr>
            <w:tcW w:w="185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依据</w:t>
            </w:r>
            <w:r>
              <w:rPr>
                <w:rFonts w:hint="eastAsia" w:ascii="宋体" w:hAnsi="宋体"/>
                <w:bCs/>
                <w:sz w:val="21"/>
                <w:szCs w:val="21"/>
                <w:highlight w:val="none"/>
              </w:rPr>
              <w:t>标准</w:t>
            </w:r>
            <w:r>
              <w:rPr>
                <w:rFonts w:hint="eastAsia" w:ascii="宋体" w:hAnsi="宋体"/>
                <w:bCs/>
                <w:sz w:val="21"/>
                <w:szCs w:val="21"/>
                <w:highlight w:val="none"/>
                <w:lang w:val="en-US" w:eastAsia="zh-CN"/>
              </w:rPr>
              <w:t>及标准</w:t>
            </w:r>
            <w:r>
              <w:rPr>
                <w:rFonts w:hint="eastAsia" w:ascii="宋体" w:hAnsi="宋体"/>
                <w:bCs/>
                <w:sz w:val="21"/>
                <w:szCs w:val="21"/>
                <w:highlight w:val="none"/>
              </w:rPr>
              <w:t>条款号</w:t>
            </w:r>
          </w:p>
        </w:tc>
        <w:tc>
          <w:tcPr>
            <w:tcW w:w="76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现场试验</w:t>
            </w:r>
          </w:p>
        </w:tc>
        <w:tc>
          <w:tcPr>
            <w:tcW w:w="130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利用能力验证</w:t>
            </w:r>
            <w:r>
              <w:rPr>
                <w:rFonts w:hint="eastAsia" w:asciiTheme="minorEastAsia" w:hAnsiTheme="minorEastAsia" w:eastAsiaTheme="minorEastAsia" w:cstheme="minorEastAsia"/>
                <w:bCs/>
                <w:color w:val="auto"/>
                <w:sz w:val="21"/>
                <w:szCs w:val="21"/>
                <w:highlight w:val="none"/>
                <w:lang w:val="en-US" w:eastAsia="zh-CN"/>
              </w:rPr>
              <w:t>/比对试验</w:t>
            </w:r>
            <w:r>
              <w:rPr>
                <w:rFonts w:hint="eastAsia" w:asciiTheme="minorEastAsia" w:hAnsiTheme="minorEastAsia" w:eastAsiaTheme="minorEastAsia" w:cstheme="minorEastAsia"/>
                <w:bCs/>
                <w:color w:val="auto"/>
                <w:sz w:val="21"/>
                <w:szCs w:val="21"/>
                <w:highlight w:val="none"/>
              </w:rPr>
              <w:t>结果</w:t>
            </w:r>
          </w:p>
        </w:tc>
        <w:tc>
          <w:tcPr>
            <w:tcW w:w="75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现场演示</w:t>
            </w:r>
          </w:p>
        </w:tc>
        <w:tc>
          <w:tcPr>
            <w:tcW w:w="106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查阅记录和报告</w:t>
            </w:r>
          </w:p>
        </w:tc>
        <w:tc>
          <w:tcPr>
            <w:tcW w:w="11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核查仪器设备配置</w:t>
            </w:r>
          </w:p>
        </w:tc>
        <w:tc>
          <w:tcPr>
            <w:tcW w:w="1192" w:type="dxa"/>
            <w:vMerge w:val="continue"/>
            <w:tcBorders>
              <w:bottom w:val="single" w:color="auto" w:sz="4" w:space="0"/>
            </w:tcBorders>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479" w:type="dxa"/>
            <w:vMerge w:val="continue"/>
            <w:tcBorders>
              <w:bottom w:val="single" w:color="auto" w:sz="4" w:space="0"/>
            </w:tcBorders>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0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866"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95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85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6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30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5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92" w:type="dxa"/>
            <w:shd w:val="clear" w:color="auto" w:fill="auto"/>
            <w:vAlign w:val="center"/>
          </w:tcPr>
          <w:p>
            <w:pPr>
              <w:pStyle w:val="2"/>
              <w:jc w:val="left"/>
              <w:rPr>
                <w:rFonts w:hint="eastAsia" w:asciiTheme="minorEastAsia" w:hAnsiTheme="minorEastAsia" w:eastAsiaTheme="minorEastAsia" w:cstheme="minorEastAsia"/>
                <w:bCs/>
                <w:strike w:val="0"/>
                <w:color w:val="auto"/>
                <w:kern w:val="0"/>
                <w:sz w:val="21"/>
                <w:szCs w:val="21"/>
                <w:highlight w:val="none"/>
                <w:lang w:val="en-US" w:eastAsia="zh-CN" w:bidi="ar-SA"/>
              </w:rPr>
            </w:pPr>
            <w:r>
              <w:rPr>
                <w:rFonts w:hint="eastAsia" w:ascii="仿宋" w:hAnsi="仿宋" w:eastAsia="仿宋" w:cs="仿宋"/>
                <w:bCs/>
                <w:strike w:val="0"/>
                <w:color w:val="auto"/>
                <w:spacing w:val="-5"/>
                <w:sz w:val="23"/>
                <w:szCs w:val="23"/>
                <w:highlight w:val="none"/>
                <w:lang w:eastAsia="zh-CN"/>
              </w:rPr>
              <w:sym w:font="Wingdings 2" w:char="00A3"/>
            </w:r>
            <w:r>
              <w:rPr>
                <w:rFonts w:hint="eastAsia" w:ascii="仿宋" w:hAnsi="仿宋" w:eastAsia="仿宋" w:cs="仿宋"/>
                <w:bCs/>
                <w:strike w:val="0"/>
                <w:color w:val="auto"/>
                <w:spacing w:val="-5"/>
                <w:sz w:val="23"/>
                <w:szCs w:val="23"/>
                <w:highlight w:val="none"/>
              </w:rPr>
              <w:t>通过 □不通过</w:t>
            </w:r>
          </w:p>
        </w:tc>
        <w:tc>
          <w:tcPr>
            <w:tcW w:w="1479"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0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866"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95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85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6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30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5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92" w:type="dxa"/>
            <w:shd w:val="clear" w:color="auto" w:fill="auto"/>
            <w:vAlign w:val="center"/>
          </w:tcPr>
          <w:p>
            <w:pPr>
              <w:pStyle w:val="2"/>
              <w:jc w:val="left"/>
              <w:rPr>
                <w:rFonts w:hint="eastAsia" w:asciiTheme="minorEastAsia" w:hAnsiTheme="minorEastAsia" w:eastAsiaTheme="minorEastAsia" w:cstheme="minorEastAsia"/>
                <w:bCs/>
                <w:strike w:val="0"/>
                <w:color w:val="auto"/>
                <w:kern w:val="0"/>
                <w:sz w:val="21"/>
                <w:szCs w:val="21"/>
                <w:highlight w:val="none"/>
                <w:lang w:val="en-US" w:eastAsia="zh-CN" w:bidi="ar-SA"/>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通过 □不通过</w:t>
            </w:r>
          </w:p>
        </w:tc>
        <w:tc>
          <w:tcPr>
            <w:tcW w:w="1479"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0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866"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95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85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6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30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5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92" w:type="dxa"/>
            <w:shd w:val="clear" w:color="auto" w:fill="auto"/>
            <w:vAlign w:val="center"/>
          </w:tcPr>
          <w:p>
            <w:pPr>
              <w:pStyle w:val="2"/>
              <w:jc w:val="left"/>
              <w:rPr>
                <w:rFonts w:hint="eastAsia" w:asciiTheme="minorEastAsia" w:hAnsiTheme="minorEastAsia" w:eastAsiaTheme="minorEastAsia" w:cstheme="minorEastAsia"/>
                <w:bCs/>
                <w:strike w:val="0"/>
                <w:color w:val="auto"/>
                <w:sz w:val="21"/>
                <w:szCs w:val="21"/>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通过 □不通过</w:t>
            </w:r>
          </w:p>
        </w:tc>
        <w:tc>
          <w:tcPr>
            <w:tcW w:w="1479"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0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866"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95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85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6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30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5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92" w:type="dxa"/>
            <w:shd w:val="clear" w:color="auto" w:fill="auto"/>
            <w:vAlign w:val="center"/>
          </w:tcPr>
          <w:p>
            <w:pPr>
              <w:pStyle w:val="2"/>
              <w:jc w:val="left"/>
              <w:rPr>
                <w:rFonts w:hint="eastAsia" w:asciiTheme="minorEastAsia" w:hAnsiTheme="minorEastAsia" w:eastAsiaTheme="minorEastAsia" w:cstheme="minorEastAsia"/>
                <w:bCs/>
                <w:strike w:val="0"/>
                <w:color w:val="auto"/>
                <w:sz w:val="21"/>
                <w:szCs w:val="21"/>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通过 □不通过</w:t>
            </w:r>
          </w:p>
        </w:tc>
        <w:tc>
          <w:tcPr>
            <w:tcW w:w="1479"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0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866"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95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85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6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30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5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92" w:type="dxa"/>
            <w:shd w:val="clear" w:color="auto" w:fill="auto"/>
            <w:vAlign w:val="center"/>
          </w:tcPr>
          <w:p>
            <w:pPr>
              <w:pStyle w:val="2"/>
              <w:jc w:val="left"/>
              <w:rPr>
                <w:rFonts w:hint="eastAsia" w:asciiTheme="minorEastAsia" w:hAnsiTheme="minorEastAsia" w:eastAsiaTheme="minorEastAsia" w:cstheme="minorEastAsia"/>
                <w:bCs/>
                <w:strike w:val="0"/>
                <w:color w:val="auto"/>
                <w:kern w:val="0"/>
                <w:sz w:val="21"/>
                <w:szCs w:val="21"/>
                <w:highlight w:val="none"/>
                <w:lang w:val="en-US" w:eastAsia="zh-CN" w:bidi="ar-SA"/>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通过 □不通过</w:t>
            </w:r>
          </w:p>
        </w:tc>
        <w:tc>
          <w:tcPr>
            <w:tcW w:w="1479"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0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866"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95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854"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63"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30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750"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062"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67"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c>
          <w:tcPr>
            <w:tcW w:w="1192" w:type="dxa"/>
            <w:shd w:val="clear" w:color="auto" w:fill="auto"/>
            <w:vAlign w:val="center"/>
          </w:tcPr>
          <w:p>
            <w:pPr>
              <w:pStyle w:val="2"/>
              <w:jc w:val="left"/>
              <w:rPr>
                <w:rFonts w:hint="eastAsia" w:asciiTheme="minorEastAsia" w:hAnsiTheme="minorEastAsia" w:eastAsiaTheme="minorEastAsia" w:cstheme="minorEastAsia"/>
                <w:bCs/>
                <w:strike w:val="0"/>
                <w:color w:val="auto"/>
                <w:kern w:val="0"/>
                <w:sz w:val="21"/>
                <w:szCs w:val="21"/>
                <w:highlight w:val="none"/>
                <w:lang w:val="en-US" w:eastAsia="zh-CN" w:bidi="ar-SA"/>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通过 □不通过</w:t>
            </w:r>
          </w:p>
        </w:tc>
        <w:tc>
          <w:tcPr>
            <w:tcW w:w="1479" w:type="dxa"/>
            <w:shd w:val="clear" w:color="auto" w:fill="auto"/>
            <w:vAlign w:val="center"/>
          </w:tcPr>
          <w:p>
            <w:pPr>
              <w:pStyle w:val="2"/>
              <w:jc w:val="center"/>
              <w:rPr>
                <w:rFonts w:hint="eastAsia"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14" w:type="dxa"/>
            <w:gridSpan w:val="3"/>
            <w:shd w:val="clear" w:color="auto" w:fill="auto"/>
            <w:vAlign w:val="bottom"/>
          </w:tcPr>
          <w:p>
            <w:pPr>
              <w:pStyle w:val="2"/>
              <w:jc w:val="center"/>
              <w:rPr>
                <w:rFonts w:hint="eastAsia" w:asciiTheme="minorEastAsia" w:hAnsiTheme="minorEastAsia" w:eastAsiaTheme="minorEastAsia" w:cstheme="minorEastAsia"/>
                <w:bCs/>
                <w:color w:val="auto"/>
                <w:sz w:val="21"/>
                <w:szCs w:val="21"/>
                <w:highlight w:val="none"/>
              </w:rPr>
            </w:pPr>
            <w:r>
              <w:rPr>
                <w:rFonts w:hint="eastAsia" w:ascii="仿宋" w:hAnsi="仿宋" w:cs="仿宋"/>
                <w:bCs/>
                <w:color w:val="auto"/>
                <w:szCs w:val="21"/>
                <w:highlight w:val="none"/>
              </w:rPr>
              <w:t>考核结论</w:t>
            </w:r>
          </w:p>
        </w:tc>
        <w:tc>
          <w:tcPr>
            <w:tcW w:w="11385" w:type="dxa"/>
            <w:gridSpan w:val="10"/>
            <w:shd w:val="clear" w:color="auto" w:fill="auto"/>
            <w:vAlign w:val="bottom"/>
          </w:tcPr>
          <w:p>
            <w:pPr>
              <w:pStyle w:val="2"/>
              <w:jc w:val="left"/>
              <w:rPr>
                <w:rFonts w:hint="eastAsia" w:asciiTheme="minorEastAsia" w:hAnsiTheme="minorEastAsia" w:eastAsiaTheme="minorEastAsia" w:cstheme="minorEastAsia"/>
                <w:bCs/>
                <w:color w:val="auto"/>
                <w:sz w:val="21"/>
                <w:szCs w:val="21"/>
                <w:highlight w:val="none"/>
              </w:rPr>
            </w:pPr>
            <w:r>
              <w:rPr>
                <w:rFonts w:hint="eastAsia" w:ascii="仿宋" w:hAnsi="仿宋" w:cs="仿宋"/>
                <w:bCs/>
                <w:color w:val="auto"/>
                <w:szCs w:val="21"/>
                <w:highlight w:val="none"/>
              </w:rPr>
              <w:t>共</w:t>
            </w:r>
            <w:r>
              <w:rPr>
                <w:rFonts w:hint="eastAsia" w:ascii="仿宋" w:hAnsi="仿宋" w:cs="仿宋"/>
                <w:bCs/>
                <w:color w:val="auto"/>
                <w:szCs w:val="21"/>
                <w:highlight w:val="none"/>
                <w:lang w:val="en-US" w:eastAsia="zh-CN"/>
              </w:rPr>
              <w:t>考核</w:t>
            </w:r>
            <w:r>
              <w:rPr>
                <w:rFonts w:hint="eastAsia" w:ascii="仿宋" w:hAnsi="仿宋" w:cs="仿宋"/>
                <w:bCs/>
                <w:color w:val="auto"/>
                <w:szCs w:val="21"/>
                <w:highlight w:val="none"/>
              </w:rPr>
              <w:t xml:space="preserve">  </w:t>
            </w:r>
            <w:r>
              <w:rPr>
                <w:rFonts w:hint="eastAsia" w:ascii="仿宋" w:hAnsi="仿宋" w:cs="仿宋"/>
                <w:bCs/>
                <w:color w:val="auto"/>
                <w:szCs w:val="21"/>
                <w:highlight w:val="none"/>
                <w:lang w:val="en-US" w:eastAsia="zh-CN"/>
              </w:rPr>
              <w:t xml:space="preserve">  </w:t>
            </w:r>
            <w:r>
              <w:rPr>
                <w:rFonts w:hint="eastAsia" w:ascii="仿宋" w:hAnsi="仿宋" w:cs="仿宋"/>
                <w:bCs/>
                <w:color w:val="auto"/>
                <w:szCs w:val="21"/>
                <w:highlight w:val="none"/>
              </w:rPr>
              <w:t xml:space="preserve"> </w:t>
            </w:r>
            <w:r>
              <w:rPr>
                <w:rFonts w:hint="eastAsia" w:ascii="仿宋" w:hAnsi="仿宋" w:cs="仿宋"/>
                <w:bCs/>
                <w:color w:val="auto"/>
                <w:szCs w:val="21"/>
                <w:highlight w:val="none"/>
                <w:lang w:val="en-US" w:eastAsia="zh-CN"/>
              </w:rPr>
              <w:t>个参数</w:t>
            </w:r>
            <w:r>
              <w:rPr>
                <w:rFonts w:hint="eastAsia" w:ascii="仿宋" w:hAnsi="仿宋" w:cs="仿宋"/>
                <w:bCs/>
                <w:color w:val="auto"/>
                <w:szCs w:val="21"/>
                <w:highlight w:val="none"/>
              </w:rPr>
              <w:t>，</w:t>
            </w:r>
            <w:r>
              <w:rPr>
                <w:rFonts w:hint="eastAsia" w:ascii="仿宋" w:hAnsi="仿宋" w:cs="仿宋"/>
                <w:bCs/>
                <w:color w:val="auto"/>
                <w:szCs w:val="21"/>
                <w:highlight w:val="none"/>
                <w:lang w:eastAsia="zh-CN"/>
              </w:rPr>
              <w:t>通过</w:t>
            </w:r>
            <w:r>
              <w:rPr>
                <w:rFonts w:hint="eastAsia" w:ascii="仿宋" w:hAnsi="仿宋" w:cs="仿宋"/>
                <w:bCs/>
                <w:color w:val="auto"/>
                <w:szCs w:val="21"/>
                <w:highlight w:val="none"/>
              </w:rPr>
              <w:t xml:space="preserve">   </w:t>
            </w:r>
            <w:r>
              <w:rPr>
                <w:rFonts w:hint="eastAsia" w:ascii="仿宋" w:hAnsi="仿宋" w:cs="仿宋"/>
                <w:bCs/>
                <w:color w:val="auto"/>
                <w:szCs w:val="21"/>
                <w:highlight w:val="none"/>
                <w:lang w:val="en-US" w:eastAsia="zh-CN"/>
              </w:rPr>
              <w:t>个</w:t>
            </w:r>
            <w:r>
              <w:rPr>
                <w:rFonts w:hint="eastAsia" w:ascii="仿宋" w:hAnsi="仿宋" w:cs="仿宋"/>
                <w:bCs/>
                <w:color w:val="auto"/>
                <w:szCs w:val="21"/>
                <w:highlight w:val="none"/>
              </w:rPr>
              <w:t>，</w:t>
            </w:r>
            <w:r>
              <w:rPr>
                <w:rFonts w:hint="eastAsia" w:ascii="仿宋" w:hAnsi="仿宋" w:cs="仿宋"/>
                <w:bCs/>
                <w:color w:val="auto"/>
                <w:szCs w:val="21"/>
                <w:highlight w:val="none"/>
                <w:lang w:eastAsia="zh-CN"/>
              </w:rPr>
              <w:t>不通过</w:t>
            </w:r>
            <w:r>
              <w:rPr>
                <w:rFonts w:hint="eastAsia" w:ascii="仿宋" w:hAnsi="仿宋" w:cs="仿宋"/>
                <w:bCs/>
                <w:color w:val="auto"/>
                <w:szCs w:val="21"/>
                <w:highlight w:val="none"/>
              </w:rPr>
              <w:t xml:space="preserve">    </w:t>
            </w:r>
            <w:r>
              <w:rPr>
                <w:rFonts w:hint="eastAsia" w:ascii="仿宋" w:hAnsi="仿宋" w:cs="仿宋"/>
                <w:bCs/>
                <w:color w:val="auto"/>
                <w:szCs w:val="21"/>
                <w:highlight w:val="none"/>
                <w:lang w:val="en-US" w:eastAsia="zh-CN"/>
              </w:rPr>
              <w:t>个</w:t>
            </w:r>
            <w:r>
              <w:rPr>
                <w:rFonts w:hint="eastAsia" w:ascii="仿宋" w:hAnsi="仿宋" w:cs="仿宋"/>
                <w:bCs/>
                <w:color w:val="auto"/>
                <w:szCs w:val="21"/>
                <w:highlight w:val="none"/>
              </w:rPr>
              <w:t>。</w:t>
            </w:r>
          </w:p>
        </w:tc>
      </w:tr>
    </w:tbl>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w:t>
      </w:r>
      <w:r>
        <w:rPr>
          <w:rFonts w:hint="eastAsia" w:asciiTheme="minorEastAsia" w:hAnsiTheme="minorEastAsia" w:eastAsiaTheme="minorEastAsia" w:cstheme="minorEastAsia"/>
          <w:bCs/>
          <w:color w:val="auto"/>
          <w:sz w:val="21"/>
          <w:szCs w:val="21"/>
          <w:highlight w:val="none"/>
          <w:lang w:val="en-US" w:eastAsia="zh-CN"/>
        </w:rPr>
        <w:t>1.须在此表中对所有评审项目的所有参数逐项确认，对检测参数的能力范围有限制时应在备注说明。</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2.原则上该表中的“检测项目”、“检测参数”、“依据标准”等信息应与申请书检测专项及检测能力表对应栏目一致。</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对每一项目每一参数的现场考核方式共有5种，其中可利用“现场试验”“利用能力验证结果”中的任一种方式进行确认，当利用其他3方式进行确认时，需至少采取两种方式进行确认；专家在采用的确认方式栏中打“√”。</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4.不通过的项目或参数要简要说明理由；</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5.当申请书检测专项及检测能力表的“检测项目”、“检测参数”等栏目表达不准确时，专家可以修改评审报告《建议批准的检测专项及检测能力表》。</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6.带“*”的参数为可选参数，未标星号的为必选项目/参数；如必选参数未通过，则该专项不通过。</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7.参数中有多种检测方法时应具体到检测机构具备相应检测能力的检测方法，例如混凝土强度（回弹法、钻芯法）、竖向抗压承载力（静载试验、自平衡）等；</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8.评审组成员在首末页签字，专家注明自己确认项目的序号。</w:t>
      </w:r>
    </w:p>
    <w:p>
      <w:pPr>
        <w:pStyle w:val="2"/>
        <w:ind w:firstLine="400" w:firstLineChars="200"/>
        <w:rPr>
          <w:rFonts w:hint="default"/>
          <w:highlight w:val="none"/>
          <w:lang w:val="en-US" w:eastAsia="zh-CN"/>
        </w:rPr>
      </w:pPr>
    </w:p>
    <w:p>
      <w:pPr>
        <w:pStyle w:val="2"/>
        <w:rPr>
          <w:rFonts w:hint="eastAsia"/>
          <w:highlight w:val="none"/>
          <w:lang w:val="en-US" w:eastAsia="zh-CN"/>
        </w:rPr>
      </w:pPr>
    </w:p>
    <w:p>
      <w:pPr>
        <w:pStyle w:val="2"/>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评审</w:t>
      </w:r>
      <w:r>
        <w:rPr>
          <w:rFonts w:hint="eastAsia" w:asciiTheme="minorEastAsia" w:hAnsiTheme="minorEastAsia" w:eastAsiaTheme="minorEastAsia" w:cstheme="minorEastAsia"/>
          <w:bCs/>
          <w:color w:val="auto"/>
          <w:sz w:val="21"/>
          <w:szCs w:val="21"/>
          <w:highlight w:val="none"/>
        </w:rPr>
        <w:t xml:space="preserve">组长（签名）：                  </w:t>
      </w:r>
      <w:r>
        <w:rPr>
          <w:rFonts w:hint="eastAsia" w:asciiTheme="minorEastAsia" w:hAnsiTheme="minorEastAsia" w:eastAsiaTheme="minorEastAsia" w:cstheme="minorEastAsia"/>
          <w:bCs/>
          <w:color w:val="auto"/>
          <w:sz w:val="21"/>
          <w:szCs w:val="21"/>
          <w:highlight w:val="none"/>
          <w:lang w:val="en-US" w:eastAsia="zh-CN"/>
        </w:rPr>
        <w:t>评审</w:t>
      </w:r>
      <w:r>
        <w:rPr>
          <w:rFonts w:hint="eastAsia" w:asciiTheme="minorEastAsia" w:hAnsiTheme="minorEastAsia" w:eastAsiaTheme="minorEastAsia" w:cstheme="minorEastAsia"/>
          <w:bCs/>
          <w:color w:val="auto"/>
          <w:sz w:val="21"/>
          <w:szCs w:val="21"/>
          <w:highlight w:val="none"/>
        </w:rPr>
        <w:t xml:space="preserve">专家（签名）：                                           </w:t>
      </w:r>
    </w:p>
    <w:p>
      <w:pPr>
        <w:pStyle w:val="2"/>
        <w:rPr>
          <w:rFonts w:hint="eastAsia" w:asciiTheme="minorEastAsia" w:hAnsiTheme="minorEastAsia" w:eastAsiaTheme="minorEastAsia" w:cstheme="minorEastAsia"/>
          <w:bCs/>
          <w:color w:val="auto"/>
          <w:sz w:val="21"/>
          <w:szCs w:val="21"/>
          <w:highlight w:val="none"/>
        </w:rPr>
      </w:pPr>
    </w:p>
    <w:p>
      <w:pPr>
        <w:pStyle w:val="2"/>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w:t>
      </w:r>
    </w:p>
    <w:p>
      <w:pPr>
        <w:pStyle w:val="2"/>
        <w:ind w:firstLine="10920" w:firstLineChars="5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auto"/>
          <w:sz w:val="21"/>
          <w:szCs w:val="21"/>
          <w:highlight w:val="none"/>
        </w:rPr>
        <w:t xml:space="preserve">日期： </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 xml:space="preserve"> 年 </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 xml:space="preserve">月 </w:t>
      </w:r>
      <w:r>
        <w:rPr>
          <w:rFonts w:hint="eastAsia" w:asciiTheme="minorEastAsia" w:hAnsiTheme="minorEastAsia" w:eastAsiaTheme="minorEastAsia" w:cstheme="minorEastAsia"/>
          <w:bCs/>
          <w:color w:val="auto"/>
          <w:sz w:val="21"/>
          <w:szCs w:val="21"/>
          <w:highlight w:val="none"/>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Cs/>
          <w:color w:val="auto"/>
          <w:sz w:val="32"/>
          <w:szCs w:val="32"/>
          <w:highlight w:val="none"/>
          <w:lang w:val="en-US" w:eastAsia="zh-CN"/>
        </w:rPr>
      </w:pPr>
      <w:r>
        <w:rPr>
          <w:rFonts w:hint="eastAsia" w:asciiTheme="minorEastAsia" w:hAnsiTheme="minorEastAsia" w:eastAsiaTheme="minorEastAsia" w:cstheme="minorEastAsia"/>
          <w:sz w:val="21"/>
          <w:szCs w:val="21"/>
          <w:highlight w:val="none"/>
        </w:rPr>
        <w:br w:type="page"/>
      </w:r>
      <w:r>
        <w:rPr>
          <w:rFonts w:hint="eastAsia" w:ascii="黑体" w:hAnsi="黑体" w:eastAsia="黑体" w:cs="黑体"/>
          <w:bCs/>
          <w:color w:val="auto"/>
          <w:sz w:val="32"/>
          <w:szCs w:val="32"/>
          <w:highlight w:val="none"/>
          <w:lang w:val="en-US" w:eastAsia="zh-CN"/>
        </w:rPr>
        <w:t>表5</w:t>
      </w:r>
    </w:p>
    <w:p>
      <w:pPr>
        <w:jc w:val="center"/>
        <w:rPr>
          <w:rFonts w:hint="eastAsia" w:ascii="微软雅黑" w:hAnsi="微软雅黑" w:eastAsia="微软雅黑" w:cs="微软雅黑"/>
          <w:b/>
          <w:spacing w:val="-20"/>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rPr>
        <w:t>现场试验操作考核记录表</w:t>
      </w:r>
    </w:p>
    <w:p>
      <w:pPr>
        <w:snapToGrid w:val="0"/>
        <w:spacing w:line="360" w:lineRule="auto"/>
        <w:rPr>
          <w:rFonts w:hint="eastAsia" w:ascii="宋体" w:hAnsi="宋体"/>
          <w:sz w:val="21"/>
          <w:szCs w:val="21"/>
          <w:highlight w:val="none"/>
        </w:rPr>
      </w:pPr>
      <w:r>
        <w:rPr>
          <w:rFonts w:hint="eastAsia" w:ascii="宋体" w:hAnsi="宋体" w:cs="宋体"/>
          <w:bCs/>
          <w:color w:val="auto"/>
          <w:highlight w:val="none"/>
        </w:rPr>
        <w:t>检测</w:t>
      </w:r>
      <w:r>
        <w:rPr>
          <w:rFonts w:hint="eastAsia" w:ascii="宋体" w:hAnsi="宋体"/>
          <w:sz w:val="21"/>
          <w:szCs w:val="21"/>
          <w:highlight w:val="none"/>
        </w:rPr>
        <w:t>机构名称：</w:t>
      </w:r>
      <w:r>
        <w:rPr>
          <w:rFonts w:hint="eastAsia" w:ascii="宋体" w:hAnsi="宋体"/>
          <w:sz w:val="21"/>
          <w:szCs w:val="21"/>
          <w:highlight w:val="none"/>
          <w:u w:val="single"/>
        </w:rPr>
        <w:t>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　　　</w:t>
      </w:r>
    </w:p>
    <w:p>
      <w:pPr>
        <w:snapToGrid w:val="0"/>
        <w:spacing w:line="360" w:lineRule="auto"/>
        <w:rPr>
          <w:rFonts w:hint="default" w:ascii="宋体" w:hAnsi="宋体" w:eastAsia="宋体"/>
          <w:sz w:val="21"/>
          <w:szCs w:val="21"/>
          <w:highlight w:val="none"/>
          <w:lang w:val="en-US" w:eastAsia="zh-CN"/>
        </w:rPr>
      </w:pPr>
      <w:r>
        <w:rPr>
          <w:rFonts w:hint="eastAsia" w:ascii="宋体" w:hAnsi="宋体" w:cs="宋体"/>
          <w:bCs/>
          <w:color w:val="auto"/>
          <w:highlight w:val="none"/>
        </w:rPr>
        <w:t>检测场所地址</w:t>
      </w:r>
      <w:r>
        <w:rPr>
          <w:rFonts w:hint="eastAsia" w:ascii="宋体" w:hAnsi="宋体" w:cs="宋体"/>
          <w:bCs/>
          <w:color w:val="auto"/>
          <w:highlight w:val="none"/>
          <w:lang w:val="en-US" w:eastAsia="zh-CN"/>
        </w:rPr>
        <w:t>**</w:t>
      </w:r>
      <w:r>
        <w:rPr>
          <w:rFonts w:hint="eastAsia" w:ascii="宋体" w:hAnsi="宋体" w:cs="宋体"/>
          <w:bCs/>
          <w:color w:val="auto"/>
          <w:highlight w:val="none"/>
        </w:rPr>
        <w:t>：</w:t>
      </w:r>
      <w:r>
        <w:rPr>
          <w:rFonts w:hint="eastAsia" w:ascii="宋体" w:hAnsi="宋体"/>
          <w:sz w:val="21"/>
          <w:szCs w:val="21"/>
          <w:highlight w:val="none"/>
          <w:u w:val="single"/>
        </w:rPr>
        <w:t>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　　　</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none"/>
          <w:lang w:val="en-US" w:eastAsia="zh-CN"/>
        </w:rPr>
        <w:t xml:space="preserve">                                            </w:t>
      </w:r>
      <w:r>
        <w:rPr>
          <w:rFonts w:hint="eastAsia" w:ascii="仿宋" w:hAnsi="仿宋" w:eastAsia="仿宋"/>
          <w:color w:val="auto"/>
          <w:highlight w:val="none"/>
        </w:rPr>
        <w:t>共   页  第  页</w:t>
      </w:r>
    </w:p>
    <w:tbl>
      <w:tblPr>
        <w:tblStyle w:val="14"/>
        <w:tblW w:w="144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6"/>
        <w:gridCol w:w="1084"/>
        <w:gridCol w:w="912"/>
        <w:gridCol w:w="1250"/>
        <w:gridCol w:w="1313"/>
        <w:gridCol w:w="1090"/>
        <w:gridCol w:w="988"/>
        <w:gridCol w:w="1012"/>
        <w:gridCol w:w="1063"/>
        <w:gridCol w:w="1212"/>
        <w:gridCol w:w="1230"/>
        <w:gridCol w:w="1260"/>
        <w:gridCol w:w="1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0" w:hRule="atLeast"/>
          <w:jc w:val="center"/>
        </w:trPr>
        <w:tc>
          <w:tcPr>
            <w:tcW w:w="726" w:type="dxa"/>
            <w:vMerge w:val="restart"/>
            <w:tcBorders>
              <w:tl2br w:val="nil"/>
              <w:tr2bl w:val="nil"/>
            </w:tcBorders>
            <w:shd w:val="clear" w:color="auto" w:fill="FFFFFF" w:themeFill="background1"/>
            <w:vAlign w:val="center"/>
          </w:tcPr>
          <w:p>
            <w:pPr>
              <w:jc w:val="center"/>
              <w:rPr>
                <w:rFonts w:ascii="宋体" w:hAnsi="宋体"/>
                <w:sz w:val="21"/>
                <w:szCs w:val="21"/>
                <w:highlight w:val="none"/>
              </w:rPr>
            </w:pPr>
            <w:r>
              <w:rPr>
                <w:rFonts w:hint="eastAsia" w:ascii="宋体" w:hAnsi="宋体"/>
                <w:sz w:val="21"/>
                <w:szCs w:val="21"/>
                <w:highlight w:val="none"/>
              </w:rPr>
              <w:t>序号</w:t>
            </w:r>
          </w:p>
        </w:tc>
        <w:tc>
          <w:tcPr>
            <w:tcW w:w="1084" w:type="dxa"/>
            <w:vMerge w:val="restart"/>
            <w:tcBorders>
              <w:tl2br w:val="nil"/>
              <w:tr2bl w:val="nil"/>
            </w:tcBorders>
            <w:shd w:val="clear" w:color="auto" w:fill="FFFFFF" w:themeFill="background1"/>
            <w:vAlign w:val="center"/>
          </w:tcPr>
          <w:p>
            <w:pPr>
              <w:jc w:val="center"/>
              <w:rPr>
                <w:sz w:val="21"/>
                <w:szCs w:val="21"/>
                <w:highlight w:val="none"/>
              </w:rPr>
            </w:pPr>
            <w:r>
              <w:rPr>
                <w:rFonts w:hint="eastAsia"/>
                <w:sz w:val="21"/>
                <w:szCs w:val="21"/>
                <w:highlight w:val="none"/>
                <w:lang w:val="en-US" w:eastAsia="zh-CN"/>
              </w:rPr>
              <w:t>检测项目</w:t>
            </w:r>
          </w:p>
        </w:tc>
        <w:tc>
          <w:tcPr>
            <w:tcW w:w="3475" w:type="dxa"/>
            <w:gridSpan w:val="3"/>
            <w:tcBorders>
              <w:tl2br w:val="nil"/>
              <w:tr2bl w:val="nil"/>
            </w:tcBorders>
            <w:shd w:val="clear" w:color="auto" w:fill="FFFFFF" w:themeFill="background1"/>
            <w:vAlign w:val="center"/>
          </w:tcPr>
          <w:p>
            <w:pPr>
              <w:jc w:val="center"/>
              <w:rPr>
                <w:rFonts w:ascii="宋体" w:hAnsi="宋体"/>
                <w:sz w:val="21"/>
                <w:szCs w:val="21"/>
                <w:highlight w:val="none"/>
              </w:rPr>
            </w:pPr>
            <w:r>
              <w:rPr>
                <w:rFonts w:hint="eastAsia" w:ascii="宋体" w:hAnsi="宋体"/>
                <w:sz w:val="21"/>
                <w:szCs w:val="21"/>
                <w:highlight w:val="none"/>
              </w:rPr>
              <w:t>参数</w:t>
            </w:r>
          </w:p>
        </w:tc>
        <w:tc>
          <w:tcPr>
            <w:tcW w:w="1090" w:type="dxa"/>
            <w:vMerge w:val="restart"/>
            <w:tcBorders>
              <w:tl2br w:val="nil"/>
              <w:tr2bl w:val="nil"/>
            </w:tcBorders>
            <w:shd w:val="clear" w:color="auto" w:fill="FFFFFF" w:themeFill="background1"/>
            <w:vAlign w:val="center"/>
          </w:tcPr>
          <w:p>
            <w:pPr>
              <w:jc w:val="center"/>
              <w:rPr>
                <w:rFonts w:ascii="宋体" w:hAnsi="宋体"/>
                <w:sz w:val="21"/>
                <w:szCs w:val="21"/>
                <w:highlight w:val="none"/>
              </w:rPr>
            </w:pPr>
            <w:r>
              <w:rPr>
                <w:rFonts w:hint="eastAsia" w:ascii="宋体" w:hAnsi="宋体"/>
                <w:sz w:val="21"/>
                <w:szCs w:val="21"/>
                <w:highlight w:val="none"/>
              </w:rPr>
              <w:t>试验设备</w:t>
            </w:r>
          </w:p>
        </w:tc>
        <w:tc>
          <w:tcPr>
            <w:tcW w:w="4275" w:type="dxa"/>
            <w:gridSpan w:val="4"/>
            <w:tcBorders>
              <w:bottom w:val="single" w:color="auto" w:sz="4" w:space="0"/>
              <w:right w:val="single" w:color="auto" w:sz="4" w:space="0"/>
              <w:tl2br w:val="nil"/>
              <w:tr2bl w:val="nil"/>
            </w:tcBorders>
            <w:shd w:val="clear" w:color="auto" w:fill="FFFFFF" w:themeFill="background1"/>
            <w:vAlign w:val="center"/>
          </w:tcPr>
          <w:p>
            <w:pPr>
              <w:jc w:val="center"/>
              <w:rPr>
                <w:rFonts w:hint="eastAsia" w:ascii="宋体" w:hAnsi="宋体"/>
                <w:sz w:val="21"/>
                <w:szCs w:val="21"/>
                <w:highlight w:val="none"/>
              </w:rPr>
            </w:pPr>
            <w:r>
              <w:rPr>
                <w:rFonts w:hint="eastAsia" w:ascii="宋体" w:hAnsi="宋体"/>
                <w:sz w:val="21"/>
                <w:szCs w:val="21"/>
                <w:highlight w:val="none"/>
              </w:rPr>
              <w:t>试验人员</w:t>
            </w:r>
          </w:p>
        </w:tc>
        <w:tc>
          <w:tcPr>
            <w:tcW w:w="1230" w:type="dxa"/>
            <w:vMerge w:val="restart"/>
            <w:tcBorders>
              <w:left w:val="single" w:color="auto" w:sz="4" w:space="0"/>
              <w:tl2br w:val="nil"/>
              <w:tr2bl w:val="nil"/>
            </w:tcBorders>
            <w:shd w:val="clear" w:color="auto" w:fill="FFFFFF" w:themeFill="background1"/>
            <w:vAlign w:val="center"/>
          </w:tcPr>
          <w:p>
            <w:pPr>
              <w:jc w:val="center"/>
              <w:rPr>
                <w:rFonts w:hint="eastAsia" w:ascii="宋体" w:hAnsi="宋体"/>
                <w:sz w:val="21"/>
                <w:szCs w:val="21"/>
                <w:highlight w:val="none"/>
              </w:rPr>
            </w:pPr>
            <w:r>
              <w:rPr>
                <w:rFonts w:hint="eastAsia" w:ascii="宋体" w:hAnsi="宋体"/>
                <w:sz w:val="21"/>
                <w:szCs w:val="21"/>
                <w:highlight w:val="none"/>
              </w:rPr>
              <w:t>试验要求</w:t>
            </w:r>
          </w:p>
        </w:tc>
        <w:tc>
          <w:tcPr>
            <w:tcW w:w="1260" w:type="dxa"/>
            <w:vMerge w:val="restart"/>
            <w:tcBorders>
              <w:tl2br w:val="nil"/>
              <w:tr2bl w:val="nil"/>
            </w:tcBorders>
            <w:shd w:val="clear" w:color="auto" w:fill="FFFFFF" w:themeFill="background1"/>
            <w:vAlign w:val="center"/>
          </w:tcPr>
          <w:p>
            <w:pPr>
              <w:spacing w:line="120" w:lineRule="atLeast"/>
              <w:jc w:val="center"/>
              <w:rPr>
                <w:rFonts w:hint="eastAsia" w:ascii="宋体" w:hAnsi="宋体"/>
                <w:sz w:val="21"/>
                <w:szCs w:val="21"/>
                <w:highlight w:val="none"/>
              </w:rPr>
            </w:pPr>
            <w:r>
              <w:rPr>
                <w:rFonts w:hint="eastAsia" w:ascii="宋体" w:hAnsi="宋体"/>
                <w:sz w:val="21"/>
                <w:szCs w:val="21"/>
                <w:highlight w:val="none"/>
                <w:lang w:val="en-US" w:eastAsia="zh-CN"/>
              </w:rPr>
              <w:t>考核</w:t>
            </w:r>
            <w:r>
              <w:rPr>
                <w:rFonts w:hint="eastAsia" w:ascii="宋体" w:hAnsi="宋体"/>
                <w:sz w:val="21"/>
                <w:szCs w:val="21"/>
                <w:highlight w:val="none"/>
              </w:rPr>
              <w:t>结论</w:t>
            </w:r>
          </w:p>
          <w:p>
            <w:pPr>
              <w:pStyle w:val="2"/>
              <w:jc w:val="center"/>
              <w:rPr>
                <w:highlight w:val="none"/>
              </w:rPr>
            </w:pPr>
          </w:p>
        </w:tc>
        <w:tc>
          <w:tcPr>
            <w:tcW w:w="1270" w:type="dxa"/>
            <w:vMerge w:val="restart"/>
            <w:tcBorders>
              <w:tl2br w:val="nil"/>
              <w:tr2bl w:val="nil"/>
            </w:tcBorders>
            <w:shd w:val="clear" w:color="auto" w:fill="FFFFFF" w:themeFill="background1"/>
            <w:vAlign w:val="center"/>
          </w:tcPr>
          <w:p>
            <w:pPr>
              <w:spacing w:line="120" w:lineRule="atLeast"/>
              <w:jc w:val="center"/>
              <w:rPr>
                <w:rFonts w:ascii="宋体" w:hAnsi="宋体"/>
                <w:sz w:val="21"/>
                <w:szCs w:val="21"/>
                <w:highlight w:val="none"/>
              </w:rPr>
            </w:pPr>
            <w:r>
              <w:rPr>
                <w:rFonts w:hint="eastAsia" w:ascii="宋体" w:hAnsi="宋体"/>
                <w:sz w:val="21"/>
                <w:szCs w:val="21"/>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77" w:hRule="atLeast"/>
          <w:jc w:val="center"/>
        </w:trPr>
        <w:tc>
          <w:tcPr>
            <w:tcW w:w="726" w:type="dxa"/>
            <w:vMerge w:val="continue"/>
            <w:tcBorders>
              <w:tl2br w:val="nil"/>
              <w:tr2bl w:val="nil"/>
            </w:tcBorders>
            <w:shd w:val="pct10" w:color="auto" w:fill="auto"/>
            <w:vAlign w:val="center"/>
          </w:tcPr>
          <w:p>
            <w:pPr>
              <w:jc w:val="center"/>
              <w:rPr>
                <w:rFonts w:ascii="宋体" w:hAnsi="宋体"/>
                <w:sz w:val="21"/>
                <w:szCs w:val="21"/>
                <w:highlight w:val="none"/>
              </w:rPr>
            </w:pPr>
          </w:p>
        </w:tc>
        <w:tc>
          <w:tcPr>
            <w:tcW w:w="1084" w:type="dxa"/>
            <w:vMerge w:val="continue"/>
            <w:tcBorders>
              <w:tl2br w:val="nil"/>
              <w:tr2bl w:val="nil"/>
            </w:tcBorders>
            <w:shd w:val="pct10" w:color="auto" w:fill="auto"/>
            <w:vAlign w:val="center"/>
          </w:tcPr>
          <w:p>
            <w:pPr>
              <w:jc w:val="center"/>
              <w:rPr>
                <w:rFonts w:ascii="宋体" w:hAnsi="宋体"/>
                <w:sz w:val="21"/>
                <w:szCs w:val="21"/>
                <w:highlight w:val="none"/>
              </w:rPr>
            </w:pPr>
          </w:p>
        </w:tc>
        <w:tc>
          <w:tcPr>
            <w:tcW w:w="912" w:type="dxa"/>
            <w:tcBorders>
              <w:tl2br w:val="nil"/>
              <w:tr2bl w:val="nil"/>
            </w:tcBorders>
            <w:shd w:val="clear" w:color="auto" w:fill="FFFFFF" w:themeFill="background1"/>
            <w:vAlign w:val="center"/>
          </w:tcPr>
          <w:p>
            <w:pPr>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编号</w:t>
            </w:r>
          </w:p>
        </w:tc>
        <w:tc>
          <w:tcPr>
            <w:tcW w:w="1250" w:type="dxa"/>
            <w:tcBorders>
              <w:tl2br w:val="nil"/>
              <w:tr2bl w:val="nil"/>
            </w:tcBorders>
            <w:shd w:val="clear" w:color="auto" w:fill="FFFFFF" w:themeFill="background1"/>
            <w:vAlign w:val="center"/>
          </w:tcPr>
          <w:p>
            <w:pPr>
              <w:jc w:val="center"/>
              <w:rPr>
                <w:rFonts w:ascii="宋体" w:hAnsi="宋体"/>
                <w:sz w:val="21"/>
                <w:szCs w:val="21"/>
                <w:highlight w:val="none"/>
              </w:rPr>
            </w:pPr>
            <w:r>
              <w:rPr>
                <w:rFonts w:hint="eastAsia" w:ascii="宋体" w:hAnsi="宋体"/>
                <w:sz w:val="21"/>
                <w:szCs w:val="21"/>
                <w:highlight w:val="none"/>
              </w:rPr>
              <w:t>名称</w:t>
            </w:r>
          </w:p>
        </w:tc>
        <w:tc>
          <w:tcPr>
            <w:tcW w:w="1313" w:type="dxa"/>
            <w:tcBorders>
              <w:tl2br w:val="nil"/>
              <w:tr2bl w:val="nil"/>
            </w:tcBorders>
            <w:shd w:val="clear" w:color="auto" w:fill="FFFFFF" w:themeFill="background1"/>
            <w:vAlign w:val="center"/>
          </w:tcPr>
          <w:p>
            <w:pPr>
              <w:jc w:val="center"/>
              <w:rPr>
                <w:rFonts w:ascii="宋体" w:hAnsi="宋体"/>
                <w:sz w:val="21"/>
                <w:szCs w:val="21"/>
                <w:highlight w:val="none"/>
              </w:rPr>
            </w:pPr>
            <w:r>
              <w:rPr>
                <w:rFonts w:hint="eastAsia" w:asciiTheme="minorEastAsia" w:hAnsiTheme="minorEastAsia" w:eastAsiaTheme="minorEastAsia" w:cstheme="minorEastAsia"/>
                <w:bCs/>
                <w:color w:val="auto"/>
                <w:sz w:val="21"/>
                <w:szCs w:val="21"/>
                <w:highlight w:val="none"/>
              </w:rPr>
              <w:t>依据</w:t>
            </w:r>
            <w:r>
              <w:rPr>
                <w:rFonts w:hint="eastAsia" w:ascii="宋体" w:hAnsi="宋体"/>
                <w:bCs/>
                <w:sz w:val="21"/>
                <w:szCs w:val="21"/>
                <w:highlight w:val="none"/>
              </w:rPr>
              <w:t>标准</w:t>
            </w:r>
            <w:r>
              <w:rPr>
                <w:rFonts w:hint="eastAsia" w:ascii="宋体" w:hAnsi="宋体"/>
                <w:bCs/>
                <w:sz w:val="21"/>
                <w:szCs w:val="21"/>
                <w:highlight w:val="none"/>
                <w:lang w:val="en-US" w:eastAsia="zh-CN"/>
              </w:rPr>
              <w:t>及标准</w:t>
            </w:r>
            <w:r>
              <w:rPr>
                <w:rFonts w:hint="eastAsia" w:ascii="宋体" w:hAnsi="宋体"/>
                <w:bCs/>
                <w:sz w:val="21"/>
                <w:szCs w:val="21"/>
                <w:highlight w:val="none"/>
              </w:rPr>
              <w:t>条款号</w:t>
            </w:r>
          </w:p>
        </w:tc>
        <w:tc>
          <w:tcPr>
            <w:tcW w:w="1090" w:type="dxa"/>
            <w:vMerge w:val="continue"/>
            <w:tcBorders>
              <w:tl2br w:val="nil"/>
              <w:tr2bl w:val="nil"/>
            </w:tcBorders>
            <w:shd w:val="pct10" w:color="auto" w:fill="auto"/>
            <w:vAlign w:val="center"/>
          </w:tcPr>
          <w:p>
            <w:pPr>
              <w:jc w:val="center"/>
              <w:rPr>
                <w:rFonts w:ascii="宋体" w:hAnsi="宋体"/>
                <w:sz w:val="21"/>
                <w:szCs w:val="21"/>
                <w:highlight w:val="none"/>
              </w:rPr>
            </w:pPr>
          </w:p>
        </w:tc>
        <w:tc>
          <w:tcPr>
            <w:tcW w:w="988" w:type="dxa"/>
            <w:tcBorders>
              <w:top w:val="single" w:color="auto" w:sz="4" w:space="0"/>
              <w:tl2br w:val="nil"/>
              <w:tr2bl w:val="nil"/>
            </w:tcBorders>
            <w:shd w:val="clear" w:color="auto" w:fill="auto"/>
            <w:vAlign w:val="center"/>
          </w:tcPr>
          <w:p>
            <w:pPr>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姓名</w:t>
            </w:r>
          </w:p>
        </w:tc>
        <w:tc>
          <w:tcPr>
            <w:tcW w:w="1012" w:type="dxa"/>
            <w:tcBorders>
              <w:top w:val="single" w:color="auto" w:sz="4" w:space="0"/>
              <w:right w:val="single" w:color="auto" w:sz="4" w:space="0"/>
              <w:tl2br w:val="nil"/>
              <w:tr2bl w:val="nil"/>
            </w:tcBorders>
            <w:shd w:val="clear" w:color="auto" w:fill="auto"/>
            <w:vAlign w:val="center"/>
          </w:tcPr>
          <w:p>
            <w:pPr>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职称</w:t>
            </w:r>
          </w:p>
        </w:tc>
        <w:tc>
          <w:tcPr>
            <w:tcW w:w="1063" w:type="dxa"/>
            <w:tcBorders>
              <w:top w:val="single" w:color="auto" w:sz="4" w:space="0"/>
              <w:left w:val="single" w:color="auto" w:sz="4" w:space="0"/>
              <w:right w:val="single" w:color="auto" w:sz="4" w:space="0"/>
              <w:tl2br w:val="nil"/>
              <w:tr2bl w:val="nil"/>
            </w:tcBorders>
            <w:shd w:val="clear" w:color="auto" w:fill="auto"/>
            <w:vAlign w:val="center"/>
          </w:tcPr>
          <w:p>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注册资格</w:t>
            </w:r>
          </w:p>
        </w:tc>
        <w:tc>
          <w:tcPr>
            <w:tcW w:w="1212" w:type="dxa"/>
            <w:tcBorders>
              <w:top w:val="single" w:color="auto" w:sz="4" w:space="0"/>
              <w:left w:val="single" w:color="auto" w:sz="4" w:space="0"/>
              <w:right w:val="single" w:color="auto" w:sz="4" w:space="0"/>
              <w:tl2br w:val="nil"/>
              <w:tr2bl w:val="nil"/>
            </w:tcBorders>
            <w:shd w:val="clear" w:color="auto" w:fill="auto"/>
            <w:vAlign w:val="center"/>
          </w:tcPr>
          <w:p>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从事年限</w:t>
            </w:r>
          </w:p>
        </w:tc>
        <w:tc>
          <w:tcPr>
            <w:tcW w:w="1230" w:type="dxa"/>
            <w:vMerge w:val="continue"/>
            <w:tcBorders>
              <w:left w:val="single" w:color="auto" w:sz="4" w:space="0"/>
              <w:tl2br w:val="nil"/>
              <w:tr2bl w:val="nil"/>
            </w:tcBorders>
            <w:shd w:val="pct10" w:color="auto" w:fill="auto"/>
            <w:vAlign w:val="center"/>
          </w:tcPr>
          <w:p>
            <w:pPr>
              <w:jc w:val="center"/>
              <w:rPr>
                <w:rFonts w:hint="eastAsia" w:ascii="宋体" w:hAnsi="宋体"/>
                <w:sz w:val="21"/>
                <w:szCs w:val="21"/>
                <w:highlight w:val="none"/>
              </w:rPr>
            </w:pPr>
          </w:p>
        </w:tc>
        <w:tc>
          <w:tcPr>
            <w:tcW w:w="1260" w:type="dxa"/>
            <w:vMerge w:val="continue"/>
            <w:tcBorders>
              <w:tl2br w:val="nil"/>
              <w:tr2bl w:val="nil"/>
            </w:tcBorders>
            <w:shd w:val="pct10" w:color="auto" w:fill="auto"/>
            <w:vAlign w:val="center"/>
          </w:tcPr>
          <w:p>
            <w:pPr>
              <w:jc w:val="center"/>
              <w:rPr>
                <w:rFonts w:ascii="宋体" w:hAnsi="宋体"/>
                <w:sz w:val="21"/>
                <w:szCs w:val="21"/>
                <w:highlight w:val="none"/>
              </w:rPr>
            </w:pPr>
          </w:p>
        </w:tc>
        <w:tc>
          <w:tcPr>
            <w:tcW w:w="1270" w:type="dxa"/>
            <w:vMerge w:val="continue"/>
            <w:tcBorders>
              <w:tl2br w:val="nil"/>
              <w:tr2bl w:val="nil"/>
            </w:tcBorders>
            <w:shd w:val="pct10" w:color="auto" w:fill="auto"/>
            <w:vAlign w:val="center"/>
          </w:tcPr>
          <w:p>
            <w:pPr>
              <w:jc w:val="center"/>
              <w:rPr>
                <w:rFonts w:ascii="宋体" w:hAnsi="宋体"/>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726" w:type="dxa"/>
            <w:vMerge w:val="restart"/>
            <w:tcBorders>
              <w:tl2br w:val="nil"/>
              <w:tr2bl w:val="nil"/>
            </w:tcBorders>
            <w:vAlign w:val="center"/>
          </w:tcPr>
          <w:p>
            <w:pPr>
              <w:jc w:val="center"/>
              <w:rPr>
                <w:sz w:val="21"/>
                <w:szCs w:val="21"/>
                <w:highlight w:val="none"/>
              </w:rPr>
            </w:pPr>
          </w:p>
        </w:tc>
        <w:tc>
          <w:tcPr>
            <w:tcW w:w="1084" w:type="dxa"/>
            <w:vMerge w:val="restart"/>
            <w:tcBorders>
              <w:tl2br w:val="nil"/>
              <w:tr2bl w:val="nil"/>
            </w:tcBorders>
            <w:vAlign w:val="center"/>
          </w:tcPr>
          <w:p>
            <w:pPr>
              <w:jc w:val="left"/>
              <w:rPr>
                <w:sz w:val="21"/>
                <w:szCs w:val="21"/>
                <w:highlight w:val="none"/>
              </w:rPr>
            </w:pPr>
          </w:p>
        </w:tc>
        <w:tc>
          <w:tcPr>
            <w:tcW w:w="912" w:type="dxa"/>
            <w:tcBorders>
              <w:tl2br w:val="nil"/>
              <w:tr2bl w:val="nil"/>
            </w:tcBorders>
            <w:vAlign w:val="center"/>
          </w:tcPr>
          <w:p>
            <w:pPr>
              <w:jc w:val="center"/>
              <w:rPr>
                <w:rFonts w:ascii="宋体" w:hAnsi="宋体"/>
                <w:sz w:val="21"/>
                <w:szCs w:val="21"/>
                <w:highlight w:val="none"/>
              </w:rPr>
            </w:pPr>
          </w:p>
        </w:tc>
        <w:tc>
          <w:tcPr>
            <w:tcW w:w="1250" w:type="dxa"/>
            <w:tcBorders>
              <w:tl2br w:val="nil"/>
              <w:tr2bl w:val="nil"/>
            </w:tcBorders>
            <w:vAlign w:val="center"/>
          </w:tcPr>
          <w:p>
            <w:pPr>
              <w:jc w:val="center"/>
              <w:rPr>
                <w:rFonts w:ascii="宋体" w:hAnsi="宋体"/>
                <w:sz w:val="21"/>
                <w:szCs w:val="21"/>
                <w:highlight w:val="none"/>
              </w:rPr>
            </w:pPr>
          </w:p>
        </w:tc>
        <w:tc>
          <w:tcPr>
            <w:tcW w:w="1313" w:type="dxa"/>
            <w:tcBorders>
              <w:tl2br w:val="nil"/>
              <w:tr2bl w:val="nil"/>
            </w:tcBorders>
            <w:vAlign w:val="center"/>
          </w:tcPr>
          <w:p>
            <w:pPr>
              <w:jc w:val="center"/>
              <w:rPr>
                <w:sz w:val="21"/>
                <w:szCs w:val="21"/>
                <w:highlight w:val="none"/>
              </w:rPr>
            </w:pPr>
          </w:p>
        </w:tc>
        <w:tc>
          <w:tcPr>
            <w:tcW w:w="1090" w:type="dxa"/>
            <w:tcBorders>
              <w:tl2br w:val="nil"/>
              <w:tr2bl w:val="nil"/>
            </w:tcBorders>
            <w:vAlign w:val="center"/>
          </w:tcPr>
          <w:p>
            <w:pPr>
              <w:jc w:val="center"/>
              <w:rPr>
                <w:rFonts w:ascii="宋体" w:hAnsi="宋体"/>
                <w:sz w:val="21"/>
                <w:szCs w:val="21"/>
                <w:highlight w:val="none"/>
              </w:rPr>
            </w:pPr>
          </w:p>
        </w:tc>
        <w:tc>
          <w:tcPr>
            <w:tcW w:w="988" w:type="dxa"/>
            <w:tcBorders>
              <w:tl2br w:val="nil"/>
              <w:tr2bl w:val="nil"/>
            </w:tcBorders>
            <w:vAlign w:val="center"/>
          </w:tcPr>
          <w:p>
            <w:pPr>
              <w:spacing w:line="120" w:lineRule="atLeast"/>
              <w:jc w:val="center"/>
              <w:rPr>
                <w:rFonts w:hint="eastAsia" w:ascii="宋体" w:hAnsi="宋体" w:eastAsia="宋体"/>
                <w:sz w:val="21"/>
                <w:szCs w:val="21"/>
                <w:highlight w:val="none"/>
                <w:lang w:val="en-US" w:eastAsia="zh-CN"/>
              </w:rPr>
            </w:pPr>
          </w:p>
        </w:tc>
        <w:tc>
          <w:tcPr>
            <w:tcW w:w="1012" w:type="dxa"/>
            <w:tcBorders>
              <w:right w:val="single" w:color="auto" w:sz="4" w:space="0"/>
              <w:tl2br w:val="nil"/>
              <w:tr2bl w:val="nil"/>
            </w:tcBorders>
            <w:vAlign w:val="center"/>
          </w:tcPr>
          <w:p>
            <w:pPr>
              <w:spacing w:line="120" w:lineRule="atLeast"/>
              <w:jc w:val="center"/>
              <w:rPr>
                <w:rFonts w:ascii="宋体" w:hAnsi="宋体"/>
                <w:sz w:val="21"/>
                <w:szCs w:val="21"/>
                <w:highlight w:val="none"/>
              </w:rPr>
            </w:pPr>
          </w:p>
        </w:tc>
        <w:tc>
          <w:tcPr>
            <w:tcW w:w="1063" w:type="dxa"/>
            <w:tcBorders>
              <w:left w:val="single" w:color="auto" w:sz="4" w:space="0"/>
              <w:right w:val="single" w:color="auto" w:sz="4" w:space="0"/>
              <w:tl2br w:val="nil"/>
              <w:tr2bl w:val="nil"/>
            </w:tcBorders>
            <w:vAlign w:val="center"/>
          </w:tcPr>
          <w:p>
            <w:pPr>
              <w:spacing w:line="120" w:lineRule="atLeast"/>
              <w:jc w:val="center"/>
              <w:rPr>
                <w:rFonts w:ascii="宋体" w:hAnsi="宋体"/>
                <w:sz w:val="21"/>
                <w:szCs w:val="21"/>
                <w:highlight w:val="none"/>
              </w:rPr>
            </w:pPr>
          </w:p>
        </w:tc>
        <w:tc>
          <w:tcPr>
            <w:tcW w:w="1212" w:type="dxa"/>
            <w:tcBorders>
              <w:left w:val="single" w:color="auto" w:sz="4" w:space="0"/>
              <w:right w:val="single" w:color="auto" w:sz="4" w:space="0"/>
              <w:tl2br w:val="nil"/>
              <w:tr2bl w:val="nil"/>
            </w:tcBorders>
            <w:vAlign w:val="center"/>
          </w:tcPr>
          <w:p>
            <w:pPr>
              <w:spacing w:line="120" w:lineRule="atLeast"/>
              <w:jc w:val="center"/>
              <w:rPr>
                <w:rFonts w:ascii="宋体" w:hAnsi="宋体"/>
                <w:sz w:val="21"/>
                <w:szCs w:val="21"/>
                <w:highlight w:val="none"/>
              </w:rPr>
            </w:pPr>
          </w:p>
        </w:tc>
        <w:tc>
          <w:tcPr>
            <w:tcW w:w="1230" w:type="dxa"/>
            <w:tcBorders>
              <w:left w:val="single" w:color="auto" w:sz="4" w:space="0"/>
              <w:tl2br w:val="nil"/>
              <w:tr2bl w:val="nil"/>
            </w:tcBorders>
            <w:vAlign w:val="center"/>
          </w:tcPr>
          <w:p>
            <w:pPr>
              <w:spacing w:line="120" w:lineRule="atLeast"/>
              <w:jc w:val="center"/>
              <w:rPr>
                <w:rFonts w:ascii="宋体" w:hAnsi="宋体"/>
                <w:sz w:val="21"/>
                <w:szCs w:val="21"/>
                <w:highlight w:val="none"/>
              </w:rPr>
            </w:pPr>
          </w:p>
        </w:tc>
        <w:tc>
          <w:tcPr>
            <w:tcW w:w="1260" w:type="dxa"/>
            <w:tcBorders>
              <w:tl2br w:val="nil"/>
              <w:tr2bl w:val="nil"/>
            </w:tcBorders>
            <w:vAlign w:val="center"/>
          </w:tcPr>
          <w:p>
            <w:pPr>
              <w:spacing w:line="120" w:lineRule="atLeast"/>
              <w:jc w:val="left"/>
              <w:rPr>
                <w:rFonts w:hint="eastAsia" w:ascii="仿宋" w:hAnsi="仿宋" w:eastAsia="仿宋" w:cs="仿宋"/>
                <w:bCs/>
                <w:strike w:val="0"/>
                <w:color w:val="auto"/>
                <w:spacing w:val="-5"/>
                <w:sz w:val="23"/>
                <w:szCs w:val="23"/>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 xml:space="preserve">通过 </w:t>
            </w:r>
          </w:p>
          <w:p>
            <w:pPr>
              <w:spacing w:line="120" w:lineRule="atLeast"/>
              <w:jc w:val="left"/>
              <w:rPr>
                <w:rFonts w:ascii="宋体" w:hAnsi="宋体"/>
                <w:strike w:val="0"/>
                <w:color w:val="auto"/>
                <w:sz w:val="21"/>
                <w:szCs w:val="21"/>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不通过</w:t>
            </w:r>
          </w:p>
        </w:tc>
        <w:tc>
          <w:tcPr>
            <w:tcW w:w="1270" w:type="dxa"/>
            <w:tcBorders>
              <w:tl2br w:val="nil"/>
              <w:tr2bl w:val="nil"/>
            </w:tcBorders>
            <w:vAlign w:val="center"/>
          </w:tcPr>
          <w:p>
            <w:pPr>
              <w:jc w:val="center"/>
              <w:rPr>
                <w:rFonts w:ascii="宋体" w:hAnsi="宋体"/>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726" w:type="dxa"/>
            <w:vMerge w:val="continue"/>
            <w:tcBorders>
              <w:tl2br w:val="nil"/>
              <w:tr2bl w:val="nil"/>
            </w:tcBorders>
            <w:vAlign w:val="center"/>
          </w:tcPr>
          <w:p>
            <w:pPr>
              <w:jc w:val="center"/>
              <w:rPr>
                <w:rFonts w:ascii="宋体" w:hAnsi="宋体"/>
                <w:sz w:val="21"/>
                <w:szCs w:val="21"/>
                <w:highlight w:val="none"/>
              </w:rPr>
            </w:pPr>
          </w:p>
        </w:tc>
        <w:tc>
          <w:tcPr>
            <w:tcW w:w="1084" w:type="dxa"/>
            <w:vMerge w:val="continue"/>
            <w:tcBorders>
              <w:tl2br w:val="nil"/>
              <w:tr2bl w:val="nil"/>
            </w:tcBorders>
            <w:vAlign w:val="center"/>
          </w:tcPr>
          <w:p>
            <w:pPr>
              <w:jc w:val="center"/>
              <w:rPr>
                <w:rFonts w:ascii="宋体" w:hAnsi="宋体"/>
                <w:sz w:val="21"/>
                <w:szCs w:val="21"/>
                <w:highlight w:val="none"/>
              </w:rPr>
            </w:pPr>
          </w:p>
        </w:tc>
        <w:tc>
          <w:tcPr>
            <w:tcW w:w="912" w:type="dxa"/>
            <w:tcBorders>
              <w:tl2br w:val="nil"/>
              <w:tr2bl w:val="nil"/>
            </w:tcBorders>
            <w:vAlign w:val="center"/>
          </w:tcPr>
          <w:p>
            <w:pPr>
              <w:jc w:val="center"/>
              <w:rPr>
                <w:rFonts w:ascii="宋体" w:hAnsi="宋体"/>
                <w:sz w:val="21"/>
                <w:szCs w:val="21"/>
                <w:highlight w:val="none"/>
              </w:rPr>
            </w:pPr>
          </w:p>
        </w:tc>
        <w:tc>
          <w:tcPr>
            <w:tcW w:w="1250" w:type="dxa"/>
            <w:tcBorders>
              <w:tl2br w:val="nil"/>
              <w:tr2bl w:val="nil"/>
            </w:tcBorders>
            <w:vAlign w:val="center"/>
          </w:tcPr>
          <w:p>
            <w:pPr>
              <w:jc w:val="center"/>
              <w:rPr>
                <w:rFonts w:ascii="宋体" w:hAnsi="宋体"/>
                <w:sz w:val="21"/>
                <w:szCs w:val="21"/>
                <w:highlight w:val="none"/>
              </w:rPr>
            </w:pPr>
          </w:p>
        </w:tc>
        <w:tc>
          <w:tcPr>
            <w:tcW w:w="1313" w:type="dxa"/>
            <w:tcBorders>
              <w:tl2br w:val="nil"/>
              <w:tr2bl w:val="nil"/>
            </w:tcBorders>
            <w:vAlign w:val="center"/>
          </w:tcPr>
          <w:p>
            <w:pPr>
              <w:jc w:val="center"/>
              <w:rPr>
                <w:rFonts w:ascii="宋体" w:hAnsi="宋体"/>
                <w:sz w:val="21"/>
                <w:szCs w:val="21"/>
                <w:highlight w:val="none"/>
              </w:rPr>
            </w:pPr>
          </w:p>
        </w:tc>
        <w:tc>
          <w:tcPr>
            <w:tcW w:w="1090" w:type="dxa"/>
            <w:tcBorders>
              <w:tl2br w:val="nil"/>
              <w:tr2bl w:val="nil"/>
            </w:tcBorders>
            <w:vAlign w:val="center"/>
          </w:tcPr>
          <w:p>
            <w:pPr>
              <w:jc w:val="center"/>
              <w:rPr>
                <w:rFonts w:ascii="宋体" w:hAnsi="宋体"/>
                <w:sz w:val="21"/>
                <w:szCs w:val="21"/>
                <w:highlight w:val="none"/>
              </w:rPr>
            </w:pPr>
          </w:p>
        </w:tc>
        <w:tc>
          <w:tcPr>
            <w:tcW w:w="988" w:type="dxa"/>
            <w:tcBorders>
              <w:tl2br w:val="nil"/>
              <w:tr2bl w:val="nil"/>
            </w:tcBorders>
            <w:vAlign w:val="center"/>
          </w:tcPr>
          <w:p>
            <w:pPr>
              <w:jc w:val="center"/>
              <w:rPr>
                <w:rFonts w:ascii="宋体" w:hAnsi="宋体"/>
                <w:sz w:val="21"/>
                <w:szCs w:val="21"/>
                <w:highlight w:val="none"/>
              </w:rPr>
            </w:pPr>
          </w:p>
        </w:tc>
        <w:tc>
          <w:tcPr>
            <w:tcW w:w="1012" w:type="dxa"/>
            <w:tcBorders>
              <w:right w:val="single" w:color="auto" w:sz="4" w:space="0"/>
              <w:tl2br w:val="nil"/>
              <w:tr2bl w:val="nil"/>
            </w:tcBorders>
            <w:vAlign w:val="center"/>
          </w:tcPr>
          <w:p>
            <w:pPr>
              <w:jc w:val="center"/>
              <w:rPr>
                <w:rFonts w:ascii="宋体" w:hAnsi="宋体"/>
                <w:sz w:val="21"/>
                <w:szCs w:val="21"/>
                <w:highlight w:val="none"/>
              </w:rPr>
            </w:pPr>
          </w:p>
        </w:tc>
        <w:tc>
          <w:tcPr>
            <w:tcW w:w="1063" w:type="dxa"/>
            <w:tcBorders>
              <w:left w:val="single" w:color="auto" w:sz="4" w:space="0"/>
              <w:right w:val="single" w:color="auto" w:sz="4" w:space="0"/>
              <w:tl2br w:val="nil"/>
              <w:tr2bl w:val="nil"/>
            </w:tcBorders>
            <w:vAlign w:val="center"/>
          </w:tcPr>
          <w:p>
            <w:pPr>
              <w:jc w:val="center"/>
              <w:rPr>
                <w:rFonts w:ascii="宋体" w:hAnsi="宋体"/>
                <w:sz w:val="21"/>
                <w:szCs w:val="21"/>
                <w:highlight w:val="none"/>
              </w:rPr>
            </w:pPr>
          </w:p>
        </w:tc>
        <w:tc>
          <w:tcPr>
            <w:tcW w:w="1212" w:type="dxa"/>
            <w:tcBorders>
              <w:left w:val="single" w:color="auto" w:sz="4" w:space="0"/>
              <w:right w:val="single" w:color="auto" w:sz="4" w:space="0"/>
              <w:tl2br w:val="nil"/>
              <w:tr2bl w:val="nil"/>
            </w:tcBorders>
            <w:vAlign w:val="center"/>
          </w:tcPr>
          <w:p>
            <w:pPr>
              <w:jc w:val="center"/>
              <w:rPr>
                <w:rFonts w:ascii="宋体" w:hAnsi="宋体"/>
                <w:sz w:val="21"/>
                <w:szCs w:val="21"/>
                <w:highlight w:val="none"/>
              </w:rPr>
            </w:pPr>
          </w:p>
        </w:tc>
        <w:tc>
          <w:tcPr>
            <w:tcW w:w="1230" w:type="dxa"/>
            <w:tcBorders>
              <w:left w:val="single" w:color="auto" w:sz="4" w:space="0"/>
              <w:tl2br w:val="nil"/>
              <w:tr2bl w:val="nil"/>
            </w:tcBorders>
            <w:vAlign w:val="center"/>
          </w:tcPr>
          <w:p>
            <w:pPr>
              <w:jc w:val="center"/>
              <w:rPr>
                <w:rFonts w:ascii="宋体" w:hAnsi="宋体"/>
                <w:sz w:val="21"/>
                <w:szCs w:val="21"/>
                <w:highlight w:val="none"/>
              </w:rPr>
            </w:pPr>
          </w:p>
        </w:tc>
        <w:tc>
          <w:tcPr>
            <w:tcW w:w="1260" w:type="dxa"/>
            <w:tcBorders>
              <w:tl2br w:val="nil"/>
              <w:tr2bl w:val="nil"/>
            </w:tcBorders>
            <w:vAlign w:val="center"/>
          </w:tcPr>
          <w:p>
            <w:pPr>
              <w:spacing w:line="120" w:lineRule="atLeast"/>
              <w:jc w:val="left"/>
              <w:rPr>
                <w:rFonts w:hint="eastAsia" w:ascii="仿宋" w:hAnsi="仿宋" w:eastAsia="仿宋" w:cs="仿宋"/>
                <w:bCs/>
                <w:strike w:val="0"/>
                <w:color w:val="auto"/>
                <w:spacing w:val="-5"/>
                <w:sz w:val="23"/>
                <w:szCs w:val="23"/>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 xml:space="preserve">通过 </w:t>
            </w:r>
          </w:p>
          <w:p>
            <w:pPr>
              <w:jc w:val="left"/>
              <w:rPr>
                <w:rFonts w:ascii="宋体" w:hAnsi="宋体"/>
                <w:strike w:val="0"/>
                <w:color w:val="auto"/>
                <w:sz w:val="21"/>
                <w:szCs w:val="21"/>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不通过</w:t>
            </w:r>
          </w:p>
        </w:tc>
        <w:tc>
          <w:tcPr>
            <w:tcW w:w="1270" w:type="dxa"/>
            <w:tcBorders>
              <w:tl2br w:val="nil"/>
              <w:tr2bl w:val="nil"/>
            </w:tcBorders>
            <w:vAlign w:val="center"/>
          </w:tcPr>
          <w:p>
            <w:pPr>
              <w:jc w:val="center"/>
              <w:rPr>
                <w:rFonts w:ascii="宋体" w:hAnsi="宋体"/>
                <w:sz w:val="21"/>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726" w:type="dxa"/>
            <w:vMerge w:val="continue"/>
            <w:tcBorders>
              <w:tl2br w:val="nil"/>
              <w:tr2bl w:val="nil"/>
            </w:tcBorders>
            <w:vAlign w:val="center"/>
          </w:tcPr>
          <w:p>
            <w:pPr>
              <w:jc w:val="center"/>
              <w:rPr>
                <w:rFonts w:ascii="宋体" w:hAnsi="宋体"/>
                <w:highlight w:val="none"/>
              </w:rPr>
            </w:pPr>
          </w:p>
        </w:tc>
        <w:tc>
          <w:tcPr>
            <w:tcW w:w="1084" w:type="dxa"/>
            <w:vMerge w:val="continue"/>
            <w:tcBorders>
              <w:tl2br w:val="nil"/>
              <w:tr2bl w:val="nil"/>
            </w:tcBorders>
            <w:vAlign w:val="center"/>
          </w:tcPr>
          <w:p>
            <w:pPr>
              <w:jc w:val="center"/>
              <w:rPr>
                <w:rFonts w:ascii="宋体" w:hAnsi="宋体"/>
                <w:highlight w:val="none"/>
              </w:rPr>
            </w:pPr>
          </w:p>
        </w:tc>
        <w:tc>
          <w:tcPr>
            <w:tcW w:w="912" w:type="dxa"/>
            <w:tcBorders>
              <w:tl2br w:val="nil"/>
              <w:tr2bl w:val="nil"/>
            </w:tcBorders>
            <w:vAlign w:val="center"/>
          </w:tcPr>
          <w:p>
            <w:pPr>
              <w:jc w:val="center"/>
              <w:rPr>
                <w:rFonts w:ascii="宋体" w:hAnsi="宋体"/>
                <w:highlight w:val="none"/>
              </w:rPr>
            </w:pPr>
          </w:p>
        </w:tc>
        <w:tc>
          <w:tcPr>
            <w:tcW w:w="1250" w:type="dxa"/>
            <w:tcBorders>
              <w:tl2br w:val="nil"/>
              <w:tr2bl w:val="nil"/>
            </w:tcBorders>
            <w:vAlign w:val="center"/>
          </w:tcPr>
          <w:p>
            <w:pPr>
              <w:jc w:val="center"/>
              <w:rPr>
                <w:rFonts w:ascii="宋体" w:hAnsi="宋体"/>
                <w:highlight w:val="none"/>
              </w:rPr>
            </w:pPr>
          </w:p>
        </w:tc>
        <w:tc>
          <w:tcPr>
            <w:tcW w:w="1313" w:type="dxa"/>
            <w:tcBorders>
              <w:tl2br w:val="nil"/>
              <w:tr2bl w:val="nil"/>
            </w:tcBorders>
            <w:vAlign w:val="center"/>
          </w:tcPr>
          <w:p>
            <w:pPr>
              <w:jc w:val="center"/>
              <w:rPr>
                <w:rFonts w:ascii="宋体" w:hAnsi="宋体"/>
                <w:highlight w:val="none"/>
              </w:rPr>
            </w:pPr>
          </w:p>
        </w:tc>
        <w:tc>
          <w:tcPr>
            <w:tcW w:w="1090" w:type="dxa"/>
            <w:tcBorders>
              <w:tl2br w:val="nil"/>
              <w:tr2bl w:val="nil"/>
            </w:tcBorders>
            <w:vAlign w:val="center"/>
          </w:tcPr>
          <w:p>
            <w:pPr>
              <w:jc w:val="center"/>
              <w:rPr>
                <w:rFonts w:ascii="宋体" w:hAnsi="宋体"/>
                <w:highlight w:val="none"/>
              </w:rPr>
            </w:pPr>
          </w:p>
        </w:tc>
        <w:tc>
          <w:tcPr>
            <w:tcW w:w="988" w:type="dxa"/>
            <w:tcBorders>
              <w:tl2br w:val="nil"/>
              <w:tr2bl w:val="nil"/>
            </w:tcBorders>
            <w:vAlign w:val="center"/>
          </w:tcPr>
          <w:p>
            <w:pPr>
              <w:jc w:val="center"/>
              <w:rPr>
                <w:rFonts w:ascii="宋体" w:hAnsi="宋体"/>
                <w:highlight w:val="none"/>
              </w:rPr>
            </w:pPr>
          </w:p>
        </w:tc>
        <w:tc>
          <w:tcPr>
            <w:tcW w:w="1012" w:type="dxa"/>
            <w:tcBorders>
              <w:right w:val="single" w:color="auto" w:sz="4" w:space="0"/>
              <w:tl2br w:val="nil"/>
              <w:tr2bl w:val="nil"/>
            </w:tcBorders>
            <w:vAlign w:val="center"/>
          </w:tcPr>
          <w:p>
            <w:pPr>
              <w:jc w:val="center"/>
              <w:rPr>
                <w:rFonts w:ascii="宋体" w:hAnsi="宋体"/>
                <w:highlight w:val="none"/>
              </w:rPr>
            </w:pPr>
          </w:p>
        </w:tc>
        <w:tc>
          <w:tcPr>
            <w:tcW w:w="1063"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12"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30" w:type="dxa"/>
            <w:tcBorders>
              <w:left w:val="single" w:color="auto" w:sz="4" w:space="0"/>
              <w:tl2br w:val="nil"/>
              <w:tr2bl w:val="nil"/>
            </w:tcBorders>
            <w:vAlign w:val="center"/>
          </w:tcPr>
          <w:p>
            <w:pPr>
              <w:jc w:val="center"/>
              <w:rPr>
                <w:rFonts w:ascii="宋体" w:hAnsi="宋体"/>
                <w:highlight w:val="none"/>
              </w:rPr>
            </w:pPr>
          </w:p>
        </w:tc>
        <w:tc>
          <w:tcPr>
            <w:tcW w:w="1260" w:type="dxa"/>
            <w:tcBorders>
              <w:tl2br w:val="nil"/>
              <w:tr2bl w:val="nil"/>
            </w:tcBorders>
            <w:vAlign w:val="center"/>
          </w:tcPr>
          <w:p>
            <w:pPr>
              <w:spacing w:line="120" w:lineRule="atLeast"/>
              <w:jc w:val="left"/>
              <w:rPr>
                <w:rFonts w:hint="eastAsia" w:ascii="仿宋" w:hAnsi="仿宋" w:eastAsia="仿宋" w:cs="仿宋"/>
                <w:bCs/>
                <w:strike w:val="0"/>
                <w:color w:val="auto"/>
                <w:spacing w:val="-5"/>
                <w:sz w:val="23"/>
                <w:szCs w:val="23"/>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 xml:space="preserve">通过 </w:t>
            </w:r>
          </w:p>
          <w:p>
            <w:pPr>
              <w:jc w:val="left"/>
              <w:rPr>
                <w:rFonts w:ascii="宋体" w:hAnsi="宋体"/>
                <w:strike w:val="0"/>
                <w:color w:val="auto"/>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不通过</w:t>
            </w:r>
          </w:p>
        </w:tc>
        <w:tc>
          <w:tcPr>
            <w:tcW w:w="1270" w:type="dxa"/>
            <w:tcBorders>
              <w:tl2br w:val="nil"/>
              <w:tr2bl w:val="nil"/>
            </w:tcBorders>
            <w:vAlign w:val="center"/>
          </w:tcPr>
          <w:p>
            <w:pPr>
              <w:jc w:val="center"/>
              <w:rPr>
                <w:rFonts w:ascii="宋体" w:hAnsi="宋体"/>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726" w:type="dxa"/>
            <w:vMerge w:val="continue"/>
            <w:tcBorders>
              <w:tl2br w:val="nil"/>
              <w:tr2bl w:val="nil"/>
            </w:tcBorders>
            <w:vAlign w:val="center"/>
          </w:tcPr>
          <w:p>
            <w:pPr>
              <w:jc w:val="center"/>
              <w:rPr>
                <w:rFonts w:ascii="宋体" w:hAnsi="宋体"/>
                <w:highlight w:val="none"/>
              </w:rPr>
            </w:pPr>
          </w:p>
        </w:tc>
        <w:tc>
          <w:tcPr>
            <w:tcW w:w="1084" w:type="dxa"/>
            <w:vMerge w:val="continue"/>
            <w:tcBorders>
              <w:tl2br w:val="nil"/>
              <w:tr2bl w:val="nil"/>
            </w:tcBorders>
            <w:vAlign w:val="center"/>
          </w:tcPr>
          <w:p>
            <w:pPr>
              <w:jc w:val="center"/>
              <w:rPr>
                <w:rFonts w:ascii="宋体" w:hAnsi="宋体"/>
                <w:highlight w:val="none"/>
              </w:rPr>
            </w:pPr>
          </w:p>
        </w:tc>
        <w:tc>
          <w:tcPr>
            <w:tcW w:w="912" w:type="dxa"/>
            <w:tcBorders>
              <w:tl2br w:val="nil"/>
              <w:tr2bl w:val="nil"/>
            </w:tcBorders>
            <w:vAlign w:val="center"/>
          </w:tcPr>
          <w:p>
            <w:pPr>
              <w:jc w:val="center"/>
              <w:rPr>
                <w:rFonts w:ascii="宋体" w:hAnsi="宋体"/>
                <w:highlight w:val="none"/>
              </w:rPr>
            </w:pPr>
          </w:p>
        </w:tc>
        <w:tc>
          <w:tcPr>
            <w:tcW w:w="1250" w:type="dxa"/>
            <w:tcBorders>
              <w:tl2br w:val="nil"/>
              <w:tr2bl w:val="nil"/>
            </w:tcBorders>
            <w:vAlign w:val="center"/>
          </w:tcPr>
          <w:p>
            <w:pPr>
              <w:jc w:val="center"/>
              <w:rPr>
                <w:rFonts w:ascii="宋体" w:hAnsi="宋体"/>
                <w:highlight w:val="none"/>
              </w:rPr>
            </w:pPr>
          </w:p>
        </w:tc>
        <w:tc>
          <w:tcPr>
            <w:tcW w:w="1313" w:type="dxa"/>
            <w:tcBorders>
              <w:tl2br w:val="nil"/>
              <w:tr2bl w:val="nil"/>
            </w:tcBorders>
            <w:vAlign w:val="center"/>
          </w:tcPr>
          <w:p>
            <w:pPr>
              <w:jc w:val="center"/>
              <w:rPr>
                <w:rFonts w:ascii="宋体" w:hAnsi="宋体"/>
                <w:highlight w:val="none"/>
              </w:rPr>
            </w:pPr>
          </w:p>
        </w:tc>
        <w:tc>
          <w:tcPr>
            <w:tcW w:w="1090" w:type="dxa"/>
            <w:tcBorders>
              <w:tl2br w:val="nil"/>
              <w:tr2bl w:val="nil"/>
            </w:tcBorders>
            <w:vAlign w:val="center"/>
          </w:tcPr>
          <w:p>
            <w:pPr>
              <w:jc w:val="center"/>
              <w:rPr>
                <w:rFonts w:ascii="宋体" w:hAnsi="宋体"/>
                <w:highlight w:val="none"/>
              </w:rPr>
            </w:pPr>
          </w:p>
        </w:tc>
        <w:tc>
          <w:tcPr>
            <w:tcW w:w="988" w:type="dxa"/>
            <w:tcBorders>
              <w:tl2br w:val="nil"/>
              <w:tr2bl w:val="nil"/>
            </w:tcBorders>
            <w:vAlign w:val="center"/>
          </w:tcPr>
          <w:p>
            <w:pPr>
              <w:jc w:val="center"/>
              <w:rPr>
                <w:rFonts w:ascii="宋体" w:hAnsi="宋体"/>
                <w:highlight w:val="none"/>
              </w:rPr>
            </w:pPr>
          </w:p>
        </w:tc>
        <w:tc>
          <w:tcPr>
            <w:tcW w:w="1012" w:type="dxa"/>
            <w:tcBorders>
              <w:right w:val="single" w:color="auto" w:sz="4" w:space="0"/>
              <w:tl2br w:val="nil"/>
              <w:tr2bl w:val="nil"/>
            </w:tcBorders>
            <w:vAlign w:val="center"/>
          </w:tcPr>
          <w:p>
            <w:pPr>
              <w:jc w:val="center"/>
              <w:rPr>
                <w:rFonts w:ascii="宋体" w:hAnsi="宋体"/>
                <w:highlight w:val="none"/>
              </w:rPr>
            </w:pPr>
          </w:p>
        </w:tc>
        <w:tc>
          <w:tcPr>
            <w:tcW w:w="1063"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12"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30" w:type="dxa"/>
            <w:tcBorders>
              <w:left w:val="single" w:color="auto" w:sz="4" w:space="0"/>
              <w:tl2br w:val="nil"/>
              <w:tr2bl w:val="nil"/>
            </w:tcBorders>
            <w:vAlign w:val="center"/>
          </w:tcPr>
          <w:p>
            <w:pPr>
              <w:jc w:val="center"/>
              <w:rPr>
                <w:rFonts w:ascii="宋体" w:hAnsi="宋体"/>
                <w:highlight w:val="none"/>
              </w:rPr>
            </w:pPr>
          </w:p>
        </w:tc>
        <w:tc>
          <w:tcPr>
            <w:tcW w:w="1260" w:type="dxa"/>
            <w:tcBorders>
              <w:tl2br w:val="nil"/>
              <w:tr2bl w:val="nil"/>
            </w:tcBorders>
            <w:vAlign w:val="center"/>
          </w:tcPr>
          <w:p>
            <w:pPr>
              <w:spacing w:line="120" w:lineRule="atLeast"/>
              <w:jc w:val="left"/>
              <w:rPr>
                <w:rFonts w:hint="eastAsia" w:ascii="仿宋" w:hAnsi="仿宋" w:eastAsia="仿宋" w:cs="仿宋"/>
                <w:bCs/>
                <w:strike w:val="0"/>
                <w:color w:val="auto"/>
                <w:spacing w:val="-5"/>
                <w:sz w:val="23"/>
                <w:szCs w:val="23"/>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 xml:space="preserve">通过 </w:t>
            </w:r>
          </w:p>
          <w:p>
            <w:pPr>
              <w:jc w:val="left"/>
              <w:rPr>
                <w:rFonts w:ascii="宋体" w:hAnsi="宋体"/>
                <w:strike w:val="0"/>
                <w:color w:val="auto"/>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不通过</w:t>
            </w:r>
          </w:p>
        </w:tc>
        <w:tc>
          <w:tcPr>
            <w:tcW w:w="1270" w:type="dxa"/>
            <w:tcBorders>
              <w:tl2br w:val="nil"/>
              <w:tr2bl w:val="nil"/>
            </w:tcBorders>
            <w:vAlign w:val="center"/>
          </w:tcPr>
          <w:p>
            <w:pPr>
              <w:jc w:val="center"/>
              <w:rPr>
                <w:rFonts w:ascii="宋体" w:hAnsi="宋体"/>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726" w:type="dxa"/>
            <w:vMerge w:val="continue"/>
            <w:tcBorders>
              <w:tl2br w:val="nil"/>
              <w:tr2bl w:val="nil"/>
            </w:tcBorders>
            <w:vAlign w:val="center"/>
          </w:tcPr>
          <w:p>
            <w:pPr>
              <w:jc w:val="center"/>
              <w:rPr>
                <w:rFonts w:ascii="宋体" w:hAnsi="宋体"/>
                <w:highlight w:val="none"/>
              </w:rPr>
            </w:pPr>
          </w:p>
        </w:tc>
        <w:tc>
          <w:tcPr>
            <w:tcW w:w="1084" w:type="dxa"/>
            <w:vMerge w:val="continue"/>
            <w:tcBorders>
              <w:tl2br w:val="nil"/>
              <w:tr2bl w:val="nil"/>
            </w:tcBorders>
            <w:vAlign w:val="center"/>
          </w:tcPr>
          <w:p>
            <w:pPr>
              <w:jc w:val="center"/>
              <w:rPr>
                <w:rFonts w:ascii="宋体" w:hAnsi="宋体"/>
                <w:highlight w:val="none"/>
              </w:rPr>
            </w:pPr>
          </w:p>
        </w:tc>
        <w:tc>
          <w:tcPr>
            <w:tcW w:w="912" w:type="dxa"/>
            <w:tcBorders>
              <w:tl2br w:val="nil"/>
              <w:tr2bl w:val="nil"/>
            </w:tcBorders>
            <w:vAlign w:val="center"/>
          </w:tcPr>
          <w:p>
            <w:pPr>
              <w:jc w:val="center"/>
              <w:rPr>
                <w:rFonts w:ascii="宋体" w:hAnsi="宋体"/>
                <w:highlight w:val="none"/>
              </w:rPr>
            </w:pPr>
          </w:p>
        </w:tc>
        <w:tc>
          <w:tcPr>
            <w:tcW w:w="1250" w:type="dxa"/>
            <w:tcBorders>
              <w:tl2br w:val="nil"/>
              <w:tr2bl w:val="nil"/>
            </w:tcBorders>
            <w:vAlign w:val="center"/>
          </w:tcPr>
          <w:p>
            <w:pPr>
              <w:jc w:val="center"/>
              <w:rPr>
                <w:rFonts w:ascii="宋体" w:hAnsi="宋体"/>
                <w:highlight w:val="none"/>
              </w:rPr>
            </w:pPr>
          </w:p>
        </w:tc>
        <w:tc>
          <w:tcPr>
            <w:tcW w:w="1313" w:type="dxa"/>
            <w:tcBorders>
              <w:tl2br w:val="nil"/>
              <w:tr2bl w:val="nil"/>
            </w:tcBorders>
            <w:vAlign w:val="center"/>
          </w:tcPr>
          <w:p>
            <w:pPr>
              <w:jc w:val="center"/>
              <w:rPr>
                <w:rFonts w:ascii="宋体" w:hAnsi="宋体"/>
                <w:highlight w:val="none"/>
              </w:rPr>
            </w:pPr>
          </w:p>
        </w:tc>
        <w:tc>
          <w:tcPr>
            <w:tcW w:w="1090" w:type="dxa"/>
            <w:tcBorders>
              <w:tl2br w:val="nil"/>
              <w:tr2bl w:val="nil"/>
            </w:tcBorders>
            <w:vAlign w:val="center"/>
          </w:tcPr>
          <w:p>
            <w:pPr>
              <w:jc w:val="center"/>
              <w:rPr>
                <w:rFonts w:ascii="宋体" w:hAnsi="宋体"/>
                <w:highlight w:val="none"/>
              </w:rPr>
            </w:pPr>
          </w:p>
        </w:tc>
        <w:tc>
          <w:tcPr>
            <w:tcW w:w="988" w:type="dxa"/>
            <w:tcBorders>
              <w:tl2br w:val="nil"/>
              <w:tr2bl w:val="nil"/>
            </w:tcBorders>
            <w:vAlign w:val="center"/>
          </w:tcPr>
          <w:p>
            <w:pPr>
              <w:jc w:val="center"/>
              <w:rPr>
                <w:rFonts w:ascii="宋体" w:hAnsi="宋体"/>
                <w:highlight w:val="none"/>
              </w:rPr>
            </w:pPr>
          </w:p>
        </w:tc>
        <w:tc>
          <w:tcPr>
            <w:tcW w:w="1012" w:type="dxa"/>
            <w:tcBorders>
              <w:right w:val="single" w:color="auto" w:sz="4" w:space="0"/>
              <w:tl2br w:val="nil"/>
              <w:tr2bl w:val="nil"/>
            </w:tcBorders>
            <w:vAlign w:val="center"/>
          </w:tcPr>
          <w:p>
            <w:pPr>
              <w:jc w:val="center"/>
              <w:rPr>
                <w:rFonts w:ascii="宋体" w:hAnsi="宋体"/>
                <w:highlight w:val="none"/>
              </w:rPr>
            </w:pPr>
          </w:p>
        </w:tc>
        <w:tc>
          <w:tcPr>
            <w:tcW w:w="1063"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12"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30" w:type="dxa"/>
            <w:tcBorders>
              <w:left w:val="single" w:color="auto" w:sz="4" w:space="0"/>
              <w:tl2br w:val="nil"/>
              <w:tr2bl w:val="nil"/>
            </w:tcBorders>
            <w:vAlign w:val="center"/>
          </w:tcPr>
          <w:p>
            <w:pPr>
              <w:jc w:val="center"/>
              <w:rPr>
                <w:rFonts w:ascii="宋体" w:hAnsi="宋体"/>
                <w:highlight w:val="none"/>
              </w:rPr>
            </w:pPr>
          </w:p>
        </w:tc>
        <w:tc>
          <w:tcPr>
            <w:tcW w:w="1260" w:type="dxa"/>
            <w:tcBorders>
              <w:tl2br w:val="nil"/>
              <w:tr2bl w:val="nil"/>
            </w:tcBorders>
            <w:vAlign w:val="center"/>
          </w:tcPr>
          <w:p>
            <w:pPr>
              <w:spacing w:line="120" w:lineRule="atLeast"/>
              <w:jc w:val="left"/>
              <w:rPr>
                <w:rFonts w:hint="eastAsia" w:ascii="仿宋" w:hAnsi="仿宋" w:eastAsia="仿宋" w:cs="仿宋"/>
                <w:bCs/>
                <w:strike w:val="0"/>
                <w:color w:val="auto"/>
                <w:spacing w:val="-5"/>
                <w:sz w:val="23"/>
                <w:szCs w:val="23"/>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 xml:space="preserve">通过 </w:t>
            </w:r>
          </w:p>
          <w:p>
            <w:pPr>
              <w:jc w:val="left"/>
              <w:rPr>
                <w:rFonts w:ascii="宋体" w:hAnsi="宋体"/>
                <w:strike w:val="0"/>
                <w:color w:val="auto"/>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不通过</w:t>
            </w:r>
          </w:p>
        </w:tc>
        <w:tc>
          <w:tcPr>
            <w:tcW w:w="1270" w:type="dxa"/>
            <w:tcBorders>
              <w:tl2br w:val="nil"/>
              <w:tr2bl w:val="nil"/>
            </w:tcBorders>
            <w:vAlign w:val="center"/>
          </w:tcPr>
          <w:p>
            <w:pPr>
              <w:jc w:val="center"/>
              <w:rPr>
                <w:rFonts w:ascii="宋体" w:hAnsi="宋体"/>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726" w:type="dxa"/>
            <w:vMerge w:val="continue"/>
            <w:tcBorders>
              <w:tl2br w:val="nil"/>
              <w:tr2bl w:val="nil"/>
            </w:tcBorders>
            <w:vAlign w:val="center"/>
          </w:tcPr>
          <w:p>
            <w:pPr>
              <w:jc w:val="center"/>
              <w:rPr>
                <w:rFonts w:ascii="宋体" w:hAnsi="宋体"/>
                <w:highlight w:val="none"/>
              </w:rPr>
            </w:pPr>
          </w:p>
        </w:tc>
        <w:tc>
          <w:tcPr>
            <w:tcW w:w="1084" w:type="dxa"/>
            <w:vMerge w:val="continue"/>
            <w:tcBorders>
              <w:tl2br w:val="nil"/>
              <w:tr2bl w:val="nil"/>
            </w:tcBorders>
            <w:vAlign w:val="center"/>
          </w:tcPr>
          <w:p>
            <w:pPr>
              <w:jc w:val="center"/>
              <w:rPr>
                <w:rFonts w:ascii="宋体" w:hAnsi="宋体"/>
                <w:highlight w:val="none"/>
              </w:rPr>
            </w:pPr>
          </w:p>
        </w:tc>
        <w:tc>
          <w:tcPr>
            <w:tcW w:w="912" w:type="dxa"/>
            <w:tcBorders>
              <w:tl2br w:val="nil"/>
              <w:tr2bl w:val="nil"/>
            </w:tcBorders>
            <w:vAlign w:val="center"/>
          </w:tcPr>
          <w:p>
            <w:pPr>
              <w:jc w:val="center"/>
              <w:rPr>
                <w:rFonts w:ascii="宋体" w:hAnsi="宋体"/>
                <w:highlight w:val="none"/>
              </w:rPr>
            </w:pPr>
          </w:p>
        </w:tc>
        <w:tc>
          <w:tcPr>
            <w:tcW w:w="1250" w:type="dxa"/>
            <w:tcBorders>
              <w:tl2br w:val="nil"/>
              <w:tr2bl w:val="nil"/>
            </w:tcBorders>
            <w:vAlign w:val="center"/>
          </w:tcPr>
          <w:p>
            <w:pPr>
              <w:jc w:val="center"/>
              <w:rPr>
                <w:rFonts w:ascii="宋体" w:hAnsi="宋体"/>
                <w:highlight w:val="none"/>
              </w:rPr>
            </w:pPr>
          </w:p>
        </w:tc>
        <w:tc>
          <w:tcPr>
            <w:tcW w:w="1313" w:type="dxa"/>
            <w:tcBorders>
              <w:tl2br w:val="nil"/>
              <w:tr2bl w:val="nil"/>
            </w:tcBorders>
            <w:vAlign w:val="center"/>
          </w:tcPr>
          <w:p>
            <w:pPr>
              <w:jc w:val="center"/>
              <w:rPr>
                <w:rFonts w:ascii="宋体" w:hAnsi="宋体"/>
                <w:highlight w:val="none"/>
              </w:rPr>
            </w:pPr>
          </w:p>
        </w:tc>
        <w:tc>
          <w:tcPr>
            <w:tcW w:w="1090" w:type="dxa"/>
            <w:tcBorders>
              <w:tl2br w:val="nil"/>
              <w:tr2bl w:val="nil"/>
            </w:tcBorders>
            <w:vAlign w:val="center"/>
          </w:tcPr>
          <w:p>
            <w:pPr>
              <w:jc w:val="center"/>
              <w:rPr>
                <w:rFonts w:ascii="宋体" w:hAnsi="宋体"/>
                <w:highlight w:val="none"/>
              </w:rPr>
            </w:pPr>
          </w:p>
        </w:tc>
        <w:tc>
          <w:tcPr>
            <w:tcW w:w="988" w:type="dxa"/>
            <w:tcBorders>
              <w:tl2br w:val="nil"/>
              <w:tr2bl w:val="nil"/>
            </w:tcBorders>
            <w:vAlign w:val="center"/>
          </w:tcPr>
          <w:p>
            <w:pPr>
              <w:jc w:val="center"/>
              <w:rPr>
                <w:rFonts w:ascii="宋体" w:hAnsi="宋体"/>
                <w:highlight w:val="none"/>
              </w:rPr>
            </w:pPr>
          </w:p>
        </w:tc>
        <w:tc>
          <w:tcPr>
            <w:tcW w:w="1012" w:type="dxa"/>
            <w:tcBorders>
              <w:right w:val="single" w:color="auto" w:sz="4" w:space="0"/>
              <w:tl2br w:val="nil"/>
              <w:tr2bl w:val="nil"/>
            </w:tcBorders>
            <w:vAlign w:val="center"/>
          </w:tcPr>
          <w:p>
            <w:pPr>
              <w:jc w:val="center"/>
              <w:rPr>
                <w:rFonts w:ascii="宋体" w:hAnsi="宋体"/>
                <w:highlight w:val="none"/>
              </w:rPr>
            </w:pPr>
          </w:p>
        </w:tc>
        <w:tc>
          <w:tcPr>
            <w:tcW w:w="1063"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12"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30" w:type="dxa"/>
            <w:tcBorders>
              <w:left w:val="single" w:color="auto" w:sz="4" w:space="0"/>
              <w:tl2br w:val="nil"/>
              <w:tr2bl w:val="nil"/>
            </w:tcBorders>
            <w:vAlign w:val="center"/>
          </w:tcPr>
          <w:p>
            <w:pPr>
              <w:jc w:val="center"/>
              <w:rPr>
                <w:rFonts w:ascii="宋体" w:hAnsi="宋体"/>
                <w:highlight w:val="none"/>
              </w:rPr>
            </w:pPr>
          </w:p>
        </w:tc>
        <w:tc>
          <w:tcPr>
            <w:tcW w:w="1260" w:type="dxa"/>
            <w:tcBorders>
              <w:tl2br w:val="nil"/>
              <w:tr2bl w:val="nil"/>
            </w:tcBorders>
            <w:vAlign w:val="center"/>
          </w:tcPr>
          <w:p>
            <w:pPr>
              <w:spacing w:line="120" w:lineRule="atLeast"/>
              <w:jc w:val="left"/>
              <w:rPr>
                <w:rFonts w:hint="eastAsia" w:ascii="仿宋" w:hAnsi="仿宋" w:eastAsia="仿宋" w:cs="仿宋"/>
                <w:bCs/>
                <w:strike w:val="0"/>
                <w:color w:val="auto"/>
                <w:spacing w:val="-5"/>
                <w:sz w:val="23"/>
                <w:szCs w:val="23"/>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 xml:space="preserve">通过 </w:t>
            </w:r>
          </w:p>
          <w:p>
            <w:pPr>
              <w:jc w:val="left"/>
              <w:rPr>
                <w:rFonts w:ascii="宋体" w:hAnsi="宋体"/>
                <w:strike w:val="0"/>
                <w:color w:val="auto"/>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不通过</w:t>
            </w:r>
          </w:p>
        </w:tc>
        <w:tc>
          <w:tcPr>
            <w:tcW w:w="1270" w:type="dxa"/>
            <w:tcBorders>
              <w:tl2br w:val="nil"/>
              <w:tr2bl w:val="nil"/>
            </w:tcBorders>
            <w:vAlign w:val="center"/>
          </w:tcPr>
          <w:p>
            <w:pPr>
              <w:jc w:val="center"/>
              <w:rPr>
                <w:rFonts w:ascii="宋体" w:hAnsi="宋体"/>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726" w:type="dxa"/>
            <w:vMerge w:val="continue"/>
            <w:tcBorders>
              <w:tl2br w:val="nil"/>
              <w:tr2bl w:val="nil"/>
            </w:tcBorders>
            <w:vAlign w:val="center"/>
          </w:tcPr>
          <w:p>
            <w:pPr>
              <w:jc w:val="center"/>
              <w:rPr>
                <w:rFonts w:ascii="宋体" w:hAnsi="宋体"/>
                <w:highlight w:val="none"/>
              </w:rPr>
            </w:pPr>
          </w:p>
        </w:tc>
        <w:tc>
          <w:tcPr>
            <w:tcW w:w="1084" w:type="dxa"/>
            <w:vMerge w:val="continue"/>
            <w:tcBorders>
              <w:tl2br w:val="nil"/>
              <w:tr2bl w:val="nil"/>
            </w:tcBorders>
            <w:vAlign w:val="center"/>
          </w:tcPr>
          <w:p>
            <w:pPr>
              <w:jc w:val="center"/>
              <w:rPr>
                <w:rFonts w:ascii="宋体" w:hAnsi="宋体"/>
                <w:highlight w:val="none"/>
              </w:rPr>
            </w:pPr>
          </w:p>
        </w:tc>
        <w:tc>
          <w:tcPr>
            <w:tcW w:w="912" w:type="dxa"/>
            <w:tcBorders>
              <w:tl2br w:val="nil"/>
              <w:tr2bl w:val="nil"/>
            </w:tcBorders>
            <w:vAlign w:val="center"/>
          </w:tcPr>
          <w:p>
            <w:pPr>
              <w:jc w:val="center"/>
              <w:rPr>
                <w:rFonts w:ascii="宋体" w:hAnsi="宋体"/>
                <w:highlight w:val="none"/>
              </w:rPr>
            </w:pPr>
          </w:p>
        </w:tc>
        <w:tc>
          <w:tcPr>
            <w:tcW w:w="1250" w:type="dxa"/>
            <w:tcBorders>
              <w:tl2br w:val="nil"/>
              <w:tr2bl w:val="nil"/>
            </w:tcBorders>
            <w:vAlign w:val="center"/>
          </w:tcPr>
          <w:p>
            <w:pPr>
              <w:jc w:val="center"/>
              <w:rPr>
                <w:rFonts w:ascii="宋体" w:hAnsi="宋体"/>
                <w:highlight w:val="none"/>
              </w:rPr>
            </w:pPr>
          </w:p>
        </w:tc>
        <w:tc>
          <w:tcPr>
            <w:tcW w:w="1313" w:type="dxa"/>
            <w:tcBorders>
              <w:tl2br w:val="nil"/>
              <w:tr2bl w:val="nil"/>
            </w:tcBorders>
            <w:vAlign w:val="center"/>
          </w:tcPr>
          <w:p>
            <w:pPr>
              <w:jc w:val="center"/>
              <w:rPr>
                <w:rFonts w:ascii="宋体" w:hAnsi="宋体"/>
                <w:highlight w:val="none"/>
              </w:rPr>
            </w:pPr>
          </w:p>
        </w:tc>
        <w:tc>
          <w:tcPr>
            <w:tcW w:w="1090" w:type="dxa"/>
            <w:tcBorders>
              <w:tl2br w:val="nil"/>
              <w:tr2bl w:val="nil"/>
            </w:tcBorders>
            <w:vAlign w:val="center"/>
          </w:tcPr>
          <w:p>
            <w:pPr>
              <w:jc w:val="center"/>
              <w:rPr>
                <w:rFonts w:ascii="宋体" w:hAnsi="宋体"/>
                <w:highlight w:val="none"/>
              </w:rPr>
            </w:pPr>
          </w:p>
        </w:tc>
        <w:tc>
          <w:tcPr>
            <w:tcW w:w="988" w:type="dxa"/>
            <w:tcBorders>
              <w:tl2br w:val="nil"/>
              <w:tr2bl w:val="nil"/>
            </w:tcBorders>
            <w:vAlign w:val="center"/>
          </w:tcPr>
          <w:p>
            <w:pPr>
              <w:jc w:val="center"/>
              <w:rPr>
                <w:rFonts w:ascii="宋体" w:hAnsi="宋体"/>
                <w:highlight w:val="none"/>
              </w:rPr>
            </w:pPr>
          </w:p>
        </w:tc>
        <w:tc>
          <w:tcPr>
            <w:tcW w:w="1012" w:type="dxa"/>
            <w:tcBorders>
              <w:right w:val="single" w:color="auto" w:sz="4" w:space="0"/>
              <w:tl2br w:val="nil"/>
              <w:tr2bl w:val="nil"/>
            </w:tcBorders>
            <w:vAlign w:val="center"/>
          </w:tcPr>
          <w:p>
            <w:pPr>
              <w:jc w:val="center"/>
              <w:rPr>
                <w:rFonts w:ascii="宋体" w:hAnsi="宋体"/>
                <w:highlight w:val="none"/>
              </w:rPr>
            </w:pPr>
          </w:p>
        </w:tc>
        <w:tc>
          <w:tcPr>
            <w:tcW w:w="1063"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12"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30" w:type="dxa"/>
            <w:tcBorders>
              <w:left w:val="single" w:color="auto" w:sz="4" w:space="0"/>
              <w:tl2br w:val="nil"/>
              <w:tr2bl w:val="nil"/>
            </w:tcBorders>
            <w:vAlign w:val="center"/>
          </w:tcPr>
          <w:p>
            <w:pPr>
              <w:jc w:val="center"/>
              <w:rPr>
                <w:rFonts w:ascii="宋体" w:hAnsi="宋体"/>
                <w:highlight w:val="none"/>
              </w:rPr>
            </w:pPr>
          </w:p>
        </w:tc>
        <w:tc>
          <w:tcPr>
            <w:tcW w:w="1260" w:type="dxa"/>
            <w:tcBorders>
              <w:tl2br w:val="nil"/>
              <w:tr2bl w:val="nil"/>
            </w:tcBorders>
            <w:vAlign w:val="center"/>
          </w:tcPr>
          <w:p>
            <w:pPr>
              <w:spacing w:line="120" w:lineRule="atLeast"/>
              <w:jc w:val="left"/>
              <w:rPr>
                <w:rFonts w:hint="eastAsia" w:ascii="仿宋" w:hAnsi="仿宋" w:eastAsia="仿宋" w:cs="仿宋"/>
                <w:bCs/>
                <w:strike w:val="0"/>
                <w:color w:val="auto"/>
                <w:spacing w:val="-5"/>
                <w:sz w:val="23"/>
                <w:szCs w:val="23"/>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 xml:space="preserve">通过 </w:t>
            </w:r>
          </w:p>
          <w:p>
            <w:pPr>
              <w:jc w:val="left"/>
              <w:rPr>
                <w:rFonts w:ascii="宋体" w:hAnsi="宋体"/>
                <w:strike w:val="0"/>
                <w:color w:val="auto"/>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不通过</w:t>
            </w:r>
          </w:p>
        </w:tc>
        <w:tc>
          <w:tcPr>
            <w:tcW w:w="1270" w:type="dxa"/>
            <w:tcBorders>
              <w:tl2br w:val="nil"/>
              <w:tr2bl w:val="nil"/>
            </w:tcBorders>
            <w:vAlign w:val="center"/>
          </w:tcPr>
          <w:p>
            <w:pPr>
              <w:jc w:val="center"/>
              <w:rPr>
                <w:rFonts w:ascii="宋体" w:hAnsi="宋体"/>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726" w:type="dxa"/>
            <w:vMerge w:val="continue"/>
            <w:tcBorders>
              <w:tl2br w:val="nil"/>
              <w:tr2bl w:val="nil"/>
            </w:tcBorders>
            <w:vAlign w:val="center"/>
          </w:tcPr>
          <w:p>
            <w:pPr>
              <w:jc w:val="center"/>
              <w:rPr>
                <w:rFonts w:ascii="宋体" w:hAnsi="宋体"/>
                <w:highlight w:val="none"/>
              </w:rPr>
            </w:pPr>
          </w:p>
        </w:tc>
        <w:tc>
          <w:tcPr>
            <w:tcW w:w="1084" w:type="dxa"/>
            <w:vMerge w:val="continue"/>
            <w:tcBorders>
              <w:tl2br w:val="nil"/>
              <w:tr2bl w:val="nil"/>
            </w:tcBorders>
            <w:vAlign w:val="center"/>
          </w:tcPr>
          <w:p>
            <w:pPr>
              <w:jc w:val="center"/>
              <w:rPr>
                <w:rFonts w:ascii="宋体" w:hAnsi="宋体"/>
                <w:highlight w:val="none"/>
              </w:rPr>
            </w:pPr>
          </w:p>
        </w:tc>
        <w:tc>
          <w:tcPr>
            <w:tcW w:w="912" w:type="dxa"/>
            <w:tcBorders>
              <w:tl2br w:val="nil"/>
              <w:tr2bl w:val="nil"/>
            </w:tcBorders>
            <w:vAlign w:val="center"/>
          </w:tcPr>
          <w:p>
            <w:pPr>
              <w:jc w:val="center"/>
              <w:rPr>
                <w:rFonts w:ascii="宋体" w:hAnsi="宋体"/>
                <w:highlight w:val="none"/>
              </w:rPr>
            </w:pPr>
          </w:p>
        </w:tc>
        <w:tc>
          <w:tcPr>
            <w:tcW w:w="1250" w:type="dxa"/>
            <w:tcBorders>
              <w:tl2br w:val="nil"/>
              <w:tr2bl w:val="nil"/>
            </w:tcBorders>
            <w:vAlign w:val="center"/>
          </w:tcPr>
          <w:p>
            <w:pPr>
              <w:jc w:val="center"/>
              <w:rPr>
                <w:rFonts w:ascii="宋体" w:hAnsi="宋体"/>
                <w:highlight w:val="none"/>
              </w:rPr>
            </w:pPr>
          </w:p>
        </w:tc>
        <w:tc>
          <w:tcPr>
            <w:tcW w:w="1313" w:type="dxa"/>
            <w:tcBorders>
              <w:tl2br w:val="nil"/>
              <w:tr2bl w:val="nil"/>
            </w:tcBorders>
            <w:vAlign w:val="center"/>
          </w:tcPr>
          <w:p>
            <w:pPr>
              <w:jc w:val="center"/>
              <w:rPr>
                <w:rFonts w:ascii="宋体" w:hAnsi="宋体"/>
                <w:highlight w:val="none"/>
              </w:rPr>
            </w:pPr>
          </w:p>
        </w:tc>
        <w:tc>
          <w:tcPr>
            <w:tcW w:w="1090" w:type="dxa"/>
            <w:tcBorders>
              <w:tl2br w:val="nil"/>
              <w:tr2bl w:val="nil"/>
            </w:tcBorders>
            <w:vAlign w:val="center"/>
          </w:tcPr>
          <w:p>
            <w:pPr>
              <w:jc w:val="center"/>
              <w:rPr>
                <w:rFonts w:ascii="宋体" w:hAnsi="宋体"/>
                <w:highlight w:val="none"/>
              </w:rPr>
            </w:pPr>
          </w:p>
        </w:tc>
        <w:tc>
          <w:tcPr>
            <w:tcW w:w="988" w:type="dxa"/>
            <w:tcBorders>
              <w:tl2br w:val="nil"/>
              <w:tr2bl w:val="nil"/>
            </w:tcBorders>
            <w:vAlign w:val="center"/>
          </w:tcPr>
          <w:p>
            <w:pPr>
              <w:jc w:val="center"/>
              <w:rPr>
                <w:rFonts w:ascii="宋体" w:hAnsi="宋体"/>
                <w:highlight w:val="none"/>
              </w:rPr>
            </w:pPr>
          </w:p>
        </w:tc>
        <w:tc>
          <w:tcPr>
            <w:tcW w:w="1012" w:type="dxa"/>
            <w:tcBorders>
              <w:right w:val="single" w:color="auto" w:sz="4" w:space="0"/>
              <w:tl2br w:val="nil"/>
              <w:tr2bl w:val="nil"/>
            </w:tcBorders>
            <w:vAlign w:val="center"/>
          </w:tcPr>
          <w:p>
            <w:pPr>
              <w:jc w:val="center"/>
              <w:rPr>
                <w:rFonts w:ascii="宋体" w:hAnsi="宋体"/>
                <w:highlight w:val="none"/>
              </w:rPr>
            </w:pPr>
          </w:p>
        </w:tc>
        <w:tc>
          <w:tcPr>
            <w:tcW w:w="1063"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12" w:type="dxa"/>
            <w:tcBorders>
              <w:left w:val="single" w:color="auto" w:sz="4" w:space="0"/>
              <w:right w:val="single" w:color="auto" w:sz="4" w:space="0"/>
              <w:tl2br w:val="nil"/>
              <w:tr2bl w:val="nil"/>
            </w:tcBorders>
            <w:vAlign w:val="center"/>
          </w:tcPr>
          <w:p>
            <w:pPr>
              <w:jc w:val="center"/>
              <w:rPr>
                <w:rFonts w:ascii="宋体" w:hAnsi="宋体"/>
                <w:highlight w:val="none"/>
              </w:rPr>
            </w:pPr>
          </w:p>
        </w:tc>
        <w:tc>
          <w:tcPr>
            <w:tcW w:w="1230" w:type="dxa"/>
            <w:tcBorders>
              <w:left w:val="single" w:color="auto" w:sz="4" w:space="0"/>
              <w:tl2br w:val="nil"/>
              <w:tr2bl w:val="nil"/>
            </w:tcBorders>
            <w:vAlign w:val="center"/>
          </w:tcPr>
          <w:p>
            <w:pPr>
              <w:jc w:val="center"/>
              <w:rPr>
                <w:rFonts w:ascii="宋体" w:hAnsi="宋体"/>
                <w:highlight w:val="none"/>
              </w:rPr>
            </w:pPr>
          </w:p>
        </w:tc>
        <w:tc>
          <w:tcPr>
            <w:tcW w:w="1260" w:type="dxa"/>
            <w:tcBorders>
              <w:tl2br w:val="nil"/>
              <w:tr2bl w:val="nil"/>
            </w:tcBorders>
            <w:vAlign w:val="center"/>
          </w:tcPr>
          <w:p>
            <w:pPr>
              <w:spacing w:line="120" w:lineRule="atLeast"/>
              <w:jc w:val="left"/>
              <w:rPr>
                <w:rFonts w:hint="eastAsia" w:ascii="仿宋" w:hAnsi="仿宋" w:eastAsia="仿宋" w:cs="仿宋"/>
                <w:bCs/>
                <w:strike w:val="0"/>
                <w:color w:val="auto"/>
                <w:spacing w:val="-5"/>
                <w:sz w:val="23"/>
                <w:szCs w:val="23"/>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 xml:space="preserve">通过 </w:t>
            </w:r>
          </w:p>
          <w:p>
            <w:pPr>
              <w:jc w:val="left"/>
              <w:rPr>
                <w:rFonts w:ascii="宋体" w:hAnsi="宋体"/>
                <w:strike w:val="0"/>
                <w:color w:val="auto"/>
                <w:highlight w:val="none"/>
              </w:rPr>
            </w:pPr>
            <w:r>
              <w:rPr>
                <w:rFonts w:hint="eastAsia" w:ascii="仿宋" w:hAnsi="仿宋" w:eastAsia="仿宋" w:cs="仿宋"/>
                <w:bCs/>
                <w:strike w:val="0"/>
                <w:color w:val="auto"/>
                <w:spacing w:val="-5"/>
                <w:sz w:val="23"/>
                <w:szCs w:val="23"/>
                <w:highlight w:val="none"/>
                <w:lang w:eastAsia="zh-CN"/>
              </w:rPr>
              <w:t>□</w:t>
            </w:r>
            <w:r>
              <w:rPr>
                <w:rFonts w:hint="eastAsia" w:ascii="仿宋" w:hAnsi="仿宋" w:eastAsia="仿宋" w:cs="仿宋"/>
                <w:bCs/>
                <w:strike w:val="0"/>
                <w:color w:val="auto"/>
                <w:spacing w:val="-5"/>
                <w:sz w:val="23"/>
                <w:szCs w:val="23"/>
                <w:highlight w:val="none"/>
              </w:rPr>
              <w:t>不通过</w:t>
            </w:r>
          </w:p>
        </w:tc>
        <w:tc>
          <w:tcPr>
            <w:tcW w:w="1270" w:type="dxa"/>
            <w:tcBorders>
              <w:tl2br w:val="nil"/>
              <w:tr2bl w:val="nil"/>
            </w:tcBorders>
            <w:vAlign w:val="center"/>
          </w:tcPr>
          <w:p>
            <w:pPr>
              <w:jc w:val="center"/>
              <w:rPr>
                <w:rFonts w:ascii="宋体" w:hAnsi="宋体"/>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20" w:hRule="atLeast"/>
          <w:jc w:val="center"/>
        </w:trPr>
        <w:tc>
          <w:tcPr>
            <w:tcW w:w="1810" w:type="dxa"/>
            <w:gridSpan w:val="2"/>
            <w:tcBorders>
              <w:top w:val="single" w:color="auto" w:sz="4" w:space="0"/>
              <w:tl2br w:val="nil"/>
              <w:tr2bl w:val="nil"/>
            </w:tcBorders>
            <w:vAlign w:val="center"/>
          </w:tcPr>
          <w:p>
            <w:pPr>
              <w:jc w:val="center"/>
              <w:rPr>
                <w:rFonts w:ascii="宋体" w:hAnsi="宋体"/>
                <w:highlight w:val="none"/>
              </w:rPr>
            </w:pPr>
            <w:r>
              <w:rPr>
                <w:rFonts w:hint="eastAsia" w:ascii="仿宋" w:hAnsi="仿宋" w:cs="仿宋"/>
                <w:bCs/>
                <w:color w:val="auto"/>
                <w:szCs w:val="21"/>
                <w:highlight w:val="none"/>
              </w:rPr>
              <w:t>考核结论</w:t>
            </w:r>
          </w:p>
        </w:tc>
        <w:tc>
          <w:tcPr>
            <w:tcW w:w="12600" w:type="dxa"/>
            <w:gridSpan w:val="11"/>
            <w:tcBorders>
              <w:top w:val="single" w:color="auto" w:sz="4" w:space="0"/>
              <w:tl2br w:val="nil"/>
              <w:tr2bl w:val="nil"/>
            </w:tcBorders>
            <w:vAlign w:val="center"/>
          </w:tcPr>
          <w:p>
            <w:pPr>
              <w:jc w:val="left"/>
              <w:rPr>
                <w:rFonts w:ascii="宋体" w:hAnsi="宋体"/>
                <w:highlight w:val="none"/>
              </w:rPr>
            </w:pPr>
            <w:r>
              <w:rPr>
                <w:rFonts w:hint="eastAsia" w:ascii="仿宋" w:hAnsi="仿宋" w:cs="仿宋"/>
                <w:bCs/>
                <w:color w:val="auto"/>
                <w:szCs w:val="21"/>
                <w:highlight w:val="none"/>
              </w:rPr>
              <w:t>共</w:t>
            </w:r>
            <w:r>
              <w:rPr>
                <w:rFonts w:hint="eastAsia" w:ascii="仿宋" w:hAnsi="仿宋" w:cs="仿宋"/>
                <w:bCs/>
                <w:color w:val="auto"/>
                <w:szCs w:val="21"/>
                <w:highlight w:val="none"/>
                <w:lang w:val="en-US" w:eastAsia="zh-CN"/>
              </w:rPr>
              <w:t>考核</w:t>
            </w:r>
            <w:r>
              <w:rPr>
                <w:rFonts w:hint="eastAsia" w:ascii="仿宋" w:hAnsi="仿宋" w:cs="仿宋"/>
                <w:bCs/>
                <w:color w:val="auto"/>
                <w:szCs w:val="21"/>
                <w:highlight w:val="none"/>
              </w:rPr>
              <w:t xml:space="preserve">  </w:t>
            </w:r>
            <w:r>
              <w:rPr>
                <w:rFonts w:hint="eastAsia" w:ascii="仿宋" w:hAnsi="仿宋" w:cs="仿宋"/>
                <w:bCs/>
                <w:color w:val="auto"/>
                <w:szCs w:val="21"/>
                <w:highlight w:val="none"/>
                <w:lang w:val="en-US" w:eastAsia="zh-CN"/>
              </w:rPr>
              <w:t xml:space="preserve">  </w:t>
            </w:r>
            <w:r>
              <w:rPr>
                <w:rFonts w:hint="eastAsia" w:ascii="仿宋" w:hAnsi="仿宋" w:cs="仿宋"/>
                <w:bCs/>
                <w:color w:val="auto"/>
                <w:szCs w:val="21"/>
                <w:highlight w:val="none"/>
              </w:rPr>
              <w:t xml:space="preserve"> </w:t>
            </w:r>
            <w:r>
              <w:rPr>
                <w:rFonts w:hint="eastAsia" w:ascii="仿宋" w:hAnsi="仿宋" w:cs="仿宋"/>
                <w:bCs/>
                <w:color w:val="auto"/>
                <w:szCs w:val="21"/>
                <w:highlight w:val="none"/>
                <w:lang w:val="en-US" w:eastAsia="zh-CN"/>
              </w:rPr>
              <w:t>个参数</w:t>
            </w:r>
            <w:r>
              <w:rPr>
                <w:rFonts w:hint="eastAsia" w:ascii="仿宋" w:hAnsi="仿宋" w:cs="仿宋"/>
                <w:bCs/>
                <w:color w:val="auto"/>
                <w:szCs w:val="21"/>
                <w:highlight w:val="none"/>
              </w:rPr>
              <w:t>，</w:t>
            </w:r>
            <w:r>
              <w:rPr>
                <w:rFonts w:hint="eastAsia" w:ascii="仿宋" w:hAnsi="仿宋" w:cs="仿宋"/>
                <w:bCs/>
                <w:color w:val="auto"/>
                <w:szCs w:val="21"/>
                <w:highlight w:val="none"/>
                <w:lang w:eastAsia="zh-CN"/>
              </w:rPr>
              <w:t>通过</w:t>
            </w:r>
            <w:r>
              <w:rPr>
                <w:rFonts w:hint="eastAsia" w:ascii="仿宋" w:hAnsi="仿宋" w:cs="仿宋"/>
                <w:bCs/>
                <w:color w:val="auto"/>
                <w:szCs w:val="21"/>
                <w:highlight w:val="none"/>
              </w:rPr>
              <w:t xml:space="preserve">   </w:t>
            </w:r>
            <w:r>
              <w:rPr>
                <w:rFonts w:hint="eastAsia" w:ascii="仿宋" w:hAnsi="仿宋" w:cs="仿宋"/>
                <w:bCs/>
                <w:color w:val="auto"/>
                <w:szCs w:val="21"/>
                <w:highlight w:val="none"/>
                <w:lang w:val="en-US" w:eastAsia="zh-CN"/>
              </w:rPr>
              <w:t>个</w:t>
            </w:r>
            <w:r>
              <w:rPr>
                <w:rFonts w:hint="eastAsia" w:ascii="仿宋" w:hAnsi="仿宋" w:cs="仿宋"/>
                <w:bCs/>
                <w:color w:val="auto"/>
                <w:szCs w:val="21"/>
                <w:highlight w:val="none"/>
              </w:rPr>
              <w:t>，不</w:t>
            </w:r>
            <w:r>
              <w:rPr>
                <w:rFonts w:hint="eastAsia" w:ascii="仿宋" w:hAnsi="仿宋" w:cs="仿宋"/>
                <w:bCs/>
                <w:color w:val="auto"/>
                <w:szCs w:val="21"/>
                <w:highlight w:val="none"/>
                <w:lang w:eastAsia="zh-CN"/>
              </w:rPr>
              <w:t>通过</w:t>
            </w:r>
            <w:r>
              <w:rPr>
                <w:rFonts w:hint="eastAsia" w:ascii="仿宋" w:hAnsi="仿宋" w:cs="仿宋"/>
                <w:bCs/>
                <w:color w:val="auto"/>
                <w:szCs w:val="21"/>
                <w:highlight w:val="none"/>
              </w:rPr>
              <w:t xml:space="preserve">    </w:t>
            </w:r>
            <w:r>
              <w:rPr>
                <w:rFonts w:hint="eastAsia" w:ascii="仿宋" w:hAnsi="仿宋" w:cs="仿宋"/>
                <w:bCs/>
                <w:color w:val="auto"/>
                <w:szCs w:val="21"/>
                <w:highlight w:val="none"/>
                <w:lang w:val="en-US" w:eastAsia="zh-CN"/>
              </w:rPr>
              <w:t>个</w:t>
            </w:r>
            <w:r>
              <w:rPr>
                <w:rFonts w:hint="eastAsia" w:ascii="仿宋" w:hAnsi="仿宋" w:cs="仿宋"/>
                <w:bCs/>
                <w:color w:val="auto"/>
                <w:szCs w:val="21"/>
                <w:highlight w:val="none"/>
              </w:rPr>
              <w:t>。</w:t>
            </w:r>
          </w:p>
        </w:tc>
      </w:tr>
    </w:tbl>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注：1.当采用现场试验的方式进行技术能力确认时，须填写本表；采用其它方式进行确认的项目、参数不需要填写本表。</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 本表应与《检测能力确认方式及确认结果一览表》中现场试验对应的内容一致。</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3.参数编号应与《检测能力确认方式及确认结果一览表》对应的编号保持一致，该编号可能不连续。</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4.“试验设备”应填写主要仪器设备名称及编号。</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5.“试验要求”应填写“常规试验”、“留样复测”、“人员比对”、“设备比对”、“盲样考核”等。</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6.不通过的项目或参数要简要说明理由。</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7.带“*”的参数为可选参数，未标星号的为必选项目/参数；如必选参数未通过，则该专项不通过。</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8.专家在首末页签字，并注明自己确认项目的序号。</w:t>
      </w:r>
    </w:p>
    <w:p>
      <w:pPr>
        <w:pStyle w:val="2"/>
        <w:ind w:firstLine="400" w:firstLineChars="200"/>
        <w:rPr>
          <w:rFonts w:hint="default"/>
          <w:highlight w:val="none"/>
          <w:lang w:val="en-US" w:eastAsia="zh-CN"/>
        </w:rPr>
      </w:pP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评审专家（签名）：</w:t>
      </w:r>
    </w:p>
    <w:p>
      <w:pPr>
        <w:keepNext w:val="0"/>
        <w:keepLines w:val="0"/>
        <w:pageBreakBefore w:val="0"/>
        <w:widowControl w:val="0"/>
        <w:kinsoku/>
        <w:wordWrap/>
        <w:overflowPunct/>
        <w:topLinePunct w:val="0"/>
        <w:autoSpaceDE/>
        <w:autoSpaceDN/>
        <w:bidi w:val="0"/>
        <w:adjustRightInd/>
        <w:snapToGrid/>
        <w:ind w:firstLine="11550" w:firstLineChars="5500"/>
        <w:textAlignment w:val="auto"/>
        <w:rPr>
          <w:rFonts w:hint="eastAsia" w:asciiTheme="minorEastAsia" w:hAnsiTheme="minorEastAsia" w:eastAsiaTheme="minorEastAsia" w:cstheme="minorEastAsia"/>
          <w:bCs/>
          <w:color w:val="auto"/>
          <w:sz w:val="21"/>
          <w:szCs w:val="21"/>
          <w:highlight w:val="none"/>
        </w:rPr>
      </w:pPr>
    </w:p>
    <w:p>
      <w:pPr>
        <w:pStyle w:val="2"/>
        <w:rPr>
          <w:rFonts w:hint="eastAsia" w:asciiTheme="minorEastAsia" w:hAnsiTheme="minorEastAsia" w:eastAsiaTheme="minorEastAsia" w:cstheme="minorEastAsia"/>
          <w:bCs/>
          <w:color w:val="auto"/>
          <w:sz w:val="21"/>
          <w:szCs w:val="21"/>
          <w:highlight w:val="none"/>
        </w:rPr>
      </w:pPr>
    </w:p>
    <w:p>
      <w:pPr>
        <w:pStyle w:val="2"/>
        <w:rPr>
          <w:rFonts w:hint="eastAsia" w:asciiTheme="minorEastAsia" w:hAnsiTheme="minorEastAsia" w:eastAsiaTheme="minorEastAsia" w:cstheme="minorEastAsia"/>
          <w:bCs/>
          <w:color w:val="auto"/>
          <w:sz w:val="21"/>
          <w:szCs w:val="21"/>
          <w:highlight w:val="none"/>
        </w:rPr>
      </w:pPr>
    </w:p>
    <w:p>
      <w:pPr>
        <w:pStyle w:val="2"/>
        <w:rPr>
          <w:rFonts w:hint="eastAsia" w:asciiTheme="minorEastAsia" w:hAnsiTheme="minorEastAsia" w:eastAsiaTheme="minorEastAsia" w:cstheme="minorEastAsia"/>
          <w:bCs/>
          <w:color w:val="auto"/>
          <w:sz w:val="21"/>
          <w:szCs w:val="21"/>
          <w:highlight w:val="none"/>
        </w:rPr>
      </w:pPr>
    </w:p>
    <w:p>
      <w:pPr>
        <w:pStyle w:val="2"/>
        <w:rPr>
          <w:rFonts w:hint="eastAsia" w:asciiTheme="minorEastAsia" w:hAnsiTheme="minorEastAsia" w:eastAsiaTheme="minorEastAsia" w:cstheme="minorEastAsia"/>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ind w:firstLine="10920" w:firstLineChars="5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auto"/>
          <w:sz w:val="21"/>
          <w:szCs w:val="21"/>
          <w:highlight w:val="none"/>
        </w:rPr>
        <w:t xml:space="preserve">日期： </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 xml:space="preserve"> 年 </w:t>
      </w:r>
      <w:r>
        <w:rPr>
          <w:rFonts w:hint="eastAsia" w:asciiTheme="minorEastAsia" w:hAnsiTheme="minorEastAsia" w:eastAsiaTheme="minorEastAsia" w:cstheme="minorEastAsia"/>
          <w:bCs/>
          <w:color w:val="auto"/>
          <w:sz w:val="21"/>
          <w:szCs w:val="21"/>
          <w:highlight w:val="none"/>
          <w:lang w:val="en-US" w:eastAsia="zh-CN"/>
        </w:rPr>
        <w:t xml:space="preserve">   </w:t>
      </w:r>
      <w:r>
        <w:rPr>
          <w:rFonts w:hint="eastAsia" w:asciiTheme="minorEastAsia" w:hAnsiTheme="minorEastAsia" w:eastAsiaTheme="minorEastAsia" w:cstheme="minorEastAsia"/>
          <w:bCs/>
          <w:color w:val="auto"/>
          <w:sz w:val="21"/>
          <w:szCs w:val="21"/>
          <w:highlight w:val="none"/>
        </w:rPr>
        <w:t xml:space="preserve">月 </w:t>
      </w:r>
      <w:r>
        <w:rPr>
          <w:rFonts w:hint="eastAsia" w:asciiTheme="minorEastAsia" w:hAnsiTheme="minorEastAsia" w:eastAsiaTheme="minorEastAsia" w:cstheme="minorEastAsia"/>
          <w:bCs/>
          <w:color w:val="auto"/>
          <w:sz w:val="21"/>
          <w:szCs w:val="21"/>
          <w:highlight w:val="none"/>
          <w:lang w:val="en-US" w:eastAsia="zh-CN"/>
        </w:rPr>
        <w:t xml:space="preserve">   日</w:t>
      </w:r>
    </w:p>
    <w:p>
      <w:pPr>
        <w:pStyle w:val="2"/>
        <w:rPr>
          <w:rFonts w:hint="eastAsia" w:asciiTheme="minorEastAsia" w:hAnsiTheme="minorEastAsia" w:eastAsiaTheme="minorEastAsia" w:cstheme="minorEastAsia"/>
          <w:sz w:val="21"/>
          <w:szCs w:val="21"/>
          <w:highlight w:val="none"/>
        </w:rPr>
        <w:sectPr>
          <w:headerReference r:id="rId4" w:type="default"/>
          <w:footerReference r:id="rId5" w:type="default"/>
          <w:pgSz w:w="16838" w:h="11906" w:orient="landscape"/>
          <w:pgMar w:top="1361" w:right="1644" w:bottom="1361" w:left="1417" w:header="851" w:footer="680" w:gutter="0"/>
          <w:pgBorders>
            <w:top w:val="none" w:sz="0" w:space="0"/>
            <w:left w:val="none" w:sz="0" w:space="0"/>
            <w:bottom w:val="none" w:sz="0" w:space="0"/>
            <w:right w:val="none" w:sz="0" w:space="0"/>
          </w:pgBorders>
          <w:pgNumType w:fmt="decimal"/>
          <w:cols w:space="0" w:num="1"/>
          <w:docGrid w:type="linesAndChars" w:linePitch="448"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表6</w:t>
      </w:r>
    </w:p>
    <w:p>
      <w:pPr>
        <w:jc w:val="center"/>
        <w:rPr>
          <w:rFonts w:hint="eastAsia" w:ascii="微软雅黑" w:hAnsi="微软雅黑" w:eastAsia="微软雅黑" w:cs="微软雅黑"/>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现场抽查检测报告</w:t>
      </w:r>
      <w:r>
        <w:rPr>
          <w:rFonts w:hint="eastAsia" w:ascii="方正小标宋简体" w:hAnsi="方正小标宋简体" w:eastAsia="方正小标宋简体" w:cs="方正小标宋简体"/>
          <w:bCs/>
          <w:color w:val="auto"/>
          <w:sz w:val="44"/>
          <w:szCs w:val="44"/>
          <w:highlight w:val="none"/>
          <w:lang w:val="en-US" w:eastAsia="zh-CN"/>
        </w:rPr>
        <w:t>清单</w:t>
      </w:r>
    </w:p>
    <w:p>
      <w:pPr>
        <w:tabs>
          <w:tab w:val="left" w:leader="underscore" w:pos="6720"/>
          <w:tab w:val="left" w:leader="underscore" w:pos="8820"/>
        </w:tabs>
        <w:jc w:val="left"/>
        <w:rPr>
          <w:rFonts w:ascii="宋体" w:hAnsi="宋体" w:cs="宋体"/>
          <w:bCs/>
          <w:color w:val="auto"/>
          <w:szCs w:val="21"/>
          <w:highlight w:val="none"/>
        </w:rPr>
      </w:pPr>
      <w:r>
        <w:rPr>
          <w:rFonts w:hint="eastAsia" w:ascii="宋体" w:hAnsi="宋体" w:cs="宋体"/>
          <w:color w:val="auto"/>
          <w:szCs w:val="21"/>
          <w:highlight w:val="none"/>
        </w:rPr>
        <w:t>检测机构名称：　　　　　　　　　　　　　　　　　　　　　　　　　　　　　　</w:t>
      </w:r>
    </w:p>
    <w:p>
      <w:pPr>
        <w:spacing w:line="460" w:lineRule="exact"/>
        <w:jc w:val="left"/>
        <w:rPr>
          <w:rFonts w:ascii="方正大标宋简体" w:hAnsi="华文楷体" w:eastAsia="方正大标宋简体"/>
          <w:b/>
          <w:color w:val="auto"/>
          <w:sz w:val="32"/>
          <w:szCs w:val="32"/>
          <w:highlight w:val="none"/>
        </w:rPr>
      </w:pPr>
      <w:r>
        <w:rPr>
          <w:rFonts w:hint="eastAsia" w:ascii="宋体" w:hAnsi="宋体" w:cs="宋体"/>
          <w:bCs/>
          <w:color w:val="auto"/>
          <w:highlight w:val="none"/>
        </w:rPr>
        <w:t>检测场所地址</w:t>
      </w:r>
      <w:r>
        <w:rPr>
          <w:rFonts w:hint="eastAsia" w:ascii="宋体" w:hAnsi="宋体" w:cs="宋体"/>
          <w:bCs/>
          <w:color w:val="auto"/>
          <w:highlight w:val="none"/>
          <w:lang w:val="en-US" w:eastAsia="zh-CN"/>
        </w:rPr>
        <w:t>**</w:t>
      </w:r>
      <w:r>
        <w:rPr>
          <w:rFonts w:hint="eastAsia" w:ascii="宋体" w:hAnsi="宋体" w:cs="宋体"/>
          <w:bCs/>
          <w:color w:val="auto"/>
          <w:highlight w:val="none"/>
        </w:rPr>
        <w:t>：</w:t>
      </w:r>
      <w:r>
        <w:rPr>
          <w:rFonts w:hint="eastAsia" w:ascii="宋体" w:hAnsi="宋体" w:cs="宋体"/>
          <w:color w:val="auto"/>
          <w:szCs w:val="21"/>
          <w:highlight w:val="none"/>
        </w:rPr>
        <w:t>　　　　　　　　　　　　　　　　　　　　　　　　　　</w:t>
      </w:r>
      <w:r>
        <w:rPr>
          <w:rFonts w:hint="eastAsia" w:ascii="仿宋" w:hAnsi="仿宋" w:eastAsia="仿宋"/>
          <w:color w:val="auto"/>
          <w:highlight w:val="none"/>
        </w:rPr>
        <w:t>共   页  第  页</w:t>
      </w:r>
    </w:p>
    <w:tbl>
      <w:tblPr>
        <w:tblStyle w:val="14"/>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1"/>
        <w:gridCol w:w="1984"/>
        <w:gridCol w:w="4335"/>
        <w:gridCol w:w="22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51" w:type="dxa"/>
            <w:tcBorders>
              <w:tl2br w:val="nil"/>
              <w:tr2bl w:val="nil"/>
            </w:tcBorders>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序号</w:t>
            </w:r>
          </w:p>
        </w:tc>
        <w:tc>
          <w:tcPr>
            <w:tcW w:w="1984" w:type="dxa"/>
            <w:tcBorders>
              <w:tl2br w:val="nil"/>
              <w:tr2bl w:val="nil"/>
            </w:tcBorders>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报告</w:t>
            </w:r>
            <w:r>
              <w:rPr>
                <w:rFonts w:hint="eastAsia" w:asciiTheme="minorEastAsia" w:hAnsiTheme="minorEastAsia"/>
                <w:strike w:val="0"/>
                <w:color w:val="auto"/>
                <w:highlight w:val="none"/>
              </w:rPr>
              <w:t>或</w:t>
            </w:r>
            <w:r>
              <w:rPr>
                <w:rFonts w:hint="eastAsia" w:asciiTheme="minorEastAsia" w:hAnsiTheme="minorEastAsia"/>
                <w:color w:val="auto"/>
                <w:highlight w:val="none"/>
              </w:rPr>
              <w:t>记录</w:t>
            </w:r>
            <w:r>
              <w:rPr>
                <w:rFonts w:hint="eastAsia" w:asciiTheme="minorEastAsia" w:hAnsiTheme="minorEastAsia"/>
                <w:color w:val="auto"/>
                <w:highlight w:val="none"/>
                <w:lang w:val="en-US" w:eastAsia="zh-CN"/>
              </w:rPr>
              <w:t>名称/</w:t>
            </w:r>
            <w:r>
              <w:rPr>
                <w:rFonts w:hint="eastAsia" w:asciiTheme="minorEastAsia" w:hAnsiTheme="minorEastAsia"/>
                <w:color w:val="auto"/>
                <w:highlight w:val="none"/>
              </w:rPr>
              <w:t>编号</w:t>
            </w:r>
          </w:p>
        </w:tc>
        <w:tc>
          <w:tcPr>
            <w:tcW w:w="4335" w:type="dxa"/>
            <w:tcBorders>
              <w:tl2br w:val="nil"/>
              <w:tr2bl w:val="nil"/>
            </w:tcBorders>
            <w:vAlign w:val="center"/>
          </w:tcPr>
          <w:p>
            <w:pPr>
              <w:jc w:val="center"/>
              <w:rPr>
                <w:rFonts w:asciiTheme="minorEastAsia" w:hAnsiTheme="minorEastAsia"/>
                <w:color w:val="auto"/>
                <w:highlight w:val="none"/>
              </w:rPr>
            </w:pPr>
            <w:r>
              <w:rPr>
                <w:rFonts w:hint="eastAsia" w:asciiTheme="minorEastAsia" w:hAnsiTheme="minorEastAsia"/>
                <w:strike w:val="0"/>
                <w:color w:val="auto"/>
                <w:highlight w:val="none"/>
              </w:rPr>
              <w:t>记录或报告抽查情况及评价</w:t>
            </w:r>
          </w:p>
        </w:tc>
        <w:tc>
          <w:tcPr>
            <w:tcW w:w="2257" w:type="dxa"/>
            <w:tcBorders>
              <w:tl2br w:val="nil"/>
              <w:tr2bl w:val="nil"/>
            </w:tcBorders>
            <w:vAlign w:val="center"/>
          </w:tcPr>
          <w:p>
            <w:pPr>
              <w:jc w:val="center"/>
              <w:rPr>
                <w:rFonts w:hint="eastAsia" w:eastAsia="宋体" w:asciiTheme="minorEastAsia" w:hAnsiTheme="minorEastAsia"/>
                <w:color w:val="auto"/>
                <w:highlight w:val="none"/>
                <w:lang w:val="en-US" w:eastAsia="zh-CN"/>
              </w:rPr>
            </w:pPr>
            <w:r>
              <w:rPr>
                <w:rFonts w:hint="eastAsia" w:asciiTheme="minorEastAsia" w:hAnsiTheme="minorEastAsia"/>
                <w:color w:val="auto"/>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51" w:type="dxa"/>
            <w:tcBorders>
              <w:tl2br w:val="nil"/>
              <w:tr2bl w:val="nil"/>
            </w:tcBorders>
            <w:vAlign w:val="center"/>
          </w:tcPr>
          <w:p>
            <w:pPr>
              <w:spacing w:line="3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1984" w:type="dxa"/>
            <w:tcBorders>
              <w:tl2br w:val="nil"/>
              <w:tr2bl w:val="nil"/>
            </w:tcBorders>
            <w:vAlign w:val="center"/>
          </w:tcPr>
          <w:p>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水泥检测/</w:t>
            </w:r>
            <w:r>
              <w:rPr>
                <w:rFonts w:hint="eastAsia" w:asciiTheme="minorEastAsia" w:hAnsiTheme="minorEastAsia" w:eastAsiaTheme="minorEastAsia" w:cstheme="minorEastAsia"/>
                <w:color w:val="auto"/>
                <w:sz w:val="21"/>
                <w:szCs w:val="21"/>
                <w:highlight w:val="none"/>
              </w:rPr>
              <w:t>07AACA1600092</w:t>
            </w:r>
          </w:p>
        </w:tc>
        <w:tc>
          <w:tcPr>
            <w:tcW w:w="4335" w:type="dxa"/>
            <w:tcBorders>
              <w:tl2br w:val="nil"/>
              <w:tr2bl w:val="nil"/>
            </w:tcBorders>
            <w:vAlign w:val="center"/>
          </w:tcPr>
          <w:p>
            <w:pPr>
              <w:pStyle w:val="2"/>
              <w:rPr>
                <w:rFonts w:hint="default" w:asciiTheme="minorEastAsia" w:hAnsiTheme="minorEastAsia" w:eastAsiaTheme="minorEastAsia" w:cstheme="minorEastAsia"/>
                <w:strike/>
                <w:color w:val="auto"/>
                <w:sz w:val="21"/>
                <w:szCs w:val="21"/>
                <w:highlight w:val="none"/>
                <w:lang w:val="en-US"/>
              </w:rPr>
            </w:pPr>
            <w:r>
              <w:rPr>
                <w:rFonts w:hint="default" w:ascii="Times New Roman" w:hAnsi="Times New Roman" w:eastAsia="宋体" w:cs="Times New Roman"/>
                <w:b w:val="0"/>
                <w:color w:val="auto"/>
                <w:kern w:val="0"/>
                <w:sz w:val="20"/>
                <w:szCs w:val="24"/>
                <w:highlight w:val="none"/>
                <w:lang w:val="en-US" w:eastAsia="zh-CN" w:bidi="ar-SA"/>
              </w:rPr>
              <w:sym w:font="Wingdings 2" w:char="00A3"/>
            </w:r>
            <w:r>
              <w:rPr>
                <w:rFonts w:hint="eastAsia" w:cs="Times New Roman"/>
                <w:b w:val="0"/>
                <w:color w:val="auto"/>
                <w:kern w:val="0"/>
                <w:sz w:val="20"/>
                <w:szCs w:val="24"/>
                <w:highlight w:val="none"/>
                <w:lang w:val="en-US" w:eastAsia="zh-CN" w:bidi="ar-SA"/>
              </w:rPr>
              <w:t>符合</w:t>
            </w:r>
          </w:p>
          <w:p>
            <w:pPr>
              <w:pStyle w:val="2"/>
              <w:rPr>
                <w:rFonts w:hint="default" w:asciiTheme="minorEastAsia" w:hAnsiTheme="minorEastAsia" w:eastAsiaTheme="minorEastAsia" w:cstheme="minorEastAsia"/>
                <w:b w:val="0"/>
                <w:strike/>
                <w:color w:val="auto"/>
                <w:kern w:val="0"/>
                <w:sz w:val="21"/>
                <w:szCs w:val="21"/>
                <w:highlight w:val="none"/>
                <w:u w:val="single"/>
                <w:lang w:val="en-US" w:eastAsia="zh-CN" w:bidi="ar-SA"/>
              </w:rPr>
            </w:pPr>
            <w:r>
              <w:rPr>
                <w:rFonts w:hint="default" w:asciiTheme="minorEastAsia" w:hAnsiTheme="minorEastAsia" w:eastAsiaTheme="minorEastAsia" w:cstheme="minorEastAsia"/>
                <w:b w:val="0"/>
                <w:strike w:val="0"/>
                <w:color w:val="auto"/>
                <w:kern w:val="0"/>
                <w:sz w:val="21"/>
                <w:szCs w:val="21"/>
                <w:highlight w:val="none"/>
                <w:lang w:val="en-US" w:eastAsia="zh-CN" w:bidi="ar-SA"/>
              </w:rPr>
              <w:sym w:font="Wingdings 2" w:char="00A3"/>
            </w:r>
            <w:r>
              <w:rPr>
                <w:rFonts w:hint="eastAsia" w:asciiTheme="minorEastAsia" w:hAnsiTheme="minorEastAsia" w:eastAsiaTheme="minorEastAsia" w:cstheme="minorEastAsia"/>
                <w:b w:val="0"/>
                <w:strike w:val="0"/>
                <w:color w:val="auto"/>
                <w:kern w:val="0"/>
                <w:sz w:val="21"/>
                <w:szCs w:val="21"/>
                <w:highlight w:val="none"/>
                <w:lang w:val="en-US" w:eastAsia="zh-CN" w:bidi="ar-SA"/>
              </w:rPr>
              <w:t>不符合及情况描述：</w:t>
            </w:r>
            <w:r>
              <w:rPr>
                <w:rFonts w:hint="eastAsia"/>
                <w:color w:val="auto"/>
                <w:sz w:val="24"/>
                <w:szCs w:val="24"/>
                <w:highlight w:val="none"/>
                <w:u w:val="single"/>
              </w:rPr>
              <w:t>　　　　　　　</w:t>
            </w:r>
            <w:r>
              <w:rPr>
                <w:rFonts w:hint="eastAsia" w:asciiTheme="minorEastAsia" w:hAnsiTheme="minorEastAsia" w:eastAsiaTheme="minorEastAsia" w:cstheme="minorEastAsia"/>
                <w:b w:val="0"/>
                <w:strike w:val="0"/>
                <w:color w:val="auto"/>
                <w:kern w:val="0"/>
                <w:sz w:val="21"/>
                <w:szCs w:val="21"/>
                <w:highlight w:val="none"/>
                <w:u w:val="single"/>
                <w:lang w:val="en-US" w:eastAsia="zh-CN" w:bidi="ar-SA"/>
              </w:rPr>
              <w:t xml:space="preserve">           </w:t>
            </w:r>
          </w:p>
        </w:tc>
        <w:tc>
          <w:tcPr>
            <w:tcW w:w="2257"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51" w:type="dxa"/>
            <w:tcBorders>
              <w:tl2br w:val="nil"/>
              <w:tr2bl w:val="nil"/>
            </w:tcBorders>
            <w:vAlign w:val="center"/>
          </w:tcPr>
          <w:p>
            <w:pPr>
              <w:spacing w:line="340" w:lineRule="exact"/>
              <w:jc w:val="center"/>
              <w:rPr>
                <w:rFonts w:hint="eastAsia" w:asciiTheme="minorEastAsia" w:hAnsiTheme="minorEastAsia" w:eastAsiaTheme="minorEastAsia" w:cstheme="minorEastAsia"/>
                <w:color w:val="auto"/>
                <w:sz w:val="21"/>
                <w:szCs w:val="21"/>
                <w:highlight w:val="none"/>
              </w:rPr>
            </w:pPr>
          </w:p>
        </w:tc>
        <w:tc>
          <w:tcPr>
            <w:tcW w:w="1984" w:type="dxa"/>
            <w:tcBorders>
              <w:tl2br w:val="nil"/>
              <w:tr2bl w:val="nil"/>
            </w:tcBorders>
            <w:vAlign w:val="center"/>
          </w:tcPr>
          <w:p>
            <w:pPr>
              <w:jc w:val="center"/>
              <w:rPr>
                <w:rFonts w:hint="eastAsia" w:asciiTheme="minorEastAsia" w:hAnsiTheme="minorEastAsia" w:eastAsiaTheme="minorEastAsia" w:cstheme="minorEastAsia"/>
                <w:color w:val="auto"/>
                <w:sz w:val="21"/>
                <w:szCs w:val="21"/>
                <w:highlight w:val="none"/>
              </w:rPr>
            </w:pPr>
          </w:p>
        </w:tc>
        <w:tc>
          <w:tcPr>
            <w:tcW w:w="4335"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c>
          <w:tcPr>
            <w:tcW w:w="2257"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51" w:type="dxa"/>
            <w:tcBorders>
              <w:tl2br w:val="nil"/>
              <w:tr2bl w:val="nil"/>
            </w:tcBorders>
            <w:vAlign w:val="center"/>
          </w:tcPr>
          <w:p>
            <w:pPr>
              <w:spacing w:line="340" w:lineRule="exact"/>
              <w:jc w:val="center"/>
              <w:rPr>
                <w:rFonts w:hint="eastAsia" w:asciiTheme="minorEastAsia" w:hAnsiTheme="minorEastAsia" w:eastAsiaTheme="minorEastAsia" w:cstheme="minorEastAsia"/>
                <w:color w:val="auto"/>
                <w:sz w:val="21"/>
                <w:szCs w:val="21"/>
                <w:highlight w:val="none"/>
              </w:rPr>
            </w:pPr>
          </w:p>
        </w:tc>
        <w:tc>
          <w:tcPr>
            <w:tcW w:w="1984" w:type="dxa"/>
            <w:tcBorders>
              <w:tl2br w:val="nil"/>
              <w:tr2bl w:val="nil"/>
            </w:tcBorders>
            <w:vAlign w:val="center"/>
          </w:tcPr>
          <w:p>
            <w:pPr>
              <w:jc w:val="center"/>
              <w:rPr>
                <w:rFonts w:hint="eastAsia" w:asciiTheme="minorEastAsia" w:hAnsiTheme="minorEastAsia" w:eastAsiaTheme="minorEastAsia" w:cstheme="minorEastAsia"/>
                <w:color w:val="auto"/>
                <w:sz w:val="21"/>
                <w:szCs w:val="21"/>
                <w:highlight w:val="none"/>
              </w:rPr>
            </w:pPr>
          </w:p>
        </w:tc>
        <w:tc>
          <w:tcPr>
            <w:tcW w:w="4335"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c>
          <w:tcPr>
            <w:tcW w:w="2257"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51" w:type="dxa"/>
            <w:tcBorders>
              <w:tl2br w:val="nil"/>
              <w:tr2bl w:val="nil"/>
            </w:tcBorders>
            <w:vAlign w:val="center"/>
          </w:tcPr>
          <w:p>
            <w:pPr>
              <w:spacing w:line="340" w:lineRule="exact"/>
              <w:jc w:val="center"/>
              <w:rPr>
                <w:rFonts w:hint="eastAsia" w:asciiTheme="minorEastAsia" w:hAnsiTheme="minorEastAsia" w:eastAsiaTheme="minorEastAsia" w:cstheme="minorEastAsia"/>
                <w:color w:val="auto"/>
                <w:sz w:val="21"/>
                <w:szCs w:val="21"/>
                <w:highlight w:val="none"/>
              </w:rPr>
            </w:pPr>
          </w:p>
        </w:tc>
        <w:tc>
          <w:tcPr>
            <w:tcW w:w="1984" w:type="dxa"/>
            <w:tcBorders>
              <w:tl2br w:val="nil"/>
              <w:tr2bl w:val="nil"/>
            </w:tcBorders>
            <w:vAlign w:val="center"/>
          </w:tcPr>
          <w:p>
            <w:pPr>
              <w:jc w:val="center"/>
              <w:rPr>
                <w:rFonts w:hint="eastAsia" w:asciiTheme="minorEastAsia" w:hAnsiTheme="minorEastAsia" w:eastAsiaTheme="minorEastAsia" w:cstheme="minorEastAsia"/>
                <w:color w:val="auto"/>
                <w:sz w:val="21"/>
                <w:szCs w:val="21"/>
                <w:highlight w:val="none"/>
              </w:rPr>
            </w:pPr>
          </w:p>
        </w:tc>
        <w:tc>
          <w:tcPr>
            <w:tcW w:w="4335"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c>
          <w:tcPr>
            <w:tcW w:w="2257"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51" w:type="dxa"/>
            <w:tcBorders>
              <w:tl2br w:val="nil"/>
              <w:tr2bl w:val="nil"/>
            </w:tcBorders>
            <w:vAlign w:val="center"/>
          </w:tcPr>
          <w:p>
            <w:pPr>
              <w:spacing w:line="340" w:lineRule="exact"/>
              <w:jc w:val="center"/>
              <w:rPr>
                <w:rFonts w:hint="eastAsia" w:asciiTheme="minorEastAsia" w:hAnsiTheme="minorEastAsia" w:eastAsiaTheme="minorEastAsia" w:cstheme="minorEastAsia"/>
                <w:color w:val="auto"/>
                <w:sz w:val="21"/>
                <w:szCs w:val="21"/>
                <w:highlight w:val="none"/>
              </w:rPr>
            </w:pPr>
          </w:p>
        </w:tc>
        <w:tc>
          <w:tcPr>
            <w:tcW w:w="1984" w:type="dxa"/>
            <w:tcBorders>
              <w:tl2br w:val="nil"/>
              <w:tr2bl w:val="nil"/>
            </w:tcBorders>
            <w:vAlign w:val="center"/>
          </w:tcPr>
          <w:p>
            <w:pPr>
              <w:jc w:val="center"/>
              <w:rPr>
                <w:rFonts w:hint="eastAsia" w:asciiTheme="minorEastAsia" w:hAnsiTheme="minorEastAsia" w:eastAsiaTheme="minorEastAsia" w:cstheme="minorEastAsia"/>
                <w:color w:val="auto"/>
                <w:sz w:val="21"/>
                <w:szCs w:val="21"/>
                <w:highlight w:val="none"/>
              </w:rPr>
            </w:pPr>
          </w:p>
        </w:tc>
        <w:tc>
          <w:tcPr>
            <w:tcW w:w="4335"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c>
          <w:tcPr>
            <w:tcW w:w="2257"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51" w:type="dxa"/>
            <w:tcBorders>
              <w:tl2br w:val="nil"/>
              <w:tr2bl w:val="nil"/>
            </w:tcBorders>
            <w:vAlign w:val="center"/>
          </w:tcPr>
          <w:p>
            <w:pPr>
              <w:spacing w:line="340" w:lineRule="exact"/>
              <w:jc w:val="center"/>
              <w:rPr>
                <w:rFonts w:hint="eastAsia" w:asciiTheme="minorEastAsia" w:hAnsiTheme="minorEastAsia" w:eastAsiaTheme="minorEastAsia" w:cstheme="minorEastAsia"/>
                <w:color w:val="auto"/>
                <w:sz w:val="21"/>
                <w:szCs w:val="21"/>
                <w:highlight w:val="none"/>
              </w:rPr>
            </w:pPr>
          </w:p>
        </w:tc>
        <w:tc>
          <w:tcPr>
            <w:tcW w:w="1984" w:type="dxa"/>
            <w:tcBorders>
              <w:tl2br w:val="nil"/>
              <w:tr2bl w:val="nil"/>
            </w:tcBorders>
            <w:vAlign w:val="center"/>
          </w:tcPr>
          <w:p>
            <w:pPr>
              <w:jc w:val="center"/>
              <w:rPr>
                <w:rFonts w:hint="eastAsia" w:asciiTheme="minorEastAsia" w:hAnsiTheme="minorEastAsia" w:eastAsiaTheme="minorEastAsia" w:cstheme="minorEastAsia"/>
                <w:color w:val="auto"/>
                <w:sz w:val="21"/>
                <w:szCs w:val="21"/>
                <w:highlight w:val="none"/>
              </w:rPr>
            </w:pPr>
          </w:p>
        </w:tc>
        <w:tc>
          <w:tcPr>
            <w:tcW w:w="4335"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c>
          <w:tcPr>
            <w:tcW w:w="2257"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651" w:type="dxa"/>
            <w:tcBorders>
              <w:tl2br w:val="nil"/>
              <w:tr2bl w:val="nil"/>
            </w:tcBorders>
            <w:vAlign w:val="center"/>
          </w:tcPr>
          <w:p>
            <w:pPr>
              <w:spacing w:line="340" w:lineRule="exact"/>
              <w:jc w:val="center"/>
              <w:rPr>
                <w:rFonts w:hint="eastAsia" w:asciiTheme="minorEastAsia" w:hAnsiTheme="minorEastAsia" w:eastAsiaTheme="minorEastAsia" w:cstheme="minorEastAsia"/>
                <w:color w:val="auto"/>
                <w:sz w:val="21"/>
                <w:szCs w:val="21"/>
                <w:highlight w:val="none"/>
              </w:rPr>
            </w:pPr>
          </w:p>
        </w:tc>
        <w:tc>
          <w:tcPr>
            <w:tcW w:w="1984" w:type="dxa"/>
            <w:tcBorders>
              <w:tl2br w:val="nil"/>
              <w:tr2bl w:val="nil"/>
            </w:tcBorders>
            <w:vAlign w:val="center"/>
          </w:tcPr>
          <w:p>
            <w:pPr>
              <w:jc w:val="center"/>
              <w:rPr>
                <w:rFonts w:hint="eastAsia" w:asciiTheme="minorEastAsia" w:hAnsiTheme="minorEastAsia" w:eastAsiaTheme="minorEastAsia" w:cstheme="minorEastAsia"/>
                <w:color w:val="auto"/>
                <w:sz w:val="21"/>
                <w:szCs w:val="21"/>
                <w:highlight w:val="none"/>
              </w:rPr>
            </w:pPr>
          </w:p>
        </w:tc>
        <w:tc>
          <w:tcPr>
            <w:tcW w:w="4335"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c>
          <w:tcPr>
            <w:tcW w:w="2257" w:type="dxa"/>
            <w:tcBorders>
              <w:tl2br w:val="nil"/>
              <w:tr2bl w:val="nil"/>
            </w:tcBorders>
            <w:vAlign w:val="center"/>
          </w:tcPr>
          <w:p>
            <w:pPr>
              <w:jc w:val="left"/>
              <w:rPr>
                <w:rFonts w:hint="eastAsia" w:asciiTheme="minorEastAsia" w:hAnsiTheme="minorEastAsia" w:eastAsiaTheme="minorEastAsia" w:cstheme="minorEastAsia"/>
                <w:color w:val="auto"/>
                <w:sz w:val="21"/>
                <w:szCs w:val="21"/>
                <w:highlight w:val="none"/>
              </w:rPr>
            </w:pPr>
          </w:p>
        </w:tc>
      </w:tr>
    </w:tbl>
    <w:p>
      <w:pPr>
        <w:rPr>
          <w:rFonts w:ascii="仿宋" w:hAnsi="仿宋" w:eastAsia="仿宋"/>
          <w:color w:val="auto"/>
          <w:szCs w:val="21"/>
          <w:highlight w:val="none"/>
        </w:rPr>
      </w:pPr>
      <w:r>
        <w:rPr>
          <w:rFonts w:hint="eastAsia" w:ascii="仿宋" w:hAnsi="仿宋" w:eastAsia="仿宋"/>
          <w:color w:val="auto"/>
          <w:szCs w:val="21"/>
          <w:highlight w:val="none"/>
        </w:rPr>
        <w:t>注：1.不同检测地址分别填写，若表中所留空格不够填写时，可续页；</w:t>
      </w:r>
    </w:p>
    <w:p>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2.抽查的记录及报告涉及项目或参数应能覆盖申报资质的项目类别范围。</w:t>
      </w:r>
    </w:p>
    <w:p>
      <w:pPr>
        <w:rPr>
          <w:rFonts w:hint="eastAsia" w:ascii="仿宋" w:hAnsi="仿宋" w:eastAsia="仿宋"/>
          <w:bCs/>
          <w:color w:val="auto"/>
          <w:sz w:val="24"/>
          <w:highlight w:val="none"/>
        </w:rPr>
      </w:pPr>
      <w:r>
        <w:rPr>
          <w:rFonts w:hint="eastAsia" w:ascii="仿宋" w:hAnsi="仿宋" w:eastAsia="仿宋"/>
          <w:bCs/>
          <w:color w:val="auto"/>
          <w:sz w:val="24"/>
          <w:highlight w:val="none"/>
        </w:rPr>
        <w:t>评审专家（签名）：</w:t>
      </w:r>
    </w:p>
    <w:p>
      <w:pPr>
        <w:pStyle w:val="2"/>
        <w:rPr>
          <w:rFonts w:hint="eastAsia"/>
          <w:highlight w:val="none"/>
        </w:rPr>
      </w:pPr>
    </w:p>
    <w:p>
      <w:pPr>
        <w:ind w:firstLine="6240" w:firstLineChars="2600"/>
        <w:rPr>
          <w:rFonts w:hint="eastAsia" w:ascii="微软雅黑" w:hAnsi="微软雅黑" w:eastAsia="微软雅黑" w:cs="微软雅黑"/>
          <w:bCs/>
          <w:color w:val="auto"/>
          <w:sz w:val="44"/>
          <w:szCs w:val="44"/>
          <w:highlight w:val="none"/>
        </w:rPr>
      </w:pPr>
      <w:r>
        <w:rPr>
          <w:rFonts w:hint="eastAsia" w:ascii="仿宋" w:hAnsi="仿宋" w:eastAsia="仿宋"/>
          <w:bCs/>
          <w:color w:val="auto"/>
          <w:sz w:val="24"/>
          <w:highlight w:val="none"/>
        </w:rPr>
        <w:t>日期：    年  月  日</w:t>
      </w:r>
    </w:p>
    <w:p>
      <w:pPr>
        <w:rPr>
          <w:rFonts w:hint="eastAsia" w:ascii="微软雅黑" w:hAnsi="微软雅黑" w:eastAsia="微软雅黑" w:cs="微软雅黑"/>
          <w:bCs/>
          <w:color w:val="auto"/>
          <w:sz w:val="44"/>
          <w:szCs w:val="44"/>
          <w:highlight w:val="none"/>
        </w:rPr>
      </w:pPr>
      <w:r>
        <w:rPr>
          <w:rFonts w:hint="eastAsia" w:ascii="微软雅黑" w:hAnsi="微软雅黑" w:eastAsia="微软雅黑" w:cs="微软雅黑"/>
          <w:bCs/>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bCs/>
          <w:color w:val="auto"/>
          <w:sz w:val="32"/>
          <w:szCs w:val="32"/>
          <w:highlight w:val="none"/>
          <w:lang w:val="en-US" w:eastAsia="zh-CN"/>
        </w:rPr>
      </w:pPr>
      <w:bookmarkStart w:id="63" w:name="_Toc21888"/>
      <w:bookmarkStart w:id="64" w:name="_Toc17238"/>
      <w:bookmarkStart w:id="65" w:name="_Toc25493"/>
      <w:bookmarkStart w:id="66" w:name="_Toc13669"/>
      <w:r>
        <w:rPr>
          <w:rFonts w:hint="eastAsia" w:ascii="黑体" w:hAnsi="黑体" w:eastAsia="黑体" w:cs="黑体"/>
          <w:bCs/>
          <w:color w:val="auto"/>
          <w:sz w:val="32"/>
          <w:szCs w:val="32"/>
          <w:highlight w:val="none"/>
          <w:lang w:val="en-US" w:eastAsia="zh-CN"/>
        </w:rPr>
        <w:t>表7-1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eastAsia="zh-CN"/>
        </w:rPr>
        <w:t>专家评审</w:t>
      </w:r>
      <w:r>
        <w:rPr>
          <w:rFonts w:hint="eastAsia" w:ascii="方正小标宋简体" w:hAnsi="方正小标宋简体" w:eastAsia="方正小标宋简体" w:cs="方正小标宋简体"/>
          <w:bCs/>
          <w:color w:val="auto"/>
          <w:sz w:val="44"/>
          <w:szCs w:val="44"/>
          <w:highlight w:val="none"/>
        </w:rPr>
        <w:t>核查表</w:t>
      </w:r>
      <w:r>
        <w:rPr>
          <w:rFonts w:hint="eastAsia" w:ascii="方正小标宋简体" w:hAnsi="方正小标宋简体" w:eastAsia="方正小标宋简体" w:cs="方正小标宋简体"/>
          <w:bCs/>
          <w:color w:val="auto"/>
          <w:sz w:val="44"/>
          <w:szCs w:val="44"/>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《检测和校准实验室能力的通用要求》</w:t>
      </w:r>
    </w:p>
    <w:bookmarkEnd w:id="63"/>
    <w:bookmarkEnd w:id="64"/>
    <w:bookmarkEnd w:id="65"/>
    <w:bookmarkEnd w:id="66"/>
    <w:p>
      <w:pPr>
        <w:tabs>
          <w:tab w:val="left" w:leader="underscore" w:pos="3780"/>
          <w:tab w:val="left" w:leader="underscore" w:pos="4200"/>
          <w:tab w:val="left" w:leader="underscore" w:pos="5880"/>
          <w:tab w:val="left" w:leader="underscore" w:pos="6720"/>
          <w:tab w:val="left" w:leader="underscore" w:pos="8820"/>
        </w:tabs>
        <w:ind w:left="-210" w:leftChars="-100"/>
        <w:rPr>
          <w:rFonts w:hint="eastAsia" w:ascii="宋体" w:hAnsi="宋体" w:cs="宋体"/>
          <w:color w:val="auto"/>
          <w:sz w:val="18"/>
          <w:szCs w:val="18"/>
          <w:highlight w:val="none"/>
          <w:lang w:val="en-US" w:eastAsia="zh-CN"/>
        </w:rPr>
      </w:pPr>
      <w:bookmarkStart w:id="67" w:name="_Toc441570200"/>
      <w:bookmarkStart w:id="68" w:name="_Toc440615729"/>
      <w:bookmarkStart w:id="69" w:name="_Toc440462428"/>
    </w:p>
    <w:p>
      <w:pPr>
        <w:tabs>
          <w:tab w:val="left" w:leader="underscore" w:pos="3780"/>
          <w:tab w:val="left" w:leader="underscore" w:pos="4200"/>
          <w:tab w:val="left" w:leader="underscore" w:pos="5880"/>
          <w:tab w:val="left" w:leader="underscore" w:pos="6720"/>
          <w:tab w:val="left" w:leader="underscore" w:pos="8820"/>
        </w:tabs>
        <w:ind w:left="-210" w:leftChars="-100"/>
        <w:rPr>
          <w:rFonts w:ascii="宋体" w:hAnsi="宋体" w:cs="宋体"/>
          <w:bCs/>
          <w:color w:val="auto"/>
          <w:sz w:val="18"/>
          <w:szCs w:val="18"/>
          <w:highlight w:val="none"/>
        </w:rPr>
      </w:pPr>
      <w:r>
        <w:rPr>
          <w:rFonts w:hint="eastAsia" w:ascii="宋体" w:hAnsi="宋体" w:cs="宋体"/>
          <w:color w:val="auto"/>
          <w:sz w:val="18"/>
          <w:szCs w:val="18"/>
          <w:highlight w:val="none"/>
          <w:lang w:val="en-US" w:eastAsia="zh-CN"/>
        </w:rPr>
        <w:t>检测</w:t>
      </w:r>
      <w:r>
        <w:rPr>
          <w:rFonts w:hint="eastAsia" w:ascii="宋体" w:hAnsi="宋体" w:cs="宋体"/>
          <w:color w:val="auto"/>
          <w:sz w:val="18"/>
          <w:szCs w:val="18"/>
          <w:highlight w:val="none"/>
        </w:rPr>
        <w:t>机构名称：</w:t>
      </w:r>
      <w:r>
        <w:rPr>
          <w:rFonts w:hint="eastAsia"/>
          <w:sz w:val="24"/>
          <w:szCs w:val="24"/>
          <w:highlight w:val="none"/>
          <w:u w:val="single"/>
        </w:rPr>
        <w:t>　　　　　　　　　　　　　　　　　　　　　　　</w:t>
      </w:r>
      <w:r>
        <w:rPr>
          <w:rFonts w:ascii="宋体" w:hAnsi="宋体" w:cs="宋体"/>
          <w:color w:val="auto"/>
          <w:sz w:val="18"/>
          <w:szCs w:val="18"/>
          <w:highlight w:val="none"/>
        </w:rPr>
        <w:t xml:space="preserve"> </w:t>
      </w:r>
    </w:p>
    <w:p>
      <w:pPr>
        <w:tabs>
          <w:tab w:val="left" w:leader="underscore" w:pos="9660"/>
          <w:tab w:val="left" w:leader="underscore" w:pos="13860"/>
          <w:tab w:val="left" w:pos="14280"/>
          <w:tab w:val="left" w:pos="14490"/>
        </w:tabs>
        <w:ind w:left="-210" w:leftChars="-100"/>
        <w:jc w:val="left"/>
        <w:rPr>
          <w:rFonts w:hint="eastAsia"/>
          <w:highlight w:val="none"/>
        </w:rPr>
      </w:pPr>
      <w:r>
        <w:rPr>
          <w:rFonts w:hint="eastAsia" w:ascii="宋体" w:hAnsi="宋体" w:cs="宋体"/>
          <w:color w:val="auto"/>
          <w:sz w:val="18"/>
          <w:szCs w:val="18"/>
          <w:highlight w:val="none"/>
        </w:rPr>
        <w:t>检测场所地址</w:t>
      </w: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rPr>
        <w:t>：</w:t>
      </w:r>
      <w:r>
        <w:rPr>
          <w:rFonts w:hint="eastAsia"/>
          <w:sz w:val="24"/>
          <w:szCs w:val="24"/>
          <w:highlight w:val="none"/>
          <w:u w:val="single"/>
        </w:rPr>
        <w:t>　　　　　　　　　　　　　　　　　　　　　　</w:t>
      </w:r>
    </w:p>
    <w:bookmarkEnd w:id="67"/>
    <w:bookmarkEnd w:id="68"/>
    <w:bookmarkEnd w:id="69"/>
    <w:tbl>
      <w:tblPr>
        <w:tblStyle w:val="14"/>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053"/>
        <w:gridCol w:w="427"/>
        <w:gridCol w:w="427"/>
        <w:gridCol w:w="41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jc w:val="center"/>
        </w:trPr>
        <w:tc>
          <w:tcPr>
            <w:tcW w:w="975" w:type="dxa"/>
            <w:vMerge w:val="restart"/>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b/>
                <w:sz w:val="21"/>
                <w:szCs w:val="21"/>
                <w:highlight w:val="none"/>
                <w:lang w:eastAsia="zh-CN"/>
              </w:rPr>
              <w:t>条款号</w:t>
            </w:r>
          </w:p>
        </w:tc>
        <w:tc>
          <w:tcPr>
            <w:tcW w:w="5053" w:type="dxa"/>
            <w:vMerge w:val="restart"/>
            <w:vAlign w:val="center"/>
          </w:tcPr>
          <w:p>
            <w:pPr>
              <w:adjustRightInd w:val="0"/>
              <w:snapToGrid w:val="0"/>
              <w:jc w:val="center"/>
              <w:rPr>
                <w:rFonts w:ascii="宋体" w:hAnsi="宋体" w:cs="宋体"/>
                <w:b/>
                <w:sz w:val="21"/>
                <w:szCs w:val="21"/>
                <w:highlight w:val="none"/>
              </w:rPr>
            </w:pPr>
            <w:r>
              <w:rPr>
                <w:rFonts w:hint="eastAsia" w:ascii="宋体" w:hAnsi="宋体" w:cs="宋体"/>
                <w:b/>
                <w:sz w:val="21"/>
                <w:szCs w:val="21"/>
                <w:highlight w:val="none"/>
              </w:rPr>
              <w:t>评审内容</w:t>
            </w:r>
          </w:p>
        </w:tc>
        <w:tc>
          <w:tcPr>
            <w:tcW w:w="1267" w:type="dxa"/>
            <w:gridSpan w:val="3"/>
            <w:vAlign w:val="center"/>
          </w:tcPr>
          <w:p>
            <w:pPr>
              <w:adjustRightInd w:val="0"/>
              <w:snapToGrid w:val="0"/>
              <w:spacing w:line="260" w:lineRule="exact"/>
              <w:jc w:val="center"/>
              <w:rPr>
                <w:rFonts w:ascii="宋体" w:hAnsi="宋体" w:cs="宋体"/>
                <w:b/>
                <w:sz w:val="21"/>
                <w:szCs w:val="21"/>
                <w:highlight w:val="none"/>
              </w:rPr>
            </w:pPr>
            <w:r>
              <w:rPr>
                <w:rFonts w:hint="eastAsia" w:ascii="宋体" w:hAnsi="宋体" w:cs="宋体"/>
                <w:b/>
                <w:sz w:val="21"/>
                <w:szCs w:val="21"/>
                <w:highlight w:val="none"/>
              </w:rPr>
              <w:t>评审结果</w:t>
            </w:r>
          </w:p>
        </w:tc>
        <w:tc>
          <w:tcPr>
            <w:tcW w:w="1973" w:type="dxa"/>
            <w:vMerge w:val="restart"/>
            <w:vAlign w:val="center"/>
          </w:tcPr>
          <w:p>
            <w:pPr>
              <w:adjustRightInd w:val="0"/>
              <w:snapToGrid w:val="0"/>
              <w:spacing w:line="260" w:lineRule="exact"/>
              <w:jc w:val="center"/>
              <w:rPr>
                <w:rFonts w:ascii="宋体" w:hAnsi="宋体" w:cs="宋体"/>
                <w:b/>
                <w:sz w:val="21"/>
                <w:szCs w:val="21"/>
                <w:highlight w:val="none"/>
              </w:rPr>
            </w:pPr>
            <w:r>
              <w:rPr>
                <w:rFonts w:hint="eastAsia" w:ascii="宋体" w:hAnsi="宋体" w:cs="宋体"/>
                <w:b/>
                <w:sz w:val="21"/>
                <w:szCs w:val="21"/>
                <w:highlight w:val="none"/>
              </w:rPr>
              <w:t>缺陷问题及说明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vMerge w:val="continue"/>
            <w:vAlign w:val="center"/>
          </w:tcPr>
          <w:p>
            <w:pPr>
              <w:widowControl/>
              <w:snapToGrid w:val="0"/>
              <w:jc w:val="left"/>
              <w:rPr>
                <w:rFonts w:ascii="宋体" w:hAnsi="宋体" w:cs="宋体"/>
                <w:sz w:val="21"/>
                <w:szCs w:val="21"/>
                <w:highlight w:val="none"/>
              </w:rPr>
            </w:pPr>
          </w:p>
        </w:tc>
        <w:tc>
          <w:tcPr>
            <w:tcW w:w="5053" w:type="dxa"/>
            <w:vMerge w:val="continue"/>
            <w:vAlign w:val="center"/>
          </w:tcPr>
          <w:p>
            <w:pPr>
              <w:widowControl/>
              <w:snapToGrid w:val="0"/>
              <w:jc w:val="left"/>
              <w:rPr>
                <w:rFonts w:ascii="宋体" w:hAnsi="宋体" w:cs="宋体"/>
                <w:sz w:val="21"/>
                <w:szCs w:val="21"/>
                <w:highlight w:val="none"/>
              </w:rPr>
            </w:pPr>
          </w:p>
        </w:tc>
        <w:tc>
          <w:tcPr>
            <w:tcW w:w="427" w:type="dxa"/>
            <w:vAlign w:val="center"/>
          </w:tcPr>
          <w:p>
            <w:pPr>
              <w:adjustRightInd w:val="0"/>
              <w:snapToGrid w:val="0"/>
              <w:spacing w:line="260" w:lineRule="exact"/>
              <w:jc w:val="left"/>
              <w:rPr>
                <w:rFonts w:ascii="宋体" w:hAnsi="宋体" w:cs="宋体"/>
                <w:b/>
                <w:sz w:val="21"/>
                <w:szCs w:val="21"/>
                <w:highlight w:val="none"/>
              </w:rPr>
            </w:pPr>
            <w:r>
              <w:rPr>
                <w:rFonts w:hint="eastAsia" w:ascii="宋体" w:hAnsi="宋体" w:cs="宋体"/>
                <w:b/>
                <w:sz w:val="21"/>
                <w:szCs w:val="21"/>
                <w:highlight w:val="none"/>
              </w:rPr>
              <w:t>符</w:t>
            </w:r>
          </w:p>
          <w:p>
            <w:pPr>
              <w:adjustRightInd w:val="0"/>
              <w:snapToGrid w:val="0"/>
              <w:spacing w:line="260" w:lineRule="exact"/>
              <w:jc w:val="left"/>
              <w:rPr>
                <w:rFonts w:ascii="宋体" w:hAnsi="宋体" w:cs="宋体"/>
                <w:b/>
                <w:sz w:val="21"/>
                <w:szCs w:val="21"/>
                <w:highlight w:val="none"/>
              </w:rPr>
            </w:pPr>
          </w:p>
          <w:p>
            <w:pPr>
              <w:adjustRightInd w:val="0"/>
              <w:snapToGrid w:val="0"/>
              <w:spacing w:line="260" w:lineRule="exact"/>
              <w:jc w:val="left"/>
              <w:rPr>
                <w:rFonts w:ascii="宋体" w:hAnsi="宋体" w:cs="宋体"/>
                <w:b/>
                <w:sz w:val="21"/>
                <w:szCs w:val="21"/>
                <w:highlight w:val="none"/>
              </w:rPr>
            </w:pPr>
            <w:r>
              <w:rPr>
                <w:rFonts w:hint="eastAsia" w:ascii="宋体" w:hAnsi="宋体" w:cs="宋体"/>
                <w:b/>
                <w:sz w:val="21"/>
                <w:szCs w:val="21"/>
                <w:highlight w:val="none"/>
              </w:rPr>
              <w:t>合</w:t>
            </w:r>
          </w:p>
        </w:tc>
        <w:tc>
          <w:tcPr>
            <w:tcW w:w="427" w:type="dxa"/>
            <w:vAlign w:val="center"/>
          </w:tcPr>
          <w:p>
            <w:pPr>
              <w:adjustRightInd w:val="0"/>
              <w:snapToGrid w:val="0"/>
              <w:spacing w:line="260" w:lineRule="exact"/>
              <w:jc w:val="left"/>
              <w:rPr>
                <w:rFonts w:ascii="宋体" w:hAnsi="宋体" w:cs="宋体"/>
                <w:b/>
                <w:sz w:val="21"/>
                <w:szCs w:val="21"/>
                <w:highlight w:val="none"/>
              </w:rPr>
            </w:pPr>
            <w:r>
              <w:rPr>
                <w:rFonts w:hint="eastAsia" w:ascii="宋体" w:hAnsi="宋体" w:cs="宋体"/>
                <w:b/>
                <w:sz w:val="21"/>
                <w:szCs w:val="21"/>
                <w:highlight w:val="none"/>
              </w:rPr>
              <w:t>不</w:t>
            </w:r>
          </w:p>
          <w:p>
            <w:pPr>
              <w:adjustRightInd w:val="0"/>
              <w:snapToGrid w:val="0"/>
              <w:spacing w:line="260" w:lineRule="exact"/>
              <w:jc w:val="left"/>
              <w:rPr>
                <w:rFonts w:ascii="宋体" w:hAnsi="宋体" w:cs="宋体"/>
                <w:b/>
                <w:sz w:val="21"/>
                <w:szCs w:val="21"/>
                <w:highlight w:val="none"/>
              </w:rPr>
            </w:pPr>
            <w:r>
              <w:rPr>
                <w:rFonts w:hint="eastAsia" w:ascii="宋体" w:hAnsi="宋体" w:cs="宋体"/>
                <w:b/>
                <w:sz w:val="21"/>
                <w:szCs w:val="21"/>
                <w:highlight w:val="none"/>
              </w:rPr>
              <w:t>符</w:t>
            </w:r>
          </w:p>
          <w:p>
            <w:pPr>
              <w:adjustRightInd w:val="0"/>
              <w:snapToGrid w:val="0"/>
              <w:spacing w:line="260" w:lineRule="exact"/>
              <w:jc w:val="left"/>
              <w:rPr>
                <w:rFonts w:ascii="宋体" w:hAnsi="宋体" w:cs="宋体"/>
                <w:b/>
                <w:sz w:val="21"/>
                <w:szCs w:val="21"/>
                <w:highlight w:val="none"/>
              </w:rPr>
            </w:pPr>
            <w:r>
              <w:rPr>
                <w:rFonts w:hint="eastAsia" w:ascii="宋体" w:hAnsi="宋体" w:cs="宋体"/>
                <w:b/>
                <w:sz w:val="21"/>
                <w:szCs w:val="21"/>
                <w:highlight w:val="none"/>
              </w:rPr>
              <w:t>合</w:t>
            </w:r>
          </w:p>
        </w:tc>
        <w:tc>
          <w:tcPr>
            <w:tcW w:w="413" w:type="dxa"/>
            <w:vAlign w:val="center"/>
          </w:tcPr>
          <w:p>
            <w:pPr>
              <w:adjustRightInd w:val="0"/>
              <w:snapToGrid w:val="0"/>
              <w:spacing w:line="260" w:lineRule="exact"/>
              <w:jc w:val="left"/>
              <w:rPr>
                <w:rFonts w:hint="eastAsia" w:ascii="宋体" w:hAnsi="宋体" w:eastAsia="宋体" w:cs="宋体"/>
                <w:b/>
                <w:sz w:val="21"/>
                <w:szCs w:val="21"/>
                <w:highlight w:val="none"/>
                <w:vertAlign w:val="superscript"/>
                <w:lang w:eastAsia="zh-CN"/>
              </w:rPr>
            </w:pPr>
            <w:r>
              <w:rPr>
                <w:rFonts w:hint="eastAsia" w:ascii="宋体" w:hAnsi="宋体" w:cs="宋体"/>
                <w:b/>
                <w:sz w:val="21"/>
                <w:szCs w:val="21"/>
                <w:highlight w:val="none"/>
                <w:lang w:eastAsia="zh-CN"/>
              </w:rPr>
              <w:t>不适用</w:t>
            </w:r>
          </w:p>
        </w:tc>
        <w:tc>
          <w:tcPr>
            <w:tcW w:w="1973" w:type="dxa"/>
            <w:vMerge w:val="continue"/>
            <w:vAlign w:val="center"/>
          </w:tcPr>
          <w:p>
            <w:pPr>
              <w:adjustRightInd w:val="0"/>
              <w:snapToGrid w:val="0"/>
              <w:spacing w:line="2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rPr>
              <w:t>核查表填写要求：</w:t>
            </w:r>
          </w:p>
          <w:p>
            <w:pPr>
              <w:numPr>
                <w:ilvl w:val="255"/>
                <w:numId w:val="0"/>
              </w:numPr>
              <w:adjustRightInd w:val="0"/>
              <w:snapToGrid w:val="0"/>
              <w:jc w:val="left"/>
              <w:rPr>
                <w:rFonts w:ascii="宋体" w:hAnsi="宋体" w:cs="宋体"/>
                <w:sz w:val="21"/>
                <w:szCs w:val="21"/>
                <w:highlight w:val="none"/>
              </w:rPr>
            </w:pPr>
            <w:r>
              <w:rPr>
                <w:rFonts w:hint="eastAsia" w:ascii="宋体" w:hAnsi="宋体" w:cs="宋体"/>
                <w:sz w:val="21"/>
                <w:szCs w:val="21"/>
                <w:highlight w:val="none"/>
              </w:rPr>
              <w:t>① 在评审结果相应的判定栏内划“√”。</w:t>
            </w:r>
          </w:p>
          <w:p>
            <w:pPr>
              <w:numPr>
                <w:ilvl w:val="255"/>
                <w:numId w:val="0"/>
              </w:numPr>
              <w:adjustRightInd w:val="0"/>
              <w:snapToGrid w:val="0"/>
              <w:jc w:val="left"/>
              <w:rPr>
                <w:rFonts w:ascii="宋体" w:hAnsi="宋体" w:cs="宋体"/>
                <w:sz w:val="21"/>
                <w:szCs w:val="21"/>
                <w:highlight w:val="none"/>
              </w:rPr>
            </w:pPr>
            <w:r>
              <w:rPr>
                <w:rFonts w:hint="eastAsia" w:ascii="宋体" w:hAnsi="宋体" w:cs="宋体"/>
                <w:sz w:val="21"/>
                <w:szCs w:val="21"/>
                <w:highlight w:val="none"/>
              </w:rPr>
              <w:t>② “说明”应对不符合和不适用的具体事实予以说明。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268" w:type="dxa"/>
            <w:gridSpan w:val="6"/>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w:t>
            </w:r>
            <w:r>
              <w:rPr>
                <w:rFonts w:ascii="宋体" w:hAnsi="宋体" w:cs="宋体"/>
                <w:sz w:val="21"/>
                <w:szCs w:val="21"/>
                <w:highlight w:val="none"/>
                <w:shd w:val="clear" w:color="auto" w:fill="FFFFFF"/>
              </w:rPr>
              <w:t xml:space="preserve"> </w:t>
            </w:r>
            <w:r>
              <w:rPr>
                <w:rFonts w:hint="eastAsia" w:ascii="宋体" w:hAnsi="宋体" w:cs="宋体"/>
                <w:sz w:val="21"/>
                <w:szCs w:val="21"/>
                <w:highlight w:val="none"/>
                <w:shd w:val="clear" w:color="auto" w:fill="FFFFFF"/>
              </w:rPr>
              <w:t>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4.1公正性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4.1.1</w:t>
            </w:r>
          </w:p>
        </w:tc>
        <w:tc>
          <w:tcPr>
            <w:tcW w:w="5053" w:type="dxa"/>
            <w:vAlign w:val="center"/>
          </w:tcPr>
          <w:p>
            <w:pPr>
              <w:adjustRightInd w:val="0"/>
              <w:snapToGrid w:val="0"/>
              <w:jc w:val="left"/>
              <w:rPr>
                <w:rFonts w:ascii="宋体" w:hAnsi="宋体" w:cs="宋体"/>
                <w:spacing w:val="20"/>
                <w:sz w:val="21"/>
                <w:szCs w:val="21"/>
                <w:highlight w:val="none"/>
              </w:rPr>
            </w:pPr>
            <w:r>
              <w:rPr>
                <w:rFonts w:hint="eastAsia" w:ascii="宋体" w:hAnsi="宋体" w:cs="宋体"/>
                <w:sz w:val="21"/>
                <w:szCs w:val="21"/>
                <w:highlight w:val="none"/>
                <w:shd w:val="clear" w:color="auto" w:fill="FFFFFF"/>
              </w:rPr>
              <w:t>实验室应公正地实施实验室活动，并从组织结构和管理上保证公正性。</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adjustRightInd w:val="0"/>
              <w:snapToGrid w:val="0"/>
              <w:spacing w:line="360" w:lineRule="exact"/>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4.1.2</w:t>
            </w:r>
          </w:p>
        </w:tc>
        <w:tc>
          <w:tcPr>
            <w:tcW w:w="5053" w:type="dxa"/>
            <w:vAlign w:val="center"/>
          </w:tcPr>
          <w:p>
            <w:pPr>
              <w:adjustRightInd w:val="0"/>
              <w:snapToGrid w:val="0"/>
              <w:jc w:val="left"/>
              <w:rPr>
                <w:rFonts w:ascii="宋体" w:hAnsi="宋体" w:cs="宋体"/>
                <w:spacing w:val="20"/>
                <w:sz w:val="21"/>
                <w:szCs w:val="21"/>
                <w:highlight w:val="none"/>
                <w:lang w:val="sq-AL"/>
              </w:rPr>
            </w:pPr>
            <w:r>
              <w:rPr>
                <w:rFonts w:hint="eastAsia" w:ascii="宋体" w:hAnsi="宋体" w:cs="宋体"/>
                <w:sz w:val="21"/>
                <w:szCs w:val="21"/>
                <w:highlight w:val="none"/>
                <w:shd w:val="clear" w:color="auto" w:fill="FFFFFF"/>
              </w:rPr>
              <w:t>实验室管理层应作出公正性承诺。</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adjustRightInd w:val="0"/>
              <w:snapToGrid w:val="0"/>
              <w:spacing w:line="360" w:lineRule="exact"/>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4.1.3</w:t>
            </w:r>
          </w:p>
        </w:tc>
        <w:tc>
          <w:tcPr>
            <w:tcW w:w="5053" w:type="dxa"/>
            <w:vAlign w:val="center"/>
          </w:tcPr>
          <w:p>
            <w:pPr>
              <w:adjustRightInd w:val="0"/>
              <w:snapToGrid w:val="0"/>
              <w:jc w:val="left"/>
              <w:rPr>
                <w:rFonts w:ascii="宋体" w:hAnsi="宋体" w:cs="宋体"/>
                <w:sz w:val="21"/>
                <w:szCs w:val="21"/>
                <w:highlight w:val="none"/>
                <w:lang w:val="sq-AL"/>
              </w:rPr>
            </w:pPr>
            <w:r>
              <w:rPr>
                <w:rFonts w:hint="eastAsia" w:ascii="宋体" w:hAnsi="宋体" w:cs="宋体"/>
                <w:sz w:val="21"/>
                <w:szCs w:val="21"/>
                <w:highlight w:val="none"/>
                <w:shd w:val="clear" w:color="auto" w:fill="FFFFFF"/>
              </w:rPr>
              <w:t>实验室应对实验室活动的公正性负责，不允许商业、财务或其他方面的压力损害公正性。</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adjustRightInd w:val="0"/>
              <w:snapToGrid w:val="0"/>
              <w:spacing w:line="360" w:lineRule="exact"/>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4.1.4</w:t>
            </w:r>
          </w:p>
        </w:tc>
        <w:tc>
          <w:tcPr>
            <w:tcW w:w="5053" w:type="dxa"/>
            <w:vAlign w:val="center"/>
          </w:tcPr>
          <w:p>
            <w:pPr>
              <w:adjustRightInd w:val="0"/>
              <w:snapToGrid w:val="0"/>
              <w:jc w:val="left"/>
              <w:rPr>
                <w:rFonts w:ascii="宋体" w:hAnsi="宋体" w:cs="宋体"/>
                <w:bCs/>
                <w:sz w:val="21"/>
                <w:szCs w:val="21"/>
                <w:highlight w:val="none"/>
                <w:lang w:val="sq-AL"/>
              </w:rPr>
            </w:pPr>
            <w:r>
              <w:rPr>
                <w:rFonts w:hint="eastAsia" w:ascii="宋体" w:hAnsi="宋体" w:cs="宋体"/>
                <w:sz w:val="21"/>
                <w:szCs w:val="21"/>
                <w:highlight w:val="none"/>
                <w:shd w:val="clear" w:color="auto" w:fill="FFFFFF"/>
              </w:rPr>
              <w:t>实验室应持续识别影响公正性的风险。这些风险应包括实验室活动、实验室的各种关系，或者 实验室人员的关系而引发的风险。然而，这些关系并非一定会对实验室的公正性产生风险。</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adjustRightInd w:val="0"/>
              <w:snapToGrid w:val="0"/>
              <w:spacing w:line="360" w:lineRule="exact"/>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4.1.5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如果识别出公正性风险，实验室应能够证明如何消除或最大限度降低这种风险。</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adjustRightInd w:val="0"/>
              <w:snapToGrid w:val="0"/>
              <w:spacing w:line="360" w:lineRule="exact"/>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268" w:type="dxa"/>
            <w:gridSpan w:val="6"/>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4.2保密性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4.2.1</w:t>
            </w:r>
          </w:p>
        </w:tc>
        <w:tc>
          <w:tcPr>
            <w:tcW w:w="5053" w:type="dxa"/>
          </w:tcPr>
          <w:p>
            <w:pPr>
              <w:widowControl/>
              <w:snapToGrid w:val="0"/>
              <w:jc w:val="left"/>
              <w:rPr>
                <w:rFonts w:ascii="宋体" w:hAnsi="宋体" w:cs="宋体"/>
                <w:kern w:val="0"/>
                <w:sz w:val="21"/>
                <w:szCs w:val="21"/>
                <w:highlight w:val="none"/>
                <w:shd w:val="clear" w:color="auto" w:fill="FFFFFF"/>
              </w:rPr>
            </w:pPr>
            <w:r>
              <w:rPr>
                <w:rFonts w:hint="eastAsia" w:ascii="宋体" w:hAnsi="宋体" w:cs="宋体"/>
                <w:sz w:val="21"/>
                <w:szCs w:val="21"/>
                <w:highlight w:val="none"/>
                <w:shd w:val="clear" w:color="auto" w:fill="FFFFFF"/>
              </w:rPr>
              <w:t>实验室应通过作出具有法律效力的承诺，对在实验室活动中获得或产生的所有信息承担管理责 任。实验室应将其准备公开的信息事先通知客户。除了客户公开的信息，或当实验室与客户有约定时 (例如为回应投诉的目的),其他所有信息都被视为专有信息，应予以保密。</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4.2.2</w:t>
            </w:r>
          </w:p>
        </w:tc>
        <w:tc>
          <w:tcPr>
            <w:tcW w:w="5053" w:type="dxa"/>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实验室依据法律要求或合同授权透露保密信息时，应将所提供的信息通知到相关客户或个人， 除非法律禁止。</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4.2.3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实验室对于从客户以外的渠道(如投诉人、监管机构)所获取的有关客户的信息，应在客户和实 验室间保密。除非信息的提供方同意，实验室应为信息提供方(来源)保密，且不应告知客户。</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4.2.4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人员，包括委员会委员、签约人员、外部机构人员或代表实验室的个人，应对在实施实验室活动 过程中获得或产生的所有信息保密，法律要求除外。</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268" w:type="dxa"/>
            <w:gridSpan w:val="6"/>
            <w:vAlign w:val="center"/>
          </w:tcPr>
          <w:p>
            <w:pPr>
              <w:adjustRightInd w:val="0"/>
              <w:snapToGrid w:val="0"/>
              <w:jc w:val="left"/>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 xml:space="preserve">5 </w:t>
            </w:r>
            <w:r>
              <w:rPr>
                <w:rFonts w:hint="eastAsia" w:ascii="宋体" w:hAnsi="宋体" w:cs="宋体"/>
                <w:sz w:val="21"/>
                <w:szCs w:val="21"/>
                <w:highlight w:val="none"/>
                <w:shd w:val="clear" w:color="auto" w:fill="FFFFFF"/>
              </w:rPr>
              <w:t>结构要求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5</w:t>
            </w:r>
            <w:r>
              <w:rPr>
                <w:rFonts w:hint="eastAsia" w:ascii="宋体" w:hAnsi="宋体" w:cs="宋体"/>
                <w:sz w:val="21"/>
                <w:szCs w:val="21"/>
                <w:highlight w:val="none"/>
                <w:shd w:val="clear" w:color="auto" w:fill="FFFFFF"/>
              </w:rPr>
              <w:t>.1</w:t>
            </w:r>
          </w:p>
        </w:tc>
        <w:tc>
          <w:tcPr>
            <w:tcW w:w="5053" w:type="dxa"/>
            <w:vAlign w:val="center"/>
          </w:tcPr>
          <w:p>
            <w:pPr>
              <w:widowControl/>
              <w:snapToGrid w:val="0"/>
              <w:jc w:val="left"/>
              <w:rPr>
                <w:rFonts w:ascii="宋体" w:hAnsi="宋体" w:cs="宋体"/>
                <w:bCs/>
                <w:kern w:val="0"/>
                <w:sz w:val="21"/>
                <w:szCs w:val="21"/>
                <w:highlight w:val="none"/>
                <w:lang w:val="sq-AL"/>
              </w:rPr>
            </w:pPr>
            <w:r>
              <w:rPr>
                <w:rFonts w:hint="eastAsia" w:ascii="宋体" w:hAnsi="宋体" w:cs="宋体"/>
                <w:sz w:val="21"/>
                <w:szCs w:val="21"/>
                <w:highlight w:val="none"/>
                <w:shd w:val="clear" w:color="auto" w:fill="FFFFFF"/>
              </w:rPr>
              <w:t>实验室应为法律实体，或法律实体中被明确界定的一部分，该实体对实验室活动承担法律责任。</w:t>
            </w:r>
          </w:p>
        </w:tc>
        <w:tc>
          <w:tcPr>
            <w:tcW w:w="427" w:type="dxa"/>
            <w:vAlign w:val="center"/>
          </w:tcPr>
          <w:p>
            <w:pPr>
              <w:adjustRightInd w:val="0"/>
              <w:snapToGrid w:val="0"/>
              <w:spacing w:line="360" w:lineRule="exact"/>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5</w:t>
            </w:r>
            <w:r>
              <w:rPr>
                <w:rFonts w:hint="eastAsia" w:ascii="宋体" w:hAnsi="宋体" w:cs="宋体"/>
                <w:sz w:val="21"/>
                <w:szCs w:val="21"/>
                <w:highlight w:val="none"/>
                <w:shd w:val="clear" w:color="auto" w:fill="FFFFFF"/>
              </w:rPr>
              <w:t>.2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实验室应确定对实验室全权负责的管理层。</w:t>
            </w:r>
          </w:p>
        </w:tc>
        <w:tc>
          <w:tcPr>
            <w:tcW w:w="427" w:type="dxa"/>
            <w:vAlign w:val="center"/>
          </w:tcPr>
          <w:p>
            <w:pPr>
              <w:jc w:val="center"/>
              <w:rPr>
                <w:rFonts w:ascii="宋体" w:hAnsi="宋体" w:cs="宋体"/>
                <w:sz w:val="24"/>
                <w:szCs w:val="24"/>
                <w:highlight w:val="none"/>
              </w:rPr>
            </w:pPr>
          </w:p>
        </w:tc>
        <w:tc>
          <w:tcPr>
            <w:tcW w:w="427" w:type="dxa"/>
            <w:vAlign w:val="center"/>
          </w:tcPr>
          <w:p>
            <w:pPr>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5</w:t>
            </w:r>
            <w:r>
              <w:rPr>
                <w:rFonts w:hint="eastAsia" w:ascii="宋体" w:hAnsi="宋体" w:cs="宋体"/>
                <w:sz w:val="21"/>
                <w:szCs w:val="21"/>
                <w:highlight w:val="none"/>
                <w:shd w:val="clear" w:color="auto" w:fill="FFFFFF"/>
              </w:rPr>
              <w:t>.3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实验室应确定符合本标准的实验室活动范围，并形成文件。实验室应仅声明符合本标准的实验室 活动范围，不应包括持续从外部获得的实验室活动。</w:t>
            </w:r>
          </w:p>
        </w:tc>
        <w:tc>
          <w:tcPr>
            <w:tcW w:w="427" w:type="dxa"/>
            <w:vAlign w:val="center"/>
          </w:tcPr>
          <w:p>
            <w:pPr>
              <w:adjustRightInd w:val="0"/>
              <w:snapToGrid w:val="0"/>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pacing w:line="24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5</w:t>
            </w:r>
            <w:r>
              <w:rPr>
                <w:rFonts w:hint="eastAsia" w:ascii="宋体" w:hAnsi="宋体" w:cs="宋体"/>
                <w:sz w:val="21"/>
                <w:szCs w:val="21"/>
                <w:highlight w:val="none"/>
                <w:shd w:val="clear" w:color="auto" w:fill="FFFFFF"/>
              </w:rPr>
              <w:t>.4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实验室应以满足本标准、实验室客户、法定管理机构和提供承认的组织的要求的方式开展实验室 活动，包括在固定设施、固定设施以外的场所、临时或移动设施、客户的设施中实施的实验室活动。</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16"/>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5.5</w:t>
            </w:r>
          </w:p>
        </w:tc>
        <w:tc>
          <w:tcPr>
            <w:tcW w:w="5053" w:type="dxa"/>
            <w:vAlign w:val="center"/>
          </w:tcPr>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实验室应：</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a)  确定实验室的组织和管理结构、其在母体组织中的位置，以及管理、技术运作和支持服务间的 关系；</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b) 规定对实验室活动结果有影响的所有管理、操作或验证人员的职责、权力和相互关系；</w:t>
            </w:r>
          </w:p>
          <w:p>
            <w:pPr>
              <w:widowControl/>
              <w:snapToGrid w:val="0"/>
              <w:jc w:val="left"/>
              <w:rPr>
                <w:rFonts w:ascii="宋体" w:hAnsi="宋体" w:cs="宋体"/>
                <w:sz w:val="21"/>
                <w:szCs w:val="21"/>
                <w:highlight w:val="none"/>
                <w:shd w:val="clear" w:color="auto" w:fill="FFFFFF"/>
              </w:rPr>
            </w:pPr>
            <w:r>
              <w:rPr>
                <w:rFonts w:hint="eastAsia" w:ascii="宋体" w:hAnsi="宋体" w:cs="宋体"/>
                <w:kern w:val="0"/>
                <w:sz w:val="21"/>
                <w:szCs w:val="21"/>
                <w:highlight w:val="none"/>
                <w:shd w:val="clear" w:color="auto" w:fill="FFFFFF"/>
              </w:rPr>
              <w:t>c)  将程序形成文件，其详略程度需确保实验室活动实施的一致性和结果有效性。</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5.6</w:t>
            </w:r>
          </w:p>
        </w:tc>
        <w:tc>
          <w:tcPr>
            <w:tcW w:w="5053" w:type="dxa"/>
            <w:vAlign w:val="center"/>
          </w:tcPr>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实验室应具有履行以下职责(无论其是否被赋予其他职责)的人员，并赋予其所需的权力和资源：</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a) 实施、保持和改进管理体系；</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b) 识别与管理体系或实验室活动程序的偏离；</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c) 采取措施以预防或最大限度减少这类偏离；</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d)  向实验室管理层报告管理体系运行状况和改进需求；</w:t>
            </w:r>
          </w:p>
          <w:p>
            <w:pPr>
              <w:widowControl/>
              <w:snapToGrid w:val="0"/>
              <w:jc w:val="left"/>
              <w:rPr>
                <w:rFonts w:ascii="宋体" w:hAnsi="宋体" w:cs="宋体"/>
                <w:sz w:val="21"/>
                <w:szCs w:val="21"/>
                <w:highlight w:val="none"/>
                <w:shd w:val="clear" w:color="auto" w:fill="FFFFFF"/>
              </w:rPr>
            </w:pPr>
            <w:r>
              <w:rPr>
                <w:rFonts w:hint="eastAsia" w:ascii="宋体" w:hAnsi="宋体" w:cs="宋体"/>
                <w:kern w:val="0"/>
                <w:sz w:val="21"/>
                <w:szCs w:val="21"/>
                <w:highlight w:val="none"/>
                <w:shd w:val="clear" w:color="auto" w:fill="FFFFFF"/>
              </w:rPr>
              <w:t>e) 确保实验室活动的有效性。</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5.7</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实验室管理层应确保：</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就管理体系的有效性、满足客户和其他要求的重要性进行沟通；</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当策划和实施管理体系变更时，保持管理体系的完整性。</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268" w:type="dxa"/>
            <w:gridSpan w:val="6"/>
            <w:vAlign w:val="center"/>
          </w:tcPr>
          <w:p>
            <w:pPr>
              <w:adjustRightInd w:val="0"/>
              <w:snapToGrid w:val="0"/>
              <w:spacing w:line="360" w:lineRule="exact"/>
              <w:jc w:val="left"/>
              <w:rPr>
                <w:rFonts w:ascii="宋体" w:hAnsi="宋体" w:cs="宋体"/>
                <w:sz w:val="21"/>
                <w:szCs w:val="21"/>
                <w:highlight w:val="none"/>
              </w:rPr>
            </w:pPr>
            <w:r>
              <w:rPr>
                <w:rFonts w:hint="eastAsia" w:ascii="宋体" w:hAnsi="宋体" w:cs="宋体"/>
                <w:sz w:val="21"/>
                <w:szCs w:val="21"/>
                <w:highlight w:val="none"/>
              </w:rPr>
              <w:t>6</w:t>
            </w:r>
            <w:r>
              <w:rPr>
                <w:rFonts w:ascii="宋体" w:hAnsi="宋体" w:cs="宋体"/>
                <w:sz w:val="21"/>
                <w:szCs w:val="21"/>
                <w:highlight w:val="none"/>
              </w:rPr>
              <w:t xml:space="preserve"> </w:t>
            </w:r>
            <w:r>
              <w:rPr>
                <w:rFonts w:hint="eastAsia" w:ascii="宋体" w:hAnsi="宋体" w:cs="宋体"/>
                <w:sz w:val="21"/>
                <w:szCs w:val="21"/>
                <w:highlight w:val="none"/>
              </w:rPr>
              <w:t>资源要求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总则</w:t>
            </w:r>
          </w:p>
          <w:p>
            <w:pPr>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实验室应获得管理和实施实验室活动所需的人员、设施、设备、系统及支持服务。</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.2</w:t>
            </w:r>
            <w:r>
              <w:rPr>
                <w:rFonts w:hint="eastAsia" w:ascii="宋体" w:hAnsi="宋体" w:cs="宋体"/>
                <w:sz w:val="21"/>
                <w:szCs w:val="21"/>
                <w:highlight w:val="none"/>
                <w:shd w:val="clear" w:color="auto" w:fill="FFFFFF"/>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6.2.1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所有可能影响实验室活动的人员，无论是内部人员还是外部人员，应行为公正、有能力并按照实 验室管理体系要求工作。</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6.2.2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实验室应将影响实验室活动结果的各职能的能力要求形成文件，包括对教育、资格、培训、技术 知识、技能和经验的要求。</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.2.3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实验室应确保人员具备开展其负责的实验室活动的能力，以及评估偏离影响程度的能力。</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.2.4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实验室管理层应向实验室人员传达其职责和权限。</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6.2.5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实验室应有以下活动的程序，并保存相关记录：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确定能力要求；</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人员选择；</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人员培训；</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人员监督；</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人员授权；</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人员能力监控。</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24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.2.6</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实验室应授权人员从事特定的实验室活动，包括但不限于下列活动：</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开发、修改、验证和确认方法；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分析结果，包括符合性声明或意见和解释；</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报告、审查和批准结果。</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tcPr>
          <w:p>
            <w:pPr>
              <w:adjustRightInd w:val="0"/>
              <w:snapToGrid w:val="0"/>
              <w:spacing w:line="360" w:lineRule="exact"/>
              <w:jc w:val="left"/>
              <w:rPr>
                <w:rFonts w:ascii="宋体" w:hAnsi="宋体" w:cs="宋体"/>
                <w:sz w:val="21"/>
                <w:szCs w:val="21"/>
                <w:highlight w:val="none"/>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 xml:space="preserve">.3 </w:t>
            </w:r>
            <w:r>
              <w:rPr>
                <w:rFonts w:hint="eastAsia" w:ascii="宋体" w:hAnsi="宋体" w:cs="宋体"/>
                <w:sz w:val="21"/>
                <w:szCs w:val="21"/>
                <w:highlight w:val="none"/>
                <w:shd w:val="clear" w:color="auto" w:fill="FFFFFF"/>
              </w:rPr>
              <w:t>设施和环境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.3.1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设施和环境条件应适合实验室活动，不应对结果有效性产生不利影响。</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.3.2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实验室应将从事实验室活动所必需的设施及环境条件的要求形成文件。</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.3.3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当相关规范、方法或程序对环境条件有要求时，或环境条件影响结果的有效性时，实验室应监 测、控制和记录环境条件。</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.3.4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实验室应实施、监控并定期评审控制设施的措施，这些措施应包括但不限于：</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进入和使用影响实验室活动的区域；</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预防对实验室活动的污染、干扰或不利影响；</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有效隔离不相容的实验室活动区域。</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.3.5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当实验室在永久控制之外的场所或设施中实施实验室活动时，应确保满足本标准中有关设施和 环境条件的要求。</w:t>
            </w:r>
          </w:p>
        </w:tc>
        <w:tc>
          <w:tcPr>
            <w:tcW w:w="427" w:type="dxa"/>
            <w:vAlign w:val="center"/>
          </w:tcPr>
          <w:p>
            <w:pPr>
              <w:jc w:val="center"/>
              <w:rPr>
                <w:rFonts w:ascii="宋体" w:hAnsi="宋体" w:cs="宋体"/>
                <w:sz w:val="24"/>
                <w:szCs w:val="24"/>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268" w:type="dxa"/>
            <w:gridSpan w:val="6"/>
            <w:vAlign w:val="center"/>
          </w:tcPr>
          <w:p>
            <w:pPr>
              <w:adjustRightInd w:val="0"/>
              <w:snapToGrid w:val="0"/>
              <w:jc w:val="left"/>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 xml:space="preserve">6.4 </w:t>
            </w:r>
            <w:r>
              <w:rPr>
                <w:rFonts w:hint="eastAsia" w:ascii="宋体" w:hAnsi="宋体" w:cs="宋体"/>
                <w:sz w:val="21"/>
                <w:szCs w:val="21"/>
                <w:highlight w:val="none"/>
                <w:shd w:val="clear" w:color="auto" w:fill="FFFFFF"/>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6.4</w:t>
            </w:r>
            <w:r>
              <w:rPr>
                <w:rFonts w:hint="eastAsia" w:ascii="宋体" w:hAnsi="宋体" w:cs="宋体"/>
                <w:sz w:val="21"/>
                <w:szCs w:val="21"/>
                <w:highlight w:val="none"/>
                <w:shd w:val="clear" w:color="auto" w:fill="FFFFFF"/>
              </w:rPr>
              <w:t>.1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实验室应获得正确开展实验室活动所需的并影响结果的设备，包括但不限于：测量仪器、软件、 测量标准、标准物质、参考数据、试剂、消耗品或辅助装置。</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6.4</w:t>
            </w:r>
            <w:r>
              <w:rPr>
                <w:rFonts w:hint="eastAsia" w:ascii="宋体" w:hAnsi="宋体" w:cs="宋体"/>
                <w:sz w:val="21"/>
                <w:szCs w:val="21"/>
                <w:highlight w:val="none"/>
                <w:shd w:val="clear" w:color="auto" w:fill="FFFFFF"/>
              </w:rPr>
              <w:t>.2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实验室使用永久控制以外的设备时，应确保满足本标准对设备的要求。</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6.4</w:t>
            </w:r>
            <w:r>
              <w:rPr>
                <w:rFonts w:hint="eastAsia" w:ascii="宋体" w:hAnsi="宋体" w:cs="宋体"/>
                <w:sz w:val="21"/>
                <w:szCs w:val="21"/>
                <w:highlight w:val="none"/>
                <w:shd w:val="clear" w:color="auto" w:fill="FFFFFF"/>
              </w:rPr>
              <w:t>.3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实验室应有处理、运输、储存、使用和按计划维护设备的程序，以确保其功能正常并防止污染或 性能退化。</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jc w:val="left"/>
              <w:rPr>
                <w:rFonts w:ascii="宋体" w:hAnsi="宋体" w:cs="宋体"/>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.4.4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当设备投入使用或重新投入使用前，实验室应验证其符合规定的要求。</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jc w:val="left"/>
              <w:rPr>
                <w:rFonts w:ascii="宋体" w:hAnsi="宋体" w:cs="宋体"/>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6.4.5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用于测量的设备应能达到所需的测量准确度和(或)测量不确定度，以提供有效结果。</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.4.6</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在下列情况下，测量设备应进行校准：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——当测量准确度或测量不确定度影响报告结果的有效性；和(或)</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——为建立报告结果的计量溯源性，要求对设备进行校准。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注：影响报告结果有效性的设备类型可包括：</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——用于直接测量被测量的设备，例如使用天平测量质量；</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——用于修正测量值的设备，例如温度测量；</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sz w:val="21"/>
                <w:szCs w:val="21"/>
                <w:highlight w:val="none"/>
                <w:shd w:val="clear" w:color="auto" w:fill="FFFFFF"/>
              </w:rPr>
              <w:t>——用于从多个量计算获得测量结果的设备。</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6.4.7</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实验室应制定校准方案，并应进行复核和必要的调整，以保持对校准状态的信心。</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.4.8</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kern w:val="0"/>
                <w:sz w:val="21"/>
                <w:szCs w:val="21"/>
                <w:highlight w:val="none"/>
                <w:shd w:val="clear" w:color="auto" w:fill="FFFFFF"/>
              </w:rPr>
              <w:t>所有需要校准或具有规定有效期的设备应使用标签、编码或其他方式予以标识，以使设备使用 者方便地识别校准状态或有效期。</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.4.9</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kern w:val="0"/>
                <w:sz w:val="21"/>
                <w:szCs w:val="21"/>
                <w:highlight w:val="none"/>
                <w:shd w:val="clear" w:color="auto" w:fill="FFFFFF"/>
              </w:rPr>
              <w:t>如果设备有过载或处置不当、给出可疑结果、已显示有缺陷或超出规定要求时，应停止使用。这 些设备应予以隔离以防误用，或加贴标签/标记以清晰表明该设备已停用，直至经过验证表明其能正常 工作。实验室应检查设备缺陷或偏离规定要求的影响，并应启动不符合工作管理程序(见7.10)。</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.4.10</w:t>
            </w:r>
          </w:p>
        </w:tc>
        <w:tc>
          <w:tcPr>
            <w:tcW w:w="5053" w:type="dxa"/>
            <w:vAlign w:val="center"/>
          </w:tcPr>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当需要利用期间核查以保持对设备性能的信心时，应按程序进行核查。</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.4.11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如果校准和标准物质数据中包含参考值或修正因子，实验室应确保该参考值和修正因子得到 适当的更新和应用，以满足规定的要求。</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6.4.12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实验室应有切实可行的措施，防止设备被意外调整而导致结果无效。</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6.4.13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实验室应保存对实验室活动有影响的设备记录。适用时，记录应包括以下内容：</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设备的识别，包括软件和固件版本；</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制造商名称、型号、序列号或其他唯一性标识；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设备符合规定要求的验证证据；</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当前的位置；</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校准日期、校准结果、设备调整、验收准则、下次校准的预定日期或校准周期；</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标准物质的文件、结果、验收准则、相关日期和有效期；</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g) 与设备性能相关的维护计划和已进行的维护；</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h) 设备的损坏、故障、改装或维修的详细信息。</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 xml:space="preserve">.5 </w:t>
            </w:r>
            <w:r>
              <w:rPr>
                <w:rFonts w:hint="eastAsia" w:ascii="宋体" w:hAnsi="宋体" w:cs="宋体"/>
                <w:sz w:val="21"/>
                <w:szCs w:val="21"/>
                <w:highlight w:val="none"/>
                <w:shd w:val="clear" w:color="auto" w:fill="FFFFFF"/>
              </w:rPr>
              <w:t>计量溯源性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6.5.1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实验室应通过形成文件的不间断的校准链，将测量结果与适当的参考对象相关联，建立并保持 测量结果的计量溯源性，每次校准均会引入测量不确定度。</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6.5.2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实验室应通过以下方式确保测量结果溯源到国际单位制(SD):</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具备能力的实验室提供的校准；或</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注1:满足本标准要求的实验室被视为具备能力。</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由具备能力的标准物质生产者提供并声明计量溯源至 SI的有证标准物质的标准值；或 注2:满足ISO17034要求的标准物质生产者被视为是有能力的。</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SI 单位的直接复现，并通过直接或间接与国家或国际标准比对来保证。 注3:SI手册给出了一些重要单位定义的实际复现的详细信息。</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6.5.3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技术上不可能计量溯源到 SI 单位时，实验室应证明可计量溯源至适当的参考对象，如：</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具备能力的标准物质生产者提供的有证标准物质的标准值；</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描述清晰的、满足预期用途并通过适当比对予以保证的参考测量程序、规定方法或协议标准的 结果。</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kern w:val="0"/>
                <w:sz w:val="16"/>
                <w:szCs w:val="21"/>
                <w:highlight w:val="none"/>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 xml:space="preserve">.6 </w:t>
            </w:r>
            <w:r>
              <w:rPr>
                <w:rFonts w:hint="eastAsia" w:ascii="宋体" w:hAnsi="宋体" w:cs="宋体"/>
                <w:kern w:val="0"/>
                <w:sz w:val="21"/>
                <w:szCs w:val="21"/>
                <w:highlight w:val="none"/>
                <w:shd w:val="clear" w:color="auto" w:fill="FFFFFF"/>
              </w:rPr>
              <w:t>外部提供的产品和服务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6.6.1</w:t>
            </w:r>
          </w:p>
        </w:tc>
        <w:tc>
          <w:tcPr>
            <w:tcW w:w="5053" w:type="dxa"/>
            <w:vAlign w:val="center"/>
          </w:tcPr>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实验室应确保影响实验室活动的外部提供的产品和服务的适宜性，这些产品和服务包括：</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a) 用于实验室自身的活动；</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b) 部分或全部直接提供给客户；</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c)  用于支持实验室的运作。</w:t>
            </w:r>
          </w:p>
        </w:tc>
        <w:tc>
          <w:tcPr>
            <w:tcW w:w="427" w:type="dxa"/>
            <w:vAlign w:val="center"/>
          </w:tcPr>
          <w:p>
            <w:pPr>
              <w:jc w:val="left"/>
              <w:rPr>
                <w:rFonts w:ascii="宋体" w:hAnsi="宋体" w:cs="宋体"/>
                <w:sz w:val="21"/>
                <w:szCs w:val="21"/>
                <w:highlight w:val="none"/>
              </w:rPr>
            </w:pPr>
          </w:p>
        </w:tc>
        <w:tc>
          <w:tcPr>
            <w:tcW w:w="427" w:type="dxa"/>
            <w:vAlign w:val="center"/>
          </w:tcPr>
          <w:p>
            <w:pPr>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6.6.2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实验室应有以下活动的程序，并保存相关记录：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确定、审查和批准实验室对外部提供的产品和服务的要求；</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确定评价、选择、监控表现和再次评价外部供应商的准则；</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在使用外部提供的产品和服务前，或直接提供给客户之前，应确保其符合实验室规定的要求， 或在适用时满足本标准的相关要求；</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根据对外部供应商的评价、监控表现和再次评价的结果采取措施。</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6</w:t>
            </w:r>
            <w:r>
              <w:rPr>
                <w:rFonts w:ascii="宋体" w:hAnsi="宋体" w:cs="宋体"/>
                <w:sz w:val="21"/>
                <w:szCs w:val="21"/>
                <w:highlight w:val="none"/>
                <w:shd w:val="clear" w:color="auto" w:fill="FFFFFF"/>
              </w:rPr>
              <w:t>.6.3</w:t>
            </w:r>
          </w:p>
        </w:tc>
        <w:tc>
          <w:tcPr>
            <w:tcW w:w="5053" w:type="dxa"/>
            <w:vAlign w:val="center"/>
          </w:tcPr>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实验室应与外部供应商沟通，明确以下要求：</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a) 需提供的产品和服务；</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b) 验收准则；</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c)  能力，包括人员需具备的资格；</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d)  实验室或其客户拟在外部供应商的场所进行的活动。</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 </w:t>
            </w:r>
            <w:r>
              <w:rPr>
                <w:rFonts w:hint="eastAsia" w:ascii="宋体" w:hAnsi="宋体" w:cs="宋体"/>
                <w:kern w:val="0"/>
                <w:sz w:val="21"/>
                <w:szCs w:val="21"/>
                <w:highlight w:val="none"/>
                <w:shd w:val="clear" w:color="auto" w:fill="FFFFFF"/>
              </w:rPr>
              <w:t>过程要求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w:t>
            </w:r>
            <w:r>
              <w:rPr>
                <w:rFonts w:hint="eastAsia" w:ascii="宋体" w:hAnsi="宋体" w:cs="宋体"/>
                <w:kern w:val="0"/>
                <w:sz w:val="21"/>
                <w:szCs w:val="21"/>
                <w:highlight w:val="none"/>
                <w:shd w:val="clear" w:color="auto" w:fill="FFFFFF"/>
              </w:rPr>
              <w:t>要求、标书和合同的评审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7.1.1</w:t>
            </w:r>
          </w:p>
        </w:tc>
        <w:tc>
          <w:tcPr>
            <w:tcW w:w="5053" w:type="dxa"/>
            <w:vAlign w:val="center"/>
          </w:tcPr>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实验室应有要求、标书和合同评审程序。该程序应确保：</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a) 要求被予以充分规定，形成文件，并易于理解；</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b) 实验室有能力和资源满足这些要求；</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c)  当使用外部供应商时，应满足6.6的要求，实验室应告知客户由外部供应商实施的实验室活 动，并获得客户同意；</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注1:在下列情况下，可能使用外部提供的实验室活动：</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——实验室有实施活动的资源和能力，但由于不可预见的原因不能承担部分或全部活动；</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——实验室没有实施活动的资源和能力。</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d) 选择适当的方法或程序，并能满足客户的要求。</w:t>
            </w:r>
          </w:p>
          <w:p>
            <w:pPr>
              <w:widowControl/>
              <w:snapToGrid w:val="0"/>
              <w:jc w:val="left"/>
              <w:rPr>
                <w:rFonts w:ascii="宋体" w:hAnsi="宋体" w:cs="宋体"/>
                <w:kern w:val="0"/>
                <w:sz w:val="21"/>
                <w:szCs w:val="21"/>
                <w:highlight w:val="none"/>
                <w:shd w:val="clear" w:color="auto" w:fill="FFFFFF"/>
              </w:rPr>
            </w:pPr>
            <w:r>
              <w:rPr>
                <w:rFonts w:hint="eastAsia" w:ascii="宋体" w:hAnsi="宋体" w:cs="宋体"/>
                <w:kern w:val="0"/>
                <w:sz w:val="21"/>
                <w:szCs w:val="21"/>
                <w:highlight w:val="none"/>
                <w:shd w:val="clear" w:color="auto" w:fill="FFFFFF"/>
              </w:rPr>
              <w:t>注2:对于内部或例行客户，要求、标书和合同评审可简化进行。</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7</w:t>
            </w:r>
            <w:r>
              <w:rPr>
                <w:rFonts w:hint="eastAsia" w:ascii="宋体" w:hAnsi="宋体" w:cs="宋体"/>
                <w:sz w:val="21"/>
                <w:szCs w:val="21"/>
                <w:highlight w:val="none"/>
                <w:shd w:val="clear" w:color="auto" w:fill="FFFFFF"/>
              </w:rPr>
              <w:t>.</w:t>
            </w:r>
            <w:r>
              <w:rPr>
                <w:rFonts w:ascii="宋体" w:hAnsi="宋体" w:cs="宋体"/>
                <w:sz w:val="21"/>
                <w:szCs w:val="21"/>
                <w:highlight w:val="none"/>
                <w:shd w:val="clear" w:color="auto" w:fill="FFFFFF"/>
              </w:rPr>
              <w:t>1</w:t>
            </w:r>
            <w:r>
              <w:rPr>
                <w:rFonts w:hint="eastAsia" w:ascii="宋体" w:hAnsi="宋体" w:cs="宋体"/>
                <w:sz w:val="21"/>
                <w:szCs w:val="21"/>
                <w:highlight w:val="none"/>
                <w:shd w:val="clear" w:color="auto" w:fill="FFFFFF"/>
              </w:rPr>
              <w:t>.</w:t>
            </w:r>
            <w:r>
              <w:rPr>
                <w:rFonts w:ascii="宋体" w:hAnsi="宋体" w:cs="宋体"/>
                <w:sz w:val="21"/>
                <w:szCs w:val="21"/>
                <w:highlight w:val="none"/>
                <w:shd w:val="clear" w:color="auto" w:fill="FFFFFF"/>
              </w:rPr>
              <w:t>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当客户要求的方法不合适或是过期的，实验室应通知客户。</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当客户要求针对检测或校准作出与规范或标准符合性的声明时(如通过/未通过、在允许限内/ 超出允许限),应明确规定规范或标准以及判定规则。应将选择的判定规则通知客户并得到同意，除非 规范或标准本身已包含判定规则。</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240" w:lineRule="atLeast"/>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要求或标书与合同之间的任何差异均应在实施实验室活动前解决。每项合同都应被实验室和 客户双方接受。客户要求的偏离不应影响实验室的诚信或结果的有效性。</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240" w:lineRule="atLeast"/>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与合同的任何偏离都应通知客户。</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.1.6</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如果在工作开始后修改合同，应重新进行合同评审，并将修改内容通知所有受到影响的人员。</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.1.7</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在澄清客户要求和允许客户监控其相关工作表现方面，实验室应与客户或其代表合作。</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w:t>
            </w:r>
            <w:r>
              <w:rPr>
                <w:rFonts w:hint="eastAsia" w:ascii="宋体" w:hAnsi="宋体" w:cs="宋体"/>
                <w:sz w:val="21"/>
                <w:szCs w:val="21"/>
                <w:highlight w:val="none"/>
                <w:shd w:val="clear" w:color="auto" w:fill="FFFFFF"/>
              </w:rPr>
              <w:t>方法的选择、验证和确认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方法的选择和验证</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1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.2.1.1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实验室应使用适当的方法和程序开展所有实验室活动，适当时，包括测量不确定度的评定以及 使用统计技术进行数据分析。</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.2.1.2</w:t>
            </w:r>
          </w:p>
        </w:tc>
        <w:tc>
          <w:tcPr>
            <w:tcW w:w="5053" w:type="dxa"/>
            <w:vAlign w:val="center"/>
          </w:tcPr>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所有的方法、程序和支持文件，例如与实验室活动相关的指导书、标准、手册和参考数据，应保 持现行有效并易于人员获取(见8.3)。</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.2.1.3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实验室应确保使用最新有效版本的方法，除非不合适或不可能做到。必要时，应补充方法使用 的细则以确保应用的一致性。</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.2.1.4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当客户未指定所用的方法时，实验室应选择适当的方法并通知客户。推荐使用国际标准、区域 标准或国家标准中发布的方法，或由知名技术组织或有关科技文献或期刊中公布的方法，或设备制造商 规定的方法。实验室制定或修改的方法也可使用。</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.2.1.5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实验室在引入方法前，应验证能够正确地运用该方法，以确保实现所需的方法性能。应保存验 证记录。如果发布机构修订了方法，应依据方法变化的内容重新进行验证。</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.2.1.6</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当需要开发方法时，应予以策划，并指定具备能力的人员，为其配备足够的资源。在方法开发 的过程中，应进行定期评审，以确定持续满足客户需求。开发计划的任何变更都应得到批准和授权。</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.2.1.7</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对所有实验室活动方法的偏离，应事先将该偏离形成文件，经技术判断，获得授权并被客户</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接受。</w:t>
            </w:r>
          </w:p>
        </w:tc>
        <w:tc>
          <w:tcPr>
            <w:tcW w:w="427" w:type="dxa"/>
            <w:vAlign w:val="center"/>
          </w:tcPr>
          <w:p>
            <w:pPr>
              <w:jc w:val="center"/>
              <w:rPr>
                <w:rFonts w:ascii="宋体" w:hAnsi="宋体" w:cs="宋体"/>
                <w:sz w:val="21"/>
                <w:szCs w:val="21"/>
                <w:highlight w:val="none"/>
              </w:rPr>
            </w:pPr>
          </w:p>
        </w:tc>
        <w:tc>
          <w:tcPr>
            <w:tcW w:w="427" w:type="dxa"/>
            <w:vAlign w:val="center"/>
          </w:tcPr>
          <w:p>
            <w:pPr>
              <w:adjustRightInd w:val="0"/>
              <w:snapToGrid w:val="0"/>
              <w:spacing w:line="360" w:lineRule="exact"/>
              <w:jc w:val="center"/>
              <w:rPr>
                <w:rFonts w:ascii="宋体" w:hAnsi="宋体" w:cs="宋体"/>
                <w:sz w:val="21"/>
                <w:szCs w:val="21"/>
                <w:highlight w:val="none"/>
              </w:rPr>
            </w:pPr>
          </w:p>
        </w:tc>
        <w:tc>
          <w:tcPr>
            <w:tcW w:w="413" w:type="dxa"/>
            <w:vAlign w:val="center"/>
          </w:tcPr>
          <w:p>
            <w:pPr>
              <w:adjustRightInd w:val="0"/>
              <w:snapToGrid w:val="0"/>
              <w:spacing w:line="360" w:lineRule="exact"/>
              <w:jc w:val="center"/>
              <w:rPr>
                <w:rFonts w:ascii="宋体" w:hAnsi="宋体" w:cs="宋体"/>
                <w:sz w:val="21"/>
                <w:szCs w:val="21"/>
                <w:highlight w:val="none"/>
              </w:rPr>
            </w:pPr>
          </w:p>
        </w:tc>
        <w:tc>
          <w:tcPr>
            <w:tcW w:w="1973" w:type="dxa"/>
            <w:vAlign w:val="center"/>
          </w:tcPr>
          <w:p>
            <w:pPr>
              <w:widowControl/>
              <w:snapToGrid w:val="0"/>
              <w:spacing w:line="0" w:lineRule="atLeast"/>
              <w:jc w:val="left"/>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kern w:val="0"/>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.2.2 </w:t>
            </w:r>
            <w:r>
              <w:rPr>
                <w:rFonts w:hint="eastAsia" w:ascii="宋体" w:hAnsi="宋体" w:cs="宋体"/>
                <w:sz w:val="21"/>
                <w:szCs w:val="21"/>
                <w:highlight w:val="none"/>
                <w:shd w:val="clear" w:color="auto" w:fill="FFFFFF"/>
              </w:rPr>
              <w:t>方法确认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7.2.2.1</w:t>
            </w:r>
          </w:p>
        </w:tc>
        <w:tc>
          <w:tcPr>
            <w:tcW w:w="5053" w:type="dxa"/>
            <w:vAlign w:val="center"/>
          </w:tcPr>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实验室应对非标准方法、实验室开发的方法、超出预定范围使用的标准方法、或其他修改的标 准方法进行确认。确认应尽可能全面，以满足预期用途或应用领域的需要。</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注1:确认可包括检测或校准物品的抽样、处置和运输程序。</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注2:可用以下一种或多种技术进行方法确认：</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使用参考标准或标准物质进行校准或评估偏倚和精密度；</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对影响结果的因素进行系统性评审；</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通过改变受控参数(如培养箱温度、加样体积等)来检测方法的稳健度；</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与其他已确认的方法进行结果比对；</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实验室间比对；</w:t>
            </w:r>
          </w:p>
          <w:p>
            <w:pPr>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根据对方法原理的理解以及抽样或检测方法的实践经验，评定结果的测量不确定度。</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7.2.2.2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当修改已确认过的方法时，应确定这些修改的影响。当发现影响原有的确认时，应重新进行方 法确认。</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.2.2.3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当按预期用途评估被确认方法的性能特性时，应确保与客户需求相关，并符合规定的要求。</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.2.2.4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实验室应保存以下方法确认记录：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使用的确认程序；</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要求的详细说明；</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方法性能特性的确定；</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获得的结果；</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方法有效性声明，并详述与预期用途的适宜性。</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.3 </w:t>
            </w:r>
            <w:r>
              <w:rPr>
                <w:rFonts w:hint="eastAsia" w:ascii="宋体" w:hAnsi="宋体" w:cs="宋体"/>
                <w:sz w:val="21"/>
                <w:szCs w:val="21"/>
                <w:highlight w:val="none"/>
                <w:shd w:val="clear" w:color="auto" w:fill="FFFFFF"/>
              </w:rPr>
              <w:t>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.3.1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当实验室为后续检测或校准对物质、材料或产品实施抽样时，应有抽样计划和方法。抽样方法  应明确需要控制的因素，以确保后续检测或校准结果的有效性。在抽样地点应能得到抽样计划和方法。 只要合理，抽样计划应基于适当的统计方法。</w:t>
            </w:r>
          </w:p>
        </w:tc>
        <w:tc>
          <w:tcPr>
            <w:tcW w:w="427" w:type="dxa"/>
            <w:vAlign w:val="center"/>
          </w:tcPr>
          <w:p>
            <w:pPr>
              <w:jc w:val="left"/>
              <w:rPr>
                <w:rFonts w:ascii="宋体" w:hAnsi="宋体" w:cs="宋体"/>
                <w:sz w:val="21"/>
                <w:szCs w:val="21"/>
                <w:highlight w:val="none"/>
              </w:rPr>
            </w:pPr>
          </w:p>
        </w:tc>
        <w:tc>
          <w:tcPr>
            <w:tcW w:w="427" w:type="dxa"/>
            <w:vAlign w:val="center"/>
          </w:tcPr>
          <w:p>
            <w:pPr>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.3.2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抽样方法应描述：</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样品或地点的选择；</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抽样计划；</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从物质、材料或产品中取得样品的制备和处理，以作为后续检测或校准的物品。 注：实验室接收样品后，进一步处置要求见7.4的规定。</w:t>
            </w:r>
          </w:p>
        </w:tc>
        <w:tc>
          <w:tcPr>
            <w:tcW w:w="427" w:type="dxa"/>
            <w:vAlign w:val="center"/>
          </w:tcPr>
          <w:p>
            <w:pPr>
              <w:jc w:val="left"/>
              <w:rPr>
                <w:rFonts w:ascii="宋体" w:hAnsi="宋体" w:cs="宋体"/>
                <w:sz w:val="21"/>
                <w:szCs w:val="21"/>
                <w:highlight w:val="none"/>
              </w:rPr>
            </w:pPr>
          </w:p>
        </w:tc>
        <w:tc>
          <w:tcPr>
            <w:tcW w:w="427" w:type="dxa"/>
            <w:vAlign w:val="center"/>
          </w:tcPr>
          <w:p>
            <w:pPr>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7.3.3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实验室应将抽样数据作为检测或校准工作记录的一部分予以保存。相关时，这些记录应包括以下信息：</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所用的抽样方法；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抽样日期和时间；</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识别和描述样品的数据(如编号、数量和名称);</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抽样人的识别；</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所用设备的识别；</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环境或运输条件；</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g)  适当时，标识抽样位置的图示或其他等效方式；</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h) 对抽样方法和抽样计划的偏离或增减。</w:t>
            </w:r>
          </w:p>
        </w:tc>
        <w:tc>
          <w:tcPr>
            <w:tcW w:w="427" w:type="dxa"/>
            <w:vAlign w:val="center"/>
          </w:tcPr>
          <w:p>
            <w:pPr>
              <w:jc w:val="left"/>
              <w:rPr>
                <w:rFonts w:ascii="宋体" w:hAnsi="宋体" w:cs="宋体"/>
                <w:sz w:val="21"/>
                <w:szCs w:val="21"/>
                <w:highlight w:val="none"/>
              </w:rPr>
            </w:pPr>
          </w:p>
        </w:tc>
        <w:tc>
          <w:tcPr>
            <w:tcW w:w="427" w:type="dxa"/>
            <w:vAlign w:val="center"/>
          </w:tcPr>
          <w:p>
            <w:pPr>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kern w:val="0"/>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.4 </w:t>
            </w:r>
            <w:r>
              <w:rPr>
                <w:rFonts w:hint="eastAsia" w:ascii="宋体" w:hAnsi="宋体" w:cs="宋体"/>
                <w:sz w:val="21"/>
                <w:szCs w:val="21"/>
                <w:highlight w:val="none"/>
                <w:shd w:val="clear" w:color="auto" w:fill="FFFFFF"/>
              </w:rPr>
              <w:t>检测或校准物品的处置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.4.1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实验室应有运输、接收、处置、保护、存储、保留、处理或归还检测或校准物品的程序，包括为保护 检测或校准物品的完整性以及实验室与客户利益所需的所有规定。在物品的处置、运输、保存/等候和 制备过程中，应注意避免物品变质、污染、丢失或损坏。应遵守随物品提供的操作说明。</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.4.2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实验室应有清晰标识检测或校准物品的系统。物品在实验室负责的期间内应保留该标识。标 识系统应确保物品在实物上、记录或其他文件中不被混淆。适当时，标识系统应包含一个物品或一组物 品的细分和物品的传递。</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.4.3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接收检测或校准物品时，应记录与规定条件的偏离。当对物品是否适于检测或校准有疑问，或 当物品不符合所提供的描述时，实验室应在开始工作之前询问客户，以得到进一步的说明，并记录询问 的结果。当客户知道物品偏离了规定条件仍要求进行检测或校准时，实验室应在报告中作出免责声明， 并指出偏离可能影响的结果。</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.4.4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如物品需要在规定环境条件下存储或状态调节时，应保持、监控和记录这些环境条件。</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.5 </w:t>
            </w:r>
            <w:r>
              <w:rPr>
                <w:rFonts w:hint="eastAsia" w:ascii="宋体" w:hAnsi="宋体" w:cs="宋体"/>
                <w:sz w:val="21"/>
                <w:szCs w:val="21"/>
                <w:highlight w:val="none"/>
                <w:shd w:val="clear" w:color="auto" w:fill="FFFFFF"/>
              </w:rPr>
              <w:t>技术记录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.5.1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实验室应确保每一项实验室活动的技术记录包含结果、报告和足够的信息，以便在可能时识别 影响测量结果及其测量不确定度的因素，并确保能在尽可能接近原条件的情况下重复该实验室活动。 技术记录应包括每项实验室活动以及审查数据结果的日期和责任人。原始的观察结果、数据和计算应 在观察或获得时予以记录，并应按特定任务予以识别。</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.5.2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实验室应确保技术记录的修改可以追溯到前一个版本或原始观察结果。应保存原始的以及修 改后的数据和文档，包括修改的日期、标识修改的内容和负责修改的人员。</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.6 </w:t>
            </w:r>
            <w:r>
              <w:rPr>
                <w:rFonts w:hint="eastAsia" w:ascii="宋体" w:hAnsi="宋体" w:cs="宋体"/>
                <w:sz w:val="21"/>
                <w:szCs w:val="21"/>
                <w:highlight w:val="none"/>
                <w:shd w:val="clear" w:color="auto" w:fill="FFFFFF"/>
              </w:rPr>
              <w:t>测量不确定度的评定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.6.1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实验室应识别测量不确定度的贡献。评定测量不确定度时，应采用适当的分析方法考虑所有显 著贡献，包括来自抽样的贡献。</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.6.2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开展校准的实验室，包括校准自有设备的实验室，应评定所有校准的测量不确定度。</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.6.3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开展检测的实验室应评定测量不确定度。当由于检测方法的原因难以严格评定测量不确定度 时，实验室应基于对理论原理的理解或使用该方法的实践经验进行评估。</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.7 </w:t>
            </w:r>
            <w:r>
              <w:rPr>
                <w:rFonts w:hint="eastAsia" w:ascii="宋体" w:hAnsi="宋体" w:cs="宋体"/>
                <w:sz w:val="21"/>
                <w:szCs w:val="21"/>
                <w:highlight w:val="none"/>
                <w:shd w:val="clear" w:color="auto" w:fill="FFFFFF"/>
              </w:rPr>
              <w:t>确保结果有效性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.7.1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实验室应有监控结果有效性的程序。记录结果数据的方式应便于发现其发展趋势，如可行，应 采用统计技术审查结果。实验室应对监控进行策划和审查，适当时，监控应包括但不限于以下方式：</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使用标准物质或质量控制物质；</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使用其他已校准能够提供可溯源结果的仪器；</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测量和检测设备的功能核查；</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适用时，使用核查或工作标准，并制作控制图；</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测量设备的期间核查；</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使用相同或不同方法重复检测或校准；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g)  留存样品的重复检测或重复校准；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h) 物品不同特性结果之间的相关性；</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i)  报告结果的审查；</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j) 实验室内比对</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k) 盲样测试。</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0" w:lineRule="atLeas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7.7.2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可行和适当时，实验室应通过与其他实验室进行结果比对来监控能力水平。监控应予以策划和 审查，包括但不限于以下一种或两种措施：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参加能力验证；</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注：GB/T 27043包含能力验证和能力验证提供者的详细信息。满足GB/T 27043要求的能力验证提供者被认为是 有能力的。</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参加除能力验证之外的实验室间比对。</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.7.3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实验室应分析监控活动的数据用于控制实验室活动，适用时实施改进。如果发现监控活动数据 分析结果超出预定的准则，应采取适当措施以防止报告不正确的结果。</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.8 </w:t>
            </w:r>
            <w:r>
              <w:rPr>
                <w:rFonts w:hint="eastAsia" w:ascii="宋体" w:hAnsi="宋体" w:cs="宋体"/>
                <w:sz w:val="21"/>
                <w:szCs w:val="21"/>
                <w:highlight w:val="none"/>
                <w:shd w:val="clear" w:color="auto" w:fill="FFFFFF"/>
              </w:rPr>
              <w:t>报告结果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.8.1 </w:t>
            </w:r>
            <w:r>
              <w:rPr>
                <w:rFonts w:hint="eastAsia" w:ascii="宋体" w:hAnsi="宋体" w:cs="宋体"/>
                <w:sz w:val="21"/>
                <w:szCs w:val="21"/>
                <w:highlight w:val="none"/>
                <w:shd w:val="clear" w:color="auto" w:fill="FFFFFF"/>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.8.1.1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结果在发出前应经过审查和批准。</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.8.1.2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实验室应准确、清晰、明确和客观地出具结果，并且应包括客户同意的、解释结果所必需的以及  所用方法要求的全部信息。实验室通常以报告的形式提供结果(例如检测报告、校准证书或抽样报告)。 所有发出的报告应作为技术记录予以保存。</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.8.1.3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如客户同意，可用简化方式报告结果。如果未向客户报告7.8.2至7.8.7中所列的信息，客户应能方便地获得。</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spacing w:line="360" w:lineRule="exact"/>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.8.2 </w:t>
            </w:r>
            <w:r>
              <w:rPr>
                <w:rFonts w:hint="eastAsia" w:ascii="宋体" w:hAnsi="宋体" w:cs="宋体"/>
                <w:sz w:val="21"/>
                <w:szCs w:val="21"/>
                <w:highlight w:val="none"/>
                <w:shd w:val="clear" w:color="auto" w:fill="FFFFFF"/>
              </w:rPr>
              <w:t>(检测、校准或抽样)报告的通用要求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7.8.2.1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除非实验室有有效的理由，每份报告应至少包括下列信息，以最大限度地减少误解或误用的可</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能性：</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标题(例如“检测报告”"校准证书”或"抽样报告");</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实验室的名称和地址；</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实施实验室活动的地点，包括客户设施、实验室固定设施以外的场所、相关的临时或移动设施；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将报告中所有部分标记为完整报告的一部分的唯一性标识，以及表明报告结束的清晰标识；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客户的名称和联络信息；</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所用方法的识别；</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g)  物品的描述、明确的标识，以及必要时，物品的状态；</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h) 检测或校准物品的接收日期，以及对结果的有效性和应用至关重要的抽样日期；</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i)  实施实验室活动的日期；</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j)  报告的发布日期；</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k) 如与结果的有效性或应用相关时，实验室或其他机构所用的抽样计划和抽样方法；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1)  结果仅与被检测、被校准或被抽样物品有关的声明；</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m) 结果，适当时，带有测量单位；</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n) 对方法的补充、偏离或删减；</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o) 报告批准人的识别；</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p)  当结果来自于外部供应商时所做的清晰标识。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注：在报告中声明除全文复制外，未经实验室批准不得部分复制报告，可以确保报告不被部分摘用。</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.8.2.2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除客户提供的信息外，实验室应对报告中的所有信息负责。客户提供的数据应予以明确标识。 此外，当客户提供的信息可能影响结果的有效性时，报告中应有免责声明。当实验室不负责抽样时(如  样品由客户提供),应在报告中声明结果适用于收到的样品。</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.8.3 </w:t>
            </w:r>
            <w:r>
              <w:rPr>
                <w:rFonts w:hint="eastAsia" w:ascii="宋体" w:hAnsi="宋体" w:cs="宋体"/>
                <w:sz w:val="21"/>
                <w:szCs w:val="21"/>
                <w:highlight w:val="none"/>
                <w:shd w:val="clear" w:color="auto" w:fill="FFFFFF"/>
              </w:rPr>
              <w:t>检测报告的特定要求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.8.3.1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除7.8.2所列要求之外，当解释检测结果需要时，检测报告还应包含以下信息：</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特定的检测条件信息，如环境条件；</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相关时，与要求或规范的符合性声明(见7.8.6);</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适用时，在下列情况下，带有与被测量相同单位的测量不确定度或与被测量相对形式的测量不 确定度(如百分比):</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——测量不确定度与检测结果的有效性或应用相关时；</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——客户有要求时；</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——测量不确定度影响与规范限的符合性时。</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适当时，意见和解释(见7.8.7);</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特定方法、法定管理机构或客户要求的其他信息。</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.8.3.2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如果实验室负责抽样活动，当解释检测结果需要时，检测报告还应满足7.8.5的要求。</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.8.4 </w:t>
            </w:r>
            <w:r>
              <w:rPr>
                <w:rFonts w:hint="eastAsia" w:ascii="宋体" w:hAnsi="宋体" w:cs="宋体"/>
                <w:sz w:val="21"/>
                <w:szCs w:val="21"/>
                <w:highlight w:val="none"/>
                <w:shd w:val="clear" w:color="auto" w:fill="FFFFFF"/>
              </w:rPr>
              <w:t>校准证书的特定要求（略）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报告抽样——特定要求</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如果实验室负责抽样活动，除7.8.2中的要求外，当解释结果有需要时，报告还应包含以下信息：</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抽样日期；</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抽取的物品或物质的唯一性标识(适当时，包括制造商的名称、标示的型号或类型以及序列 号);</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抽样位置，包括图示、草图或照片；</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抽样计划和抽样方法；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抽样过程中影响结果解释的环境条件的详细信息；</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评定后续检测或校准测量不确定度所需的信息。</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.8.6 </w:t>
            </w:r>
            <w:r>
              <w:rPr>
                <w:rFonts w:hint="eastAsia" w:ascii="宋体" w:hAnsi="宋体" w:cs="宋体"/>
                <w:sz w:val="21"/>
                <w:szCs w:val="21"/>
                <w:highlight w:val="none"/>
                <w:shd w:val="clear" w:color="auto" w:fill="FFFFFF"/>
              </w:rPr>
              <w:t>报告符合性声明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.8.6.1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当做出与规范或标准的符合性声明时，实验室应考虑与所用判定规则相关的风险水平(如错误 接受、错误拒绝以及统计假设),将所使用的判定规则形成文件，并应用判定规则。</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.8.6.2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实验室在报告符合性声明时应清晰标示：</w:t>
            </w:r>
          </w:p>
          <w:p>
            <w:pPr>
              <w:pStyle w:val="2"/>
              <w:jc w:val="left"/>
              <w:rPr>
                <w:highlight w:val="none"/>
              </w:rPr>
            </w:pPr>
            <w:r>
              <w:rPr>
                <w:rFonts w:hint="eastAsia"/>
                <w:highlight w:val="none"/>
              </w:rPr>
              <w:t>a) 符合性声明适用的结果；</w:t>
            </w:r>
          </w:p>
          <w:p>
            <w:pPr>
              <w:pStyle w:val="2"/>
              <w:jc w:val="left"/>
              <w:rPr>
                <w:highlight w:val="none"/>
              </w:rPr>
            </w:pPr>
            <w:r>
              <w:rPr>
                <w:rFonts w:hint="eastAsia"/>
                <w:highlight w:val="none"/>
              </w:rPr>
              <w:t>b) 满足或不满足的规范、标准或其中条款；</w:t>
            </w:r>
          </w:p>
          <w:p>
            <w:pPr>
              <w:pStyle w:val="2"/>
              <w:jc w:val="left"/>
              <w:rPr>
                <w:highlight w:val="none"/>
              </w:rPr>
            </w:pPr>
            <w:r>
              <w:rPr>
                <w:rFonts w:hint="eastAsia"/>
                <w:highlight w:val="none"/>
              </w:rPr>
              <w:t>c) 应用的判定规则(除非规范或标准中已包含)。</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.8.7 </w:t>
            </w:r>
            <w:r>
              <w:rPr>
                <w:rFonts w:hint="eastAsia" w:ascii="宋体" w:hAnsi="宋体" w:cs="宋体"/>
                <w:sz w:val="21"/>
                <w:szCs w:val="21"/>
                <w:highlight w:val="none"/>
                <w:shd w:val="clear" w:color="auto" w:fill="FFFFFF"/>
              </w:rPr>
              <w:t>报告意见和解释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.8.7.1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当表述意见和解释时，实验室应确保只有授权人员才能发布相关意见和解释。实验室应将意 见和解释的依据形成文件。</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.8.7.2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报告中的意见和解释应基于被检测或校准物品的结果，并清晰地予以标注。</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.8.7.3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当以对话方式直接与客户沟通意见和解释时，应保存对话记录。</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.8.8 </w:t>
            </w:r>
            <w:r>
              <w:rPr>
                <w:rFonts w:hint="eastAsia" w:ascii="宋体" w:hAnsi="宋体" w:cs="宋体"/>
                <w:sz w:val="21"/>
                <w:szCs w:val="21"/>
                <w:highlight w:val="none"/>
                <w:shd w:val="clear" w:color="auto" w:fill="FFFFFF"/>
              </w:rPr>
              <w:t>报告修改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.8.8.1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当更改、修订或重新发布已发出的报告时，应在报告中清晰标识修改的信息，适当时标注修改 的原因。</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.8.8.2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 xml:space="preserve">  修改已发出的报告时，应仅以追加文件或数据传送的形式，并包含以下声明： “对序列号为 …… (或其他标识)报告的修改”,或其他等效文字。</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这类修改应满足本标准的所有要求。</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.8.8.3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当有必要发布全新的报告时，应予以唯一性标识，并注明所替代的原报告。</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8" w:type="dxa"/>
            <w:gridSpan w:val="6"/>
            <w:vAlign w:val="center"/>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.9 </w:t>
            </w:r>
            <w:r>
              <w:rPr>
                <w:rFonts w:hint="eastAsia" w:ascii="宋体" w:hAnsi="宋体" w:cs="宋体"/>
                <w:sz w:val="21"/>
                <w:szCs w:val="21"/>
                <w:highlight w:val="none"/>
                <w:shd w:val="clear" w:color="auto" w:fill="FFFFFF"/>
              </w:rPr>
              <w:t>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.9.1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实验室应有形成文件的过程来接收和评价投诉，并对投诉作出决定。</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.9.2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利益相关方有要求时，应可获得对投诉处理过程的说明。在接到投诉后，实验室应证实投诉是否与其负责的实验室活动相关，若相关，则应处理。实验室应对投诉处理过程中的所有决定负责。</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.9.3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投诉处理过程应至少包括以下要素和方法：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对投诉的接收、确认、调查以及决定采取处理措施过程的说明；</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跟踪并记录投诉，包括为解决投诉所采取的措施；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确保采取适当的措施。</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.9.4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接到投诉的实验室应负责收集并验证所有必要的信息，以便确认投诉是否有效。</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.9.5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只要可能，实验室应告知投诉人已收到投诉，并向投诉人提供处理进程的报告和结果。</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.9.6</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通知投诉人的处理结果应由与所涉及的实验室活动无关的人员作出，或审查和批准。</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pPr>
              <w:adjustRightInd w:val="0"/>
              <w:snapToGrid w:val="0"/>
              <w:jc w:val="center"/>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.9.7</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只要可能，实验室应正式通知投诉人投诉处理完毕。</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widowControl/>
              <w:snapToGrid w:val="0"/>
              <w:jc w:val="left"/>
              <w:rPr>
                <w:rFonts w:ascii="宋体" w:hAnsi="宋体" w:cs="宋体"/>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.10 </w:t>
            </w:r>
            <w:r>
              <w:rPr>
                <w:rFonts w:hint="eastAsia" w:ascii="宋体" w:hAnsi="宋体" w:cs="宋体"/>
                <w:sz w:val="21"/>
                <w:szCs w:val="21"/>
                <w:highlight w:val="none"/>
                <w:shd w:val="clear" w:color="auto" w:fill="FFFFFF"/>
              </w:rPr>
              <w:t>不符合工作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.10.1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当实验室活动或结果不符合自身的程序或与客户协商一致的要求时(例如设备或环境条件超 出规定限值、监控结果不能满足规定的准则),实验室应有程序予以实施。该程序应确保：</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确定不符合工作管理的职责和权力；</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基于实验室建立的风险水平采取措施(包括必要时暂停或重复工作以及扣发报告);</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评价不符合工作的严重性，包括分析对先前结果的影响；</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对不符合工作的可接受性作出决定；</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必要时，通知客户并召回；</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规定批准恢复工作的职责。</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.10.2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实验室应保存不符合工作和执行7.10.1中b)至 f)规定的措施的记录。</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.10.3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当评价表明不符合工作可能再次发生时，或对实验室的运行与其管理体系的符合性产生怀疑 时，实验室应采取纠正措施。</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 xml:space="preserve">.11 </w:t>
            </w:r>
            <w:r>
              <w:rPr>
                <w:rFonts w:hint="eastAsia" w:ascii="宋体" w:hAnsi="宋体" w:cs="宋体"/>
                <w:sz w:val="21"/>
                <w:szCs w:val="21"/>
                <w:highlight w:val="none"/>
                <w:shd w:val="clear" w:color="auto" w:fill="FFFFFF"/>
              </w:rPr>
              <w:t>数据控制和信息管理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.11.1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实验室应获得开展实验室活动所需的数据和信息。</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.11.2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用于收集、处理、记录、报告、存储或检索数据的实验室信息管理系统，在投入使用前应进行功 能确认，包括实验室信息管理系统中接口的正常运行。对管理系统的任何变更，包括修改实验室软件配 置或现成的商业化软件，在实施前都应被批准、形成文件并确认。</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.11.3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实验室信息管理系统应：</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防止未经授权的访问；</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被安全保护以防止篡改和丢失；</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在符合系统供应商或实验室规定的环境中运行，或对于非计算机化的系统，提供保护人工记录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和转录准确性的条件；</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以确保数据和信息完整性的方式进行维护；</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包括对于系统失效、适当的紧急措施及纠正措施的记录。</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.11.4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当实验室信息管理系统在异地或由外部供应商进行管理和维护时，实验室应确保系统的供应 商或运营商符合本标准的所有适用要求。</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.11.5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实验室应确保员工易于获取与实验室信息管理系统相关的说明书、手册和参考数据。</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7</w:t>
            </w:r>
            <w:r>
              <w:rPr>
                <w:rFonts w:ascii="宋体" w:hAnsi="宋体" w:cs="宋体"/>
                <w:sz w:val="21"/>
                <w:szCs w:val="21"/>
                <w:highlight w:val="none"/>
                <w:shd w:val="clear" w:color="auto" w:fill="FFFFFF"/>
              </w:rPr>
              <w:t>.11.6</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应对计算和数据传送进行适当和系统地检查。</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 xml:space="preserve"> </w:t>
            </w:r>
            <w:r>
              <w:rPr>
                <w:rFonts w:hint="eastAsia" w:ascii="宋体" w:hAnsi="宋体" w:cs="宋体"/>
                <w:sz w:val="21"/>
                <w:szCs w:val="21"/>
                <w:highlight w:val="none"/>
                <w:shd w:val="clear" w:color="auto" w:fill="FFFFFF"/>
              </w:rPr>
              <w:t>管理体系要求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ascii="宋体" w:hAnsi="宋体" w:cs="宋体"/>
                <w:sz w:val="21"/>
                <w:szCs w:val="21"/>
                <w:highlight w:val="none"/>
                <w:shd w:val="clear" w:color="auto" w:fill="FFFFFF"/>
              </w:rPr>
              <w:t xml:space="preserve">8.1 </w:t>
            </w:r>
            <w:r>
              <w:rPr>
                <w:rFonts w:hint="eastAsia" w:ascii="宋体" w:hAnsi="宋体" w:cs="宋体"/>
                <w:sz w:val="21"/>
                <w:szCs w:val="21"/>
                <w:highlight w:val="none"/>
                <w:shd w:val="clear" w:color="auto" w:fill="FFFFFF"/>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.1.1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总则</w:t>
            </w:r>
          </w:p>
          <w:p>
            <w:pPr>
              <w:pStyle w:val="2"/>
              <w:jc w:val="left"/>
              <w:rPr>
                <w:highlight w:val="none"/>
              </w:rPr>
            </w:pPr>
            <w:r>
              <w:rPr>
                <w:rFonts w:hint="eastAsia"/>
                <w:highlight w:val="none"/>
              </w:rPr>
              <w:t>实验室应建立、实施和保持形成文件的管理体系，该管理体系应能够支持和证明实验室持续满足本 标准的要求，并且保证实验室结果的质量。除满足第4章至第7章的要求外，实验室应按方式 A 或方 式B 实施管理体系。</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.1.2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方式 A</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实验室管理体系至少应包括下列内容：</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——管理体系文件(见8.2);</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 管理体系文件的控制(见8.3);</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 记录控制(见8.4);</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——应对风险和机遇的措施(见8.5);</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——改进(见8.6);</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——纠正措施(见8.7);</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 内部审核(见8.8);</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——管理评审(见8.9)。</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.1.3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方式 B</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实验室按照GB/T19001  的要求建立并保持管理体系，能够支持和证明持续符合第4章至第7章 的要求，也至少满足了8.2至8.9中规定的管理体系要求的目的。</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.2</w:t>
            </w:r>
            <w:r>
              <w:rPr>
                <w:rFonts w:hint="eastAsia" w:ascii="宋体" w:hAnsi="宋体" w:cs="宋体"/>
                <w:sz w:val="21"/>
                <w:szCs w:val="21"/>
                <w:highlight w:val="none"/>
                <w:shd w:val="clear" w:color="auto" w:fill="FFFFFF"/>
              </w:rPr>
              <w:t>管理体系文件(方式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.2.1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实验室管理层应建立、编制和保持符合本标准目的的方针和目标，并确保该方针和目标在实验 室组织的各级人员得到理解和执行。</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.2.2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方针和目标应能体现实验室的能力、公正性和一致运作。</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.2.3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实验室管理层应提供建立和实施管理体系以及持续改进其有效性承诺的证据。</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.2.4</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管理体系应包含、引用或链接与满足本标准的要求相关的所有文件、过程、系统和记录等。</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.2.5</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参与实验室活动的所有人员应可获得适用于其职责的管理体系文件和相关信息。</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 xml:space="preserve">.3 </w:t>
            </w:r>
            <w:r>
              <w:rPr>
                <w:rFonts w:hint="eastAsia" w:ascii="宋体" w:hAnsi="宋体" w:cs="宋体"/>
                <w:sz w:val="21"/>
                <w:szCs w:val="21"/>
                <w:highlight w:val="none"/>
                <w:shd w:val="clear" w:color="auto" w:fill="FFFFFF"/>
              </w:rPr>
              <w:t>管理体系文件的控制（方式A）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ascii="宋体" w:hAnsi="宋体" w:cs="宋体"/>
                <w:sz w:val="21"/>
                <w:szCs w:val="21"/>
                <w:highlight w:val="none"/>
                <w:shd w:val="clear" w:color="auto" w:fill="FFFFFF"/>
              </w:rPr>
              <w:t>8.3.1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实验室应控制与满足本标准的要求有关的内部和外部文件。</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.3.2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实验室应确保：</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文件发布前由授权人员审查其充分性并批准；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定期审查文件，并在必要时更新；</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识别文件更改和当前修订状态；</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在使用地点可获得适用文件的相关版本，并在必要时控制其发放；</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对文件进行唯一性标识；</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防止误用作废文件，并对出于某种目的而保留的作废文件做出适当标识。</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 xml:space="preserve">.4 </w:t>
            </w:r>
            <w:r>
              <w:rPr>
                <w:rFonts w:hint="eastAsia" w:ascii="宋体" w:hAnsi="宋体" w:cs="宋体"/>
                <w:sz w:val="21"/>
                <w:szCs w:val="21"/>
                <w:highlight w:val="none"/>
                <w:shd w:val="clear" w:color="auto" w:fill="FFFFFF"/>
              </w:rPr>
              <w:t>记录控制(方式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.4.1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实验室应建立和保存清晰的记录以证明满足本标准的要求。</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.4.2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实验室应对记录的标识、存储、保护、备份、归档、检索、保存期和处置实施所需的控制。实验室 记录保存期限应符合合同义务。记录的调阅应符合保密承诺，且记录应易于获得。</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 xml:space="preserve">.5 </w:t>
            </w:r>
            <w:r>
              <w:rPr>
                <w:rFonts w:hint="eastAsia" w:ascii="宋体" w:hAnsi="宋体" w:cs="宋体"/>
                <w:sz w:val="21"/>
                <w:szCs w:val="21"/>
                <w:highlight w:val="none"/>
                <w:shd w:val="clear" w:color="auto" w:fill="FFFFFF"/>
              </w:rPr>
              <w:t>应对风险和机遇的措施(方式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.5.1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实验室应考虑与实验室活动相关的风险和机遇，以：</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确保管理体系能够实现其预期结果；</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增强实现实验室目的和目标的机遇；</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预防或减少实验室活动中的不利影响和可能的失败；</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实现改进。</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.5.2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实验室应策划：</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应对这些风险和机遇的措施；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如何：</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——在管理体系中整合并实施这些措施；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——评价这些措施的有效性。</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.5.3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应对风险和机遇的措施应与其对实验室结果有效性的潜在影响相适应。</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 xml:space="preserve">.6 </w:t>
            </w:r>
            <w:r>
              <w:rPr>
                <w:rFonts w:hint="eastAsia" w:ascii="宋体" w:hAnsi="宋体" w:cs="宋体"/>
                <w:sz w:val="21"/>
                <w:szCs w:val="21"/>
                <w:highlight w:val="none"/>
                <w:shd w:val="clear" w:color="auto" w:fill="FFFFFF"/>
              </w:rPr>
              <w:t>改进(方式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.6.1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实验室应识别和选择改进机遇，并采取必要措施。</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.6.2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实验室应向客户征求反馈，无论是正面的还是负面的。应分析和利用这些反馈，以改进管理体 系、实验室活动和客户服务。</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 xml:space="preserve">.7 </w:t>
            </w:r>
            <w:r>
              <w:rPr>
                <w:rFonts w:hint="eastAsia" w:ascii="宋体" w:hAnsi="宋体" w:cs="宋体"/>
                <w:sz w:val="21"/>
                <w:szCs w:val="21"/>
                <w:highlight w:val="none"/>
                <w:shd w:val="clear" w:color="auto" w:fill="FFFFFF"/>
              </w:rPr>
              <w:t>纠正措施(方式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.7.1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当发生不符合时，实验室应：</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 xml:space="preserve">a) 对不符合作出应对，并且在适用时： ——采取措施以控制和纠正不符合； </w:t>
            </w:r>
            <w:r>
              <w:rPr>
                <w:rFonts w:hint="eastAsia" w:ascii="宋体" w:hAnsi="宋体" w:cs="宋体"/>
                <w:sz w:val="21"/>
                <w:szCs w:val="21"/>
                <w:highlight w:val="none"/>
                <w:shd w:val="clear" w:color="auto" w:fill="FFFFFF"/>
              </w:rPr>
              <w:tab/>
            </w:r>
            <w:r>
              <w:rPr>
                <w:rFonts w:hint="eastAsia" w:ascii="宋体" w:hAnsi="宋体" w:cs="宋体"/>
                <w:sz w:val="21"/>
                <w:szCs w:val="21"/>
                <w:highlight w:val="none"/>
                <w:shd w:val="clear" w:color="auto" w:fill="FFFFFF"/>
              </w:rPr>
              <w:t>处置后果：</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通过下列活动评价是否需要采取措施，以消除产生不符合的原因，避免其再次发生或者在其他 场合发生：</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——评审和分析不符合；</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——确定不符合的原因；</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b/>
            </w:r>
            <w:r>
              <w:rPr>
                <w:rFonts w:hint="eastAsia" w:ascii="宋体" w:hAnsi="宋体" w:cs="宋体"/>
                <w:sz w:val="21"/>
                <w:szCs w:val="21"/>
                <w:highlight w:val="none"/>
                <w:shd w:val="clear" w:color="auto" w:fill="FFFFFF"/>
              </w:rPr>
              <w:t xml:space="preserve"> 确定是否存在或可能发生类似的不符合；</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实施所需的措施；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评审所采取的纠正措施的有效性；</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必要时，更新在策划期间确定的风险和机遇；</w:t>
            </w:r>
          </w:p>
          <w:p>
            <w:pPr>
              <w:pStyle w:val="2"/>
              <w:jc w:val="left"/>
              <w:rPr>
                <w:highlight w:val="none"/>
              </w:rPr>
            </w:pPr>
            <w:r>
              <w:rPr>
                <w:rFonts w:hint="eastAsia"/>
                <w:highlight w:val="none"/>
              </w:rPr>
              <w:t>f) 必要时，变更管理体系。</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.7.2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纠正措施应与不符合产生的影响相适应。</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.7.3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实验室应保存记录，作为下列事项的证据：</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不符合的性质、产生原因和后续所采取的措施；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纠正措施的结果。</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 xml:space="preserve">.8 </w:t>
            </w:r>
            <w:r>
              <w:rPr>
                <w:rFonts w:hint="eastAsia" w:ascii="宋体" w:hAnsi="宋体" w:cs="宋体"/>
                <w:sz w:val="21"/>
                <w:szCs w:val="21"/>
                <w:highlight w:val="none"/>
                <w:shd w:val="clear" w:color="auto" w:fill="FFFFFF"/>
              </w:rPr>
              <w:t>内部审核(方式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.8.1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实验室应按照策划的时间间隔进行内部审核，以提供有关管理体系的下列信息：</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是否符合：</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—实验室自身的管理体系要求，包括实验室活动；</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——本标准的要求；</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是否得到了有效的实施和保持。</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.8.2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考虑实验室活动的重要性、影响实验室的变化和以前审核的结果，策划、制定、实施和保持审核 方案，审核方案包括频次、方法、职责、策划要求和报告；</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规定每次审核的审核准则和范围；</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确保将审核结果报告给相关管理层；</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及时采取适当的纠正和纠正措施；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保存记录，作为实施审核方案和审核结果的证据。</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8" w:type="dxa"/>
            <w:gridSpan w:val="6"/>
          </w:tcPr>
          <w:p>
            <w:pPr>
              <w:adjustRightInd w:val="0"/>
              <w:snapToGrid w:val="0"/>
              <w:jc w:val="left"/>
              <w:rPr>
                <w:rFonts w:ascii="宋体" w:hAnsi="宋体" w:cs="宋体"/>
                <w:sz w:val="21"/>
                <w:szCs w:val="21"/>
                <w:highlight w:val="none"/>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 xml:space="preserve">.9 </w:t>
            </w:r>
            <w:r>
              <w:rPr>
                <w:rFonts w:hint="eastAsia" w:ascii="宋体" w:hAnsi="宋体" w:cs="宋体"/>
                <w:sz w:val="21"/>
                <w:szCs w:val="21"/>
                <w:highlight w:val="none"/>
                <w:shd w:val="clear" w:color="auto" w:fill="FFFFFF"/>
              </w:rPr>
              <w:t>管理评审(方式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.9.1</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实验室管理层应按照策划的时间间隔对实验室的管理体系进行评审，以确保其持续的适宜性、 充分性和有效性，包括执行本标准的相关方针和目标。</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.9.2</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实验室应记录管理评审的输入，并包括以下相关信息：</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与实验室相关的内外部因素的变化；</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目标实现；</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政策和程序的适宜性；</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以往管理评审所采取措施的情况；</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e) 近期内部审核的结果；</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f) 纠正措施；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g) 由外部机构进行的评审；</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h) 工作量和工作类型的变化或实验室活动范围的变化；</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i) 客户和人员的反馈；</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j) 投诉；</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k) 实施改进的有效性；</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1) 资源的充分性；</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m) 风险识别的结果；</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n) 保证结果有效性的输出；</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o) 其他相关因素，如监控活动和培训。</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5" w:type="dxa"/>
          </w:tcPr>
          <w:p>
            <w:pPr>
              <w:adjustRightInd w:val="0"/>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8</w:t>
            </w:r>
            <w:r>
              <w:rPr>
                <w:rFonts w:ascii="宋体" w:hAnsi="宋体" w:cs="宋体"/>
                <w:sz w:val="21"/>
                <w:szCs w:val="21"/>
                <w:highlight w:val="none"/>
                <w:shd w:val="clear" w:color="auto" w:fill="FFFFFF"/>
              </w:rPr>
              <w:t>.9.3</w:t>
            </w:r>
          </w:p>
        </w:tc>
        <w:tc>
          <w:tcPr>
            <w:tcW w:w="5053" w:type="dxa"/>
            <w:vAlign w:val="center"/>
          </w:tcPr>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管理评审的输出至少应记录与下列事项相关的决定和措施：</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a) 管理体系及其过程的有效性；</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b) 与满足本标准要求相关的实验室活动的改进；</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c) 提供所需的资源；</w:t>
            </w:r>
          </w:p>
          <w:p>
            <w:pPr>
              <w:widowControl/>
              <w:snapToGrid w:val="0"/>
              <w:jc w:val="left"/>
              <w:rPr>
                <w:rFonts w:ascii="宋体" w:hAnsi="宋体" w:cs="宋体"/>
                <w:sz w:val="21"/>
                <w:szCs w:val="21"/>
                <w:highlight w:val="none"/>
                <w:shd w:val="clear" w:color="auto" w:fill="FFFFFF"/>
              </w:rPr>
            </w:pPr>
            <w:r>
              <w:rPr>
                <w:rFonts w:hint="eastAsia" w:ascii="宋体" w:hAnsi="宋体" w:cs="宋体"/>
                <w:sz w:val="21"/>
                <w:szCs w:val="21"/>
                <w:highlight w:val="none"/>
                <w:shd w:val="clear" w:color="auto" w:fill="FFFFFF"/>
              </w:rPr>
              <w:t>d) 所需的变更。</w:t>
            </w:r>
          </w:p>
        </w:tc>
        <w:tc>
          <w:tcPr>
            <w:tcW w:w="427" w:type="dxa"/>
            <w:vAlign w:val="center"/>
          </w:tcPr>
          <w:p>
            <w:pPr>
              <w:jc w:val="left"/>
              <w:rPr>
                <w:rFonts w:ascii="宋体" w:hAnsi="宋体" w:cs="宋体"/>
                <w:sz w:val="21"/>
                <w:szCs w:val="21"/>
                <w:highlight w:val="none"/>
              </w:rPr>
            </w:pPr>
          </w:p>
        </w:tc>
        <w:tc>
          <w:tcPr>
            <w:tcW w:w="427" w:type="dxa"/>
            <w:vAlign w:val="center"/>
          </w:tcPr>
          <w:p>
            <w:pPr>
              <w:adjustRightInd w:val="0"/>
              <w:snapToGrid w:val="0"/>
              <w:spacing w:line="360" w:lineRule="exact"/>
              <w:jc w:val="left"/>
              <w:rPr>
                <w:rFonts w:ascii="宋体" w:hAnsi="宋体" w:cs="宋体"/>
                <w:sz w:val="21"/>
                <w:szCs w:val="21"/>
                <w:highlight w:val="none"/>
              </w:rPr>
            </w:pPr>
          </w:p>
        </w:tc>
        <w:tc>
          <w:tcPr>
            <w:tcW w:w="413" w:type="dxa"/>
            <w:vAlign w:val="center"/>
          </w:tcPr>
          <w:p>
            <w:pPr>
              <w:adjustRightInd w:val="0"/>
              <w:snapToGrid w:val="0"/>
              <w:spacing w:line="360" w:lineRule="exact"/>
              <w:jc w:val="left"/>
              <w:rPr>
                <w:rFonts w:ascii="宋体" w:hAnsi="宋体" w:cs="宋体"/>
                <w:sz w:val="21"/>
                <w:szCs w:val="21"/>
                <w:highlight w:val="none"/>
              </w:rPr>
            </w:pPr>
          </w:p>
        </w:tc>
        <w:tc>
          <w:tcPr>
            <w:tcW w:w="1973" w:type="dxa"/>
            <w:vAlign w:val="center"/>
          </w:tcPr>
          <w:p>
            <w:pPr>
              <w:adjustRightInd w:val="0"/>
              <w:snapToGrid w:val="0"/>
              <w:spacing w:line="360" w:lineRule="exact"/>
              <w:jc w:val="left"/>
              <w:rPr>
                <w:rFonts w:ascii="宋体" w:hAnsi="宋体" w:cs="宋体"/>
                <w:sz w:val="21"/>
                <w:szCs w:val="21"/>
                <w:highlight w:val="none"/>
              </w:rPr>
            </w:pPr>
          </w:p>
        </w:tc>
      </w:tr>
    </w:tbl>
    <w:p>
      <w:pPr>
        <w:adjustRightInd w:val="0"/>
        <w:snapToGrid w:val="0"/>
        <w:spacing w:line="300" w:lineRule="atLeast"/>
        <w:ind w:right="-336" w:rightChars="-160"/>
        <w:jc w:val="left"/>
        <w:rPr>
          <w:rFonts w:ascii="仿宋" w:hAnsi="仿宋" w:eastAsia="仿宋"/>
          <w:sz w:val="18"/>
          <w:szCs w:val="18"/>
          <w:highlight w:val="none"/>
        </w:rPr>
      </w:pPr>
    </w:p>
    <w:p>
      <w:pPr>
        <w:rPr>
          <w:rFonts w:hint="eastAsia" w:ascii="仿宋" w:hAnsi="仿宋" w:eastAsia="仿宋"/>
          <w:szCs w:val="28"/>
          <w:highlight w:val="none"/>
        </w:rPr>
      </w:pPr>
      <w:r>
        <w:rPr>
          <w:rFonts w:hint="eastAsia" w:ascii="仿宋" w:hAnsi="仿宋" w:eastAsia="仿宋"/>
          <w:bCs/>
          <w:color w:val="auto"/>
          <w:sz w:val="24"/>
          <w:highlight w:val="none"/>
        </w:rPr>
        <w:t xml:space="preserve">评审组签名：            </w:t>
      </w:r>
      <w:r>
        <w:rPr>
          <w:rFonts w:hint="eastAsia" w:ascii="仿宋" w:hAnsi="仿宋" w:eastAsia="仿宋"/>
          <w:bCs/>
          <w:color w:val="auto"/>
          <w:sz w:val="24"/>
          <w:highlight w:val="none"/>
          <w:lang w:val="en-US" w:eastAsia="zh-CN"/>
        </w:rPr>
        <w:t xml:space="preserve">    </w:t>
      </w:r>
      <w:r>
        <w:rPr>
          <w:rFonts w:hint="eastAsia" w:ascii="仿宋" w:hAnsi="仿宋" w:eastAsia="仿宋"/>
          <w:bCs/>
          <w:color w:val="auto"/>
          <w:sz w:val="24"/>
          <w:highlight w:val="none"/>
        </w:rPr>
        <w:t xml:space="preserve">         </w:t>
      </w:r>
      <w:r>
        <w:rPr>
          <w:rFonts w:hint="eastAsia" w:ascii="仿宋" w:hAnsi="仿宋" w:eastAsia="仿宋"/>
          <w:szCs w:val="28"/>
          <w:highlight w:val="none"/>
        </w:rPr>
        <w:t xml:space="preserve">   </w:t>
      </w:r>
    </w:p>
    <w:p>
      <w:pPr>
        <w:rPr>
          <w:rFonts w:hint="eastAsia" w:ascii="仿宋" w:hAnsi="仿宋" w:eastAsia="仿宋"/>
          <w:bCs/>
          <w:color w:val="auto"/>
          <w:sz w:val="24"/>
          <w:highlight w:val="none"/>
        </w:rPr>
      </w:pPr>
    </w:p>
    <w:p>
      <w:pPr>
        <w:rPr>
          <w:rFonts w:hint="eastAsia" w:ascii="仿宋" w:hAnsi="仿宋" w:eastAsia="仿宋"/>
          <w:bCs/>
          <w:color w:val="auto"/>
          <w:sz w:val="24"/>
          <w:highlight w:val="none"/>
        </w:rPr>
      </w:pPr>
    </w:p>
    <w:p>
      <w:pPr>
        <w:rPr>
          <w:rFonts w:hint="eastAsia" w:ascii="仿宋" w:hAnsi="仿宋" w:eastAsia="仿宋"/>
          <w:bCs/>
          <w:color w:val="auto"/>
          <w:sz w:val="24"/>
          <w:highlight w:val="none"/>
        </w:rPr>
      </w:pPr>
    </w:p>
    <w:p>
      <w:pPr>
        <w:rPr>
          <w:rFonts w:hint="eastAsia" w:ascii="仿宋" w:hAnsi="仿宋" w:eastAsia="仿宋"/>
          <w:bCs/>
          <w:color w:val="auto"/>
          <w:sz w:val="24"/>
          <w:highlight w:val="none"/>
        </w:rPr>
      </w:pPr>
    </w:p>
    <w:p>
      <w:pPr>
        <w:rPr>
          <w:rFonts w:ascii="宋体" w:hAnsi="宋体" w:cs="宋体"/>
          <w:b/>
          <w:bCs/>
          <w:szCs w:val="32"/>
          <w:highlight w:val="none"/>
        </w:rPr>
      </w:pPr>
      <w:r>
        <w:rPr>
          <w:rFonts w:hint="eastAsia" w:ascii="仿宋" w:hAnsi="仿宋" w:eastAsia="仿宋"/>
          <w:bCs/>
          <w:color w:val="auto"/>
          <w:sz w:val="24"/>
          <w:highlight w:val="none"/>
        </w:rPr>
        <w:t xml:space="preserve">                                </w:t>
      </w:r>
      <w:r>
        <w:rPr>
          <w:rFonts w:hint="eastAsia" w:ascii="仿宋" w:hAnsi="仿宋" w:eastAsia="仿宋"/>
          <w:bCs/>
          <w:color w:val="auto"/>
          <w:sz w:val="24"/>
          <w:highlight w:val="none"/>
          <w:lang w:val="en-US" w:eastAsia="zh-CN"/>
        </w:rPr>
        <w:t xml:space="preserve">                </w:t>
      </w:r>
      <w:r>
        <w:rPr>
          <w:rFonts w:hint="eastAsia" w:ascii="仿宋" w:hAnsi="仿宋" w:eastAsia="仿宋"/>
          <w:bCs/>
          <w:color w:val="auto"/>
          <w:sz w:val="24"/>
          <w:highlight w:val="none"/>
        </w:rPr>
        <w:t xml:space="preserve">   日期：    年  月  日</w:t>
      </w:r>
      <w:r>
        <w:rPr>
          <w:rFonts w:ascii="宋体"/>
          <w:b/>
          <w:bCs/>
          <w:kern w:val="0"/>
          <w:highlight w:val="none"/>
        </w:rPr>
        <w:br w:type="page"/>
      </w:r>
      <w:bookmarkStart w:id="70" w:name="_Toc12538"/>
      <w:bookmarkStart w:id="71" w:name="_Toc1314"/>
      <w:bookmarkStart w:id="72" w:name="_Toc18299"/>
      <w:bookmarkStart w:id="73" w:name="_Toc2207"/>
      <w:bookmarkStart w:id="74" w:name="_Toc23374"/>
      <w:bookmarkStart w:id="75" w:name="_Toc3996"/>
      <w:bookmarkStart w:id="76" w:name="_Toc29010"/>
      <w:bookmarkStart w:id="77" w:name="_Toc23451"/>
      <w:bookmarkStart w:id="78" w:name="_Toc20993"/>
      <w:bookmarkStart w:id="79" w:name="_Toc25322"/>
      <w:bookmarkStart w:id="80" w:name="_Toc30954"/>
      <w:bookmarkStart w:id="81" w:name="_Toc8057"/>
      <w:bookmarkStart w:id="82" w:name="_Toc2398"/>
      <w:bookmarkStart w:id="83" w:name="_Toc8711"/>
      <w:bookmarkStart w:id="84" w:name="_Toc11939"/>
      <w:bookmarkStart w:id="85" w:name="_Toc5001"/>
      <w:bookmarkStart w:id="86" w:name="_Toc28797"/>
      <w:bookmarkStart w:id="87" w:name="_Toc12729"/>
      <w:bookmarkStart w:id="88" w:name="_Toc8218"/>
      <w:bookmarkStart w:id="89" w:name="_Toc2020"/>
      <w:bookmarkStart w:id="90" w:name="_Toc8613"/>
      <w:bookmarkStart w:id="91" w:name="_Toc23745"/>
      <w:bookmarkStart w:id="92" w:name="_Toc11687"/>
      <w:bookmarkStart w:id="93" w:name="_Toc14114"/>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表7-2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eastAsia="zh-CN"/>
        </w:rPr>
        <w:t>专家评审核查表</w:t>
      </w:r>
      <w:r>
        <w:rPr>
          <w:rFonts w:hint="eastAsia" w:ascii="方正小标宋简体" w:hAnsi="方正小标宋简体" w:eastAsia="方正小标宋简体" w:cs="方正小标宋简体"/>
          <w:bCs/>
          <w:color w:val="auto"/>
          <w:sz w:val="44"/>
          <w:szCs w:val="44"/>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《建设工程质量检测机构管理办法》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eastAsia="zh-CN"/>
        </w:rPr>
        <w:t>《建设工程质量检测机构资质标准》</w:t>
      </w:r>
    </w:p>
    <w:p>
      <w:pPr>
        <w:tabs>
          <w:tab w:val="left" w:leader="underscore" w:pos="3780"/>
          <w:tab w:val="left" w:leader="underscore" w:pos="4200"/>
          <w:tab w:val="left" w:leader="underscore" w:pos="5880"/>
          <w:tab w:val="left" w:leader="underscore" w:pos="6720"/>
          <w:tab w:val="left" w:leader="underscore" w:pos="8820"/>
        </w:tabs>
        <w:ind w:left="-210" w:leftChars="-100"/>
        <w:rPr>
          <w:rFonts w:hint="eastAsia" w:ascii="宋体" w:hAnsi="宋体" w:cs="宋体"/>
          <w:color w:val="auto"/>
          <w:sz w:val="18"/>
          <w:szCs w:val="18"/>
          <w:highlight w:val="none"/>
          <w:lang w:val="en-US" w:eastAsia="zh-CN"/>
        </w:rPr>
      </w:pPr>
    </w:p>
    <w:p>
      <w:pPr>
        <w:tabs>
          <w:tab w:val="left" w:leader="underscore" w:pos="3780"/>
          <w:tab w:val="left" w:leader="underscore" w:pos="4200"/>
          <w:tab w:val="left" w:leader="underscore" w:pos="5880"/>
          <w:tab w:val="left" w:leader="underscore" w:pos="6720"/>
          <w:tab w:val="left" w:leader="underscore" w:pos="8820"/>
        </w:tabs>
        <w:ind w:left="-210" w:leftChars="-100"/>
        <w:rPr>
          <w:rFonts w:ascii="宋体" w:hAnsi="宋体" w:cs="宋体"/>
          <w:bCs/>
          <w:color w:val="auto"/>
          <w:sz w:val="18"/>
          <w:szCs w:val="18"/>
          <w:highlight w:val="none"/>
        </w:rPr>
      </w:pPr>
      <w:r>
        <w:rPr>
          <w:rFonts w:hint="eastAsia" w:ascii="宋体" w:hAnsi="宋体" w:cs="宋体"/>
          <w:color w:val="auto"/>
          <w:sz w:val="18"/>
          <w:szCs w:val="18"/>
          <w:highlight w:val="none"/>
          <w:lang w:val="en-US" w:eastAsia="zh-CN"/>
        </w:rPr>
        <w:t>检测</w:t>
      </w:r>
      <w:r>
        <w:rPr>
          <w:rFonts w:hint="eastAsia" w:ascii="宋体" w:hAnsi="宋体" w:cs="宋体"/>
          <w:color w:val="auto"/>
          <w:sz w:val="18"/>
          <w:szCs w:val="18"/>
          <w:highlight w:val="none"/>
        </w:rPr>
        <w:t>机构名称：</w:t>
      </w:r>
      <w:r>
        <w:rPr>
          <w:rFonts w:hint="eastAsia"/>
          <w:sz w:val="24"/>
          <w:szCs w:val="24"/>
          <w:highlight w:val="none"/>
          <w:u w:val="single"/>
        </w:rPr>
        <w:t>　　　　　　　　　　　　　　　　　　　　　　　</w:t>
      </w:r>
      <w:r>
        <w:rPr>
          <w:rFonts w:ascii="宋体" w:hAnsi="宋体" w:cs="宋体"/>
          <w:color w:val="auto"/>
          <w:sz w:val="18"/>
          <w:szCs w:val="18"/>
          <w:highlight w:val="none"/>
        </w:rPr>
        <w:t xml:space="preserve"> </w:t>
      </w:r>
    </w:p>
    <w:p>
      <w:pPr>
        <w:tabs>
          <w:tab w:val="left" w:leader="underscore" w:pos="9660"/>
          <w:tab w:val="left" w:leader="underscore" w:pos="13860"/>
          <w:tab w:val="left" w:pos="14280"/>
          <w:tab w:val="left" w:pos="14490"/>
        </w:tabs>
        <w:ind w:left="-210" w:leftChars="-100"/>
        <w:jc w:val="left"/>
        <w:rPr>
          <w:rFonts w:ascii="宋体" w:hAnsi="宋体" w:cs="宋体"/>
          <w:color w:val="auto"/>
          <w:sz w:val="18"/>
          <w:szCs w:val="18"/>
          <w:highlight w:val="none"/>
        </w:rPr>
      </w:pPr>
      <w:r>
        <w:rPr>
          <w:rFonts w:hint="eastAsia" w:ascii="宋体" w:hAnsi="宋体" w:cs="宋体"/>
          <w:color w:val="auto"/>
          <w:sz w:val="18"/>
          <w:szCs w:val="18"/>
          <w:highlight w:val="none"/>
        </w:rPr>
        <w:t>检测场所地址</w:t>
      </w:r>
      <w:r>
        <w:rPr>
          <w:rFonts w:hint="eastAsia" w:ascii="宋体" w:hAnsi="宋体" w:cs="宋体"/>
          <w:color w:val="auto"/>
          <w:sz w:val="18"/>
          <w:szCs w:val="18"/>
          <w:highlight w:val="none"/>
          <w:lang w:val="en-US" w:eastAsia="zh-CN"/>
        </w:rPr>
        <w:t>**</w:t>
      </w:r>
      <w:r>
        <w:rPr>
          <w:rFonts w:hint="eastAsia" w:ascii="宋体" w:hAnsi="宋体" w:cs="宋体"/>
          <w:color w:val="auto"/>
          <w:sz w:val="18"/>
          <w:szCs w:val="18"/>
          <w:highlight w:val="none"/>
        </w:rPr>
        <w:t>：</w:t>
      </w:r>
      <w:r>
        <w:rPr>
          <w:rFonts w:hint="eastAsia"/>
          <w:sz w:val="24"/>
          <w:szCs w:val="24"/>
          <w:highlight w:val="none"/>
          <w:u w:val="single"/>
        </w:rPr>
        <w:t>　　　　　　　　　　　　　　　　　　　　　　</w:t>
      </w:r>
    </w:p>
    <w:tbl>
      <w:tblPr>
        <w:tblStyle w:val="14"/>
        <w:tblW w:w="562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2"/>
        <w:gridCol w:w="6902"/>
        <w:gridCol w:w="482"/>
        <w:gridCol w:w="394"/>
        <w:gridCol w:w="434"/>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877" w:type="dxa"/>
            <w:vMerge w:val="restart"/>
            <w:tcMar>
              <w:left w:w="28" w:type="dxa"/>
              <w:right w:w="57" w:type="dxa"/>
            </w:tcMar>
            <w:vAlign w:val="center"/>
          </w:tcPr>
          <w:p>
            <w:pPr>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条款号</w:t>
            </w:r>
          </w:p>
        </w:tc>
        <w:tc>
          <w:tcPr>
            <w:tcW w:w="6864" w:type="dxa"/>
            <w:vMerge w:val="restart"/>
            <w:vAlign w:val="center"/>
          </w:tcPr>
          <w:p>
            <w:pPr>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评审项目</w:t>
            </w:r>
          </w:p>
        </w:tc>
        <w:tc>
          <w:tcPr>
            <w:tcW w:w="1303" w:type="dxa"/>
            <w:gridSpan w:val="3"/>
            <w:tcBorders>
              <w:bottom w:val="single" w:color="auto" w:sz="4" w:space="0"/>
            </w:tcBorders>
            <w:vAlign w:val="center"/>
          </w:tcPr>
          <w:p>
            <w:pPr>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rPr>
              <w:t>评审</w:t>
            </w:r>
            <w:r>
              <w:rPr>
                <w:rFonts w:hint="eastAsia" w:ascii="黑体" w:hAnsi="黑体" w:eastAsia="黑体" w:cs="黑体"/>
                <w:bCs/>
                <w:color w:val="auto"/>
                <w:szCs w:val="21"/>
                <w:highlight w:val="none"/>
                <w:lang w:val="en-US" w:eastAsia="zh-CN"/>
              </w:rPr>
              <w:t>结果</w:t>
            </w:r>
          </w:p>
        </w:tc>
        <w:tc>
          <w:tcPr>
            <w:tcW w:w="1009" w:type="dxa"/>
            <w:vMerge w:val="restart"/>
            <w:vAlign w:val="center"/>
          </w:tcPr>
          <w:p>
            <w:pPr>
              <w:jc w:val="center"/>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缺陷问题及说明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877" w:type="dxa"/>
            <w:vMerge w:val="continue"/>
            <w:vAlign w:val="center"/>
          </w:tcPr>
          <w:p>
            <w:pPr>
              <w:jc w:val="center"/>
              <w:rPr>
                <w:rFonts w:ascii="黑体" w:hAnsi="黑体" w:eastAsia="黑体" w:cs="黑体"/>
                <w:bCs/>
                <w:color w:val="auto"/>
                <w:sz w:val="24"/>
                <w:highlight w:val="none"/>
              </w:rPr>
            </w:pPr>
          </w:p>
        </w:tc>
        <w:tc>
          <w:tcPr>
            <w:tcW w:w="6864" w:type="dxa"/>
            <w:vMerge w:val="continue"/>
            <w:vAlign w:val="center"/>
          </w:tcPr>
          <w:p>
            <w:pPr>
              <w:jc w:val="center"/>
              <w:rPr>
                <w:rFonts w:ascii="黑体" w:hAnsi="黑体" w:eastAsia="黑体" w:cs="黑体"/>
                <w:bCs/>
                <w:color w:val="auto"/>
                <w:sz w:val="24"/>
                <w:highlight w:val="none"/>
              </w:rPr>
            </w:pPr>
          </w:p>
        </w:tc>
        <w:tc>
          <w:tcPr>
            <w:tcW w:w="479" w:type="dxa"/>
            <w:tcBorders>
              <w:top w:val="single" w:color="auto" w:sz="4" w:space="0"/>
            </w:tcBorders>
            <w:tcMar>
              <w:left w:w="57" w:type="dxa"/>
              <w:right w:w="57" w:type="dxa"/>
            </w:tcMar>
            <w:vAlign w:val="center"/>
          </w:tcPr>
          <w:p>
            <w:pPr>
              <w:jc w:val="center"/>
              <w:rPr>
                <w:rFonts w:ascii="黑体" w:hAnsi="黑体" w:eastAsia="黑体" w:cs="黑体"/>
                <w:bCs/>
                <w:color w:val="auto"/>
                <w:spacing w:val="-20"/>
                <w:szCs w:val="21"/>
                <w:highlight w:val="none"/>
              </w:rPr>
            </w:pPr>
            <w:r>
              <w:rPr>
                <w:rFonts w:hint="eastAsia" w:ascii="黑体" w:hAnsi="黑体" w:eastAsia="黑体" w:cs="黑体"/>
                <w:bCs/>
                <w:color w:val="auto"/>
                <w:szCs w:val="21"/>
                <w:highlight w:val="none"/>
              </w:rPr>
              <w:t>符合</w:t>
            </w:r>
          </w:p>
        </w:tc>
        <w:tc>
          <w:tcPr>
            <w:tcW w:w="392" w:type="dxa"/>
            <w:tcBorders>
              <w:top w:val="single" w:color="auto" w:sz="4" w:space="0"/>
            </w:tcBorders>
            <w:tcMar>
              <w:left w:w="57" w:type="dxa"/>
              <w:right w:w="57" w:type="dxa"/>
            </w:tcMar>
            <w:vAlign w:val="center"/>
          </w:tcPr>
          <w:p>
            <w:pPr>
              <w:ind w:left="-105" w:leftChars="-50" w:right="-105" w:rightChars="-50"/>
              <w:jc w:val="center"/>
              <w:rPr>
                <w:rFonts w:hint="eastAsia" w:ascii="黑体" w:hAnsi="黑体" w:eastAsia="黑体" w:cs="黑体"/>
                <w:bCs/>
                <w:color w:val="auto"/>
                <w:szCs w:val="21"/>
                <w:highlight w:val="none"/>
                <w:lang w:val="en-US" w:eastAsia="zh-CN"/>
              </w:rPr>
            </w:pPr>
            <w:r>
              <w:rPr>
                <w:rFonts w:hint="eastAsia" w:ascii="黑体" w:hAnsi="黑体" w:eastAsia="黑体" w:cs="黑体"/>
                <w:bCs/>
                <w:color w:val="auto"/>
                <w:szCs w:val="21"/>
                <w:highlight w:val="none"/>
                <w:lang w:val="en-US" w:eastAsia="zh-CN"/>
              </w:rPr>
              <w:t>不</w:t>
            </w:r>
          </w:p>
          <w:p>
            <w:pPr>
              <w:ind w:left="-105" w:leftChars="-50" w:right="-105" w:rightChars="-50"/>
              <w:jc w:val="center"/>
              <w:rPr>
                <w:rFonts w:hint="eastAsia" w:ascii="黑体" w:hAnsi="黑体" w:eastAsia="黑体" w:cs="黑体"/>
                <w:bCs/>
                <w:color w:val="auto"/>
                <w:szCs w:val="21"/>
                <w:highlight w:val="none"/>
                <w:lang w:val="en-US" w:eastAsia="zh-CN"/>
              </w:rPr>
            </w:pPr>
            <w:r>
              <w:rPr>
                <w:rFonts w:hint="eastAsia" w:ascii="黑体" w:hAnsi="黑体" w:eastAsia="黑体" w:cs="黑体"/>
                <w:bCs/>
                <w:color w:val="auto"/>
                <w:szCs w:val="21"/>
                <w:highlight w:val="none"/>
                <w:lang w:val="en-US" w:eastAsia="zh-CN"/>
              </w:rPr>
              <w:t>符</w:t>
            </w:r>
          </w:p>
          <w:p>
            <w:pPr>
              <w:ind w:left="-105" w:leftChars="-50" w:right="-105" w:rightChars="-50"/>
              <w:jc w:val="center"/>
              <w:rPr>
                <w:rFonts w:ascii="黑体" w:hAnsi="黑体" w:eastAsia="黑体" w:cs="黑体"/>
                <w:bCs/>
                <w:color w:val="auto"/>
                <w:szCs w:val="21"/>
                <w:highlight w:val="none"/>
              </w:rPr>
            </w:pPr>
            <w:r>
              <w:rPr>
                <w:rFonts w:hint="eastAsia" w:ascii="黑体" w:hAnsi="黑体" w:eastAsia="黑体" w:cs="黑体"/>
                <w:bCs/>
                <w:color w:val="auto"/>
                <w:szCs w:val="21"/>
                <w:highlight w:val="none"/>
                <w:lang w:val="en-US" w:eastAsia="zh-CN"/>
              </w:rPr>
              <w:t>合</w:t>
            </w:r>
          </w:p>
        </w:tc>
        <w:tc>
          <w:tcPr>
            <w:tcW w:w="432" w:type="dxa"/>
            <w:tcBorders>
              <w:top w:val="single" w:color="auto" w:sz="4" w:space="0"/>
            </w:tcBorders>
            <w:vAlign w:val="center"/>
          </w:tcPr>
          <w:p>
            <w:pPr>
              <w:jc w:val="center"/>
              <w:rPr>
                <w:rFonts w:hint="eastAsia" w:ascii="黑体" w:hAnsi="黑体" w:eastAsia="黑体" w:cs="黑体"/>
                <w:bCs/>
                <w:color w:val="auto"/>
                <w:sz w:val="24"/>
                <w:highlight w:val="none"/>
                <w:lang w:val="en-US" w:eastAsia="zh-CN"/>
              </w:rPr>
            </w:pPr>
            <w:r>
              <w:rPr>
                <w:rFonts w:hint="eastAsia" w:ascii="黑体" w:hAnsi="黑体" w:eastAsia="黑体" w:cs="黑体"/>
                <w:bCs/>
                <w:color w:val="auto"/>
                <w:szCs w:val="21"/>
                <w:highlight w:val="none"/>
                <w:lang w:val="en-US" w:eastAsia="zh-CN"/>
              </w:rPr>
              <w:t>不适用</w:t>
            </w:r>
          </w:p>
        </w:tc>
        <w:tc>
          <w:tcPr>
            <w:tcW w:w="1009" w:type="dxa"/>
            <w:vMerge w:val="continue"/>
            <w:vAlign w:val="center"/>
          </w:tcPr>
          <w:p>
            <w:pPr>
              <w:jc w:val="center"/>
              <w:rPr>
                <w:rFonts w:ascii="黑体" w:hAnsi="黑体" w:eastAsia="黑体" w:cs="黑体"/>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53" w:type="dxa"/>
            <w:gridSpan w:val="6"/>
            <w:vAlign w:val="center"/>
          </w:tcPr>
          <w:p>
            <w:pPr>
              <w:rPr>
                <w:rFonts w:hint="eastAsia" w:ascii="黑体" w:hAnsi="黑体" w:eastAsia="黑体" w:cs="黑体"/>
                <w:bCs/>
                <w:color w:val="auto"/>
                <w:sz w:val="18"/>
                <w:szCs w:val="18"/>
                <w:highlight w:val="none"/>
              </w:rPr>
            </w:pPr>
            <w:r>
              <w:rPr>
                <w:rFonts w:hint="eastAsia" w:ascii="黑体" w:hAnsi="黑体" w:eastAsia="黑体" w:cs="黑体"/>
                <w:bCs/>
                <w:color w:val="auto"/>
                <w:sz w:val="18"/>
                <w:szCs w:val="18"/>
                <w:highlight w:val="none"/>
              </w:rPr>
              <w:t>核查表填写要求：</w:t>
            </w:r>
          </w:p>
          <w:p>
            <w:pPr>
              <w:rPr>
                <w:rFonts w:hint="eastAsia" w:ascii="黑体" w:hAnsi="黑体" w:eastAsia="黑体" w:cs="黑体"/>
                <w:bCs/>
                <w:color w:val="auto"/>
                <w:sz w:val="18"/>
                <w:szCs w:val="18"/>
                <w:highlight w:val="none"/>
              </w:rPr>
            </w:pPr>
            <w:r>
              <w:rPr>
                <w:rFonts w:hint="eastAsia" w:ascii="黑体" w:hAnsi="黑体" w:eastAsia="黑体" w:cs="黑体"/>
                <w:bCs/>
                <w:color w:val="auto"/>
                <w:sz w:val="18"/>
                <w:szCs w:val="18"/>
                <w:highlight w:val="none"/>
              </w:rPr>
              <w:fldChar w:fldCharType="begin"/>
            </w:r>
            <w:r>
              <w:rPr>
                <w:rFonts w:hint="eastAsia" w:ascii="黑体" w:hAnsi="黑体" w:eastAsia="黑体" w:cs="黑体"/>
                <w:bCs/>
                <w:color w:val="auto"/>
                <w:sz w:val="18"/>
                <w:szCs w:val="18"/>
                <w:highlight w:val="none"/>
              </w:rPr>
              <w:instrText xml:space="preserve"> = 1 \* GB3 </w:instrText>
            </w:r>
            <w:r>
              <w:rPr>
                <w:rFonts w:hint="eastAsia" w:ascii="黑体" w:hAnsi="黑体" w:eastAsia="黑体" w:cs="黑体"/>
                <w:bCs/>
                <w:color w:val="auto"/>
                <w:sz w:val="18"/>
                <w:szCs w:val="18"/>
                <w:highlight w:val="none"/>
              </w:rPr>
              <w:fldChar w:fldCharType="separate"/>
            </w:r>
            <w:r>
              <w:rPr>
                <w:rFonts w:hint="eastAsia" w:ascii="黑体" w:hAnsi="黑体" w:eastAsia="黑体" w:cs="黑体"/>
                <w:bCs/>
                <w:color w:val="auto"/>
                <w:sz w:val="18"/>
                <w:szCs w:val="18"/>
                <w:highlight w:val="none"/>
              </w:rPr>
              <w:t>①</w:t>
            </w:r>
            <w:r>
              <w:rPr>
                <w:rFonts w:hint="eastAsia" w:ascii="黑体" w:hAnsi="黑体" w:eastAsia="黑体" w:cs="黑体"/>
                <w:bCs/>
                <w:color w:val="auto"/>
                <w:sz w:val="18"/>
                <w:szCs w:val="18"/>
                <w:highlight w:val="none"/>
              </w:rPr>
              <w:fldChar w:fldCharType="end"/>
            </w:r>
            <w:r>
              <w:rPr>
                <w:rFonts w:hint="eastAsia" w:ascii="黑体" w:hAnsi="黑体" w:eastAsia="黑体" w:cs="黑体"/>
                <w:bCs/>
                <w:color w:val="auto"/>
                <w:sz w:val="18"/>
                <w:szCs w:val="18"/>
                <w:highlight w:val="none"/>
              </w:rPr>
              <w:t xml:space="preserve"> 在评审结果相应的判定栏内划“√”。</w:t>
            </w:r>
          </w:p>
          <w:p>
            <w:pPr>
              <w:rPr>
                <w:rFonts w:hint="eastAsia" w:ascii="黑体" w:hAnsi="黑体" w:eastAsia="黑体" w:cs="黑体"/>
                <w:bCs/>
                <w:color w:val="auto"/>
                <w:sz w:val="18"/>
                <w:szCs w:val="18"/>
                <w:highlight w:val="none"/>
              </w:rPr>
            </w:pPr>
            <w:r>
              <w:rPr>
                <w:rFonts w:hint="eastAsia" w:ascii="黑体" w:hAnsi="黑体" w:eastAsia="黑体" w:cs="黑体"/>
                <w:bCs/>
                <w:color w:val="auto"/>
                <w:sz w:val="18"/>
                <w:szCs w:val="18"/>
                <w:highlight w:val="none"/>
              </w:rPr>
              <w:t>② “说明”应对不符合和不适用的具体事实予以说明。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44" w:type="dxa"/>
            <w:gridSpan w:val="5"/>
            <w:vAlign w:val="center"/>
          </w:tcPr>
          <w:p>
            <w:pPr>
              <w:rPr>
                <w:rFonts w:ascii="黑体" w:hAnsi="黑体" w:eastAsia="黑体" w:cs="黑体"/>
                <w:bCs/>
                <w:color w:val="auto"/>
                <w:sz w:val="18"/>
                <w:szCs w:val="18"/>
                <w:highlight w:val="none"/>
              </w:rPr>
            </w:pPr>
            <w:r>
              <w:rPr>
                <w:rFonts w:hint="eastAsia" w:ascii="黑体" w:hAnsi="黑体" w:eastAsia="黑体" w:cs="黑体"/>
                <w:bCs/>
                <w:color w:val="auto"/>
                <w:sz w:val="18"/>
                <w:szCs w:val="18"/>
                <w:highlight w:val="none"/>
              </w:rPr>
              <w:t>一、资历和信誉</w:t>
            </w:r>
          </w:p>
        </w:tc>
        <w:tc>
          <w:tcPr>
            <w:tcW w:w="1009" w:type="dxa"/>
            <w:vAlign w:val="center"/>
          </w:tcPr>
          <w:p>
            <w:pPr>
              <w:rPr>
                <w:rFonts w:hint="eastAsia" w:ascii="黑体" w:hAnsi="黑体" w:eastAsia="黑体" w:cs="黑体"/>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77" w:type="dxa"/>
            <w:vAlign w:val="center"/>
          </w:tcPr>
          <w:p>
            <w:pPr>
              <w:jc w:val="center"/>
              <w:rPr>
                <w:rFonts w:ascii="宋体" w:hAnsi="宋体" w:cs="宋体"/>
                <w:b/>
                <w:color w:val="auto"/>
                <w:sz w:val="18"/>
                <w:szCs w:val="18"/>
                <w:highlight w:val="none"/>
              </w:rPr>
            </w:pPr>
            <w:r>
              <w:rPr>
                <w:rFonts w:hint="eastAsia" w:ascii="宋体" w:hAnsi="宋体" w:cs="宋体"/>
                <w:color w:val="auto"/>
                <w:sz w:val="18"/>
                <w:szCs w:val="18"/>
                <w:highlight w:val="none"/>
              </w:rPr>
              <w:t>1.1</w:t>
            </w:r>
          </w:p>
        </w:tc>
        <w:tc>
          <w:tcPr>
            <w:tcW w:w="6864"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具有独立法人资格的企业、事业单位，或者依法设立的合伙企业</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77" w:type="dxa"/>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6864"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执照营业范围覆盖所申请检测类别。</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77" w:type="dxa"/>
            <w:vAlign w:val="center"/>
          </w:tcPr>
          <w:p>
            <w:pPr>
              <w:jc w:val="center"/>
              <w:rPr>
                <w:rFonts w:ascii="宋体" w:hAnsi="宋体" w:cs="宋体"/>
                <w:b/>
                <w:color w:val="auto"/>
                <w:sz w:val="18"/>
                <w:szCs w:val="18"/>
                <w:highlight w:val="none"/>
              </w:rPr>
            </w:pPr>
            <w:r>
              <w:rPr>
                <w:rFonts w:hint="eastAsia" w:ascii="宋体" w:hAnsi="宋体" w:cs="宋体"/>
                <w:color w:val="auto"/>
                <w:sz w:val="18"/>
                <w:szCs w:val="18"/>
                <w:highlight w:val="none"/>
              </w:rPr>
              <w:t>1.3</w:t>
            </w:r>
          </w:p>
        </w:tc>
        <w:tc>
          <w:tcPr>
            <w:tcW w:w="6864" w:type="dxa"/>
            <w:tcBorders>
              <w:bottom w:val="single" w:color="auto" w:sz="4" w:space="0"/>
            </w:tcBorders>
            <w:vAlign w:val="center"/>
          </w:tcPr>
          <w:p>
            <w:pPr>
              <w:tabs>
                <w:tab w:val="left" w:pos="6063"/>
                <w:tab w:val="left" w:pos="6300"/>
                <w:tab w:val="left" w:pos="6357"/>
                <w:tab w:val="left" w:pos="7980"/>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具有15年以上质量检测经历</w:t>
            </w:r>
          </w:p>
          <w:p>
            <w:pPr>
              <w:tabs>
                <w:tab w:val="left" w:pos="6063"/>
                <w:tab w:val="left" w:pos="6300"/>
                <w:tab w:val="left" w:pos="6357"/>
                <w:tab w:val="left" w:pos="7980"/>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具有3年以上质量检测工作经历</w:t>
            </w:r>
          </w:p>
          <w:p>
            <w:pPr>
              <w:tabs>
                <w:tab w:val="left" w:pos="6063"/>
                <w:tab w:val="left" w:pos="6300"/>
                <w:tab w:val="left" w:pos="6357"/>
                <w:tab w:val="left" w:pos="7980"/>
              </w:tabs>
              <w:jc w:val="left"/>
              <w:rPr>
                <w:color w:val="auto"/>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无检测工作经历要求</w:t>
            </w:r>
          </w:p>
        </w:tc>
        <w:tc>
          <w:tcPr>
            <w:tcW w:w="479" w:type="dxa"/>
            <w:tcBorders>
              <w:bottom w:val="single" w:color="auto" w:sz="4" w:space="0"/>
            </w:tcBorders>
            <w:vAlign w:val="center"/>
          </w:tcPr>
          <w:p>
            <w:pPr>
              <w:jc w:val="center"/>
              <w:rPr>
                <w:rFonts w:ascii="仿宋" w:hAnsi="仿宋"/>
                <w:color w:val="auto"/>
                <w:szCs w:val="21"/>
                <w:highlight w:val="none"/>
              </w:rPr>
            </w:pPr>
          </w:p>
        </w:tc>
        <w:tc>
          <w:tcPr>
            <w:tcW w:w="392" w:type="dxa"/>
            <w:tcBorders>
              <w:bottom w:val="single" w:color="auto" w:sz="4" w:space="0"/>
            </w:tcBorders>
            <w:vAlign w:val="center"/>
          </w:tcPr>
          <w:p>
            <w:pPr>
              <w:jc w:val="center"/>
              <w:rPr>
                <w:rFonts w:ascii="仿宋" w:hAnsi="仿宋"/>
                <w:color w:val="auto"/>
                <w:szCs w:val="21"/>
                <w:highlight w:val="none"/>
              </w:rPr>
            </w:pPr>
          </w:p>
        </w:tc>
        <w:tc>
          <w:tcPr>
            <w:tcW w:w="432" w:type="dxa"/>
            <w:tcBorders>
              <w:bottom w:val="single" w:color="auto" w:sz="4" w:space="0"/>
            </w:tcBorders>
            <w:vAlign w:val="center"/>
          </w:tcPr>
          <w:p>
            <w:pPr>
              <w:jc w:val="center"/>
              <w:rPr>
                <w:rFonts w:ascii="仿宋" w:hAnsi="仿宋"/>
                <w:color w:val="auto"/>
                <w:szCs w:val="21"/>
                <w:highlight w:val="none"/>
              </w:rPr>
            </w:pPr>
          </w:p>
        </w:tc>
        <w:tc>
          <w:tcPr>
            <w:tcW w:w="1009" w:type="dxa"/>
            <w:tcBorders>
              <w:bottom w:val="single" w:color="auto" w:sz="4" w:space="0"/>
            </w:tcBorders>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77" w:type="dxa"/>
            <w:vAlign w:val="center"/>
          </w:tcPr>
          <w:p>
            <w:pPr>
              <w:jc w:val="center"/>
              <w:rPr>
                <w:rFonts w:ascii="宋体" w:hAnsi="宋体" w:cs="宋体"/>
                <w:b/>
                <w:color w:val="auto"/>
                <w:sz w:val="18"/>
                <w:szCs w:val="18"/>
                <w:highlight w:val="none"/>
              </w:rPr>
            </w:pPr>
            <w:r>
              <w:rPr>
                <w:rFonts w:hint="eastAsia" w:ascii="宋体" w:hAnsi="宋体" w:cs="宋体"/>
                <w:color w:val="auto"/>
                <w:sz w:val="18"/>
                <w:szCs w:val="18"/>
                <w:highlight w:val="none"/>
              </w:rPr>
              <w:t>1.4</w:t>
            </w:r>
          </w:p>
        </w:tc>
        <w:tc>
          <w:tcPr>
            <w:tcW w:w="6864" w:type="dxa"/>
            <w:tcBorders>
              <w:bottom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具有建筑材料及构配件（或市政工程材料）、主体结构及装饰装修、建筑节能、钢结构、地基基础5个专项资质和其它2个专项资质</w:t>
            </w:r>
          </w:p>
        </w:tc>
        <w:tc>
          <w:tcPr>
            <w:tcW w:w="479" w:type="dxa"/>
            <w:tcBorders>
              <w:bottom w:val="single" w:color="auto" w:sz="4" w:space="0"/>
            </w:tcBorders>
            <w:vAlign w:val="center"/>
          </w:tcPr>
          <w:p>
            <w:pPr>
              <w:jc w:val="center"/>
              <w:rPr>
                <w:rFonts w:ascii="仿宋" w:hAnsi="仿宋"/>
                <w:color w:val="auto"/>
                <w:szCs w:val="21"/>
                <w:highlight w:val="none"/>
              </w:rPr>
            </w:pPr>
          </w:p>
        </w:tc>
        <w:tc>
          <w:tcPr>
            <w:tcW w:w="392" w:type="dxa"/>
            <w:tcBorders>
              <w:bottom w:val="single" w:color="auto" w:sz="4" w:space="0"/>
            </w:tcBorders>
            <w:vAlign w:val="center"/>
          </w:tcPr>
          <w:p>
            <w:pPr>
              <w:jc w:val="center"/>
              <w:rPr>
                <w:rFonts w:ascii="仿宋" w:hAnsi="仿宋"/>
                <w:color w:val="auto"/>
                <w:szCs w:val="21"/>
                <w:highlight w:val="none"/>
              </w:rPr>
            </w:pPr>
          </w:p>
        </w:tc>
        <w:tc>
          <w:tcPr>
            <w:tcW w:w="432" w:type="dxa"/>
            <w:tcBorders>
              <w:bottom w:val="single" w:color="auto" w:sz="4" w:space="0"/>
            </w:tcBorders>
            <w:vAlign w:val="center"/>
          </w:tcPr>
          <w:p>
            <w:pPr>
              <w:jc w:val="center"/>
              <w:rPr>
                <w:rFonts w:ascii="仿宋" w:hAnsi="仿宋"/>
                <w:color w:val="auto"/>
                <w:szCs w:val="21"/>
                <w:highlight w:val="none"/>
              </w:rPr>
            </w:pPr>
          </w:p>
        </w:tc>
        <w:tc>
          <w:tcPr>
            <w:tcW w:w="1009" w:type="dxa"/>
            <w:tcBorders>
              <w:bottom w:val="single" w:color="auto" w:sz="4" w:space="0"/>
            </w:tcBorders>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77" w:type="dxa"/>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1.5</w:t>
            </w:r>
          </w:p>
        </w:tc>
        <w:tc>
          <w:tcPr>
            <w:tcW w:w="6864" w:type="dxa"/>
            <w:tcBorders>
              <w:bottom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具备所申请专项资质的全部必备检测参数</w:t>
            </w:r>
          </w:p>
          <w:p>
            <w:pPr>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具备9个专项资质全部必备检测参数</w:t>
            </w:r>
          </w:p>
        </w:tc>
        <w:tc>
          <w:tcPr>
            <w:tcW w:w="479" w:type="dxa"/>
            <w:tcBorders>
              <w:bottom w:val="single" w:color="auto" w:sz="4" w:space="0"/>
            </w:tcBorders>
            <w:vAlign w:val="center"/>
          </w:tcPr>
          <w:p>
            <w:pPr>
              <w:jc w:val="center"/>
              <w:rPr>
                <w:rFonts w:ascii="仿宋" w:hAnsi="仿宋"/>
                <w:color w:val="auto"/>
                <w:szCs w:val="21"/>
                <w:highlight w:val="none"/>
              </w:rPr>
            </w:pPr>
          </w:p>
        </w:tc>
        <w:tc>
          <w:tcPr>
            <w:tcW w:w="392" w:type="dxa"/>
            <w:tcBorders>
              <w:bottom w:val="single" w:color="auto" w:sz="4" w:space="0"/>
            </w:tcBorders>
            <w:vAlign w:val="center"/>
          </w:tcPr>
          <w:p>
            <w:pPr>
              <w:jc w:val="center"/>
              <w:rPr>
                <w:rFonts w:ascii="仿宋" w:hAnsi="仿宋"/>
                <w:color w:val="auto"/>
                <w:szCs w:val="21"/>
                <w:highlight w:val="none"/>
              </w:rPr>
            </w:pPr>
          </w:p>
        </w:tc>
        <w:tc>
          <w:tcPr>
            <w:tcW w:w="432" w:type="dxa"/>
            <w:tcBorders>
              <w:bottom w:val="single" w:color="auto" w:sz="4" w:space="0"/>
            </w:tcBorders>
            <w:vAlign w:val="center"/>
          </w:tcPr>
          <w:p>
            <w:pPr>
              <w:jc w:val="center"/>
              <w:rPr>
                <w:rFonts w:ascii="仿宋" w:hAnsi="仿宋"/>
                <w:color w:val="auto"/>
                <w:szCs w:val="21"/>
                <w:highlight w:val="none"/>
              </w:rPr>
            </w:pPr>
          </w:p>
        </w:tc>
        <w:tc>
          <w:tcPr>
            <w:tcW w:w="1009" w:type="dxa"/>
            <w:tcBorders>
              <w:bottom w:val="single" w:color="auto" w:sz="4" w:space="0"/>
            </w:tcBorders>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77" w:type="dxa"/>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1.6</w:t>
            </w:r>
          </w:p>
        </w:tc>
        <w:tc>
          <w:tcPr>
            <w:tcW w:w="6864"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社会信誉良好，近3年未发生过一般及以上工程质量安全责任事故</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77" w:type="dxa"/>
            <w:vAlign w:val="center"/>
          </w:tcPr>
          <w:p>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7</w:t>
            </w:r>
          </w:p>
        </w:tc>
        <w:tc>
          <w:tcPr>
            <w:tcW w:w="6864" w:type="dxa"/>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已通过市场监管部门资质认定的证书及附表</w:t>
            </w:r>
            <w:r>
              <w:rPr>
                <w:rFonts w:hint="eastAsia" w:ascii="宋体" w:hAnsi="宋体" w:cs="宋体"/>
                <w:color w:val="auto"/>
                <w:sz w:val="18"/>
                <w:szCs w:val="18"/>
                <w:highlight w:val="none"/>
                <w:lang w:val="en-US" w:eastAsia="zh-CN"/>
              </w:rPr>
              <w:t>等</w:t>
            </w:r>
            <w:r>
              <w:rPr>
                <w:rFonts w:hint="eastAsia" w:ascii="宋体" w:hAnsi="宋体" w:cs="宋体"/>
                <w:color w:val="auto"/>
                <w:sz w:val="18"/>
                <w:szCs w:val="18"/>
                <w:highlight w:val="none"/>
              </w:rPr>
              <w:t>在有效期内，涵盖拟申请项目、参数</w:t>
            </w:r>
            <w:r>
              <w:rPr>
                <w:rFonts w:hint="eastAsia" w:ascii="宋体" w:hAnsi="宋体" w:cs="宋体"/>
                <w:color w:val="auto"/>
                <w:sz w:val="18"/>
                <w:szCs w:val="18"/>
                <w:highlight w:val="none"/>
                <w:lang w:eastAsia="zh-CN"/>
              </w:rPr>
              <w:t>。</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77" w:type="dxa"/>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8</w:t>
            </w:r>
          </w:p>
        </w:tc>
        <w:tc>
          <w:tcPr>
            <w:tcW w:w="6864" w:type="dxa"/>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已有建设工程质量检测机构专项资质证书</w:t>
            </w:r>
            <w:r>
              <w:rPr>
                <w:rFonts w:hint="eastAsia" w:ascii="宋体" w:hAnsi="宋体" w:cs="宋体"/>
                <w:color w:val="auto"/>
                <w:sz w:val="18"/>
                <w:szCs w:val="18"/>
                <w:highlight w:val="none"/>
              </w:rPr>
              <w:t>在有效期内</w:t>
            </w:r>
            <w:r>
              <w:rPr>
                <w:rFonts w:hint="eastAsia" w:ascii="宋体" w:hAnsi="宋体" w:cs="宋体"/>
                <w:color w:val="auto"/>
                <w:sz w:val="18"/>
                <w:szCs w:val="18"/>
                <w:highlight w:val="none"/>
                <w:lang w:eastAsia="zh-CN"/>
              </w:rPr>
              <w:t>。</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77" w:type="dxa"/>
            <w:vAlign w:val="center"/>
          </w:tcPr>
          <w:p>
            <w:pPr>
              <w:jc w:val="center"/>
              <w:rPr>
                <w:rFonts w:hint="eastAsia" w:ascii="宋体" w:hAnsi="宋体" w:eastAsia="宋体" w:cs="宋体"/>
                <w:b/>
                <w:color w:val="auto"/>
                <w:sz w:val="18"/>
                <w:szCs w:val="18"/>
                <w:highlight w:val="none"/>
                <w:lang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9</w:t>
            </w:r>
          </w:p>
        </w:tc>
        <w:tc>
          <w:tcPr>
            <w:tcW w:w="6864" w:type="dxa"/>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申请</w:t>
            </w:r>
            <w:r>
              <w:rPr>
                <w:rFonts w:hint="eastAsia" w:ascii="宋体" w:hAnsi="宋体" w:cs="宋体"/>
                <w:color w:val="auto"/>
                <w:sz w:val="18"/>
                <w:szCs w:val="18"/>
                <w:highlight w:val="none"/>
                <w:lang w:val="en-US" w:eastAsia="zh-CN"/>
              </w:rPr>
              <w:t>综合</w:t>
            </w:r>
            <w:r>
              <w:rPr>
                <w:rFonts w:hint="eastAsia" w:ascii="仿宋" w:hAnsi="仿宋"/>
                <w:color w:val="auto"/>
                <w:sz w:val="18"/>
                <w:szCs w:val="18"/>
                <w:highlight w:val="none"/>
              </w:rPr>
              <w:t>资质</w:t>
            </w:r>
            <w:r>
              <w:rPr>
                <w:rFonts w:hint="eastAsia" w:ascii="仿宋" w:hAnsi="仿宋"/>
                <w:color w:val="auto"/>
                <w:sz w:val="18"/>
                <w:szCs w:val="18"/>
                <w:highlight w:val="none"/>
                <w:lang w:val="en-US" w:eastAsia="zh-CN"/>
              </w:rPr>
              <w:t>或资质增项（含增加参数）</w:t>
            </w:r>
            <w:r>
              <w:rPr>
                <w:rFonts w:hint="eastAsia" w:ascii="仿宋" w:hAnsi="仿宋"/>
                <w:color w:val="auto"/>
                <w:sz w:val="18"/>
                <w:szCs w:val="18"/>
                <w:highlight w:val="none"/>
              </w:rPr>
              <w:t>的</w:t>
            </w:r>
            <w:r>
              <w:rPr>
                <w:rFonts w:hint="eastAsia" w:ascii="宋体" w:hAnsi="宋体" w:cs="宋体"/>
                <w:color w:val="auto"/>
                <w:sz w:val="18"/>
                <w:szCs w:val="18"/>
                <w:highlight w:val="none"/>
              </w:rPr>
              <w:t>检测机构</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在申请之日起前一年内有下列行为的，资质许可机关不予批准其申请：</w:t>
            </w:r>
          </w:p>
          <w:p>
            <w:pPr>
              <w:tabs>
                <w:tab w:val="left" w:pos="6063"/>
                <w:tab w:val="left" w:pos="6300"/>
                <w:tab w:val="left" w:pos="6357"/>
                <w:tab w:val="left" w:pos="7980"/>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1、超出资质许可范围从事建设工程质量检测活动</w:t>
            </w:r>
            <w:r>
              <w:rPr>
                <w:rFonts w:ascii="宋体" w:hAnsi="宋体" w:cs="宋体"/>
                <w:color w:val="auto"/>
                <w:sz w:val="18"/>
                <w:szCs w:val="18"/>
                <w:highlight w:val="none"/>
              </w:rPr>
              <w:tab/>
            </w:r>
          </w:p>
          <w:p>
            <w:pPr>
              <w:tabs>
                <w:tab w:val="left" w:pos="6063"/>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2、转包或者违法分包建设工程质量检测业务</w:t>
            </w:r>
            <w:r>
              <w:rPr>
                <w:rFonts w:ascii="宋体" w:hAnsi="宋体" w:cs="宋体"/>
                <w:color w:val="auto"/>
                <w:sz w:val="18"/>
                <w:szCs w:val="18"/>
                <w:highlight w:val="none"/>
              </w:rPr>
              <w:tab/>
            </w:r>
          </w:p>
          <w:p>
            <w:pPr>
              <w:tabs>
                <w:tab w:val="left" w:pos="6063"/>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3、涂改、倒卖、出租、出借或者以其他形式非法转让资质证书</w:t>
            </w:r>
            <w:r>
              <w:rPr>
                <w:rFonts w:ascii="宋体" w:hAnsi="宋体" w:cs="宋体"/>
                <w:color w:val="auto"/>
                <w:sz w:val="18"/>
                <w:szCs w:val="18"/>
                <w:highlight w:val="none"/>
              </w:rPr>
              <w:tab/>
            </w:r>
          </w:p>
          <w:p>
            <w:pPr>
              <w:tabs>
                <w:tab w:val="left" w:pos="6063"/>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4、违反工程建设强制性标准进行检测</w:t>
            </w:r>
            <w:r>
              <w:rPr>
                <w:rFonts w:ascii="宋体" w:hAnsi="宋体" w:cs="宋体"/>
                <w:color w:val="auto"/>
                <w:sz w:val="18"/>
                <w:szCs w:val="18"/>
                <w:highlight w:val="none"/>
              </w:rPr>
              <w:tab/>
            </w:r>
          </w:p>
          <w:p>
            <w:pPr>
              <w:tabs>
                <w:tab w:val="left" w:pos="6063"/>
                <w:tab w:val="left" w:pos="7980"/>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5、使用不能满足所开展建设工程质量检测活动要求的检测人员或者仪器设备</w:t>
            </w:r>
            <w:r>
              <w:rPr>
                <w:rFonts w:ascii="宋体" w:hAnsi="宋体" w:cs="宋体"/>
                <w:color w:val="auto"/>
                <w:sz w:val="18"/>
                <w:szCs w:val="18"/>
                <w:highlight w:val="none"/>
              </w:rPr>
              <w:tab/>
            </w:r>
            <w:r>
              <w:rPr>
                <w:rFonts w:hint="eastAsia" w:ascii="宋体" w:hAnsi="宋体" w:cs="宋体"/>
                <w:color w:val="auto"/>
                <w:sz w:val="18"/>
                <w:szCs w:val="18"/>
                <w:highlight w:val="none"/>
              </w:rPr>
              <w:sym w:font="Wingdings 2" w:char="00A3"/>
            </w:r>
          </w:p>
          <w:p>
            <w:pPr>
              <w:tabs>
                <w:tab w:val="left" w:pos="6063"/>
              </w:tabs>
              <w:ind w:right="27" w:rightChars="13"/>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6、出具虚假的检测数据或者检测报告</w:t>
            </w:r>
            <w:r>
              <w:rPr>
                <w:rFonts w:ascii="宋体" w:hAnsi="宋体" w:cs="宋体"/>
                <w:color w:val="auto"/>
                <w:sz w:val="18"/>
                <w:szCs w:val="18"/>
                <w:highlight w:val="none"/>
              </w:rPr>
              <w:tab/>
            </w:r>
          </w:p>
        </w:tc>
        <w:tc>
          <w:tcPr>
            <w:tcW w:w="479" w:type="dxa"/>
            <w:vAlign w:val="center"/>
          </w:tcPr>
          <w:p>
            <w:pPr>
              <w:ind w:left="-962" w:leftChars="-458"/>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877" w:type="dxa"/>
            <w:vAlign w:val="center"/>
          </w:tcPr>
          <w:p>
            <w:pPr>
              <w:jc w:val="center"/>
              <w:rPr>
                <w:rFonts w:hint="default" w:ascii="仿宋" w:hAnsi="仿宋" w:eastAsia="宋体" w:cs="Times New Roman"/>
                <w:b/>
                <w:color w:val="auto"/>
                <w:kern w:val="2"/>
                <w:sz w:val="18"/>
                <w:szCs w:val="18"/>
                <w:highlight w:val="none"/>
                <w:lang w:val="en-US" w:eastAsia="zh-CN" w:bidi="ar-SA"/>
              </w:rPr>
            </w:pPr>
            <w:r>
              <w:rPr>
                <w:rFonts w:hint="eastAsia" w:ascii="仿宋" w:hAnsi="仿宋"/>
                <w:color w:val="auto"/>
                <w:sz w:val="18"/>
                <w:szCs w:val="18"/>
                <w:highlight w:val="none"/>
                <w:lang w:val="en-US" w:eastAsia="zh-CN"/>
              </w:rPr>
              <w:t>2.0</w:t>
            </w:r>
          </w:p>
        </w:tc>
        <w:tc>
          <w:tcPr>
            <w:tcW w:w="6864" w:type="dxa"/>
            <w:vAlign w:val="center"/>
          </w:tcPr>
          <w:p>
            <w:pPr>
              <w:jc w:val="left"/>
              <w:rPr>
                <w:rFonts w:hint="eastAsia" w:ascii="仿宋" w:hAnsi="仿宋"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rPr>
              <w:t>申请</w:t>
            </w:r>
            <w:r>
              <w:rPr>
                <w:rFonts w:hint="eastAsia" w:ascii="宋体" w:hAnsi="宋体" w:cs="宋体"/>
                <w:color w:val="auto"/>
                <w:sz w:val="18"/>
                <w:szCs w:val="18"/>
                <w:highlight w:val="none"/>
                <w:lang w:val="en-US" w:eastAsia="zh-CN"/>
              </w:rPr>
              <w:t>综合</w:t>
            </w:r>
            <w:r>
              <w:rPr>
                <w:rFonts w:hint="eastAsia" w:ascii="仿宋" w:hAnsi="仿宋"/>
                <w:color w:val="auto"/>
                <w:sz w:val="18"/>
                <w:szCs w:val="18"/>
                <w:highlight w:val="none"/>
              </w:rPr>
              <w:t>资质</w:t>
            </w:r>
            <w:r>
              <w:rPr>
                <w:rFonts w:hint="eastAsia" w:ascii="仿宋" w:hAnsi="仿宋"/>
                <w:color w:val="auto"/>
                <w:sz w:val="18"/>
                <w:szCs w:val="18"/>
                <w:highlight w:val="none"/>
                <w:lang w:val="en-US" w:eastAsia="zh-CN"/>
              </w:rPr>
              <w:t>或资质增项（含增加参数）</w:t>
            </w:r>
            <w:r>
              <w:rPr>
                <w:rFonts w:hint="eastAsia" w:ascii="仿宋" w:hAnsi="仿宋"/>
                <w:color w:val="auto"/>
                <w:sz w:val="18"/>
                <w:szCs w:val="18"/>
                <w:highlight w:val="none"/>
              </w:rPr>
              <w:t>的</w:t>
            </w:r>
            <w:r>
              <w:rPr>
                <w:rFonts w:hint="eastAsia" w:ascii="宋体" w:hAnsi="宋体" w:cs="宋体"/>
                <w:color w:val="auto"/>
                <w:sz w:val="18"/>
                <w:szCs w:val="18"/>
                <w:highlight w:val="none"/>
              </w:rPr>
              <w:t>检测机构，</w:t>
            </w:r>
            <w:r>
              <w:rPr>
                <w:rFonts w:hint="eastAsia" w:ascii="宋体" w:hAnsi="宋体" w:cs="宋体"/>
                <w:color w:val="auto"/>
                <w:sz w:val="18"/>
                <w:szCs w:val="18"/>
                <w:highlight w:val="none"/>
                <w:lang w:val="en-US" w:eastAsia="zh-CN"/>
              </w:rPr>
              <w:t>存在按照《建设工程质量检测管理办法》第三十五条应当整改但尚未完成整改的，</w:t>
            </w:r>
            <w:r>
              <w:rPr>
                <w:rFonts w:hint="eastAsia" w:ascii="宋体" w:hAnsi="宋体" w:cs="宋体"/>
                <w:color w:val="auto"/>
                <w:sz w:val="18"/>
                <w:szCs w:val="18"/>
                <w:highlight w:val="none"/>
              </w:rPr>
              <w:t>资质许可机关不予批准其申请</w:t>
            </w:r>
            <w:r>
              <w:rPr>
                <w:rFonts w:hint="eastAsia" w:ascii="宋体" w:hAnsi="宋体" w:cs="宋体"/>
                <w:color w:val="auto"/>
                <w:sz w:val="18"/>
                <w:szCs w:val="18"/>
                <w:highlight w:val="none"/>
                <w:lang w:eastAsia="zh-CN"/>
              </w:rPr>
              <w:t>。</w:t>
            </w:r>
            <w:r>
              <w:rPr>
                <w:rFonts w:ascii="宋体" w:hAnsi="宋体" w:cs="宋体"/>
                <w:color w:val="auto"/>
                <w:sz w:val="18"/>
                <w:szCs w:val="18"/>
                <w:highlight w:val="none"/>
              </w:rPr>
              <w:tab/>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1" w:hRule="atLeast"/>
          <w:jc w:val="center"/>
        </w:trPr>
        <w:tc>
          <w:tcPr>
            <w:tcW w:w="877" w:type="dxa"/>
            <w:vAlign w:val="center"/>
          </w:tcPr>
          <w:p>
            <w:pPr>
              <w:jc w:val="center"/>
              <w:rPr>
                <w:rFonts w:hint="default" w:ascii="仿宋" w:hAnsi="仿宋" w:eastAsia="宋体"/>
                <w:b/>
                <w:color w:val="auto"/>
                <w:sz w:val="18"/>
                <w:szCs w:val="18"/>
                <w:highlight w:val="none"/>
                <w:lang w:val="en-US" w:eastAsia="zh-CN"/>
              </w:rPr>
            </w:pPr>
            <w:r>
              <w:rPr>
                <w:rFonts w:hint="eastAsia" w:ascii="仿宋" w:hAnsi="仿宋"/>
                <w:color w:val="auto"/>
                <w:sz w:val="18"/>
                <w:szCs w:val="18"/>
                <w:highlight w:val="none"/>
                <w:lang w:val="en-US" w:eastAsia="zh-CN"/>
              </w:rPr>
              <w:t>2.1</w:t>
            </w:r>
          </w:p>
        </w:tc>
        <w:tc>
          <w:tcPr>
            <w:tcW w:w="6864" w:type="dxa"/>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申请</w:t>
            </w:r>
            <w:r>
              <w:rPr>
                <w:rFonts w:hint="eastAsia" w:ascii="仿宋" w:hAnsi="仿宋"/>
                <w:color w:val="auto"/>
                <w:sz w:val="18"/>
                <w:szCs w:val="18"/>
                <w:highlight w:val="none"/>
              </w:rPr>
              <w:t>资质延续的</w:t>
            </w:r>
            <w:r>
              <w:rPr>
                <w:rFonts w:hint="eastAsia" w:ascii="宋体" w:hAnsi="宋体" w:cs="宋体"/>
                <w:color w:val="auto"/>
                <w:sz w:val="18"/>
                <w:szCs w:val="18"/>
                <w:highlight w:val="none"/>
              </w:rPr>
              <w:t>检测机构，资质有效期内有下列行为的，资质许可机关不予批准其申请：</w:t>
            </w:r>
          </w:p>
          <w:p>
            <w:pPr>
              <w:tabs>
                <w:tab w:val="left" w:pos="6063"/>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1、超出资质许可范围从事建设工程质量检测活动</w:t>
            </w:r>
            <w:r>
              <w:rPr>
                <w:rFonts w:ascii="宋体" w:hAnsi="宋体" w:cs="宋体"/>
                <w:color w:val="auto"/>
                <w:sz w:val="18"/>
                <w:szCs w:val="18"/>
                <w:highlight w:val="none"/>
              </w:rPr>
              <w:tab/>
            </w:r>
          </w:p>
          <w:p>
            <w:pPr>
              <w:tabs>
                <w:tab w:val="left" w:pos="6063"/>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2、转包或者违法分包建设工程质量检测业务</w:t>
            </w:r>
            <w:r>
              <w:rPr>
                <w:rFonts w:ascii="宋体" w:hAnsi="宋体" w:cs="宋体"/>
                <w:color w:val="auto"/>
                <w:sz w:val="18"/>
                <w:szCs w:val="18"/>
                <w:highlight w:val="none"/>
              </w:rPr>
              <w:tab/>
            </w:r>
          </w:p>
          <w:p>
            <w:pPr>
              <w:tabs>
                <w:tab w:val="left" w:pos="6063"/>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3、涂改、倒卖、出租、出借或者以其他形式非法转让资质证书</w:t>
            </w:r>
            <w:r>
              <w:rPr>
                <w:rFonts w:ascii="宋体" w:hAnsi="宋体" w:cs="宋体"/>
                <w:color w:val="auto"/>
                <w:sz w:val="18"/>
                <w:szCs w:val="18"/>
                <w:highlight w:val="none"/>
              </w:rPr>
              <w:tab/>
            </w:r>
          </w:p>
          <w:p>
            <w:pPr>
              <w:tabs>
                <w:tab w:val="left" w:pos="6063"/>
                <w:tab w:val="left" w:pos="7980"/>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4、违反工程建设强制性标准进行检测</w:t>
            </w:r>
            <w:r>
              <w:rPr>
                <w:rFonts w:ascii="宋体" w:hAnsi="宋体" w:cs="宋体"/>
                <w:color w:val="auto"/>
                <w:sz w:val="18"/>
                <w:szCs w:val="18"/>
                <w:highlight w:val="none"/>
              </w:rPr>
              <w:tab/>
            </w:r>
          </w:p>
          <w:p>
            <w:pPr>
              <w:tabs>
                <w:tab w:val="left" w:pos="6063"/>
                <w:tab w:val="left" w:pos="7980"/>
              </w:tabs>
              <w:jc w:val="left"/>
              <w:rPr>
                <w:rFonts w:ascii="宋体" w:hAnsi="宋体" w:cs="宋体"/>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5、使用不能满足所开展建设工程质量检测活动要求的检测人员或者仪器设备</w:t>
            </w:r>
            <w:r>
              <w:rPr>
                <w:rFonts w:ascii="宋体" w:hAnsi="宋体" w:cs="宋体"/>
                <w:color w:val="auto"/>
                <w:sz w:val="18"/>
                <w:szCs w:val="18"/>
                <w:highlight w:val="none"/>
              </w:rPr>
              <w:tab/>
            </w:r>
            <w:r>
              <w:rPr>
                <w:rFonts w:hint="eastAsia" w:ascii="宋体" w:hAnsi="宋体" w:cs="宋体"/>
                <w:color w:val="auto"/>
                <w:sz w:val="18"/>
                <w:szCs w:val="18"/>
                <w:highlight w:val="none"/>
              </w:rPr>
              <w:sym w:font="Wingdings 2" w:char="00A3"/>
            </w:r>
          </w:p>
          <w:p>
            <w:pPr>
              <w:tabs>
                <w:tab w:val="left" w:pos="6063"/>
              </w:tabs>
              <w:jc w:val="left"/>
              <w:rPr>
                <w:rFonts w:ascii="仿宋" w:hAnsi="仿宋"/>
                <w:color w:val="auto"/>
                <w:sz w:val="18"/>
                <w:szCs w:val="18"/>
                <w:highlight w:val="none"/>
              </w:rPr>
            </w:pPr>
            <w:r>
              <w:rPr>
                <w:rFonts w:hint="eastAsia" w:ascii="宋体" w:hAnsi="宋体" w:cs="宋体"/>
                <w:color w:val="auto"/>
                <w:sz w:val="18"/>
                <w:szCs w:val="18"/>
                <w:highlight w:val="none"/>
              </w:rPr>
              <w:sym w:font="Wingdings 2" w:char="00A3"/>
            </w:r>
            <w:r>
              <w:rPr>
                <w:rFonts w:hint="eastAsia" w:ascii="宋体" w:hAnsi="宋体" w:cs="宋体"/>
                <w:color w:val="auto"/>
                <w:sz w:val="18"/>
                <w:szCs w:val="18"/>
                <w:highlight w:val="none"/>
              </w:rPr>
              <w:t>6、出具虚假的检测数据或者检测报告</w:t>
            </w:r>
            <w:r>
              <w:rPr>
                <w:rFonts w:ascii="宋体" w:hAnsi="宋体" w:cs="宋体"/>
                <w:color w:val="auto"/>
                <w:sz w:val="18"/>
                <w:szCs w:val="18"/>
                <w:highlight w:val="none"/>
              </w:rPr>
              <w:tab/>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44" w:type="dxa"/>
            <w:gridSpan w:val="5"/>
            <w:vAlign w:val="center"/>
          </w:tcPr>
          <w:p>
            <w:pPr>
              <w:rPr>
                <w:rFonts w:ascii="仿宋" w:hAnsi="仿宋" w:eastAsia="仿宋"/>
                <w:color w:val="auto"/>
                <w:sz w:val="18"/>
                <w:szCs w:val="18"/>
                <w:highlight w:val="none"/>
              </w:rPr>
            </w:pPr>
            <w:r>
              <w:rPr>
                <w:rFonts w:hint="eastAsia" w:ascii="仿宋" w:hAnsi="仿宋"/>
                <w:b/>
                <w:color w:val="auto"/>
                <w:sz w:val="18"/>
                <w:szCs w:val="18"/>
                <w:highlight w:val="none"/>
              </w:rPr>
              <w:t>二、主要人员</w:t>
            </w:r>
          </w:p>
        </w:tc>
        <w:tc>
          <w:tcPr>
            <w:tcW w:w="1009" w:type="dxa"/>
            <w:vAlign w:val="center"/>
          </w:tcPr>
          <w:p>
            <w:pPr>
              <w:rPr>
                <w:rFonts w:hint="eastAsia" w:ascii="仿宋" w:hAnsi="仿宋"/>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7" w:type="dxa"/>
            <w:tcBorders>
              <w:right w:val="single" w:color="auto" w:sz="4" w:space="0"/>
            </w:tcBorders>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2.1</w:t>
            </w:r>
          </w:p>
        </w:tc>
        <w:tc>
          <w:tcPr>
            <w:tcW w:w="6864" w:type="dxa"/>
            <w:tcBorders>
              <w:left w:val="single" w:color="auto" w:sz="4" w:space="0"/>
              <w:right w:val="single" w:color="auto" w:sz="4" w:space="0"/>
            </w:tcBorders>
            <w:vAlign w:val="center"/>
          </w:tcPr>
          <w:p>
            <w:pPr>
              <w:tabs>
                <w:tab w:val="left" w:pos="7980"/>
              </w:tabs>
              <w:jc w:val="left"/>
              <w:rPr>
                <w:color w:val="auto"/>
                <w:sz w:val="18"/>
                <w:szCs w:val="18"/>
                <w:highlight w:val="none"/>
              </w:rPr>
            </w:pPr>
            <w:r>
              <w:rPr>
                <w:rFonts w:hint="eastAsia" w:ascii="宋体" w:hAnsi="宋体" w:cs="宋体"/>
                <w:color w:val="auto"/>
                <w:sz w:val="18"/>
                <w:szCs w:val="18"/>
                <w:highlight w:val="none"/>
              </w:rPr>
              <w:sym w:font="Wingdings 2" w:char="00A3"/>
            </w:r>
            <w:r>
              <w:rPr>
                <w:color w:val="auto"/>
                <w:sz w:val="18"/>
                <w:szCs w:val="18"/>
                <w:highlight w:val="none"/>
              </w:rPr>
              <w:t>技术负责人具有工程类专业正高级技术职称且质量检测工作经历≥</w:t>
            </w:r>
            <w:r>
              <w:rPr>
                <w:rFonts w:hint="eastAsia" w:ascii="宋体" w:hAnsi="宋体" w:cs="宋体"/>
                <w:color w:val="auto"/>
                <w:sz w:val="18"/>
                <w:szCs w:val="18"/>
                <w:highlight w:val="none"/>
              </w:rPr>
              <w:sym w:font="Wingdings 2" w:char="00A3"/>
            </w:r>
            <w:r>
              <w:rPr>
                <w:color w:val="auto"/>
                <w:sz w:val="18"/>
                <w:szCs w:val="18"/>
                <w:highlight w:val="none"/>
              </w:rPr>
              <w:t xml:space="preserve"> 8年</w:t>
            </w:r>
          </w:p>
          <w:p>
            <w:pPr>
              <w:tabs>
                <w:tab w:val="left" w:pos="7980"/>
              </w:tabs>
              <w:jc w:val="left"/>
              <w:rPr>
                <w:color w:val="auto"/>
                <w:highlight w:val="none"/>
              </w:rPr>
            </w:pPr>
            <w:r>
              <w:rPr>
                <w:rFonts w:hint="eastAsia" w:ascii="宋体" w:hAnsi="宋体" w:cs="宋体"/>
                <w:color w:val="auto"/>
                <w:sz w:val="18"/>
                <w:szCs w:val="18"/>
                <w:highlight w:val="none"/>
              </w:rPr>
              <w:sym w:font="Wingdings 2" w:char="00A3"/>
            </w:r>
            <w:r>
              <w:rPr>
                <w:color w:val="auto"/>
                <w:sz w:val="18"/>
                <w:szCs w:val="18"/>
                <w:highlight w:val="none"/>
              </w:rPr>
              <w:t>技术负责人具有工程类专业</w:t>
            </w:r>
            <w:r>
              <w:rPr>
                <w:rFonts w:hint="eastAsia"/>
                <w:color w:val="auto"/>
                <w:sz w:val="18"/>
                <w:szCs w:val="18"/>
                <w:highlight w:val="none"/>
              </w:rPr>
              <w:t>高级及以上</w:t>
            </w:r>
            <w:r>
              <w:rPr>
                <w:color w:val="auto"/>
                <w:sz w:val="18"/>
                <w:szCs w:val="18"/>
                <w:highlight w:val="none"/>
              </w:rPr>
              <w:t>技术职称且质量检测工作经历≥</w:t>
            </w:r>
            <w:r>
              <w:rPr>
                <w:rFonts w:hint="eastAsia" w:ascii="宋体" w:hAnsi="宋体" w:cs="宋体"/>
                <w:color w:val="auto"/>
                <w:sz w:val="18"/>
                <w:szCs w:val="18"/>
                <w:highlight w:val="none"/>
              </w:rPr>
              <w:sym w:font="Wingdings 2" w:char="00A3"/>
            </w:r>
            <w:r>
              <w:rPr>
                <w:color w:val="auto"/>
                <w:sz w:val="18"/>
                <w:szCs w:val="18"/>
                <w:highlight w:val="none"/>
              </w:rPr>
              <w:t xml:space="preserve"> 5年</w:t>
            </w:r>
          </w:p>
        </w:tc>
        <w:tc>
          <w:tcPr>
            <w:tcW w:w="479" w:type="dxa"/>
            <w:tcBorders>
              <w:left w:val="single" w:color="auto" w:sz="4" w:space="0"/>
              <w:right w:val="single" w:color="auto" w:sz="4" w:space="0"/>
            </w:tcBorders>
            <w:vAlign w:val="center"/>
          </w:tcPr>
          <w:p>
            <w:pPr>
              <w:rPr>
                <w:rFonts w:ascii="仿宋" w:hAnsi="仿宋"/>
                <w:b/>
                <w:color w:val="auto"/>
                <w:sz w:val="24"/>
                <w:highlight w:val="none"/>
              </w:rPr>
            </w:pPr>
          </w:p>
        </w:tc>
        <w:tc>
          <w:tcPr>
            <w:tcW w:w="392" w:type="dxa"/>
            <w:tcBorders>
              <w:left w:val="single" w:color="auto" w:sz="4" w:space="0"/>
              <w:right w:val="single" w:color="auto" w:sz="4" w:space="0"/>
            </w:tcBorders>
            <w:vAlign w:val="center"/>
          </w:tcPr>
          <w:p>
            <w:pPr>
              <w:rPr>
                <w:rFonts w:ascii="仿宋" w:hAnsi="仿宋"/>
                <w:b/>
                <w:color w:val="auto"/>
                <w:sz w:val="24"/>
                <w:highlight w:val="none"/>
              </w:rPr>
            </w:pPr>
          </w:p>
        </w:tc>
        <w:tc>
          <w:tcPr>
            <w:tcW w:w="432" w:type="dxa"/>
            <w:tcBorders>
              <w:left w:val="single" w:color="auto" w:sz="4" w:space="0"/>
            </w:tcBorders>
            <w:vAlign w:val="center"/>
          </w:tcPr>
          <w:p>
            <w:pPr>
              <w:rPr>
                <w:rFonts w:ascii="仿宋" w:hAnsi="仿宋"/>
                <w:b/>
                <w:color w:val="auto"/>
                <w:sz w:val="24"/>
                <w:highlight w:val="none"/>
              </w:rPr>
            </w:pPr>
          </w:p>
        </w:tc>
        <w:tc>
          <w:tcPr>
            <w:tcW w:w="1009" w:type="dxa"/>
            <w:tcBorders>
              <w:left w:val="single" w:color="auto" w:sz="4" w:space="0"/>
            </w:tcBorders>
            <w:vAlign w:val="center"/>
          </w:tcPr>
          <w:p>
            <w:pPr>
              <w:rPr>
                <w:rFonts w:ascii="仿宋" w:hAnsi="仿宋"/>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7" w:type="dxa"/>
            <w:tcBorders>
              <w:right w:val="single" w:color="auto" w:sz="4" w:space="0"/>
            </w:tcBorders>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2.2</w:t>
            </w:r>
          </w:p>
        </w:tc>
        <w:tc>
          <w:tcPr>
            <w:tcW w:w="6864" w:type="dxa"/>
            <w:tcBorders>
              <w:left w:val="single" w:color="auto" w:sz="4" w:space="0"/>
              <w:right w:val="single" w:color="auto" w:sz="4" w:space="0"/>
            </w:tcBorders>
            <w:vAlign w:val="center"/>
          </w:tcPr>
          <w:p>
            <w:pPr>
              <w:tabs>
                <w:tab w:val="left" w:pos="7980"/>
              </w:tabs>
              <w:jc w:val="left"/>
              <w:rPr>
                <w:color w:val="auto"/>
                <w:sz w:val="18"/>
                <w:szCs w:val="18"/>
                <w:highlight w:val="none"/>
              </w:rPr>
            </w:pPr>
            <w:r>
              <w:rPr>
                <w:rFonts w:hint="eastAsia" w:ascii="宋体" w:hAnsi="宋体" w:cs="宋体"/>
                <w:color w:val="auto"/>
                <w:sz w:val="18"/>
                <w:szCs w:val="18"/>
                <w:highlight w:val="none"/>
              </w:rPr>
              <w:sym w:font="Wingdings 2" w:char="00A3"/>
            </w:r>
            <w:r>
              <w:rPr>
                <w:color w:val="auto"/>
                <w:sz w:val="18"/>
                <w:szCs w:val="18"/>
                <w:highlight w:val="none"/>
              </w:rPr>
              <w:t>质量负责人具有工程类专业高级及以上技术职称</w:t>
            </w:r>
            <w:r>
              <w:rPr>
                <w:rFonts w:hint="eastAsia"/>
                <w:color w:val="auto"/>
                <w:sz w:val="18"/>
                <w:szCs w:val="18"/>
                <w:highlight w:val="none"/>
              </w:rPr>
              <w:t>且</w:t>
            </w:r>
            <w:r>
              <w:rPr>
                <w:color w:val="auto"/>
                <w:sz w:val="18"/>
                <w:szCs w:val="18"/>
                <w:highlight w:val="none"/>
              </w:rPr>
              <w:t>质量检测工作经历≥ 8年</w:t>
            </w:r>
          </w:p>
          <w:p>
            <w:pPr>
              <w:tabs>
                <w:tab w:val="left" w:pos="7980"/>
              </w:tabs>
              <w:jc w:val="left"/>
              <w:rPr>
                <w:color w:val="auto"/>
                <w:highlight w:val="none"/>
              </w:rPr>
            </w:pPr>
            <w:r>
              <w:rPr>
                <w:rFonts w:hint="eastAsia" w:ascii="宋体" w:hAnsi="宋体" w:cs="宋体"/>
                <w:color w:val="auto"/>
                <w:sz w:val="18"/>
                <w:szCs w:val="18"/>
                <w:highlight w:val="none"/>
              </w:rPr>
              <w:sym w:font="Wingdings 2" w:char="00A3"/>
            </w:r>
            <w:r>
              <w:rPr>
                <w:color w:val="auto"/>
                <w:sz w:val="18"/>
                <w:szCs w:val="18"/>
                <w:highlight w:val="none"/>
              </w:rPr>
              <w:t>质量负责人具有工程类专业</w:t>
            </w:r>
            <w:r>
              <w:rPr>
                <w:rFonts w:hint="eastAsia"/>
                <w:color w:val="auto"/>
                <w:sz w:val="18"/>
                <w:szCs w:val="18"/>
                <w:highlight w:val="none"/>
              </w:rPr>
              <w:t>中</w:t>
            </w:r>
            <w:r>
              <w:rPr>
                <w:color w:val="auto"/>
                <w:sz w:val="18"/>
                <w:szCs w:val="18"/>
                <w:highlight w:val="none"/>
              </w:rPr>
              <w:t>级及以上技术职称</w:t>
            </w:r>
            <w:r>
              <w:rPr>
                <w:rFonts w:hint="eastAsia"/>
                <w:color w:val="auto"/>
                <w:sz w:val="18"/>
                <w:szCs w:val="18"/>
                <w:highlight w:val="none"/>
              </w:rPr>
              <w:t>且</w:t>
            </w:r>
            <w:r>
              <w:rPr>
                <w:color w:val="auto"/>
                <w:sz w:val="18"/>
                <w:szCs w:val="18"/>
                <w:highlight w:val="none"/>
              </w:rPr>
              <w:t>质量检测工作经历≥ 5年</w:t>
            </w:r>
          </w:p>
        </w:tc>
        <w:tc>
          <w:tcPr>
            <w:tcW w:w="479" w:type="dxa"/>
            <w:tcBorders>
              <w:left w:val="single" w:color="auto" w:sz="4" w:space="0"/>
              <w:right w:val="single" w:color="auto" w:sz="4" w:space="0"/>
            </w:tcBorders>
            <w:vAlign w:val="center"/>
          </w:tcPr>
          <w:p>
            <w:pPr>
              <w:rPr>
                <w:rFonts w:ascii="仿宋" w:hAnsi="仿宋"/>
                <w:b/>
                <w:color w:val="auto"/>
                <w:sz w:val="24"/>
                <w:highlight w:val="none"/>
              </w:rPr>
            </w:pPr>
          </w:p>
        </w:tc>
        <w:tc>
          <w:tcPr>
            <w:tcW w:w="392" w:type="dxa"/>
            <w:tcBorders>
              <w:left w:val="single" w:color="auto" w:sz="4" w:space="0"/>
              <w:right w:val="single" w:color="auto" w:sz="4" w:space="0"/>
            </w:tcBorders>
            <w:vAlign w:val="center"/>
          </w:tcPr>
          <w:p>
            <w:pPr>
              <w:rPr>
                <w:rFonts w:ascii="仿宋" w:hAnsi="仿宋"/>
                <w:b/>
                <w:color w:val="auto"/>
                <w:sz w:val="24"/>
                <w:highlight w:val="none"/>
              </w:rPr>
            </w:pPr>
          </w:p>
        </w:tc>
        <w:tc>
          <w:tcPr>
            <w:tcW w:w="432" w:type="dxa"/>
            <w:tcBorders>
              <w:left w:val="single" w:color="auto" w:sz="4" w:space="0"/>
            </w:tcBorders>
            <w:vAlign w:val="center"/>
          </w:tcPr>
          <w:p>
            <w:pPr>
              <w:rPr>
                <w:rFonts w:ascii="仿宋" w:hAnsi="仿宋"/>
                <w:b/>
                <w:color w:val="auto"/>
                <w:sz w:val="24"/>
                <w:highlight w:val="none"/>
              </w:rPr>
            </w:pPr>
          </w:p>
        </w:tc>
        <w:tc>
          <w:tcPr>
            <w:tcW w:w="1009" w:type="dxa"/>
            <w:tcBorders>
              <w:left w:val="single" w:color="auto" w:sz="4" w:space="0"/>
            </w:tcBorders>
            <w:vAlign w:val="center"/>
          </w:tcPr>
          <w:p>
            <w:pPr>
              <w:rPr>
                <w:rFonts w:ascii="仿宋" w:hAnsi="仿宋"/>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7" w:type="dxa"/>
            <w:tcBorders>
              <w:right w:val="single" w:color="auto" w:sz="4" w:space="0"/>
            </w:tcBorders>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2.3</w:t>
            </w:r>
          </w:p>
        </w:tc>
        <w:tc>
          <w:tcPr>
            <w:tcW w:w="6864" w:type="dxa"/>
            <w:tcBorders>
              <w:left w:val="single" w:color="auto" w:sz="4" w:space="0"/>
              <w:right w:val="single" w:color="auto" w:sz="4" w:space="0"/>
            </w:tcBorders>
            <w:vAlign w:val="center"/>
          </w:tcPr>
          <w:p>
            <w:pPr>
              <w:tabs>
                <w:tab w:val="left" w:pos="7980"/>
              </w:tabs>
              <w:jc w:val="left"/>
              <w:rPr>
                <w:color w:val="auto"/>
                <w:sz w:val="18"/>
                <w:szCs w:val="18"/>
                <w:highlight w:val="none"/>
              </w:rPr>
            </w:pPr>
            <w:r>
              <w:rPr>
                <w:rFonts w:hint="eastAsia" w:ascii="宋体" w:hAnsi="宋体" w:cs="宋体"/>
                <w:color w:val="auto"/>
                <w:sz w:val="18"/>
                <w:szCs w:val="18"/>
                <w:highlight w:val="none"/>
              </w:rPr>
              <w:sym w:font="Wingdings 2" w:char="00A3"/>
            </w:r>
            <w:r>
              <w:rPr>
                <w:color w:val="auto"/>
                <w:sz w:val="18"/>
                <w:szCs w:val="18"/>
                <w:highlight w:val="none"/>
              </w:rPr>
              <w:t>注册结构工程师≥ 4名（一级注册结构工程师≥ 2名），注册土木工程师（岩土）≥ 2名，且均具有2年以上质量检测工作经历</w:t>
            </w:r>
          </w:p>
          <w:p>
            <w:pPr>
              <w:tabs>
                <w:tab w:val="left" w:pos="7980"/>
              </w:tabs>
              <w:jc w:val="left"/>
              <w:rPr>
                <w:color w:val="auto"/>
                <w:sz w:val="18"/>
                <w:szCs w:val="18"/>
                <w:highlight w:val="none"/>
              </w:rPr>
            </w:pPr>
            <w:r>
              <w:rPr>
                <w:rFonts w:hint="eastAsia" w:ascii="宋体" w:hAnsi="宋体" w:cs="宋体"/>
                <w:color w:val="auto"/>
                <w:sz w:val="18"/>
                <w:szCs w:val="18"/>
                <w:highlight w:val="none"/>
              </w:rPr>
              <w:sym w:font="Wingdings 2" w:char="00A3"/>
            </w:r>
            <w:r>
              <w:rPr>
                <w:color w:val="auto"/>
                <w:sz w:val="18"/>
                <w:szCs w:val="18"/>
                <w:highlight w:val="none"/>
              </w:rPr>
              <w:t>一级注册结构工程师≥ 1名，注册土木工程师（岩土）≥ 1名，且均具有2年以上质量检测工作经历</w:t>
            </w:r>
          </w:p>
          <w:p>
            <w:pPr>
              <w:tabs>
                <w:tab w:val="left" w:pos="7980"/>
              </w:tabs>
              <w:jc w:val="left"/>
              <w:rPr>
                <w:color w:val="auto"/>
                <w:sz w:val="18"/>
                <w:szCs w:val="18"/>
                <w:highlight w:val="none"/>
              </w:rPr>
            </w:pPr>
            <w:r>
              <w:rPr>
                <w:rFonts w:hint="eastAsia" w:ascii="宋体" w:hAnsi="宋体" w:cs="宋体"/>
                <w:color w:val="auto"/>
                <w:sz w:val="18"/>
                <w:szCs w:val="18"/>
                <w:highlight w:val="none"/>
              </w:rPr>
              <w:sym w:font="Wingdings 2" w:char="00A3"/>
            </w:r>
            <w:r>
              <w:rPr>
                <w:rFonts w:hint="eastAsia"/>
                <w:color w:val="auto"/>
                <w:sz w:val="18"/>
                <w:szCs w:val="18"/>
                <w:highlight w:val="none"/>
              </w:rPr>
              <w:t>二级</w:t>
            </w:r>
            <w:r>
              <w:rPr>
                <w:color w:val="auto"/>
                <w:sz w:val="18"/>
                <w:szCs w:val="18"/>
                <w:highlight w:val="none"/>
              </w:rPr>
              <w:t>注册结构工程师≥ 1名，具有2年以上质量检测工作经历</w:t>
            </w:r>
          </w:p>
          <w:p>
            <w:pPr>
              <w:tabs>
                <w:tab w:val="left" w:pos="7980"/>
              </w:tabs>
              <w:jc w:val="left"/>
              <w:rPr>
                <w:color w:val="auto"/>
                <w:sz w:val="18"/>
                <w:szCs w:val="18"/>
                <w:highlight w:val="none"/>
              </w:rPr>
            </w:pPr>
            <w:r>
              <w:rPr>
                <w:rFonts w:hint="eastAsia" w:ascii="宋体" w:hAnsi="宋体" w:cs="宋体"/>
                <w:color w:val="auto"/>
                <w:sz w:val="18"/>
                <w:szCs w:val="18"/>
                <w:highlight w:val="none"/>
              </w:rPr>
              <w:sym w:font="Wingdings 2" w:char="00A3"/>
            </w:r>
            <w:r>
              <w:rPr>
                <w:color w:val="auto"/>
                <w:sz w:val="18"/>
                <w:szCs w:val="18"/>
                <w:highlight w:val="none"/>
              </w:rPr>
              <w:t>注册土木工程师（岩土）≥ 1名，具有2年以上质量检测工作经历</w:t>
            </w:r>
          </w:p>
          <w:p>
            <w:pPr>
              <w:tabs>
                <w:tab w:val="left" w:pos="7980"/>
              </w:tabs>
              <w:jc w:val="left"/>
              <w:rPr>
                <w:color w:val="auto"/>
                <w:highlight w:val="none"/>
              </w:rPr>
            </w:pPr>
            <w:r>
              <w:rPr>
                <w:rFonts w:hint="eastAsia" w:ascii="宋体" w:hAnsi="宋体" w:cs="宋体"/>
                <w:color w:val="auto"/>
                <w:sz w:val="18"/>
                <w:szCs w:val="18"/>
                <w:highlight w:val="none"/>
              </w:rPr>
              <w:sym w:font="Wingdings 2" w:char="00A3"/>
            </w:r>
            <w:r>
              <w:rPr>
                <w:rFonts w:hint="eastAsia"/>
                <w:color w:val="auto"/>
                <w:sz w:val="18"/>
                <w:szCs w:val="18"/>
                <w:highlight w:val="none"/>
              </w:rPr>
              <w:t>无注册人员要求</w:t>
            </w:r>
          </w:p>
        </w:tc>
        <w:tc>
          <w:tcPr>
            <w:tcW w:w="479" w:type="dxa"/>
            <w:tcBorders>
              <w:left w:val="single" w:color="auto" w:sz="4" w:space="0"/>
              <w:right w:val="single" w:color="auto" w:sz="4" w:space="0"/>
            </w:tcBorders>
            <w:vAlign w:val="center"/>
          </w:tcPr>
          <w:p>
            <w:pPr>
              <w:rPr>
                <w:rFonts w:ascii="仿宋" w:hAnsi="仿宋"/>
                <w:b/>
                <w:color w:val="auto"/>
                <w:sz w:val="24"/>
                <w:highlight w:val="none"/>
              </w:rPr>
            </w:pPr>
          </w:p>
        </w:tc>
        <w:tc>
          <w:tcPr>
            <w:tcW w:w="392" w:type="dxa"/>
            <w:tcBorders>
              <w:left w:val="single" w:color="auto" w:sz="4" w:space="0"/>
              <w:right w:val="single" w:color="auto" w:sz="4" w:space="0"/>
            </w:tcBorders>
            <w:vAlign w:val="center"/>
          </w:tcPr>
          <w:p>
            <w:pPr>
              <w:rPr>
                <w:rFonts w:ascii="仿宋" w:hAnsi="仿宋"/>
                <w:b/>
                <w:color w:val="auto"/>
                <w:sz w:val="24"/>
                <w:highlight w:val="none"/>
              </w:rPr>
            </w:pPr>
          </w:p>
        </w:tc>
        <w:tc>
          <w:tcPr>
            <w:tcW w:w="432" w:type="dxa"/>
            <w:tcBorders>
              <w:left w:val="single" w:color="auto" w:sz="4" w:space="0"/>
            </w:tcBorders>
            <w:vAlign w:val="center"/>
          </w:tcPr>
          <w:p>
            <w:pPr>
              <w:rPr>
                <w:rFonts w:ascii="仿宋" w:hAnsi="仿宋"/>
                <w:b/>
                <w:color w:val="auto"/>
                <w:sz w:val="24"/>
                <w:highlight w:val="none"/>
              </w:rPr>
            </w:pPr>
          </w:p>
        </w:tc>
        <w:tc>
          <w:tcPr>
            <w:tcW w:w="1009" w:type="dxa"/>
            <w:tcBorders>
              <w:left w:val="single" w:color="auto" w:sz="4" w:space="0"/>
            </w:tcBorders>
            <w:vAlign w:val="center"/>
          </w:tcPr>
          <w:p>
            <w:pPr>
              <w:rPr>
                <w:rFonts w:ascii="仿宋" w:hAnsi="仿宋"/>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7" w:type="dxa"/>
            <w:tcBorders>
              <w:right w:val="single" w:color="auto" w:sz="4" w:space="0"/>
            </w:tcBorders>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2.4</w:t>
            </w:r>
          </w:p>
        </w:tc>
        <w:tc>
          <w:tcPr>
            <w:tcW w:w="6864" w:type="dxa"/>
            <w:tcBorders>
              <w:left w:val="single" w:color="auto" w:sz="4" w:space="0"/>
              <w:right w:val="single" w:color="auto" w:sz="4" w:space="0"/>
            </w:tcBorders>
            <w:vAlign w:val="center"/>
          </w:tcPr>
          <w:p>
            <w:pPr>
              <w:tabs>
                <w:tab w:val="left" w:pos="7980"/>
              </w:tabs>
              <w:jc w:val="left"/>
              <w:rPr>
                <w:color w:val="auto"/>
                <w:sz w:val="18"/>
                <w:szCs w:val="18"/>
                <w:highlight w:val="none"/>
              </w:rPr>
            </w:pPr>
            <w:r>
              <w:rPr>
                <w:rFonts w:hint="eastAsia" w:ascii="宋体" w:hAnsi="宋体" w:cs="宋体"/>
                <w:color w:val="auto"/>
                <w:sz w:val="18"/>
                <w:szCs w:val="18"/>
                <w:highlight w:val="none"/>
              </w:rPr>
              <w:sym w:font="Wingdings 2" w:char="00A3"/>
            </w:r>
            <w:r>
              <w:rPr>
                <w:color w:val="auto"/>
                <w:sz w:val="18"/>
                <w:szCs w:val="18"/>
                <w:highlight w:val="none"/>
              </w:rPr>
              <w:t>技术人员≥ 150人，其中具有3年以上质量检测工作经历的工程类专业中级及以上技术职称人员≥ 60人、工程类专业高级及以上技术职称人员≥ 30人，以上人员均不超过法定退休年龄</w:t>
            </w:r>
          </w:p>
          <w:p>
            <w:pPr>
              <w:tabs>
                <w:tab w:val="left" w:pos="7980"/>
              </w:tabs>
              <w:jc w:val="left"/>
              <w:rPr>
                <w:color w:val="auto"/>
                <w:sz w:val="18"/>
                <w:szCs w:val="18"/>
                <w:highlight w:val="none"/>
              </w:rPr>
            </w:pPr>
            <w:r>
              <w:rPr>
                <w:rFonts w:hint="eastAsia" w:ascii="宋体" w:hAnsi="宋体" w:cs="宋体"/>
                <w:color w:val="auto"/>
                <w:sz w:val="18"/>
                <w:szCs w:val="18"/>
                <w:highlight w:val="none"/>
              </w:rPr>
              <w:sym w:font="Wingdings 2" w:char="00A3"/>
            </w:r>
            <w:r>
              <w:rPr>
                <w:color w:val="auto"/>
                <w:sz w:val="18"/>
                <w:szCs w:val="18"/>
                <w:highlight w:val="none"/>
              </w:rPr>
              <w:t>技术人员≥20人，其中具有3年以上质量检测工作经历的工程类专业中级及以上技术职称人员≥ 4人</w:t>
            </w:r>
            <w:r>
              <w:rPr>
                <w:rFonts w:hint="eastAsia"/>
                <w:color w:val="auto"/>
                <w:sz w:val="18"/>
                <w:szCs w:val="18"/>
                <w:highlight w:val="none"/>
                <w:lang w:eastAsia="zh-CN"/>
              </w:rPr>
              <w:t>，</w:t>
            </w:r>
            <w:r>
              <w:rPr>
                <w:color w:val="auto"/>
                <w:sz w:val="18"/>
                <w:szCs w:val="18"/>
                <w:highlight w:val="none"/>
              </w:rPr>
              <w:t>以上人员均不超过法定退休年龄</w:t>
            </w:r>
          </w:p>
          <w:p>
            <w:pPr>
              <w:tabs>
                <w:tab w:val="left" w:pos="7980"/>
              </w:tabs>
              <w:jc w:val="left"/>
              <w:rPr>
                <w:color w:val="auto"/>
                <w:highlight w:val="none"/>
              </w:rPr>
            </w:pPr>
            <w:r>
              <w:rPr>
                <w:rFonts w:hint="eastAsia" w:ascii="宋体" w:hAnsi="宋体" w:cs="宋体"/>
                <w:color w:val="auto"/>
                <w:sz w:val="18"/>
                <w:szCs w:val="18"/>
                <w:highlight w:val="none"/>
              </w:rPr>
              <w:sym w:font="Wingdings 2" w:char="00A3"/>
            </w:r>
            <w:r>
              <w:rPr>
                <w:color w:val="auto"/>
                <w:sz w:val="18"/>
                <w:szCs w:val="18"/>
                <w:highlight w:val="none"/>
              </w:rPr>
              <w:t>技术人员≥ 15人，其中具有3年以上质量检测工作经历的工程类专业中级及以上技术职称人员≥ 4人、工程类专业高级及以上技术职称人员≥ 2人，以上人员均不超过法定退休年龄</w:t>
            </w:r>
          </w:p>
        </w:tc>
        <w:tc>
          <w:tcPr>
            <w:tcW w:w="479" w:type="dxa"/>
            <w:tcBorders>
              <w:left w:val="single" w:color="auto" w:sz="4" w:space="0"/>
              <w:right w:val="single" w:color="auto" w:sz="4" w:space="0"/>
            </w:tcBorders>
            <w:vAlign w:val="center"/>
          </w:tcPr>
          <w:p>
            <w:pPr>
              <w:rPr>
                <w:rFonts w:ascii="仿宋" w:hAnsi="仿宋"/>
                <w:b/>
                <w:color w:val="auto"/>
                <w:sz w:val="24"/>
                <w:highlight w:val="none"/>
              </w:rPr>
            </w:pPr>
          </w:p>
        </w:tc>
        <w:tc>
          <w:tcPr>
            <w:tcW w:w="392" w:type="dxa"/>
            <w:tcBorders>
              <w:left w:val="single" w:color="auto" w:sz="4" w:space="0"/>
              <w:right w:val="single" w:color="auto" w:sz="4" w:space="0"/>
            </w:tcBorders>
            <w:vAlign w:val="center"/>
          </w:tcPr>
          <w:p>
            <w:pPr>
              <w:rPr>
                <w:rFonts w:ascii="仿宋" w:hAnsi="仿宋"/>
                <w:b/>
                <w:color w:val="auto"/>
                <w:sz w:val="24"/>
                <w:highlight w:val="none"/>
              </w:rPr>
            </w:pPr>
          </w:p>
        </w:tc>
        <w:tc>
          <w:tcPr>
            <w:tcW w:w="432" w:type="dxa"/>
            <w:tcBorders>
              <w:left w:val="single" w:color="auto" w:sz="4" w:space="0"/>
            </w:tcBorders>
            <w:vAlign w:val="center"/>
          </w:tcPr>
          <w:p>
            <w:pPr>
              <w:rPr>
                <w:rFonts w:ascii="仿宋" w:hAnsi="仿宋"/>
                <w:b/>
                <w:color w:val="auto"/>
                <w:sz w:val="24"/>
                <w:highlight w:val="none"/>
              </w:rPr>
            </w:pPr>
          </w:p>
        </w:tc>
        <w:tc>
          <w:tcPr>
            <w:tcW w:w="1009" w:type="dxa"/>
            <w:tcBorders>
              <w:left w:val="single" w:color="auto" w:sz="4" w:space="0"/>
            </w:tcBorders>
            <w:vAlign w:val="center"/>
          </w:tcPr>
          <w:p>
            <w:pPr>
              <w:rPr>
                <w:rFonts w:ascii="仿宋" w:hAnsi="仿宋"/>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7" w:type="dxa"/>
            <w:tcBorders>
              <w:right w:val="single" w:color="auto" w:sz="4" w:space="0"/>
            </w:tcBorders>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2.5</w:t>
            </w:r>
          </w:p>
        </w:tc>
        <w:tc>
          <w:tcPr>
            <w:tcW w:w="6864" w:type="dxa"/>
            <w:tcBorders>
              <w:left w:val="single" w:color="auto" w:sz="4" w:space="0"/>
              <w:right w:val="single" w:color="auto" w:sz="4" w:space="0"/>
            </w:tcBorders>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报告批准人具有工程类专业中级及以上技术职称。</w:t>
            </w:r>
          </w:p>
        </w:tc>
        <w:tc>
          <w:tcPr>
            <w:tcW w:w="479" w:type="dxa"/>
            <w:tcBorders>
              <w:left w:val="single" w:color="auto" w:sz="4" w:space="0"/>
              <w:right w:val="single" w:color="auto" w:sz="4" w:space="0"/>
            </w:tcBorders>
            <w:vAlign w:val="center"/>
          </w:tcPr>
          <w:p>
            <w:pPr>
              <w:rPr>
                <w:rFonts w:ascii="仿宋" w:hAnsi="仿宋"/>
                <w:b/>
                <w:color w:val="auto"/>
                <w:sz w:val="24"/>
                <w:highlight w:val="none"/>
              </w:rPr>
            </w:pPr>
          </w:p>
        </w:tc>
        <w:tc>
          <w:tcPr>
            <w:tcW w:w="392" w:type="dxa"/>
            <w:tcBorders>
              <w:left w:val="single" w:color="auto" w:sz="4" w:space="0"/>
              <w:right w:val="single" w:color="auto" w:sz="4" w:space="0"/>
            </w:tcBorders>
            <w:vAlign w:val="center"/>
          </w:tcPr>
          <w:p>
            <w:pPr>
              <w:rPr>
                <w:rFonts w:ascii="仿宋" w:hAnsi="仿宋"/>
                <w:b/>
                <w:color w:val="auto"/>
                <w:sz w:val="24"/>
                <w:highlight w:val="none"/>
              </w:rPr>
            </w:pPr>
          </w:p>
        </w:tc>
        <w:tc>
          <w:tcPr>
            <w:tcW w:w="432" w:type="dxa"/>
            <w:tcBorders>
              <w:left w:val="single" w:color="auto" w:sz="4" w:space="0"/>
            </w:tcBorders>
            <w:vAlign w:val="center"/>
          </w:tcPr>
          <w:p>
            <w:pPr>
              <w:rPr>
                <w:rFonts w:ascii="仿宋" w:hAnsi="仿宋"/>
                <w:b/>
                <w:color w:val="auto"/>
                <w:sz w:val="24"/>
                <w:highlight w:val="none"/>
              </w:rPr>
            </w:pPr>
          </w:p>
        </w:tc>
        <w:tc>
          <w:tcPr>
            <w:tcW w:w="1009" w:type="dxa"/>
            <w:tcBorders>
              <w:left w:val="single" w:color="auto" w:sz="4" w:space="0"/>
            </w:tcBorders>
            <w:vAlign w:val="center"/>
          </w:tcPr>
          <w:p>
            <w:pPr>
              <w:rPr>
                <w:rFonts w:ascii="仿宋" w:hAnsi="仿宋"/>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7" w:type="dxa"/>
            <w:tcBorders>
              <w:right w:val="single" w:color="auto" w:sz="4" w:space="0"/>
            </w:tcBorders>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2.6</w:t>
            </w:r>
          </w:p>
        </w:tc>
        <w:tc>
          <w:tcPr>
            <w:tcW w:w="6864" w:type="dxa"/>
            <w:tcBorders>
              <w:left w:val="single" w:color="auto" w:sz="4" w:space="0"/>
              <w:right w:val="single" w:color="auto" w:sz="4" w:space="0"/>
            </w:tcBorders>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检测人员具备从事检测项目的检验操作能力，熟悉项目涉及仪器设备的操作，对数据记录、报告编写等环节能熟练掌握</w:t>
            </w:r>
          </w:p>
        </w:tc>
        <w:tc>
          <w:tcPr>
            <w:tcW w:w="479" w:type="dxa"/>
            <w:tcBorders>
              <w:left w:val="single" w:color="auto" w:sz="4" w:space="0"/>
              <w:right w:val="single" w:color="auto" w:sz="4" w:space="0"/>
            </w:tcBorders>
            <w:vAlign w:val="center"/>
          </w:tcPr>
          <w:p>
            <w:pPr>
              <w:rPr>
                <w:rFonts w:ascii="仿宋" w:hAnsi="仿宋"/>
                <w:b/>
                <w:color w:val="auto"/>
                <w:sz w:val="24"/>
                <w:highlight w:val="none"/>
              </w:rPr>
            </w:pPr>
          </w:p>
        </w:tc>
        <w:tc>
          <w:tcPr>
            <w:tcW w:w="392" w:type="dxa"/>
            <w:tcBorders>
              <w:left w:val="single" w:color="auto" w:sz="4" w:space="0"/>
              <w:right w:val="single" w:color="auto" w:sz="4" w:space="0"/>
            </w:tcBorders>
            <w:vAlign w:val="center"/>
          </w:tcPr>
          <w:p>
            <w:pPr>
              <w:rPr>
                <w:rFonts w:ascii="仿宋" w:hAnsi="仿宋"/>
                <w:b/>
                <w:color w:val="auto"/>
                <w:sz w:val="24"/>
                <w:highlight w:val="none"/>
              </w:rPr>
            </w:pPr>
          </w:p>
        </w:tc>
        <w:tc>
          <w:tcPr>
            <w:tcW w:w="432" w:type="dxa"/>
            <w:tcBorders>
              <w:left w:val="single" w:color="auto" w:sz="4" w:space="0"/>
            </w:tcBorders>
            <w:vAlign w:val="center"/>
          </w:tcPr>
          <w:p>
            <w:pPr>
              <w:rPr>
                <w:rFonts w:ascii="仿宋" w:hAnsi="仿宋"/>
                <w:b/>
                <w:color w:val="auto"/>
                <w:sz w:val="24"/>
                <w:highlight w:val="none"/>
              </w:rPr>
            </w:pPr>
          </w:p>
        </w:tc>
        <w:tc>
          <w:tcPr>
            <w:tcW w:w="1009" w:type="dxa"/>
            <w:tcBorders>
              <w:left w:val="single" w:color="auto" w:sz="4" w:space="0"/>
            </w:tcBorders>
            <w:vAlign w:val="center"/>
          </w:tcPr>
          <w:p>
            <w:pPr>
              <w:rPr>
                <w:rFonts w:ascii="仿宋" w:hAnsi="仿宋"/>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7" w:type="dxa"/>
            <w:tcBorders>
              <w:right w:val="single" w:color="auto" w:sz="4" w:space="0"/>
            </w:tcBorders>
            <w:vAlign w:val="center"/>
          </w:tcPr>
          <w:p>
            <w:pPr>
              <w:jc w:val="center"/>
              <w:rPr>
                <w:rFonts w:hint="eastAsia" w:ascii="仿宋" w:hAnsi="仿宋" w:eastAsia="宋体"/>
                <w:b/>
                <w:color w:val="auto"/>
                <w:sz w:val="18"/>
                <w:szCs w:val="18"/>
                <w:highlight w:val="none"/>
                <w:lang w:eastAsia="zh-CN"/>
              </w:rPr>
            </w:pPr>
            <w:r>
              <w:rPr>
                <w:rFonts w:hint="eastAsia" w:ascii="仿宋" w:hAnsi="仿宋"/>
                <w:color w:val="auto"/>
                <w:sz w:val="18"/>
                <w:szCs w:val="18"/>
                <w:highlight w:val="none"/>
              </w:rPr>
              <w:t>2.</w:t>
            </w:r>
            <w:r>
              <w:rPr>
                <w:rFonts w:hint="eastAsia" w:ascii="仿宋" w:hAnsi="仿宋"/>
                <w:color w:val="auto"/>
                <w:sz w:val="18"/>
                <w:szCs w:val="18"/>
                <w:highlight w:val="none"/>
                <w:lang w:val="en-US" w:eastAsia="zh-CN"/>
              </w:rPr>
              <w:t>7</w:t>
            </w:r>
          </w:p>
        </w:tc>
        <w:tc>
          <w:tcPr>
            <w:tcW w:w="6864" w:type="dxa"/>
            <w:tcBorders>
              <w:left w:val="single" w:color="auto" w:sz="4" w:space="0"/>
              <w:right w:val="single" w:color="auto" w:sz="4" w:space="0"/>
            </w:tcBorders>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所有检测人员应当具备相应的建设工程质量检测知识和专业能力，并能及时的更新知识，按规定参加本岗位的学习培训</w:t>
            </w:r>
          </w:p>
        </w:tc>
        <w:tc>
          <w:tcPr>
            <w:tcW w:w="479" w:type="dxa"/>
            <w:tcBorders>
              <w:left w:val="single" w:color="auto" w:sz="4" w:space="0"/>
              <w:right w:val="single" w:color="auto" w:sz="4" w:space="0"/>
            </w:tcBorders>
            <w:vAlign w:val="center"/>
          </w:tcPr>
          <w:p>
            <w:pPr>
              <w:rPr>
                <w:rFonts w:ascii="仿宋" w:hAnsi="仿宋"/>
                <w:b/>
                <w:color w:val="auto"/>
                <w:sz w:val="24"/>
                <w:highlight w:val="none"/>
              </w:rPr>
            </w:pPr>
          </w:p>
        </w:tc>
        <w:tc>
          <w:tcPr>
            <w:tcW w:w="392" w:type="dxa"/>
            <w:tcBorders>
              <w:left w:val="single" w:color="auto" w:sz="4" w:space="0"/>
              <w:right w:val="single" w:color="auto" w:sz="4" w:space="0"/>
            </w:tcBorders>
            <w:vAlign w:val="center"/>
          </w:tcPr>
          <w:p>
            <w:pPr>
              <w:rPr>
                <w:rFonts w:ascii="仿宋" w:hAnsi="仿宋"/>
                <w:b/>
                <w:color w:val="auto"/>
                <w:sz w:val="24"/>
                <w:highlight w:val="none"/>
              </w:rPr>
            </w:pPr>
          </w:p>
        </w:tc>
        <w:tc>
          <w:tcPr>
            <w:tcW w:w="432" w:type="dxa"/>
            <w:tcBorders>
              <w:left w:val="single" w:color="auto" w:sz="4" w:space="0"/>
            </w:tcBorders>
            <w:vAlign w:val="center"/>
          </w:tcPr>
          <w:p>
            <w:pPr>
              <w:rPr>
                <w:rFonts w:ascii="仿宋" w:hAnsi="仿宋"/>
                <w:b/>
                <w:color w:val="auto"/>
                <w:sz w:val="24"/>
                <w:highlight w:val="none"/>
              </w:rPr>
            </w:pPr>
          </w:p>
        </w:tc>
        <w:tc>
          <w:tcPr>
            <w:tcW w:w="1009" w:type="dxa"/>
            <w:tcBorders>
              <w:left w:val="single" w:color="auto" w:sz="4" w:space="0"/>
            </w:tcBorders>
            <w:vAlign w:val="center"/>
          </w:tcPr>
          <w:p>
            <w:pPr>
              <w:rPr>
                <w:rFonts w:ascii="仿宋" w:hAnsi="仿宋"/>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44" w:type="dxa"/>
            <w:gridSpan w:val="5"/>
            <w:vAlign w:val="center"/>
          </w:tcPr>
          <w:p>
            <w:pPr>
              <w:jc w:val="left"/>
              <w:rPr>
                <w:rFonts w:ascii="仿宋" w:hAnsi="仿宋"/>
                <w:b/>
                <w:color w:val="auto"/>
                <w:sz w:val="18"/>
                <w:szCs w:val="18"/>
                <w:highlight w:val="none"/>
              </w:rPr>
            </w:pPr>
            <w:r>
              <w:rPr>
                <w:rFonts w:hint="eastAsia" w:ascii="仿宋" w:hAnsi="仿宋"/>
                <w:b/>
                <w:color w:val="auto"/>
                <w:sz w:val="18"/>
                <w:szCs w:val="18"/>
                <w:highlight w:val="none"/>
              </w:rPr>
              <w:t>三、检测设备及场所</w:t>
            </w:r>
          </w:p>
        </w:tc>
        <w:tc>
          <w:tcPr>
            <w:tcW w:w="1009" w:type="dxa"/>
            <w:vAlign w:val="center"/>
          </w:tcPr>
          <w:p>
            <w:pPr>
              <w:jc w:val="left"/>
              <w:rPr>
                <w:rFonts w:hint="eastAsia" w:ascii="仿宋" w:hAnsi="仿宋"/>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tcBorders>
              <w:right w:val="single" w:color="auto" w:sz="4" w:space="0"/>
            </w:tcBorders>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3.1</w:t>
            </w:r>
          </w:p>
        </w:tc>
        <w:tc>
          <w:tcPr>
            <w:tcW w:w="6864" w:type="dxa"/>
            <w:tcBorders>
              <w:left w:val="single" w:color="auto" w:sz="4" w:space="0"/>
              <w:right w:val="single" w:color="auto" w:sz="4" w:space="0"/>
            </w:tcBorders>
            <w:vAlign w:val="center"/>
          </w:tcPr>
          <w:p>
            <w:pPr>
              <w:tabs>
                <w:tab w:val="left" w:pos="7980"/>
              </w:tabs>
              <w:jc w:val="left"/>
              <w:rPr>
                <w:rFonts w:ascii="仿宋" w:hAnsi="仿宋"/>
                <w:color w:val="auto"/>
                <w:sz w:val="18"/>
                <w:szCs w:val="18"/>
                <w:highlight w:val="none"/>
              </w:rPr>
            </w:pPr>
            <w:r>
              <w:rPr>
                <w:rFonts w:hint="eastAsia" w:ascii="宋体" w:hAnsi="宋体" w:cs="宋体"/>
                <w:color w:val="auto"/>
                <w:sz w:val="18"/>
                <w:szCs w:val="18"/>
                <w:highlight w:val="none"/>
              </w:rPr>
              <w:sym w:font="Wingdings 2" w:char="00A3"/>
            </w:r>
            <w:r>
              <w:rPr>
                <w:rFonts w:hint="eastAsia" w:ascii="仿宋" w:hAnsi="仿宋"/>
                <w:color w:val="auto"/>
                <w:sz w:val="18"/>
                <w:szCs w:val="18"/>
                <w:highlight w:val="none"/>
              </w:rPr>
              <w:t>质量检测设备设施齐全，检测仪器设备功能、量程、精度，配套设备设施满足9个专项资质全部必备检测参数要求</w:t>
            </w:r>
          </w:p>
          <w:p>
            <w:pPr>
              <w:tabs>
                <w:tab w:val="left" w:pos="7980"/>
              </w:tabs>
              <w:jc w:val="left"/>
              <w:rPr>
                <w:color w:val="auto"/>
                <w:highlight w:val="none"/>
              </w:rPr>
            </w:pPr>
            <w:r>
              <w:rPr>
                <w:rFonts w:hint="eastAsia" w:ascii="宋体" w:hAnsi="宋体" w:cs="宋体"/>
                <w:color w:val="auto"/>
                <w:sz w:val="18"/>
                <w:szCs w:val="18"/>
                <w:highlight w:val="none"/>
              </w:rPr>
              <w:sym w:font="Wingdings 2" w:char="00A3"/>
            </w:r>
            <w:r>
              <w:rPr>
                <w:rFonts w:hint="eastAsia" w:ascii="仿宋" w:hAnsi="仿宋"/>
                <w:color w:val="auto"/>
                <w:sz w:val="18"/>
                <w:szCs w:val="18"/>
                <w:highlight w:val="none"/>
              </w:rPr>
              <w:t>质量检测设备设施齐全，检测仪器设备功能、量程、精度，配套设备设施满足所申请专项资质全部必备检测参数要求</w:t>
            </w:r>
          </w:p>
        </w:tc>
        <w:tc>
          <w:tcPr>
            <w:tcW w:w="479" w:type="dxa"/>
            <w:tcBorders>
              <w:left w:val="single" w:color="auto" w:sz="4" w:space="0"/>
              <w:right w:val="single" w:color="auto" w:sz="4" w:space="0"/>
            </w:tcBorders>
            <w:vAlign w:val="center"/>
          </w:tcPr>
          <w:p>
            <w:pPr>
              <w:rPr>
                <w:rFonts w:ascii="仿宋" w:hAnsi="仿宋"/>
                <w:b/>
                <w:color w:val="auto"/>
                <w:sz w:val="24"/>
                <w:highlight w:val="none"/>
              </w:rPr>
            </w:pPr>
          </w:p>
        </w:tc>
        <w:tc>
          <w:tcPr>
            <w:tcW w:w="392" w:type="dxa"/>
            <w:tcBorders>
              <w:left w:val="single" w:color="auto" w:sz="4" w:space="0"/>
              <w:right w:val="single" w:color="auto" w:sz="4" w:space="0"/>
            </w:tcBorders>
            <w:vAlign w:val="center"/>
          </w:tcPr>
          <w:p>
            <w:pPr>
              <w:rPr>
                <w:rFonts w:ascii="仿宋" w:hAnsi="仿宋"/>
                <w:b/>
                <w:color w:val="auto"/>
                <w:sz w:val="24"/>
                <w:highlight w:val="none"/>
              </w:rPr>
            </w:pPr>
          </w:p>
        </w:tc>
        <w:tc>
          <w:tcPr>
            <w:tcW w:w="432" w:type="dxa"/>
            <w:tcBorders>
              <w:left w:val="single" w:color="auto" w:sz="4" w:space="0"/>
            </w:tcBorders>
            <w:vAlign w:val="center"/>
          </w:tcPr>
          <w:p>
            <w:pPr>
              <w:rPr>
                <w:rFonts w:ascii="仿宋" w:hAnsi="仿宋"/>
                <w:b/>
                <w:color w:val="auto"/>
                <w:sz w:val="24"/>
                <w:highlight w:val="none"/>
              </w:rPr>
            </w:pPr>
          </w:p>
        </w:tc>
        <w:tc>
          <w:tcPr>
            <w:tcW w:w="1009" w:type="dxa"/>
            <w:tcBorders>
              <w:left w:val="single" w:color="auto" w:sz="4" w:space="0"/>
            </w:tcBorders>
            <w:vAlign w:val="center"/>
          </w:tcPr>
          <w:p>
            <w:pPr>
              <w:rPr>
                <w:rFonts w:ascii="仿宋" w:hAnsi="仿宋"/>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3.2</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有满足工作需要的固定工作场所及质量检测场所</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3.3</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检测场所的环境条件应符合国家现行的有关标准的要求，并应满足检测工作及保证工作人员身心健康的要求。对有环境要求的场所应配备相应的监控设备并记录环境条件</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jc w:val="center"/>
              <w:rPr>
                <w:rFonts w:ascii="仿宋" w:hAnsi="仿宋"/>
                <w:b/>
                <w:color w:val="auto"/>
                <w:sz w:val="18"/>
                <w:szCs w:val="18"/>
                <w:highlight w:val="none"/>
              </w:rPr>
            </w:pPr>
            <w:r>
              <w:rPr>
                <w:rFonts w:hint="eastAsia" w:ascii="仿宋" w:hAnsi="仿宋"/>
                <w:color w:val="auto"/>
                <w:sz w:val="18"/>
                <w:szCs w:val="18"/>
                <w:highlight w:val="none"/>
              </w:rPr>
              <w:t>3.4</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检测场所应合理存放有关材料、物品，确保化学危险品、有毒物品、易燃易爆等物品安全存放；对检测过程中产生的废弃物、影响环境条件及有毒物质等的处理，应符合环境保护和人身健康安全等方面的相关规定，并应有相应的应急处理措施。</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jc w:val="center"/>
              <w:rPr>
                <w:rFonts w:ascii="仿宋" w:hAnsi="仿宋"/>
                <w:color w:val="auto"/>
                <w:sz w:val="18"/>
                <w:szCs w:val="18"/>
                <w:highlight w:val="none"/>
              </w:rPr>
            </w:pPr>
            <w:r>
              <w:rPr>
                <w:rFonts w:hint="eastAsia" w:ascii="仿宋" w:hAnsi="仿宋"/>
                <w:color w:val="auto"/>
                <w:sz w:val="18"/>
                <w:szCs w:val="18"/>
                <w:highlight w:val="none"/>
              </w:rPr>
              <w:t>3.5</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仪器设备（标准物质）安装、放置、保存、状态标识应符合相关规范要求，并处于正常工作和有效管理状态；标准物质应得到妥善的保管，对有可能对人身健康和环境造成危害的标准物质应有可靠措施保证妥善保存；应建立完善的设备维护管理制度，仪器设备应有维修、保养计划，并做到定期维修、保养</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jc w:val="center"/>
              <w:rPr>
                <w:rFonts w:ascii="仿宋" w:hAnsi="仿宋"/>
                <w:color w:val="auto"/>
                <w:sz w:val="18"/>
                <w:szCs w:val="18"/>
                <w:highlight w:val="none"/>
              </w:rPr>
            </w:pPr>
            <w:r>
              <w:rPr>
                <w:rFonts w:hint="eastAsia" w:ascii="仿宋" w:hAnsi="仿宋"/>
                <w:color w:val="auto"/>
                <w:sz w:val="18"/>
                <w:szCs w:val="18"/>
                <w:highlight w:val="none"/>
              </w:rPr>
              <w:t>3.6</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仪器设备应保持在检定/校准合格有效期内</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3.7</w:t>
            </w:r>
          </w:p>
        </w:tc>
        <w:tc>
          <w:tcPr>
            <w:tcW w:w="6864" w:type="dxa"/>
            <w:vAlign w:val="center"/>
          </w:tcPr>
          <w:p>
            <w:pPr>
              <w:jc w:val="left"/>
              <w:rPr>
                <w:rFonts w:ascii="仿宋" w:hAnsi="仿宋"/>
                <w:color w:val="auto"/>
                <w:sz w:val="18"/>
                <w:szCs w:val="18"/>
                <w:highlight w:val="none"/>
              </w:rPr>
            </w:pPr>
            <w:r>
              <w:rPr>
                <w:rFonts w:hint="eastAsia" w:ascii="仿宋" w:hAnsi="仿宋"/>
                <w:color w:val="auto"/>
                <w:sz w:val="18"/>
                <w:szCs w:val="18"/>
                <w:highlight w:val="none"/>
              </w:rPr>
              <w:t>仪器设备使用记录应清楚明确、完整、齐全，能保证对检测过程的追溯</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3.8</w:t>
            </w:r>
          </w:p>
        </w:tc>
        <w:tc>
          <w:tcPr>
            <w:tcW w:w="6864" w:type="dxa"/>
            <w:vAlign w:val="center"/>
          </w:tcPr>
          <w:p>
            <w:pPr>
              <w:jc w:val="left"/>
              <w:rPr>
                <w:rFonts w:ascii="仿宋" w:hAnsi="仿宋"/>
                <w:color w:val="auto"/>
                <w:sz w:val="18"/>
                <w:szCs w:val="18"/>
                <w:highlight w:val="none"/>
              </w:rPr>
            </w:pPr>
            <w:r>
              <w:rPr>
                <w:rFonts w:hint="eastAsia" w:ascii="仿宋" w:hAnsi="仿宋"/>
                <w:bCs/>
                <w:color w:val="auto"/>
                <w:sz w:val="18"/>
                <w:szCs w:val="18"/>
                <w:highlight w:val="none"/>
              </w:rPr>
              <w:t>仪器设备应统一建档、主要检测设备一机一档，并应建立档案目录</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44" w:type="dxa"/>
            <w:gridSpan w:val="5"/>
            <w:vAlign w:val="center"/>
          </w:tcPr>
          <w:p>
            <w:pPr>
              <w:jc w:val="left"/>
              <w:rPr>
                <w:rFonts w:ascii="仿宋" w:hAnsi="仿宋"/>
                <w:color w:val="auto"/>
                <w:sz w:val="18"/>
                <w:szCs w:val="18"/>
                <w:highlight w:val="none"/>
              </w:rPr>
            </w:pPr>
            <w:r>
              <w:rPr>
                <w:rFonts w:hint="eastAsia" w:ascii="仿宋" w:hAnsi="仿宋"/>
                <w:b/>
                <w:color w:val="auto"/>
                <w:sz w:val="18"/>
                <w:szCs w:val="18"/>
                <w:highlight w:val="none"/>
              </w:rPr>
              <w:t>四、管理水平</w:t>
            </w:r>
          </w:p>
        </w:tc>
        <w:tc>
          <w:tcPr>
            <w:tcW w:w="1009" w:type="dxa"/>
            <w:vAlign w:val="center"/>
          </w:tcPr>
          <w:p>
            <w:pPr>
              <w:jc w:val="left"/>
              <w:rPr>
                <w:rFonts w:hint="eastAsia" w:ascii="仿宋" w:hAnsi="仿宋"/>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4.1</w:t>
            </w:r>
          </w:p>
        </w:tc>
        <w:tc>
          <w:tcPr>
            <w:tcW w:w="6864" w:type="dxa"/>
            <w:vAlign w:val="center"/>
          </w:tcPr>
          <w:p>
            <w:pPr>
              <w:tabs>
                <w:tab w:val="left" w:pos="7980"/>
              </w:tabs>
              <w:jc w:val="left"/>
              <w:rPr>
                <w:rFonts w:ascii="仿宋" w:hAnsi="仿宋"/>
                <w:color w:val="auto"/>
                <w:sz w:val="18"/>
                <w:szCs w:val="18"/>
                <w:highlight w:val="none"/>
              </w:rPr>
            </w:pPr>
            <w:r>
              <w:rPr>
                <w:rFonts w:hint="eastAsia" w:ascii="宋体" w:hAnsi="宋体" w:cs="宋体"/>
                <w:color w:val="auto"/>
                <w:sz w:val="18"/>
                <w:szCs w:val="18"/>
                <w:highlight w:val="none"/>
              </w:rPr>
              <w:sym w:font="Wingdings 2" w:char="00A3"/>
            </w:r>
            <w:r>
              <w:rPr>
                <w:rFonts w:hint="eastAsia" w:ascii="仿宋" w:hAnsi="仿宋"/>
                <w:color w:val="auto"/>
                <w:sz w:val="18"/>
                <w:szCs w:val="18"/>
                <w:highlight w:val="none"/>
              </w:rPr>
              <w:t>有完善的组织机构和质量管理体系，并满足《检测和校准实验室能力的通用要求》GB/T27025-2019要求</w:t>
            </w:r>
          </w:p>
          <w:p>
            <w:pPr>
              <w:tabs>
                <w:tab w:val="left" w:pos="7980"/>
              </w:tabs>
              <w:jc w:val="left"/>
              <w:rPr>
                <w:color w:val="auto"/>
                <w:highlight w:val="none"/>
              </w:rPr>
            </w:pPr>
            <w:r>
              <w:rPr>
                <w:rFonts w:hint="eastAsia" w:ascii="宋体" w:hAnsi="宋体" w:cs="宋体"/>
                <w:color w:val="auto"/>
                <w:sz w:val="18"/>
                <w:szCs w:val="18"/>
                <w:highlight w:val="none"/>
              </w:rPr>
              <w:sym w:font="Wingdings 2" w:char="00A3"/>
            </w:r>
            <w:r>
              <w:rPr>
                <w:rFonts w:hint="eastAsia" w:ascii="仿宋" w:hAnsi="仿宋"/>
                <w:color w:val="auto"/>
                <w:sz w:val="18"/>
                <w:szCs w:val="18"/>
                <w:highlight w:val="none"/>
              </w:rPr>
              <w:t>有完善的组织机构和质量管理体系，有健全的技术、档案等管理制度</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4.2</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建立信息化管理系统，对检测业务受理、检测数据采集、检测信息上传、检测报告出具、检测档案管理等活动进行信息化管理，保证建设工程质量检测活动全过程可追溯。</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4.3</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应当建立建设工程过程数据和结果数据、检测影像资料及检测报告记录与留存制度，对检测数据和检测报告的真实性、准确性负责。</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4.4</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检测过程中发现建设、施工、监理单位存在违反有关法律法规规定和工程建设强制性标准等行为，以及检测项目涉及结构安全、主要使用功能检测结果不合格的，应及时报告工程所在地县级以上地方人民政府住房和城乡建设主管部门。</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4.5</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应当建立档案管理制度。检测合同、委托单、检测数据原始记录、检测报告按照年度统一编号，编号应当连续，不得随意抽撤、涂改。</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4.6</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应当单独建立检测结果不合格项目台账。</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ascii="仿宋" w:hAnsi="仿宋"/>
                <w:color w:val="auto"/>
                <w:sz w:val="18"/>
                <w:szCs w:val="18"/>
                <w:highlight w:val="none"/>
              </w:rPr>
            </w:pPr>
            <w:r>
              <w:rPr>
                <w:rFonts w:hint="eastAsia" w:ascii="仿宋" w:hAnsi="仿宋"/>
                <w:color w:val="auto"/>
                <w:sz w:val="18"/>
                <w:szCs w:val="18"/>
                <w:highlight w:val="none"/>
              </w:rPr>
              <w:t>4.7</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保持人员、仪器设备、检测场所、质量保证体系等方面符合建设工程质量检测资质标准,加强检测人员培训，按照有关规定对仪器设备进行定期检定或者校准，确保检测技术能力持续满足所开展建设工程质量检测活动的要求。</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hint="eastAsia" w:ascii="仿宋" w:hAnsi="仿宋" w:eastAsia="宋体"/>
                <w:color w:val="auto"/>
                <w:sz w:val="18"/>
                <w:szCs w:val="18"/>
                <w:highlight w:val="none"/>
                <w:lang w:eastAsia="zh-CN"/>
              </w:rPr>
            </w:pPr>
            <w:r>
              <w:rPr>
                <w:rFonts w:hint="eastAsia" w:ascii="仿宋" w:hAnsi="仿宋"/>
                <w:color w:val="auto"/>
                <w:sz w:val="18"/>
                <w:szCs w:val="18"/>
                <w:highlight w:val="none"/>
              </w:rPr>
              <w:t>4.</w:t>
            </w:r>
            <w:r>
              <w:rPr>
                <w:rFonts w:hint="eastAsia" w:ascii="仿宋" w:hAnsi="仿宋"/>
                <w:color w:val="auto"/>
                <w:sz w:val="18"/>
                <w:szCs w:val="18"/>
                <w:highlight w:val="none"/>
                <w:lang w:val="en-US" w:eastAsia="zh-CN"/>
              </w:rPr>
              <w:t>8</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接收检测试样时，应当对试样状况、标识、封志等符合性进行检查，确认无误后方可进行检测。</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hint="eastAsia" w:ascii="仿宋" w:hAnsi="仿宋" w:eastAsia="宋体"/>
                <w:color w:val="auto"/>
                <w:sz w:val="18"/>
                <w:szCs w:val="18"/>
                <w:highlight w:val="none"/>
                <w:lang w:eastAsia="zh-CN"/>
              </w:rPr>
            </w:pPr>
            <w:r>
              <w:rPr>
                <w:rFonts w:hint="eastAsia" w:ascii="仿宋" w:hAnsi="仿宋"/>
                <w:color w:val="auto"/>
                <w:sz w:val="18"/>
                <w:szCs w:val="18"/>
                <w:highlight w:val="none"/>
              </w:rPr>
              <w:t>4.</w:t>
            </w:r>
            <w:r>
              <w:rPr>
                <w:rFonts w:hint="eastAsia" w:ascii="仿宋" w:hAnsi="仿宋"/>
                <w:color w:val="auto"/>
                <w:sz w:val="18"/>
                <w:szCs w:val="18"/>
                <w:highlight w:val="none"/>
                <w:lang w:val="en-US" w:eastAsia="zh-CN"/>
              </w:rPr>
              <w:t>9</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检测过程应按照经确认的检测方法标准和现场工程实体检测方案进行。检测原始记录应在检测操作过程中真实记录，检测原始记录的内容应符合相关规定要求，格式应统一。原始记录的更正或更改应规范。</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hint="eastAsia" w:ascii="仿宋" w:hAnsi="仿宋" w:eastAsia="宋体"/>
                <w:color w:val="auto"/>
                <w:sz w:val="18"/>
                <w:szCs w:val="18"/>
                <w:highlight w:val="none"/>
                <w:lang w:eastAsia="zh-CN"/>
              </w:rPr>
            </w:pPr>
            <w:r>
              <w:rPr>
                <w:rFonts w:hint="eastAsia" w:ascii="仿宋" w:hAnsi="仿宋"/>
                <w:color w:val="auto"/>
                <w:sz w:val="18"/>
                <w:szCs w:val="18"/>
                <w:highlight w:val="none"/>
              </w:rPr>
              <w:t>4.1</w:t>
            </w:r>
            <w:r>
              <w:rPr>
                <w:rFonts w:hint="eastAsia" w:ascii="仿宋" w:hAnsi="仿宋"/>
                <w:color w:val="auto"/>
                <w:sz w:val="18"/>
                <w:szCs w:val="18"/>
                <w:highlight w:val="none"/>
                <w:lang w:val="en-US" w:eastAsia="zh-CN"/>
              </w:rPr>
              <w:t>0</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检测报告应采用统一格式。纳入检测管理信息系统管理的检测项目，应通过系统出具检测报告。检测报告内容应符合检测委托的要求，检测报告中应当包括检测项目代表数量（批次）、检测依据、检测场所地址、检测数据、检测结果、见证人员单位及姓名等相关信息。报告结论应针对不同委托要求给出明确判定。</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hint="eastAsia" w:ascii="仿宋" w:hAnsi="仿宋" w:eastAsia="宋体"/>
                <w:color w:val="auto"/>
                <w:sz w:val="18"/>
                <w:szCs w:val="18"/>
                <w:highlight w:val="none"/>
                <w:lang w:eastAsia="zh-CN"/>
              </w:rPr>
            </w:pPr>
            <w:r>
              <w:rPr>
                <w:rFonts w:hint="eastAsia" w:ascii="仿宋" w:hAnsi="仿宋"/>
                <w:color w:val="auto"/>
                <w:sz w:val="18"/>
                <w:szCs w:val="18"/>
                <w:highlight w:val="none"/>
              </w:rPr>
              <w:t>4.1</w:t>
            </w:r>
            <w:r>
              <w:rPr>
                <w:rFonts w:hint="eastAsia" w:ascii="仿宋" w:hAnsi="仿宋"/>
                <w:color w:val="auto"/>
                <w:sz w:val="18"/>
                <w:szCs w:val="18"/>
                <w:highlight w:val="none"/>
                <w:lang w:val="en-US" w:eastAsia="zh-CN"/>
              </w:rPr>
              <w:t>1</w:t>
            </w:r>
          </w:p>
        </w:tc>
        <w:tc>
          <w:tcPr>
            <w:tcW w:w="6864" w:type="dxa"/>
            <w:vAlign w:val="center"/>
          </w:tcPr>
          <w:p>
            <w:pPr>
              <w:tabs>
                <w:tab w:val="left" w:pos="7980"/>
              </w:tabs>
              <w:jc w:val="left"/>
              <w:rPr>
                <w:rFonts w:ascii="仿宋" w:hAnsi="仿宋"/>
                <w:color w:val="auto"/>
                <w:sz w:val="18"/>
                <w:szCs w:val="18"/>
                <w:highlight w:val="none"/>
              </w:rPr>
            </w:pPr>
            <w:r>
              <w:rPr>
                <w:rFonts w:hint="eastAsia" w:ascii="仿宋" w:hAnsi="仿宋"/>
                <w:color w:val="auto"/>
                <w:sz w:val="18"/>
                <w:szCs w:val="18"/>
                <w:highlight w:val="none"/>
              </w:rPr>
              <w:t>检测报告经检测人员、审核人员、检测机构法定代表人或者其授权的签字人等签署，并加盖检测专用章后方可生效。</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77" w:type="dxa"/>
            <w:vAlign w:val="center"/>
          </w:tcPr>
          <w:p>
            <w:pPr>
              <w:tabs>
                <w:tab w:val="left" w:pos="7980"/>
              </w:tabs>
              <w:jc w:val="center"/>
              <w:rPr>
                <w:rFonts w:hint="default" w:ascii="仿宋" w:hAnsi="仿宋" w:eastAsia="宋体"/>
                <w:color w:val="auto"/>
                <w:sz w:val="18"/>
                <w:szCs w:val="18"/>
                <w:highlight w:val="none"/>
                <w:lang w:val="en-US" w:eastAsia="zh-CN"/>
              </w:rPr>
            </w:pPr>
            <w:r>
              <w:rPr>
                <w:rFonts w:hint="eastAsia" w:ascii="仿宋" w:hAnsi="仿宋"/>
                <w:color w:val="auto"/>
                <w:sz w:val="18"/>
                <w:szCs w:val="18"/>
                <w:highlight w:val="none"/>
                <w:lang w:val="en-US" w:eastAsia="zh-CN"/>
              </w:rPr>
              <w:t>4.12</w:t>
            </w:r>
          </w:p>
        </w:tc>
        <w:tc>
          <w:tcPr>
            <w:tcW w:w="6864" w:type="dxa"/>
            <w:vAlign w:val="center"/>
          </w:tcPr>
          <w:p>
            <w:pPr>
              <w:tabs>
                <w:tab w:val="left" w:pos="7980"/>
              </w:tabs>
              <w:jc w:val="left"/>
              <w:rPr>
                <w:rFonts w:hint="eastAsia" w:ascii="仿宋" w:hAnsi="仿宋"/>
                <w:color w:val="auto"/>
                <w:sz w:val="18"/>
                <w:szCs w:val="18"/>
                <w:highlight w:val="none"/>
              </w:rPr>
            </w:pPr>
            <w:r>
              <w:rPr>
                <w:rFonts w:hint="eastAsia" w:ascii="仿宋" w:hAnsi="仿宋"/>
                <w:color w:val="auto"/>
                <w:sz w:val="18"/>
                <w:szCs w:val="18"/>
                <w:highlight w:val="none"/>
                <w:lang w:val="en-US" w:eastAsia="zh-CN"/>
              </w:rPr>
              <w:t>国家、省住房和城乡建设行政主管部门规定的其它要求</w:t>
            </w:r>
          </w:p>
        </w:tc>
        <w:tc>
          <w:tcPr>
            <w:tcW w:w="479" w:type="dxa"/>
            <w:vAlign w:val="center"/>
          </w:tcPr>
          <w:p>
            <w:pPr>
              <w:jc w:val="center"/>
              <w:rPr>
                <w:rFonts w:ascii="仿宋" w:hAnsi="仿宋"/>
                <w:color w:val="auto"/>
                <w:szCs w:val="21"/>
                <w:highlight w:val="none"/>
              </w:rPr>
            </w:pPr>
          </w:p>
        </w:tc>
        <w:tc>
          <w:tcPr>
            <w:tcW w:w="392" w:type="dxa"/>
            <w:vAlign w:val="center"/>
          </w:tcPr>
          <w:p>
            <w:pPr>
              <w:jc w:val="center"/>
              <w:rPr>
                <w:rFonts w:ascii="仿宋" w:hAnsi="仿宋"/>
                <w:color w:val="auto"/>
                <w:szCs w:val="21"/>
                <w:highlight w:val="none"/>
              </w:rPr>
            </w:pPr>
          </w:p>
        </w:tc>
        <w:tc>
          <w:tcPr>
            <w:tcW w:w="432" w:type="dxa"/>
            <w:vAlign w:val="center"/>
          </w:tcPr>
          <w:p>
            <w:pPr>
              <w:jc w:val="center"/>
              <w:rPr>
                <w:rFonts w:ascii="仿宋" w:hAnsi="仿宋"/>
                <w:color w:val="auto"/>
                <w:szCs w:val="21"/>
                <w:highlight w:val="none"/>
              </w:rPr>
            </w:pPr>
          </w:p>
        </w:tc>
        <w:tc>
          <w:tcPr>
            <w:tcW w:w="1009" w:type="dxa"/>
            <w:vAlign w:val="center"/>
          </w:tcPr>
          <w:p>
            <w:pPr>
              <w:jc w:val="center"/>
              <w:rPr>
                <w:rFonts w:ascii="仿宋" w:hAnsi="仿宋"/>
                <w:color w:val="auto"/>
                <w:szCs w:val="21"/>
                <w:highlight w:val="none"/>
              </w:rPr>
            </w:pPr>
          </w:p>
        </w:tc>
      </w:tr>
    </w:tbl>
    <w:p>
      <w:pPr>
        <w:adjustRightInd w:val="0"/>
        <w:snapToGrid w:val="0"/>
        <w:spacing w:line="300" w:lineRule="atLeast"/>
        <w:ind w:right="-336" w:rightChars="-160"/>
        <w:rPr>
          <w:rFonts w:hint="eastAsia" w:ascii="仿宋" w:hAnsi="仿宋" w:eastAsia="仿宋"/>
          <w:szCs w:val="28"/>
          <w:highlight w:val="none"/>
        </w:rPr>
      </w:pPr>
    </w:p>
    <w:p>
      <w:pPr>
        <w:adjustRightInd w:val="0"/>
        <w:snapToGrid w:val="0"/>
        <w:spacing w:line="300" w:lineRule="atLeast"/>
        <w:ind w:right="-336" w:rightChars="-1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评审组签名：</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rPr>
          <w:rFonts w:hint="eastAsia" w:asciiTheme="minorEastAsia" w:hAnsiTheme="minorEastAsia" w:eastAsiaTheme="minorEastAsia" w:cstheme="minorEastAsia"/>
          <w:sz w:val="21"/>
          <w:szCs w:val="21"/>
          <w:highlight w:val="none"/>
        </w:rPr>
      </w:pPr>
    </w:p>
    <w:p>
      <w:pPr>
        <w:pStyle w:val="2"/>
        <w:ind w:firstLine="5250" w:firstLineChars="25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color w:val="auto"/>
          <w:sz w:val="21"/>
          <w:szCs w:val="21"/>
          <w:highlight w:val="none"/>
        </w:rPr>
        <w:t>日期：    年  月  日</w:t>
      </w:r>
    </w:p>
    <w:p>
      <w:pPr>
        <w:rPr>
          <w:rFonts w:hint="eastAsia" w:asciiTheme="minorEastAsia" w:hAnsiTheme="minorEastAsia" w:eastAsiaTheme="minorEastAsia" w:cstheme="minorEastAsia"/>
          <w:bCs/>
          <w:color w:val="auto"/>
          <w:sz w:val="21"/>
          <w:szCs w:val="21"/>
          <w:highlight w:val="none"/>
        </w:rPr>
      </w:pPr>
    </w:p>
    <w:p>
      <w:pPr>
        <w:rPr>
          <w:rFonts w:hint="eastAsia" w:ascii="微软雅黑" w:hAnsi="微软雅黑" w:eastAsia="微软雅黑" w:cs="微软雅黑"/>
          <w:bCs/>
          <w:color w:val="auto"/>
          <w:sz w:val="44"/>
          <w:szCs w:val="44"/>
          <w:highlight w:val="none"/>
        </w:rPr>
      </w:pPr>
      <w:r>
        <w:rPr>
          <w:rFonts w:hint="eastAsia" w:ascii="微软雅黑" w:hAnsi="微软雅黑" w:eastAsia="微软雅黑" w:cs="微软雅黑"/>
          <w:bCs/>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表8</w:t>
      </w:r>
    </w:p>
    <w:p>
      <w:pPr>
        <w:adjustRightInd w:val="0"/>
        <w:snapToGrid w:val="0"/>
        <w:spacing w:line="300" w:lineRule="atLeast"/>
        <w:ind w:right="-336" w:rightChars="-160"/>
        <w:jc w:val="center"/>
        <w:rPr>
          <w:rFonts w:hint="eastAsia" w:ascii="微软雅黑" w:hAnsi="微软雅黑" w:eastAsia="微软雅黑" w:cs="微软雅黑"/>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整改</w:t>
      </w:r>
      <w:r>
        <w:rPr>
          <w:rFonts w:hint="eastAsia" w:ascii="方正小标宋简体" w:hAnsi="方正小标宋简体" w:eastAsia="方正小标宋简体" w:cs="方正小标宋简体"/>
          <w:bCs/>
          <w:color w:val="auto"/>
          <w:sz w:val="44"/>
          <w:szCs w:val="44"/>
          <w:highlight w:val="none"/>
          <w:lang w:eastAsia="zh-CN"/>
        </w:rPr>
        <w:t>项记录表</w:t>
      </w:r>
    </w:p>
    <w:p>
      <w:pPr>
        <w:snapToGrid w:val="0"/>
        <w:jc w:val="right"/>
        <w:rPr>
          <w:rFonts w:ascii="新宋体" w:hAnsi="新宋体" w:eastAsia="新宋体"/>
          <w:spacing w:val="-20"/>
          <w:sz w:val="24"/>
          <w:szCs w:val="24"/>
          <w:highlight w:val="none"/>
        </w:rPr>
      </w:pPr>
      <w:r>
        <w:rPr>
          <w:rFonts w:hint="eastAsia" w:ascii="新宋体" w:hAnsi="新宋体" w:eastAsia="新宋体"/>
          <w:spacing w:val="-20"/>
          <w:sz w:val="24"/>
          <w:szCs w:val="24"/>
          <w:highlight w:val="none"/>
        </w:rPr>
        <w:t>第  页 共  页</w:t>
      </w: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594"/>
        <w:gridCol w:w="16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000" w:type="dxa"/>
            <w:gridSpan w:val="4"/>
            <w:tcBorders>
              <w:top w:val="single" w:color="auto" w:sz="4" w:space="0"/>
              <w:left w:val="single" w:color="auto" w:sz="4" w:space="0"/>
              <w:right w:val="single" w:color="auto" w:sz="4" w:space="0"/>
            </w:tcBorders>
          </w:tcPr>
          <w:p>
            <w:pPr>
              <w:snapToGrid w:val="0"/>
              <w:spacing w:line="360" w:lineRule="auto"/>
              <w:ind w:firstLine="3"/>
              <w:rPr>
                <w:rFonts w:ascii="宋体" w:hAnsi="宋体"/>
                <w:b/>
                <w:sz w:val="24"/>
                <w:szCs w:val="24"/>
                <w:highlight w:val="none"/>
              </w:rPr>
            </w:pPr>
            <w:r>
              <w:rPr>
                <w:rFonts w:hint="eastAsia" w:ascii="宋体" w:hAnsi="宋体"/>
                <w:b/>
                <w:sz w:val="24"/>
                <w:szCs w:val="24"/>
                <w:highlight w:val="none"/>
              </w:rPr>
              <w:t xml:space="preserve">专家在   </w:t>
            </w:r>
            <w:r>
              <w:rPr>
                <w:rFonts w:hint="eastAsia" w:ascii="宋体" w:hAnsi="宋体"/>
                <w:sz w:val="24"/>
                <w:szCs w:val="24"/>
                <w:highlight w:val="none"/>
              </w:rPr>
              <w:t xml:space="preserve"> </w:t>
            </w:r>
            <w:r>
              <w:rPr>
                <w:rFonts w:hint="eastAsia" w:ascii="宋体" w:hAnsi="宋体"/>
                <w:b/>
                <w:sz w:val="24"/>
                <w:szCs w:val="24"/>
                <w:highlight w:val="none"/>
              </w:rPr>
              <w:t>口 文件评审时完成         日期：</w:t>
            </w:r>
          </w:p>
          <w:p>
            <w:pPr>
              <w:snapToGrid w:val="0"/>
              <w:spacing w:line="360" w:lineRule="auto"/>
              <w:ind w:firstLine="3"/>
              <w:rPr>
                <w:rFonts w:ascii="宋体" w:hAnsi="宋体"/>
                <w:b/>
                <w:sz w:val="24"/>
                <w:szCs w:val="24"/>
                <w:highlight w:val="none"/>
              </w:rPr>
            </w:pPr>
            <w:r>
              <w:rPr>
                <w:rFonts w:hint="eastAsia" w:ascii="宋体" w:hAnsi="宋体"/>
                <w:b/>
                <w:sz w:val="24"/>
                <w:szCs w:val="24"/>
                <w:highlight w:val="none"/>
              </w:rPr>
              <w:t xml:space="preserve">          口 </w:t>
            </w:r>
            <w:r>
              <w:rPr>
                <w:rFonts w:hint="eastAsia" w:ascii="宋体" w:hAnsi="宋体"/>
                <w:b/>
                <w:sz w:val="24"/>
                <w:szCs w:val="24"/>
                <w:highlight w:val="none"/>
                <w:lang w:eastAsia="zh-CN"/>
              </w:rPr>
              <w:t>专家评审</w:t>
            </w:r>
            <w:r>
              <w:rPr>
                <w:rFonts w:hint="eastAsia" w:ascii="宋体" w:hAnsi="宋体"/>
                <w:b/>
                <w:sz w:val="24"/>
                <w:szCs w:val="24"/>
                <w:highlight w:val="none"/>
              </w:rPr>
              <w:t>时完成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36" w:type="dxa"/>
            <w:tcBorders>
              <w:left w:val="single" w:color="auto" w:sz="4" w:space="0"/>
              <w:bottom w:val="single" w:color="auto" w:sz="4" w:space="0"/>
            </w:tcBorders>
            <w:vAlign w:val="bottom"/>
          </w:tcPr>
          <w:p>
            <w:pPr>
              <w:snapToGrid w:val="0"/>
              <w:spacing w:line="360" w:lineRule="auto"/>
              <w:ind w:firstLine="3"/>
              <w:jc w:val="center"/>
              <w:rPr>
                <w:rFonts w:ascii="宋体" w:hAnsi="宋体"/>
                <w:b/>
                <w:sz w:val="24"/>
                <w:szCs w:val="24"/>
                <w:highlight w:val="none"/>
              </w:rPr>
            </w:pPr>
            <w:r>
              <w:rPr>
                <w:rFonts w:hint="eastAsia" w:ascii="宋体" w:hAnsi="宋体"/>
                <w:b/>
                <w:sz w:val="24"/>
                <w:szCs w:val="24"/>
                <w:highlight w:val="none"/>
              </w:rPr>
              <w:t>被评审部门</w:t>
            </w:r>
          </w:p>
        </w:tc>
        <w:tc>
          <w:tcPr>
            <w:tcW w:w="2594" w:type="dxa"/>
            <w:tcBorders>
              <w:bottom w:val="single" w:color="auto" w:sz="4" w:space="0"/>
            </w:tcBorders>
            <w:vAlign w:val="bottom"/>
          </w:tcPr>
          <w:p>
            <w:pPr>
              <w:snapToGrid w:val="0"/>
              <w:spacing w:line="360" w:lineRule="auto"/>
              <w:ind w:firstLine="3"/>
              <w:jc w:val="center"/>
              <w:rPr>
                <w:rFonts w:ascii="宋体" w:hAnsi="宋体"/>
                <w:sz w:val="24"/>
                <w:szCs w:val="24"/>
                <w:highlight w:val="none"/>
              </w:rPr>
            </w:pPr>
          </w:p>
        </w:tc>
        <w:tc>
          <w:tcPr>
            <w:tcW w:w="1648" w:type="dxa"/>
            <w:tcBorders>
              <w:bottom w:val="single" w:color="auto" w:sz="4" w:space="0"/>
            </w:tcBorders>
            <w:vAlign w:val="bottom"/>
          </w:tcPr>
          <w:p>
            <w:pPr>
              <w:snapToGrid w:val="0"/>
              <w:spacing w:line="360" w:lineRule="auto"/>
              <w:ind w:firstLine="3"/>
              <w:jc w:val="center"/>
              <w:rPr>
                <w:rFonts w:ascii="宋体" w:hAnsi="宋体"/>
                <w:b/>
                <w:sz w:val="24"/>
                <w:szCs w:val="24"/>
                <w:highlight w:val="none"/>
              </w:rPr>
            </w:pPr>
            <w:r>
              <w:rPr>
                <w:rFonts w:hint="eastAsia" w:ascii="宋体" w:hAnsi="宋体"/>
                <w:b/>
                <w:sz w:val="24"/>
                <w:szCs w:val="24"/>
                <w:highlight w:val="none"/>
              </w:rPr>
              <w:t>陪同人</w:t>
            </w:r>
          </w:p>
        </w:tc>
        <w:tc>
          <w:tcPr>
            <w:tcW w:w="2222" w:type="dxa"/>
            <w:tcBorders>
              <w:bottom w:val="single" w:color="auto" w:sz="4" w:space="0"/>
              <w:right w:val="single" w:color="auto" w:sz="4" w:space="0"/>
            </w:tcBorders>
            <w:vAlign w:val="bottom"/>
          </w:tcPr>
          <w:p>
            <w:pPr>
              <w:snapToGrid w:val="0"/>
              <w:spacing w:line="360" w:lineRule="auto"/>
              <w:ind w:firstLine="3"/>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9000" w:type="dxa"/>
            <w:gridSpan w:val="4"/>
            <w:tcBorders>
              <w:left w:val="single" w:color="auto" w:sz="4" w:space="0"/>
              <w:bottom w:val="single" w:color="auto" w:sz="4" w:space="0"/>
              <w:right w:val="single" w:color="auto" w:sz="4" w:space="0"/>
            </w:tcBorders>
          </w:tcPr>
          <w:p>
            <w:pPr>
              <w:snapToGrid w:val="0"/>
              <w:spacing w:line="360" w:lineRule="auto"/>
              <w:ind w:firstLine="3"/>
              <w:rPr>
                <w:rFonts w:ascii="宋体" w:hAnsi="宋体"/>
                <w:b/>
                <w:sz w:val="24"/>
                <w:szCs w:val="24"/>
                <w:highlight w:val="none"/>
              </w:rPr>
            </w:pPr>
            <w:r>
              <w:rPr>
                <w:rFonts w:hint="eastAsia" w:ascii="宋体" w:hAnsi="宋体"/>
                <w:b/>
                <w:sz w:val="24"/>
                <w:szCs w:val="24"/>
                <w:highlight w:val="none"/>
              </w:rPr>
              <w:t>评审记录：</w:t>
            </w:r>
          </w:p>
          <w:p>
            <w:pPr>
              <w:snapToGrid w:val="0"/>
              <w:spacing w:line="360" w:lineRule="auto"/>
              <w:ind w:firstLine="360" w:firstLineChars="150"/>
              <w:rPr>
                <w:rFonts w:ascii="宋体" w:hAnsi="宋体"/>
                <w:sz w:val="24"/>
                <w:szCs w:val="24"/>
                <w:highlight w:val="none"/>
              </w:rPr>
            </w:pPr>
            <w:r>
              <w:rPr>
                <w:rFonts w:hint="eastAsia" w:ascii="宋体" w:hAnsi="宋体"/>
                <w:sz w:val="24"/>
                <w:szCs w:val="24"/>
                <w:highlight w:val="none"/>
              </w:rPr>
              <w:t>依据的管理体系文件/检测标准</w:t>
            </w:r>
            <w:r>
              <w:rPr>
                <w:rFonts w:hint="eastAsia" w:ascii="宋体" w:hAnsi="宋体"/>
                <w:sz w:val="24"/>
                <w:szCs w:val="24"/>
                <w:highlight w:val="none"/>
                <w:lang w:val="en-US" w:eastAsia="zh-CN"/>
              </w:rPr>
              <w:t>等内容</w:t>
            </w:r>
            <w:r>
              <w:rPr>
                <w:rFonts w:hint="eastAsia" w:ascii="宋体" w:hAnsi="宋体"/>
                <w:sz w:val="24"/>
                <w:szCs w:val="24"/>
                <w:highlight w:val="none"/>
              </w:rPr>
              <w:t>：</w:t>
            </w:r>
            <w:r>
              <w:rPr>
                <w:rFonts w:hint="eastAsia" w:ascii="宋体" w:hAnsi="宋体"/>
                <w:sz w:val="24"/>
                <w:szCs w:val="24"/>
                <w:highlight w:val="none"/>
                <w:u w:val="single"/>
              </w:rPr>
              <w:t xml:space="preserve">                                       </w:t>
            </w:r>
          </w:p>
          <w:p>
            <w:pPr>
              <w:snapToGrid w:val="0"/>
              <w:spacing w:line="360" w:lineRule="auto"/>
              <w:ind w:firstLine="3"/>
              <w:rPr>
                <w:rFonts w:ascii="宋体" w:hAnsi="宋体"/>
                <w:sz w:val="24"/>
                <w:szCs w:val="24"/>
                <w:highlight w:val="none"/>
                <w:u w:val="single"/>
              </w:rPr>
            </w:pPr>
            <w:r>
              <w:rPr>
                <w:rFonts w:hint="eastAsia" w:ascii="宋体" w:hAnsi="宋体"/>
                <w:sz w:val="24"/>
                <w:szCs w:val="24"/>
                <w:highlight w:val="none"/>
              </w:rPr>
              <w:t xml:space="preserve">   不符合项事实描述：</w:t>
            </w:r>
            <w:r>
              <w:rPr>
                <w:rFonts w:hint="eastAsia" w:ascii="宋体" w:hAnsi="宋体"/>
                <w:sz w:val="24"/>
                <w:szCs w:val="24"/>
                <w:highlight w:val="none"/>
                <w:u w:val="single"/>
              </w:rPr>
              <w:t xml:space="preserve">                                                  </w:t>
            </w:r>
          </w:p>
          <w:p>
            <w:pPr>
              <w:snapToGrid w:val="0"/>
              <w:spacing w:line="360" w:lineRule="auto"/>
              <w:ind w:firstLine="120" w:firstLineChars="50"/>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pPr>
              <w:snapToGrid w:val="0"/>
              <w:spacing w:line="360" w:lineRule="auto"/>
              <w:ind w:firstLine="3"/>
              <w:rPr>
                <w:rFonts w:ascii="宋体" w:hAnsi="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以上情况为一个</w:t>
            </w:r>
            <w:r>
              <w:rPr>
                <w:rFonts w:hint="eastAsia" w:ascii="宋体" w:hAnsi="宋体"/>
                <w:b/>
                <w:sz w:val="24"/>
                <w:szCs w:val="24"/>
                <w:highlight w:val="none"/>
                <w:lang w:val="en-US" w:eastAsia="zh-CN"/>
              </w:rPr>
              <w:t>整改</w:t>
            </w:r>
            <w:r>
              <w:rPr>
                <w:rFonts w:hint="eastAsia" w:ascii="宋体" w:hAnsi="宋体"/>
                <w:b/>
                <w:sz w:val="24"/>
                <w:szCs w:val="24"/>
                <w:highlight w:val="none"/>
              </w:rPr>
              <w:t>项</w:t>
            </w:r>
            <w:r>
              <w:rPr>
                <w:rFonts w:hint="eastAsia" w:ascii="宋体" w:hAnsi="宋体"/>
                <w:sz w:val="24"/>
                <w:szCs w:val="24"/>
                <w:highlight w:val="none"/>
              </w:rPr>
              <w:t>，对应</w:t>
            </w:r>
            <w:r>
              <w:rPr>
                <w:rFonts w:hint="eastAsia" w:ascii="宋体" w:hAnsi="宋体"/>
                <w:sz w:val="24"/>
                <w:szCs w:val="24"/>
                <w:highlight w:val="none"/>
                <w:lang w:eastAsia="zh-CN"/>
              </w:rPr>
              <w:t>《专家评审</w:t>
            </w:r>
            <w:r>
              <w:rPr>
                <w:rFonts w:hint="eastAsia" w:ascii="宋体" w:hAnsi="宋体"/>
                <w:sz w:val="24"/>
                <w:szCs w:val="24"/>
                <w:highlight w:val="none"/>
              </w:rPr>
              <w:t>核查表</w:t>
            </w:r>
            <w:r>
              <w:rPr>
                <w:rFonts w:hint="eastAsia" w:ascii="宋体" w:hAnsi="宋体"/>
                <w:sz w:val="24"/>
                <w:szCs w:val="24"/>
                <w:highlight w:val="none"/>
                <w:lang w:val="en-US" w:eastAsia="zh-CN"/>
              </w:rPr>
              <w:t>-1</w:t>
            </w:r>
            <w:r>
              <w:rPr>
                <w:rFonts w:hint="eastAsia" w:ascii="宋体" w:hAnsi="宋体"/>
                <w:sz w:val="24"/>
                <w:szCs w:val="24"/>
                <w:highlight w:val="none"/>
                <w:lang w:eastAsia="zh-CN"/>
              </w:rPr>
              <w:t>》《专家评审</w:t>
            </w:r>
            <w:r>
              <w:rPr>
                <w:rFonts w:hint="eastAsia" w:ascii="宋体" w:hAnsi="宋体"/>
                <w:sz w:val="24"/>
                <w:szCs w:val="24"/>
                <w:highlight w:val="none"/>
              </w:rPr>
              <w:t>核查表</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的条款号为</w:t>
            </w:r>
            <w:r>
              <w:rPr>
                <w:rFonts w:hint="eastAsia" w:ascii="宋体" w:hAnsi="宋体"/>
                <w:sz w:val="24"/>
                <w:szCs w:val="24"/>
                <w:highlight w:val="none"/>
                <w:u w:val="single"/>
              </w:rPr>
              <w:t xml:space="preserve">                     </w:t>
            </w:r>
            <w:r>
              <w:rPr>
                <w:rFonts w:hint="eastAsia" w:ascii="宋体" w:hAnsi="宋体"/>
                <w:b/>
                <w:sz w:val="24"/>
                <w:szCs w:val="24"/>
                <w:highlight w:val="none"/>
                <w:u w:val="single"/>
              </w:rPr>
              <w:t xml:space="preserve">                                         </w:t>
            </w:r>
            <w:r>
              <w:rPr>
                <w:rFonts w:hint="eastAsia" w:ascii="宋体" w:hAnsi="宋体"/>
                <w:b/>
                <w:sz w:val="24"/>
                <w:szCs w:val="24"/>
                <w:highlight w:val="none"/>
              </w:rPr>
              <w:t xml:space="preserve"> </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000" w:type="dxa"/>
            <w:gridSpan w:val="4"/>
            <w:tcBorders>
              <w:top w:val="single" w:color="auto" w:sz="4" w:space="0"/>
              <w:left w:val="single" w:color="auto" w:sz="4" w:space="0"/>
              <w:bottom w:val="single" w:color="auto" w:sz="4" w:space="0"/>
              <w:right w:val="single" w:color="auto" w:sz="4" w:space="0"/>
            </w:tcBorders>
          </w:tcPr>
          <w:p>
            <w:pPr>
              <w:snapToGrid w:val="0"/>
              <w:spacing w:before="157" w:beforeLines="50"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整改</w:t>
            </w:r>
            <w:r>
              <w:rPr>
                <w:rFonts w:hint="eastAsia" w:ascii="宋体" w:hAnsi="宋体"/>
                <w:sz w:val="24"/>
                <w:szCs w:val="24"/>
                <w:highlight w:val="none"/>
              </w:rPr>
              <w:t>工作将通过下列方式确认：</w:t>
            </w:r>
          </w:p>
          <w:p>
            <w:pPr>
              <w:snapToGrid w:val="0"/>
              <w:spacing w:line="360" w:lineRule="auto"/>
              <w:ind w:firstLine="720" w:firstLineChars="300"/>
              <w:rPr>
                <w:rFonts w:ascii="宋体" w:hAnsi="宋体"/>
                <w:sz w:val="24"/>
                <w:szCs w:val="24"/>
                <w:highlight w:val="none"/>
              </w:rPr>
            </w:pPr>
            <w:r>
              <w:rPr>
                <w:rFonts w:hint="eastAsia" w:ascii="宋体" w:hAnsi="宋体"/>
                <w:sz w:val="24"/>
                <w:szCs w:val="24"/>
                <w:highlight w:val="none"/>
              </w:rPr>
              <w:t>口提供必要的见证材料；</w:t>
            </w:r>
          </w:p>
          <w:p>
            <w:pPr>
              <w:snapToGrid w:val="0"/>
              <w:spacing w:line="360" w:lineRule="auto"/>
              <w:ind w:firstLine="720" w:firstLineChars="300"/>
              <w:rPr>
                <w:rFonts w:ascii="宋体" w:hAnsi="宋体"/>
                <w:sz w:val="24"/>
                <w:szCs w:val="24"/>
                <w:highlight w:val="none"/>
              </w:rPr>
            </w:pPr>
            <w:r>
              <w:rPr>
                <w:rFonts w:hint="eastAsia" w:ascii="宋体" w:hAnsi="宋体"/>
                <w:sz w:val="24"/>
                <w:szCs w:val="24"/>
                <w:highlight w:val="none"/>
              </w:rPr>
              <w:t>口现场跟踪</w:t>
            </w:r>
            <w:r>
              <w:rPr>
                <w:rFonts w:hint="eastAsia" w:ascii="宋体" w:hAnsi="宋体"/>
                <w:sz w:val="24"/>
                <w:szCs w:val="24"/>
                <w:highlight w:val="none"/>
                <w:lang w:val="en-US" w:eastAsia="zh-CN"/>
              </w:rPr>
              <w:t>/视频</w:t>
            </w:r>
            <w:r>
              <w:rPr>
                <w:rFonts w:hint="eastAsia" w:ascii="宋体" w:hAnsi="宋体"/>
                <w:sz w:val="24"/>
                <w:szCs w:val="24"/>
                <w:highlight w:val="none"/>
              </w:rPr>
              <w:t>；</w:t>
            </w:r>
          </w:p>
          <w:p>
            <w:pPr>
              <w:snapToGrid w:val="0"/>
              <w:spacing w:line="360" w:lineRule="auto"/>
              <w:ind w:firstLine="720" w:firstLineChars="300"/>
              <w:rPr>
                <w:rFonts w:ascii="宋体" w:hAnsi="宋体"/>
                <w:sz w:val="24"/>
                <w:szCs w:val="24"/>
                <w:highlight w:val="none"/>
              </w:rPr>
            </w:pPr>
            <w:r>
              <w:rPr>
                <w:rFonts w:hint="eastAsia" w:ascii="宋体" w:hAnsi="宋体"/>
                <w:sz w:val="24"/>
                <w:szCs w:val="24"/>
                <w:highlight w:val="none"/>
              </w:rPr>
              <w:t xml:space="preserve">口其他：                      </w:t>
            </w:r>
          </w:p>
          <w:p>
            <w:pPr>
              <w:snapToGrid w:val="0"/>
              <w:spacing w:line="360" w:lineRule="auto"/>
              <w:ind w:firstLine="240" w:firstLineChars="100"/>
              <w:rPr>
                <w:rFonts w:ascii="宋体" w:hAnsi="宋体"/>
                <w:sz w:val="24"/>
                <w:szCs w:val="24"/>
                <w:highlight w:val="none"/>
              </w:rPr>
            </w:pPr>
            <w:r>
              <w:rPr>
                <w:rFonts w:hint="eastAsia" w:ascii="宋体" w:hAnsi="宋体"/>
                <w:sz w:val="24"/>
                <w:szCs w:val="24"/>
                <w:highlight w:val="none"/>
              </w:rPr>
              <w:t xml:space="preserve">                                             专家签字：</w:t>
            </w:r>
            <w:r>
              <w:rPr>
                <w:rFonts w:hint="eastAsia" w:ascii="宋体" w:hAnsi="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000" w:type="dxa"/>
            <w:gridSpan w:val="4"/>
            <w:tcBorders>
              <w:top w:val="single" w:color="auto" w:sz="4" w:space="0"/>
              <w:left w:val="single" w:color="auto" w:sz="4" w:space="0"/>
              <w:bottom w:val="single" w:color="auto" w:sz="4" w:space="0"/>
              <w:right w:val="single" w:color="auto" w:sz="4" w:space="0"/>
            </w:tcBorders>
          </w:tcPr>
          <w:p>
            <w:pPr>
              <w:snapToGrid w:val="0"/>
              <w:spacing w:line="360" w:lineRule="auto"/>
              <w:ind w:firstLine="240" w:firstLineChars="100"/>
              <w:rPr>
                <w:rFonts w:ascii="宋体" w:hAnsi="宋体"/>
                <w:sz w:val="24"/>
                <w:szCs w:val="24"/>
                <w:highlight w:val="none"/>
              </w:rPr>
            </w:pPr>
            <w:r>
              <w:rPr>
                <w:rFonts w:hint="eastAsia" w:ascii="宋体" w:hAnsi="宋体"/>
                <w:sz w:val="24"/>
                <w:szCs w:val="24"/>
                <w:highlight w:val="none"/>
              </w:rPr>
              <w:t>被评审方确认意见：</w:t>
            </w:r>
          </w:p>
          <w:p>
            <w:pPr>
              <w:snapToGrid w:val="0"/>
              <w:spacing w:line="360" w:lineRule="auto"/>
              <w:ind w:firstLine="240" w:firstLineChars="100"/>
              <w:rPr>
                <w:rFonts w:ascii="宋体" w:hAnsi="宋体"/>
                <w:sz w:val="24"/>
                <w:szCs w:val="24"/>
                <w:highlight w:val="none"/>
              </w:rPr>
            </w:pPr>
          </w:p>
          <w:p>
            <w:pPr>
              <w:snapToGrid w:val="0"/>
              <w:spacing w:line="360" w:lineRule="auto"/>
              <w:ind w:firstLine="240" w:firstLineChars="100"/>
              <w:rPr>
                <w:rFonts w:ascii="宋体" w:hAnsi="宋体"/>
                <w:sz w:val="24"/>
                <w:szCs w:val="24"/>
                <w:highlight w:val="none"/>
              </w:rPr>
            </w:pPr>
            <w:r>
              <w:rPr>
                <w:rFonts w:hint="eastAsia" w:ascii="宋体" w:hAnsi="宋体"/>
                <w:sz w:val="24"/>
                <w:szCs w:val="24"/>
                <w:highlight w:val="none"/>
              </w:rPr>
              <w:t xml:space="preserve">口确认     口不确认                  </w:t>
            </w:r>
            <w:r>
              <w:rPr>
                <w:rFonts w:hint="eastAsia" w:ascii="宋体" w:hAnsi="宋体" w:eastAsia="宋体" w:cs="Times New Roman"/>
                <w:color w:val="auto"/>
                <w:sz w:val="24"/>
                <w:szCs w:val="24"/>
                <w:highlight w:val="none"/>
              </w:rPr>
              <w:t>检测机构</w:t>
            </w:r>
            <w:r>
              <w:rPr>
                <w:rFonts w:hint="eastAsia" w:ascii="宋体" w:hAnsi="宋体" w:eastAsia="宋体" w:cs="Times New Roman"/>
                <w:color w:val="auto"/>
                <w:sz w:val="24"/>
                <w:szCs w:val="24"/>
                <w:highlight w:val="none"/>
                <w:lang w:val="en-US" w:eastAsia="zh-CN"/>
              </w:rPr>
              <w:t>负责人</w:t>
            </w:r>
            <w:r>
              <w:rPr>
                <w:rFonts w:hint="eastAsia" w:ascii="宋体" w:hAnsi="宋体"/>
                <w:sz w:val="24"/>
                <w:szCs w:val="24"/>
                <w:highlight w:val="none"/>
              </w:rPr>
              <w:t>签字：</w:t>
            </w:r>
            <w:r>
              <w:rPr>
                <w:rFonts w:hint="eastAsia" w:ascii="宋体" w:hAnsi="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9000" w:type="dxa"/>
            <w:gridSpan w:val="4"/>
            <w:tcBorders>
              <w:top w:val="single" w:color="auto" w:sz="4" w:space="0"/>
              <w:left w:val="single" w:color="auto" w:sz="4" w:space="0"/>
              <w:bottom w:val="single" w:color="auto" w:sz="4" w:space="0"/>
              <w:right w:val="single" w:color="auto" w:sz="4" w:space="0"/>
            </w:tcBorders>
          </w:tcPr>
          <w:p>
            <w:pPr>
              <w:snapToGrid w:val="0"/>
              <w:spacing w:line="360" w:lineRule="auto"/>
              <w:ind w:firstLine="240" w:firstLineChars="100"/>
              <w:rPr>
                <w:rFonts w:ascii="宋体" w:hAnsi="宋体"/>
                <w:sz w:val="24"/>
                <w:szCs w:val="24"/>
                <w:highlight w:val="none"/>
              </w:rPr>
            </w:pPr>
            <w:r>
              <w:rPr>
                <w:rFonts w:hint="eastAsia" w:ascii="宋体" w:hAnsi="宋体"/>
                <w:sz w:val="24"/>
                <w:szCs w:val="24"/>
                <w:highlight w:val="none"/>
              </w:rPr>
              <w:t>组长确认意见：</w:t>
            </w:r>
          </w:p>
          <w:p>
            <w:pPr>
              <w:snapToGrid w:val="0"/>
              <w:spacing w:line="360" w:lineRule="auto"/>
              <w:ind w:firstLine="240" w:firstLineChars="100"/>
              <w:rPr>
                <w:rFonts w:ascii="宋体" w:hAnsi="宋体"/>
                <w:sz w:val="24"/>
                <w:szCs w:val="24"/>
                <w:highlight w:val="none"/>
              </w:rPr>
            </w:pPr>
          </w:p>
          <w:p>
            <w:pPr>
              <w:snapToGrid w:val="0"/>
              <w:spacing w:line="360" w:lineRule="auto"/>
              <w:ind w:firstLine="240" w:firstLineChars="100"/>
              <w:rPr>
                <w:rFonts w:ascii="宋体" w:hAnsi="宋体"/>
                <w:sz w:val="24"/>
                <w:szCs w:val="24"/>
                <w:highlight w:val="none"/>
              </w:rPr>
            </w:pPr>
            <w:r>
              <w:rPr>
                <w:rFonts w:hint="eastAsia" w:ascii="宋体" w:hAnsi="宋体"/>
                <w:sz w:val="24"/>
                <w:szCs w:val="24"/>
                <w:highlight w:val="none"/>
              </w:rPr>
              <w:t>口确认     口不确认                        组长签字：</w:t>
            </w:r>
            <w:r>
              <w:rPr>
                <w:rFonts w:hint="eastAsia" w:ascii="宋体" w:hAnsi="宋体"/>
                <w:sz w:val="24"/>
                <w:szCs w:val="24"/>
                <w:highlight w:val="none"/>
                <w:u w:val="single"/>
              </w:rPr>
              <w:t xml:space="preserve">           </w:t>
            </w:r>
          </w:p>
        </w:tc>
      </w:tr>
    </w:tbl>
    <w:p>
      <w:pPr>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注：1.</w:t>
      </w:r>
      <w:r>
        <w:rPr>
          <w:rFonts w:hint="eastAsia" w:ascii="仿宋" w:hAnsi="仿宋" w:eastAsia="仿宋"/>
          <w:color w:val="auto"/>
          <w:szCs w:val="21"/>
          <w:highlight w:val="none"/>
        </w:rPr>
        <w:t>不符合项应</w:t>
      </w:r>
      <w:r>
        <w:rPr>
          <w:rFonts w:hint="eastAsia" w:ascii="仿宋" w:hAnsi="仿宋" w:eastAsia="仿宋"/>
          <w:color w:val="auto"/>
          <w:szCs w:val="21"/>
          <w:highlight w:val="none"/>
          <w:lang w:val="en-US" w:eastAsia="zh-CN"/>
        </w:rPr>
        <w:t>按照能力确认相关要求填写，须</w:t>
      </w:r>
      <w:r>
        <w:rPr>
          <w:rFonts w:hint="eastAsia" w:ascii="仿宋" w:hAnsi="仿宋" w:eastAsia="仿宋"/>
          <w:color w:val="auto"/>
          <w:szCs w:val="21"/>
          <w:highlight w:val="none"/>
        </w:rPr>
        <w:t>填写被评审机构编写的体系文件名称或检测标准</w:t>
      </w:r>
      <w:r>
        <w:rPr>
          <w:rFonts w:hint="eastAsia" w:ascii="仿宋" w:hAnsi="仿宋" w:eastAsia="仿宋"/>
          <w:color w:val="auto"/>
          <w:szCs w:val="21"/>
          <w:highlight w:val="none"/>
          <w:lang w:val="en-US" w:eastAsia="zh-CN"/>
        </w:rPr>
        <w:t>等内容</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被评审机构编写的体系文件没有规定的</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不符合事项填写</w:t>
      </w:r>
      <w:r>
        <w:rPr>
          <w:rFonts w:hint="eastAsia" w:ascii="仿宋" w:hAnsi="仿宋" w:eastAsia="仿宋"/>
          <w:color w:val="auto"/>
          <w:szCs w:val="21"/>
          <w:highlight w:val="none"/>
          <w:lang w:val="en-US" w:eastAsia="zh-CN"/>
        </w:rPr>
        <w:t>《专家评审核查表》</w:t>
      </w:r>
      <w:r>
        <w:rPr>
          <w:rFonts w:hint="eastAsia" w:ascii="仿宋" w:hAnsi="仿宋" w:eastAsia="仿宋"/>
          <w:color w:val="auto"/>
          <w:szCs w:val="21"/>
          <w:highlight w:val="none"/>
        </w:rPr>
        <w:t>的具体条款。</w:t>
      </w:r>
    </w:p>
    <w:p>
      <w:pPr>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2</w:t>
      </w:r>
      <w:r>
        <w:rPr>
          <w:rFonts w:hint="eastAsia" w:ascii="仿宋" w:hAnsi="仿宋" w:eastAsia="仿宋"/>
          <w:color w:val="auto"/>
          <w:szCs w:val="21"/>
          <w:highlight w:val="none"/>
          <w:lang w:val="en-US" w:eastAsia="zh-CN"/>
        </w:rPr>
        <w:t>.</w:t>
      </w:r>
      <w:r>
        <w:rPr>
          <w:rFonts w:hint="eastAsia" w:ascii="仿宋" w:hAnsi="仿宋" w:eastAsia="仿宋"/>
          <w:color w:val="auto"/>
          <w:szCs w:val="21"/>
          <w:highlight w:val="none"/>
        </w:rPr>
        <w:t>不符合事项应事实确凿，应严格引用客观证据描述，如具体的检测记录、检测报告、检测的标准/方法及具体活动等。在保证可追溯的前提下，应尽可能简洁，不加修饰；不能只使用“有的”、“部分”、“不完善”、“不规范”等定性的词语来描述。</w:t>
      </w:r>
    </w:p>
    <w:p>
      <w:pPr>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3</w:t>
      </w:r>
      <w:r>
        <w:rPr>
          <w:rFonts w:hint="eastAsia" w:ascii="仿宋" w:hAnsi="仿宋" w:eastAsia="仿宋"/>
          <w:color w:val="auto"/>
          <w:szCs w:val="21"/>
          <w:highlight w:val="none"/>
          <w:lang w:val="en-US" w:eastAsia="zh-CN"/>
        </w:rPr>
        <w:t>.</w:t>
      </w:r>
      <w:r>
        <w:rPr>
          <w:rFonts w:hint="eastAsia" w:ascii="仿宋" w:hAnsi="仿宋" w:eastAsia="仿宋"/>
          <w:color w:val="auto"/>
          <w:szCs w:val="21"/>
          <w:highlight w:val="none"/>
        </w:rPr>
        <w:t>不符合事项一般需采用“资料审核”和“现场跟踪</w:t>
      </w:r>
      <w:r>
        <w:rPr>
          <w:rFonts w:hint="eastAsia" w:ascii="仿宋" w:hAnsi="仿宋" w:eastAsia="仿宋"/>
          <w:color w:val="auto"/>
          <w:szCs w:val="21"/>
          <w:highlight w:val="none"/>
          <w:lang w:val="en-US" w:eastAsia="zh-CN"/>
        </w:rPr>
        <w:t>审核</w:t>
      </w:r>
      <w:r>
        <w:rPr>
          <w:rFonts w:hint="eastAsia" w:ascii="仿宋" w:hAnsi="仿宋" w:eastAsia="仿宋"/>
          <w:color w:val="auto"/>
          <w:szCs w:val="21"/>
          <w:highlight w:val="none"/>
        </w:rPr>
        <w:t>”的方式进行</w:t>
      </w:r>
      <w:r>
        <w:rPr>
          <w:rFonts w:hint="eastAsia" w:ascii="仿宋" w:hAnsi="仿宋" w:eastAsia="仿宋"/>
          <w:color w:val="auto"/>
          <w:szCs w:val="21"/>
          <w:highlight w:val="none"/>
          <w:lang w:val="en-US" w:eastAsia="zh-CN"/>
        </w:rPr>
        <w:t>整改</w:t>
      </w:r>
      <w:r>
        <w:rPr>
          <w:rFonts w:hint="eastAsia" w:ascii="仿宋" w:hAnsi="仿宋" w:eastAsia="仿宋"/>
          <w:color w:val="auto"/>
          <w:szCs w:val="21"/>
          <w:highlight w:val="none"/>
        </w:rPr>
        <w:t>确认。</w:t>
      </w:r>
    </w:p>
    <w:p>
      <w:pPr>
        <w:rPr>
          <w:rFonts w:hint="eastAsia" w:ascii="仿宋" w:hAnsi="仿宋" w:eastAsia="仿宋"/>
          <w:color w:val="auto"/>
          <w:szCs w:val="21"/>
          <w:highlight w:val="none"/>
        </w:rPr>
      </w:pPr>
      <w:r>
        <w:rPr>
          <w:rFonts w:hint="eastAsia" w:ascii="仿宋" w:hAnsi="仿宋" w:eastAsia="仿宋"/>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表9</w:t>
      </w:r>
    </w:p>
    <w:p>
      <w:pPr>
        <w:numPr>
          <w:ilvl w:val="0"/>
          <w:numId w:val="0"/>
        </w:numPr>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rPr>
        <w:t>整改项</w:t>
      </w:r>
      <w:r>
        <w:rPr>
          <w:rFonts w:hint="eastAsia" w:ascii="方正小标宋简体" w:hAnsi="方正小标宋简体" w:eastAsia="方正小标宋简体" w:cs="方正小标宋简体"/>
          <w:bCs/>
          <w:color w:val="auto"/>
          <w:sz w:val="44"/>
          <w:szCs w:val="44"/>
          <w:highlight w:val="none"/>
          <w:lang w:eastAsia="zh-CN"/>
        </w:rPr>
        <w:t>清单</w:t>
      </w:r>
    </w:p>
    <w:tbl>
      <w:tblPr>
        <w:tblStyle w:val="1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09"/>
        <w:gridCol w:w="2306"/>
        <w:gridCol w:w="3726"/>
        <w:gridCol w:w="1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1309" w:type="dxa"/>
            <w:tcBorders>
              <w:right w:val="single" w:color="auto" w:sz="4" w:space="0"/>
            </w:tcBorders>
            <w:vAlign w:val="center"/>
          </w:tcPr>
          <w:p>
            <w:pPr>
              <w:jc w:val="center"/>
              <w:rPr>
                <w:rFonts w:hint="eastAsia" w:eastAsia="宋体" w:asciiTheme="minorEastAsia" w:hAnsiTheme="minorEastAsia"/>
                <w:bCs/>
                <w:color w:val="auto"/>
                <w:sz w:val="24"/>
                <w:highlight w:val="none"/>
                <w:lang w:eastAsia="zh-CN"/>
              </w:rPr>
            </w:pPr>
            <w:r>
              <w:rPr>
                <w:rFonts w:hint="eastAsia" w:asciiTheme="minorEastAsia" w:hAnsiTheme="minorEastAsia"/>
                <w:bCs/>
                <w:color w:val="auto"/>
                <w:sz w:val="24"/>
                <w:highlight w:val="none"/>
                <w:lang w:eastAsia="zh-CN"/>
              </w:rPr>
              <w:t>序号</w:t>
            </w:r>
          </w:p>
        </w:tc>
        <w:tc>
          <w:tcPr>
            <w:tcW w:w="2306" w:type="dxa"/>
            <w:tcBorders>
              <w:left w:val="single" w:color="auto" w:sz="4" w:space="0"/>
            </w:tcBorders>
            <w:vAlign w:val="center"/>
          </w:tcPr>
          <w:p>
            <w:pPr>
              <w:jc w:val="center"/>
              <w:rPr>
                <w:rFonts w:hint="eastAsia" w:asciiTheme="minorEastAsia" w:hAnsiTheme="minorEastAsia"/>
                <w:bCs/>
                <w:color w:val="auto"/>
                <w:sz w:val="24"/>
                <w:highlight w:val="none"/>
              </w:rPr>
            </w:pPr>
            <w:r>
              <w:rPr>
                <w:rFonts w:hint="eastAsia" w:asciiTheme="minorEastAsia" w:hAnsiTheme="minorEastAsia"/>
                <w:bCs/>
                <w:color w:val="auto"/>
                <w:sz w:val="24"/>
                <w:highlight w:val="none"/>
              </w:rPr>
              <w:t>条款号</w:t>
            </w:r>
          </w:p>
        </w:tc>
        <w:tc>
          <w:tcPr>
            <w:tcW w:w="3726" w:type="dxa"/>
            <w:tcBorders>
              <w:right w:val="single" w:color="auto" w:sz="4" w:space="0"/>
            </w:tcBorders>
            <w:vAlign w:val="center"/>
          </w:tcPr>
          <w:p>
            <w:pPr>
              <w:jc w:val="center"/>
              <w:rPr>
                <w:rFonts w:asciiTheme="minorEastAsia" w:hAnsiTheme="minorEastAsia"/>
                <w:bCs/>
                <w:color w:val="auto"/>
                <w:sz w:val="24"/>
                <w:highlight w:val="none"/>
              </w:rPr>
            </w:pPr>
            <w:r>
              <w:rPr>
                <w:rFonts w:hint="eastAsia" w:asciiTheme="minorEastAsia" w:hAnsiTheme="minorEastAsia"/>
                <w:bCs/>
                <w:color w:val="auto"/>
                <w:sz w:val="24"/>
                <w:highlight w:val="none"/>
              </w:rPr>
              <w:t>问题实事描述</w:t>
            </w:r>
          </w:p>
        </w:tc>
        <w:tc>
          <w:tcPr>
            <w:tcW w:w="1720" w:type="dxa"/>
            <w:tcBorders>
              <w:left w:val="single" w:color="auto" w:sz="4" w:space="0"/>
            </w:tcBorders>
            <w:vAlign w:val="center"/>
          </w:tcPr>
          <w:p>
            <w:pPr>
              <w:jc w:val="center"/>
              <w:rPr>
                <w:rFonts w:hint="eastAsia" w:eastAsia="宋体" w:asciiTheme="minorEastAsia" w:hAnsiTheme="minorEastAsia"/>
                <w:bCs/>
                <w:color w:val="auto"/>
                <w:sz w:val="24"/>
                <w:highlight w:val="none"/>
                <w:lang w:eastAsia="zh-CN"/>
              </w:rPr>
            </w:pPr>
            <w:r>
              <w:rPr>
                <w:rFonts w:hint="eastAsia" w:asciiTheme="minorEastAsia" w:hAnsiTheme="minorEastAsia"/>
                <w:bCs/>
                <w:color w:val="auto"/>
                <w:sz w:val="24"/>
                <w:highlight w:val="none"/>
                <w:lang w:eastAsia="zh-CN"/>
              </w:rPr>
              <w:t>整改确认方式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exact"/>
          <w:jc w:val="center"/>
        </w:trPr>
        <w:tc>
          <w:tcPr>
            <w:tcW w:w="1309" w:type="dxa"/>
            <w:tcBorders>
              <w:right w:val="single" w:color="auto" w:sz="4" w:space="0"/>
            </w:tcBorders>
            <w:vAlign w:val="top"/>
          </w:tcPr>
          <w:p>
            <w:pPr>
              <w:rPr>
                <w:rFonts w:ascii="宋体" w:hAnsi="宋体"/>
                <w:color w:val="auto"/>
                <w:szCs w:val="21"/>
                <w:highlight w:val="none"/>
              </w:rPr>
            </w:pPr>
          </w:p>
        </w:tc>
        <w:tc>
          <w:tcPr>
            <w:tcW w:w="2306" w:type="dxa"/>
            <w:tcBorders>
              <w:left w:val="single" w:color="auto" w:sz="4" w:space="0"/>
            </w:tcBorders>
            <w:vAlign w:val="top"/>
          </w:tcPr>
          <w:p>
            <w:pPr>
              <w:rPr>
                <w:rFonts w:ascii="宋体" w:hAnsi="宋体"/>
                <w:color w:val="auto"/>
                <w:szCs w:val="21"/>
                <w:highlight w:val="none"/>
              </w:rPr>
            </w:pPr>
          </w:p>
        </w:tc>
        <w:tc>
          <w:tcPr>
            <w:tcW w:w="3726" w:type="dxa"/>
            <w:tcBorders>
              <w:right w:val="single" w:color="auto" w:sz="4" w:space="0"/>
            </w:tcBorders>
            <w:vAlign w:val="top"/>
          </w:tcPr>
          <w:p>
            <w:pPr>
              <w:rPr>
                <w:rFonts w:ascii="宋体" w:hAnsi="宋体" w:cs="仿宋_GB2312"/>
                <w:color w:val="auto"/>
                <w:szCs w:val="21"/>
                <w:highlight w:val="none"/>
              </w:rPr>
            </w:pPr>
          </w:p>
        </w:tc>
        <w:tc>
          <w:tcPr>
            <w:tcW w:w="1720" w:type="dxa"/>
            <w:tcBorders>
              <w:left w:val="single" w:color="auto" w:sz="4" w:space="0"/>
            </w:tcBorders>
            <w:vAlign w:val="top"/>
          </w:tcPr>
          <w:p>
            <w:pPr>
              <w:rPr>
                <w:rFonts w:ascii="宋体" w:hAnsi="宋体" w:cs="仿宋_GB2312"/>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exact"/>
          <w:jc w:val="center"/>
        </w:trPr>
        <w:tc>
          <w:tcPr>
            <w:tcW w:w="1309" w:type="dxa"/>
            <w:tcBorders>
              <w:right w:val="single" w:color="auto" w:sz="4" w:space="0"/>
            </w:tcBorders>
            <w:vAlign w:val="top"/>
          </w:tcPr>
          <w:p>
            <w:pPr>
              <w:rPr>
                <w:rFonts w:ascii="宋体" w:hAnsi="宋体"/>
                <w:color w:val="auto"/>
                <w:szCs w:val="21"/>
                <w:highlight w:val="none"/>
              </w:rPr>
            </w:pPr>
          </w:p>
        </w:tc>
        <w:tc>
          <w:tcPr>
            <w:tcW w:w="2306" w:type="dxa"/>
            <w:tcBorders>
              <w:left w:val="single" w:color="auto" w:sz="4" w:space="0"/>
            </w:tcBorders>
            <w:vAlign w:val="top"/>
          </w:tcPr>
          <w:p>
            <w:pPr>
              <w:rPr>
                <w:rFonts w:ascii="宋体" w:hAnsi="宋体"/>
                <w:color w:val="auto"/>
                <w:szCs w:val="21"/>
                <w:highlight w:val="none"/>
              </w:rPr>
            </w:pPr>
          </w:p>
        </w:tc>
        <w:tc>
          <w:tcPr>
            <w:tcW w:w="3726" w:type="dxa"/>
            <w:tcBorders>
              <w:right w:val="single" w:color="auto" w:sz="4" w:space="0"/>
            </w:tcBorders>
            <w:vAlign w:val="top"/>
          </w:tcPr>
          <w:p>
            <w:pPr>
              <w:rPr>
                <w:rFonts w:ascii="宋体" w:hAnsi="宋体"/>
                <w:color w:val="auto"/>
                <w:szCs w:val="21"/>
                <w:highlight w:val="none"/>
              </w:rPr>
            </w:pPr>
          </w:p>
        </w:tc>
        <w:tc>
          <w:tcPr>
            <w:tcW w:w="1720" w:type="dxa"/>
            <w:tcBorders>
              <w:left w:val="single" w:color="auto" w:sz="4" w:space="0"/>
            </w:tcBorders>
            <w:vAlign w:val="top"/>
          </w:tcPr>
          <w:p>
            <w:pP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exact"/>
          <w:jc w:val="center"/>
        </w:trPr>
        <w:tc>
          <w:tcPr>
            <w:tcW w:w="1309" w:type="dxa"/>
            <w:tcBorders>
              <w:right w:val="single" w:color="auto" w:sz="4" w:space="0"/>
            </w:tcBorders>
            <w:vAlign w:val="top"/>
          </w:tcPr>
          <w:p>
            <w:pPr>
              <w:rPr>
                <w:rFonts w:ascii="宋体" w:hAnsi="宋体"/>
                <w:color w:val="auto"/>
                <w:szCs w:val="21"/>
                <w:highlight w:val="none"/>
              </w:rPr>
            </w:pPr>
          </w:p>
        </w:tc>
        <w:tc>
          <w:tcPr>
            <w:tcW w:w="2306" w:type="dxa"/>
            <w:tcBorders>
              <w:left w:val="single" w:color="auto" w:sz="4" w:space="0"/>
            </w:tcBorders>
            <w:vAlign w:val="top"/>
          </w:tcPr>
          <w:p>
            <w:pPr>
              <w:rPr>
                <w:rFonts w:ascii="宋体" w:hAnsi="宋体"/>
                <w:color w:val="auto"/>
                <w:szCs w:val="21"/>
                <w:highlight w:val="none"/>
              </w:rPr>
            </w:pPr>
          </w:p>
        </w:tc>
        <w:tc>
          <w:tcPr>
            <w:tcW w:w="3726" w:type="dxa"/>
            <w:tcBorders>
              <w:right w:val="single" w:color="auto" w:sz="4" w:space="0"/>
            </w:tcBorders>
            <w:vAlign w:val="top"/>
          </w:tcPr>
          <w:p>
            <w:pPr>
              <w:rPr>
                <w:rFonts w:ascii="宋体" w:hAnsi="宋体"/>
                <w:color w:val="auto"/>
                <w:szCs w:val="21"/>
                <w:highlight w:val="none"/>
              </w:rPr>
            </w:pPr>
          </w:p>
        </w:tc>
        <w:tc>
          <w:tcPr>
            <w:tcW w:w="1720" w:type="dxa"/>
            <w:tcBorders>
              <w:left w:val="single" w:color="auto" w:sz="4" w:space="0"/>
            </w:tcBorders>
            <w:vAlign w:val="top"/>
          </w:tcPr>
          <w:p>
            <w:pP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exact"/>
          <w:jc w:val="center"/>
        </w:trPr>
        <w:tc>
          <w:tcPr>
            <w:tcW w:w="1309" w:type="dxa"/>
            <w:tcBorders>
              <w:right w:val="single" w:color="auto" w:sz="4" w:space="0"/>
            </w:tcBorders>
            <w:vAlign w:val="top"/>
          </w:tcPr>
          <w:p>
            <w:pPr>
              <w:rPr>
                <w:rFonts w:ascii="宋体" w:hAnsi="宋体"/>
                <w:color w:val="auto"/>
                <w:szCs w:val="21"/>
                <w:highlight w:val="none"/>
              </w:rPr>
            </w:pPr>
          </w:p>
        </w:tc>
        <w:tc>
          <w:tcPr>
            <w:tcW w:w="2306" w:type="dxa"/>
            <w:tcBorders>
              <w:left w:val="single" w:color="auto" w:sz="4" w:space="0"/>
            </w:tcBorders>
            <w:vAlign w:val="top"/>
          </w:tcPr>
          <w:p>
            <w:pPr>
              <w:rPr>
                <w:rFonts w:ascii="宋体" w:hAnsi="宋体"/>
                <w:color w:val="auto"/>
                <w:szCs w:val="21"/>
                <w:highlight w:val="none"/>
              </w:rPr>
            </w:pPr>
          </w:p>
        </w:tc>
        <w:tc>
          <w:tcPr>
            <w:tcW w:w="3726" w:type="dxa"/>
            <w:tcBorders>
              <w:right w:val="single" w:color="auto" w:sz="4" w:space="0"/>
            </w:tcBorders>
            <w:vAlign w:val="top"/>
          </w:tcPr>
          <w:p>
            <w:pPr>
              <w:rPr>
                <w:rFonts w:ascii="宋体" w:hAnsi="宋体"/>
                <w:color w:val="auto"/>
                <w:szCs w:val="21"/>
                <w:highlight w:val="none"/>
              </w:rPr>
            </w:pPr>
          </w:p>
        </w:tc>
        <w:tc>
          <w:tcPr>
            <w:tcW w:w="1720" w:type="dxa"/>
            <w:tcBorders>
              <w:left w:val="single" w:color="auto" w:sz="4" w:space="0"/>
            </w:tcBorders>
            <w:vAlign w:val="top"/>
          </w:tcPr>
          <w:p>
            <w:pP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exact"/>
          <w:jc w:val="center"/>
        </w:trPr>
        <w:tc>
          <w:tcPr>
            <w:tcW w:w="1309" w:type="dxa"/>
            <w:tcBorders>
              <w:right w:val="single" w:color="auto" w:sz="4" w:space="0"/>
            </w:tcBorders>
            <w:vAlign w:val="top"/>
          </w:tcPr>
          <w:p>
            <w:pPr>
              <w:rPr>
                <w:rFonts w:ascii="宋体" w:hAnsi="宋体"/>
                <w:color w:val="auto"/>
                <w:szCs w:val="21"/>
                <w:highlight w:val="none"/>
              </w:rPr>
            </w:pPr>
          </w:p>
        </w:tc>
        <w:tc>
          <w:tcPr>
            <w:tcW w:w="2306" w:type="dxa"/>
            <w:tcBorders>
              <w:left w:val="single" w:color="auto" w:sz="4" w:space="0"/>
            </w:tcBorders>
            <w:vAlign w:val="top"/>
          </w:tcPr>
          <w:p>
            <w:pPr>
              <w:rPr>
                <w:rFonts w:ascii="宋体" w:hAnsi="宋体"/>
                <w:color w:val="auto"/>
                <w:szCs w:val="21"/>
                <w:highlight w:val="none"/>
              </w:rPr>
            </w:pPr>
          </w:p>
        </w:tc>
        <w:tc>
          <w:tcPr>
            <w:tcW w:w="3726" w:type="dxa"/>
            <w:tcBorders>
              <w:right w:val="single" w:color="auto" w:sz="4" w:space="0"/>
            </w:tcBorders>
            <w:vAlign w:val="top"/>
          </w:tcPr>
          <w:p>
            <w:pPr>
              <w:rPr>
                <w:rFonts w:ascii="宋体" w:hAnsi="宋体"/>
                <w:color w:val="auto"/>
                <w:szCs w:val="21"/>
                <w:highlight w:val="none"/>
              </w:rPr>
            </w:pPr>
          </w:p>
        </w:tc>
        <w:tc>
          <w:tcPr>
            <w:tcW w:w="1720" w:type="dxa"/>
            <w:tcBorders>
              <w:left w:val="single" w:color="auto" w:sz="4" w:space="0"/>
            </w:tcBorders>
            <w:vAlign w:val="top"/>
          </w:tcPr>
          <w:p>
            <w:pP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0" w:hRule="exact"/>
          <w:jc w:val="center"/>
        </w:trPr>
        <w:tc>
          <w:tcPr>
            <w:tcW w:w="1309" w:type="dxa"/>
            <w:tcBorders>
              <w:right w:val="single" w:color="auto" w:sz="4" w:space="0"/>
            </w:tcBorders>
            <w:vAlign w:val="top"/>
          </w:tcPr>
          <w:p>
            <w:pPr>
              <w:rPr>
                <w:rFonts w:ascii="宋体" w:hAnsi="宋体"/>
                <w:color w:val="auto"/>
                <w:szCs w:val="21"/>
                <w:highlight w:val="none"/>
              </w:rPr>
            </w:pPr>
          </w:p>
        </w:tc>
        <w:tc>
          <w:tcPr>
            <w:tcW w:w="2306" w:type="dxa"/>
            <w:tcBorders>
              <w:left w:val="single" w:color="auto" w:sz="4" w:space="0"/>
            </w:tcBorders>
            <w:vAlign w:val="top"/>
          </w:tcPr>
          <w:p>
            <w:pPr>
              <w:rPr>
                <w:rFonts w:ascii="宋体" w:hAnsi="宋体"/>
                <w:color w:val="auto"/>
                <w:szCs w:val="21"/>
                <w:highlight w:val="none"/>
              </w:rPr>
            </w:pPr>
          </w:p>
        </w:tc>
        <w:tc>
          <w:tcPr>
            <w:tcW w:w="3726" w:type="dxa"/>
            <w:tcBorders>
              <w:right w:val="single" w:color="auto" w:sz="4" w:space="0"/>
            </w:tcBorders>
            <w:vAlign w:val="top"/>
          </w:tcPr>
          <w:p>
            <w:pPr>
              <w:rPr>
                <w:rFonts w:ascii="宋体" w:hAnsi="宋体"/>
                <w:color w:val="auto"/>
                <w:szCs w:val="21"/>
                <w:highlight w:val="none"/>
              </w:rPr>
            </w:pPr>
          </w:p>
        </w:tc>
        <w:tc>
          <w:tcPr>
            <w:tcW w:w="1720" w:type="dxa"/>
            <w:tcBorders>
              <w:left w:val="single" w:color="auto" w:sz="4" w:space="0"/>
            </w:tcBorders>
            <w:vAlign w:val="top"/>
          </w:tcPr>
          <w:p>
            <w:pP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1" w:hRule="atLeast"/>
          <w:jc w:val="center"/>
        </w:trPr>
        <w:tc>
          <w:tcPr>
            <w:tcW w:w="9061" w:type="dxa"/>
            <w:gridSpan w:val="4"/>
          </w:tcPr>
          <w:p>
            <w:pPr>
              <w:rPr>
                <w:rFonts w:ascii="仿宋_GB2312" w:eastAsia="仿宋_GB2312"/>
                <w:color w:val="auto"/>
                <w:highlight w:val="none"/>
              </w:rPr>
            </w:pPr>
          </w:p>
          <w:p>
            <w:pPr>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完成时间：       年   月   日前。</w:t>
            </w:r>
          </w:p>
          <w:p>
            <w:pPr>
              <w:jc w:val="both"/>
              <w:rPr>
                <w:rFonts w:hint="eastAsia" w:asciiTheme="minorEastAsia" w:hAnsiTheme="minorEastAsia" w:eastAsiaTheme="minorEastAsia" w:cstheme="minorEastAsia"/>
                <w:color w:val="auto"/>
                <w:sz w:val="21"/>
                <w:szCs w:val="21"/>
                <w:highlight w:val="none"/>
              </w:rPr>
            </w:pPr>
          </w:p>
          <w:p>
            <w:pPr>
              <w:jc w:val="both"/>
              <w:rPr>
                <w:rFonts w:hint="eastAsia" w:asciiTheme="minorEastAsia" w:hAnsiTheme="minorEastAsia" w:eastAsiaTheme="minorEastAsia" w:cstheme="minorEastAsia"/>
                <w:color w:val="auto"/>
                <w:sz w:val="21"/>
                <w:szCs w:val="21"/>
                <w:highlight w:val="none"/>
              </w:rPr>
            </w:pPr>
          </w:p>
          <w:p>
            <w:pPr>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检测机构</w:t>
            </w:r>
            <w:r>
              <w:rPr>
                <w:rFonts w:hint="eastAsia" w:asciiTheme="minorEastAsia" w:hAnsiTheme="minorEastAsia" w:eastAsiaTheme="minorEastAsia" w:cstheme="minorEastAsia"/>
                <w:color w:val="auto"/>
                <w:sz w:val="21"/>
                <w:szCs w:val="21"/>
                <w:highlight w:val="none"/>
                <w:lang w:val="en-US" w:eastAsia="zh-CN"/>
              </w:rPr>
              <w:t>负责人（</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 xml:space="preserve">：                   </w:t>
            </w:r>
          </w:p>
          <w:p>
            <w:pPr>
              <w:pStyle w:val="2"/>
              <w:rPr>
                <w:rFonts w:hint="eastAsia"/>
                <w:highlight w:val="none"/>
              </w:rPr>
            </w:pPr>
          </w:p>
          <w:p>
            <w:p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评审专家（签字）：</w:t>
            </w:r>
          </w:p>
          <w:p>
            <w:pPr>
              <w:jc w:val="both"/>
              <w:rPr>
                <w:rFonts w:hint="eastAsia" w:asciiTheme="minorEastAsia" w:hAnsiTheme="minorEastAsia" w:eastAsiaTheme="minorEastAsia" w:cstheme="minorEastAsia"/>
                <w:color w:val="auto"/>
                <w:sz w:val="21"/>
                <w:szCs w:val="21"/>
                <w:highlight w:val="none"/>
              </w:rPr>
            </w:pPr>
          </w:p>
          <w:p>
            <w:pPr>
              <w:jc w:val="both"/>
              <w:rPr>
                <w:rFonts w:ascii="仿宋_GB2312" w:hAnsi="仿宋_GB2312" w:eastAsia="仿宋_GB2312" w:cs="仿宋_GB2312"/>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评审组长（</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 xml:space="preserve">：：   </w:t>
            </w:r>
            <w:r>
              <w:rPr>
                <w:rFonts w:hint="eastAsia" w:ascii="仿宋_GB2312" w:hAnsi="仿宋_GB2312" w:eastAsia="仿宋_GB2312" w:cs="仿宋_GB2312"/>
                <w:color w:val="auto"/>
                <w:sz w:val="24"/>
                <w:highlight w:val="none"/>
              </w:rPr>
              <w:t xml:space="preserve">                 </w:t>
            </w:r>
          </w:p>
          <w:p>
            <w:pPr>
              <w:ind w:firstLine="6960" w:firstLineChars="2900"/>
              <w:rPr>
                <w:rFonts w:hint="eastAsia" w:asciiTheme="minorEastAsia" w:hAnsiTheme="minorEastAsia"/>
                <w:color w:val="auto"/>
                <w:sz w:val="24"/>
                <w:highlight w:val="none"/>
              </w:rPr>
            </w:pPr>
          </w:p>
          <w:p>
            <w:pPr>
              <w:jc w:val="both"/>
              <w:rPr>
                <w:highlight w:val="none"/>
              </w:rPr>
            </w:pPr>
            <w:r>
              <w:rPr>
                <w:rFonts w:hint="eastAsia" w:asciiTheme="minorEastAsia" w:hAnsiTheme="minorEastAsia" w:eastAsiaTheme="minorEastAsia" w:cstheme="minorEastAsia"/>
                <w:color w:val="auto"/>
                <w:sz w:val="21"/>
                <w:szCs w:val="21"/>
                <w:highlight w:val="none"/>
                <w:lang w:val="en-US" w:eastAsia="zh-CN"/>
              </w:rPr>
              <w:t xml:space="preserve">                                                                       年   月   日</w:t>
            </w:r>
          </w:p>
        </w:tc>
      </w:tr>
    </w:tbl>
    <w:p>
      <w:pP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表10</w:t>
      </w:r>
    </w:p>
    <w:p>
      <w:pPr>
        <w:numPr>
          <w:ilvl w:val="-1"/>
          <w:numId w:val="0"/>
        </w:numPr>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eastAsia="zh-CN"/>
        </w:rPr>
        <w:t>整改完成</w:t>
      </w:r>
      <w:r>
        <w:rPr>
          <w:rFonts w:hint="eastAsia" w:ascii="方正小标宋简体" w:hAnsi="方正小标宋简体" w:eastAsia="方正小标宋简体" w:cs="方正小标宋简体"/>
          <w:bCs/>
          <w:color w:val="auto"/>
          <w:sz w:val="44"/>
          <w:szCs w:val="44"/>
          <w:highlight w:val="none"/>
          <w:lang w:val="en-US" w:eastAsia="zh-CN"/>
        </w:rPr>
        <w:t>及</w:t>
      </w:r>
      <w:r>
        <w:rPr>
          <w:rFonts w:hint="eastAsia" w:ascii="方正小标宋简体" w:hAnsi="方正小标宋简体" w:eastAsia="方正小标宋简体" w:cs="方正小标宋简体"/>
          <w:bCs/>
          <w:color w:val="auto"/>
          <w:sz w:val="44"/>
          <w:szCs w:val="44"/>
          <w:highlight w:val="none"/>
          <w:lang w:eastAsia="zh-CN"/>
        </w:rPr>
        <w:t>确认意见表</w:t>
      </w:r>
    </w:p>
    <w:tbl>
      <w:tblPr>
        <w:tblStyle w:val="1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tcPr>
          <w:p>
            <w:pPr>
              <w:adjustRightInd w:val="0"/>
              <w:snapToGrid w:val="0"/>
              <w:spacing w:line="300" w:lineRule="atLeast"/>
              <w:jc w:val="center"/>
              <w:rPr>
                <w:sz w:val="24"/>
                <w:highlight w:val="none"/>
              </w:rPr>
            </w:pPr>
            <w:r>
              <w:rPr>
                <w:rFonts w:hint="eastAsia"/>
                <w:sz w:val="24"/>
                <w:highlight w:val="none"/>
              </w:rPr>
              <w:t>需整改</w:t>
            </w:r>
          </w:p>
          <w:p>
            <w:pPr>
              <w:adjustRightInd w:val="0"/>
              <w:snapToGrid w:val="0"/>
              <w:spacing w:line="300" w:lineRule="atLeast"/>
              <w:jc w:val="center"/>
              <w:rPr>
                <w:sz w:val="24"/>
                <w:highlight w:val="none"/>
              </w:rPr>
            </w:pPr>
            <w:r>
              <w:rPr>
                <w:rFonts w:hint="eastAsia"/>
                <w:sz w:val="24"/>
                <w:highlight w:val="none"/>
              </w:rPr>
              <w:t>条款号</w:t>
            </w:r>
          </w:p>
        </w:tc>
        <w:tc>
          <w:tcPr>
            <w:tcW w:w="7439" w:type="dxa"/>
            <w:vAlign w:val="center"/>
          </w:tcPr>
          <w:p>
            <w:pPr>
              <w:adjustRightInd w:val="0"/>
              <w:snapToGrid w:val="0"/>
              <w:spacing w:line="440" w:lineRule="atLeast"/>
              <w:jc w:val="center"/>
              <w:rPr>
                <w:sz w:val="24"/>
                <w:highlight w:val="none"/>
              </w:rPr>
            </w:pPr>
            <w:r>
              <w:rPr>
                <w:rFonts w:hint="eastAsia"/>
                <w:sz w:val="24"/>
                <w:highlight w:val="none"/>
              </w:rPr>
              <w:t>完  成  整  改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4" w:hRule="atLeast"/>
          <w:jc w:val="center"/>
        </w:trPr>
        <w:tc>
          <w:tcPr>
            <w:tcW w:w="1500" w:type="dxa"/>
          </w:tcPr>
          <w:p>
            <w:pPr>
              <w:adjustRightInd w:val="0"/>
              <w:snapToGrid w:val="0"/>
              <w:spacing w:line="300" w:lineRule="atLeast"/>
              <w:jc w:val="center"/>
              <w:rPr>
                <w:sz w:val="24"/>
                <w:highlight w:val="none"/>
              </w:rPr>
            </w:pPr>
          </w:p>
        </w:tc>
        <w:tc>
          <w:tcPr>
            <w:tcW w:w="7439" w:type="dxa"/>
            <w:vAlign w:val="center"/>
          </w:tcPr>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p>
            <w:pPr>
              <w:adjustRightInd w:val="0"/>
              <w:snapToGrid w:val="0"/>
              <w:spacing w:line="440" w:lineRule="atLeas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8939" w:type="dxa"/>
            <w:gridSpan w:val="2"/>
          </w:tcPr>
          <w:p>
            <w:pPr>
              <w:jc w:val="both"/>
              <w:rPr>
                <w:rFonts w:hint="eastAsia" w:asciiTheme="minorEastAsia" w:hAnsiTheme="minorEastAsia" w:eastAsiaTheme="minorEastAsia" w:cstheme="minorEastAsia"/>
                <w:color w:val="auto"/>
                <w:sz w:val="21"/>
                <w:szCs w:val="21"/>
                <w:highlight w:val="none"/>
                <w:lang w:val="en-US" w:eastAsia="zh-CN"/>
              </w:rPr>
            </w:pPr>
          </w:p>
          <w:p>
            <w:pPr>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对整改完成情况的确认意见：</w:t>
            </w:r>
          </w:p>
          <w:p>
            <w:pPr>
              <w:adjustRightInd w:val="0"/>
              <w:snapToGrid w:val="0"/>
              <w:spacing w:line="440" w:lineRule="atLeast"/>
              <w:ind w:right="-336" w:rightChars="-160"/>
              <w:rPr>
                <w:sz w:val="24"/>
                <w:highlight w:val="none"/>
              </w:rPr>
            </w:pPr>
          </w:p>
          <w:p>
            <w:pPr>
              <w:adjustRightInd w:val="0"/>
              <w:snapToGrid w:val="0"/>
              <w:spacing w:line="440" w:lineRule="atLeast"/>
              <w:ind w:right="-336" w:rightChars="-160"/>
              <w:rPr>
                <w:sz w:val="24"/>
                <w:highlight w:val="none"/>
              </w:rPr>
            </w:pPr>
          </w:p>
          <w:p>
            <w:pPr>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评审专家（签字）：</w:t>
            </w:r>
          </w:p>
          <w:p>
            <w:pPr>
              <w:jc w:val="both"/>
              <w:rPr>
                <w:sz w:val="24"/>
                <w:highlight w:val="none"/>
              </w:rPr>
            </w:pP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组长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日期：</w:t>
            </w:r>
          </w:p>
        </w:tc>
      </w:tr>
    </w:tbl>
    <w:p>
      <w:pPr>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br w:type="page"/>
      </w:r>
    </w:p>
    <w:p>
      <w:pPr>
        <w:numPr>
          <w:ilvl w:val="0"/>
          <w:numId w:val="0"/>
        </w:numPr>
        <w:jc w:val="left"/>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表11</w:t>
      </w:r>
    </w:p>
    <w:p>
      <w:pPr>
        <w:numPr>
          <w:ilvl w:val="0"/>
          <w:numId w:val="0"/>
        </w:numPr>
        <w:jc w:val="center"/>
        <w:rPr>
          <w:rFonts w:hint="eastAsia" w:ascii="微软雅黑" w:hAnsi="微软雅黑" w:eastAsia="微软雅黑" w:cs="微软雅黑"/>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eastAsia="zh-CN"/>
        </w:rPr>
        <w:t>不</w:t>
      </w:r>
      <w:r>
        <w:rPr>
          <w:rFonts w:hint="eastAsia" w:ascii="方正小标宋简体" w:hAnsi="方正小标宋简体" w:eastAsia="方正小标宋简体" w:cs="方正小标宋简体"/>
          <w:bCs/>
          <w:color w:val="auto"/>
          <w:sz w:val="44"/>
          <w:szCs w:val="44"/>
          <w:highlight w:val="none"/>
          <w:lang w:val="en-US" w:eastAsia="zh-CN"/>
        </w:rPr>
        <w:t>通过</w:t>
      </w:r>
      <w:r>
        <w:rPr>
          <w:rFonts w:hint="eastAsia" w:ascii="方正小标宋简体" w:hAnsi="方正小标宋简体" w:eastAsia="方正小标宋简体" w:cs="方正小标宋简体"/>
          <w:bCs/>
          <w:color w:val="auto"/>
          <w:sz w:val="44"/>
          <w:szCs w:val="44"/>
          <w:highlight w:val="none"/>
          <w:lang w:eastAsia="zh-CN"/>
        </w:rPr>
        <w:t>项清单</w:t>
      </w:r>
    </w:p>
    <w:p>
      <w:pPr>
        <w:tabs>
          <w:tab w:val="left" w:leader="underscore" w:pos="6720"/>
          <w:tab w:val="left" w:leader="underscore" w:pos="8820"/>
        </w:tabs>
        <w:jc w:val="left"/>
        <w:rPr>
          <w:rFonts w:ascii="宋体" w:hAnsi="宋体" w:cs="宋体"/>
          <w:bCs/>
          <w:color w:val="auto"/>
          <w:szCs w:val="21"/>
          <w:highlight w:val="none"/>
        </w:rPr>
      </w:pPr>
      <w:r>
        <w:rPr>
          <w:rFonts w:hint="eastAsia" w:ascii="宋体" w:hAnsi="宋体" w:cs="宋体"/>
          <w:color w:val="auto"/>
          <w:szCs w:val="21"/>
          <w:highlight w:val="none"/>
        </w:rPr>
        <w:t>检测机构名称：</w:t>
      </w:r>
      <w:r>
        <w:rPr>
          <w:rFonts w:hint="eastAsia" w:ascii="宋体" w:hAnsi="宋体" w:cs="宋体"/>
          <w:color w:val="auto"/>
          <w:szCs w:val="21"/>
          <w:highlight w:val="none"/>
          <w:u w:val="single"/>
        </w:rPr>
        <w:t>　　　　　　　　　　　　　　　　　　　　　　　　　　　</w:t>
      </w:r>
    </w:p>
    <w:p>
      <w:pPr>
        <w:spacing w:line="460" w:lineRule="exact"/>
        <w:jc w:val="left"/>
        <w:rPr>
          <w:rFonts w:ascii="方正大标宋简体" w:hAnsi="华文楷体" w:eastAsia="方正大标宋简体"/>
          <w:b/>
          <w:color w:val="auto"/>
          <w:sz w:val="32"/>
          <w:szCs w:val="32"/>
          <w:highlight w:val="none"/>
        </w:rPr>
      </w:pPr>
      <w:r>
        <w:rPr>
          <w:rFonts w:hint="eastAsia" w:ascii="宋体" w:hAnsi="宋体" w:cs="宋体"/>
          <w:bCs/>
          <w:color w:val="auto"/>
          <w:highlight w:val="none"/>
        </w:rPr>
        <w:t>检测场所地址</w:t>
      </w:r>
      <w:r>
        <w:rPr>
          <w:rFonts w:hint="eastAsia" w:ascii="宋体" w:hAnsi="宋体" w:cs="宋体"/>
          <w:bCs/>
          <w:color w:val="auto"/>
          <w:highlight w:val="none"/>
          <w:lang w:val="en-US" w:eastAsia="zh-CN"/>
        </w:rPr>
        <w:t>**</w:t>
      </w:r>
      <w:r>
        <w:rPr>
          <w:rFonts w:hint="eastAsia" w:ascii="宋体" w:hAnsi="宋体" w:cs="宋体"/>
          <w:bCs/>
          <w:color w:val="auto"/>
          <w:highlight w:val="none"/>
        </w:rPr>
        <w:t>：</w:t>
      </w:r>
      <w:r>
        <w:rPr>
          <w:rFonts w:hint="eastAsia" w:ascii="宋体" w:hAnsi="宋体" w:cs="宋体"/>
          <w:color w:val="auto"/>
          <w:szCs w:val="21"/>
          <w:highlight w:val="none"/>
          <w:u w:val="single"/>
        </w:rPr>
        <w:t>　　　　　　　　　　　　　　　　　　　　　　　　　　</w:t>
      </w:r>
      <w:r>
        <w:rPr>
          <w:rFonts w:hint="eastAsia" w:ascii="仿宋" w:hAnsi="仿宋" w:eastAsia="仿宋"/>
          <w:color w:val="auto"/>
          <w:highlight w:val="none"/>
        </w:rPr>
        <w:t>共   页  第  页</w:t>
      </w:r>
    </w:p>
    <w:tbl>
      <w:tblPr>
        <w:tblStyle w:val="14"/>
        <w:tblW w:w="96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2100"/>
        <w:gridCol w:w="2100"/>
        <w:gridCol w:w="2696"/>
        <w:gridCol w:w="19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84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100" w:type="dxa"/>
            <w:tcBorders>
              <w:right w:val="single" w:color="auto" w:sz="4" w:space="0"/>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不通过项名称</w:t>
            </w: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依据</w:t>
            </w: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lang w:val="en-US" w:eastAsia="zh-CN"/>
              </w:rPr>
              <w:t>不通过</w:t>
            </w:r>
            <w:r>
              <w:rPr>
                <w:rFonts w:hint="eastAsia" w:ascii="仿宋_GB2312" w:hAnsi="仿宋_GB2312" w:eastAsia="仿宋_GB2312" w:cs="仿宋_GB2312"/>
                <w:bCs/>
                <w:color w:val="auto"/>
                <w:sz w:val="24"/>
                <w:highlight w:val="none"/>
              </w:rPr>
              <w:t>项</w:t>
            </w:r>
            <w:r>
              <w:rPr>
                <w:rFonts w:hint="eastAsia" w:ascii="仿宋_GB2312" w:hAnsi="仿宋_GB2312" w:eastAsia="仿宋_GB2312" w:cs="仿宋_GB2312"/>
                <w:color w:val="auto"/>
                <w:sz w:val="24"/>
                <w:highlight w:val="none"/>
              </w:rPr>
              <w:t>事实描述</w:t>
            </w:r>
          </w:p>
        </w:tc>
        <w:tc>
          <w:tcPr>
            <w:tcW w:w="1912" w:type="dxa"/>
            <w:tcBorders>
              <w:left w:val="single" w:color="auto" w:sz="4" w:space="0"/>
            </w:tcBorders>
            <w:vAlign w:val="center"/>
          </w:tcPr>
          <w:p>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评审专家签字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46" w:type="dxa"/>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100" w:type="dxa"/>
            <w:tcBorders>
              <w:right w:val="single" w:color="auto" w:sz="4" w:space="0"/>
            </w:tcBorders>
            <w:vAlign w:val="center"/>
          </w:tcPr>
          <w:p>
            <w:pPr>
              <w:jc w:val="center"/>
              <w:rPr>
                <w:rFonts w:ascii="仿宋_GB2312" w:hAnsi="仿宋_GB2312" w:eastAsia="仿宋_GB2312" w:cs="仿宋_GB2312"/>
                <w:color w:val="auto"/>
                <w:sz w:val="24"/>
                <w:highlight w:val="none"/>
              </w:rPr>
            </w:pPr>
          </w:p>
        </w:tc>
        <w:tc>
          <w:tcPr>
            <w:tcW w:w="2696"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c>
          <w:tcPr>
            <w:tcW w:w="1912" w:type="dxa"/>
            <w:tcBorders>
              <w:left w:val="single" w:color="auto" w:sz="4" w:space="0"/>
            </w:tcBorders>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4" w:hRule="atLeast"/>
          <w:jc w:val="center"/>
        </w:trPr>
        <w:tc>
          <w:tcPr>
            <w:tcW w:w="9654" w:type="dxa"/>
            <w:gridSpan w:val="5"/>
          </w:tcPr>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ind w:firstLine="1920" w:firstLineChars="800"/>
              <w:jc w:val="left"/>
              <w:rPr>
                <w:rFonts w:ascii="仿宋_GB2312" w:hAnsi="仿宋_GB2312" w:eastAsia="仿宋_GB2312" w:cs="仿宋_GB2312"/>
                <w:color w:val="auto"/>
                <w:sz w:val="24"/>
                <w:highlight w:val="none"/>
              </w:rPr>
            </w:pPr>
          </w:p>
          <w:p>
            <w:pPr>
              <w:jc w:val="both"/>
              <w:rPr>
                <w:rFonts w:ascii="仿宋_GB2312" w:hAnsi="仿宋_GB2312" w:eastAsia="仿宋_GB2312" w:cs="仿宋_GB2312"/>
                <w:color w:val="auto"/>
                <w:sz w:val="24"/>
                <w:highlight w:val="none"/>
              </w:rPr>
            </w:pPr>
            <w:r>
              <w:rPr>
                <w:rFonts w:hint="eastAsia" w:asciiTheme="minorEastAsia" w:hAnsiTheme="minorEastAsia" w:eastAsiaTheme="minorEastAsia" w:cstheme="minorEastAsia"/>
                <w:color w:val="auto"/>
                <w:sz w:val="21"/>
                <w:szCs w:val="21"/>
                <w:highlight w:val="none"/>
              </w:rPr>
              <w:t>检测机构</w:t>
            </w:r>
            <w:r>
              <w:rPr>
                <w:rFonts w:hint="eastAsia" w:asciiTheme="minorEastAsia" w:hAnsiTheme="minorEastAsia" w:eastAsiaTheme="minorEastAsia" w:cstheme="minorEastAsia"/>
                <w:color w:val="auto"/>
                <w:sz w:val="21"/>
                <w:szCs w:val="21"/>
                <w:highlight w:val="none"/>
                <w:lang w:val="en-US" w:eastAsia="zh-CN"/>
              </w:rPr>
              <w:t>负责人（</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仿宋_GB2312" w:hAnsi="仿宋_GB2312" w:eastAsia="仿宋_GB2312" w:cs="仿宋_GB2312"/>
                <w:color w:val="auto"/>
                <w:sz w:val="24"/>
                <w:highlight w:val="none"/>
              </w:rPr>
              <w:t xml:space="preserve">                   </w:t>
            </w:r>
          </w:p>
          <w:p>
            <w:pPr>
              <w:ind w:left="630" w:leftChars="300" w:firstLine="1920" w:firstLineChars="800"/>
              <w:jc w:val="left"/>
              <w:rPr>
                <w:rFonts w:ascii="仿宋_GB2312" w:hAnsi="仿宋_GB2312" w:eastAsia="仿宋_GB2312" w:cs="仿宋_GB2312"/>
                <w:color w:val="auto"/>
                <w:sz w:val="24"/>
                <w:highlight w:val="none"/>
              </w:rPr>
            </w:pPr>
          </w:p>
          <w:p>
            <w:pPr>
              <w:jc w:val="left"/>
              <w:rPr>
                <w:rFonts w:ascii="仿宋_GB2312" w:hAnsi="仿宋_GB2312" w:eastAsia="仿宋_GB2312" w:cs="仿宋_GB2312"/>
                <w:color w:val="auto"/>
                <w:sz w:val="24"/>
                <w:highlight w:val="none"/>
              </w:rPr>
            </w:pPr>
            <w:r>
              <w:rPr>
                <w:rFonts w:hint="eastAsia" w:asciiTheme="minorEastAsia" w:hAnsiTheme="minorEastAsia" w:eastAsiaTheme="minorEastAsia" w:cstheme="minorEastAsia"/>
                <w:color w:val="auto"/>
                <w:sz w:val="21"/>
                <w:szCs w:val="21"/>
                <w:highlight w:val="none"/>
                <w:lang w:val="en-US" w:eastAsia="zh-CN"/>
              </w:rPr>
              <w:t>评审组长（</w:t>
            </w:r>
            <w:r>
              <w:rPr>
                <w:rFonts w:hint="eastAsia" w:asciiTheme="minorEastAsia" w:hAnsiTheme="minorEastAsia" w:eastAsiaTheme="minorEastAsia" w:cstheme="minorEastAsia"/>
                <w:color w:val="auto"/>
                <w:sz w:val="21"/>
                <w:szCs w:val="21"/>
                <w:highlight w:val="none"/>
              </w:rPr>
              <w:t>签名</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w:t>
            </w:r>
            <w:r>
              <w:rPr>
                <w:rFonts w:hint="eastAsia" w:ascii="仿宋_GB2312" w:hAnsi="仿宋_GB2312" w:eastAsia="仿宋_GB2312" w:cs="仿宋_GB2312"/>
                <w:color w:val="auto"/>
                <w:sz w:val="24"/>
                <w:highlight w:val="none"/>
              </w:rPr>
              <w:t xml:space="preserve">：                    </w:t>
            </w:r>
          </w:p>
          <w:p>
            <w:pPr>
              <w:ind w:firstLine="1920" w:firstLineChars="800"/>
              <w:jc w:val="right"/>
              <w:rPr>
                <w:rFonts w:ascii="仿宋_GB2312" w:hAnsi="仿宋_GB2312" w:eastAsia="仿宋_GB2312" w:cs="仿宋_GB2312"/>
                <w:color w:val="auto"/>
                <w:sz w:val="24"/>
                <w:highlight w:val="none"/>
              </w:rPr>
            </w:pPr>
          </w:p>
          <w:p>
            <w:pPr>
              <w:ind w:firstLine="1920" w:firstLineChars="8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年　　月　　日</w:t>
            </w:r>
          </w:p>
        </w:tc>
      </w:tr>
    </w:tbl>
    <w:p>
      <w:pPr>
        <w:rPr>
          <w:highlight w:val="none"/>
        </w:rPr>
        <w:sectPr>
          <w:pgSz w:w="11906" w:h="16838"/>
          <w:pgMar w:top="164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微软雅黑" w:hAnsi="微软雅黑" w:eastAsia="微软雅黑" w:cs="微软雅黑"/>
          <w:bCs/>
          <w:color w:val="auto"/>
          <w:sz w:val="44"/>
          <w:szCs w:val="44"/>
          <w:highlight w:val="none"/>
        </w:rPr>
        <w:br w:type="page"/>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附件10</w:t>
      </w:r>
    </w:p>
    <w:p>
      <w:pPr>
        <w:pStyle w:val="2"/>
        <w:spacing w:line="576" w:lineRule="exact"/>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bCs/>
          <w:color w:val="auto"/>
          <w:kern w:val="2"/>
          <w:sz w:val="44"/>
          <w:szCs w:val="44"/>
          <w:highlight w:val="none"/>
          <w:lang w:val="en-US" w:eastAsia="zh-CN" w:bidi="ar-SA"/>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表一 </w:t>
      </w:r>
      <w:r>
        <w:rPr>
          <w:rFonts w:hint="eastAsia" w:ascii="黑体" w:hAnsi="黑体" w:eastAsia="黑体" w:cs="黑体"/>
          <w:sz w:val="32"/>
          <w:szCs w:val="32"/>
          <w:highlight w:val="none"/>
        </w:rPr>
        <w:t>建筑材料及构配件）</w:t>
      </w:r>
    </w:p>
    <w:tbl>
      <w:tblPr>
        <w:tblStyle w:val="14"/>
        <w:tblW w:w="4943"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48"/>
        <w:gridCol w:w="937"/>
        <w:gridCol w:w="816"/>
        <w:gridCol w:w="1401"/>
        <w:gridCol w:w="1166"/>
        <w:gridCol w:w="3167"/>
        <w:gridCol w:w="1750"/>
        <w:gridCol w:w="38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tcBorders>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项目</w:t>
            </w:r>
          </w:p>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序号</w:t>
            </w:r>
          </w:p>
        </w:tc>
        <w:tc>
          <w:tcPr>
            <w:tcW w:w="338" w:type="pct"/>
            <w:tcBorders>
              <w:left w:val="single" w:color="000000" w:sz="8" w:space="0"/>
              <w:bottom w:val="single" w:color="000000" w:sz="8" w:space="0"/>
              <w:right w:val="single" w:color="000000" w:sz="8" w:space="0"/>
              <w:tl2br w:val="nil"/>
              <w:tr2bl w:val="nil"/>
            </w:tcBorders>
            <w:shd w:val="clear" w:color="auto" w:fill="FFFFFF"/>
            <w:noWrap/>
            <w:vAlign w:val="center"/>
          </w:tcPr>
          <w:p>
            <w:pPr>
              <w:widowControl/>
              <w:jc w:val="center"/>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检测</w:t>
            </w:r>
          </w:p>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项目</w:t>
            </w:r>
          </w:p>
        </w:tc>
        <w:tc>
          <w:tcPr>
            <w:tcW w:w="294" w:type="pct"/>
            <w:tcBorders>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参数</w:t>
            </w:r>
          </w:p>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序号</w:t>
            </w:r>
          </w:p>
        </w:tc>
        <w:tc>
          <w:tcPr>
            <w:tcW w:w="927" w:type="pct"/>
            <w:gridSpan w:val="2"/>
            <w:tcBorders>
              <w:left w:val="single" w:color="000000" w:sz="8" w:space="0"/>
              <w:bottom w:val="single" w:color="000000" w:sz="8" w:space="0"/>
              <w:right w:val="single" w:color="000000" w:sz="8" w:space="0"/>
              <w:tl2br w:val="nil"/>
              <w:tr2bl w:val="nil"/>
            </w:tcBorders>
            <w:shd w:val="clear" w:color="auto" w:fill="FFFFFF"/>
            <w:noWrap/>
            <w:vAlign w:val="center"/>
          </w:tcPr>
          <w:p>
            <w:pPr>
              <w:widowControl/>
              <w:jc w:val="center"/>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检测</w:t>
            </w:r>
          </w:p>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参数</w:t>
            </w:r>
          </w:p>
        </w:tc>
        <w:tc>
          <w:tcPr>
            <w:tcW w:w="1144" w:type="pct"/>
            <w:tcBorders>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主要设备名称</w:t>
            </w:r>
          </w:p>
        </w:tc>
        <w:tc>
          <w:tcPr>
            <w:tcW w:w="632" w:type="pct"/>
            <w:tcBorders>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试验方法要求</w:t>
            </w:r>
          </w:p>
        </w:tc>
        <w:tc>
          <w:tcPr>
            <w:tcW w:w="1391" w:type="pct"/>
            <w:tcBorders>
              <w:left w:val="single" w:color="000000" w:sz="8" w:space="0"/>
              <w:bottom w:val="single" w:color="000000" w:sz="8" w:space="0"/>
              <w:tl2br w:val="nil"/>
              <w:tr2bl w:val="nil"/>
            </w:tcBorders>
            <w:shd w:val="clear" w:color="auto" w:fill="FFFFFF"/>
            <w:noWrap/>
            <w:vAlign w:val="center"/>
          </w:tcPr>
          <w:p>
            <w:pPr>
              <w:widowControl/>
              <w:jc w:val="center"/>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参考标准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水泥</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凝结</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时间</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水泥净浆搅拌机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《水泥标准用水量、凝结时间、安定性检验方法》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1346-2011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维卡仪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量筒</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滴定管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恒温恒湿养护箱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安定性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水泥净浆搅拌机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《水泥标准用水量、凝结时间、安定性检验方法》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1346-2011</w:t>
            </w: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《水泥压蒸安定性试验方法》</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750-1992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雷氏夹测定仪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沸煮箱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恒温恒湿养护箱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压蒸釜*</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压蒸法*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比长仪*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胶砂</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行星式水泥胶砂搅拌机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《水泥胶砂强度检验方法(ISO法)》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17671-2021</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《水泥胶砂流动度测定方法》(</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2419-2005)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养护水槽*  </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恒温恒湿养护箱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水泥胶砂振实台</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标准法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代用法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水泥胶砂流动度测定仪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水泥胶砂抗折强度试验机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水泥胶砂抗压强度试验机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氯离子含量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玻璃砂芯漏斗</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硫氰酸铵容量法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滴定管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氯离子电位滴定装置（含氯离子电极和甘汞电极）</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电位滴定法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抽气过滤装置</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离子色谱法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离子色谱仪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保水率*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行星式水泥胶砂搅拌机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《砌筑水泥》</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3183-2017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水泥胶砂流动度测定仪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保水率刚性试模装置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氧化镁含量*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高温炉</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铂坩埚</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银坩埚</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滴定管、容量瓶、移液管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EDTA滴定差减法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原子吸收分光光度计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原子吸收分光光度法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碱含量*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shd w:val="clear" w:color="auto"/>
                <w:lang w:bidi="ar"/>
              </w:rPr>
              <w:t>铂皿、通风橱、电热板</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火焰光度计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火焰光度法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原子吸收分光光度计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原子吸收分光光度法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三氧化硫含量*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高温电阻炉</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、坩埚</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硫酸钡重量法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测定硫化物及硫酸盐的仪器装置</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bidi="ar"/>
              </w:rPr>
              <w:t>碘量法</w:t>
            </w:r>
            <w:r>
              <w:rPr>
                <w:rFonts w:hint="eastAsia" w:asciiTheme="minorEastAsia" w:hAnsiTheme="minorEastAsia" w:eastAsiaTheme="minorEastAsia" w:cstheme="minorEastAsia"/>
                <w:color w:val="000000"/>
                <w:sz w:val="21"/>
                <w:szCs w:val="21"/>
                <w:highlight w:val="none"/>
                <w:vertAlign w:val="baseline"/>
                <w:lang w:val="en-US" w:eastAsia="zh-CN"/>
              </w:rPr>
              <w:t>*</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库仑积分测硫仪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bidi="ar"/>
              </w:rPr>
              <w:t>库仑滴定法</w:t>
            </w:r>
            <w:r>
              <w:rPr>
                <w:rFonts w:hint="eastAsia" w:asciiTheme="minorEastAsia" w:hAnsiTheme="minorEastAsia" w:eastAsiaTheme="minorEastAsia" w:cstheme="minorEastAsia"/>
                <w:color w:val="000000"/>
                <w:sz w:val="21"/>
                <w:szCs w:val="21"/>
                <w:highlight w:val="none"/>
                <w:vertAlign w:val="baseline"/>
                <w:lang w:val="en-US" w:eastAsia="zh-CN"/>
              </w:rPr>
              <w:t>*</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磁力搅拌器、碱式滴定管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bidi="ar"/>
              </w:rPr>
              <w:t>离子交换法</w:t>
            </w:r>
            <w:r>
              <w:rPr>
                <w:rFonts w:hint="eastAsia" w:asciiTheme="minorEastAsia" w:hAnsiTheme="minorEastAsia" w:eastAsiaTheme="minorEastAsia" w:cstheme="minorEastAsia"/>
                <w:color w:val="000000"/>
                <w:sz w:val="21"/>
                <w:szCs w:val="21"/>
                <w:highlight w:val="none"/>
                <w:vertAlign w:val="baseline"/>
                <w:lang w:val="en-US" w:eastAsia="zh-CN"/>
              </w:rPr>
              <w:t>*</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both"/>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2</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both"/>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钢筋（含焊接与机械连接）</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屈服强度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《金属材料 拉伸试验 第1部分：室温试验方法》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228.1-2021</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28900-2022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both"/>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both"/>
              <w:textAlignment w:val="cente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抗拉强度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《金属材料 拉伸试验 第1部分：室温试验方法》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228.1-2021</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28900-2022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《钢筋焊接接头试验方法标准》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27-2014</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《钢筋机械连接技术规程》JGJ 107-2016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断后伸长率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《金属材料 拉伸试验 第1部分：室温试验方法》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228.1-2021</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28900-2022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标距仪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最大力下总延伸率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《金属材料 拉伸试验 第1部分：室温试验方法》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228.1-2021</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28900-2022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标距仪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手工法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电子引伸计*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引伸计法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反向弯曲</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弯曲试验机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 第2部分：热轧带肋钢筋》</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1499.2-2018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28900-2022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重量偏差</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 第1部分：热轧光圆钢筋》GB∕T 1499.1-2017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 第2部分：热轧带肋钢筋》</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1499.2-2018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《冷轧带肋钢筋》</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13788-2017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《钢筋混凝土用钢 第3部分：钢筋焊接网》</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 xml:space="preserve"> 1499.3-2022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钢直尺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重量偏差测定仪*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残余变形</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《钢筋机械连接技术规程》JGJ 107-2016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残余变形测量装置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2.8</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弯曲性能*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弯曲试验机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万能试验机和弯曲装置</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《金属材料 弯曲试验方法》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232-2010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28900-2022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《钢筋焊接接头试验方法标准》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27-2014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3</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骨料、集料（细骨料）</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颗粒级配</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《建设用砂》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摇筛机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含泥量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标准法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烘箱、试验筛、天平、虹吸管*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虹吸管法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泥块含量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标准法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亚甲蓝值与石粉含量（人工砂）</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石粉含量测定仪</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叶轮搅拌机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压碎指标（人工砂）</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受压钢模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振筛机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氯离子含量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滴定管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表观密度*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标准法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烘箱、天平、李氏瓶*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简易法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吸水率*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饱和面干试模及捣棒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坚固性*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三脚网篮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容器（非铁质）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比重计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坚固性试验仪*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碱活性*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快速法、砂浆长度法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比长仪（百分表）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水泥胶砂搅拌机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水浴</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快速法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恒温养护箱室</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砂浆长度法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跳桌</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圆筒钻机、切片机、磨片机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碱-碳酸盐反应</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测长仪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实体显微镜</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偏光显微镜</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岩相法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锯石机 </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磨片机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硫化物和硫酸盐含量*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高温炉</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轻物质含量*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比重计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有机物含量*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水泥胶砂搅拌机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水泥胶砂抗压强度试验机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贝壳含量*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14684-2022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骨料、集料（粗骨料）</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颗粒级配</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摇筛机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含泥量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泥块含量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压碎值指标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压碎指标测定仪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振筛机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3.19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针片状颗粒含量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针、片状规准仪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坚固性*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三脚网篮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容器（非铁质）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比重计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碱活性*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快速法、砂浆长度法</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台秤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比长仪（百分表）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水泥胶砂搅拌机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破碎机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恒温水浴</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快速法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恒温恒湿养护箱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砂浆长度法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跳桌</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实体显微镜、偏光显微镜、切片机、磨片机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岩相法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《建设用卵石、碎石》GB/T 14685-2022</w:t>
            </w:r>
          </w:p>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《水工混凝土试验规程》SL/T 352-2020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圆筒钻机、</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切片机、磨片机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碱-碳酸盐反应</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《建设用卵石、碎石》GB/T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测长仪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表观密度*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液体天平</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液体比重天平法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广口瓶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广口瓶法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堆积密度*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空隙率*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《建设用卵石、碎石》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14685-2022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骨料、集料（轻集料）</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筒压强度*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《轻集料及其试验方法 第2部分:轻集料试验方法》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承压筒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托盘天平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堆积密度*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《轻集料及其试验方法 第2部分:轻集料试验方法》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吸水率*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托盘天平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《轻集料及其试验方法 第2部分:轻集料试验方法》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粒型系数*</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《轻集料及其试验方法 第2部分:轻集料试验方法》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容积筒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3.29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筛分析*</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《轻集料及其试验方法 第2部分:轻集料试验方法》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台秤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摇筛机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4</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砖、砌块、瓦、墙板</w:t>
            </w: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抗压强度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万能试验机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《混凝土实心砖》</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21144-2023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《砌墙砖试验方法》</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2542-2012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《烧结多孔砖和多孔砌块》</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13544-2011</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《混凝土砌块和砖的试验方法》</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4111-2013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《建筑墙板试验方法》</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30100-2013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《蒸压加气混凝土性能试验方法》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11969-2020</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《建筑隔墙用保温条板》</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23450-2009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4.2</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抗折强度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万能试验机、抗折夹具</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《砌墙砖试验方法》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2542-2012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《混凝土砌块和砖的试验方法》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4111-2013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《建筑墙板试验方法》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30100-2013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干密度*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电子秤</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蒸压加气混凝土性能试验方法</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11969-2020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吸水率*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《砌墙砖试验方法》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2542-2012 </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《混凝土砌块和砖试验方法》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4111-2013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《屋面瓦试验方法》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36584-2018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《混凝土瓦》JCT 746-2023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《建筑墙板试验方法》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30100-2013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《蒸压加气混凝土性能试验方法》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11969-2020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蒸煮箱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真空容器和真空系统*</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4.5</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抗渗性能*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抗渗试验装置</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《混凝土砌块和砖的试验方法》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4111-2013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《建筑墙板试验方法》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30100-2013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《屋面瓦试验方法》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36584-2018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《混凝土瓦》JCT 746-2023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4.6</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抗弯曲性能（或承载力）*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微机控制电液伺服压力试验机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瓦抗折试验机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《屋面瓦试验方法》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36584-2018 </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《混凝土瓦》JCT 746-2023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耐急冷急热性*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《屋面瓦试验方法》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36584-2018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能通过流动冷水的水槽</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温度计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抗冲击性能*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冲击球</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《建筑墙板试验方法》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30100-2013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《建筑隔墙用轻质条板通用技术要求》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169-2016 </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《灰渣混凝土空心隔墙板》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23449-2009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《建筑隔墙用保温条板》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23450-2009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《建筑用轻质隔墙条板》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23451-2023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《玻璃纤维增强水泥轻质多孔隔墙条板》GB T 19631-2005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钢直尺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落球法（砂袋法）抗冲击试验架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4.9</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抗弯破坏荷载*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试验架及配重</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《建筑墙板试验方法》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30100-2013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《建筑隔墙用轻质条板通用技术要求》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169-2016</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《灰渣混凝土空心隔墙板》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23449-2009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《建筑隔墙用保温条板》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23450-2009</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建筑用轻质隔墙条板》GB/T 23451-2023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吊挂力*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位移测量装置</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《建筑墙板试验方法》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30100-2013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《建筑隔墙用轻质条板通用技术要求》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169-2016 </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《灰渣混凝土空心隔墙板》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23449-2009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《建筑隔墙用保温条板》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23450-2009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《建筑用轻质隔墙条板》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23451-2023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《玻璃纤维增强水泥轻质多孔隔墙条板》GB T 19631-2005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加荷装置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4.11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抗冻性能*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冻融试验箱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低温冰箱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《混凝土砌块和砖的试验方法》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4111-2013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《蒸压加气混凝土性能试验方法》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11969-2020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《屋面瓦试验方法》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36584-2018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《混凝土瓦》JCT 746-2023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《建筑墙板试验方法》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30100-2013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《砌墙砖试验方法》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2542-2012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5</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混凝土及拌合用水</w:t>
            </w: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抗压强度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《混凝土物理力学性能试验方法标准》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5.2</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抗渗等级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混凝土抗渗仪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《普通混凝土长期性能和耐久性能试验方法标准》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坍落度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《普通混凝土拌合物性能试验方法标准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widowControl/>
              <w:spacing w:after="0"/>
              <w:jc w:val="center"/>
              <w:textAlignment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坍落度仪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钢尺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氯离子含量</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研磨设备、</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烘箱、电位滴定仪</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酸度计</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滴定管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硬化混凝土中氯离子含量测试方法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《建筑结构检测技术标准》GB∕T 50344-2019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《混凝土中氯离子含量检测技术规程》</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322-2013</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《混凝土氯离子控制标准》</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DBJ/T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15-232-2021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氯离子快速测定仪</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滴定管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拌合物混凝土中氯离子含量测试方法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拌合用水（氯离子含量）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移液管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《水质氯化物的测定硝酸银滴定法》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11896-1989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棕色滴定管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限制膨胀率*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《混凝土外加剂应用技术规范》GB 50119-2013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比长仪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纵向限制器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恒温恒湿箱养护室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抗冻性能*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冻融试验箱*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kern w:val="0"/>
                <w:sz w:val="21"/>
                <w:szCs w:val="21"/>
                <w:highlight w:val="none"/>
                <w:lang w:bidi="ar"/>
                <w14:textFill>
                  <w14:solidFill>
                    <w14:schemeClr w14:val="tx1"/>
                  </w14:solidFill>
                </w14:textFill>
              </w:rPr>
              <w:t>慢速法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《普通混凝土长期性能和耐久性能试验方法标准》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温度传感器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试件盒</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strike w:val="0"/>
                <w:dstrike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strike w:val="0"/>
                <w:dstrike w:val="0"/>
                <w:color w:val="000000" w:themeColor="text1"/>
                <w:kern w:val="0"/>
                <w:sz w:val="21"/>
                <w:szCs w:val="21"/>
                <w:highlight w:val="none"/>
                <w:lang w:bidi="ar"/>
                <w14:textFill>
                  <w14:solidFill>
                    <w14:schemeClr w14:val="tx1"/>
                  </w14:solidFill>
                </w14:textFill>
              </w:rPr>
              <w:t>快速法</w:t>
            </w: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p>
            <w:pPr>
              <w:widowControl/>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《普通混凝土长期性能和耐久性能试验方法标准》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快速冻融装置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混凝土动弹性模量测定仪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温度传感器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试件盒</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bidi="ar"/>
              </w:rPr>
              <w:t>单面冻融法（或称盐冻法）</w:t>
            </w:r>
            <w:r>
              <w:rPr>
                <w:rFonts w:hint="eastAsia" w:asciiTheme="minorEastAsia" w:hAnsiTheme="minorEastAsia" w:eastAsiaTheme="minorEastAsia" w:cstheme="minorEastAsia"/>
                <w:color w:val="000000"/>
                <w:kern w:val="0"/>
                <w:sz w:val="21"/>
                <w:szCs w:val="21"/>
                <w:highlight w:val="none"/>
                <w:lang w:val="en-US" w:eastAsia="zh-CN" w:bidi="ar"/>
              </w:rPr>
              <w:t>*</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《普通混凝土长期性能和耐久性能试验方法标准》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单面冻融试验箱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超声浴槽</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超声波测试仪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超声传播时间测量装置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表观密度*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《普通混凝土拌合物性能试验方法标准》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5</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混凝土及拌合用水</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含气量*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仅限粒径不大于40mm的拌合物 </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《普通混凝土拌合物性能试验方法标准》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含气量测定仪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凝结时间*</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《普通混凝土拌合物性能试验方法标准》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贯入阻力仪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砂浆试样筒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5.11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抗折强度*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万能试验机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《混凝土物理力学性能试验方法标准》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5.12</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劈裂抗拉强度*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万能试验机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《混凝土物理力学性能试验方法标准》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5.13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静力受压弹性模量*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《混凝土物理力学性能试验方法标准》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微变形测量装置（含千分表</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5.14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抑制碱-骨料反应有效性*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方孔筛</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《普通混凝土长期性能和耐久性能试验方法标准》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50082-2009</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《预防混凝土碱骨料反应技术规范》</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50733-2011</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《铁路混凝土》TBT 3275-2018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比长仪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胶砂搅拌机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跳桌</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恒温水浴</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烘箱及养护筒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5.15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碱含量*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《混凝土结构现场检测技术标准》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50784-2013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铂皿、通风橱、电热板</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火焰光度计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火焰光度法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原子吸收分光光度计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原子吸收分光光度法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5.16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配合比设计*</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《普通混凝土配合比设计规程 》JGJ 55-2011</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《轻骨料混凝土应用技术标准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坍落度仪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混凝土抗渗仪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5.17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拌合用水pH值*</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酸度计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《水质pH值的测定 玻璃电极法》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6920-1986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玻璃电极</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甘汞电极</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5.18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拌合用水硫酸根含量*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《水质 硫酸盐的测定 重量法》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11899-1989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马弗炉</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分析天平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铂蒸发皿</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干燥器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5.19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拌合用水不溶物含量*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全玻璃微孔滤膜过滤器</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《水质 悬浮物的测定 重量法》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11901-1989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CN-CA滤膜</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分析天平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真空泵、吸滤瓶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干燥器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5.20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拌合用水可溶物含量*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分析天平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《生活饮用水标准检验方法 第4部分：感官性状和物理指标》</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5750.4-2023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水浴锅</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电热恒温干燥箱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干燥器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6</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混凝土外加剂</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减水率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《普通混凝土拌合物性能试验方法标准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50080-2016</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《混凝土外加剂》GB 8076-2008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坍落度仪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钢直尺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pH值</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酸度计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《混凝土外加剂匀质性试验方法》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8077-2023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密度（或细度）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比重瓶</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密度(比重瓶法)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《混凝土外加剂匀质性试验方法》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8077-2023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恒温设备</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精密密度计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密度(精密密度计法)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波美比重计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恒温设备</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细度</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抗压强度比</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《混凝土外加剂》GB 8076-2008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《混凝土物理力学性能试验方法标准》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凝结时间（差）</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《混凝土外加剂》GB 8076-2008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《普通混凝土拌合物性能试验方法标准》(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贯入阻力仪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6.6</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含气量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含气量测定仪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《普通混凝土拌合物性能试验方法标准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50080-2016</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《混凝土外加剂》GB 8076-2008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固体含量（或含水率）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《混凝土外加剂匀质性试验方法》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8077-2023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《混凝土防冻剂》JC</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T 475-2004</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《喷射混凝土用速凝剂》JC</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T 477-2005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限制膨胀率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胶砂搅拌机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《混凝土膨胀剂》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23439-2017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限制膨胀率测量仪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纵向限制器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比长仪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泌水率比</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《混凝土外加剂》GB 8076-2008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《水泥砂浆防冻剂》JC</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T 2031-2010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容积筒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氯离子含量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电位滴定仪</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酸度计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电位滴定法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《混凝土外加剂匀质性试验方法》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8077-2023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离子色谱仪*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离子色谱法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针头微孔滤器*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淋洗体系*</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抑制器*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6.11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相对耐久性指标*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试件盒</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《混凝土外加剂》GB 8076-2008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《普通混凝土长期性能和耐久性能试验方法标准》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快速冻融装置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混凝土动弹性模量测定仪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温度传感器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6.12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含气量1h经时变化量（坍落度、含气量）*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《混凝土外加剂》GB 8076-2008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《普通混凝土拌合物性能试验方法标准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含气量测定仪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坍落度仪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钢直尺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6.13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硫酸钠含量*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高温电阻炉</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《混凝土外加剂匀质性试验方法》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8077-2023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6.14</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收缩率比*</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混凝土收缩仪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《混凝土外加剂》GB 8076-2008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《普通混凝土长期性能和耐久性能试验方法标准》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6.15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碱含量*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火焰光度计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火焰光度法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《混凝土外加剂匀质性试验方法》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8077-2023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原子吸收分光光度计*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原子吸收分光光度计法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《混凝土外加剂匀质性试验方法》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8077-2023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7</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混凝土掺合料</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负压筛析仪（含筛子）</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《用于水泥和混凝土中的粉煤灰》</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 xml:space="preserve"> 1596-2017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《水泥细度检验方法筛析法》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1345-2005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烧失量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高温炉</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需水量比</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《用于水泥和混凝土中的粉煤灰》</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1596-2017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《水泥胶砂流动度测定方法》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2419-2005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水泥胶砂流动度测定仪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比表面积</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比表面积测定仪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《水泥比表面积测定方法 勃氏法》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8074-2008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秒表（非自动仪器）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活性指数</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《用于水泥和混凝土中的粉煤灰》</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1596-2017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《用于水泥和混凝土中的粒化高炉矿渣粉》</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18046-2017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水泥胶砂强度压力试验机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流动度比</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《用于水泥和混凝土中的粒化高炉矿渣粉》</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18046-2017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《水泥胶砂流动度测定方法》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2419-2005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水泥胶砂流动度测定仪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氯离子含量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玻璃砂芯漏斗</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硫氰酸铵容量法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滴定管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氯离子电位滴定装置（含氯离子电极和甘汞电极）</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电位滴定法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抽气过滤装置</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离子色谱法</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离子色谱仪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容量瓶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《用于水泥和混凝土中的粒化高炉矿渣粉》</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18046-2017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《用于水泥和混凝土中的粉煤灰》</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1596-2017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三氧化硫含量*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基准法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《水泥化学分析方法》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高温电阻炉</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7.10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放射性*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低本底多道γ能谱仪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《建筑材料放射性核素限量》GB 6566-2010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8</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砂浆</w:t>
            </w: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8.1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抗压强度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《建筑砂浆基本性能试验方法标准》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8.2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稠度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《建筑砂浆基本性能试验方法标准》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砂浆稠度测定仪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8.3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保水率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《建筑砂浆基本性能试验方法标准》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保水率装置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8.4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拉伸粘接强度（抹灰、砌筑）</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《建筑砂浆基本性能试验方法标准》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拉力试验机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8.5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分层度*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《建筑砂浆基本性能试验方法标准》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砂浆分层度筒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8.6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配合比设计*</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《砌筑砂浆配合比设计规程》</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98-2010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砂浆稠度测定仪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万能试验机/压力试验机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8.7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凝结时间*</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《建筑砂浆基本性能试验方法标准》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砂浆凝结时间测定仪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spacing w:after="0"/>
              <w:jc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8.8</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抗渗性能*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砂浆抗渗仪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《建筑砂浆基本性能试验方法标准》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9</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土</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9.1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最大干密度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《土工试验方法标准》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台秤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击实仪（轻型、重型）</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9.2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最优含水率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《土工试验方法标准》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台秤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击实仪（轻型、重型）</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9.3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压实系数</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《土工试验方法标准》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台秤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10</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防水材料及防水密封材料（防水卷材）</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防水卷材：可溶物含量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第26部分：沥青防水卷材可溶物含量》</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328.26-2007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萃取器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防水卷材：拉力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恒温恒湿标准养护箱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第8部：沥青防水卷材拉伸性能》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328.8-2007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第9部分：高分子防水卷材拉伸性能》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328.9-2007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《氯化聚乙烯防水卷材》GB 12953-2003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防水卷材：延伸率（或最大力时延伸率）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恒温恒湿标准养护箱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第8部：沥青防水卷材拉伸性能》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328.8-2007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第9部分：高分子防水卷材拉伸性能》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328.9-2007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《氯化聚乙烯防水卷材》GB 12953-2003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大变形引伸计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防水卷材：低温柔度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恒温恒湿标准养护箱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第14部分：沥青防水卷材低温柔性》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328.14-2007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《氯化聚乙烯防水卷材》GB 12953-2003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《建筑防水卷材试验方法 第15部分：高分子防水卷材 低温弯折性》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328.15-2007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第1部分:片材》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18173.1-2012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弯折板</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低温柔度测试仪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防水卷材：热老化后低温柔度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恒温恒湿标准养护箱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《弹性体改性沥青防水卷材》GB 18242-2008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第14部分：沥青防水卷材低温柔性》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328.14-2007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《自粘聚合物改性沥青防水卷材》GB 23441-2009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《湿铺防水卷材》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35467-2017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《建筑防水材料老化试验方法》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18244-2022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《预铺防水卷材》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23457-2017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《道桥用改性沥青防水卷材》JCT 974-2005</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《氯乙烯(PVC)防水卷材》GB 12952-2011</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《热塑性聚烯烃(TPO)防水卷材》GB 27789-2011</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《氯化聚乙烯防水卷材》GB 12953-2003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《胶粉改性沥青聚酯毡与玻纤网格布增强防水卷材》JCT 1078-2008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《建筑防水卷材试验方法 第15部分：高分子防水卷材 低温弯折性》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328.15-2007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弯折板</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低温柔度测试仪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热空气老化试验箱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防水卷材：不透水性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恒温恒湿标准养护箱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第10部分：沥青和高分子防水卷材不透水性》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328.10-2007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第1部分：片材》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18173.1-2012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不透水试验仪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防水卷材：耐热度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光学测量装置</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第11部分：沥青防水卷材耐热性》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328.11-2007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《自粘聚合物改性沥青防水卷材》GB 23441-2009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防水卷材：断裂拉伸强度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第1部分 片材》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18173.1-2012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《氯化聚乙烯防水卷材》GB 12953-2003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 拉伸应力应变性能的测定》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528-2009</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拉伸性能的测定 第2部分：模塑和挤塑塑料的试验条件》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1040.2-2022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防水卷材：断裂伸长率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第1部分 片材》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18173.1-2012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《氯化聚乙烯防水卷材》GB 12953-2003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 拉伸应力应变性能的测定》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528-2009</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拉伸性能的测定 第2部分：模塑和挤塑塑料的试验条件》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1040.2-2022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大变形引伸计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防水卷材：撕裂强度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《建筑防水试验方法第18部分沥青防水卷材撕裂性能（钉杆法）》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328.18-2007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《建筑防水试验方法第19部分高分子防水卷材撕裂性能》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328.19-2007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《硫化橡胶或热塑性橡胶撕裂强度的测定(裤形、直角形和新月形试样)》</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529-2008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防水卷材：接缝剥离强度*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第20部分：沥青防水卷材接缝剥离性能》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328.20-2007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《建筑防水试验方法 第21部分：高分子防水卷材接缝剥离性能》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328.21-2007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10.12</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防水卷材：搭接缝不透水性*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防水卷材搭接缝不透水性仪</w:t>
            </w: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《建筑防水材料工程要求试验方法》TCWA 302-2023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10</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防水材料及防水密封材料（防水涂料）</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防水涂料：固体含量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《聚氨酯防水涂料》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19250-2013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《水乳型沥青防水涂料》JCT 408-2005</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《道桥用防水涂料》JCT 975-2005</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《色漆、清漆和塑料 不挥发物含量的测定》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1725-2007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卡</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尔费休水分测定仪</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防水涂料：拉伸强度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大变形引伸计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防水涂料：耐热性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《非固化橡胶沥青防水涂料》JCT 2428-2017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《水乳型沥青防水涂料》JCT 408-2005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《道桥用防水涂料》JCT 975-2005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防水涂料：低温柔性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《非固化橡胶沥青防水涂料》JCT 2428-2017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低温柔度测试仪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10.17</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防水涂料：不透水性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不透水仪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防水涂料：断裂伸长率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万能试验机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拉伸试验机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《水乳型沥青防水涂料》JCT 408-2005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大变形引伸计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养护室</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10.19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防水涂料：涂膜抗渗性*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砂浆渗透仪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《聚合物水泥防水涂料》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23445-2009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《无机防水堵漏材料》GB 23440-2009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《水泥基渗透结晶型防水材料》GB 18445-2012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《环氧树脂防水涂料》JCT 2217-2014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混凝土抗渗仪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防水涂料：浸水168h后拉伸强度*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《聚合物水泥防水涂料》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23445-2009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防水涂料：浸水168h后断裂伸长率*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《聚合物水泥防水涂料》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23445-2009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大变形引伸计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防水涂料：耐水性*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《绿色产品评价 防水与密封材料》</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35609-2017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测厚仪</w:t>
            </w: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防水涂料：抗压强度*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行星式水泥胶砂搅拌机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《水泥胶砂强度检验方法（ISO法）》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17671-2021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水养用养护池</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振实台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水泥胶砂强度压力试验机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防水涂料：抗折强度*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行星式水泥胶砂搅拌机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《水泥胶砂强度检验方法（ISO法）》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17671-2021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水养护箱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水养用养护池</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振实台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振动台*</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水泥胶砂抗折试验机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10.25</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防水涂料：粘结强度*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微机控制电子万能试验机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《水泥基渗透结晶型防水材料》GB 18445-2012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《聚合物水泥防水涂料》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23445-2009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防水涂料：抗渗性*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砂浆渗透仪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《聚合物水泥防水涂料》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23445-2009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《普通混凝土长期性能和耐久性能试验方法标准》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50082-2009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《砂浆、混凝土防水剂》JCT 474-2008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《水泥基渗透结晶型防水材料》GB 18445-2012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混凝土抗渗仪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10</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防水材料及防水密封材料（防水密封材料及其他防水材料）</w:t>
            </w: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10.27</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防水密封材料及其他防水材料：耐热性*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《丁基橡胶防水密封胶粘带》 JCT 942-2022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《膨润土橡胶遇水膨胀止水条》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防水密封材料及其他防水材料：低温柔性*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低温柔性测试仪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标准法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《建筑密封材料试验方法 第7部分：低温柔性的测定》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13477.7-2002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第3部分：遇水膨胀橡胶》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18173.3-2014</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《膨润土橡胶遇水膨胀止水条》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弯折板</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10.29</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防水密封材料及其他防水材料：拉伸粘结性*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标准法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《建筑密封材料试验方法第8部分：拉伸粘结性的测定》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13477.8-2017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10.30</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防水密封材料及其他防水材料：施工度*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搅拌机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《水泥基渗透结晶型防水材料》GB 18445-2012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《外墙无机建筑涂料》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26-2002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防水密封材料及其他防水材料：表干时间*</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计时器</w:t>
            </w:r>
          </w:p>
          <w:p>
            <w:pPr>
              <w:widowControl/>
              <w:textAlignment w:val="center"/>
              <w:rPr>
                <w:rFonts w:hint="eastAsia" w:asciiTheme="minorEastAsia" w:hAnsiTheme="minorEastAsia" w:eastAsiaTheme="minorEastAsia" w:cstheme="minorEastAsia"/>
                <w:b w:val="0"/>
                <w:bCs w:val="0"/>
                <w:color w:val="000000" w:themeColor="text1"/>
                <w:sz w:val="21"/>
                <w:szCs w:val="21"/>
                <w:highlight w:val="none"/>
                <w:shd w:val="clear" w:color="auto" w:fill="FFFF00"/>
                <w:lang w:bidi="ar"/>
                <w14:textFill>
                  <w14:solidFill>
                    <w14:schemeClr w14:val="tx1"/>
                  </w14:solidFill>
                </w14:textFill>
              </w:rPr>
            </w:pP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《建筑密封材料试验方法 第5部分：表干时间的测定》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13477.5-2002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防水密封材料及其他防水材料：挤出性*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恒温恒湿标准养护箱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《建筑密封材料试验方法 第3部分：使用标准器具测定密封材料挤出性的方法》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13477.3-2017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气动标准器具</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稳压气源</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秒表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《建筑用硅酮结构密封胶》GB 16776-2005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防水密封材料及其他防水材料：弹性恢复率*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《建筑密封材料试验方法 第17部分：弹性恢复率的测定》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13477.17-2017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10.34</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防水密封材料及其他防水材料：浸水后定伸粘结性*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《建筑密封材料试验方法 第11部分: 浸水后定伸粘结性的测定》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13477.11-2017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防水密封材料及其他防水材料：流动性*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《建筑密封材料试验方法 第6部分：流动性的测定》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13477.6-2002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低温恒温箱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钢板尺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防水密封材料及其他防水材料：单位面积质量*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《钠基膨润土防水毯》</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193-2006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防水密封材料及其他防水材料：膨润土膨胀指数*</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《钠基膨润土防水毯》</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193-2006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试验筛</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10.38</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防水密封材料及其他防水材料：渗透系数*</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渗透系数测定装置</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《钠基膨润土防水毯》</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193-2006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10.39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防水密封材料及其他防水材料：滤失量*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滤失量测定仪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《钻井液材料规范》</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5005-2010</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防水密封材料及其他防水材料：拉伸强度*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 拉伸应力应变性能的测定》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528-2009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磨片机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防水密封材料及其他防水材料：撕裂强度*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《硫化橡胶或热塑性橡胶撕裂强度的测定（裤形、直角形和新月形试样）》</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529-2008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10.42</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防水密封材料及其他防水材料：硬度*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邵氏硬度计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《硬度试验方法第1部分：邵氏硬度计法（邵尔硬度）》</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531.1-2008</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《塑料和硬橡胶　使用硬度计测定压痕硬度（邵氏硬度）》</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2411-2008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防水密封材料及其他防水材料：7d膨胀率*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第3部分：遇水膨胀橡胶》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18173.3-2014</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《膨润土橡胶遇水膨胀止水条》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防水密封材料及其他防水材料：最终膨胀率*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第3部分：遇水膨胀橡胶》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18173.3-2014</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《膨润土橡胶遇水膨胀止水条》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量筒</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防水密封材料及其他防水材料：耐水性*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温度计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《膨润土橡胶遇水膨胀止水条》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水槽</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万能试验机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10.46</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防水密封材料及其他防水材料：体积膨胀倍率*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液体天平</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第3部分：遇水膨胀橡胶》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18173.3-2014</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《膨润土橡胶遇水膨胀止水条》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防水密封材料及其他防水材料：压缩永久变形*</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压缩装置</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 压缩永久变形的测定 第1部分：在常温及高温条件下》</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7759.1-2015</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老化箱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厚度计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计时器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防水密封材料及其他防水材料：低温弯折*</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低温弯折仪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《高分子防水材料 第3部分：遇水膨胀橡胶》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18173.3-2014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10.49</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防水密封材料及其他防水材料：剥离强度*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《丁基橡胶防水密封胶粘带》 JCT 942-2022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u w:val="none"/>
                <w:lang w:bidi="ar"/>
                <w14:textFill>
                  <w14:solidFill>
                    <w14:schemeClr w14:val="tx1"/>
                  </w14:solidFill>
                </w14:textFill>
              </w:rPr>
              <w:t xml:space="preserve">《建筑密封材料试验方法 第18部分:剥离粘结性的测定》GB/T 13477.18-2002《沥青基防水卷材用基层处理剂》JCT </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1069-2008(2015)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《胶粘剂180°剥离强度试验方法 挠性材料对刚性材料》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2790-1995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10.50</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防水密封材料及其他防水材料：浸水168h后的剥离强度保持率*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《丁基橡胶防水密封胶粘带》 JCT 942-2022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《沥青基防水卷材用基层处理剂》JCT 1069-2008(2015)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防水密封材料及其他防水材料：拉力*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 拉伸应力应变性能的测定》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528-2009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《建筑防水卷材试验方法 第8部分：沥青防水卷材 拉伸性能》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328.8-2007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《建筑防水卷材试验方法 第9部分：高分子防水卷材 拉伸性能》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328.9-2007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裁刀和裁片机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防水密封材料及其他防水材料：延伸率*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 拉伸应力应变性能的测定》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528-2009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《建筑防水卷材试验方法 第8部分：沥青防水卷材 拉伸性能》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328.8-2007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《建筑防水卷材试验方法 第9部分：高分子防水卷材 拉伸性能》</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328.9-2007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裁刀和裁片机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大变形引伸计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防水密封材料及其他防水材料：固体含量*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《建筑防水涂料试验方法》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16777-2008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《胶粘剂不挥发物含量的测定》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2793-1995</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卡尔费休水分测定仪*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10.54</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防水密封材料及其他防水材料：7d粘结强度*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《混凝土界面处理剂》JC/T 907-2018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10.55</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防水密封材料及其他防水材料：7d抗渗性*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砂浆抗渗仪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《无机防水堵漏材料》GB 23440-2009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防水密封材料及其他防水材料：拉伸模量*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《建筑密封材料试验方法第8部分：拉伸粘结性的测定》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13477.8-2017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防水密封材料及其他防水材料：定伸粘结性*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《建筑密封材料试验方法 第10部分：定伸粘结性的测定》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13477.10-2017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防水密封材料及其他防水材料：断裂伸长率*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《硫化橡胶或热塑性橡胶 拉伸应力应变性能的测定》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528-2009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大变形引伸计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测厚计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10.59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防水密封材料及其他防水材料：剪切性能*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《硫化橡胶 与金属粘接拉伸剪切强度测定方法》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13936-2014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量具</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10.60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防水密封材料及其他防水材料：剥离性能*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《建筑密封材料试验方法 第18部分:剥离粘结性的测定》GB/T 13477.18-2002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紫外线辐射箱*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11</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瓷砖及石材</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吸水率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《陶瓷砖试验方法 第3部分：吸水率、显气孔率、表观相对密度和容重的测定》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3810.3-2016</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《天然石材试验方法 第3部分：吸水率、体积密度、真密度、真气孔率试验》</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9966.3-2020</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《建筑装饰用人造石英石板》</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JG/T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463-2014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恒温水槽</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沸煮箱</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沸煮装置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真空容器和真空系统</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弯曲强度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万能试验机/弯曲试验机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《天然石材试验方法 第2部分：干燥、水饱和、冻融循环后弯曲强度试验》</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9966.2-2020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《陶瓷砖试验方法 第4部分：断裂模数和破坏强度的测定》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3810.4-2016</w:t>
            </w: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《建筑装饰用人造石英石板》</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463-2014</w:t>
            </w: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万能角尺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鼓风干燥箱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抗冻性（耐冻融性）*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《陶瓷砖试验方法 第12部分：抗冻性的测定》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3810.12-2016</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《建筑装饰用人造石英石板》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463-2014</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《天然石材试验方法 第2部分：干燥、水饱和、冻融循环后弯曲强度试验》</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9966.2-2020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抽真空装置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冷冻机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测温装置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放射性*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粉碎机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《建筑材料放射性核素限量》GB 6566-2010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粉磨机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低本底多道γ能谱仪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12</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塑料及金属管材*（塑料管材）</w:t>
            </w: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塑料管材：静液压强度*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静液压强度试验装置</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《流体输送用热塑性塑料管道系统耐内压性能的测定》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6111-2018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《流体输送用塑料管材液压瞬时爆破和耐压试验方法》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15560-1995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塑料管材：落锤冲击试验*</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落锤冲击试验机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《热塑性塑料管材耐外冲击性能试验方法 时针旋转法》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14152-2001 </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恒温水浴箱*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12.3</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塑料管材：外观质量*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目测</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《建筑排水用硬聚氯乙烯(PVC-U)管材》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5836.1-2018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《冷热水用聚丙烯管道系统 管材》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18742.2-2017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《给水用硬聚氯乙烯（PVC-U）管材》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10002.1-2023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《冷热水用交联聚乙烯(PE-X)管道系统 管材》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18992.2-2003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《排水用芯层发泡硬聚氯乙烯(PVC-U)管材》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16800-2008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《冷热水用聚丁烯（PB）管道系统 第2部分：管材》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19473.2-2004</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《给水用聚乙烯（PE）管道系统 管材》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13663.2-2018</w:t>
            </w: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《冷热水用耐热聚乙烯(PE-RT)管道系统 第2部分：管材》</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28799.2-2020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塑料管材：截面尺寸*</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管厚规</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《塑料管道系统 塑料部件 尺寸的测定》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内径千分尺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Π尺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塑料管材：纵向回缩率*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热浴槽*</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液浴试验</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 纵向回缩率的测定》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6671-2001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烘箱试验</w:t>
            </w: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塑料管材：交联度*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萃取装置*</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《交联聚乙烯(PE-X)管材与管件 交联度的试验方法》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18474-2001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交联度测试系统（冷凝回流器、圆底烧瓶、加热装置、铁架台及各类夹子）*</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塑料管材：熔融温度*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差示扫描量热仪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差示扫描量热法(DSC)第3部分熔融和结晶温度及热焓的测定》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19466.3-2004</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塑料管材：简支梁冲击*</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冲击试验机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《塑性塑料管材 简支梁冲击强度的测定第1部分通用试验方法》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18743.1-2022 </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 简支梁冲击强度的测定 第2部分：不同材料管材的试验条件》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18743.2-2022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制样设备</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塑料管材：炭黑分散度*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显微镜</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《聚烯烃管材、管件和混配料中颜料或炭黑分散度的测定》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18251-2019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切片机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塑料管材：炭黑含量*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管式电炉</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spacing w:line="240" w:lineRule="exac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《聚烯烃管材和管件炭黑含量的测定煅烧和热解法》 </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13021-2023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除氧装置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马弗炉</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塑料管材：拉伸屈服应力*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电子万能试验机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 拉伸性能测定 第2部分:硬聚氯乙烯(PVC-U)、氯化聚氯乙烯(PVC-C)和高抗冲聚氯乙烯(PVC-HI)管材》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8804.2-2003 </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 拉伸性能测定 第1部分：试验方法总则》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8804.1-2003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热塑性塑料管材 拉伸性能测定 第3部分：聚烯烃管材》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8804.3-2003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拉伸性能的测定 第1部分：总则》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1040.1-2018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塑料管材：密度*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密度天平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非泡沫塑料密度的测定 第1部分浸渍法、液体比重瓶法和滴定法》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1033.1-2008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温度计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12.13</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塑料管材：爆破压力*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爆破试验机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《流体输送用塑料管材液压瞬时爆破和耐压试验方法》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15560-1995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12.14</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塑料管材：管环剥离力*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管环拉力计</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测力计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流体输送用《钢塑复合管及管件</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28897-2021</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铝塑复合压力管 第1部分：铝管搭接焊式铝塑管》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18997.1-2020</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12.15</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塑料管材：熔体质量流动速率*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熔体质量流动速率仪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热塑性塑料熔体质量流动速率（MFR）和熔体体积流动速率（MVR）的测定 第2部分：对时间-温度历史和（或）湿度敏感的材料的试验方法》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3682.2-2018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塑料管材：氧化诱导时间*</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差示扫描量热仪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差示扫描量热法(DSC)第6部分氧化诱导时间(等温OIT )和氧化诱导温度(动态OIT )的测定》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19466.6-2009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12.17</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塑料管材：维卡软化温度*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维卡软化温度测定仪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《热塑性塑料管材、管件 维卡软化温度的测定》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8802-2001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12.18</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塑料管材：热变形温度*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热变形温度测试装置</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负荷变形温度的测定 第1部分:通用试验方法》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1634.1-2019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12.19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塑料管材：拉伸断裂伸长率*</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 拉伸性能测定 第2部分:硬聚氯乙烯(PVC-U)、氯化聚氯乙烯(PVC-C)和高抗冲聚氯乙烯(PVC-HI)管材》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8804.2-2003 </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 拉伸性能测定 第1部分：试验方法总则》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8804.1-2003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热塑性塑料管材 拉伸性能测定 第3部分：聚烯烃管材》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8804.3-2003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拉伸性能的测定 第1部分：总则》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1040.1-2018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大变形引伸计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塑料管材：拉伸弹性模量*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拉伸性能的测定 第1部分：总则》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1040.1-2018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引伸计</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应变计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塑料管材：拉伸强度*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拉伸性能的测定 第1部分：总则》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1040.1-2018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塑料管材：灰分*</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分析天平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 灰分的测定第1部分通用方法》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9345.1-2008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高温炉</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12.23</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塑料管材：烘箱试验*</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烘箱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《注射成型硬质聚氯乙烯(PVC-U)、氯化聚氯乙烯(PVC-C)、丙烯腈-丁二烯-苯乙烯三元共聚物(ABS)和丙烯腈-苯乙烯-丙烯酸盐三元共聚物(ASA)管件 热烘箱试验方法》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8803-2001</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《埋地用聚乙烯（PE）结构壁管道系统 第1部分：聚乙烯双壁波纹管材》</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19472.1-2019</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《埋地排水用硬聚氯乙烯(PVC-U)结构壁管道系统 第1部分：双壁波纹管材》 </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18477.1-2007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塑料管材：坠落试验*</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秒表</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《硬聚氯乙烯(PVC-U)管件坠落试验方法》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8801-2007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恒温水浴</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低温箱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12</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塑料及金属管材*（金属管材）</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金属管材：屈服强度*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《金属材料 拉伸试验 第1部分：室温试验方法》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228.1-2021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金属管材：抗拉强度*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《金属材料 拉伸试验 第1部分：室温试验方法》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228.1-2021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金属管材：伸长率*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《金属材料 拉伸试验 第1部分：室温试验方法》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228.1-2021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标距仪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12.28</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金属管材：厚度偏差*</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《直缝电焊钢管》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13793-2016</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《低压流体输送用焊接钢管》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3091-2015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12.29</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金属管材：截面尺寸*</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《直缝电焊钢管》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13793-2016</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《低压流体输送用焊接钢管》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3091-2015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13</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预制混凝土构件*</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13.1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承载力*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水囊荷重（称重装置</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液体流量计）</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千斤顶(配荷载传感器</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配油压表、测控主机</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标准加载块</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《混凝土结构工程施工质量验收规范》GB 50204-2015</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50152-2012</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《先张法预应力混凝土管桩》GB 13476-2023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《混凝土和钢筋混凝土排水管试验方法》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 xml:space="preserve"> 16752-2017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《预制混凝土衬砌管片》</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 xml:space="preserve"> 22082-2017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大量程百分表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裂缝显微镜</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13.2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挠度*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水囊荷重（称重装置</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液体流量计）</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千斤顶(配荷载传感器</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配油压表、测控主机</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标准加载块</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《混凝土结构工程施工质量验收规范》GB 50204-2015</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50152-2012</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《先张法预应力混凝土管桩》GB 13476-2023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大量程百分表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13.3</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裂缝宽度*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裂缝显微镜</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《混凝土结构工程施工质量验收规范》GB 50204-2015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50152-2012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13.4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抗裂检验*</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裂缝显微镜</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《混凝土结构工程施工质量验收规范》GB 50204-2015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50152-2012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水囊荷重（称重装置或液体流量计）</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千斤顶(配荷载传感器</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配油压表、测控主机</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标准加载块</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大量程百分表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13.5</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外观质量*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裂缝显微镜</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《混凝土结构工程施工质量验收规范》GB 50204-2015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《混凝土结构试验方法标准》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50152-2012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13.6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构件尺寸*</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钢直尺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《混凝土结构工程施工质量验收规范》GB 50204-2015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钢卷尺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铝合金折叠靠尺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楔形游标塞尺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13.7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保护层厚度*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钢筋扫描仪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《混凝土结构工程施工质量验收规范》GB 50204-2015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《混凝土中钢筋检测技术标准》</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152-2019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14</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预应力钢绞线*</w:t>
            </w: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14.1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整根钢绞线最大力*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钢绞线试验机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21839-2019</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《预应力混凝土用钢绞线》</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5224-2023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14.2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最大力总伸长率*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ind w:firstLine="630" w:firstLineChars="300"/>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钢绞线试验机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21839-2019</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《预应力混凝土用钢绞线》</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5224-2023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14.3</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抗拉强度*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钢绞线试验机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21839-2019</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《预应力混凝土用钢绞线》</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5224-2023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14.4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0.2%屈服力*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钢绞线试验机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21839-2019</w:t>
            </w: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《预应力混凝土用钢绞线》</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5224-2023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14.5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弹性模量*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钢绞线试验机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21839-2019</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《预应力混凝土用钢绞线》</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5224-2023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14.6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松弛率*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松弛试验机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《预应力混凝土用钢材试验方法》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21839-2019</w:t>
            </w:r>
          </w:p>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《预应力混凝土用钢绞线》</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5224-2023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15</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预应力混凝土用锚具夹具及连接器*</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15.1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外观质量*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放大镜</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《预应力筋用锚具、夹具和连接器》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14370-2015</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《无损检测磁粉检测 第1部分：总则》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15822.1-2005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磁粉探伤机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15.2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尺寸*</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钢</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直尺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《预应力筋用锚具、夹具和连接器》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14370-2015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螺旋千分尺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塞环规</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15.3</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静载锚固性能*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静载锚固性能试验装置</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《预应力筋用锚具、夹具和连接器》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14370-2015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15.4</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疲劳荷载性能*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疲劳试验机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《预应力筋用锚具、夹具和连接器》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14370-2015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15.5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硬度*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洛氏硬度计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《金属材料 洛氏硬度试验 第1部分: 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230.1-2018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《金属材料 布氏硬度试验 第1部分: 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231.1-2018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布氏硬度计*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16</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预应力混凝土用波纹管*</w:t>
            </w: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金属波纹管：外观质量*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目测</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《预应力混凝土用金属波纹管》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金属波纹管：尺寸*</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游标卡尺、千分尺、钢卷尺、深度尺</w:t>
            </w: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《预应力混凝土用金属波纹管》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16.3</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金属波纹管：抗局部横向荷载*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万能试验机/压力试验机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《预应力混凝土用金属波纹管》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16.4</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金属波纹管：弯曲后抗渗漏性能*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弯曲装置</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《预应力混凝土用金属波纹管》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塑料波纹管：环刚度*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万能试验机/压力试验机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《预应力混凝土桥梁用塑料波纹管》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JT/T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529-2016</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 环刚度的测定》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9647-2015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内径测量装置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塑料波纹管：局部横向载荷*</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万能试验机/压力试验机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《预应力混凝土桥梁用塑料波纹管》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JT/T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529-2016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塑料波纹管：纵向载荷*</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万能试验机/压力试验机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《预应力混凝土桥梁用塑料波纹管》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JT/T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529-2016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塑料波纹管：柔韧性*</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弧形模板</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《预应力混凝土桥梁用塑料波纹管》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JT/T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529-2016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塞规</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塑料波纹管：抗冲击性能*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落锤冲击试验机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《热塑性塑料管材耐外冲击性能试验方法 时针旋转法》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14152-2001</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低温试验箱*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塑料波纹管：拉伸性能*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《热塑性塑料管材 拉伸性能测定 第3部分：聚烯烃管材》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8804.3-2003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变形测量仪器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16.11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塑料波纹管：拉拔力</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拉力计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《聚乙烯压力管材与管件连接的耐拉拔试验》</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15820-1995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16.12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塑料波纹管：密封性*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真空泵</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《预应力混凝土桥梁用塑料波纹管》</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JT/T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529-2016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塑料喇叭管（热塑套管）*</w:t>
            </w: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封头、管节接头</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17</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材料中有害物质*</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17.1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放射性*</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低本底多道γ</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能</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谱仪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《建筑材料放射性核素限量》GB 6566-2010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17.2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游离甲醛*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水性涂料：蒸馏装置、天平(万分之一)、分光光度计、水浴锅</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蒸馏-分光光度法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《水性涂料中甲醛含量的测定 乙酰丙酮分光光度法》GB/T 23993-2009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《建筑用墙面涂料中有害物质限量》GB 18582-2020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水性地坪涂料：蒸馏装置、天平(万分之一)、分光光度计、水浴锅</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《室内地坪涂料中有害物质限量》GB 38468-2019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《水性涂料中甲醛含量的测定 乙酰丙酮分光光度法》GB/T 23993-2009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水性处理剂：蒸馏装置、天平(万分之一)、分光光度计、水浴锅</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《水性涂料中甲醛含量的测定 乙酰丙酮分光光度法》GB/T 23993-2009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水性胶粘剂：蒸馏装置、天平(万分之一)、分光光度计、水浴锅</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-2014</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《室内装饰装修材料 胶粘剂中有害物质限量》GB 18583-2008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混凝土外加剂：蒸馏装置、天平(万分之一)、分光光度计、水浴锅</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《混凝土外加剂中残留甲醛的限量》GB 31040-2014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人造板及其制品</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环境测试舱、</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空气</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采样器、分光光度计</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水浴锅</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环境测试舱法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《民用建筑工程室内环境污染控制标准》GB50325-2020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《公共场所卫生检验方法 第2部分：化学污染物》GB/T 18204.2-2014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《室内装饰装修材料 人造板及其制品中甲醛释放限量》GB 18580-2017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《人造板及饰面人造板理化性能试验方法》GB/T 17657-2022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人造板及其制品：分光光度计、水浴锅、干燥器</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干燥器法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《民用建筑工程室内环境污染控制标准》GB</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50325</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《人造板及饰面人造板理化性能试验方法》GB/T 17657</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-2022</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室内装饰装修材料 木家具中有害物质限量</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GB 18584-2001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帷幕、软包、壁布：环境测试舱、空气采样器、分光光度计</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水浴锅</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环境测试舱法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《民用建筑工程室内环境污染控制标准》GB50325-2020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地毯、地毯衬垫：环境测试舱、空气采样器、分光光度计</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水浴锅</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环境测试舱法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《民用建筑工程室内环境污染控制标准》GB50325-2020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《室内装饰装修材料 地毯、地毯衬垫及地毯胶粘剂有害物质释放限量》GB 18587-2001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墙纸(布)：天平（万分之一）、分光光度计、水浴锅、</w:t>
            </w: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烘箱</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《室内装饰装修材料 壁纸中有害物质限量》GB 18585-2001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水性胶粘剂：高速离心机、高效液相色谱仪、天平（万分之一）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液相色谱法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17</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材料中有害物质*</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17.3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VOC*</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溶剂型装饰板涂料：烘箱、天平、比重瓶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《色漆和清漆 挥发性有机化合物(VOC)含量的测定 差值法》GB 23985-2009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《建筑用墙面涂料中有害物质限量》GB 18582-2020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溶剂型木器涂料和腻子(聚氨酯类、硝基类、醇酸类和各自对应腻子)：烘箱、天平、气相色谱仪(TCD)、比重瓶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《色漆和清漆 挥发性有机化合物(VOC)含量的测定 差值法》GB 23985-2009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《木器涂料中有害物质限量》GB 18581-2020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溶剂型木器涂料和腻子(不饱和聚氨酯类及其腻子)：金属平底皿、烘箱、天平(精度0.1mg)、比重瓶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《含有活性稀释剂的涂料中挥发性有机化合物(VOC)含量的测定》GB/T 34682-2017</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《木器涂料中有害物质限量》GB 18581-2020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溶剂型地坪涂料：烘箱、天平、比重瓶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《室内地坪涂料中有害物质限量》GB 38468-2019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酚醛防锈涂料、防水涂料、防火涂料及其他溶剂型涂料：烘箱、天平、卡尔费休水分测定仪</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气相色谱仪(TCD)、比重瓶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《色漆和清漆 挥发性有机化合物(VOC)含量的测定 差值法》GB 23985-2009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溶剂型胶粘剂：鼓风干燥箱、气相色谱仪(TCD)</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卡尔费休滴定仪、天平(精度0.1mg)、比重瓶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《胶粘剂挥发性有机化合物限量》GB 33372-2020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水性胶粘剂：气相色谱仪、气相色谱仪(MS)、密度测量装置、天平(万分之一)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气相色谱法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《胶粘剂挥发性有机化合物限量》(GB 33372)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本体型胶粘剂：鼓风干燥箱、天平</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《胶粘剂挥发性有机化合物限量》GB 33372-2020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水</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基型</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胶粘剂</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、溶剂型胶粘剂、本体型胶粘剂：</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鼓风干燥箱、气相色谱仪(TCD)</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卡尔费休滴定仪、天平</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精度0.1mg</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比重瓶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《室内装饰装修材料 胶粘剂中有害物质限量》GB 18583-2008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聚氯乙烯卷材地板：电热鼓风干燥箱、天平(万分之一)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《室内装饰装修材料 聚氯乙烯卷材地板中有害物质限量》GB 18586-2001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木塑制品地板、橡塑类铺地材料：电热鼓风干燥箱、天平(万分之一)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《室内装饰装修材料 聚氯乙烯卷材地板中有害物质限量》GB 18586-2001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地毯、地毯衬垫：环境测试舱、采样器、气相</w:t>
            </w: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色谱仪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《民用建筑工程室内环境污染控制标准》GB 50325-2020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《室内装饰装修材料 地毯、地毯衬垫及地毯胶粘剂有害物质释放限量》GB 18587-2001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壁纸胶、基膜的墙纸(布)胶粘剂：鼓风干燥箱、天平(万分之一)、比重瓶、气相色谱仪(TCD)</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卡尔费休滴定仪、气相色谱仪(MS)</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《胶粘剂挥发性有机化合物限量》GB 33372-2020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色漆、清漆：天平（万分之一）、气相色谱质谱联用仪</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、气相色谱仪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气相色谱法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《色漆和清漆 挥发性有机化合物(VOC)和/或半挥发性有机化合物(SVOC)含量的测定 第2部分：气相色谱法》GB/T 23986.2-2023（2024.6.1实施）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反应型防水涂料、溶剂型防水涂料：</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电热鼓风干燥箱、天平</w:t>
            </w: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(万分之一)</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比重瓶</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《建筑防水涂料中有害物质限量》JC 1066-2008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17.4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苯*</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溶剂型装饰板涂料：</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气相色谱法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《建筑用墙面涂料中有害物质限量》GB 18582-2020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溶剂型木器涂料和腻子、聚氨酯类涂料和腻子：</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《木器涂料中有害物质限量》GB 18581-2020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酚醛防锈涂料、防水涂料、防火涂料及其他溶剂型涂料：</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溶剂型地坪涂料：</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《室内地坪涂料中有害物质限量》GB 38468-2019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溶剂型胶粘剂、本体型胶粘剂：</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水基型、</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溶剂型胶粘剂、本体型胶粘剂</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《室内装饰装修材料 胶粘剂中有害物质限量》GB 18583-2008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水性防水涂料、反应型防水涂料、溶剂型防水涂料：</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《建筑防水涂料中有害物质限量》JC 1066-2008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17.5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甲苯*</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溶剂型装饰板涂料</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气相色谱法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《建筑用墙面涂料中有害物质限量》GB 18582-2020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溶剂型木器涂料和腻子、聚氨酯类涂料和腻子</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《木器涂料中有害物质限量》GB 18581-2020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酚醛防锈涂料、防水涂料、防火涂料及其他溶剂型涂料</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溶剂型地坪涂料</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《室内地坪涂料中有害物质限量》GB 38468-2019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溶剂型胶粘剂、本体型胶粘剂</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水基型、</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溶剂型胶粘剂、本体型胶粘剂</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p>
            <w:pPr>
              <w:pStyle w:val="2"/>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《室内装饰装修材料 胶粘剂中有害物质限量》GB 18583-2008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壁纸胶、基膜的墙纸(布)胶粘剂</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w:t>
            </w: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色谱仪、天平（万分之一）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水性防水涂料、反应型防水涂料、溶剂型防水涂料：</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《建筑防水涂料中有害物质限量》JC 1066-2008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17.6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eastAsia="zh-CN"/>
              </w:rPr>
              <w:t>二甲苯</w:t>
            </w:r>
            <w:r>
              <w:rPr>
                <w:rFonts w:hint="eastAsia" w:asciiTheme="minorEastAsia" w:hAnsiTheme="minorEastAsia" w:eastAsiaTheme="minorEastAsia" w:cstheme="minorEastAsia"/>
                <w:color w:val="000000"/>
                <w:kern w:val="0"/>
                <w:sz w:val="21"/>
                <w:szCs w:val="21"/>
                <w:highlight w:val="none"/>
              </w:rPr>
              <w:t>*</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溶剂型装饰板涂料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《建筑用墙面涂料中有害物质限量》GB 18582</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color w:val="000000"/>
                <w:sz w:val="21"/>
                <w:szCs w:val="21"/>
                <w:highlight w:val="none"/>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color w:val="000000"/>
                <w:sz w:val="21"/>
                <w:szCs w:val="21"/>
                <w:highlight w:val="none"/>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color w:val="000000"/>
                <w:sz w:val="21"/>
                <w:szCs w:val="21"/>
                <w:highlight w:val="none"/>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color w:val="000000"/>
                <w:sz w:val="21"/>
                <w:szCs w:val="21"/>
                <w:highlight w:val="none"/>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溶剂型木器涂料和腻子、聚氨酯类涂料和腻子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《木器涂料中有害物质限量》GB 18581</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kern w:val="0"/>
                <w:sz w:val="21"/>
                <w:szCs w:val="21"/>
                <w:highlight w:val="none"/>
                <w:lang w:bidi="ar"/>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kern w:val="0"/>
                <w:sz w:val="21"/>
                <w:szCs w:val="21"/>
                <w:highlight w:val="none"/>
                <w:lang w:bidi="ar"/>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酚醛防锈涂料、防水涂料、防火涂料及其他溶剂型涂料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kern w:val="0"/>
                <w:sz w:val="21"/>
                <w:szCs w:val="21"/>
                <w:highlight w:val="none"/>
                <w:lang w:bidi="ar"/>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kern w:val="0"/>
                <w:sz w:val="21"/>
                <w:szCs w:val="21"/>
                <w:highlight w:val="none"/>
                <w:lang w:bidi="ar"/>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溶剂型地坪涂料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《室内地坪涂料中有害物质限量》GB 38468</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kern w:val="0"/>
                <w:sz w:val="21"/>
                <w:szCs w:val="21"/>
                <w:highlight w:val="none"/>
                <w:lang w:bidi="ar"/>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kern w:val="0"/>
                <w:sz w:val="21"/>
                <w:szCs w:val="21"/>
                <w:highlight w:val="none"/>
                <w:lang w:bidi="ar"/>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溶剂型胶粘剂、本体型胶粘剂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kern w:val="0"/>
                <w:sz w:val="21"/>
                <w:szCs w:val="21"/>
                <w:highlight w:val="none"/>
                <w:lang w:bidi="ar"/>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kern w:val="0"/>
                <w:sz w:val="21"/>
                <w:szCs w:val="21"/>
                <w:highlight w:val="none"/>
                <w:lang w:bidi="ar"/>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壁纸胶、基膜的墙纸</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布</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胶粘剂</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17.</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乙苯*</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溶剂型装饰板涂料</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《建筑用墙面涂料中有害物质限量》GB 18582-2020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溶剂型木器涂料和腻子、聚氨酯类涂料和腻子</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《木器涂料中有害物质限量》GB 18581-2020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酚醛防锈涂料、防水涂料、防火涂料及其他溶剂型涂料</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《涂料中苯、甲苯、乙苯和二甲苯含量的测定 气相色谱法》GB/T 23990-2009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溶剂型地坪涂料</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《室内地坪涂料中有害物质限量》GB 38468-2019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溶剂型胶粘剂、本体型胶粘剂</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壁纸胶、基膜的墙纸(布)胶粘剂</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17.</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游离甲苯二异氰酸酯（TDI）*</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聚氨酯类涂料和木器用聚氨酯类腻子</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《木器涂料中有害物质限量》GB 18581-2020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《色漆和清漆用漆基 异氰酸酯树脂中二异氰酸酯单体的测定》GB/T 18446-2009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溶剂型胶粘剂、本体型胶粘剂</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《建筑胶粘剂有害物质限量》GB 30982-2014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溶剂型胶粘剂</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《室内装饰装修材料 胶粘剂中有害物质限量》GB 18583-2008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聚氨酯类防水涂料：</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气相色谱仪、天平</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（万分之一）</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《建筑防水涂料中有害物质限量》JC 1066-2008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17.</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氨*</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strike/>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混凝土外加剂：天平(万分之一)、蒸馏装置、碱式滴定管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《混凝土外加剂中释放氨的限量》GB 18588-2001</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《建筑防水涂料中有害物质限量》JC 1066-2008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能释放氨的阻燃剂、防火涂料：天平(万分之一)、蒸馏装置、碱式滴定管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《建筑防火涂料有害物质限量及检测方法》JG/T 415-2013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水性建筑防水涂料：天平(万分之一)、蒸馏装置、碱式滴定管</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pStyle w:val="2"/>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《建筑防水涂料中有害物质限量》JC 1066-2008</w:t>
            </w: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18</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建筑消能减震装置*</w:t>
            </w: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位移相关型阻尼器：屈服承载力*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18.2</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位移相关型阻尼器：弹性刚度*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18.3</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位移相关型阻尼器：设计承载力*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18.4</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位移相关型阻尼器：延性系数*</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18.5</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位移相关型阻尼器：滞回曲线面积*</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18.6</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位移相关型阻尼器：极限位移*</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18.7</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位移相关型阻尼器：极限承载力*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18.8</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速度相关型阻尼器：最大阻尼力*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18.9</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速度相关型阻尼器：阻尼力与速度相关规律*</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18.10</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速度相关型阻尼器：滞回曲线*</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18.11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速度相关型阻尼器：极限位移*</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微机控制电液伺服阻尼器试验系统</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《建筑消能减震技术规程》JGJ 297-2013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《建筑消能阻尼器》</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209-2012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19</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建筑隔震装置*</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叠层橡胶隔震支座：竖向压缩刚度*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叠层橡胶隔震支座：竖向变形性能*</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叠层橡胶隔震支座：竖向极限压应力*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19.4</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叠层橡胶隔震支座：当水平位移为支座内部橡胶直径 0.55倍状态时的极限压应力*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叠层橡胶隔震支座：竖向极限拉应力*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19.6</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叠层橡胶隔震支座：竖向拉伸刚度*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叠层橡胶隔震支座：侧向不均匀变形*</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直角尺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塞尺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19</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建筑隔震装置*</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叠层橡胶隔震支座：水平等效刚度*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19.9</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叠层橡胶隔震支座：屈服后水平刚度*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19.10</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叠层橡胶隔震支座：等效阻尼比*</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19.11</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叠层橡胶隔震支座：屈服力*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叠层橡胶隔震支座：水平极限变形能力*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(单剪试验机）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118-2018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第1部分: 隔震橡胶支座试验方法》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20688.1-2007</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《橡胶支座 第3部分：建筑隔震橡胶支座》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20688.3-2006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建筑摩擦摆隔震支座：竖向压缩变形*</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(压缩试验机）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37358-2019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建筑摩擦摆隔震支座：竖向承载力*</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(压缩试验机）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37358-2019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位移传感器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19.15</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建筑摩擦摆隔震支座：静摩擦系数*</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37358-2019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19.16</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建筑摩擦摆隔震支座：动摩擦系数*</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37358-2019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19.17</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建筑摩擦摆隔震支座：屈服后刚度*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37358-2019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19.18</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建筑摩擦摆隔震支座：极限剪切变形*</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微机控制电液伺服压剪试验机</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(单剪试验机）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《建筑摩擦摆隔震支座》</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37358-2019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20</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铝塑复合板*</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20.1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剥离强度*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《建筑幕墙用铝塑复合板》</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17748-2016</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《夹层结构滚筒剥离强度试验方法》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1457-2022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滚筒剥离装置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21</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木材料及构配件*</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21.1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含水率*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《人造板及饰面人造板理化性能试验方法》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17657-2022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鼓风干燥箱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干燥器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21.2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弹性模量*</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《人造板及饰面人造板理化性能试验方法》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17657-2022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静曲强度和弹性模量测定装置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千分尺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21.3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静曲强度*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《人造板及饰面人造板理化性能试验方法》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17657-2022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静曲强度和弹性模量测定装置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千分尺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21.4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钉抗弯强度*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等速运行试验机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《木结构工程施工质量验收规范》GB 50206-2012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圆柱型滚轴支座</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测量挠度的仪表</w:t>
            </w:r>
          </w:p>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22</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加固材料*</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抗拉强度*</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《树脂浇铸体性能试验方法》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2567-2021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22.2</w:t>
            </w:r>
          </w:p>
        </w:tc>
        <w:tc>
          <w:tcPr>
            <w:tcW w:w="927"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抗剪强度*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《建筑结构加固工程施工质量验收规范》GB 50550-2010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《胶粘剂 拉伸剪切强度的测定(刚性材料对刚性材料)》</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7124-2008</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《混凝土结构加固设计规范》GB 50367-2013</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《工程结构加固材料安全性鉴定技术规范》GB 50728-2011</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《干挂石材幕墙用环氧胶粘剂》JC 887-2001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正拉粘结强度*</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《纤维增强复合材料工程应用技术标准》GB 50608-2020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《建筑结构加固工程施工质量验收规范》GB 50550-2010</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《砌体结构加固设计规范》GB 50702-2011</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《纤维片材加固砌体结构技术规范》</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JGJ/T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381-2016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22.4</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抗拉强度标准值（纤维复合材）*</w:t>
            </w:r>
          </w:p>
        </w:tc>
        <w:tc>
          <w:tcPr>
            <w:tcW w:w="114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《定向纤维增强聚合物基复合材料拉伸性能试验方法》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3354-2014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22.5</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弹性模量（纤维复合材）*</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《定向纤维增强聚合物基复合材料拉伸性能试验方法》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3354-2014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22.6</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极限伸长率（纤维复合材）*</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《定向纤维增强聚合物基复合材料拉伸性能试验方法》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3354-2014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引伸计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22</w:t>
            </w:r>
          </w:p>
        </w:tc>
        <w:tc>
          <w:tcPr>
            <w:tcW w:w="338"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加固材料*</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22.7</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不挥发物含量(结构胶粘剂)*</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《工程结构加固材料安全性鉴定技术规范》GB 50728-2011</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《建筑结构加固工程施工质量验收规范》GB 50550-2010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温度计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恒温箱</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铝制称量盒</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耐温称量瓶</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玻璃干燥器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22.8</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耐湿热老化性能(结构胶粘剂)*</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恒温恒湿试验箱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《建筑结构加固工程施工质量验收规范》GB 50550-2010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vertAlign w:val="baseline"/>
                <w:lang w:val="en-US" w:eastAsia="zh-CN"/>
                <w14:textFill>
                  <w14:solidFill>
                    <w14:schemeClr w14:val="tx1"/>
                  </w14:solidFill>
                </w14:textFill>
              </w:rPr>
              <w:t>微机控制电子万能试验机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22.9</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单位面积质量（纤维织物）*</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通风干燥箱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《增强制品试验方法 第3部分：单位面积质量的测定》</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9914.3-2013</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《结构加固修复用碳纤维片材》</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21490-2008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干燥器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不锈钢钳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天平</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裁切工具</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钢直尺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试样皿</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22.10</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纤维体积含量（预成型板）*</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图像分析仪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《碳纤维增强塑料孔隙含量和纤维体积含量试验方法》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3365-2008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金相显微镜</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计数器</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求积仪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金相磨片及抛光设备</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22.11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K数（碳纤维织物）*</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往复移动式织物密度镜</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《建筑结构加固工程施工质量验收规范》(GB 50550-2010)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top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直尺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restart"/>
            <w:tcBorders>
              <w:top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23</w:t>
            </w:r>
          </w:p>
        </w:tc>
        <w:tc>
          <w:tcPr>
            <w:tcW w:w="338"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bidi="ar"/>
                <w14:textFill>
                  <w14:solidFill>
                    <w14:schemeClr w14:val="tx1"/>
                  </w14:solidFill>
                </w14:textFill>
              </w:rPr>
              <w:t>焊接材料*</w:t>
            </w: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23.1</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抗拉强度*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《金属材料焊缝破坏性试验 熔化焊接头焊缝金属纵向拉伸试验》</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2652-2022</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23.2</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屈服强度*</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《金属材料焊缝破坏性试验 熔化焊接头焊缝金属纵向拉伸试验》</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2652-2022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23.3</w:t>
            </w:r>
          </w:p>
        </w:tc>
        <w:tc>
          <w:tcPr>
            <w:tcW w:w="927" w:type="pct"/>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断后伸长率*</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万能试验机/拉力试验机</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金属材料焊缝破坏性试验 熔化焊接头焊缝金属纵向拉伸试验》</w:t>
            </w:r>
            <w:r>
              <w:rPr>
                <w:rFonts w:hint="eastAsia" w:asciiTheme="minorEastAsia" w:hAnsiTheme="minorEastAsia" w:eastAsiaTheme="minorEastAsia" w:cstheme="minorEastAsia"/>
                <w:b w:val="0"/>
                <w:bCs w:val="0"/>
                <w:color w:val="000000" w:themeColor="text1"/>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t xml:space="preserve"> 2652-2022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927" w:type="pct"/>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游标卡尺</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default"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23.4</w:t>
            </w:r>
          </w:p>
        </w:tc>
        <w:tc>
          <w:tcPr>
            <w:tcW w:w="506" w:type="pct"/>
            <w:vMerge w:val="restart"/>
            <w:tcBorders>
              <w:top w:val="single" w:color="000000" w:sz="8" w:space="0"/>
              <w:left w:val="single" w:color="000000" w:sz="8" w:space="0"/>
              <w:right w:val="single" w:color="auto" w:sz="4"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化学成分</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p>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restart"/>
            <w:tcBorders>
              <w:top w:val="single" w:color="000000" w:sz="8" w:space="0"/>
              <w:left w:val="single" w:color="auto" w:sz="4"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（C)*</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火花放电原子发射光谱仪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火花放电光谱法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highlight w:val="none"/>
              </w:rPr>
            </w:pPr>
            <w:r>
              <w:rPr>
                <w:rFonts w:hint="eastAsia"/>
                <w:highlight w:val="none"/>
              </w:rPr>
              <w:t>《碳素钢和中低合金钢多元素含量的测定火花放电原子发射光谱法（常规法）》</w:t>
            </w:r>
            <w:r>
              <w:rPr>
                <w:rFonts w:hint="eastAsia"/>
                <w:highlight w:val="none"/>
                <w:lang w:eastAsia="zh-CN"/>
              </w:rPr>
              <w:t>GB/T</w:t>
            </w:r>
            <w:r>
              <w:rPr>
                <w:rFonts w:hint="eastAsia"/>
                <w:highlight w:val="none"/>
              </w:rPr>
              <w:t xml:space="preserve"> 4336-2016</w:t>
            </w:r>
          </w:p>
          <w:p>
            <w:pPr>
              <w:pStyle w:val="2"/>
              <w:rPr>
                <w:rFonts w:hint="eastAsia"/>
                <w:highlight w:val="none"/>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《不锈钢 多元素含量的测定 火花放电原子发射光谱法（常规法）》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11170-2008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碳硫测定仪</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高频感应炉和红外碳硫分析仪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红外吸收光谱法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钢铁总碳硫含量的测定 高频感应炉燃烧后红外吸收法》（常规方法）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20123-2006</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 总碳含量的测定 感应炉燃烧后红外吸收法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223.86-2009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电子天平</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管式炉</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气体容量法</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 碳含量的测定 管式炉内燃烧后气体容量法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223.69-2008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定碳仪（气体体积测量仪）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电子天平</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管式炉</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重量法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钢铁及合金化学分析方法 管式炉内燃烧后重量法测定碳含量</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223.71-1997</w:t>
            </w:r>
          </w:p>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电子天平</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restart"/>
            <w:tcBorders>
              <w:top w:val="single" w:color="000000" w:sz="8" w:space="0"/>
              <w:left w:val="single" w:color="auto" w:sz="4"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（S)*</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火花放电原子发射光谱仪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火花放电光谱法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《碳素钢和中低合金钢多元素含量的测定火花放电原子发射光谱法（常规法）》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4336-2016</w:t>
            </w:r>
          </w:p>
          <w:p>
            <w:pPr>
              <w:pStyle w:val="2"/>
              <w:rPr>
                <w:rFonts w:hint="eastAsia" w:asciiTheme="minorEastAsia" w:hAnsiTheme="minorEastAsia" w:eastAsiaTheme="minorEastAsia" w:cstheme="minorEastAsia"/>
                <w:b w:val="0"/>
                <w:bCs w:val="0"/>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《不锈钢 多元素含量的测定 火花放电原子发射光谱法（常规法）》</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GB/T</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 xml:space="preserve"> 11170-2008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碳硫测定仪</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高频感应炉和红外碳硫分析仪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红外吸收光谱法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钢铁总碳硫含量的测定 高频感应炉燃烧后红外吸收法》（常规方法）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20123-2006</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 高硫含量的测定 感应炉燃烧后红外吸收法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223.83-2009</w:t>
            </w:r>
          </w:p>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 硫含量的测定 感应炉燃烧后红外吸收法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223.85-2009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还原蒸馏装置</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分光光度法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 硫含量的测定 次甲基蓝分光光度法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223.67-2008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分光光度计</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管式炉</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滴定法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钢铁及合金化学分析方法 管式炉内燃烧后碘酸钾滴定法测定硫含量</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223.68-1997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天平（万分之一）</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重量法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 硫含量的测定 重量法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223.72-2008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色层分离装置</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砂轮切割机（切割设备）</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X-射线荧光光谱法</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 多元素含量的测定 X-射线荧光光谱法（常规法）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223.79-2007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砂轮机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砂带研磨机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磨床</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铣床</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车床（抛光设备）</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X-射线荧光光谱仪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restart"/>
            <w:tcBorders>
              <w:top w:val="single" w:color="000000" w:sz="8" w:space="0"/>
              <w:left w:val="single" w:color="auto" w:sz="4"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（P)*</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火花放电原子发射光谱仪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火花放电光谱法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《碳素钢和中低合金钢多元素含量的测定火花放电原子发射光谱法（常规法）》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4336-2016</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《不锈钢 多元素含量的测定 火花放电原子发射光谱法（常规法）》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11170-2008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电感耦合等离子体原子发射光谱仪</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电感耦合等离子体发射光谱法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《低合金钢多元素的测定 电感耦合等离子体发射光谱法》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20125-2006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电热鼓风干燥箱</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重量法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钢铁及合金化学分析方法 二安替比林甲烷磷钼酸重量法测定磷量</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223.3-1988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分光光度计</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分光光度法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 磷含量的测定 铋磷钼蓝分光光度法和锑磷钼蓝分光光度法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223.59-2008</w:t>
            </w:r>
          </w:p>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钢铁及合金化学分析方法 乙酸丁酯萃取光度法测定磷量</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223.62-1988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容量法</w:t>
            </w:r>
          </w:p>
        </w:tc>
        <w:tc>
          <w:tcPr>
            <w:tcW w:w="1391" w:type="pct"/>
            <w:vMerge w:val="restart"/>
            <w:tcBorders>
              <w:top w:val="single" w:color="000000" w:sz="8" w:space="0"/>
              <w:left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钢铁及合金化学分析方法 磷钼酸铵容量法测定磷量</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223.61-1988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auto" w:sz="4"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滴定管</w:t>
            </w:r>
          </w:p>
        </w:tc>
        <w:tc>
          <w:tcPr>
            <w:tcW w:w="632" w:type="pct"/>
            <w:vMerge w:val="continue"/>
            <w:tcBorders>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vMerge w:val="continue"/>
            <w:tcBorders>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砂轮切割机（切割设备）</w:t>
            </w:r>
          </w:p>
        </w:tc>
        <w:tc>
          <w:tcPr>
            <w:tcW w:w="63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X-射线荧光光谱法</w:t>
            </w:r>
          </w:p>
        </w:tc>
        <w:tc>
          <w:tcPr>
            <w:tcW w:w="1391" w:type="pct"/>
            <w:vMerge w:val="restart"/>
            <w:tcBorders>
              <w:top w:val="single" w:color="000000" w:sz="8" w:space="0"/>
              <w:left w:val="single" w:color="000000" w:sz="8" w:space="0"/>
              <w:bottom w:val="single" w:color="000000" w:sz="8" w:space="0"/>
              <w:tl2br w:val="nil"/>
              <w:tr2bl w:val="nil"/>
            </w:tcBorders>
            <w:shd w:val="clear" w:color="auto" w:fill="FFFFFF"/>
            <w:vAlign w:val="center"/>
          </w:tcPr>
          <w:p>
            <w:pPr>
              <w:widowControl/>
              <w:jc w:val="left"/>
              <w:textAlignment w:val="cente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 多元素含量的测定 X-射线荧光光谱法（常规法）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223.79-2007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砂轮机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砂带研磨机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磨床</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铣床</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车床（抛光设备）</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continue"/>
            <w:tcBorders>
              <w:left w:val="single" w:color="auto" w:sz="4"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X-射线荧光光谱仪</w:t>
            </w:r>
          </w:p>
        </w:tc>
        <w:tc>
          <w:tcPr>
            <w:tcW w:w="63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1391" w:type="pct"/>
            <w:vMerge w:val="continue"/>
            <w:tcBorders>
              <w:top w:val="single" w:color="000000" w:sz="8" w:space="0"/>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restart"/>
            <w:tcBorders>
              <w:top w:val="single" w:color="000000" w:sz="8" w:space="0"/>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Mn</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w:t>
            </w: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火花放电原子发射光谱仪</w:t>
            </w:r>
          </w:p>
        </w:tc>
        <w:tc>
          <w:tcPr>
            <w:tcW w:w="632"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火花放电光谱法</w:t>
            </w:r>
          </w:p>
        </w:tc>
        <w:tc>
          <w:tcPr>
            <w:tcW w:w="1391" w:type="pct"/>
            <w:tcBorders>
              <w:top w:val="single" w:color="000000" w:sz="8" w:space="0"/>
              <w:left w:val="single" w:color="000000" w:sz="8" w:space="0"/>
              <w:bottom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《碳素钢和中低合金钢多元素含量的测定火花放电原子发射光谱法（常规法）》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4336-2016</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《不锈钢 多元素含量的测定 火花放电原子发射光谱法（常规法）》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11170-2008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highlight w:val="none"/>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highlight w:val="none"/>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highlight w:val="none"/>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highlight w:val="none"/>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highlight w:val="none"/>
              </w:rPr>
            </w:pPr>
          </w:p>
        </w:tc>
        <w:tc>
          <w:tcPr>
            <w:tcW w:w="1144" w:type="pct"/>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原子</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吸收光谱法</w:t>
            </w:r>
          </w:p>
        </w:tc>
        <w:tc>
          <w:tcPr>
            <w:tcW w:w="1391" w:type="pct"/>
            <w:vMerge w:val="restart"/>
            <w:tcBorders>
              <w:top w:val="single" w:color="000000" w:sz="8" w:space="0"/>
              <w:left w:val="single" w:color="000000" w:sz="8" w:space="0"/>
              <w:tl2br w:val="nil"/>
              <w:tr2bl w:val="nil"/>
            </w:tcBorders>
            <w:shd w:val="clear" w:color="auto" w:fill="FFFFFF"/>
            <w:vAlign w:val="center"/>
          </w:tcPr>
          <w:p>
            <w:pPr>
              <w:pStyle w:val="13"/>
              <w:kinsoku w:val="0"/>
              <w:overflowPunct w:val="0"/>
              <w:spacing w:beforeLines="0" w:afterLines="0"/>
              <w:jc w:val="center"/>
              <w:rPr>
                <w:rFonts w:hint="default" w:eastAsia="宋体" w:asciiTheme="minorEastAsia" w:hAnsiTheme="minorEastAsia" w:cstheme="minorEastAsia"/>
                <w:b w:val="0"/>
                <w:bCs w:val="0"/>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olor w:val="000000" w:themeColor="text1"/>
                <w:kern w:val="0"/>
                <w:sz w:val="21"/>
                <w:szCs w:val="21"/>
                <w:highlight w:val="none"/>
                <w:lang w:val="en-US" w:eastAsia="zh-CN" w:bidi="ar"/>
                <w14:textFill>
                  <w14:solidFill>
                    <w14:schemeClr w14:val="tx1"/>
                  </w14:solidFill>
                </w14:textFill>
              </w:rPr>
              <w:t>《钢铁及合金锰含量的测定  火焰原子吸收光谱法》</w:t>
            </w:r>
            <w:r>
              <w:rPr>
                <w:rFonts w:hint="default" w:asciiTheme="minorEastAsia" w:hAnsiTheme="minorEastAsia" w:eastAsiaTheme="minorEastAsia" w:cstheme="minorEastAsia"/>
                <w:b w:val="0"/>
                <w:bCs w:val="0"/>
                <w:i w:val="0"/>
                <w:color w:val="000000" w:themeColor="text1"/>
                <w:kern w:val="0"/>
                <w:sz w:val="21"/>
                <w:szCs w:val="21"/>
                <w:highlight w:val="none"/>
                <w:lang w:val="en-US" w:eastAsia="zh-CN" w:bidi="ar"/>
                <w14:textFill>
                  <w14:solidFill>
                    <w14:schemeClr w14:val="tx1"/>
                  </w14:solidFill>
                </w14:textFill>
              </w:rPr>
              <w:t>GB/T 223</w:t>
            </w:r>
            <w:r>
              <w:rPr>
                <w:rFonts w:hint="eastAsia" w:asciiTheme="minorEastAsia" w:hAnsiTheme="minorEastAsia" w:eastAsiaTheme="minorEastAsia" w:cstheme="minorEastAsia"/>
                <w:b w:val="0"/>
                <w:bCs w:val="0"/>
                <w:i w:val="0"/>
                <w:color w:val="000000" w:themeColor="text1"/>
                <w:kern w:val="0"/>
                <w:sz w:val="21"/>
                <w:szCs w:val="21"/>
                <w:highlight w:val="none"/>
                <w:lang w:val="en-US" w:eastAsia="zh-CN" w:bidi="ar"/>
                <w14:textFill>
                  <w14:solidFill>
                    <w14:schemeClr w14:val="tx1"/>
                  </w14:solidFill>
                </w14:textFill>
              </w:rPr>
              <w:t>.</w:t>
            </w:r>
            <w:r>
              <w:rPr>
                <w:rFonts w:hint="default" w:asciiTheme="minorEastAsia" w:hAnsiTheme="minorEastAsia" w:eastAsiaTheme="minorEastAsia" w:cstheme="minorEastAsia"/>
                <w:b w:val="0"/>
                <w:bCs w:val="0"/>
                <w:i w:val="0"/>
                <w:color w:val="000000" w:themeColor="text1"/>
                <w:kern w:val="0"/>
                <w:sz w:val="21"/>
                <w:szCs w:val="21"/>
                <w:highlight w:val="none"/>
                <w:lang w:val="en-US" w:eastAsia="zh-CN" w:bidi="ar"/>
                <w14:textFill>
                  <w14:solidFill>
                    <w14:schemeClr w14:val="tx1"/>
                  </w14:solidFill>
                </w14:textFill>
              </w:rPr>
              <w:t>64</w:t>
            </w:r>
            <w:r>
              <w:rPr>
                <w:rFonts w:hint="eastAsia" w:asciiTheme="minorEastAsia" w:hAnsiTheme="minorEastAsia" w:eastAsiaTheme="minorEastAsia" w:cstheme="minorEastAsia"/>
                <w:b w:val="0"/>
                <w:bCs w:val="0"/>
                <w:i w:val="0"/>
                <w:color w:val="000000" w:themeColor="text1"/>
                <w:kern w:val="0"/>
                <w:sz w:val="21"/>
                <w:szCs w:val="21"/>
                <w:highlight w:val="none"/>
                <w:lang w:val="en-US" w:eastAsia="zh-CN" w:bidi="ar"/>
                <w14:textFill>
                  <w14:solidFill>
                    <w14:schemeClr w14:val="tx1"/>
                  </w14:solidFill>
                </w14:textFill>
              </w:rPr>
              <w:t>-2018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highlight w:val="none"/>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highlight w:val="none"/>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highlight w:val="none"/>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highlight w:val="none"/>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highlight w:val="none"/>
              </w:rPr>
            </w:pPr>
          </w:p>
        </w:tc>
        <w:tc>
          <w:tcPr>
            <w:tcW w:w="1144" w:type="pct"/>
            <w:tcBorders>
              <w:top w:val="single" w:color="auto" w:sz="4"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原子吸收光谱仪</w:t>
            </w:r>
          </w:p>
        </w:tc>
        <w:tc>
          <w:tcPr>
            <w:tcW w:w="632" w:type="pct"/>
            <w:vMerge w:val="continue"/>
            <w:tcBorders>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pPr>
          </w:p>
        </w:tc>
        <w:tc>
          <w:tcPr>
            <w:tcW w:w="1391" w:type="pct"/>
            <w:vMerge w:val="continue"/>
            <w:tcBorders>
              <w:left w:val="single" w:color="000000" w:sz="8" w:space="0"/>
              <w:bottom w:val="single" w:color="000000" w:sz="8" w:space="0"/>
              <w:tl2br w:val="nil"/>
              <w:tr2bl w:val="nil"/>
            </w:tcBorders>
            <w:shd w:val="clear" w:color="auto" w:fill="FFFFFF"/>
            <w:vAlign w:val="center"/>
          </w:tcPr>
          <w:p>
            <w:pPr>
              <w:pStyle w:val="13"/>
              <w:kinsoku w:val="0"/>
              <w:overflowPunct w:val="0"/>
              <w:spacing w:beforeLines="0" w:afterLines="0"/>
              <w:jc w:val="center"/>
              <w:rPr>
                <w:rFonts w:hint="eastAsia" w:asciiTheme="minorEastAsia" w:hAnsiTheme="minorEastAsia" w:eastAsiaTheme="minorEastAsia" w:cstheme="minorEastAsia"/>
                <w:b w:val="0"/>
                <w:bCs w:val="0"/>
                <w:i w:val="0"/>
                <w:color w:val="000000" w:themeColor="text1"/>
                <w:kern w:val="0"/>
                <w:sz w:val="21"/>
                <w:szCs w:val="21"/>
                <w:highlight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分光光度法</w:t>
            </w:r>
          </w:p>
        </w:tc>
        <w:tc>
          <w:tcPr>
            <w:tcW w:w="1391" w:type="pct"/>
            <w:vMerge w:val="restart"/>
            <w:tcBorders>
              <w:top w:val="single" w:color="000000" w:sz="8" w:space="0"/>
              <w:left w:val="single" w:color="000000" w:sz="8" w:space="0"/>
              <w:tl2br w:val="nil"/>
              <w:tr2bl w:val="nil"/>
            </w:tcBorders>
            <w:shd w:val="clear" w:color="auto" w:fill="FFFFFF"/>
            <w:vAlign w:val="center"/>
          </w:tcPr>
          <w:p>
            <w:pPr>
              <w:jc w:val="center"/>
              <w:rPr>
                <w:rFonts w:hint="default" w:asciiTheme="minorEastAsia" w:hAnsiTheme="minorEastAsia" w:eastAsiaTheme="minorEastAsia" w:cstheme="minorEastAsia"/>
                <w:b w:val="0"/>
                <w:bCs w:val="0"/>
                <w:color w:val="000000" w:themeColor="text1"/>
                <w:kern w:val="0"/>
                <w:sz w:val="21"/>
                <w:szCs w:val="21"/>
                <w:highlight w:val="none"/>
                <w:lang w:val="en-US"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钢铁及合金锰含量的测定</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高碘酸钠(钾)分光光度法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T</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223.63-2022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auto" w:sz="4"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分光光度计</w:t>
            </w:r>
          </w:p>
        </w:tc>
        <w:tc>
          <w:tcPr>
            <w:tcW w:w="632" w:type="pct"/>
            <w:vMerge w:val="continue"/>
            <w:tcBorders>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vMerge w:val="continue"/>
            <w:tcBorders>
              <w:left w:val="single" w:color="000000" w:sz="8" w:space="0"/>
              <w:bottom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滴定法</w:t>
            </w:r>
          </w:p>
        </w:tc>
        <w:tc>
          <w:tcPr>
            <w:tcW w:w="1391" w:type="pct"/>
            <w:vMerge w:val="restart"/>
            <w:tcBorders>
              <w:top w:val="single" w:color="000000" w:sz="8" w:space="0"/>
              <w:left w:val="single" w:color="000000" w:sz="8" w:space="0"/>
              <w:tl2br w:val="nil"/>
              <w:tr2bl w:val="nil"/>
            </w:tcBorders>
            <w:shd w:val="clear" w:color="auto" w:fill="FFFFFF"/>
            <w:vAlign w:val="center"/>
          </w:tcPr>
          <w:p>
            <w:pPr>
              <w:pStyle w:val="5"/>
              <w:keepNext w:val="0"/>
              <w:keepLines w:val="0"/>
              <w:widowControl/>
              <w:suppressLineNumbers w:val="0"/>
              <w:shd w:val="clear" w:fill="FFFFFF"/>
              <w:ind w:left="0" w:firstLine="0"/>
              <w:jc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default"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铁及合金化学分析方法 </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 xml:space="preserve"> </w:t>
            </w:r>
            <w:r>
              <w:rPr>
                <w:rFonts w:hint="default"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亚砷酸钠-亚硝酸钠滴定法测定锰量</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》GB 223.58-1987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auto" w:sz="4"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酸式滴定管</w:t>
            </w:r>
          </w:p>
        </w:tc>
        <w:tc>
          <w:tcPr>
            <w:tcW w:w="632" w:type="pct"/>
            <w:vMerge w:val="continue"/>
            <w:tcBorders>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vMerge w:val="continue"/>
            <w:tcBorders>
              <w:left w:val="single" w:color="000000" w:sz="8" w:space="0"/>
              <w:bottom w:val="single" w:color="000000" w:sz="8" w:space="0"/>
              <w:tl2br w:val="nil"/>
              <w:tr2bl w:val="nil"/>
            </w:tcBorders>
            <w:shd w:val="clear" w:color="auto" w:fill="FFFFFF"/>
            <w:vAlign w:val="center"/>
          </w:tcPr>
          <w:p>
            <w:pPr>
              <w:pStyle w:val="5"/>
              <w:keepNext w:val="0"/>
              <w:keepLines w:val="0"/>
              <w:widowControl/>
              <w:suppressLineNumbers w:val="0"/>
              <w:shd w:val="clear" w:fill="FFFFFF"/>
              <w:ind w:left="0" w:firstLine="0"/>
              <w:jc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砂轮切割机（切割设备）</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X-射线荧光光谱法</w:t>
            </w:r>
          </w:p>
        </w:tc>
        <w:tc>
          <w:tcPr>
            <w:tcW w:w="1391" w:type="pct"/>
            <w:vMerge w:val="restart"/>
            <w:tcBorders>
              <w:top w:val="single" w:color="000000" w:sz="8" w:space="0"/>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 多元素含量的测定 X-射线荧光光谱法（常规法）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223.79-2007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highlight w:val="none"/>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highlight w:val="none"/>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highlight w:val="none"/>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highlight w:val="none"/>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highlight w:val="none"/>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砂轮机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砂带研磨机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磨床</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铣床</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车床（抛光设备）</w:t>
            </w:r>
          </w:p>
        </w:tc>
        <w:tc>
          <w:tcPr>
            <w:tcW w:w="632"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default" w:asciiTheme="minorEastAsia" w:hAnsiTheme="minorEastAsia" w:eastAsiaTheme="minorEastAsia" w:cstheme="minorEastAsia"/>
                <w:b w:val="0"/>
                <w:bCs w:val="0"/>
                <w:color w:val="000000" w:themeColor="text1"/>
                <w:kern w:val="0"/>
                <w:sz w:val="21"/>
                <w:szCs w:val="21"/>
                <w:highlight w:val="none"/>
                <w:lang w:val="en-US" w:bidi="ar"/>
                <w14:textFill>
                  <w14:solidFill>
                    <w14:schemeClr w14:val="tx1"/>
                  </w14:solidFill>
                </w14:textFill>
              </w:rPr>
            </w:pPr>
            <w:r>
              <w:rPr>
                <w:rFonts w:hint="default" w:asciiTheme="minorEastAsia" w:hAnsiTheme="minorEastAsia" w:eastAsiaTheme="minorEastAsia" w:cstheme="minorEastAsia"/>
                <w:b w:val="0"/>
                <w:bCs w:val="0"/>
                <w:color w:val="000000" w:themeColor="text1"/>
                <w:kern w:val="0"/>
                <w:sz w:val="21"/>
                <w:szCs w:val="21"/>
                <w:highlight w:val="none"/>
                <w:lang w:val="en-US" w:bidi="ar"/>
                <w14:textFill>
                  <w14:solidFill>
                    <w14:schemeClr w14:val="tx1"/>
                  </w14:solidFill>
                </w14:textFill>
              </w:rPr>
              <w:t>X-射线荧光光谱仪</w:t>
            </w:r>
          </w:p>
        </w:tc>
        <w:tc>
          <w:tcPr>
            <w:tcW w:w="632" w:type="pct"/>
            <w:vMerge w:val="continue"/>
            <w:tcBorders>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left w:val="single" w:color="000000" w:sz="8" w:space="0"/>
              <w:bottom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电感耦合等离子体原子发射光谱仪</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电感耦合等离子体发射光谱法</w:t>
            </w:r>
          </w:p>
        </w:tc>
        <w:tc>
          <w:tcPr>
            <w:tcW w:w="1391" w:type="pct"/>
            <w:vMerge w:val="restart"/>
            <w:tcBorders>
              <w:top w:val="single" w:color="000000" w:sz="8" w:space="0"/>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《低合金钢多元素的测定 电感耦合等离子体发射光谱法》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20125-2006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auto" w:sz="4" w:space="0"/>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continue"/>
            <w:tcBorders>
              <w:left w:val="single" w:color="000000" w:sz="8" w:space="0"/>
              <w:bottom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vMerge w:val="continue"/>
            <w:tcBorders>
              <w:left w:val="single" w:color="000000" w:sz="8" w:space="0"/>
              <w:bottom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270" w:type="pct"/>
            <w:vMerge w:val="continue"/>
            <w:tcBorders>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tc>
        <w:tc>
          <w:tcPr>
            <w:tcW w:w="421" w:type="pct"/>
            <w:vMerge w:val="restart"/>
            <w:tcBorders>
              <w:top w:val="single" w:color="000000" w:sz="8" w:space="0"/>
              <w:left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Si</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w:t>
            </w:r>
          </w:p>
        </w:tc>
        <w:tc>
          <w:tcPr>
            <w:tcW w:w="1144" w:type="pc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火花放电原子发射光谱仪</w:t>
            </w:r>
          </w:p>
        </w:tc>
        <w:tc>
          <w:tcPr>
            <w:tcW w:w="632" w:type="pc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火花放电光谱法</w:t>
            </w:r>
          </w:p>
        </w:tc>
        <w:tc>
          <w:tcPr>
            <w:tcW w:w="1391" w:type="pct"/>
            <w:tcBorders>
              <w:top w:val="single" w:color="000000" w:sz="8" w:space="0"/>
              <w:lef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《碳素钢和中低合金钢多元素含量的测定火花放电原子发射光谱法（常规法）》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4336-2016</w:t>
            </w:r>
          </w:p>
          <w:p>
            <w:pPr>
              <w:widowControl/>
              <w:jc w:val="center"/>
              <w:textAlignment w:val="cente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《不锈钢 多元素含量的测定 火花放电原子发射光谱法（常规法）》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11170-2008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分光光度法</w:t>
            </w:r>
          </w:p>
        </w:tc>
        <w:tc>
          <w:tcPr>
            <w:tcW w:w="1391" w:type="pct"/>
            <w:vMerge w:val="restart"/>
            <w:tcBorders>
              <w:top w:val="single" w:color="000000" w:sz="8" w:space="0"/>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《钢铁 酸溶硅和全硅含量的测定 还原型硅钼酸盐分光光度法》GB/T 223.5-2008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auto" w:sz="4"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分光光度计</w:t>
            </w:r>
          </w:p>
        </w:tc>
        <w:tc>
          <w:tcPr>
            <w:tcW w:w="632" w:type="pct"/>
            <w:vMerge w:val="continue"/>
            <w:tcBorders>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vMerge w:val="continue"/>
            <w:tcBorders>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t>重量</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法</w:t>
            </w:r>
          </w:p>
        </w:tc>
        <w:tc>
          <w:tcPr>
            <w:tcW w:w="1391" w:type="pct"/>
            <w:vMerge w:val="restart"/>
            <w:tcBorders>
              <w:top w:val="single" w:color="000000" w:sz="8" w:space="0"/>
              <w:left w:val="single" w:color="000000" w:sz="8" w:space="0"/>
              <w:tl2br w:val="nil"/>
              <w:tr2bl w:val="nil"/>
            </w:tcBorders>
            <w:shd w:val="clear" w:color="auto" w:fill="FFFFFF"/>
            <w:vAlign w:val="center"/>
          </w:tcPr>
          <w:p>
            <w:pPr>
              <w:pStyle w:val="5"/>
              <w:keepNext w:val="0"/>
              <w:keepLines w:val="0"/>
              <w:widowControl/>
              <w:suppressLineNumbers w:val="0"/>
              <w:shd w:val="clear" w:fill="FFFFFF"/>
              <w:ind w:left="0" w:firstLine="0"/>
              <w:jc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w:t>
            </w:r>
            <w:r>
              <w:rPr>
                <w:rFonts w:hint="default"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钢铁及合金 硅含量的测定 重量法</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》GB/T 223.60-2024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auto" w:sz="4" w:space="0"/>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高温炉</w:t>
            </w:r>
          </w:p>
        </w:tc>
        <w:tc>
          <w:tcPr>
            <w:tcW w:w="632" w:type="pct"/>
            <w:vMerge w:val="continue"/>
            <w:tcBorders>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eastAsia="zh-CN"/>
                <w14:textFill>
                  <w14:solidFill>
                    <w14:schemeClr w14:val="tx1"/>
                  </w14:solidFill>
                </w14:textFill>
              </w:rPr>
            </w:pPr>
          </w:p>
        </w:tc>
        <w:tc>
          <w:tcPr>
            <w:tcW w:w="1391" w:type="pct"/>
            <w:vMerge w:val="continue"/>
            <w:tcBorders>
              <w:left w:val="single" w:color="000000" w:sz="8" w:space="0"/>
              <w:tl2br w:val="nil"/>
              <w:tr2bl w:val="nil"/>
            </w:tcBorders>
            <w:shd w:val="clear" w:color="auto" w:fill="FFFFFF"/>
            <w:vAlign w:val="center"/>
          </w:tcPr>
          <w:p>
            <w:pPr>
              <w:pStyle w:val="5"/>
              <w:keepNext w:val="0"/>
              <w:keepLines w:val="0"/>
              <w:widowControl/>
              <w:suppressLineNumbers w:val="0"/>
              <w:shd w:val="clear" w:fill="FFFFFF"/>
              <w:ind w:left="0" w:firstLine="0"/>
              <w:jc w:val="cente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砂轮切割机（切割设备）</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X-射线荧光光谱法</w:t>
            </w:r>
          </w:p>
        </w:tc>
        <w:tc>
          <w:tcPr>
            <w:tcW w:w="1391" w:type="pct"/>
            <w:vMerge w:val="restart"/>
            <w:tcBorders>
              <w:top w:val="single" w:color="000000" w:sz="8" w:space="0"/>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钢铁 多元素含量的测定 X-射线荧光光谱法（常规法）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223.79-2007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highlight w:val="none"/>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highlight w:val="none"/>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highlight w:val="none"/>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highlight w:val="none"/>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highlight w:val="none"/>
              </w:rPr>
            </w:pPr>
          </w:p>
        </w:tc>
        <w:tc>
          <w:tcPr>
            <w:tcW w:w="1144" w:type="pc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砂轮机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砂带研磨机</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磨床</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铣床</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车床（抛光设备）</w:t>
            </w:r>
          </w:p>
        </w:tc>
        <w:tc>
          <w:tcPr>
            <w:tcW w:w="632"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default" w:asciiTheme="minorEastAsia" w:hAnsiTheme="minorEastAsia" w:eastAsiaTheme="minorEastAsia" w:cstheme="minorEastAsia"/>
                <w:b w:val="0"/>
                <w:bCs w:val="0"/>
                <w:color w:val="000000" w:themeColor="text1"/>
                <w:kern w:val="0"/>
                <w:sz w:val="21"/>
                <w:szCs w:val="21"/>
                <w:highlight w:val="none"/>
                <w:lang w:val="en-US" w:bidi="ar"/>
                <w14:textFill>
                  <w14:solidFill>
                    <w14:schemeClr w14:val="tx1"/>
                  </w14:solidFill>
                </w14:textFill>
              </w:rPr>
              <w:t>X-射线荧光光谱仪</w:t>
            </w:r>
          </w:p>
        </w:tc>
        <w:tc>
          <w:tcPr>
            <w:tcW w:w="632" w:type="pct"/>
            <w:vMerge w:val="continue"/>
            <w:tcBorders>
              <w:left w:val="single" w:color="000000" w:sz="8" w:space="0"/>
              <w:righ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391" w:type="pct"/>
            <w:vMerge w:val="continue"/>
            <w:tcBorders>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000000" w:sz="8" w:space="0"/>
              <w:left w:val="single" w:color="000000" w:sz="8" w:space="0"/>
              <w:bottom w:val="single" w:color="auto" w:sz="4"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电感耦合等离子体原子发射光谱仪</w:t>
            </w:r>
          </w:p>
        </w:tc>
        <w:tc>
          <w:tcPr>
            <w:tcW w:w="632" w:type="pct"/>
            <w:vMerge w:val="restart"/>
            <w:tcBorders>
              <w:top w:val="single" w:color="000000" w:sz="8"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电感耦合等离子体发射光谱法</w:t>
            </w:r>
          </w:p>
        </w:tc>
        <w:tc>
          <w:tcPr>
            <w:tcW w:w="1391" w:type="pct"/>
            <w:vMerge w:val="restart"/>
            <w:tcBorders>
              <w:top w:val="single" w:color="000000" w:sz="8" w:space="0"/>
              <w:left w:val="single" w:color="000000" w:sz="8" w:space="0"/>
              <w:tl2br w:val="nil"/>
              <w:tr2bl w:val="nil"/>
            </w:tcBorders>
            <w:shd w:val="clear" w:color="auto" w:fill="FFFFFF"/>
            <w:vAlign w:val="center"/>
          </w:tcPr>
          <w:p>
            <w:pPr>
              <w:jc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《低合金钢多元素的测定 电感耦合等离子体发射光谱法》</w:t>
            </w:r>
            <w:r>
              <w:rPr>
                <w:rFonts w:hint="eastAsia" w:asciiTheme="minorEastAsia" w:hAnsiTheme="minorEastAsia" w:eastAsiaTheme="minorEastAsia" w:cstheme="minorEastAsia"/>
                <w:b w:val="0"/>
                <w:bCs w:val="0"/>
                <w:color w:val="000000" w:themeColor="text1"/>
                <w:kern w:val="0"/>
                <w:sz w:val="21"/>
                <w:szCs w:val="21"/>
                <w:highlight w:val="none"/>
                <w:lang w:eastAsia="zh-CN" w:bidi="ar"/>
                <w14:textFill>
                  <w14:solidFill>
                    <w14:schemeClr w14:val="tx1"/>
                  </w14:solidFill>
                </w14:textFill>
              </w:rPr>
              <w:t>GB/T</w:t>
            </w:r>
            <w: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t xml:space="preserve"> 20125-2006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70" w:type="pct"/>
            <w:vMerge w:val="continue"/>
            <w:tcBorders>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338"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294" w:type="pct"/>
            <w:vMerge w:val="continue"/>
            <w:tcBorders>
              <w:left w:val="single" w:color="000000" w:sz="8"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506" w:type="pct"/>
            <w:vMerge w:val="continue"/>
            <w:tcBorders>
              <w:left w:val="single" w:color="000000" w:sz="8" w:space="0"/>
              <w:right w:val="single" w:color="auto" w:sz="4"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421" w:type="pct"/>
            <w:vMerge w:val="continue"/>
            <w:tcBorders>
              <w:left w:val="single" w:color="auto" w:sz="4" w:space="0"/>
              <w:righ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c>
          <w:tcPr>
            <w:tcW w:w="1144" w:type="pct"/>
            <w:tcBorders>
              <w:top w:val="single" w:color="auto" w:sz="4" w:space="0"/>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天平（万分之一）</w:t>
            </w:r>
          </w:p>
        </w:tc>
        <w:tc>
          <w:tcPr>
            <w:tcW w:w="632" w:type="pct"/>
            <w:vMerge w:val="continue"/>
            <w:tcBorders>
              <w:left w:val="single" w:color="000000" w:sz="8" w:space="0"/>
              <w:right w:val="single" w:color="000000" w:sz="8" w:space="0"/>
              <w:tl2br w:val="nil"/>
              <w:tr2bl w:val="nil"/>
            </w:tcBorders>
            <w:shd w:val="clear" w:color="auto" w:fill="FFFFFF"/>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pPr>
          </w:p>
        </w:tc>
        <w:tc>
          <w:tcPr>
            <w:tcW w:w="1391" w:type="pct"/>
            <w:vMerge w:val="continue"/>
            <w:tcBorders>
              <w:left w:val="single" w:color="000000" w:sz="8" w:space="0"/>
              <w:tl2br w:val="nil"/>
              <w:tr2bl w:val="nil"/>
            </w:tcBorders>
            <w:shd w:val="clear" w:color="auto" w:fill="FFFFFF"/>
            <w:vAlign w:val="center"/>
          </w:tcPr>
          <w:p>
            <w:pPr>
              <w:jc w:val="left"/>
              <w:rPr>
                <w:rFonts w:hint="eastAsia" w:asciiTheme="minorEastAsia" w:hAnsiTheme="minorEastAsia" w:eastAsiaTheme="minorEastAsia" w:cstheme="minorEastAsia"/>
                <w:b w:val="0"/>
                <w:bCs w:val="0"/>
                <w:color w:val="000000" w:themeColor="text1"/>
                <w:kern w:val="0"/>
                <w:sz w:val="21"/>
                <w:szCs w:val="21"/>
                <w:highlight w:val="none"/>
                <w:lang w:bidi="ar"/>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pStyle w:val="2"/>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表二 </w:t>
      </w:r>
      <w:r>
        <w:rPr>
          <w:rFonts w:hint="eastAsia" w:ascii="黑体" w:hAnsi="黑体" w:eastAsia="黑体" w:cs="黑体"/>
          <w:sz w:val="32"/>
          <w:szCs w:val="32"/>
          <w:highlight w:val="none"/>
        </w:rPr>
        <w:t>主体结构及装饰装修）</w:t>
      </w:r>
    </w:p>
    <w:tbl>
      <w:tblPr>
        <w:tblStyle w:val="14"/>
        <w:tblW w:w="13716"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70"/>
        <w:gridCol w:w="743"/>
        <w:gridCol w:w="1600"/>
        <w:gridCol w:w="3260"/>
        <w:gridCol w:w="2126"/>
        <w:gridCol w:w="439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项目序号</w:t>
            </w:r>
          </w:p>
        </w:tc>
        <w:tc>
          <w:tcPr>
            <w:tcW w:w="77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检测项目</w:t>
            </w: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参数</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检测参数</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主要设备名称</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试验方法要求</w:t>
            </w:r>
          </w:p>
        </w:tc>
        <w:tc>
          <w:tcPr>
            <w:tcW w:w="4394"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参考标准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混凝土结构构件强度、砌体结构构件强度</w:t>
            </w: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混凝土强度（回弹法）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《回弹法检测混凝土抗压强度技术规程》</w:t>
            </w:r>
            <w:r>
              <w:rPr>
                <w:rStyle w:val="34"/>
                <w:rFonts w:hint="eastAsia" w:asciiTheme="minorEastAsia" w:hAnsiTheme="minorEastAsia" w:eastAsiaTheme="minorEastAsia" w:cstheme="minorEastAsia"/>
                <w:b w:val="0"/>
                <w:bCs w:val="0"/>
                <w:color w:val="auto"/>
                <w:sz w:val="21"/>
                <w:szCs w:val="21"/>
                <w:highlight w:val="none"/>
                <w:lang w:bidi="ar"/>
              </w:rPr>
              <w:t>JGJ/T 23-2011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《高强混凝土强度检测技术规程》</w:t>
            </w:r>
            <w:r>
              <w:rPr>
                <w:rStyle w:val="34"/>
                <w:rFonts w:hint="eastAsia" w:asciiTheme="minorEastAsia" w:hAnsiTheme="minorEastAsia" w:eastAsiaTheme="minorEastAsia" w:cstheme="minorEastAsia"/>
                <w:b w:val="0"/>
                <w:bCs w:val="0"/>
                <w:color w:val="auto"/>
                <w:sz w:val="21"/>
                <w:szCs w:val="21"/>
                <w:highlight w:val="none"/>
                <w:lang w:bidi="ar"/>
              </w:rPr>
              <w:t>JGJ/T 294-2013</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《回弹法检测泵送混凝土抗压强度技术规程》DBJ/T15-211-2021及《高强混凝土强度回弹法检测技术规程》DBJ/T15-186-2020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高强混凝土回弹仪*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(20.0kg)</w:t>
            </w:r>
            <w:r>
              <w:rPr>
                <w:rStyle w:val="33"/>
                <w:rFonts w:hint="eastAsia" w:asciiTheme="minorEastAsia" w:hAnsiTheme="minorEastAsia" w:eastAsiaTheme="minorEastAsia" w:cstheme="minorEastAsia"/>
                <w:b w:val="0"/>
                <w:bCs w:val="0"/>
                <w:color w:val="auto"/>
                <w:sz w:val="21"/>
                <w:szCs w:val="21"/>
                <w:highlight w:val="none"/>
                <w:lang w:bidi="ar"/>
              </w:rPr>
              <w:t>（高强回弹仪）*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碳化深度测量尺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混凝土强度（钻芯法）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《钻芯检测离心高强混凝土强度试验方法》GB/T 19496-2004</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 xml:space="preserve">《混凝土物理力学性能试验方法标准》GB/T 50081-2019 </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混凝土强度（回弹-钻芯综合法）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 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《回弹法检测混凝土抗压强度技术规程》JGJ/T 23-2011</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《混凝土物理力学性能试验方法标准》GB/T 50081-2019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钢直尺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混凝土强度（超声回弹综合法）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《超声回弹综合法检测混凝土抗压强度技术规程》T/CECS 02-2020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混凝土超声波检测仪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砂浆强度（推出法）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推出仪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《非烧结砖砌体现场检测技术规程》JGJ/T 371-2016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砂浆强度（筒压法）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压力试验机</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万能试验机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《非烧结砖砌体现场检测技术规程》</w:t>
            </w:r>
            <w:r>
              <w:rPr>
                <w:rStyle w:val="34"/>
                <w:rFonts w:hint="eastAsia" w:asciiTheme="minorEastAsia" w:hAnsiTheme="minorEastAsia" w:eastAsiaTheme="minorEastAsia" w:cstheme="minorEastAsia"/>
                <w:b w:val="0"/>
                <w:bCs w:val="0"/>
                <w:color w:val="auto"/>
                <w:sz w:val="21"/>
                <w:szCs w:val="21"/>
                <w:highlight w:val="none"/>
                <w:lang w:bidi="ar"/>
              </w:rPr>
              <w:t>JGJ/T 371-2016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砂摇筛机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干燥箱</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标准砂石筛</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天平</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承压筒</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砂浆强度（砂浆片剪切法）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砂浆测强仪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游标卡尺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砂浆强度（回弹法）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砂浆回弹仪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《非烧结砖砌体现场检测技术规程》</w:t>
            </w:r>
            <w:r>
              <w:rPr>
                <w:rStyle w:val="34"/>
                <w:rFonts w:hint="eastAsia" w:asciiTheme="minorEastAsia" w:hAnsiTheme="minorEastAsia" w:eastAsiaTheme="minorEastAsia" w:cstheme="minorEastAsia"/>
                <w:b w:val="0"/>
                <w:bCs w:val="0"/>
                <w:color w:val="auto"/>
                <w:sz w:val="21"/>
                <w:szCs w:val="21"/>
                <w:highlight w:val="none"/>
                <w:lang w:bidi="ar"/>
              </w:rPr>
              <w:t>JGJ/T 371-2016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碳化深度测定仪</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游标卡尺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砂浆强度（点荷法）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小吨位压力试验机（点荷仪）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《非烧结砖砌体现场检测技术规程》</w:t>
            </w:r>
            <w:r>
              <w:rPr>
                <w:rStyle w:val="34"/>
                <w:rFonts w:hint="eastAsia" w:asciiTheme="minorEastAsia" w:hAnsiTheme="minorEastAsia" w:eastAsiaTheme="minorEastAsia" w:cstheme="minorEastAsia"/>
                <w:b w:val="0"/>
                <w:bCs w:val="0"/>
                <w:color w:val="auto"/>
                <w:sz w:val="21"/>
                <w:szCs w:val="21"/>
                <w:highlight w:val="none"/>
                <w:lang w:bidi="ar"/>
              </w:rPr>
              <w:t>JGJ/T 371-2016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卡尺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砂浆强度（贯入法）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贯入式砂浆强度检测仪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《贯入法检测砌筑砂浆抗压强度技术规程》</w:t>
            </w:r>
            <w:r>
              <w:rPr>
                <w:rStyle w:val="34"/>
                <w:rFonts w:hint="eastAsia" w:asciiTheme="minorEastAsia" w:hAnsiTheme="minorEastAsia" w:eastAsiaTheme="minorEastAsia" w:cstheme="minorEastAsia"/>
                <w:b w:val="0"/>
                <w:bCs w:val="0"/>
                <w:color w:val="auto"/>
                <w:sz w:val="21"/>
                <w:szCs w:val="21"/>
                <w:highlight w:val="none"/>
                <w:lang w:bidi="ar"/>
              </w:rPr>
              <w:t>JGJ/T 136-2017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贯入深度测量表</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1.3</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砖强度（回弹法）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砖回弹仪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1.4</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砌体抗压强度</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（原位轴压法）</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原位压力机（</w:t>
            </w:r>
            <w:r>
              <w:rPr>
                <w:rStyle w:val="34"/>
                <w:rFonts w:hint="eastAsia" w:asciiTheme="minorEastAsia" w:hAnsiTheme="minorEastAsia" w:eastAsiaTheme="minorEastAsia" w:cstheme="minorEastAsia"/>
                <w:b w:val="0"/>
                <w:bCs w:val="0"/>
                <w:color w:val="auto"/>
                <w:sz w:val="21"/>
                <w:szCs w:val="21"/>
                <w:highlight w:val="none"/>
                <w:lang w:bidi="ar"/>
              </w:rPr>
              <w:t>450</w:t>
            </w:r>
            <w:r>
              <w:rPr>
                <w:rStyle w:val="33"/>
                <w:rFonts w:hint="eastAsia" w:asciiTheme="minorEastAsia" w:hAnsiTheme="minorEastAsia" w:eastAsiaTheme="minorEastAsia" w:cstheme="minorEastAsia"/>
                <w:b w:val="0"/>
                <w:bCs w:val="0"/>
                <w:color w:val="auto"/>
                <w:sz w:val="21"/>
                <w:szCs w:val="21"/>
                <w:highlight w:val="none"/>
                <w:lang w:bidi="ar"/>
              </w:rPr>
              <w:t>型</w:t>
            </w:r>
            <w:r>
              <w:rPr>
                <w:rStyle w:val="34"/>
                <w:rFonts w:hint="eastAsia" w:asciiTheme="minorEastAsia" w:hAnsiTheme="minorEastAsia" w:eastAsiaTheme="minorEastAsia" w:cstheme="minorEastAsia"/>
                <w:b w:val="0"/>
                <w:bCs w:val="0"/>
                <w:color w:val="auto"/>
                <w:sz w:val="21"/>
                <w:szCs w:val="21"/>
                <w:highlight w:val="none"/>
                <w:lang w:bidi="ar"/>
              </w:rPr>
              <w:t>/600</w:t>
            </w:r>
            <w:r>
              <w:rPr>
                <w:rStyle w:val="33"/>
                <w:rFonts w:hint="eastAsia" w:asciiTheme="minorEastAsia" w:hAnsiTheme="minorEastAsia" w:eastAsiaTheme="minorEastAsia" w:cstheme="minorEastAsia"/>
                <w:b w:val="0"/>
                <w:bCs w:val="0"/>
                <w:color w:val="auto"/>
                <w:sz w:val="21"/>
                <w:szCs w:val="21"/>
                <w:highlight w:val="none"/>
                <w:lang w:bidi="ar"/>
              </w:rPr>
              <w:t>型</w:t>
            </w:r>
            <w:r>
              <w:rPr>
                <w:rStyle w:val="34"/>
                <w:rFonts w:hint="eastAsia" w:asciiTheme="minorEastAsia" w:hAnsiTheme="minorEastAsia" w:eastAsiaTheme="minorEastAsia" w:cstheme="minorEastAsia"/>
                <w:b w:val="0"/>
                <w:bCs w:val="0"/>
                <w:color w:val="auto"/>
                <w:sz w:val="21"/>
                <w:szCs w:val="21"/>
                <w:highlight w:val="none"/>
                <w:lang w:bidi="ar"/>
              </w:rPr>
              <w:t>/800</w:t>
            </w:r>
            <w:r>
              <w:rPr>
                <w:rStyle w:val="33"/>
                <w:rFonts w:hint="eastAsia" w:asciiTheme="minorEastAsia" w:hAnsiTheme="minorEastAsia" w:eastAsiaTheme="minorEastAsia" w:cstheme="minorEastAsia"/>
                <w:b w:val="0"/>
                <w:bCs w:val="0"/>
                <w:color w:val="auto"/>
                <w:sz w:val="21"/>
                <w:szCs w:val="21"/>
                <w:highlight w:val="none"/>
                <w:lang w:bidi="ar"/>
              </w:rPr>
              <w:t>型）</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《非烧结砖砌体现场检测技术规程》</w:t>
            </w:r>
            <w:r>
              <w:rPr>
                <w:rStyle w:val="34"/>
                <w:rFonts w:hint="eastAsia" w:asciiTheme="minorEastAsia" w:hAnsiTheme="minorEastAsia" w:eastAsiaTheme="minorEastAsia" w:cstheme="minorEastAsia"/>
                <w:b w:val="0"/>
                <w:bCs w:val="0"/>
                <w:color w:val="auto"/>
                <w:sz w:val="21"/>
                <w:szCs w:val="21"/>
                <w:highlight w:val="none"/>
                <w:lang w:bidi="ar"/>
              </w:rPr>
              <w:t>JGJ/T 371-2016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砌体抗压强度</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（扁顶法）</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扁顶</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钢卷尺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1.5</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砌体抗剪强度</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（原位单剪法）</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原位单剪仪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《砌体工程现场检测技术标准》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50315-2011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砌体抗剪强度（原位单砖双剪法）</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原位双剪仪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《砌体工程现场检测技术标准》GB/T 50315-2011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《非烧结砖砌体现场检测技术规程》JGJ/T 371-2016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钢筋及保护层厚度</w:t>
            </w: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钢筋保护层厚度</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《混凝土中钢筋检测技术标准》JGJ/T 152-2019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rPr>
              <w:t>《混凝土结构现场检测技术标准》</w:t>
            </w:r>
            <w:r>
              <w:rPr>
                <w:rStyle w:val="34"/>
                <w:rFonts w:hint="eastAsia" w:asciiTheme="minorEastAsia" w:hAnsiTheme="minorEastAsia" w:eastAsiaTheme="minorEastAsia" w:cstheme="minorEastAsia"/>
                <w:b w:val="0"/>
                <w:bCs w:val="0"/>
                <w:color w:val="auto"/>
                <w:sz w:val="21"/>
                <w:szCs w:val="21"/>
                <w:highlight w:val="none"/>
              </w:rPr>
              <w:t>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卡尺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2.2</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钢筋数量</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《混凝土中钢筋检测技术标准》</w:t>
            </w:r>
            <w:r>
              <w:rPr>
                <w:rStyle w:val="34"/>
                <w:rFonts w:hint="eastAsia" w:asciiTheme="minorEastAsia" w:hAnsiTheme="minorEastAsia" w:eastAsiaTheme="minorEastAsia" w:cstheme="minorEastAsia"/>
                <w:b w:val="0"/>
                <w:bCs w:val="0"/>
                <w:color w:val="auto"/>
                <w:sz w:val="21"/>
                <w:szCs w:val="21"/>
                <w:highlight w:val="none"/>
                <w:lang w:bidi="ar"/>
              </w:rPr>
              <w:t>JGJ/T 152-2019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2.3</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间距</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《混凝土中钢筋检测技术标准》</w:t>
            </w:r>
            <w:r>
              <w:rPr>
                <w:rStyle w:val="34"/>
                <w:rFonts w:hint="eastAsia" w:asciiTheme="minorEastAsia" w:hAnsiTheme="minorEastAsia" w:eastAsiaTheme="minorEastAsia" w:cstheme="minorEastAsia"/>
                <w:b w:val="0"/>
                <w:bCs w:val="0"/>
                <w:color w:val="auto"/>
                <w:sz w:val="21"/>
                <w:szCs w:val="21"/>
                <w:highlight w:val="none"/>
                <w:lang w:bidi="ar"/>
              </w:rPr>
              <w:t>JGJ/T 152-2019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2.4</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直径</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天平</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《混凝土中钢筋检测技术标准》</w:t>
            </w:r>
            <w:r>
              <w:rPr>
                <w:rStyle w:val="34"/>
                <w:rFonts w:hint="eastAsia" w:asciiTheme="minorEastAsia" w:hAnsiTheme="minorEastAsia" w:eastAsiaTheme="minorEastAsia" w:cstheme="minorEastAsia"/>
                <w:b w:val="0"/>
                <w:bCs w:val="0"/>
                <w:color w:val="auto"/>
                <w:sz w:val="21"/>
                <w:szCs w:val="21"/>
                <w:highlight w:val="none"/>
                <w:lang w:bidi="ar"/>
              </w:rPr>
              <w:t>JGJ/T 152-2019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卡尺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2.5</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锈蚀状况</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半电池电位钢筋锈蚀检测仪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《混凝土中钢筋检测技术标准》</w:t>
            </w:r>
            <w:r>
              <w:rPr>
                <w:rStyle w:val="34"/>
                <w:rFonts w:hint="eastAsia" w:asciiTheme="minorEastAsia" w:hAnsiTheme="minorEastAsia" w:eastAsiaTheme="minorEastAsia" w:cstheme="minorEastAsia"/>
                <w:b w:val="0"/>
                <w:bCs w:val="0"/>
                <w:color w:val="auto"/>
                <w:sz w:val="21"/>
                <w:szCs w:val="21"/>
                <w:highlight w:val="none"/>
                <w:lang w:bidi="ar"/>
              </w:rPr>
              <w:t>JGJ/T 152-2019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《建筑结构检测技术标准》</w:t>
            </w:r>
            <w:r>
              <w:rPr>
                <w:rStyle w:val="34"/>
                <w:rFonts w:hint="eastAsia" w:asciiTheme="minorEastAsia" w:hAnsiTheme="minorEastAsia" w:eastAsiaTheme="minorEastAsia" w:cstheme="minorEastAsia"/>
                <w:b w:val="0"/>
                <w:bCs w:val="0"/>
                <w:color w:val="auto"/>
                <w:sz w:val="21"/>
                <w:szCs w:val="21"/>
                <w:highlight w:val="none"/>
                <w:lang w:bidi="ar"/>
              </w:rPr>
              <w:t>GB/T 50344-2019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卡尺、天平</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439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3"/>
                <w:rFonts w:hint="eastAsia" w:asciiTheme="minorEastAsia" w:hAnsiTheme="minorEastAsia" w:eastAsiaTheme="minorEastAsia" w:cstheme="minorEastAsia"/>
                <w:b w:val="0"/>
                <w:bCs w:val="0"/>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bidi="ar"/>
              </w:rPr>
              <w:t>温度计</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植筋锚固力</w:t>
            </w: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锚固承载力</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拉拔仪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《砌体结构工程施工质量验收规范》GB 50203-2011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《建筑结构加固工程施工质量验收规范》GB 50550-2010</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《混凝土结构后锚固技术规程》JGJ 145-2013</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《混凝土后锚固件抗拔和抗剪性能检测技术标准》DBJ/T15-35-2023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支撑环</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位移测量装置*</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bidi="ar"/>
              </w:rPr>
              <w:t>秒表</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Style w:val="33"/>
                <w:rFonts w:hint="eastAsia" w:asciiTheme="minorEastAsia" w:hAnsiTheme="minorEastAsia" w:eastAsiaTheme="minorEastAsia" w:cstheme="minorEastAsia"/>
                <w:b/>
                <w:bCs/>
                <w:color w:val="auto"/>
                <w:sz w:val="21"/>
                <w:szCs w:val="21"/>
                <w:highlight w:val="none"/>
                <w:lang w:bidi="ar"/>
              </w:rPr>
              <w:t>构件位置和尺寸（涵盖砌体、混凝土、木结构）</w:t>
            </w:r>
            <w:r>
              <w:rPr>
                <w:rStyle w:val="34"/>
                <w:rFonts w:hint="eastAsia" w:asciiTheme="minorEastAsia" w:hAnsiTheme="minorEastAsia" w:eastAsiaTheme="minorEastAsia" w:cstheme="minorEastAsia"/>
                <w:b/>
                <w:bCs/>
                <w:color w:val="auto"/>
                <w:sz w:val="21"/>
                <w:szCs w:val="21"/>
                <w:highlight w:val="none"/>
                <w:lang w:bidi="ar"/>
              </w:rPr>
              <w:t>*</w:t>
            </w: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轴线位置*</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经纬仪</w:t>
            </w:r>
            <w:r>
              <w:rPr>
                <w:rFonts w:hint="eastAsia" w:asciiTheme="minorEastAsia" w:hAnsiTheme="minorEastAsia" w:eastAsiaTheme="minorEastAsia" w:cstheme="minorEastAsia"/>
                <w:b w:val="0"/>
                <w:bCs w:val="0"/>
                <w:color w:val="auto"/>
                <w:kern w:val="0"/>
                <w:sz w:val="21"/>
                <w:szCs w:val="21"/>
                <w:highlight w:val="none"/>
                <w:lang w:val="en-US" w:eastAsia="zh-CN" w:bidi="ar"/>
              </w:rPr>
              <w:t>/</w:t>
            </w:r>
            <w:r>
              <w:rPr>
                <w:rFonts w:hint="eastAsia" w:asciiTheme="minorEastAsia" w:hAnsiTheme="minorEastAsia" w:eastAsiaTheme="minorEastAsia" w:cstheme="minorEastAsia"/>
                <w:b w:val="0"/>
                <w:bCs w:val="0"/>
                <w:color w:val="auto"/>
                <w:kern w:val="0"/>
                <w:sz w:val="21"/>
                <w:szCs w:val="21"/>
                <w:highlight w:val="none"/>
                <w:lang w:bidi="ar"/>
              </w:rPr>
              <w:t>全站仪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《砌体结构工程施工质量验收规范》GB50203-2011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《木结构工程施工质量验收规范》GB50206-2012 </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《装配式混凝土结构技术规程》JGJ1-2014</w:t>
            </w:r>
          </w:p>
          <w:p>
            <w:pPr>
              <w:pStyle w:val="2"/>
              <w:keepNext w:val="0"/>
              <w:keepLines w:val="0"/>
              <w:pageBreakBefore w:val="0"/>
              <w:kinsoku/>
              <w:wordWrap/>
              <w:overflowPunct/>
              <w:topLinePunct w:val="0"/>
              <w:autoSpaceDE/>
              <w:autoSpaceDN/>
              <w:bidi w:val="0"/>
              <w:adjustRightInd/>
              <w:snapToGrid/>
              <w:spacing w:line="240" w:lineRule="auto"/>
              <w:rPr>
                <w:rStyle w:val="33"/>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《建筑结构检测技术标准》GB50344-2019</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bidi="ar"/>
              </w:rPr>
              <w:t>《混凝土结构现场检测技术标准》GB/T 50784-2013</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bidi="ar"/>
              </w:rPr>
              <w:t>《工程测量标准》GB50026-2020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r>
              <w:rPr>
                <w:rFonts w:hint="eastAsia" w:asciiTheme="minorEastAsia" w:hAnsiTheme="minorEastAsia" w:eastAsiaTheme="minorEastAsia" w:cstheme="minorEastAsia"/>
                <w:b w:val="0"/>
                <w:bCs w:val="0"/>
                <w:color w:val="auto"/>
                <w:kern w:val="0"/>
                <w:sz w:val="21"/>
                <w:szCs w:val="21"/>
                <w:highlight w:val="none"/>
                <w:lang w:val="en-US" w:eastAsia="zh-CN" w:bidi="ar"/>
              </w:rPr>
              <w:t>/</w:t>
            </w:r>
            <w:r>
              <w:rPr>
                <w:rFonts w:hint="eastAsia" w:asciiTheme="minorEastAsia" w:hAnsiTheme="minorEastAsia" w:eastAsiaTheme="minorEastAsia" w:cstheme="minorEastAsia"/>
                <w:b w:val="0"/>
                <w:bCs w:val="0"/>
                <w:color w:val="auto"/>
                <w:kern w:val="0"/>
                <w:sz w:val="21"/>
                <w:szCs w:val="21"/>
                <w:highlight w:val="none"/>
                <w:lang w:bidi="ar"/>
              </w:rPr>
              <w:t>激光测距仪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4.2</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标高*</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水准仪</w:t>
            </w:r>
            <w:r>
              <w:rPr>
                <w:rFonts w:hint="eastAsia" w:asciiTheme="minorEastAsia" w:hAnsiTheme="minorEastAsia" w:eastAsiaTheme="minorEastAsia" w:cstheme="minorEastAsia"/>
                <w:b w:val="0"/>
                <w:bCs w:val="0"/>
                <w:color w:val="auto"/>
                <w:kern w:val="0"/>
                <w:sz w:val="21"/>
                <w:szCs w:val="21"/>
                <w:highlight w:val="none"/>
                <w:lang w:val="en-US" w:eastAsia="zh-CN" w:bidi="ar"/>
              </w:rPr>
              <w:t>/</w:t>
            </w:r>
            <w:r>
              <w:rPr>
                <w:rFonts w:hint="eastAsia" w:asciiTheme="minorEastAsia" w:hAnsiTheme="minorEastAsia" w:eastAsiaTheme="minorEastAsia" w:cstheme="minorEastAsia"/>
                <w:b w:val="0"/>
                <w:bCs w:val="0"/>
                <w:color w:val="auto"/>
                <w:kern w:val="0"/>
                <w:sz w:val="21"/>
                <w:szCs w:val="21"/>
                <w:highlight w:val="none"/>
                <w:lang w:bidi="ar"/>
              </w:rPr>
              <w:t>全站仪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《砌体结构工程施工质量验收规范》GB50203-2011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《木结构工程施工质量验收规范》GB50206-2012 </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《装配式混凝土结构技术规程》JGJ1-2014</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bidi="ar"/>
              </w:rPr>
              <w:t>《工程测量标准》GB50026-2020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4.3</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截面尺寸*</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Style w:val="35"/>
                <w:rFonts w:hint="eastAsia" w:asciiTheme="minorEastAsia" w:hAnsiTheme="minorEastAsia" w:eastAsiaTheme="minorEastAsia" w:cstheme="minorEastAsia"/>
                <w:b w:val="0"/>
                <w:bCs w:val="0"/>
                <w:color w:val="auto"/>
                <w:sz w:val="21"/>
                <w:szCs w:val="21"/>
                <w:highlight w:val="none"/>
                <w:lang w:bidi="ar"/>
              </w:rPr>
              <w:t>《砌体结构工程施工质量验收规范》</w:t>
            </w:r>
            <w:r>
              <w:rPr>
                <w:rFonts w:hint="eastAsia" w:asciiTheme="minorEastAsia" w:hAnsiTheme="minorEastAsia" w:eastAsiaTheme="minorEastAsia" w:cstheme="minorEastAsia"/>
                <w:b w:val="0"/>
                <w:bCs w:val="0"/>
                <w:color w:val="auto"/>
                <w:kern w:val="0"/>
                <w:sz w:val="21"/>
                <w:szCs w:val="21"/>
                <w:highlight w:val="none"/>
                <w:lang w:bidi="ar"/>
              </w:rPr>
              <w:t>GB50203-2011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Style w:val="35"/>
                <w:rFonts w:hint="eastAsia" w:asciiTheme="minorEastAsia" w:hAnsiTheme="minorEastAsia" w:eastAsiaTheme="minorEastAsia" w:cstheme="minorEastAsia"/>
                <w:b w:val="0"/>
                <w:bCs w:val="0"/>
                <w:color w:val="auto"/>
                <w:sz w:val="21"/>
                <w:szCs w:val="21"/>
                <w:highlight w:val="none"/>
                <w:lang w:bidi="ar"/>
              </w:rPr>
              <w:t>《混凝土结构工程施工质量验收规范》</w:t>
            </w:r>
            <w:r>
              <w:rPr>
                <w:rFonts w:hint="eastAsia" w:asciiTheme="minorEastAsia" w:hAnsiTheme="minorEastAsia" w:eastAsiaTheme="minorEastAsia" w:cstheme="minorEastAsia"/>
                <w:b w:val="0"/>
                <w:bCs w:val="0"/>
                <w:color w:val="auto"/>
                <w:kern w:val="0"/>
                <w:sz w:val="21"/>
                <w:szCs w:val="21"/>
                <w:highlight w:val="none"/>
                <w:lang w:bidi="ar"/>
              </w:rPr>
              <w:t>GB50204-2015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Style w:val="35"/>
                <w:rFonts w:hint="eastAsia" w:asciiTheme="minorEastAsia" w:hAnsiTheme="minorEastAsia" w:eastAsiaTheme="minorEastAsia" w:cstheme="minorEastAsia"/>
                <w:b w:val="0"/>
                <w:bCs w:val="0"/>
                <w:color w:val="auto"/>
                <w:sz w:val="21"/>
                <w:szCs w:val="21"/>
                <w:highlight w:val="none"/>
                <w:lang w:bidi="ar"/>
              </w:rPr>
              <w:t>《木结构工程施工质量验收规范》</w:t>
            </w:r>
            <w:r>
              <w:rPr>
                <w:rFonts w:hint="eastAsia" w:asciiTheme="minorEastAsia" w:hAnsiTheme="minorEastAsia" w:eastAsiaTheme="minorEastAsia" w:cstheme="minorEastAsia"/>
                <w:b w:val="0"/>
                <w:bCs w:val="0"/>
                <w:color w:val="auto"/>
                <w:kern w:val="0"/>
                <w:sz w:val="21"/>
                <w:szCs w:val="21"/>
                <w:highlight w:val="none"/>
                <w:lang w:bidi="ar"/>
              </w:rPr>
              <w:t xml:space="preserve">GB50206-2012 </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5"/>
                <w:rFonts w:hint="eastAsia" w:asciiTheme="minorEastAsia" w:hAnsiTheme="minorEastAsia" w:eastAsiaTheme="minorEastAsia" w:cstheme="minorEastAsia"/>
                <w:b w:val="0"/>
                <w:bCs w:val="0"/>
                <w:color w:val="auto"/>
                <w:sz w:val="21"/>
                <w:szCs w:val="21"/>
                <w:highlight w:val="none"/>
                <w:lang w:bidi="ar"/>
              </w:rPr>
              <w:t>《装配式混凝土结构技术规程》</w:t>
            </w:r>
            <w:r>
              <w:rPr>
                <w:rFonts w:hint="eastAsia" w:asciiTheme="minorEastAsia" w:hAnsiTheme="minorEastAsia" w:eastAsiaTheme="minorEastAsia" w:cstheme="minorEastAsia"/>
                <w:b w:val="0"/>
                <w:bCs w:val="0"/>
                <w:color w:val="auto"/>
                <w:kern w:val="0"/>
                <w:sz w:val="21"/>
                <w:szCs w:val="21"/>
                <w:highlight w:val="none"/>
                <w:lang w:bidi="ar"/>
              </w:rPr>
              <w:t>JGJ1-2014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楼板厚度测量仪</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用于混凝土结构实测楼板厚度</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手提式钻芯机+卡尺*</w:t>
            </w:r>
          </w:p>
        </w:tc>
        <w:tc>
          <w:tcPr>
            <w:tcW w:w="212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天平</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用于木结构测量含水率</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烘箱</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木材含水率测量仪</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全站仪（三维激光扫描仪）</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木结构</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4.4</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预埋件位置*</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《混凝土结构工程施工质量验收规范》GB50204-2015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《装配式混凝土结构技术规程》JGJ1-2014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4.5</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预留插筋位置及外露长度*</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《混凝土结构工程施工质量验收规范》</w:t>
            </w:r>
            <w:r>
              <w:rPr>
                <w:rStyle w:val="34"/>
                <w:rFonts w:hint="eastAsia" w:asciiTheme="minorEastAsia" w:hAnsiTheme="minorEastAsia" w:eastAsiaTheme="minorEastAsia" w:cstheme="minorEastAsia"/>
                <w:b w:val="0"/>
                <w:bCs w:val="0"/>
                <w:color w:val="auto"/>
                <w:sz w:val="21"/>
                <w:szCs w:val="21"/>
                <w:highlight w:val="none"/>
                <w:lang w:bidi="ar"/>
              </w:rPr>
              <w:t>GB50204-2015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《装配式混凝土结构技术规程》</w:t>
            </w:r>
            <w:r>
              <w:rPr>
                <w:rStyle w:val="34"/>
                <w:rFonts w:hint="eastAsia" w:asciiTheme="minorEastAsia" w:hAnsiTheme="minorEastAsia" w:eastAsiaTheme="minorEastAsia" w:cstheme="minorEastAsia"/>
                <w:b w:val="0"/>
                <w:bCs w:val="0"/>
                <w:color w:val="auto"/>
                <w:sz w:val="21"/>
                <w:szCs w:val="21"/>
                <w:highlight w:val="none"/>
                <w:lang w:bidi="ar"/>
              </w:rPr>
              <w:t>JGJ1-2014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4.6</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垂直度*</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经纬仪（全站仪）</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《砌体结构工程施工质量验收规范》GB50203-2011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《木结构现场检测技术标准》JGJ/T488-2020</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《木结构工程施工质量验收规范》GB50206-2012 </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《装配式混凝土结构技术规程》JGJ1-2014</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bidi="ar"/>
              </w:rPr>
              <w:t>《工程测量标准》GB50026-2020</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bidi="ar"/>
              </w:rPr>
              <w:t>《建筑变形测量规范》JGJ8-2016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吊锤（吊线）</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4.7</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平整度*</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靠尺</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《砌体结构工程施工质量验收规范》</w:t>
            </w:r>
            <w:r>
              <w:rPr>
                <w:rStyle w:val="34"/>
                <w:rFonts w:hint="eastAsia" w:asciiTheme="minorEastAsia" w:hAnsiTheme="minorEastAsia" w:eastAsiaTheme="minorEastAsia" w:cstheme="minorEastAsia"/>
                <w:b w:val="0"/>
                <w:bCs w:val="0"/>
                <w:color w:val="auto"/>
                <w:sz w:val="21"/>
                <w:szCs w:val="21"/>
                <w:highlight w:val="none"/>
                <w:lang w:bidi="ar"/>
              </w:rPr>
              <w:t>GB50203-2011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《混凝土结构工程施工质量验收规范》</w:t>
            </w:r>
            <w:r>
              <w:rPr>
                <w:rStyle w:val="34"/>
                <w:rFonts w:hint="eastAsia" w:asciiTheme="minorEastAsia" w:hAnsiTheme="minorEastAsia" w:eastAsiaTheme="minorEastAsia" w:cstheme="minorEastAsia"/>
                <w:b w:val="0"/>
                <w:bCs w:val="0"/>
                <w:color w:val="auto"/>
                <w:sz w:val="21"/>
                <w:szCs w:val="21"/>
                <w:highlight w:val="none"/>
                <w:lang w:bidi="ar"/>
              </w:rPr>
              <w:t>GB50204-2015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《木结构工程施工质量验收规范》</w:t>
            </w:r>
            <w:r>
              <w:rPr>
                <w:rStyle w:val="34"/>
                <w:rFonts w:hint="eastAsia" w:asciiTheme="minorEastAsia" w:hAnsiTheme="minorEastAsia" w:eastAsiaTheme="minorEastAsia" w:cstheme="minorEastAsia"/>
                <w:b w:val="0"/>
                <w:bCs w:val="0"/>
                <w:color w:val="auto"/>
                <w:sz w:val="21"/>
                <w:szCs w:val="21"/>
                <w:highlight w:val="none"/>
                <w:lang w:bidi="ar"/>
              </w:rPr>
              <w:t>GB50206-2012</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《装配式混凝土结构技术规程》</w:t>
            </w:r>
            <w:r>
              <w:rPr>
                <w:rStyle w:val="34"/>
                <w:rFonts w:hint="eastAsia" w:asciiTheme="minorEastAsia" w:hAnsiTheme="minorEastAsia" w:eastAsiaTheme="minorEastAsia" w:cstheme="minorEastAsia"/>
                <w:b w:val="0"/>
                <w:bCs w:val="0"/>
                <w:color w:val="auto"/>
                <w:sz w:val="21"/>
                <w:szCs w:val="21"/>
                <w:highlight w:val="none"/>
                <w:lang w:bidi="ar"/>
              </w:rPr>
              <w:t>JGJ1-2014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楔形塞尺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4.8</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构件挠度*</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（水准仪、钢尺）/</w:t>
            </w:r>
            <w:r>
              <w:rPr>
                <w:rStyle w:val="33"/>
                <w:rFonts w:hint="eastAsia" w:asciiTheme="minorEastAsia" w:hAnsiTheme="minorEastAsia" w:eastAsiaTheme="minorEastAsia" w:cstheme="minorEastAsia"/>
                <w:b w:val="0"/>
                <w:bCs w:val="0"/>
                <w:color w:val="auto"/>
                <w:sz w:val="21"/>
                <w:szCs w:val="21"/>
                <w:highlight w:val="none"/>
                <w:lang w:bidi="ar"/>
              </w:rPr>
              <w:t>全站仪/（激光三维定向仪、激光测距仪）</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《混凝土结构工程现场检测技术标准》GB/T50784-2013</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《木结构现场检测技术标准》JGJ/T488-2020</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《装配式混凝土结构技术规程》JGJ1-2014</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bidi="ar"/>
              </w:rPr>
              <w:t>《工程测量标准》GB50026-2020</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lang w:bidi="ar"/>
              </w:rPr>
            </w:pPr>
            <w:r>
              <w:rPr>
                <w:rStyle w:val="34"/>
                <w:rFonts w:hint="eastAsia" w:asciiTheme="minorEastAsia" w:hAnsiTheme="minorEastAsia" w:eastAsiaTheme="minorEastAsia" w:cstheme="minorEastAsia"/>
                <w:b w:val="0"/>
                <w:bCs w:val="0"/>
                <w:color w:val="auto"/>
                <w:sz w:val="21"/>
                <w:szCs w:val="21"/>
                <w:highlight w:val="none"/>
                <w:lang w:bidi="ar"/>
              </w:rPr>
              <w:t>《建筑变形测量规范》JGJ8-2016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4.9</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平面外变形*</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拉线、直尺</w:t>
            </w:r>
            <w:r>
              <w:rPr>
                <w:rFonts w:hint="eastAsia" w:asciiTheme="minorEastAsia" w:hAnsiTheme="minorEastAsia" w:eastAsiaTheme="minorEastAsia" w:cstheme="minorEastAsia"/>
                <w:b w:val="0"/>
                <w:bCs w:val="0"/>
                <w:color w:val="auto"/>
                <w:kern w:val="0"/>
                <w:sz w:val="21"/>
                <w:szCs w:val="21"/>
                <w:highlight w:val="none"/>
                <w:lang w:val="en-US" w:eastAsia="zh-CN" w:bidi="ar"/>
              </w:rPr>
              <w:t>/</w:t>
            </w:r>
            <w:r>
              <w:rPr>
                <w:rFonts w:hint="eastAsia" w:asciiTheme="minorEastAsia" w:hAnsiTheme="minorEastAsia" w:eastAsiaTheme="minorEastAsia" w:cstheme="minorEastAsia"/>
                <w:b w:val="0"/>
                <w:bCs w:val="0"/>
                <w:color w:val="auto"/>
                <w:kern w:val="0"/>
                <w:sz w:val="21"/>
                <w:szCs w:val="21"/>
                <w:highlight w:val="none"/>
                <w:lang w:bidi="ar"/>
              </w:rPr>
              <w:t>全站仪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5"/>
                <w:rFonts w:hint="eastAsia" w:asciiTheme="minorEastAsia" w:hAnsiTheme="minorEastAsia" w:eastAsiaTheme="minorEastAsia" w:cstheme="minorEastAsia"/>
                <w:b w:val="0"/>
                <w:bCs w:val="0"/>
                <w:color w:val="auto"/>
                <w:sz w:val="21"/>
                <w:szCs w:val="21"/>
                <w:highlight w:val="none"/>
                <w:lang w:bidi="ar"/>
              </w:rPr>
              <w:t>《混凝土结构工程施工质量验收规范》</w:t>
            </w:r>
            <w:r>
              <w:rPr>
                <w:rFonts w:hint="eastAsia" w:asciiTheme="minorEastAsia" w:hAnsiTheme="minorEastAsia" w:eastAsiaTheme="minorEastAsia" w:cstheme="minorEastAsia"/>
                <w:b w:val="0"/>
                <w:bCs w:val="0"/>
                <w:color w:val="auto"/>
                <w:kern w:val="0"/>
                <w:sz w:val="21"/>
                <w:szCs w:val="21"/>
                <w:highlight w:val="none"/>
                <w:lang w:bidi="ar"/>
              </w:rPr>
              <w:t>GB50204-2015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Style w:val="33"/>
                <w:rFonts w:hint="eastAsia" w:asciiTheme="minorEastAsia" w:hAnsiTheme="minorEastAsia" w:eastAsiaTheme="minorEastAsia" w:cstheme="minorEastAsia"/>
                <w:b/>
                <w:bCs/>
                <w:color w:val="auto"/>
                <w:sz w:val="21"/>
                <w:szCs w:val="21"/>
                <w:highlight w:val="none"/>
                <w:lang w:bidi="ar"/>
              </w:rPr>
              <w:t>外观质量及内部缺陷</w:t>
            </w:r>
            <w:r>
              <w:rPr>
                <w:rStyle w:val="34"/>
                <w:rFonts w:hint="eastAsia" w:asciiTheme="minorEastAsia" w:hAnsiTheme="minorEastAsia" w:eastAsiaTheme="minorEastAsia" w:cstheme="minorEastAsia"/>
                <w:b/>
                <w:bCs/>
                <w:color w:val="auto"/>
                <w:sz w:val="21"/>
                <w:szCs w:val="21"/>
                <w:highlight w:val="none"/>
                <w:lang w:bidi="ar"/>
              </w:rPr>
              <w:t>*</w:t>
            </w: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外观质量*</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《混凝土结构工程施工质量验收规范》</w:t>
            </w:r>
            <w:r>
              <w:rPr>
                <w:rStyle w:val="34"/>
                <w:rFonts w:hint="eastAsia" w:asciiTheme="minorEastAsia" w:hAnsiTheme="minorEastAsia" w:eastAsiaTheme="minorEastAsia" w:cstheme="minorEastAsia"/>
                <w:b w:val="0"/>
                <w:bCs w:val="0"/>
                <w:color w:val="auto"/>
                <w:sz w:val="21"/>
                <w:szCs w:val="21"/>
                <w:highlight w:val="none"/>
                <w:lang w:bidi="ar"/>
              </w:rPr>
              <w:t>GB 50204-2015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刻度放大镜</w:t>
            </w:r>
            <w:r>
              <w:rPr>
                <w:rFonts w:hint="eastAsia" w:asciiTheme="minorEastAsia" w:hAnsiTheme="minorEastAsia" w:eastAsiaTheme="minorEastAsia" w:cstheme="minorEastAsia"/>
                <w:b w:val="0"/>
                <w:bCs w:val="0"/>
                <w:color w:val="auto"/>
                <w:kern w:val="0"/>
                <w:sz w:val="21"/>
                <w:szCs w:val="21"/>
                <w:highlight w:val="none"/>
                <w:lang w:val="en-US" w:eastAsia="zh-CN" w:bidi="ar"/>
              </w:rPr>
              <w:t>/</w:t>
            </w:r>
            <w:r>
              <w:rPr>
                <w:rFonts w:hint="eastAsia" w:asciiTheme="minorEastAsia" w:hAnsiTheme="minorEastAsia" w:eastAsiaTheme="minorEastAsia" w:cstheme="minorEastAsia"/>
                <w:b w:val="0"/>
                <w:bCs w:val="0"/>
                <w:color w:val="auto"/>
                <w:kern w:val="0"/>
                <w:sz w:val="21"/>
                <w:szCs w:val="21"/>
                <w:highlight w:val="none"/>
                <w:lang w:bidi="ar"/>
              </w:rPr>
              <w:t>裂缝测宽仪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bidi="ar"/>
              </w:rPr>
              <w:t>裂缝深度测试仪</w:t>
            </w:r>
            <w:r>
              <w:rPr>
                <w:rFonts w:hint="eastAsia" w:asciiTheme="minorEastAsia" w:hAnsiTheme="minorEastAsia" w:eastAsiaTheme="minorEastAsia" w:cstheme="minorEastAsia"/>
                <w:b w:val="0"/>
                <w:bCs w:val="0"/>
                <w:color w:val="auto"/>
                <w:sz w:val="21"/>
                <w:szCs w:val="21"/>
                <w:highlight w:val="none"/>
                <w:lang w:val="en-US" w:eastAsia="zh-CN" w:bidi="ar"/>
              </w:rPr>
              <w:t>/</w:t>
            </w:r>
            <w:r>
              <w:rPr>
                <w:rFonts w:hint="eastAsia" w:asciiTheme="minorEastAsia" w:hAnsiTheme="minorEastAsia" w:eastAsiaTheme="minorEastAsia" w:cstheme="minorEastAsia"/>
                <w:b w:val="0"/>
                <w:bCs w:val="0"/>
                <w:color w:val="auto"/>
                <w:sz w:val="21"/>
                <w:szCs w:val="21"/>
                <w:highlight w:val="none"/>
                <w:lang w:bidi="ar"/>
              </w:rPr>
              <w:t>混凝超声波检测仪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5.2</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内部缺陷*</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混凝土超声波检测仪/探地雷达</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bidi="ar"/>
              </w:rPr>
              <w:t>《超声法检测混凝土缺陷技术规程》CECS 21:2000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6</w:t>
            </w: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Style w:val="33"/>
                <w:rFonts w:hint="eastAsia" w:asciiTheme="minorEastAsia" w:hAnsiTheme="minorEastAsia" w:eastAsiaTheme="minorEastAsia" w:cstheme="minorEastAsia"/>
                <w:b/>
                <w:bCs/>
                <w:color w:val="auto"/>
                <w:sz w:val="21"/>
                <w:szCs w:val="21"/>
                <w:highlight w:val="none"/>
                <w:lang w:bidi="ar"/>
              </w:rPr>
              <w:t>装配式混凝土结构节点</w:t>
            </w:r>
            <w:r>
              <w:rPr>
                <w:rStyle w:val="34"/>
                <w:rFonts w:hint="eastAsia" w:asciiTheme="minorEastAsia" w:hAnsiTheme="minorEastAsia" w:eastAsiaTheme="minorEastAsia" w:cstheme="minorEastAsia"/>
                <w:b/>
                <w:bCs/>
                <w:color w:val="auto"/>
                <w:sz w:val="21"/>
                <w:szCs w:val="21"/>
                <w:highlight w:val="none"/>
                <w:lang w:bidi="ar"/>
              </w:rPr>
              <w:t>*</w:t>
            </w: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钢筋套筒灌浆连接灌浆饱满性</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灌浆饱满度检测仪、阻尼振动传感器</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预埋传感器法</w:t>
            </w: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《装配式住宅建筑检测技术标准》JGJ/T 485-2019</w:t>
            </w:r>
          </w:p>
          <w:p>
            <w:pPr>
              <w:pStyle w:val="2"/>
              <w:keepNext w:val="0"/>
              <w:keepLines w:val="0"/>
              <w:pageBreakBefore w:val="0"/>
              <w:kinsoku/>
              <w:wordWrap/>
              <w:overflowPunct/>
              <w:topLinePunct w:val="0"/>
              <w:autoSpaceDE/>
              <w:autoSpaceDN/>
              <w:bidi w:val="0"/>
              <w:adjustRightInd/>
              <w:snapToGrid/>
              <w:spacing w:line="240" w:lineRule="auto"/>
              <w:rPr>
                <w:rStyle w:val="33"/>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《装配式混凝土结构检测技术标准》DBJ/T15-199-2020</w:t>
            </w:r>
          </w:p>
          <w:p>
            <w:pPr>
              <w:pStyle w:val="2"/>
              <w:keepNext w:val="0"/>
              <w:keepLines w:val="0"/>
              <w:pageBreakBefore w:val="0"/>
              <w:kinsoku/>
              <w:wordWrap/>
              <w:overflowPunct/>
              <w:topLinePunct w:val="0"/>
              <w:autoSpaceDE/>
              <w:autoSpaceDN/>
              <w:bidi w:val="0"/>
              <w:adjustRightInd/>
              <w:snapToGrid/>
              <w:spacing w:line="240" w:lineRule="auto"/>
              <w:rPr>
                <w:rStyle w:val="33"/>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装配式混凝土结构套筒灌浆质量检测技术规程T/CECS 683-2020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便携式</w:t>
            </w:r>
            <w:r>
              <w:rPr>
                <w:rStyle w:val="34"/>
                <w:rFonts w:hint="eastAsia" w:asciiTheme="minorEastAsia" w:hAnsiTheme="minorEastAsia" w:eastAsiaTheme="minorEastAsia" w:cstheme="minorEastAsia"/>
                <w:b w:val="0"/>
                <w:bCs w:val="0"/>
                <w:color w:val="auto"/>
                <w:sz w:val="21"/>
                <w:szCs w:val="21"/>
                <w:highlight w:val="none"/>
                <w:lang w:bidi="ar"/>
              </w:rPr>
              <w:t>X</w:t>
            </w:r>
            <w:r>
              <w:rPr>
                <w:rStyle w:val="33"/>
                <w:rFonts w:hint="eastAsia" w:asciiTheme="minorEastAsia" w:hAnsiTheme="minorEastAsia" w:eastAsiaTheme="minorEastAsia" w:cstheme="minorEastAsia"/>
                <w:b w:val="0"/>
                <w:bCs w:val="0"/>
                <w:color w:val="auto"/>
                <w:sz w:val="21"/>
                <w:szCs w:val="21"/>
                <w:highlight w:val="none"/>
                <w:lang w:bidi="ar"/>
              </w:rPr>
              <w:t>射线探伤仪</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、平板探测器</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和中央控制器</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bidi="ar"/>
              </w:rPr>
              <w:t>X</w:t>
            </w:r>
            <w:r>
              <w:rPr>
                <w:rStyle w:val="33"/>
                <w:rFonts w:hint="eastAsia" w:asciiTheme="minorEastAsia" w:hAnsiTheme="minorEastAsia" w:eastAsiaTheme="minorEastAsia" w:cstheme="minorEastAsia"/>
                <w:b w:val="0"/>
                <w:bCs w:val="0"/>
                <w:color w:val="auto"/>
                <w:sz w:val="21"/>
                <w:szCs w:val="21"/>
                <w:highlight w:val="none"/>
                <w:lang w:bidi="ar"/>
              </w:rPr>
              <w:t>射线成像法</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拉拔仪</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预埋钢丝拉拔法</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6.2</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钢筋浆锚搭接连接灌浆饱满性</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便携式</w:t>
            </w:r>
            <w:r>
              <w:rPr>
                <w:rStyle w:val="34"/>
                <w:rFonts w:hint="eastAsia" w:asciiTheme="minorEastAsia" w:hAnsiTheme="minorEastAsia" w:eastAsiaTheme="minorEastAsia" w:cstheme="minorEastAsia"/>
                <w:b w:val="0"/>
                <w:bCs w:val="0"/>
                <w:color w:val="auto"/>
                <w:sz w:val="21"/>
                <w:szCs w:val="21"/>
                <w:highlight w:val="none"/>
                <w:lang w:bidi="ar"/>
              </w:rPr>
              <w:t>X</w:t>
            </w:r>
            <w:r>
              <w:rPr>
                <w:rStyle w:val="33"/>
                <w:rFonts w:hint="eastAsia" w:asciiTheme="minorEastAsia" w:hAnsiTheme="minorEastAsia" w:eastAsiaTheme="minorEastAsia" w:cstheme="minorEastAsia"/>
                <w:b w:val="0"/>
                <w:bCs w:val="0"/>
                <w:color w:val="auto"/>
                <w:sz w:val="21"/>
                <w:szCs w:val="21"/>
                <w:highlight w:val="none"/>
                <w:lang w:bidi="ar"/>
              </w:rPr>
              <w:t>射线探伤仪</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、平板探测器</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和中央控制器</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冲击回波仪*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bidi="ar"/>
              </w:rPr>
              <w:t>X</w:t>
            </w:r>
            <w:r>
              <w:rPr>
                <w:rStyle w:val="33"/>
                <w:rFonts w:hint="eastAsia" w:asciiTheme="minorEastAsia" w:hAnsiTheme="minorEastAsia" w:eastAsiaTheme="minorEastAsia" w:cstheme="minorEastAsia"/>
                <w:b w:val="0"/>
                <w:bCs w:val="0"/>
                <w:color w:val="auto"/>
                <w:sz w:val="21"/>
                <w:szCs w:val="21"/>
                <w:highlight w:val="none"/>
                <w:lang w:bidi="ar"/>
              </w:rPr>
              <w:t>射线成像法</w:t>
            </w: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《装配式住宅建筑检测技术标准》JGJ/T 485-2019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4"/>
                <w:rFonts w:hint="eastAsia" w:asciiTheme="minorEastAsia" w:hAnsiTheme="minorEastAsia" w:eastAsiaTheme="minorEastAsia" w:cstheme="minorEastAsia"/>
                <w:b w:val="0"/>
                <w:bCs w:val="0"/>
                <w:color w:val="auto"/>
                <w:sz w:val="21"/>
                <w:szCs w:val="21"/>
                <w:highlight w:val="none"/>
                <w:lang w:bidi="ar"/>
              </w:rPr>
              <w:t>《装配式混凝土结构检测技术标准》DBJ/T15-199-2020</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6.3</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外墙板接缝防水性能</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喷淋设备</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、测温仪</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、风速仪</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、计时装置</w:t>
            </w:r>
            <w:r>
              <w:rPr>
                <w:rStyle w:val="34"/>
                <w:rFonts w:hint="eastAsia" w:asciiTheme="minorEastAsia" w:hAnsiTheme="minorEastAsia" w:eastAsiaTheme="minorEastAsia" w:cstheme="minorEastAsia"/>
                <w:b w:val="0"/>
                <w:bCs w:val="0"/>
                <w:color w:val="auto"/>
                <w:sz w:val="21"/>
                <w:szCs w:val="21"/>
                <w:highlight w:val="none"/>
                <w:lang w:bidi="ar"/>
              </w:rPr>
              <w:t>*</w:t>
            </w:r>
            <w:r>
              <w:rPr>
                <w:rStyle w:val="33"/>
                <w:rFonts w:hint="eastAsia" w:asciiTheme="minorEastAsia" w:hAnsiTheme="minorEastAsia" w:eastAsiaTheme="minorEastAsia" w:cstheme="minorEastAsia"/>
                <w:b w:val="0"/>
                <w:bCs w:val="0"/>
                <w:color w:val="auto"/>
                <w:sz w:val="21"/>
                <w:szCs w:val="21"/>
                <w:highlight w:val="none"/>
                <w:lang w:bidi="ar"/>
              </w:rPr>
              <w:t>和数码相机</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fldChar w:fldCharType="begin"/>
            </w:r>
            <w:r>
              <w:rPr>
                <w:rFonts w:hint="eastAsia" w:asciiTheme="minorEastAsia" w:hAnsiTheme="minorEastAsia" w:eastAsiaTheme="minorEastAsia" w:cstheme="minorEastAsia"/>
                <w:b w:val="0"/>
                <w:bCs w:val="0"/>
                <w:color w:val="auto"/>
                <w:sz w:val="21"/>
                <w:szCs w:val="21"/>
                <w:highlight w:val="none"/>
              </w:rPr>
              <w:instrText xml:space="preserve"> HYPERLINK "http://standard.sist.org.cn/StdSearch/stdDetail.aspx?AppID=JGJ/T 299-2013&amp;v=JGJ/T 299-2013$" \t "/Users/lilikun/Documents\\x/_blank" </w:instrText>
            </w:r>
            <w:r>
              <w:rPr>
                <w:rFonts w:hint="eastAsia" w:asciiTheme="minorEastAsia" w:hAnsiTheme="minorEastAsia" w:eastAsiaTheme="minorEastAsia" w:cstheme="minorEastAsia"/>
                <w:b w:val="0"/>
                <w:bCs w:val="0"/>
                <w:color w:val="auto"/>
                <w:sz w:val="21"/>
                <w:szCs w:val="21"/>
                <w:highlight w:val="none"/>
              </w:rPr>
              <w:fldChar w:fldCharType="separate"/>
            </w:r>
            <w:r>
              <w:rPr>
                <w:rFonts w:hint="eastAsia" w:asciiTheme="minorEastAsia" w:hAnsiTheme="minorEastAsia" w:eastAsiaTheme="minorEastAsia" w:cstheme="minorEastAsia"/>
                <w:b w:val="0"/>
                <w:bCs w:val="0"/>
                <w:color w:val="auto"/>
                <w:sz w:val="21"/>
                <w:szCs w:val="21"/>
                <w:highlight w:val="none"/>
              </w:rPr>
              <w:t>建筑防水工程现场</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检测技术规范</w:t>
            </w:r>
            <w:r>
              <w:rPr>
                <w:rFonts w:hint="eastAsia" w:asciiTheme="minorEastAsia" w:hAnsiTheme="minorEastAsia" w:eastAsiaTheme="minorEastAsia" w:cstheme="minorEastAsia"/>
                <w:b w:val="0"/>
                <w:bCs w:val="0"/>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rPr>
              <w:t>》JGJ/T 299-2013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《装配式住宅建筑检测技术标准》JGJ/T 485-2019</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bidi="ar"/>
              </w:rPr>
              <w:t>《装配式混凝土结构检测技术标准》DBJ/T 15-199-2020</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7</w:t>
            </w: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Style w:val="33"/>
                <w:rFonts w:hint="eastAsia" w:asciiTheme="minorEastAsia" w:hAnsiTheme="minorEastAsia" w:eastAsiaTheme="minorEastAsia" w:cstheme="minorEastAsia"/>
                <w:b/>
                <w:bCs/>
                <w:color w:val="auto"/>
                <w:sz w:val="21"/>
                <w:szCs w:val="21"/>
                <w:highlight w:val="none"/>
                <w:lang w:bidi="ar"/>
              </w:rPr>
              <w:t>结构构件性能</w:t>
            </w:r>
            <w:r>
              <w:rPr>
                <w:rStyle w:val="34"/>
                <w:rFonts w:hint="eastAsia" w:asciiTheme="minorEastAsia" w:hAnsiTheme="minorEastAsia" w:eastAsiaTheme="minorEastAsia" w:cstheme="minorEastAsia"/>
                <w:b/>
                <w:bCs/>
                <w:color w:val="auto"/>
                <w:sz w:val="21"/>
                <w:szCs w:val="21"/>
                <w:highlight w:val="none"/>
                <w:lang w:bidi="ar"/>
              </w:rPr>
              <w:t>*</w:t>
            </w:r>
            <w:r>
              <w:rPr>
                <w:rStyle w:val="33"/>
                <w:rFonts w:hint="eastAsia" w:asciiTheme="minorEastAsia" w:hAnsiTheme="minorEastAsia" w:eastAsiaTheme="minorEastAsia" w:cstheme="minorEastAsia"/>
                <w:b/>
                <w:bCs/>
                <w:color w:val="auto"/>
                <w:sz w:val="21"/>
                <w:szCs w:val="21"/>
                <w:highlight w:val="none"/>
                <w:lang w:bidi="ar"/>
              </w:rPr>
              <w:t>（涵盖砌体、混凝土、木结构）</w:t>
            </w: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静载试验*</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称重装置</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《混凝土结构工程施工质量验收规范》GB50204-2015</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《混凝土结构现场检测技术标准》GB/T50784-2013</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《混凝土结构试验方法标准》GB/T50152-2012</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《木结构工程施工质量验收规范》GB50206-2012 </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bidi="ar"/>
              </w:rPr>
              <w:t>《装配式混凝土建筑工程施工质量验收规范》DBJ/T 15-171-2019</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《木结构现场检测技术标准》JGJ/T488-2020</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流量测量装置</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采用水等液体加载时</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千斤顶配油压表</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千斤顶配荷载传感器</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百分表*</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3"/>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检测机构应具备下列其中一组（套）：</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3"/>
                <w:rFonts w:hint="eastAsia" w:asciiTheme="minorEastAsia" w:hAnsiTheme="minorEastAsia" w:eastAsiaTheme="minorEastAsia" w:cstheme="minorEastAsia"/>
                <w:b w:val="0"/>
                <w:bCs w:val="0"/>
                <w:color w:val="auto"/>
                <w:sz w:val="21"/>
                <w:szCs w:val="21"/>
                <w:highlight w:val="none"/>
                <w:lang w:bidi="ar"/>
              </w:rPr>
            </w:pPr>
            <w:r>
              <w:rPr>
                <w:rStyle w:val="34"/>
                <w:rFonts w:hint="eastAsia" w:asciiTheme="minorEastAsia" w:hAnsiTheme="minorEastAsia" w:eastAsiaTheme="minorEastAsia" w:cstheme="minorEastAsia"/>
                <w:b w:val="0"/>
                <w:bCs w:val="0"/>
                <w:color w:val="auto"/>
                <w:sz w:val="21"/>
                <w:szCs w:val="21"/>
                <w:highlight w:val="none"/>
                <w:lang w:bidi="ar"/>
              </w:rPr>
              <w:t>1.</w:t>
            </w:r>
            <w:r>
              <w:rPr>
                <w:rStyle w:val="33"/>
                <w:rFonts w:hint="eastAsia" w:asciiTheme="minorEastAsia" w:hAnsiTheme="minorEastAsia" w:eastAsiaTheme="minorEastAsia" w:cstheme="minorEastAsia"/>
                <w:b w:val="0"/>
                <w:bCs w:val="0"/>
                <w:color w:val="auto"/>
                <w:sz w:val="21"/>
                <w:szCs w:val="21"/>
                <w:highlight w:val="none"/>
                <w:lang w:bidi="ar"/>
              </w:rPr>
              <w:t>百分表（至少</w:t>
            </w:r>
            <w:r>
              <w:rPr>
                <w:rStyle w:val="34"/>
                <w:rFonts w:hint="eastAsia" w:asciiTheme="minorEastAsia" w:hAnsiTheme="minorEastAsia" w:eastAsiaTheme="minorEastAsia" w:cstheme="minorEastAsia"/>
                <w:b w:val="0"/>
                <w:bCs w:val="0"/>
                <w:color w:val="auto"/>
                <w:sz w:val="21"/>
                <w:szCs w:val="21"/>
                <w:highlight w:val="none"/>
                <w:lang w:bidi="ar"/>
              </w:rPr>
              <w:t>6</w:t>
            </w:r>
            <w:r>
              <w:rPr>
                <w:rStyle w:val="33"/>
                <w:rFonts w:hint="eastAsia" w:asciiTheme="minorEastAsia" w:hAnsiTheme="minorEastAsia" w:eastAsiaTheme="minorEastAsia" w:cstheme="minorEastAsia"/>
                <w:b w:val="0"/>
                <w:bCs w:val="0"/>
                <w:color w:val="auto"/>
                <w:sz w:val="21"/>
                <w:szCs w:val="21"/>
                <w:highlight w:val="none"/>
                <w:lang w:bidi="ar"/>
              </w:rPr>
              <w:t>个，含表座）；</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3"/>
                <w:rFonts w:hint="eastAsia" w:asciiTheme="minorEastAsia" w:hAnsiTheme="minorEastAsia" w:eastAsiaTheme="minorEastAsia" w:cstheme="minorEastAsia"/>
                <w:b w:val="0"/>
                <w:bCs w:val="0"/>
                <w:color w:val="auto"/>
                <w:sz w:val="21"/>
                <w:szCs w:val="21"/>
                <w:highlight w:val="none"/>
                <w:lang w:bidi="ar"/>
              </w:rPr>
            </w:pPr>
            <w:r>
              <w:rPr>
                <w:rStyle w:val="34"/>
                <w:rFonts w:hint="eastAsia" w:asciiTheme="minorEastAsia" w:hAnsiTheme="minorEastAsia" w:eastAsiaTheme="minorEastAsia" w:cstheme="minorEastAsia"/>
                <w:b w:val="0"/>
                <w:bCs w:val="0"/>
                <w:color w:val="auto"/>
                <w:sz w:val="21"/>
                <w:szCs w:val="21"/>
                <w:highlight w:val="none"/>
                <w:lang w:bidi="ar"/>
              </w:rPr>
              <w:t>2.</w:t>
            </w:r>
            <w:r>
              <w:rPr>
                <w:rStyle w:val="33"/>
                <w:rFonts w:hint="eastAsia" w:asciiTheme="minorEastAsia" w:hAnsiTheme="minorEastAsia" w:eastAsiaTheme="minorEastAsia" w:cstheme="minorEastAsia"/>
                <w:b w:val="0"/>
                <w:bCs w:val="0"/>
                <w:color w:val="auto"/>
                <w:sz w:val="21"/>
                <w:szCs w:val="21"/>
                <w:highlight w:val="none"/>
                <w:lang w:bidi="ar"/>
              </w:rPr>
              <w:t>位移传感器（至少</w:t>
            </w:r>
            <w:r>
              <w:rPr>
                <w:rStyle w:val="34"/>
                <w:rFonts w:hint="eastAsia" w:asciiTheme="minorEastAsia" w:hAnsiTheme="minorEastAsia" w:eastAsiaTheme="minorEastAsia" w:cstheme="minorEastAsia"/>
                <w:b w:val="0"/>
                <w:bCs w:val="0"/>
                <w:color w:val="auto"/>
                <w:sz w:val="21"/>
                <w:szCs w:val="21"/>
                <w:highlight w:val="none"/>
                <w:lang w:bidi="ar"/>
              </w:rPr>
              <w:t>6</w:t>
            </w:r>
            <w:r>
              <w:rPr>
                <w:rStyle w:val="33"/>
                <w:rFonts w:hint="eastAsia" w:asciiTheme="minorEastAsia" w:hAnsiTheme="minorEastAsia" w:eastAsiaTheme="minorEastAsia" w:cstheme="minorEastAsia"/>
                <w:b w:val="0"/>
                <w:bCs w:val="0"/>
                <w:color w:val="auto"/>
                <w:sz w:val="21"/>
                <w:szCs w:val="21"/>
                <w:highlight w:val="none"/>
                <w:lang w:bidi="ar"/>
              </w:rPr>
              <w:t>个，含安装装置）；</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3"/>
                <w:rFonts w:hint="eastAsia" w:asciiTheme="minorEastAsia" w:hAnsiTheme="minorEastAsia" w:eastAsiaTheme="minorEastAsia" w:cstheme="minorEastAsia"/>
                <w:b w:val="0"/>
                <w:bCs w:val="0"/>
                <w:color w:val="auto"/>
                <w:sz w:val="21"/>
                <w:szCs w:val="21"/>
                <w:highlight w:val="none"/>
                <w:lang w:bidi="ar"/>
              </w:rPr>
            </w:pPr>
            <w:r>
              <w:rPr>
                <w:rStyle w:val="34"/>
                <w:rFonts w:hint="eastAsia" w:asciiTheme="minorEastAsia" w:hAnsiTheme="minorEastAsia" w:eastAsiaTheme="minorEastAsia" w:cstheme="minorEastAsia"/>
                <w:b w:val="0"/>
                <w:bCs w:val="0"/>
                <w:color w:val="auto"/>
                <w:sz w:val="21"/>
                <w:szCs w:val="21"/>
                <w:highlight w:val="none"/>
                <w:lang w:bidi="ar"/>
              </w:rPr>
              <w:t>3.</w:t>
            </w:r>
            <w:r>
              <w:rPr>
                <w:rStyle w:val="33"/>
                <w:rFonts w:hint="eastAsia" w:asciiTheme="minorEastAsia" w:hAnsiTheme="minorEastAsia" w:eastAsiaTheme="minorEastAsia" w:cstheme="minorEastAsia"/>
                <w:b w:val="0"/>
                <w:bCs w:val="0"/>
                <w:color w:val="auto"/>
                <w:sz w:val="21"/>
                <w:szCs w:val="21"/>
                <w:highlight w:val="none"/>
                <w:lang w:bidi="ar"/>
              </w:rPr>
              <w:t>水准仪、钢尺；</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3"/>
                <w:rFonts w:hint="eastAsia" w:asciiTheme="minorEastAsia" w:hAnsiTheme="minorEastAsia" w:eastAsiaTheme="minorEastAsia" w:cstheme="minorEastAsia"/>
                <w:b w:val="0"/>
                <w:bCs w:val="0"/>
                <w:color w:val="auto"/>
                <w:sz w:val="21"/>
                <w:szCs w:val="21"/>
                <w:highlight w:val="none"/>
                <w:lang w:bidi="ar"/>
              </w:rPr>
            </w:pPr>
            <w:r>
              <w:rPr>
                <w:rStyle w:val="34"/>
                <w:rFonts w:hint="eastAsia" w:asciiTheme="minorEastAsia" w:hAnsiTheme="minorEastAsia" w:eastAsiaTheme="minorEastAsia" w:cstheme="minorEastAsia"/>
                <w:b w:val="0"/>
                <w:bCs w:val="0"/>
                <w:color w:val="auto"/>
                <w:sz w:val="21"/>
                <w:szCs w:val="21"/>
                <w:highlight w:val="none"/>
                <w:lang w:bidi="ar"/>
              </w:rPr>
              <w:t>4.</w:t>
            </w:r>
            <w:r>
              <w:rPr>
                <w:rStyle w:val="33"/>
                <w:rFonts w:hint="eastAsia" w:asciiTheme="minorEastAsia" w:hAnsiTheme="minorEastAsia" w:eastAsiaTheme="minorEastAsia" w:cstheme="minorEastAsia"/>
                <w:b w:val="0"/>
                <w:bCs w:val="0"/>
                <w:color w:val="auto"/>
                <w:sz w:val="21"/>
                <w:szCs w:val="21"/>
                <w:highlight w:val="none"/>
                <w:lang w:bidi="ar"/>
              </w:rPr>
              <w:t>全站仪；</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bidi="ar"/>
              </w:rPr>
              <w:t>5.</w:t>
            </w:r>
            <w:r>
              <w:rPr>
                <w:rStyle w:val="33"/>
                <w:rFonts w:hint="eastAsia" w:asciiTheme="minorEastAsia" w:hAnsiTheme="minorEastAsia" w:eastAsiaTheme="minorEastAsia" w:cstheme="minorEastAsia"/>
                <w:b w:val="0"/>
                <w:bCs w:val="0"/>
                <w:color w:val="auto"/>
                <w:sz w:val="21"/>
                <w:szCs w:val="21"/>
                <w:highlight w:val="none"/>
                <w:lang w:bidi="ar"/>
              </w:rPr>
              <w:t>激光三维定向仪、激光测距仪</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位移传感器*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全站仪*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水准仪*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激光测距仪*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激光三维定向仪*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经纬仪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裂缝测宽仪*</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检测机构应具备三种裂缝测宽仪器的一种</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刻度放大镜</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裂缝宽度检验卡</w:t>
            </w:r>
            <w:r>
              <w:rPr>
                <w:rStyle w:val="34"/>
                <w:rFonts w:hint="eastAsia" w:asciiTheme="minorEastAsia" w:hAnsiTheme="minorEastAsia" w:eastAsiaTheme="minorEastAsia" w:cstheme="minorEastAsia"/>
                <w:b w:val="0"/>
                <w:bCs w:val="0"/>
                <w:color w:val="auto"/>
                <w:sz w:val="21"/>
                <w:szCs w:val="21"/>
                <w:highlight w:val="none"/>
                <w:lang w:bidi="ar"/>
              </w:rPr>
              <w:t>*</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电阻应变计</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电阻应变仪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7.2</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动力测试*</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综合振动检测仪（含分析软件）</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《混凝土结构工程现场检测技术标准》</w:t>
            </w:r>
            <w:r>
              <w:rPr>
                <w:rStyle w:val="34"/>
                <w:rFonts w:hint="eastAsia" w:asciiTheme="minorEastAsia" w:hAnsiTheme="minorEastAsia" w:eastAsiaTheme="minorEastAsia" w:cstheme="minorEastAsia"/>
                <w:b w:val="0"/>
                <w:bCs w:val="0"/>
                <w:color w:val="auto"/>
                <w:sz w:val="21"/>
                <w:szCs w:val="21"/>
                <w:highlight w:val="none"/>
                <w:lang w:bidi="ar"/>
              </w:rPr>
              <w:t>GB/T50784-2013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《建筑结构检测技术标准》</w:t>
            </w:r>
            <w:r>
              <w:rPr>
                <w:rStyle w:val="34"/>
                <w:rFonts w:hint="eastAsia" w:asciiTheme="minorEastAsia" w:hAnsiTheme="minorEastAsia" w:eastAsiaTheme="minorEastAsia" w:cstheme="minorEastAsia"/>
                <w:b w:val="0"/>
                <w:bCs w:val="0"/>
                <w:color w:val="auto"/>
                <w:sz w:val="21"/>
                <w:szCs w:val="21"/>
                <w:highlight w:val="none"/>
                <w:lang w:bidi="ar"/>
              </w:rPr>
              <w:t>GB50344-2019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《木结构现场检测技术标准》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JGJ/T488-2020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8</w:t>
            </w: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Style w:val="33"/>
                <w:rFonts w:hint="eastAsia" w:asciiTheme="minorEastAsia" w:hAnsiTheme="minorEastAsia" w:eastAsiaTheme="minorEastAsia" w:cstheme="minorEastAsia"/>
                <w:b/>
                <w:bCs/>
                <w:color w:val="auto"/>
                <w:sz w:val="21"/>
                <w:szCs w:val="21"/>
                <w:highlight w:val="none"/>
                <w:lang w:bidi="ar"/>
              </w:rPr>
              <w:t>装饰装修工程</w:t>
            </w:r>
            <w:r>
              <w:rPr>
                <w:rStyle w:val="34"/>
                <w:rFonts w:hint="eastAsia" w:asciiTheme="minorEastAsia" w:hAnsiTheme="minorEastAsia" w:eastAsiaTheme="minorEastAsia" w:cstheme="minorEastAsia"/>
                <w:b/>
                <w:bCs/>
                <w:color w:val="auto"/>
                <w:sz w:val="21"/>
                <w:szCs w:val="21"/>
                <w:highlight w:val="none"/>
                <w:lang w:bidi="ar"/>
              </w:rPr>
              <w:t>*</w:t>
            </w: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8.1</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后置埋件现场拉拔力*</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锚杆拉拔仪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《混凝土结构后锚固技术规程》JGJ 145-2013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《混凝土后锚固抗拔和抗剪性能检测技术标准》DBJ/T 15-35-2023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8.2</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饰面砖粘结强度*</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数显式粘接强度测定仪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5"/>
                <w:rFonts w:hint="eastAsia" w:asciiTheme="minorEastAsia" w:hAnsiTheme="minorEastAsia" w:eastAsiaTheme="minorEastAsia" w:cstheme="minorEastAsia"/>
                <w:b w:val="0"/>
                <w:bCs w:val="0"/>
                <w:color w:val="auto"/>
                <w:sz w:val="21"/>
                <w:szCs w:val="21"/>
                <w:highlight w:val="none"/>
                <w:lang w:bidi="ar"/>
              </w:rPr>
              <w:t>《建筑工程饰面砖粘结强度检验标准》</w:t>
            </w:r>
            <w:r>
              <w:rPr>
                <w:rFonts w:hint="eastAsia" w:asciiTheme="minorEastAsia" w:hAnsiTheme="minorEastAsia" w:eastAsiaTheme="minorEastAsia" w:cstheme="minorEastAsia"/>
                <w:b w:val="0"/>
                <w:bCs w:val="0"/>
                <w:color w:val="auto"/>
                <w:kern w:val="0"/>
                <w:sz w:val="21"/>
                <w:szCs w:val="21"/>
                <w:highlight w:val="none"/>
                <w:lang w:bidi="ar"/>
              </w:rPr>
              <w:t>JGJ/T110-2017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439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5"/>
                <w:rFonts w:hint="eastAsia" w:asciiTheme="minorEastAsia" w:hAnsiTheme="minorEastAsia" w:eastAsiaTheme="minorEastAsia" w:cstheme="minorEastAsia"/>
                <w:b w:val="0"/>
                <w:bCs w:val="0"/>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8.3</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抹灰砂浆的拉伸粘接强度*</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数显式粘接强度测定仪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Style w:val="35"/>
                <w:rFonts w:hint="eastAsia" w:asciiTheme="minorEastAsia" w:hAnsiTheme="minorEastAsia" w:eastAsiaTheme="minorEastAsia" w:cstheme="minorEastAsia"/>
                <w:b w:val="0"/>
                <w:bCs w:val="0"/>
                <w:color w:val="auto"/>
                <w:sz w:val="21"/>
                <w:szCs w:val="21"/>
                <w:highlight w:val="none"/>
                <w:lang w:bidi="ar"/>
              </w:rPr>
              <w:t>《抹灰砂浆技术规程》</w:t>
            </w:r>
            <w:r>
              <w:rPr>
                <w:rFonts w:hint="eastAsia" w:asciiTheme="minorEastAsia" w:hAnsiTheme="minorEastAsia" w:eastAsiaTheme="minorEastAsia" w:cstheme="minorEastAsia"/>
                <w:b w:val="0"/>
                <w:bCs w:val="0"/>
                <w:color w:val="auto"/>
                <w:kern w:val="0"/>
                <w:sz w:val="21"/>
                <w:szCs w:val="21"/>
                <w:highlight w:val="none"/>
                <w:lang w:bidi="ar"/>
              </w:rPr>
              <w:t>JGJ/T 220-2010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6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0"/>
                <w:sz w:val="21"/>
                <w:szCs w:val="21"/>
                <w:highlight w:val="none"/>
                <w:lang w:bidi="ar"/>
              </w:rPr>
            </w:pPr>
          </w:p>
        </w:tc>
        <w:tc>
          <w:tcPr>
            <w:tcW w:w="439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5"/>
                <w:rFonts w:hint="eastAsia" w:asciiTheme="minorEastAsia" w:hAnsiTheme="minorEastAsia" w:eastAsiaTheme="minorEastAsia" w:cstheme="minorEastAsia"/>
                <w:b w:val="0"/>
                <w:bCs w:val="0"/>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9</w:t>
            </w:r>
          </w:p>
        </w:tc>
        <w:tc>
          <w:tcPr>
            <w:tcW w:w="77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室内环境污染物*</w:t>
            </w: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9.1</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甲醛*</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温度计</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bidi="ar"/>
              </w:rPr>
              <w:t>AHMT</w:t>
            </w:r>
            <w:r>
              <w:rPr>
                <w:rStyle w:val="33"/>
                <w:rFonts w:hint="eastAsia" w:asciiTheme="minorEastAsia" w:hAnsiTheme="minorEastAsia" w:eastAsiaTheme="minorEastAsia" w:cstheme="minorEastAsia"/>
                <w:b w:val="0"/>
                <w:bCs w:val="0"/>
                <w:color w:val="auto"/>
                <w:sz w:val="21"/>
                <w:szCs w:val="21"/>
                <w:highlight w:val="none"/>
                <w:lang w:bidi="ar"/>
              </w:rPr>
              <w:t>分光光度法</w:t>
            </w: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《公共场所卫生检验方法第</w:t>
            </w:r>
            <w:r>
              <w:rPr>
                <w:rStyle w:val="34"/>
                <w:rFonts w:hint="eastAsia" w:asciiTheme="minorEastAsia" w:hAnsiTheme="minorEastAsia" w:eastAsiaTheme="minorEastAsia" w:cstheme="minorEastAsia"/>
                <w:b w:val="0"/>
                <w:bCs w:val="0"/>
                <w:color w:val="auto"/>
                <w:sz w:val="21"/>
                <w:szCs w:val="21"/>
                <w:highlight w:val="none"/>
                <w:lang w:bidi="ar"/>
              </w:rPr>
              <w:t>2</w:t>
            </w:r>
            <w:r>
              <w:rPr>
                <w:rStyle w:val="33"/>
                <w:rFonts w:hint="eastAsia" w:asciiTheme="minorEastAsia" w:hAnsiTheme="minorEastAsia" w:eastAsiaTheme="minorEastAsia" w:cstheme="minorEastAsia"/>
                <w:b w:val="0"/>
                <w:bCs w:val="0"/>
                <w:color w:val="auto"/>
                <w:sz w:val="21"/>
                <w:szCs w:val="21"/>
                <w:highlight w:val="none"/>
                <w:lang w:bidi="ar"/>
              </w:rPr>
              <w:t>部分：化学污染物》</w:t>
            </w:r>
            <w:r>
              <w:rPr>
                <w:rStyle w:val="34"/>
                <w:rFonts w:hint="eastAsia" w:asciiTheme="minorEastAsia" w:hAnsiTheme="minorEastAsia" w:eastAsiaTheme="minorEastAsia" w:cstheme="minorEastAsia"/>
                <w:b w:val="0"/>
                <w:bCs w:val="0"/>
                <w:color w:val="auto"/>
                <w:sz w:val="21"/>
                <w:szCs w:val="21"/>
                <w:highlight w:val="none"/>
                <w:lang w:bidi="ar"/>
              </w:rPr>
              <w:t>GB/T18204.2-2014</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bidi="ar"/>
              </w:rPr>
              <w:t>《居住区大气中甲醛卫生检验标准方法 分光光度法》GB/T16129-1995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大气压力表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空气采样器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分光光度计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天平</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皂膜流量计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9.2</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氨*</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温度计</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靛酚蓝分光光度法</w:t>
            </w: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《公共场所卫生检验方法第</w:t>
            </w:r>
            <w:r>
              <w:rPr>
                <w:rStyle w:val="34"/>
                <w:rFonts w:hint="eastAsia" w:asciiTheme="minorEastAsia" w:hAnsiTheme="minorEastAsia" w:eastAsiaTheme="minorEastAsia" w:cstheme="minorEastAsia"/>
                <w:b w:val="0"/>
                <w:bCs w:val="0"/>
                <w:color w:val="auto"/>
                <w:sz w:val="21"/>
                <w:szCs w:val="21"/>
                <w:highlight w:val="none"/>
                <w:lang w:bidi="ar"/>
              </w:rPr>
              <w:t>2</w:t>
            </w:r>
            <w:r>
              <w:rPr>
                <w:rStyle w:val="33"/>
                <w:rFonts w:hint="eastAsia" w:asciiTheme="minorEastAsia" w:hAnsiTheme="minorEastAsia" w:eastAsiaTheme="minorEastAsia" w:cstheme="minorEastAsia"/>
                <w:b w:val="0"/>
                <w:bCs w:val="0"/>
                <w:color w:val="auto"/>
                <w:sz w:val="21"/>
                <w:szCs w:val="21"/>
                <w:highlight w:val="none"/>
                <w:lang w:bidi="ar"/>
              </w:rPr>
              <w:t>部分：化学污染物》</w:t>
            </w:r>
            <w:r>
              <w:rPr>
                <w:rStyle w:val="34"/>
                <w:rFonts w:hint="eastAsia" w:asciiTheme="minorEastAsia" w:hAnsiTheme="minorEastAsia" w:eastAsiaTheme="minorEastAsia" w:cstheme="minorEastAsia"/>
                <w:b w:val="0"/>
                <w:bCs w:val="0"/>
                <w:color w:val="auto"/>
                <w:sz w:val="21"/>
                <w:szCs w:val="21"/>
                <w:highlight w:val="none"/>
                <w:lang w:bidi="ar"/>
              </w:rPr>
              <w:t>GB/T18204.2-2014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大气压力表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空气采样器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分光光度计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天平</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皂膜流量计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9.3</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TVOC*</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恒流采样器</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《民用建筑工程室内环境污染控制标准》</w:t>
            </w:r>
            <w:r>
              <w:rPr>
                <w:rStyle w:val="34"/>
                <w:rFonts w:hint="eastAsia" w:asciiTheme="minorEastAsia" w:hAnsiTheme="minorEastAsia" w:eastAsiaTheme="minorEastAsia" w:cstheme="minorEastAsia"/>
                <w:b w:val="0"/>
                <w:bCs w:val="0"/>
                <w:color w:val="auto"/>
                <w:sz w:val="21"/>
                <w:szCs w:val="21"/>
                <w:highlight w:val="none"/>
                <w:lang w:bidi="ar"/>
              </w:rPr>
              <w:t xml:space="preserve"> GB50325-2020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皂膜流量计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温度计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大气压力表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热解吸装置</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气相色谱仪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9.4</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苯*</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恒流采样器</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《民用建筑工程室内环境污染控制标准》</w:t>
            </w:r>
            <w:r>
              <w:rPr>
                <w:rStyle w:val="34"/>
                <w:rFonts w:hint="eastAsia" w:asciiTheme="minorEastAsia" w:hAnsiTheme="minorEastAsia" w:eastAsiaTheme="minorEastAsia" w:cstheme="minorEastAsia"/>
                <w:b w:val="0"/>
                <w:bCs w:val="0"/>
                <w:color w:val="auto"/>
                <w:sz w:val="21"/>
                <w:szCs w:val="21"/>
                <w:highlight w:val="none"/>
                <w:lang w:bidi="ar"/>
              </w:rPr>
              <w:t xml:space="preserve"> GB50325-2020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皂膜流量计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温度计</w:t>
            </w:r>
          </w:p>
        </w:tc>
        <w:tc>
          <w:tcPr>
            <w:tcW w:w="2126"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大气压力表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热解吸装置</w:t>
            </w:r>
          </w:p>
        </w:tc>
        <w:tc>
          <w:tcPr>
            <w:tcW w:w="2126" w:type="dxa"/>
            <w:vMerge w:val="restar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气相色谱仪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9.5</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氡*</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泵吸静电收集测氡仪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泵吸静电收集能谱分析法</w:t>
            </w: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《民用建筑工程室内环境污染控制标准》</w:t>
            </w:r>
            <w:r>
              <w:rPr>
                <w:rStyle w:val="34"/>
                <w:rFonts w:hint="eastAsia" w:asciiTheme="minorEastAsia" w:hAnsiTheme="minorEastAsia" w:eastAsiaTheme="minorEastAsia" w:cstheme="minorEastAsia"/>
                <w:b w:val="0"/>
                <w:bCs w:val="0"/>
                <w:color w:val="auto"/>
                <w:sz w:val="21"/>
                <w:szCs w:val="21"/>
                <w:highlight w:val="none"/>
                <w:lang w:bidi="ar"/>
              </w:rPr>
              <w:t xml:space="preserve"> GB50325-2020</w:t>
            </w:r>
          </w:p>
          <w:p>
            <w:pPr>
              <w:pStyle w:val="2"/>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b w:val="0"/>
                <w:bCs w:val="0"/>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bidi="ar"/>
              </w:rPr>
              <w:t>《建筑室内空气中氡检测方法标准》T/CECS 569-2019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泵吸闪烁室测氡仪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泵吸闪烁室法</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泵吸脉冲电离室测氡仪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泵吸脉冲电离室法</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活性炭采样盒、低本底多道</w:t>
            </w:r>
            <w:r>
              <w:rPr>
                <w:rStyle w:val="34"/>
                <w:rFonts w:hint="eastAsia" w:asciiTheme="minorEastAsia" w:hAnsiTheme="minorEastAsia" w:eastAsiaTheme="minorEastAsia" w:cstheme="minorEastAsia"/>
                <w:b w:val="0"/>
                <w:bCs w:val="0"/>
                <w:color w:val="auto"/>
                <w:sz w:val="21"/>
                <w:szCs w:val="21"/>
                <w:highlight w:val="none"/>
                <w:lang w:bidi="ar"/>
              </w:rPr>
              <w:t>γ</w:t>
            </w:r>
            <w:r>
              <w:rPr>
                <w:rStyle w:val="33"/>
                <w:rFonts w:hint="eastAsia" w:asciiTheme="minorEastAsia" w:hAnsiTheme="minorEastAsia" w:eastAsiaTheme="minorEastAsia" w:cstheme="minorEastAsia"/>
                <w:b w:val="0"/>
                <w:bCs w:val="0"/>
                <w:color w:val="auto"/>
                <w:sz w:val="21"/>
                <w:szCs w:val="21"/>
                <w:highlight w:val="none"/>
                <w:lang w:bidi="ar"/>
              </w:rPr>
              <w:t>能谱仪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活性炭盒一低本底多道</w:t>
            </w:r>
            <w:r>
              <w:rPr>
                <w:rStyle w:val="34"/>
                <w:rFonts w:hint="eastAsia" w:asciiTheme="minorEastAsia" w:hAnsiTheme="minorEastAsia" w:eastAsiaTheme="minorEastAsia" w:cstheme="minorEastAsia"/>
                <w:b w:val="0"/>
                <w:bCs w:val="0"/>
                <w:color w:val="auto"/>
                <w:sz w:val="21"/>
                <w:szCs w:val="21"/>
                <w:highlight w:val="none"/>
                <w:lang w:bidi="ar"/>
              </w:rPr>
              <w:t>γ</w:t>
            </w:r>
            <w:r>
              <w:rPr>
                <w:rStyle w:val="33"/>
                <w:rFonts w:hint="eastAsia" w:asciiTheme="minorEastAsia" w:hAnsiTheme="minorEastAsia" w:eastAsiaTheme="minorEastAsia" w:cstheme="minorEastAsia"/>
                <w:b w:val="0"/>
                <w:bCs w:val="0"/>
                <w:color w:val="auto"/>
                <w:sz w:val="21"/>
                <w:szCs w:val="21"/>
                <w:highlight w:val="none"/>
                <w:lang w:bidi="ar"/>
              </w:rPr>
              <w:t>谱仪法</w:t>
            </w: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9.6</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甲苯*</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恒流采样器</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《民用建筑工程室内环境污染控制标准》</w:t>
            </w:r>
            <w:r>
              <w:rPr>
                <w:rStyle w:val="34"/>
                <w:rFonts w:hint="eastAsia" w:asciiTheme="minorEastAsia" w:hAnsiTheme="minorEastAsia" w:eastAsiaTheme="minorEastAsia" w:cstheme="minorEastAsia"/>
                <w:b w:val="0"/>
                <w:bCs w:val="0"/>
                <w:color w:val="auto"/>
                <w:sz w:val="21"/>
                <w:szCs w:val="21"/>
                <w:highlight w:val="none"/>
                <w:lang w:bidi="ar"/>
              </w:rPr>
              <w:t xml:space="preserve"> GB50325-2020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皂膜流量计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温度计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大气压力表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热解吸装置</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气相色谱仪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9.7</w:t>
            </w:r>
          </w:p>
        </w:tc>
        <w:tc>
          <w:tcPr>
            <w:tcW w:w="16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二甲苯*</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恒流采样器</w:t>
            </w:r>
          </w:p>
        </w:tc>
        <w:tc>
          <w:tcPr>
            <w:tcW w:w="212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《民用建筑工程室内环境污染控制标准》</w:t>
            </w:r>
            <w:r>
              <w:rPr>
                <w:rStyle w:val="34"/>
                <w:rFonts w:hint="eastAsia" w:asciiTheme="minorEastAsia" w:hAnsiTheme="minorEastAsia" w:eastAsiaTheme="minorEastAsia" w:cstheme="minorEastAsia"/>
                <w:b w:val="0"/>
                <w:bCs w:val="0"/>
                <w:color w:val="auto"/>
                <w:sz w:val="21"/>
                <w:szCs w:val="21"/>
                <w:highlight w:val="none"/>
                <w:lang w:bidi="ar"/>
              </w:rPr>
              <w:t xml:space="preserve"> GB50325-2020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皂膜流量计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温度计</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大气压力表</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热解吸装置</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p>
        </w:tc>
        <w:tc>
          <w:tcPr>
            <w:tcW w:w="160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气相色谱仪</w:t>
            </w:r>
          </w:p>
        </w:tc>
        <w:tc>
          <w:tcPr>
            <w:tcW w:w="2126"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c>
          <w:tcPr>
            <w:tcW w:w="439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val="0"/>
                <w:bCs w:val="0"/>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7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p>
        </w:tc>
        <w:tc>
          <w:tcPr>
            <w:tcW w:w="74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9.8</w:t>
            </w:r>
          </w:p>
        </w:tc>
        <w:tc>
          <w:tcPr>
            <w:tcW w:w="16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土壤中的氡*</w:t>
            </w:r>
          </w:p>
        </w:tc>
        <w:tc>
          <w:tcPr>
            <w:tcW w:w="326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测氡仪</w:t>
            </w:r>
          </w:p>
        </w:tc>
        <w:tc>
          <w:tcPr>
            <w:tcW w:w="2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p>
        </w:tc>
        <w:tc>
          <w:tcPr>
            <w:tcW w:w="439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《民用建筑工程室内环境污染控制标准》</w:t>
            </w:r>
            <w:r>
              <w:rPr>
                <w:rStyle w:val="34"/>
                <w:rFonts w:hint="eastAsia" w:asciiTheme="minorEastAsia" w:hAnsiTheme="minorEastAsia" w:eastAsiaTheme="minorEastAsia" w:cstheme="minorEastAsia"/>
                <w:b w:val="0"/>
                <w:bCs w:val="0"/>
                <w:color w:val="auto"/>
                <w:sz w:val="21"/>
                <w:szCs w:val="21"/>
                <w:highlight w:val="none"/>
                <w:lang w:bidi="ar"/>
              </w:rPr>
              <w:t xml:space="preserve"> GB50325-2020</w:t>
            </w: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br w:type="page"/>
      </w:r>
    </w:p>
    <w:p>
      <w:pPr>
        <w:pStyle w:val="2"/>
        <w:rPr>
          <w:rFonts w:hint="eastAsia"/>
          <w:highlight w:val="none"/>
        </w:rPr>
      </w:pPr>
    </w:p>
    <w:p>
      <w:pPr>
        <w:pStyle w:val="2"/>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表三 </w:t>
      </w:r>
      <w:r>
        <w:rPr>
          <w:rFonts w:hint="eastAsia" w:ascii="黑体" w:hAnsi="黑体" w:eastAsia="黑体" w:cs="黑体"/>
          <w:sz w:val="32"/>
          <w:szCs w:val="32"/>
          <w:highlight w:val="none"/>
        </w:rPr>
        <w:t>钢结构）</w:t>
      </w:r>
    </w:p>
    <w:tbl>
      <w:tblPr>
        <w:tblStyle w:val="14"/>
        <w:tblW w:w="1442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738"/>
        <w:gridCol w:w="690"/>
        <w:gridCol w:w="821"/>
        <w:gridCol w:w="802"/>
        <w:gridCol w:w="3402"/>
        <w:gridCol w:w="1984"/>
        <w:gridCol w:w="524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项目</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738" w:type="dxa"/>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检测项目</w:t>
            </w:r>
          </w:p>
        </w:tc>
        <w:tc>
          <w:tcPr>
            <w:tcW w:w="690" w:type="dxa"/>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参数</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1623" w:type="dxa"/>
            <w:gridSpan w:val="2"/>
            <w:noWrap/>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检测参数</w:t>
            </w:r>
          </w:p>
        </w:tc>
        <w:tc>
          <w:tcPr>
            <w:tcW w:w="3402" w:type="dxa"/>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主要设备名称</w:t>
            </w:r>
          </w:p>
        </w:tc>
        <w:tc>
          <w:tcPr>
            <w:tcW w:w="1984" w:type="dxa"/>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试验方法要求</w:t>
            </w:r>
          </w:p>
        </w:tc>
        <w:tc>
          <w:tcPr>
            <w:tcW w:w="5245" w:type="dxa"/>
            <w:noWrap/>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参考标准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restart"/>
            <w:noWrap w:val="0"/>
            <w:vAlign w:val="center"/>
          </w:tcPr>
          <w:p>
            <w:pPr>
              <w:widowControl/>
              <w:jc w:val="center"/>
              <w:textAlignment w:val="center"/>
              <w:rPr>
                <w:rFonts w:hint="eastAsia" w:ascii="宋体" w:hAnsi="宋体" w:cs="宋体"/>
                <w:b/>
                <w:bCs/>
                <w:color w:val="000000"/>
                <w:kern w:val="0"/>
                <w:szCs w:val="21"/>
                <w:highlight w:val="none"/>
                <w:lang w:bidi="ar"/>
              </w:rPr>
            </w:pPr>
          </w:p>
          <w:p>
            <w:pPr>
              <w:widowControl/>
              <w:jc w:val="center"/>
              <w:textAlignment w:val="center"/>
              <w:rPr>
                <w:rFonts w:hint="eastAsia" w:ascii="宋体" w:hAnsi="宋体" w:cs="宋体"/>
                <w:b/>
                <w:bCs/>
                <w:color w:val="000000"/>
                <w:kern w:val="0"/>
                <w:szCs w:val="21"/>
                <w:highlight w:val="none"/>
                <w:lang w:bidi="ar"/>
              </w:rPr>
            </w:pP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1</w:t>
            </w:r>
          </w:p>
        </w:tc>
        <w:tc>
          <w:tcPr>
            <w:tcW w:w="738"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钢材及焊接材料</w:t>
            </w:r>
          </w:p>
        </w:tc>
        <w:tc>
          <w:tcPr>
            <w:tcW w:w="690"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1.1</w:t>
            </w:r>
          </w:p>
        </w:tc>
        <w:tc>
          <w:tcPr>
            <w:tcW w:w="1623" w:type="dxa"/>
            <w:gridSpan w:val="2"/>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屈服强度</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万能试验机/拉力试验机</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《金属材料 拉伸试验 第1部分：室温试验方法》GB/T 228.1-2021</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《金属材料焊缝破坏性试验 熔化焊接头焊缝金属纵向拉伸试验》(GB/T 2652-2022)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widowControl/>
              <w:jc w:val="center"/>
              <w:textAlignment w:val="center"/>
              <w:rPr>
                <w:rFonts w:ascii="宋体" w:hAnsi="宋体" w:cs="宋体"/>
                <w:b/>
                <w:bCs/>
                <w:color w:val="000000"/>
                <w:kern w:val="0"/>
                <w:szCs w:val="21"/>
                <w:highlight w:val="none"/>
                <w:lang w:bidi="ar"/>
              </w:rPr>
            </w:pPr>
          </w:p>
        </w:tc>
        <w:tc>
          <w:tcPr>
            <w:tcW w:w="738" w:type="dxa"/>
            <w:vMerge w:val="continue"/>
            <w:noWrap w:val="0"/>
            <w:vAlign w:val="center"/>
          </w:tcPr>
          <w:p>
            <w:pPr>
              <w:widowControl/>
              <w:jc w:val="center"/>
              <w:textAlignment w:val="center"/>
              <w:rPr>
                <w:rFonts w:ascii="宋体" w:hAnsi="宋体" w:cs="宋体"/>
                <w:b/>
                <w:bCs/>
                <w:color w:val="000000"/>
                <w:kern w:val="0"/>
                <w:szCs w:val="21"/>
                <w:highlight w:val="none"/>
                <w:lang w:bidi="ar"/>
              </w:rPr>
            </w:pPr>
          </w:p>
        </w:tc>
        <w:tc>
          <w:tcPr>
            <w:tcW w:w="690"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1.2</w:t>
            </w:r>
          </w:p>
        </w:tc>
        <w:tc>
          <w:tcPr>
            <w:tcW w:w="1623" w:type="dxa"/>
            <w:gridSpan w:val="2"/>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抗拉强度</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万能试验机/拉力试验机</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《金属材料 拉伸试验 第1部分：室温试验方法》GB/T 228.1-2021</w:t>
            </w:r>
          </w:p>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《金属材料焊缝破坏性试验 横向拉伸试验》GB/T 2651-2023</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《金属材料焊缝破坏性试验 熔化焊接头焊缝金属纵向拉伸试验》(GB/T 2652-2022)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widowControl/>
              <w:jc w:val="center"/>
              <w:textAlignment w:val="center"/>
              <w:rPr>
                <w:rFonts w:ascii="宋体" w:hAnsi="宋体" w:cs="宋体"/>
                <w:b/>
                <w:bCs/>
                <w:color w:val="000000"/>
                <w:kern w:val="0"/>
                <w:szCs w:val="21"/>
                <w:highlight w:val="none"/>
                <w:lang w:bidi="ar"/>
              </w:rPr>
            </w:pPr>
          </w:p>
        </w:tc>
        <w:tc>
          <w:tcPr>
            <w:tcW w:w="738" w:type="dxa"/>
            <w:vMerge w:val="continue"/>
            <w:noWrap w:val="0"/>
            <w:vAlign w:val="center"/>
          </w:tcPr>
          <w:p>
            <w:pPr>
              <w:widowControl/>
              <w:jc w:val="center"/>
              <w:textAlignment w:val="center"/>
              <w:rPr>
                <w:rFonts w:ascii="宋体" w:hAnsi="宋体" w:cs="宋体"/>
                <w:b/>
                <w:bCs/>
                <w:color w:val="000000"/>
                <w:kern w:val="0"/>
                <w:szCs w:val="21"/>
                <w:highlight w:val="none"/>
                <w:lang w:bidi="ar"/>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伸长率</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万能试验机/拉力试验机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《金属材料 拉伸试验 第1部分：室温试验方法》GB/T 228.1-2021</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《金属材料焊缝破坏性试验 熔化焊接头焊缝金属纵向拉伸试验》(GB/T 2652-2022)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widowControl/>
              <w:jc w:val="center"/>
              <w:textAlignment w:val="center"/>
              <w:rPr>
                <w:color w:val="000000"/>
                <w:szCs w:val="21"/>
                <w:highlight w:val="none"/>
              </w:rPr>
            </w:pPr>
          </w:p>
        </w:tc>
        <w:tc>
          <w:tcPr>
            <w:tcW w:w="738" w:type="dxa"/>
            <w:vMerge w:val="continue"/>
            <w:noWrap w:val="0"/>
            <w:vAlign w:val="center"/>
          </w:tcPr>
          <w:p>
            <w:pPr>
              <w:widowControl/>
              <w:jc w:val="center"/>
              <w:textAlignment w:val="center"/>
              <w:rPr>
                <w:color w:val="000000"/>
                <w:szCs w:val="21"/>
                <w:highlight w:val="none"/>
              </w:rPr>
            </w:pPr>
          </w:p>
        </w:tc>
        <w:tc>
          <w:tcPr>
            <w:tcW w:w="690" w:type="dxa"/>
            <w:vMerge w:val="continue"/>
            <w:noWrap w:val="0"/>
            <w:vAlign w:val="center"/>
          </w:tcPr>
          <w:p>
            <w:pPr>
              <w:widowControl/>
              <w:jc w:val="center"/>
              <w:textAlignment w:val="center"/>
              <w:rPr>
                <w:color w:val="000000"/>
                <w:szCs w:val="21"/>
                <w:highlight w:val="none"/>
              </w:rPr>
            </w:pPr>
          </w:p>
        </w:tc>
        <w:tc>
          <w:tcPr>
            <w:tcW w:w="1623" w:type="dxa"/>
            <w:gridSpan w:val="2"/>
            <w:vMerge w:val="continue"/>
            <w:noWrap w:val="0"/>
            <w:vAlign w:val="center"/>
          </w:tcPr>
          <w:p>
            <w:pPr>
              <w:widowControl/>
              <w:jc w:val="center"/>
              <w:textAlignment w:val="center"/>
              <w:rPr>
                <w:color w:val="000000"/>
                <w:szCs w:val="21"/>
                <w:highlight w:val="none"/>
              </w:rPr>
            </w:pPr>
          </w:p>
        </w:tc>
        <w:tc>
          <w:tcPr>
            <w:tcW w:w="3402" w:type="dxa"/>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rPr>
              <w:t>标距仪</w:t>
            </w:r>
          </w:p>
        </w:tc>
        <w:tc>
          <w:tcPr>
            <w:tcW w:w="1984"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5245"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738"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690"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1623" w:type="dxa"/>
            <w:gridSpan w:val="2"/>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3402" w:type="dxa"/>
            <w:noWrap w:val="0"/>
            <w:vAlign w:val="center"/>
          </w:tcPr>
          <w:p>
            <w:pPr>
              <w:pStyle w:val="2"/>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游标卡尺</w:t>
            </w:r>
          </w:p>
          <w:p>
            <w:pPr>
              <w:widowControl/>
              <w:jc w:val="center"/>
              <w:textAlignment w:val="center"/>
              <w:rPr>
                <w:rFonts w:hint="eastAsia" w:ascii="宋体" w:hAnsi="宋体" w:cs="宋体"/>
                <w:color w:val="000000"/>
                <w:kern w:val="0"/>
                <w:szCs w:val="21"/>
                <w:highlight w:val="none"/>
                <w:lang w:bidi="ar"/>
              </w:rPr>
            </w:pPr>
          </w:p>
        </w:tc>
        <w:tc>
          <w:tcPr>
            <w:tcW w:w="1984"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5245"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1.4</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厚度偏差</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游标卡尺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《钢结构工程施工质量验收标准》GB 50205-2020</w:t>
            </w:r>
          </w:p>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《钢结构现场检测技术标准》GB/T 50621-2010</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《无损检测 超声测厚》GB/T11344-2021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超声波测厚仪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1.5</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断面收缩率*</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万能试验机/拉力试验机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《金属材料 拉伸试验 第1部分：室温试验方法》GB/T 228.1-2021</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《金属材料焊缝破坏性试验 熔化焊接头焊缝金属纵向拉伸试验》GB/T 2652-2022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游标卡尺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1.6</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硬度*</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洛氏硬度计</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《金属材料 洛氏硬度试验 第1部分：试验方法》GB/T 230.1-2018</w:t>
            </w:r>
          </w:p>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《金属材料 维氏硬度试验 第1部分：试验方法》GB/T 4340.1-2009</w:t>
            </w:r>
          </w:p>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《金属材料 布氏硬度试验 第1部分：试验方法》GB/T 231.1-2018</w:t>
            </w:r>
          </w:p>
          <w:p>
            <w:pPr>
              <w:widowControl/>
              <w:jc w:val="left"/>
              <w:textAlignment w:val="center"/>
              <w:rPr>
                <w:rFonts w:ascii="宋体" w:hAnsi="宋体" w:cs="宋体"/>
                <w:color w:val="000000"/>
                <w:szCs w:val="21"/>
                <w:highlight w:val="none"/>
              </w:rPr>
            </w:pPr>
            <w:r>
              <w:rPr>
                <w:rStyle w:val="37"/>
                <w:rFonts w:hint="default"/>
                <w:color w:val="000000"/>
                <w:sz w:val="21"/>
                <w:szCs w:val="21"/>
                <w:highlight w:val="none"/>
                <w:lang w:bidi="ar"/>
              </w:rPr>
              <w:t>《金属材料 里氏硬度试验 第1部分：试验方法》GB/T 17394.1-2014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维氏硬度计*</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布氏硬度计*</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里氏硬度计*</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1.7</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冲击韧性*</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夏比摆锤冲击试验机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《金属材料 夏比摆锤冲击试验方法》GB/T 229-2020</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《金属材料焊缝破坏性试验  冲击试验》GB/T 2650-2022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冲击试验低温槽</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冲击试样缺口电动拉床*</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冲击试样缺口投影仪</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金相显微镜</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1.8</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冷弯性能*</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弯曲试验机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《金属材料 弯曲试验方法》GB/T 232-2010 </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《焊接接头弯曲试验方法》GB/T 2653-2008</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《金属材料 管 弯曲试验方法》GB/T 244-2020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带有支辊式弯曲装置</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V型模具式弯曲装置</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虎钳式弯曲装置的万能试验机</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压力试验机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钢管弯曲试验机*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1.9</w:t>
            </w:r>
          </w:p>
        </w:tc>
        <w:tc>
          <w:tcPr>
            <w:tcW w:w="821" w:type="dxa"/>
            <w:vMerge w:val="restart"/>
            <w:tcBorders>
              <w:right w:val="single" w:color="auto" w:sz="4" w:space="0"/>
            </w:tcBorders>
            <w:noWrap w:val="0"/>
            <w:vAlign w:val="bottom"/>
          </w:tcPr>
          <w:p>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钢材元素含量</w:t>
            </w:r>
            <w:r>
              <w:rPr>
                <w:rFonts w:hint="eastAsia" w:ascii="宋体" w:hAnsi="宋体" w:cs="宋体"/>
                <w:color w:val="000000"/>
                <w:szCs w:val="21"/>
                <w:highlight w:val="none"/>
                <w:lang w:val="en-US" w:eastAsia="zh-CN"/>
              </w:rPr>
              <w:t>*</w:t>
            </w:r>
          </w:p>
        </w:tc>
        <w:tc>
          <w:tcPr>
            <w:tcW w:w="802" w:type="dxa"/>
            <w:vMerge w:val="restart"/>
            <w:tcBorders>
              <w:lef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化学成分（C)*</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火花放电原子发射光谱仪</w:t>
            </w:r>
          </w:p>
        </w:tc>
        <w:tc>
          <w:tcPr>
            <w:tcW w:w="1984"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火花放电光谱法</w:t>
            </w:r>
          </w:p>
        </w:tc>
        <w:tc>
          <w:tcPr>
            <w:tcW w:w="5245" w:type="dxa"/>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《碳素钢和中低合金钢多元素含量的测定火花放电原子发射光谱法（常规法）》GB/T 4336-2016</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《不锈钢 多元素含量的测定 火花放电原子发射光谱法（常规法）》GB/T 11170-2008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碳硫测定仪高频感应炉和红外碳硫分析仪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红外吸收光谱法</w:t>
            </w: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钢铁总碳硫含量的测定 高频感应炉燃烧后红外吸收法》（常规方法）GB/T 20123-2006</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GB/T 223.86-2009 钢铁及合金 总碳含量的测定 感应炉燃烧后红外吸收法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电子天平</w:t>
            </w:r>
            <w:r>
              <w:rPr>
                <w:rFonts w:hint="eastAsia" w:ascii="宋体" w:hAnsi="宋体" w:cs="宋体"/>
                <w:color w:val="000000"/>
                <w:kern w:val="0"/>
                <w:szCs w:val="21"/>
                <w:highlight w:val="none"/>
              </w:rPr>
              <w:t>（万分之一）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管式炉</w:t>
            </w:r>
          </w:p>
        </w:tc>
        <w:tc>
          <w:tcPr>
            <w:tcW w:w="1984" w:type="dxa"/>
            <w:vMerge w:val="restart"/>
            <w:noWrap w:val="0"/>
            <w:vAlign w:val="center"/>
          </w:tcPr>
          <w:p>
            <w:pPr>
              <w:widowControl/>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气体容量法</w:t>
            </w:r>
          </w:p>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223.69-2008 钢铁及合金 碳含量的测定 管式炉内燃烧后气体容量法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定碳仪（气体体积测量仪）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电子天平</w:t>
            </w:r>
            <w:r>
              <w:rPr>
                <w:rFonts w:hint="eastAsia" w:ascii="宋体" w:hAnsi="宋体" w:cs="宋体"/>
                <w:color w:val="000000"/>
                <w:kern w:val="0"/>
                <w:szCs w:val="21"/>
                <w:highlight w:val="none"/>
              </w:rPr>
              <w:t>（万分之一）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管式炉</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重量法</w:t>
            </w: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GB/T 223.71-1997钢铁及合金化学分析方法 管式炉内燃烧后重量法测定碳含量</w:t>
            </w:r>
          </w:p>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电子天平</w:t>
            </w:r>
            <w:r>
              <w:rPr>
                <w:rFonts w:hint="eastAsia" w:ascii="宋体" w:hAnsi="宋体" w:cs="宋体"/>
                <w:color w:val="000000"/>
                <w:kern w:val="0"/>
                <w:szCs w:val="21"/>
                <w:highlight w:val="none"/>
              </w:rPr>
              <w:t>（万分之一）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管式炉</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非化合碳含量测试方法</w:t>
            </w: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《钢铁及合金化学分析方法 非化合碳含量的测定》GB/T 223.74-1997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rPr>
              <w:t>天平</w:t>
            </w:r>
            <w:r>
              <w:rPr>
                <w:rFonts w:hint="eastAsia" w:ascii="宋体" w:hAnsi="宋体" w:cs="宋体"/>
                <w:color w:val="000000"/>
                <w:kern w:val="0"/>
                <w:szCs w:val="21"/>
                <w:highlight w:val="none"/>
                <w:lang w:bidi="ar"/>
              </w:rPr>
              <w:t>（万分之一）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widowControl/>
              <w:jc w:val="center"/>
              <w:textAlignment w:val="center"/>
              <w:rPr>
                <w:rFonts w:ascii="宋体" w:hAnsi="宋体" w:cs="宋体"/>
                <w:color w:val="000000"/>
                <w:szCs w:val="21"/>
                <w:highlight w:val="none"/>
              </w:rPr>
            </w:pPr>
          </w:p>
        </w:tc>
        <w:tc>
          <w:tcPr>
            <w:tcW w:w="802" w:type="dxa"/>
            <w:vMerge w:val="restart"/>
            <w:tcBorders>
              <w:left w:val="single" w:color="auto" w:sz="4" w:space="0"/>
            </w:tcBorders>
            <w:noWrap w:val="0"/>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化学成分</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（S)*</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火花放电原子发射光谱仪</w:t>
            </w:r>
          </w:p>
        </w:tc>
        <w:tc>
          <w:tcPr>
            <w:tcW w:w="1984"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火花放电光谱法</w:t>
            </w:r>
          </w:p>
        </w:tc>
        <w:tc>
          <w:tcPr>
            <w:tcW w:w="5245"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《碳素钢和中低合金钢多元素含量的测定火花放电原子发射光谱法（常规法）》GB/T 4336-2016</w:t>
            </w:r>
          </w:p>
          <w:p>
            <w:pPr>
              <w:pStyle w:val="2"/>
              <w:rPr>
                <w:color w:val="000000"/>
                <w:highlight w:val="none"/>
                <w:lang w:bidi="ar"/>
              </w:rPr>
            </w:pPr>
            <w:r>
              <w:rPr>
                <w:rFonts w:hint="eastAsia" w:ascii="宋体" w:hAnsi="宋体" w:cs="宋体"/>
                <w:color w:val="000000"/>
                <w:szCs w:val="21"/>
                <w:highlight w:val="none"/>
              </w:rPr>
              <w:t>《不锈钢 多元素含量的测定 火花放电原子发射光谱法（常规法）》GB/T 11170-2008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碳硫测定仪高频感应炉和红外碳硫分析仪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红外吸收光谱法</w:t>
            </w: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钢铁总碳硫含量的测定 高频感应炉燃烧后红外吸收法》（常规方法）GB/T 20123-2006</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GB/T 223.83-2009 钢铁及合金 高硫含量的测定 感应炉燃烧后红外吸收法</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GB/T 223.85-2009 钢铁及合金 硫含量的测定 感应炉燃烧后红外吸收法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天平（万分之一）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还原蒸馏装置</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分光光度法</w:t>
            </w: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223.67-2008 钢铁及合金 硫含量的测定 次甲基蓝分光光度法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分光光度计</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天平（万分之一）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管式炉</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滴定法</w:t>
            </w: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223.68-1997 钢铁及合金化学分析方法 管式炉内燃烧后碘酸钾滴定法测定硫含量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天平（万分之一）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天平（万分之一）</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重量法</w:t>
            </w: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223.72-2008 钢铁及合金 硫含量的测定 重量法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色层分离装置</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砂轮切割机（切割设备）</w:t>
            </w:r>
          </w:p>
        </w:tc>
        <w:tc>
          <w:tcPr>
            <w:tcW w:w="1984" w:type="dxa"/>
            <w:vMerge w:val="restart"/>
            <w:noWrap w:val="0"/>
            <w:vAlign w:val="center"/>
          </w:tcPr>
          <w:p>
            <w:pPr>
              <w:widowControl/>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X-射线荧光光谱法</w:t>
            </w:r>
          </w:p>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223.79-2007钢铁 多元素含量的测定 X-射线荧光光谱法（常规法）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砂轮机</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砂带研磨机</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磨床</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铣床</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车床（抛光设备）</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X-射线荧光光谱仪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天平（万分之一）</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223.74-1997 钢铁及合金化学分析方法 非化合碳含量的测定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widowControl/>
              <w:jc w:val="center"/>
              <w:textAlignment w:val="center"/>
              <w:rPr>
                <w:rFonts w:ascii="宋体" w:hAnsi="宋体" w:cs="宋体"/>
                <w:color w:val="000000"/>
                <w:szCs w:val="21"/>
                <w:highlight w:val="none"/>
              </w:rPr>
            </w:pPr>
          </w:p>
        </w:tc>
        <w:tc>
          <w:tcPr>
            <w:tcW w:w="802" w:type="dxa"/>
            <w:vMerge w:val="restart"/>
            <w:tcBorders>
              <w:left w:val="single" w:color="auto" w:sz="4" w:space="0"/>
            </w:tcBorders>
            <w:noWrap w:val="0"/>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化学成分</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（P)*</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火花放电原子发射光谱仪</w:t>
            </w:r>
          </w:p>
        </w:tc>
        <w:tc>
          <w:tcPr>
            <w:tcW w:w="1984"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火花放电光谱法</w:t>
            </w:r>
          </w:p>
        </w:tc>
        <w:tc>
          <w:tcPr>
            <w:tcW w:w="5245"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《碳素钢和中低合金钢多元素含量的测定火花放电原子发射光谱法（常规法）》GB/T 4336-2016</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《不锈钢 多元素含量的测定 火花放电原子发射光谱法（常规法）》GB/T 11170-2008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电感耦合等离子体原子发射光谱仪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电感耦合等离子体发射光谱法</w:t>
            </w: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《低合金钢多元素的测定 电感耦合等离子体发射光谱法》GB/T 20125-2006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color w:val="000000"/>
                <w:highlight w:val="none"/>
              </w:rPr>
              <w:t>天平（万分之一）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电热鼓风干燥箱</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重量法</w:t>
            </w: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223.3-1988 钢铁及合金化学分析方法 二安替比林甲烷磷钼酸重量法测定磷量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color w:val="000000"/>
                <w:highlight w:val="none"/>
              </w:rPr>
              <w:t>天平（万分之一）</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分光光度计</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分光光度法</w:t>
            </w: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GB/T 223.59-2008钢铁及合金 磷含量的测定 铋磷钼蓝分光光度法和锑磷钼蓝分光光度法</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223.62-1988 钢铁及合金化学分析方法 乙酸丁酯萃取光度法测定磷量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kern w:val="0"/>
                <w:szCs w:val="21"/>
                <w:highlight w:val="none"/>
                <w:lang w:bidi="ar"/>
              </w:rPr>
            </w:pPr>
            <w:r>
              <w:rPr>
                <w:rFonts w:hint="eastAsia"/>
                <w:color w:val="000000"/>
                <w:highlight w:val="none"/>
              </w:rPr>
              <w:t>天平（万分之一）</w:t>
            </w:r>
          </w:p>
        </w:tc>
        <w:tc>
          <w:tcPr>
            <w:tcW w:w="1984" w:type="dxa"/>
            <w:vMerge w:val="continue"/>
            <w:noWrap w:val="0"/>
            <w:vAlign w:val="center"/>
          </w:tcPr>
          <w:p>
            <w:pPr>
              <w:widowControl/>
              <w:jc w:val="center"/>
              <w:textAlignment w:val="center"/>
              <w:rPr>
                <w:rFonts w:ascii="宋体" w:hAnsi="宋体" w:cs="宋体"/>
                <w:color w:val="000000"/>
                <w:kern w:val="0"/>
                <w:szCs w:val="21"/>
                <w:highlight w:val="none"/>
              </w:rPr>
            </w:pPr>
          </w:p>
        </w:tc>
        <w:tc>
          <w:tcPr>
            <w:tcW w:w="5245" w:type="dxa"/>
            <w:vMerge w:val="continue"/>
            <w:noWrap w:val="0"/>
            <w:vAlign w:val="center"/>
          </w:tcPr>
          <w:p>
            <w:pPr>
              <w:widowControl/>
              <w:jc w:val="left"/>
              <w:textAlignment w:val="center"/>
              <w:rPr>
                <w:rFonts w:ascii="宋体" w:hAnsi="宋体" w:cs="宋体"/>
                <w:color w:val="000000"/>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color w:val="000000"/>
                <w:highlight w:val="none"/>
              </w:rPr>
              <w:t>天平（万分之一）</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容量法</w:t>
            </w:r>
          </w:p>
        </w:tc>
        <w:tc>
          <w:tcPr>
            <w:tcW w:w="5245" w:type="dxa"/>
            <w:vMerge w:val="restart"/>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223.61-1988 钢铁及合金化学分析方法 磷钼酸铵容量法测定磷量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hint="eastAsia"/>
                <w:color w:val="000000"/>
                <w:highlight w:val="none"/>
              </w:rPr>
            </w:pPr>
            <w:r>
              <w:rPr>
                <w:rFonts w:hint="eastAsia"/>
                <w:color w:val="000000"/>
                <w:highlight w:val="none"/>
                <w:lang w:val="en-US" w:eastAsia="zh-CN"/>
              </w:rPr>
              <w:t>滴定管</w:t>
            </w:r>
          </w:p>
        </w:tc>
        <w:tc>
          <w:tcPr>
            <w:tcW w:w="1984" w:type="dxa"/>
            <w:vMerge w:val="continue"/>
            <w:noWrap w:val="0"/>
            <w:vAlign w:val="center"/>
          </w:tcPr>
          <w:p>
            <w:pPr>
              <w:widowControl/>
              <w:jc w:val="center"/>
              <w:textAlignment w:val="center"/>
              <w:rPr>
                <w:rFonts w:hint="eastAsia" w:ascii="宋体" w:hAnsi="宋体" w:cs="宋体"/>
                <w:color w:val="000000"/>
                <w:kern w:val="0"/>
                <w:szCs w:val="21"/>
                <w:highlight w:val="none"/>
              </w:rPr>
            </w:pPr>
          </w:p>
        </w:tc>
        <w:tc>
          <w:tcPr>
            <w:tcW w:w="5245" w:type="dxa"/>
            <w:vMerge w:val="continue"/>
            <w:noWrap w:val="0"/>
            <w:vAlign w:val="center"/>
          </w:tcPr>
          <w:p>
            <w:pPr>
              <w:widowControl/>
              <w:jc w:val="left"/>
              <w:textAlignment w:val="center"/>
              <w:rPr>
                <w:rFonts w:hint="eastAsia" w:ascii="宋体" w:hAnsi="宋体" w:cs="宋体"/>
                <w:color w:val="000000"/>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砂轮切割机（切割设备）</w:t>
            </w:r>
          </w:p>
        </w:tc>
        <w:tc>
          <w:tcPr>
            <w:tcW w:w="1984"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X-射线荧光光谱法</w:t>
            </w:r>
          </w:p>
        </w:tc>
        <w:tc>
          <w:tcPr>
            <w:tcW w:w="5245" w:type="dxa"/>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GB/T 223.79-2007钢铁 多元素含量的测定 X-射线荧光光谱法（常规法）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砂轮机</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砂带研磨机</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磨床</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铣床</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车床（抛光设备）</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restart"/>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821" w:type="dxa"/>
            <w:vMerge w:val="continue"/>
            <w:tcBorders>
              <w:right w:val="single" w:color="auto" w:sz="4" w:space="0"/>
            </w:tcBorders>
            <w:noWrap w:val="0"/>
            <w:vAlign w:val="center"/>
          </w:tcPr>
          <w:p>
            <w:pPr>
              <w:jc w:val="center"/>
              <w:rPr>
                <w:rFonts w:ascii="宋体" w:hAnsi="宋体" w:cs="宋体"/>
                <w:color w:val="000000"/>
                <w:szCs w:val="21"/>
                <w:highlight w:val="none"/>
              </w:rPr>
            </w:pPr>
          </w:p>
        </w:tc>
        <w:tc>
          <w:tcPr>
            <w:tcW w:w="802" w:type="dxa"/>
            <w:vMerge w:val="continue"/>
            <w:tcBorders>
              <w:left w:val="single" w:color="auto" w:sz="4" w:space="0"/>
            </w:tcBorders>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X-射线荧光光谱仪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2</w:t>
            </w:r>
          </w:p>
        </w:tc>
        <w:tc>
          <w:tcPr>
            <w:tcW w:w="738"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焊缝</w:t>
            </w: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2.1</w:t>
            </w:r>
          </w:p>
        </w:tc>
        <w:tc>
          <w:tcPr>
            <w:tcW w:w="1623" w:type="dxa"/>
            <w:gridSpan w:val="2"/>
            <w:vMerge w:val="restart"/>
            <w:noWrap w:val="0"/>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u w:val="single"/>
                <w:lang w:bidi="ar"/>
              </w:rPr>
              <w:t>外观质量</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磁粉探伤仪</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《钢结构工程施工质量验收标准》GB 50205-2020</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《钢结构现场检测技术标准》GB/T 50621-2010</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《焊缝无损检测  磁粉检测》 GB/T 26951-2011</w:t>
            </w:r>
          </w:p>
          <w:p>
            <w:pPr>
              <w:pStyle w:val="2"/>
              <w:rPr>
                <w:rFonts w:hint="eastAsia" w:ascii="宋体" w:hAnsi="宋体" w:cs="宋体"/>
                <w:color w:val="000000"/>
                <w:sz w:val="21"/>
                <w:szCs w:val="21"/>
                <w:highlight w:val="none"/>
                <w:lang w:bidi="ar"/>
              </w:rPr>
            </w:pPr>
            <w:bookmarkStart w:id="94" w:name="OLE_LINK2"/>
            <w:bookmarkStart w:id="95" w:name="OLE_LINK1"/>
            <w:r>
              <w:rPr>
                <w:rFonts w:hint="eastAsia" w:ascii="宋体" w:hAnsi="宋体" w:cs="宋体"/>
                <w:color w:val="000000"/>
                <w:sz w:val="21"/>
                <w:szCs w:val="21"/>
                <w:highlight w:val="none"/>
                <w:lang w:bidi="ar"/>
              </w:rPr>
              <w:t>《焊缝无损检测  磁粉检测验收等级 》 GB/T 26952-2011</w:t>
            </w:r>
            <w:bookmarkEnd w:id="94"/>
            <w:bookmarkEnd w:id="95"/>
          </w:p>
          <w:p>
            <w:pPr>
              <w:pStyle w:val="2"/>
              <w:rPr>
                <w:rFonts w:ascii="宋体" w:hAnsi="宋体" w:cs="宋体"/>
                <w:color w:val="000000"/>
                <w:sz w:val="21"/>
                <w:szCs w:val="21"/>
                <w:highlight w:val="none"/>
                <w:lang w:bidi="ar"/>
              </w:rPr>
            </w:pPr>
            <w:r>
              <w:rPr>
                <w:rFonts w:hint="eastAsia" w:ascii="宋体" w:hAnsi="宋体" w:cs="宋体"/>
                <w:color w:val="000000"/>
                <w:sz w:val="21"/>
                <w:szCs w:val="21"/>
                <w:highlight w:val="none"/>
                <w:lang w:bidi="ar"/>
              </w:rPr>
              <w:t>《铸钢件磁粉检测》GB/T 9444-2019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磁粉探伤机提升力测试试块</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磁粉探伤用灵敏度试片</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黑光灯（荧光磁粉探伤时）</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2.2</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内部缺陷探伤（超声法）</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数字式超声探伤仪</w:t>
            </w:r>
          </w:p>
        </w:tc>
        <w:tc>
          <w:tcPr>
            <w:tcW w:w="1984"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主机与探头系统灵敏度余量≥10dB</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远场分辨率：</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直探头≥30dB</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斜探头≥6dB</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水平线性误差</w:t>
            </w:r>
            <w:r>
              <w:rPr>
                <w:rFonts w:ascii="Calibri" w:hAnsi="Calibri" w:cs="Calibri"/>
                <w:color w:val="000000"/>
                <w:kern w:val="0"/>
                <w:szCs w:val="21"/>
                <w:highlight w:val="none"/>
                <w:lang w:bidi="ar"/>
              </w:rPr>
              <w:t>≤</w:t>
            </w:r>
            <w:r>
              <w:rPr>
                <w:rFonts w:hint="eastAsia" w:ascii="宋体" w:hAnsi="宋体" w:cs="宋体"/>
                <w:color w:val="000000"/>
                <w:kern w:val="0"/>
                <w:szCs w:val="21"/>
                <w:highlight w:val="none"/>
                <w:lang w:bidi="ar"/>
              </w:rPr>
              <w:t>±2%</w:t>
            </w:r>
          </w:p>
          <w:p>
            <w:pPr>
              <w:pStyle w:val="2"/>
              <w:rPr>
                <w:color w:val="000000"/>
                <w:sz w:val="21"/>
                <w:szCs w:val="21"/>
                <w:highlight w:val="none"/>
              </w:rPr>
            </w:pPr>
            <w:r>
              <w:rPr>
                <w:rFonts w:hint="eastAsia" w:ascii="宋体" w:hAnsi="宋体" w:cs="宋体"/>
                <w:color w:val="000000"/>
                <w:sz w:val="21"/>
                <w:szCs w:val="21"/>
                <w:highlight w:val="none"/>
                <w:lang w:bidi="ar"/>
              </w:rPr>
              <w:t>垂直线性误差</w:t>
            </w:r>
            <w:r>
              <w:rPr>
                <w:rFonts w:ascii="Calibri" w:hAnsi="Calibri" w:cs="Calibri"/>
                <w:color w:val="000000"/>
                <w:sz w:val="21"/>
                <w:szCs w:val="21"/>
                <w:highlight w:val="none"/>
                <w:lang w:bidi="ar"/>
              </w:rPr>
              <w:t>≤</w:t>
            </w:r>
            <w:r>
              <w:rPr>
                <w:rFonts w:hint="eastAsia" w:ascii="宋体" w:hAnsi="宋体" w:cs="宋体"/>
                <w:color w:val="000000"/>
                <w:sz w:val="21"/>
                <w:szCs w:val="21"/>
                <w:highlight w:val="none"/>
                <w:lang w:bidi="ar"/>
              </w:rPr>
              <w:t>±3%</w:t>
            </w:r>
          </w:p>
        </w:tc>
        <w:tc>
          <w:tcPr>
            <w:tcW w:w="5245" w:type="dxa"/>
            <w:vMerge w:val="restart"/>
            <w:noWrap w:val="0"/>
            <w:vAlign w:val="center"/>
          </w:tcPr>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《钢结构超声波探伤及质量分级法》JG/T 203-2007</w:t>
            </w:r>
          </w:p>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《焊缝无损检测 超声检测 技术、检测等级和评定》GB/T 11345-2013</w:t>
            </w:r>
          </w:p>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《焊缝无损检测 超声检测 技术、检测等级和评定》GB/T 11345-20</w:t>
            </w:r>
            <w:r>
              <w:rPr>
                <w:rStyle w:val="37"/>
                <w:rFonts w:hint="eastAsia"/>
                <w:color w:val="000000"/>
                <w:sz w:val="21"/>
                <w:szCs w:val="21"/>
                <w:highlight w:val="none"/>
                <w:lang w:val="en-US" w:eastAsia="zh-CN" w:bidi="ar"/>
              </w:rPr>
              <w:t>2</w:t>
            </w:r>
            <w:r>
              <w:rPr>
                <w:rStyle w:val="37"/>
                <w:rFonts w:hint="default"/>
                <w:color w:val="000000"/>
                <w:sz w:val="21"/>
                <w:szCs w:val="21"/>
                <w:highlight w:val="none"/>
                <w:lang w:bidi="ar"/>
              </w:rPr>
              <w:t>3</w:t>
            </w:r>
          </w:p>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《厚钢板超声波检测方法》GB/T2970-2016</w:t>
            </w:r>
          </w:p>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《钢锻件超声检测方法》GB/T 6402-2008</w:t>
            </w:r>
          </w:p>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《铸钢件 超声检测 第1部分：一般用途铸钢件》GB/T 7233.1-2023</w:t>
            </w:r>
          </w:p>
          <w:p>
            <w:pPr>
              <w:pStyle w:val="2"/>
              <w:rPr>
                <w:rStyle w:val="37"/>
                <w:rFonts w:hint="default"/>
                <w:color w:val="00000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无损检测探伤试块CSK-ⅠA</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CSK-ⅠB和RB-2</w:t>
            </w:r>
            <w:r>
              <w:rPr>
                <w:rFonts w:hint="eastAsia" w:ascii="宋体" w:hAnsi="宋体" w:cs="宋体"/>
                <w:color w:val="000000"/>
                <w:kern w:val="0"/>
                <w:szCs w:val="21"/>
                <w:highlight w:val="none"/>
                <w:lang w:val="en-US" w:eastAsia="zh-CN" w:bidi="ar"/>
              </w:rPr>
              <w:t>/</w:t>
            </w:r>
            <w:r>
              <w:rPr>
                <w:rFonts w:hint="eastAsia" w:ascii="宋体" w:hAnsi="宋体" w:cs="宋体"/>
                <w:color w:val="000000"/>
                <w:kern w:val="0"/>
                <w:szCs w:val="21"/>
                <w:highlight w:val="none"/>
                <w:lang w:bidi="ar"/>
              </w:rPr>
              <w:t>RB-3试块</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hint="eastAsia"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钢直尺</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hint="eastAsia"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钢卷尺</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hint="eastAsia"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内部缺陷探伤（射线法）</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X射线探伤仪、评片灯、评片尺、黑度计、丝型像质计、金属增感屏、个人剂量仪、环境监测仪</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noWrap w:val="0"/>
            <w:vAlign w:val="center"/>
          </w:tcPr>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《钢结构现场检测技术标准》GB/T 50621-2010</w:t>
            </w:r>
          </w:p>
          <w:p>
            <w:pPr>
              <w:widowControl/>
              <w:jc w:val="left"/>
              <w:textAlignment w:val="center"/>
              <w:rPr>
                <w:rStyle w:val="37"/>
                <w:rFonts w:hint="default"/>
                <w:color w:val="000000"/>
                <w:sz w:val="21"/>
                <w:szCs w:val="21"/>
                <w:highlight w:val="none"/>
                <w:lang w:bidi="ar"/>
              </w:rPr>
            </w:pPr>
            <w:r>
              <w:rPr>
                <w:rStyle w:val="37"/>
                <w:rFonts w:hint="default"/>
                <w:color w:val="000000"/>
                <w:sz w:val="21"/>
                <w:szCs w:val="21"/>
                <w:highlight w:val="none"/>
                <w:lang w:bidi="ar"/>
              </w:rPr>
              <w:t>《焊缝无损检测 射线检测 第2部分：使用数字化探测器的X和伽马射线技术》GB/T 3323.2-2019</w:t>
            </w:r>
          </w:p>
          <w:p>
            <w:pPr>
              <w:pStyle w:val="2"/>
              <w:rPr>
                <w:rStyle w:val="37"/>
                <w:rFonts w:hint="default"/>
                <w:color w:val="000000"/>
                <w:sz w:val="21"/>
                <w:szCs w:val="21"/>
                <w:highlight w:val="none"/>
                <w:lang w:bidi="ar"/>
              </w:rPr>
            </w:pPr>
            <w:r>
              <w:rPr>
                <w:rStyle w:val="37"/>
                <w:rFonts w:hint="default"/>
                <w:color w:val="000000"/>
                <w:sz w:val="21"/>
                <w:szCs w:val="21"/>
                <w:highlight w:val="none"/>
                <w:lang w:bidi="ar"/>
              </w:rPr>
              <w:t>《焊缝无损检测 射线检测验收等级第1部分：钢、镍、钛及其合金》 GB/T 37910.1-2019</w:t>
            </w:r>
          </w:p>
          <w:p>
            <w:pPr>
              <w:jc w:val="left"/>
              <w:rPr>
                <w:rFonts w:ascii="宋体" w:hAnsi="宋体" w:cs="宋体"/>
                <w:color w:val="000000"/>
                <w:szCs w:val="21"/>
                <w:highlight w:val="none"/>
              </w:rPr>
            </w:pPr>
            <w:r>
              <w:rPr>
                <w:rStyle w:val="37"/>
                <w:rFonts w:hint="default"/>
                <w:color w:val="000000"/>
                <w:sz w:val="21"/>
                <w:szCs w:val="21"/>
                <w:highlight w:val="none"/>
                <w:lang w:bidi="ar"/>
              </w:rPr>
              <w:t>《焊缝无损检测 射线检测 第1部分：X和伽马射线的胶片技术》GB/T 3323.1-2019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2.3</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尺寸*</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焊接检验尺*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《钢结构工程施工质量验收标准》GB 50205-2020</w:t>
            </w:r>
          </w:p>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《钢结构现场检测技术标准》GB/T 50621-2010</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《钢结构焊接规范》GB 50661-2011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焊缝角度规*</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放大镜</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钢直尺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3</w:t>
            </w:r>
          </w:p>
        </w:tc>
        <w:tc>
          <w:tcPr>
            <w:tcW w:w="738"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钢结构防腐及防火涂装</w:t>
            </w: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3.1</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涂层厚度</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涂层测厚仪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color w:val="000000"/>
                <w:szCs w:val="21"/>
                <w:highlight w:val="none"/>
              </w:rPr>
            </w:pPr>
            <w:r>
              <w:rPr>
                <w:rFonts w:hint="eastAsia"/>
                <w:color w:val="000000"/>
                <w:szCs w:val="21"/>
                <w:highlight w:val="none"/>
              </w:rPr>
              <w:t>《钢结构工程施工质量验收标准》GB 50205-2020</w:t>
            </w:r>
          </w:p>
          <w:p>
            <w:pPr>
              <w:widowControl/>
              <w:jc w:val="left"/>
              <w:textAlignment w:val="center"/>
              <w:rPr>
                <w:rFonts w:hint="eastAsia"/>
                <w:color w:val="000000"/>
                <w:szCs w:val="21"/>
                <w:highlight w:val="none"/>
              </w:rPr>
            </w:pPr>
            <w:r>
              <w:rPr>
                <w:rFonts w:hint="eastAsia"/>
                <w:color w:val="000000"/>
                <w:szCs w:val="21"/>
                <w:highlight w:val="none"/>
              </w:rPr>
              <w:t>《钢结构现场检测技术标准》GB/T 50621-2010</w:t>
            </w:r>
          </w:p>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《磁性基体上非磁性覆盖层 覆盖层厚度测量 磁性法》(GB/T 4956-2003)</w:t>
            </w:r>
          </w:p>
          <w:p>
            <w:pPr>
              <w:widowControl/>
              <w:jc w:val="left"/>
              <w:textAlignment w:val="center"/>
              <w:rPr>
                <w:rFonts w:hint="eastAsia" w:ascii="Times New Roman" w:hAnsi="Times New Roman" w:eastAsia="宋体" w:cs="Times New Roman"/>
                <w:color w:val="000000"/>
                <w:szCs w:val="21"/>
                <w:highlight w:val="none"/>
              </w:rPr>
            </w:pPr>
            <w:r>
              <w:rPr>
                <w:rFonts w:hint="eastAsia"/>
                <w:color w:val="000000"/>
                <w:sz w:val="21"/>
                <w:szCs w:val="21"/>
                <w:highlight w:val="none"/>
              </w:rPr>
              <w:t xml:space="preserve">《非磁性基体金属上非导电覆盖层 覆盖层厚度测量 </w:t>
            </w:r>
            <w:r>
              <w:rPr>
                <w:rFonts w:hint="eastAsia" w:ascii="Times New Roman" w:hAnsi="Times New Roman" w:eastAsia="宋体" w:cs="Times New Roman"/>
                <w:color w:val="000000"/>
                <w:szCs w:val="21"/>
                <w:highlight w:val="none"/>
              </w:rPr>
              <w:t>涡流法》 GB/T 4597-2003</w:t>
            </w:r>
          </w:p>
          <w:p>
            <w:pPr>
              <w:widowControl/>
              <w:jc w:val="left"/>
              <w:textAlignment w:val="center"/>
              <w:rPr>
                <w:color w:val="000000"/>
                <w:sz w:val="21"/>
                <w:szCs w:val="21"/>
                <w:highlight w:val="none"/>
              </w:rPr>
            </w:pPr>
            <w:r>
              <w:rPr>
                <w:rFonts w:hint="eastAsia" w:ascii="Times New Roman" w:hAnsi="Times New Roman" w:eastAsia="宋体" w:cs="Times New Roman"/>
                <w:color w:val="000000"/>
                <w:szCs w:val="21"/>
                <w:highlight w:val="none"/>
              </w:rPr>
              <w:t>《钢结构防火涂料技术规范》T/CECS 24-2020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针式测厚仪/卡尺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3.2</w:t>
            </w:r>
          </w:p>
        </w:tc>
        <w:tc>
          <w:tcPr>
            <w:tcW w:w="1623" w:type="dxa"/>
            <w:gridSpan w:val="2"/>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涂料粘结强度*</w:t>
            </w:r>
          </w:p>
        </w:tc>
        <w:tc>
          <w:tcPr>
            <w:tcW w:w="3402" w:type="dxa"/>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万能试验机/拉力试验机</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《钢结构防火涂料》GB 14907-2018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3.3</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涂料抗压强度*</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万能试验机/拉力试验机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烘箱</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卡尺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3.4</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涂层附着力*</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漆膜划圈试验仪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《漆膜划圈试验》GB/T 1720-2020</w:t>
            </w:r>
          </w:p>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《色漆和清漆 划格试验》GB/T 9286-2021</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《色漆和清漆 拉开法附着力试验》GB/T 5210-2006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放大镜</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附着力测试仪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手柄式目视放大镜</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4</w:t>
            </w:r>
          </w:p>
        </w:tc>
        <w:tc>
          <w:tcPr>
            <w:tcW w:w="738"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高强度螺栓及普通紧固件</w:t>
            </w: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4.1</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抗滑移系数</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万能试验机/拉力试验机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《钢结构工程施工质量验收标准》GB 50205-2020</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《钢板栓接面抗滑移系数的测定》GB/T 34478-2017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高强螺栓压力传感器（轴力计）</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4.2</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硬度</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洛氏硬度计</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《金属材料 维氏硬度试验 第1部分:试验方法》 GB/T 4340.1-2009</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《金属材料 洛氏硬度试验 第1部分:试验方法》GB/T 230.1-2018</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《金属材料 布氏硬度试验 第1部分:试验方法》GB/T 231.1-2018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维氏硬度计*</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布氏硬度仪*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4.3</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紧固轴力*</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高强螺栓检测仪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《钢结构工程施工质量验收标准》GB 50205-2020</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《钢结构用扭剪型高强度螺栓连接副》GB/T 3632-2008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widowControl/>
              <w:jc w:val="center"/>
              <w:textAlignment w:val="center"/>
              <w:rPr>
                <w:color w:val="000000"/>
                <w:szCs w:val="21"/>
                <w:highlight w:val="none"/>
              </w:rPr>
            </w:pPr>
          </w:p>
        </w:tc>
        <w:tc>
          <w:tcPr>
            <w:tcW w:w="738" w:type="dxa"/>
            <w:vMerge w:val="continue"/>
            <w:noWrap w:val="0"/>
            <w:vAlign w:val="center"/>
          </w:tcPr>
          <w:p>
            <w:pPr>
              <w:widowControl/>
              <w:jc w:val="center"/>
              <w:textAlignment w:val="center"/>
              <w:rPr>
                <w:color w:val="000000"/>
                <w:szCs w:val="21"/>
                <w:highlight w:val="none"/>
              </w:rPr>
            </w:pPr>
          </w:p>
        </w:tc>
        <w:tc>
          <w:tcPr>
            <w:tcW w:w="690" w:type="dxa"/>
            <w:vMerge w:val="continue"/>
            <w:noWrap w:val="0"/>
            <w:vAlign w:val="center"/>
          </w:tcPr>
          <w:p>
            <w:pPr>
              <w:widowControl/>
              <w:jc w:val="center"/>
              <w:textAlignment w:val="center"/>
              <w:rPr>
                <w:color w:val="000000"/>
                <w:szCs w:val="21"/>
                <w:highlight w:val="none"/>
              </w:rPr>
            </w:pPr>
          </w:p>
        </w:tc>
        <w:tc>
          <w:tcPr>
            <w:tcW w:w="1623" w:type="dxa"/>
            <w:gridSpan w:val="2"/>
            <w:vMerge w:val="continue"/>
            <w:noWrap w:val="0"/>
            <w:vAlign w:val="center"/>
          </w:tcPr>
          <w:p>
            <w:pPr>
              <w:widowControl/>
              <w:jc w:val="center"/>
              <w:textAlignment w:val="center"/>
              <w:rPr>
                <w:color w:val="000000"/>
                <w:szCs w:val="21"/>
                <w:highlight w:val="none"/>
              </w:rPr>
            </w:pPr>
          </w:p>
        </w:tc>
        <w:tc>
          <w:tcPr>
            <w:tcW w:w="3402" w:type="dxa"/>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扭矩扳手</w:t>
            </w:r>
          </w:p>
        </w:tc>
        <w:tc>
          <w:tcPr>
            <w:tcW w:w="1984"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c>
          <w:tcPr>
            <w:tcW w:w="5245" w:type="dxa"/>
            <w:vMerge w:val="continue"/>
            <w:noWrap w:val="0"/>
            <w:vAlign w:val="center"/>
          </w:tcPr>
          <w:p>
            <w:pPr>
              <w:widowControl/>
              <w:jc w:val="center"/>
              <w:textAlignment w:val="center"/>
              <w:rPr>
                <w:rFonts w:hint="eastAsia" w:ascii="宋体" w:hAnsi="宋体" w:cs="宋体"/>
                <w:color w:val="000000"/>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4.4</w:t>
            </w:r>
          </w:p>
        </w:tc>
        <w:tc>
          <w:tcPr>
            <w:tcW w:w="1623" w:type="dxa"/>
            <w:gridSpan w:val="2"/>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扭矩系数*</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高强螺栓检测仪</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《钢结构工程施工质量验收标准》GB 50205-2020</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《钢结构用高强度大六角头螺栓、大六角螺母、垫圈与技术条件》GB/T 1231-2006</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《紧固件 扭矩-夹紧力试验》GB/T 16823.3-2010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4.5</w:t>
            </w:r>
          </w:p>
        </w:tc>
        <w:tc>
          <w:tcPr>
            <w:tcW w:w="1623" w:type="dxa"/>
            <w:gridSpan w:val="2"/>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最小拉力载荷（普通紧固件）*</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万能试验机/拉力试验机</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《钢结构工程施工质量验收标准》GB 50205-2020</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《紧固件机械性能  螺栓、螺钉和螺柱》GB/T 3098.1-2010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5</w:t>
            </w:r>
          </w:p>
        </w:tc>
        <w:tc>
          <w:tcPr>
            <w:tcW w:w="738"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构件位置与尺寸*</w:t>
            </w: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5.1</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垂直度*</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直角尺*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bottom"/>
          </w:tcPr>
          <w:p>
            <w:pPr>
              <w:widowControl/>
              <w:jc w:val="left"/>
              <w:textAlignment w:val="center"/>
              <w:rPr>
                <w:color w:val="000000"/>
                <w:szCs w:val="21"/>
                <w:highlight w:val="none"/>
              </w:rPr>
            </w:pPr>
            <w:r>
              <w:rPr>
                <w:rFonts w:hint="eastAsia"/>
                <w:color w:val="000000"/>
                <w:szCs w:val="21"/>
                <w:highlight w:val="none"/>
              </w:rPr>
              <w:t>《钢结构工程施工质量验收标准》GB 50205-2020</w:t>
            </w:r>
          </w:p>
          <w:p>
            <w:pPr>
              <w:widowControl/>
              <w:jc w:val="left"/>
              <w:textAlignment w:val="center"/>
              <w:rPr>
                <w:color w:val="000000"/>
                <w:szCs w:val="21"/>
                <w:highlight w:val="none"/>
              </w:rPr>
            </w:pPr>
            <w:r>
              <w:rPr>
                <w:rFonts w:hint="eastAsia"/>
                <w:color w:val="000000"/>
                <w:szCs w:val="21"/>
                <w:highlight w:val="none"/>
              </w:rPr>
              <w:t>《建筑结构检测技术标准》GB/T 50344-2019</w:t>
            </w:r>
          </w:p>
          <w:p>
            <w:pPr>
              <w:widowControl/>
              <w:jc w:val="left"/>
              <w:textAlignment w:val="center"/>
              <w:rPr>
                <w:rFonts w:hint="eastAsia"/>
                <w:color w:val="000000"/>
                <w:szCs w:val="21"/>
                <w:highlight w:val="none"/>
              </w:rPr>
            </w:pPr>
            <w:r>
              <w:rPr>
                <w:rFonts w:hint="eastAsia"/>
                <w:color w:val="000000"/>
                <w:szCs w:val="21"/>
                <w:highlight w:val="none"/>
              </w:rPr>
              <w:t>《钢结构现场检测技术标准》GB/T 50621-2010</w:t>
            </w:r>
          </w:p>
          <w:p>
            <w:pPr>
              <w:pStyle w:val="2"/>
              <w:jc w:val="left"/>
              <w:rPr>
                <w:color w:val="000000"/>
                <w:sz w:val="21"/>
                <w:szCs w:val="21"/>
                <w:highlight w:val="none"/>
              </w:rPr>
            </w:pPr>
            <w:r>
              <w:rPr>
                <w:rFonts w:hint="eastAsia"/>
                <w:color w:val="000000"/>
                <w:sz w:val="21"/>
                <w:szCs w:val="21"/>
                <w:highlight w:val="none"/>
              </w:rPr>
              <w:t>《工程测量标准》GB50026-2020</w:t>
            </w:r>
          </w:p>
          <w:p>
            <w:pPr>
              <w:widowControl/>
              <w:jc w:val="left"/>
              <w:textAlignment w:val="center"/>
              <w:rPr>
                <w:color w:val="000000"/>
                <w:sz w:val="21"/>
                <w:szCs w:val="21"/>
                <w:highlight w:val="none"/>
              </w:rPr>
            </w:pPr>
            <w:r>
              <w:rPr>
                <w:rFonts w:hint="eastAsia" w:ascii="宋体" w:hAnsi="宋体" w:cs="宋体"/>
                <w:color w:val="000000"/>
                <w:kern w:val="0"/>
                <w:szCs w:val="21"/>
                <w:highlight w:val="none"/>
                <w:lang w:bidi="ar"/>
              </w:rPr>
              <w:t>《建筑变形测量规范》JGJ 8-2016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钢直尺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全站仪*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经纬仪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三维激光扫描仪*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5.2</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弯曲矢高*</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钢直尺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水准仪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全站仪*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三维激光扫描仪*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5.3</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侧向弯曲*</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全站仪*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经纬仪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钢直尺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三维激光扫描仪*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5.4</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结构挠度*</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全站仪*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水准仪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三维激光扫描仪*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5.5</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轴线位置*</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钢直尺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激光测距仪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全站仪*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5.6</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标高*</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全站仪*</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钢直尺</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水准仪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5.7</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截面尺寸*</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钢直尺</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超声波测厚仪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全站仪*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6</w:t>
            </w:r>
          </w:p>
        </w:tc>
        <w:tc>
          <w:tcPr>
            <w:tcW w:w="738"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结构构件性能*</w:t>
            </w: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6.1</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静载试验*</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称重装置</w:t>
            </w:r>
          </w:p>
        </w:tc>
        <w:tc>
          <w:tcPr>
            <w:tcW w:w="1984" w:type="dxa"/>
            <w:vMerge w:val="restart"/>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color w:val="000000"/>
                <w:szCs w:val="21"/>
                <w:highlight w:val="none"/>
              </w:rPr>
            </w:pPr>
            <w:r>
              <w:rPr>
                <w:rFonts w:hint="eastAsia"/>
                <w:color w:val="000000"/>
                <w:szCs w:val="21"/>
                <w:highlight w:val="none"/>
              </w:rPr>
              <w:t>《建筑结构检测技术标准》GB/T 50344-2019</w:t>
            </w:r>
          </w:p>
          <w:p>
            <w:pPr>
              <w:widowControl/>
              <w:jc w:val="left"/>
              <w:textAlignment w:val="center"/>
              <w:rPr>
                <w:color w:val="000000"/>
                <w:sz w:val="21"/>
                <w:szCs w:val="21"/>
                <w:highlight w:val="none"/>
              </w:rPr>
            </w:pPr>
            <w:r>
              <w:rPr>
                <w:rFonts w:hint="eastAsia"/>
                <w:color w:val="000000"/>
                <w:szCs w:val="21"/>
                <w:highlight w:val="none"/>
              </w:rPr>
              <w:t>《高耸与复杂钢结构检测与鉴定标准》GB 51008-2016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流量测量装置*</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千斤顶*</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大量程百分表</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全站仪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水平仪</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电子应变计</w:t>
            </w:r>
          </w:p>
        </w:tc>
        <w:tc>
          <w:tcPr>
            <w:tcW w:w="1984" w:type="dxa"/>
            <w:vMerge w:val="continue"/>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6.2</w:t>
            </w:r>
          </w:p>
        </w:tc>
        <w:tc>
          <w:tcPr>
            <w:tcW w:w="1623" w:type="dxa"/>
            <w:gridSpan w:val="2"/>
            <w:vMerge w:val="restart"/>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动力测试*</w:t>
            </w:r>
          </w:p>
        </w:tc>
        <w:tc>
          <w:tcPr>
            <w:tcW w:w="3402" w:type="dxa"/>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综合振动检测仪（含分析软件）*</w:t>
            </w:r>
          </w:p>
        </w:tc>
        <w:tc>
          <w:tcPr>
            <w:tcW w:w="1984" w:type="dxa"/>
            <w:noWrap w:val="0"/>
            <w:vAlign w:val="center"/>
          </w:tcPr>
          <w:p>
            <w:pPr>
              <w:widowControl/>
              <w:jc w:val="center"/>
              <w:textAlignment w:val="center"/>
              <w:rPr>
                <w:rFonts w:ascii="宋体" w:hAnsi="宋体" w:cs="宋体"/>
                <w:color w:val="000000"/>
                <w:szCs w:val="21"/>
                <w:highlight w:val="none"/>
              </w:rPr>
            </w:pPr>
          </w:p>
        </w:tc>
        <w:tc>
          <w:tcPr>
            <w:tcW w:w="5245" w:type="dxa"/>
            <w:vMerge w:val="restart"/>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《建筑结构检测技术标准》GB/T 50344-2019</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《钢结构现场检测技术标准》GB/T 50621-2010</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《高耸与复杂钢结构检测与鉴定标准》GB 51008-2016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vMerge w:val="continue"/>
            <w:noWrap w:val="0"/>
            <w:vAlign w:val="center"/>
          </w:tcPr>
          <w:p>
            <w:pPr>
              <w:jc w:val="center"/>
              <w:rPr>
                <w:rFonts w:ascii="宋体" w:hAnsi="宋体" w:cs="宋体"/>
                <w:color w:val="000000"/>
                <w:szCs w:val="21"/>
                <w:highlight w:val="none"/>
              </w:rPr>
            </w:pPr>
          </w:p>
        </w:tc>
        <w:tc>
          <w:tcPr>
            <w:tcW w:w="1623" w:type="dxa"/>
            <w:gridSpan w:val="2"/>
            <w:vMerge w:val="continue"/>
            <w:noWrap w:val="0"/>
            <w:vAlign w:val="center"/>
          </w:tcPr>
          <w:p>
            <w:pPr>
              <w:jc w:val="center"/>
              <w:rPr>
                <w:rFonts w:ascii="宋体" w:hAnsi="宋体" w:cs="宋体"/>
                <w:color w:val="000000"/>
                <w:szCs w:val="21"/>
                <w:highlight w:val="none"/>
              </w:rPr>
            </w:pPr>
          </w:p>
        </w:tc>
        <w:tc>
          <w:tcPr>
            <w:tcW w:w="3402" w:type="dxa"/>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旋转惯性机械起振机/液压伺服激振器*</w:t>
            </w:r>
          </w:p>
        </w:tc>
        <w:tc>
          <w:tcPr>
            <w:tcW w:w="1984" w:type="dxa"/>
            <w:noWrap w:val="0"/>
            <w:vAlign w:val="center"/>
          </w:tcPr>
          <w:p>
            <w:pPr>
              <w:jc w:val="center"/>
              <w:rPr>
                <w:rFonts w:ascii="宋体" w:hAnsi="宋体" w:cs="宋体"/>
                <w:color w:val="000000"/>
                <w:szCs w:val="21"/>
                <w:highlight w:val="none"/>
              </w:rPr>
            </w:pPr>
          </w:p>
        </w:tc>
        <w:tc>
          <w:tcPr>
            <w:tcW w:w="5245" w:type="dxa"/>
            <w:vMerge w:val="continue"/>
            <w:noWrap w:val="0"/>
            <w:vAlign w:val="center"/>
          </w:tcPr>
          <w:p>
            <w:pPr>
              <w:jc w:val="left"/>
              <w:rPr>
                <w:rFonts w:ascii="宋体" w:hAnsi="宋体" w:cs="宋体"/>
                <w:color w:val="00000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7</w:t>
            </w:r>
          </w:p>
        </w:tc>
        <w:tc>
          <w:tcPr>
            <w:tcW w:w="738" w:type="dxa"/>
            <w:vMerge w:val="restart"/>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金属屋面*</w:t>
            </w:r>
          </w:p>
        </w:tc>
        <w:tc>
          <w:tcPr>
            <w:tcW w:w="690"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7.1</w:t>
            </w:r>
          </w:p>
        </w:tc>
        <w:tc>
          <w:tcPr>
            <w:tcW w:w="1623" w:type="dxa"/>
            <w:gridSpan w:val="2"/>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静态压力抗风掀*</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静态压力抗风掀检测装置</w:t>
            </w:r>
          </w:p>
        </w:tc>
        <w:tc>
          <w:tcPr>
            <w:tcW w:w="1984" w:type="dxa"/>
            <w:noWrap w:val="0"/>
            <w:vAlign w:val="center"/>
          </w:tcPr>
          <w:p>
            <w:pPr>
              <w:widowControl/>
              <w:jc w:val="center"/>
              <w:textAlignment w:val="center"/>
              <w:rPr>
                <w:rFonts w:ascii="宋体" w:hAnsi="宋体" w:cs="宋体"/>
                <w:color w:val="000000"/>
                <w:kern w:val="0"/>
                <w:szCs w:val="21"/>
                <w:highlight w:val="none"/>
                <w:lang w:bidi="ar"/>
              </w:rPr>
            </w:pPr>
          </w:p>
        </w:tc>
        <w:tc>
          <w:tcPr>
            <w:tcW w:w="5245" w:type="dxa"/>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《钢结构工程施工质量验收标准》GB 50205-2020</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《金属屋面抗风掀性能检测方法 第1部分：静态压力法》GB/T 39794.1-2021</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《压型金属板工程应用技术规范》GB 50896-2013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3" w:type="dxa"/>
            <w:vMerge w:val="continue"/>
            <w:noWrap w:val="0"/>
            <w:vAlign w:val="center"/>
          </w:tcPr>
          <w:p>
            <w:pPr>
              <w:jc w:val="center"/>
              <w:rPr>
                <w:rFonts w:ascii="宋体" w:hAnsi="宋体" w:cs="宋体"/>
                <w:b/>
                <w:bCs/>
                <w:color w:val="000000"/>
                <w:szCs w:val="21"/>
                <w:highlight w:val="none"/>
              </w:rPr>
            </w:pPr>
          </w:p>
        </w:tc>
        <w:tc>
          <w:tcPr>
            <w:tcW w:w="738" w:type="dxa"/>
            <w:vMerge w:val="continue"/>
            <w:noWrap w:val="0"/>
            <w:vAlign w:val="center"/>
          </w:tcPr>
          <w:p>
            <w:pPr>
              <w:jc w:val="center"/>
              <w:rPr>
                <w:rFonts w:ascii="宋体" w:hAnsi="宋体" w:cs="宋体"/>
                <w:b/>
                <w:bCs/>
                <w:color w:val="000000"/>
                <w:szCs w:val="21"/>
                <w:highlight w:val="none"/>
              </w:rPr>
            </w:pPr>
          </w:p>
        </w:tc>
        <w:tc>
          <w:tcPr>
            <w:tcW w:w="690"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7.2</w:t>
            </w:r>
          </w:p>
        </w:tc>
        <w:tc>
          <w:tcPr>
            <w:tcW w:w="1623" w:type="dxa"/>
            <w:gridSpan w:val="2"/>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动态压力抗风掀*</w:t>
            </w:r>
          </w:p>
        </w:tc>
        <w:tc>
          <w:tcPr>
            <w:tcW w:w="3402" w:type="dxa"/>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动态风荷载检测装置</w:t>
            </w:r>
          </w:p>
        </w:tc>
        <w:tc>
          <w:tcPr>
            <w:tcW w:w="1984" w:type="dxa"/>
            <w:noWrap w:val="0"/>
            <w:vAlign w:val="center"/>
          </w:tcPr>
          <w:p>
            <w:pPr>
              <w:widowControl/>
              <w:jc w:val="center"/>
              <w:textAlignment w:val="center"/>
              <w:rPr>
                <w:rFonts w:ascii="宋体" w:hAnsi="宋体" w:cs="宋体"/>
                <w:color w:val="000000"/>
                <w:kern w:val="0"/>
                <w:szCs w:val="21"/>
                <w:highlight w:val="none"/>
                <w:lang w:bidi="ar"/>
              </w:rPr>
            </w:pPr>
          </w:p>
        </w:tc>
        <w:tc>
          <w:tcPr>
            <w:tcW w:w="5245" w:type="dxa"/>
            <w:noWrap w:val="0"/>
            <w:vAlign w:val="center"/>
          </w:tcPr>
          <w:p>
            <w:pPr>
              <w:widowControl/>
              <w:jc w:val="left"/>
              <w:textAlignment w:val="center"/>
              <w:rPr>
                <w:color w:val="000000"/>
                <w:szCs w:val="21"/>
                <w:highlight w:val="none"/>
              </w:rPr>
            </w:pPr>
            <w:r>
              <w:rPr>
                <w:rFonts w:hint="eastAsia"/>
                <w:color w:val="000000"/>
                <w:szCs w:val="21"/>
                <w:highlight w:val="none"/>
              </w:rPr>
              <w:t>《钢结构工程施工质量验收标准》GB 50205-2020</w:t>
            </w:r>
          </w:p>
          <w:p>
            <w:pPr>
              <w:widowControl/>
              <w:jc w:val="left"/>
              <w:textAlignment w:val="center"/>
              <w:rPr>
                <w:rFonts w:hint="eastAsia"/>
                <w:color w:val="000000"/>
                <w:szCs w:val="21"/>
                <w:highlight w:val="none"/>
              </w:rPr>
            </w:pPr>
            <w:r>
              <w:rPr>
                <w:rFonts w:hint="eastAsia"/>
                <w:color w:val="000000"/>
                <w:szCs w:val="21"/>
                <w:highlight w:val="none"/>
              </w:rPr>
              <w:t>《金属屋面抗风掀性能检测方法 第2部分：动态压力法》GB/T 39794.2-2021</w:t>
            </w:r>
          </w:p>
          <w:p>
            <w:pPr>
              <w:pStyle w:val="2"/>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 xml:space="preserve">《强风易发多发地区金属屋面技术规程》 DBJ/T 15-148-2018  </w:t>
            </w:r>
          </w:p>
          <w:p>
            <w:pPr>
              <w:widowControl/>
              <w:jc w:val="left"/>
              <w:textAlignment w:val="center"/>
              <w:rPr>
                <w:rFonts w:ascii="宋体" w:hAnsi="宋体" w:cs="宋体"/>
                <w:color w:val="000000"/>
                <w:sz w:val="21"/>
                <w:szCs w:val="21"/>
                <w:highlight w:val="none"/>
                <w:lang w:bidi="ar"/>
              </w:rPr>
            </w:pPr>
            <w:r>
              <w:rPr>
                <w:rFonts w:hint="eastAsia" w:ascii="宋体" w:hAnsi="宋体" w:cs="宋体"/>
                <w:color w:val="000000"/>
                <w:kern w:val="0"/>
                <w:szCs w:val="21"/>
                <w:highlight w:val="none"/>
                <w:lang w:bidi="ar"/>
              </w:rPr>
              <w:t xml:space="preserve">《采光顶与金属屋面技术规程》JGJ 255-2012 </w:t>
            </w: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p>
      <w:pPr>
        <w:pStyle w:val="2"/>
        <w:keepNext w:val="0"/>
        <w:keepLines w:val="0"/>
        <w:pageBreakBefore w:val="0"/>
        <w:widowControl w:val="0"/>
        <w:kinsoku/>
        <w:wordWrap/>
        <w:overflowPunct/>
        <w:topLinePunct w:val="0"/>
        <w:autoSpaceDE/>
        <w:autoSpaceDN/>
        <w:bidi w:val="0"/>
        <w:adjustRightInd/>
        <w:snapToGrid/>
        <w:spacing w:before="157" w:beforeLines="50" w:after="0"/>
        <w:ind w:firstLine="640" w:firstLineChars="200"/>
        <w:jc w:val="left"/>
        <w:textAlignment w:val="auto"/>
        <w:rPr>
          <w:rFonts w:hint="eastAsia" w:ascii="黑体" w:hAnsi="黑体" w:eastAsia="黑体" w:cs="黑体"/>
          <w:sz w:val="32"/>
          <w:szCs w:val="32"/>
          <w:highlight w:val="none"/>
        </w:r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pStyle w:val="2"/>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表四 </w:t>
      </w:r>
      <w:r>
        <w:rPr>
          <w:rFonts w:hint="eastAsia" w:ascii="黑体" w:hAnsi="黑体" w:eastAsia="黑体" w:cs="黑体"/>
          <w:sz w:val="32"/>
          <w:szCs w:val="32"/>
          <w:highlight w:val="none"/>
        </w:rPr>
        <w:t>地基基础）</w:t>
      </w:r>
    </w:p>
    <w:tbl>
      <w:tblPr>
        <w:tblStyle w:val="14"/>
        <w:tblW w:w="1478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1134"/>
        <w:gridCol w:w="866"/>
        <w:gridCol w:w="2217"/>
        <w:gridCol w:w="2983"/>
        <w:gridCol w:w="2300"/>
        <w:gridCol w:w="431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968"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项目</w:t>
            </w: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134"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检测项目</w:t>
            </w:r>
          </w:p>
        </w:tc>
        <w:tc>
          <w:tcPr>
            <w:tcW w:w="866"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参数</w:t>
            </w: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217" w:type="dxa"/>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检测参数</w:t>
            </w:r>
          </w:p>
        </w:tc>
        <w:tc>
          <w:tcPr>
            <w:tcW w:w="2983"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主要设备名称</w:t>
            </w:r>
          </w:p>
        </w:tc>
        <w:tc>
          <w:tcPr>
            <w:tcW w:w="2300"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试验方法要求</w:t>
            </w:r>
          </w:p>
        </w:tc>
        <w:tc>
          <w:tcPr>
            <w:tcW w:w="4317" w:type="dxa"/>
            <w:noWrap/>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参考标准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w:t>
            </w:r>
          </w:p>
        </w:tc>
        <w:tc>
          <w:tcPr>
            <w:tcW w:w="1134"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地基及复合地基</w:t>
            </w: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承载力（静载试验）</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液压千斤顶</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color w:val="auto"/>
                <w:szCs w:val="21"/>
                <w:highlight w:val="none"/>
              </w:rPr>
            </w:pPr>
            <w:r>
              <w:rPr>
                <w:rFonts w:hint="eastAsia"/>
                <w:color w:val="auto"/>
                <w:szCs w:val="21"/>
                <w:highlight w:val="none"/>
              </w:rPr>
              <w:t>《建筑地基基础设计规范》GB50007-2011</w:t>
            </w:r>
          </w:p>
          <w:p>
            <w:pPr>
              <w:widowControl/>
              <w:jc w:val="left"/>
              <w:textAlignment w:val="center"/>
              <w:rPr>
                <w:color w:val="auto"/>
                <w:szCs w:val="21"/>
                <w:highlight w:val="none"/>
              </w:rPr>
            </w:pPr>
            <w:r>
              <w:rPr>
                <w:rFonts w:hint="eastAsia"/>
                <w:color w:val="auto"/>
                <w:szCs w:val="21"/>
                <w:highlight w:val="none"/>
              </w:rPr>
              <w:t>《岩土工程勘察规范》GB50021-2001（2009版）</w:t>
            </w:r>
          </w:p>
          <w:p>
            <w:pPr>
              <w:widowControl/>
              <w:jc w:val="left"/>
              <w:textAlignment w:val="center"/>
              <w:rPr>
                <w:color w:val="auto"/>
                <w:szCs w:val="21"/>
                <w:highlight w:val="none"/>
              </w:rPr>
            </w:pPr>
            <w:r>
              <w:rPr>
                <w:rFonts w:hint="eastAsia"/>
                <w:color w:val="auto"/>
                <w:szCs w:val="21"/>
                <w:highlight w:val="none"/>
              </w:rPr>
              <w:t>《建筑地基处理技术规范》JGJ79-2012</w:t>
            </w:r>
          </w:p>
          <w:p>
            <w:pPr>
              <w:widowControl/>
              <w:jc w:val="left"/>
              <w:textAlignment w:val="center"/>
              <w:rPr>
                <w:color w:val="auto"/>
                <w:szCs w:val="21"/>
                <w:highlight w:val="none"/>
              </w:rPr>
            </w:pPr>
            <w:r>
              <w:rPr>
                <w:rFonts w:hint="eastAsia"/>
                <w:color w:val="auto"/>
                <w:szCs w:val="21"/>
                <w:highlight w:val="none"/>
              </w:rPr>
              <w:t>《建筑地基检测技术规范》JGJ340-2015</w:t>
            </w:r>
          </w:p>
          <w:p>
            <w:pPr>
              <w:widowControl/>
              <w:jc w:val="left"/>
              <w:textAlignment w:val="center"/>
              <w:rPr>
                <w:color w:val="auto"/>
                <w:szCs w:val="21"/>
                <w:highlight w:val="none"/>
              </w:rPr>
            </w:pPr>
            <w:r>
              <w:rPr>
                <w:rFonts w:hint="eastAsia"/>
                <w:color w:val="auto"/>
                <w:szCs w:val="21"/>
                <w:highlight w:val="none"/>
              </w:rPr>
              <w:t>《建筑地基基础检测规范》</w:t>
            </w:r>
            <w:r>
              <w:rPr>
                <w:rFonts w:hint="eastAsia"/>
                <w:color w:val="auto"/>
                <w:szCs w:val="21"/>
                <w:highlight w:val="none"/>
                <w:lang w:eastAsia="zh-CN"/>
              </w:rPr>
              <w:t>DBJ/T</w:t>
            </w:r>
            <w:r>
              <w:rPr>
                <w:rFonts w:hint="eastAsia"/>
                <w:color w:val="auto"/>
                <w:szCs w:val="21"/>
                <w:highlight w:val="none"/>
              </w:rPr>
              <w:t xml:space="preserve"> 15-60-2019</w:t>
            </w:r>
          </w:p>
          <w:p>
            <w:pPr>
              <w:widowControl/>
              <w:jc w:val="left"/>
              <w:textAlignment w:val="center"/>
              <w:rPr>
                <w:rFonts w:hint="eastAsia"/>
                <w:color w:val="auto"/>
                <w:szCs w:val="21"/>
                <w:highlight w:val="none"/>
              </w:rPr>
            </w:pPr>
            <w:r>
              <w:rPr>
                <w:rFonts w:hint="eastAsia"/>
                <w:color w:val="auto"/>
                <w:szCs w:val="21"/>
                <w:highlight w:val="none"/>
              </w:rPr>
              <w:t>《建筑地基基础设计规范DBJ》 15-31-2016</w:t>
            </w:r>
          </w:p>
          <w:p>
            <w:pPr>
              <w:pStyle w:val="2"/>
              <w:jc w:val="left"/>
              <w:rPr>
                <w:color w:val="auto"/>
                <w:sz w:val="21"/>
                <w:szCs w:val="21"/>
                <w:highlight w:val="none"/>
              </w:rPr>
            </w:pPr>
            <w:r>
              <w:rPr>
                <w:rFonts w:hint="eastAsia" w:ascii="宋体" w:hAnsi="宋体" w:cs="宋体"/>
                <w:color w:val="auto"/>
                <w:kern w:val="2"/>
                <w:sz w:val="21"/>
                <w:szCs w:val="21"/>
                <w:highlight w:val="none"/>
                <w:lang w:bidi="ar"/>
              </w:rPr>
              <w:t>《建筑地基处理技术规范》</w:t>
            </w:r>
            <w:r>
              <w:rPr>
                <w:rFonts w:hint="eastAsia" w:ascii="宋体" w:hAnsi="宋体" w:cs="宋体"/>
                <w:color w:val="auto"/>
                <w:kern w:val="2"/>
                <w:sz w:val="21"/>
                <w:szCs w:val="21"/>
                <w:highlight w:val="none"/>
                <w:lang w:eastAsia="zh-CN" w:bidi="ar"/>
              </w:rPr>
              <w:t>DBJ/T</w:t>
            </w:r>
            <w:r>
              <w:rPr>
                <w:rFonts w:hint="eastAsia" w:ascii="宋体" w:hAnsi="宋体" w:cs="宋体"/>
                <w:color w:val="auto"/>
                <w:kern w:val="2"/>
                <w:sz w:val="21"/>
                <w:szCs w:val="21"/>
                <w:highlight w:val="none"/>
                <w:lang w:bidi="ar"/>
              </w:rPr>
              <w:t xml:space="preserve"> 15-38-2019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钢梁</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strike/>
                <w:color w:val="auto"/>
                <w:szCs w:val="21"/>
                <w:highlight w:val="none"/>
              </w:rPr>
            </w:pPr>
            <w:r>
              <w:rPr>
                <w:rFonts w:hint="eastAsia" w:ascii="宋体" w:hAnsi="宋体" w:cs="宋体"/>
                <w:color w:val="auto"/>
                <w:kern w:val="0"/>
                <w:szCs w:val="21"/>
                <w:highlight w:val="none"/>
                <w:lang w:bidi="ar"/>
              </w:rPr>
              <w:t>静载试验仪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压力传感器(荷</w:t>
            </w:r>
            <w:r>
              <w:rPr>
                <w:rFonts w:hint="eastAsia" w:ascii="宋体" w:hAnsi="宋体" w:cs="宋体"/>
                <w:color w:val="auto"/>
                <w:szCs w:val="21"/>
                <w:highlight w:val="none"/>
              </w:rPr>
              <w:t>重</w:t>
            </w:r>
            <w:r>
              <w:rPr>
                <w:rFonts w:hint="eastAsia" w:ascii="宋体" w:hAnsi="宋体" w:cs="宋体"/>
                <w:color w:val="auto"/>
                <w:kern w:val="0"/>
                <w:szCs w:val="21"/>
                <w:highlight w:val="none"/>
                <w:lang w:bidi="ar"/>
              </w:rPr>
              <w:t>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压力表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位移传感器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百分表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strike/>
                <w:color w:val="auto"/>
                <w:szCs w:val="21"/>
                <w:highlight w:val="none"/>
              </w:rPr>
            </w:pPr>
            <w:r>
              <w:rPr>
                <w:rFonts w:hint="eastAsia" w:ascii="宋体" w:hAnsi="宋体" w:cs="宋体"/>
                <w:color w:val="auto"/>
                <w:kern w:val="0"/>
                <w:szCs w:val="21"/>
                <w:highlight w:val="none"/>
                <w:lang w:bidi="ar"/>
              </w:rPr>
              <w:t>承压板</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widowControl/>
              <w:jc w:val="center"/>
              <w:textAlignment w:val="center"/>
              <w:rPr>
                <w:rFonts w:ascii="宋体" w:hAnsi="宋体" w:cs="宋体"/>
                <w:color w:val="auto"/>
                <w:szCs w:val="21"/>
                <w:highlight w:val="none"/>
              </w:rPr>
            </w:pP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承载力（动力触探试验等）</w:t>
            </w:r>
          </w:p>
        </w:tc>
        <w:tc>
          <w:tcPr>
            <w:tcW w:w="2983"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动力触探仪</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静力触探仪</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标准贯入仪</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color w:val="auto"/>
                <w:szCs w:val="21"/>
                <w:highlight w:val="none"/>
              </w:rPr>
            </w:pPr>
            <w:r>
              <w:rPr>
                <w:rFonts w:hint="eastAsia"/>
                <w:color w:val="auto"/>
                <w:szCs w:val="21"/>
                <w:highlight w:val="none"/>
              </w:rPr>
              <w:t>《岩土工程勘察规范》GB50021-2001（2009版）</w:t>
            </w:r>
          </w:p>
          <w:p>
            <w:pPr>
              <w:widowControl/>
              <w:jc w:val="left"/>
              <w:textAlignment w:val="center"/>
              <w:rPr>
                <w:color w:val="auto"/>
                <w:szCs w:val="21"/>
                <w:highlight w:val="none"/>
              </w:rPr>
            </w:pPr>
            <w:r>
              <w:rPr>
                <w:rFonts w:hint="eastAsia"/>
                <w:color w:val="auto"/>
                <w:szCs w:val="21"/>
                <w:highlight w:val="none"/>
              </w:rPr>
              <w:t>《建筑地基检测技术规范》JGJ340-2015</w:t>
            </w:r>
          </w:p>
          <w:p>
            <w:pPr>
              <w:widowControl/>
              <w:jc w:val="left"/>
              <w:textAlignment w:val="center"/>
              <w:rPr>
                <w:color w:val="auto"/>
                <w:szCs w:val="21"/>
                <w:highlight w:val="none"/>
              </w:rPr>
            </w:pPr>
            <w:r>
              <w:rPr>
                <w:rFonts w:hint="eastAsia"/>
                <w:color w:val="auto"/>
                <w:szCs w:val="21"/>
                <w:highlight w:val="none"/>
              </w:rPr>
              <w:t>《建筑地基基础检测规范》</w:t>
            </w:r>
            <w:r>
              <w:rPr>
                <w:rFonts w:hint="eastAsia"/>
                <w:color w:val="auto"/>
                <w:szCs w:val="21"/>
                <w:highlight w:val="none"/>
                <w:lang w:eastAsia="zh-CN"/>
              </w:rPr>
              <w:t>DBJ/T</w:t>
            </w:r>
            <w:r>
              <w:rPr>
                <w:rFonts w:hint="eastAsia"/>
                <w:color w:val="auto"/>
                <w:szCs w:val="21"/>
                <w:highlight w:val="none"/>
              </w:rPr>
              <w:t xml:space="preserve"> 15-60-2019</w:t>
            </w:r>
          </w:p>
          <w:p>
            <w:pPr>
              <w:widowControl/>
              <w:jc w:val="left"/>
              <w:textAlignment w:val="center"/>
              <w:rPr>
                <w:color w:val="auto"/>
                <w:szCs w:val="21"/>
                <w:highlight w:val="none"/>
              </w:rPr>
            </w:pPr>
            <w:r>
              <w:rPr>
                <w:rFonts w:hint="eastAsia"/>
                <w:color w:val="auto"/>
                <w:szCs w:val="21"/>
                <w:highlight w:val="none"/>
              </w:rPr>
              <w:t>《建筑地基基础设计规范》DBJ 15-31-2016</w:t>
            </w:r>
          </w:p>
          <w:p>
            <w:pPr>
              <w:widowControl/>
              <w:jc w:val="left"/>
              <w:textAlignment w:val="center"/>
              <w:rPr>
                <w:rFonts w:hint="eastAsia"/>
                <w:color w:val="auto"/>
                <w:szCs w:val="21"/>
                <w:highlight w:val="none"/>
              </w:rPr>
            </w:pPr>
            <w:r>
              <w:rPr>
                <w:rFonts w:hint="eastAsia"/>
                <w:color w:val="auto"/>
                <w:szCs w:val="21"/>
                <w:highlight w:val="none"/>
              </w:rPr>
              <w:t>《建筑地基基础设计规范》GB 50007-2011</w:t>
            </w:r>
          </w:p>
          <w:p>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《城市轨道交通岩土工程勘察规范》GB 50307-2012</w:t>
            </w:r>
          </w:p>
          <w:p>
            <w:pPr>
              <w:pStyle w:val="2"/>
              <w:jc w:val="left"/>
              <w:rPr>
                <w:rFonts w:hint="eastAsia"/>
                <w:color w:val="auto"/>
                <w:sz w:val="21"/>
                <w:szCs w:val="21"/>
                <w:highlight w:val="none"/>
              </w:rPr>
            </w:pPr>
            <w:r>
              <w:rPr>
                <w:rFonts w:hint="eastAsia" w:ascii="宋体" w:hAnsi="宋体" w:cs="宋体"/>
                <w:color w:val="auto"/>
                <w:sz w:val="21"/>
                <w:szCs w:val="21"/>
                <w:highlight w:val="none"/>
                <w:lang w:bidi="ar"/>
              </w:rPr>
              <w:t>《土工试验方法标准》</w:t>
            </w:r>
            <w:r>
              <w:rPr>
                <w:rFonts w:hint="eastAsia" w:ascii="宋体" w:hAnsi="宋体" w:cs="宋体"/>
                <w:color w:val="auto"/>
                <w:sz w:val="21"/>
                <w:szCs w:val="21"/>
                <w:highlight w:val="none"/>
                <w:lang w:eastAsia="zh-CN" w:bidi="ar"/>
              </w:rPr>
              <w:t>GB/T</w:t>
            </w:r>
            <w:r>
              <w:rPr>
                <w:rFonts w:hint="eastAsia" w:ascii="宋体" w:hAnsi="宋体" w:cs="宋体"/>
                <w:color w:val="auto"/>
                <w:sz w:val="21"/>
                <w:szCs w:val="21"/>
                <w:highlight w:val="none"/>
                <w:lang w:bidi="ar"/>
              </w:rPr>
              <w:t>50123-2019</w:t>
            </w:r>
          </w:p>
          <w:p>
            <w:pPr>
              <w:pStyle w:val="2"/>
              <w:jc w:val="left"/>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高速液压钻机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卷尺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压实系数（环刀法）*</w:t>
            </w:r>
          </w:p>
        </w:tc>
        <w:tc>
          <w:tcPr>
            <w:tcW w:w="2983" w:type="dxa"/>
            <w:noWrap w:val="0"/>
            <w:vAlign w:val="center"/>
          </w:tcPr>
          <w:p>
            <w:pPr>
              <w:widowControl/>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烘箱</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hint="eastAsia"/>
                <w:color w:val="auto"/>
                <w:szCs w:val="21"/>
                <w:highlight w:val="none"/>
              </w:rPr>
            </w:pPr>
            <w:r>
              <w:rPr>
                <w:rFonts w:hint="eastAsia"/>
                <w:color w:val="auto"/>
                <w:szCs w:val="21"/>
                <w:highlight w:val="none"/>
              </w:rPr>
              <w:t>《土工试验方法标准》</w:t>
            </w:r>
            <w:r>
              <w:rPr>
                <w:rFonts w:hint="eastAsia"/>
                <w:color w:val="auto"/>
                <w:szCs w:val="21"/>
                <w:highlight w:val="none"/>
                <w:lang w:eastAsia="zh-CN"/>
              </w:rPr>
              <w:t>GB/T</w:t>
            </w:r>
            <w:r>
              <w:rPr>
                <w:rFonts w:hint="eastAsia"/>
                <w:color w:val="auto"/>
                <w:szCs w:val="21"/>
                <w:highlight w:val="none"/>
              </w:rPr>
              <w:t>50123-2019</w:t>
            </w:r>
          </w:p>
          <w:p>
            <w:pPr>
              <w:widowControl/>
              <w:jc w:val="left"/>
              <w:textAlignment w:val="center"/>
              <w:rPr>
                <w:color w:val="auto"/>
                <w:sz w:val="21"/>
                <w:szCs w:val="21"/>
                <w:highlight w:val="none"/>
              </w:rPr>
            </w:pPr>
            <w:r>
              <w:rPr>
                <w:rFonts w:hint="eastAsia" w:ascii="宋体" w:hAnsi="宋体" w:cs="宋体"/>
                <w:color w:val="auto"/>
                <w:kern w:val="0"/>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电子天平</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ign w:val="center"/>
          </w:tcPr>
          <w:p>
            <w:pPr>
              <w:widowControl/>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电子秤</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环刀</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压实系数（灌砂法）*</w:t>
            </w:r>
          </w:p>
        </w:tc>
        <w:tc>
          <w:tcPr>
            <w:tcW w:w="2983"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灌砂法密度试验仪</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hint="eastAsia"/>
                <w:color w:val="auto"/>
                <w:szCs w:val="21"/>
                <w:highlight w:val="none"/>
              </w:rPr>
            </w:pPr>
            <w:r>
              <w:rPr>
                <w:rFonts w:hint="eastAsia"/>
                <w:color w:val="auto"/>
                <w:szCs w:val="21"/>
                <w:highlight w:val="none"/>
              </w:rPr>
              <w:t>《土工试验方法标准》</w:t>
            </w:r>
            <w:r>
              <w:rPr>
                <w:rFonts w:hint="eastAsia"/>
                <w:color w:val="auto"/>
                <w:szCs w:val="21"/>
                <w:highlight w:val="none"/>
                <w:lang w:eastAsia="zh-CN"/>
              </w:rPr>
              <w:t>GB/T</w:t>
            </w:r>
            <w:r>
              <w:rPr>
                <w:rFonts w:hint="eastAsia"/>
                <w:color w:val="auto"/>
                <w:szCs w:val="21"/>
                <w:highlight w:val="none"/>
              </w:rPr>
              <w:t>50123-2019</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《公路路基路面现场测试规程》JTG 3450-2019</w:t>
            </w:r>
          </w:p>
          <w:p>
            <w:pPr>
              <w:pStyle w:val="2"/>
              <w:jc w:val="left"/>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电子秤</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钢直尺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地基土强度*</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应变控制式三轴仪</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《岩土工程勘察规范》GB50021-2001（2009版）</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负载传感器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位移传感器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lang w:bidi="ar"/>
              </w:rPr>
              <w:t>应变控制式无侧限压缩仪*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直剪仪*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restart"/>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密实度（动力触探）*</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动力触探仪</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color w:val="auto"/>
                <w:szCs w:val="21"/>
                <w:highlight w:val="none"/>
              </w:rPr>
            </w:pPr>
            <w:r>
              <w:rPr>
                <w:rFonts w:hint="eastAsia"/>
                <w:color w:val="auto"/>
                <w:szCs w:val="21"/>
                <w:highlight w:val="none"/>
              </w:rPr>
              <w:t>《建筑地基检测技术规范》JGJ340-2015</w:t>
            </w:r>
          </w:p>
          <w:p>
            <w:pPr>
              <w:widowControl/>
              <w:jc w:val="left"/>
              <w:textAlignment w:val="center"/>
              <w:rPr>
                <w:color w:val="auto"/>
                <w:szCs w:val="21"/>
                <w:highlight w:val="none"/>
              </w:rPr>
            </w:pPr>
            <w:r>
              <w:rPr>
                <w:rFonts w:hint="eastAsia"/>
                <w:color w:val="auto"/>
                <w:szCs w:val="21"/>
                <w:highlight w:val="none"/>
              </w:rPr>
              <w:t>《岩土工程勘察规范》GB50021-2001（2009版）</w:t>
            </w:r>
          </w:p>
          <w:p>
            <w:pPr>
              <w:widowControl/>
              <w:jc w:val="left"/>
              <w:textAlignment w:val="center"/>
              <w:rPr>
                <w:color w:val="auto"/>
                <w:szCs w:val="21"/>
                <w:highlight w:val="none"/>
              </w:rPr>
            </w:pPr>
            <w:r>
              <w:rPr>
                <w:rFonts w:hint="eastAsia"/>
                <w:color w:val="auto"/>
                <w:szCs w:val="21"/>
                <w:highlight w:val="none"/>
              </w:rPr>
              <w:t>《建筑地基基础检测规范》</w:t>
            </w:r>
            <w:r>
              <w:rPr>
                <w:rFonts w:hint="eastAsia"/>
                <w:color w:val="auto"/>
                <w:szCs w:val="21"/>
                <w:highlight w:val="none"/>
                <w:lang w:eastAsia="zh-CN"/>
              </w:rPr>
              <w:t>DBJ/T</w:t>
            </w:r>
            <w:r>
              <w:rPr>
                <w:rFonts w:hint="eastAsia"/>
                <w:color w:val="auto"/>
                <w:szCs w:val="21"/>
                <w:highlight w:val="none"/>
              </w:rPr>
              <w:t xml:space="preserve"> 15-60-2019</w:t>
            </w:r>
          </w:p>
          <w:p>
            <w:pPr>
              <w:widowControl/>
              <w:jc w:val="left"/>
              <w:textAlignment w:val="center"/>
              <w:rPr>
                <w:color w:val="auto"/>
                <w:szCs w:val="21"/>
                <w:highlight w:val="none"/>
              </w:rPr>
            </w:pPr>
            <w:r>
              <w:rPr>
                <w:rFonts w:hint="eastAsia"/>
                <w:color w:val="auto"/>
                <w:szCs w:val="21"/>
                <w:highlight w:val="none"/>
              </w:rPr>
              <w:t>《建筑地基基础设计规范》DBJ 15-31-2016</w:t>
            </w:r>
          </w:p>
          <w:p>
            <w:pPr>
              <w:widowControl/>
              <w:jc w:val="left"/>
              <w:textAlignment w:val="center"/>
              <w:rPr>
                <w:rFonts w:hint="eastAsia"/>
                <w:color w:val="auto"/>
                <w:szCs w:val="21"/>
                <w:highlight w:val="none"/>
              </w:rPr>
            </w:pPr>
            <w:r>
              <w:rPr>
                <w:rFonts w:hint="eastAsia"/>
                <w:color w:val="auto"/>
                <w:szCs w:val="21"/>
                <w:highlight w:val="none"/>
              </w:rPr>
              <w:t>《建筑地基基础设计规范》GB 50007-2011</w:t>
            </w:r>
          </w:p>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《城市轨道交通岩土工程勘察规范》GB 50307-2012</w:t>
            </w:r>
          </w:p>
          <w:p>
            <w:pPr>
              <w:widowControl/>
              <w:jc w:val="left"/>
              <w:rPr>
                <w:color w:val="auto"/>
                <w:sz w:val="21"/>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高速液压钻机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卷尺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密实度（标准贯入）*</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标准贯入仪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高速液压钻机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卷尺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restart"/>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变形模量（原位测试）*</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液压千斤顶</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color w:val="auto"/>
                <w:szCs w:val="21"/>
                <w:highlight w:val="none"/>
              </w:rPr>
            </w:pPr>
            <w:r>
              <w:rPr>
                <w:rFonts w:hint="eastAsia"/>
                <w:color w:val="auto"/>
                <w:szCs w:val="21"/>
                <w:highlight w:val="none"/>
              </w:rPr>
              <w:t>《建筑地基检测技术规范》JGJ340-2015</w:t>
            </w:r>
          </w:p>
          <w:p>
            <w:pPr>
              <w:widowControl/>
              <w:jc w:val="left"/>
              <w:textAlignment w:val="center"/>
              <w:rPr>
                <w:color w:val="auto"/>
                <w:szCs w:val="21"/>
                <w:highlight w:val="none"/>
              </w:rPr>
            </w:pPr>
            <w:r>
              <w:rPr>
                <w:rFonts w:hint="eastAsia"/>
                <w:color w:val="auto"/>
                <w:szCs w:val="21"/>
                <w:highlight w:val="none"/>
              </w:rPr>
              <w:t>《岩土工程勘察规范》GB50021-2001（2009版）</w:t>
            </w:r>
          </w:p>
          <w:p>
            <w:pPr>
              <w:widowControl/>
              <w:jc w:val="left"/>
              <w:textAlignment w:val="center"/>
              <w:rPr>
                <w:color w:val="auto"/>
                <w:szCs w:val="21"/>
                <w:highlight w:val="none"/>
              </w:rPr>
            </w:pPr>
            <w:r>
              <w:rPr>
                <w:rFonts w:hint="eastAsia"/>
                <w:color w:val="auto"/>
                <w:szCs w:val="21"/>
                <w:highlight w:val="none"/>
              </w:rPr>
              <w:t>《建筑地基基础检测规范》</w:t>
            </w:r>
            <w:r>
              <w:rPr>
                <w:rFonts w:hint="eastAsia"/>
                <w:color w:val="auto"/>
                <w:szCs w:val="21"/>
                <w:highlight w:val="none"/>
                <w:lang w:eastAsia="zh-CN"/>
              </w:rPr>
              <w:t>DBJ/T</w:t>
            </w:r>
            <w:r>
              <w:rPr>
                <w:rFonts w:hint="eastAsia"/>
                <w:color w:val="auto"/>
                <w:szCs w:val="21"/>
                <w:highlight w:val="none"/>
              </w:rPr>
              <w:t xml:space="preserve"> 15-60-2019</w:t>
            </w:r>
          </w:p>
          <w:p>
            <w:pPr>
              <w:widowControl/>
              <w:jc w:val="left"/>
              <w:textAlignment w:val="center"/>
              <w:rPr>
                <w:color w:val="auto"/>
                <w:szCs w:val="21"/>
                <w:highlight w:val="none"/>
              </w:rPr>
            </w:pPr>
            <w:r>
              <w:rPr>
                <w:rFonts w:hint="eastAsia"/>
                <w:color w:val="auto"/>
                <w:szCs w:val="21"/>
                <w:highlight w:val="none"/>
              </w:rPr>
              <w:t>《建筑地基基础设计规范》DBJ 15-31-2016</w:t>
            </w:r>
          </w:p>
          <w:p>
            <w:pPr>
              <w:widowControl/>
              <w:jc w:val="left"/>
              <w:textAlignment w:val="center"/>
              <w:rPr>
                <w:rFonts w:hint="eastAsia"/>
                <w:color w:val="auto"/>
                <w:szCs w:val="21"/>
                <w:highlight w:val="none"/>
              </w:rPr>
            </w:pPr>
            <w:r>
              <w:rPr>
                <w:rFonts w:hint="eastAsia"/>
                <w:color w:val="auto"/>
                <w:szCs w:val="21"/>
                <w:highlight w:val="none"/>
              </w:rPr>
              <w:t>《建筑地基基础设计规范》GB 50007-2011</w:t>
            </w:r>
          </w:p>
          <w:p>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《城市轨道交通岩土工程勘察规范》GB 50307-2012</w:t>
            </w:r>
          </w:p>
          <w:p>
            <w:pPr>
              <w:widowControl/>
              <w:jc w:val="left"/>
              <w:rPr>
                <w:color w:val="auto"/>
                <w:sz w:val="21"/>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静载试验仪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钢梁</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压力传感器(荷</w:t>
            </w:r>
            <w:r>
              <w:rPr>
                <w:rFonts w:hint="eastAsia" w:ascii="宋体" w:hAnsi="宋体" w:cs="宋体"/>
                <w:color w:val="auto"/>
                <w:szCs w:val="21"/>
                <w:highlight w:val="none"/>
              </w:rPr>
              <w:t>重</w:t>
            </w:r>
            <w:r>
              <w:rPr>
                <w:rFonts w:hint="eastAsia" w:ascii="宋体" w:hAnsi="宋体" w:cs="宋体"/>
                <w:color w:val="auto"/>
                <w:kern w:val="0"/>
                <w:szCs w:val="21"/>
                <w:highlight w:val="none"/>
                <w:lang w:bidi="ar"/>
              </w:rPr>
              <w:t>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压力表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位移传感器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百分表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承压板</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restart"/>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增强体强度（钻芯法）*</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高速液压钻机</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color w:val="auto"/>
                <w:szCs w:val="21"/>
                <w:highlight w:val="none"/>
              </w:rPr>
            </w:pPr>
            <w:r>
              <w:rPr>
                <w:rFonts w:hint="eastAsia"/>
                <w:color w:val="auto"/>
                <w:szCs w:val="21"/>
                <w:highlight w:val="none"/>
              </w:rPr>
              <w:t>《建筑地基检测技术规范》JGJ340-2015</w:t>
            </w:r>
          </w:p>
          <w:p>
            <w:pPr>
              <w:widowControl/>
              <w:jc w:val="left"/>
              <w:textAlignment w:val="center"/>
              <w:rPr>
                <w:color w:val="auto"/>
                <w:sz w:val="21"/>
                <w:szCs w:val="21"/>
                <w:highlight w:val="none"/>
              </w:rPr>
            </w:pPr>
            <w:r>
              <w:rPr>
                <w:rFonts w:hint="eastAsia"/>
                <w:color w:val="auto"/>
                <w:szCs w:val="21"/>
                <w:highlight w:val="none"/>
              </w:rPr>
              <w:t>《建筑地基基础检测规范》</w:t>
            </w:r>
            <w:r>
              <w:rPr>
                <w:rFonts w:hint="eastAsia"/>
                <w:color w:val="auto"/>
                <w:szCs w:val="21"/>
                <w:highlight w:val="none"/>
                <w:lang w:eastAsia="zh-CN"/>
              </w:rPr>
              <w:t>DBJ/T</w:t>
            </w:r>
            <w:r>
              <w:rPr>
                <w:rFonts w:hint="eastAsia"/>
                <w:color w:val="auto"/>
                <w:szCs w:val="21"/>
                <w:highlight w:val="none"/>
              </w:rPr>
              <w:t xml:space="preserve"> 15-60-2019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切割机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w:t>
            </w:r>
          </w:p>
        </w:tc>
        <w:tc>
          <w:tcPr>
            <w:tcW w:w="1134"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桩的承载力</w:t>
            </w: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水平承载力（静载试验）</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液压千斤顶</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《建筑基桩检测技术规范》JGJ106-2014</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《建筑地基基础检测规范》</w:t>
            </w:r>
            <w:r>
              <w:rPr>
                <w:rFonts w:hint="eastAsia" w:ascii="宋体" w:hAnsi="宋体" w:cs="宋体"/>
                <w:color w:val="auto"/>
                <w:kern w:val="0"/>
                <w:szCs w:val="21"/>
                <w:highlight w:val="none"/>
                <w:lang w:eastAsia="zh-CN" w:bidi="ar"/>
              </w:rPr>
              <w:t>DBJ/T</w:t>
            </w:r>
            <w:r>
              <w:rPr>
                <w:rFonts w:hint="eastAsia" w:ascii="宋体" w:hAnsi="宋体" w:cs="宋体"/>
                <w:color w:val="auto"/>
                <w:kern w:val="0"/>
                <w:szCs w:val="21"/>
                <w:highlight w:val="none"/>
                <w:lang w:bidi="ar"/>
              </w:rPr>
              <w:t xml:space="preserve"> 15-60-2019</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《建筑地基基础设计规范》DBJ 15-31-2016</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《建筑地基基础设计规范》GB 50007-2011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静载试验仪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钢梁</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压力传感器(荷</w:t>
            </w:r>
            <w:r>
              <w:rPr>
                <w:rFonts w:hint="eastAsia" w:ascii="宋体" w:hAnsi="宋体" w:cs="宋体"/>
                <w:color w:val="auto"/>
                <w:szCs w:val="21"/>
                <w:highlight w:val="none"/>
              </w:rPr>
              <w:t>重</w:t>
            </w:r>
            <w:r>
              <w:rPr>
                <w:rFonts w:hint="eastAsia" w:ascii="宋体" w:hAnsi="宋体" w:cs="宋体"/>
                <w:color w:val="auto"/>
                <w:kern w:val="0"/>
                <w:szCs w:val="21"/>
                <w:highlight w:val="none"/>
                <w:lang w:bidi="ar"/>
              </w:rPr>
              <w:t>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压力表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位移传感器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百分表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竖向抗压承载力（静载试验）</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液压千斤顶</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《建筑基桩检测技术规范》JGJ106-2014</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《建筑地基基础检测规范》</w:t>
            </w:r>
            <w:r>
              <w:rPr>
                <w:rFonts w:hint="eastAsia" w:ascii="宋体" w:hAnsi="宋体" w:cs="宋体"/>
                <w:color w:val="auto"/>
                <w:kern w:val="0"/>
                <w:szCs w:val="21"/>
                <w:highlight w:val="none"/>
                <w:lang w:eastAsia="zh-CN" w:bidi="ar"/>
              </w:rPr>
              <w:t>DBJ/T</w:t>
            </w:r>
            <w:r>
              <w:rPr>
                <w:rFonts w:hint="eastAsia" w:ascii="宋体" w:hAnsi="宋体" w:cs="宋体"/>
                <w:color w:val="auto"/>
                <w:kern w:val="0"/>
                <w:szCs w:val="21"/>
                <w:highlight w:val="none"/>
                <w:lang w:bidi="ar"/>
              </w:rPr>
              <w:t xml:space="preserve"> 15-60-2019</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《建筑地基基础设计规范》DBJ 15-31-2016</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《建筑地基基础设计规范》GB 50007-2011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钢梁</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静载试验仪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压力传感器(荷</w:t>
            </w:r>
            <w:r>
              <w:rPr>
                <w:rFonts w:hint="eastAsia" w:ascii="宋体" w:hAnsi="宋体" w:cs="宋体"/>
                <w:color w:val="auto"/>
                <w:szCs w:val="21"/>
                <w:highlight w:val="none"/>
              </w:rPr>
              <w:t>重</w:t>
            </w:r>
            <w:r>
              <w:rPr>
                <w:rFonts w:hint="eastAsia" w:ascii="宋体" w:hAnsi="宋体" w:cs="宋体"/>
                <w:color w:val="auto"/>
                <w:kern w:val="0"/>
                <w:szCs w:val="21"/>
                <w:highlight w:val="none"/>
                <w:lang w:bidi="ar"/>
              </w:rPr>
              <w:t>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压力表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位移传感器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百分表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竖向抗压承载力（高应变法）</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高应变</w:t>
            </w:r>
            <w:r>
              <w:rPr>
                <w:rFonts w:hint="eastAsia" w:ascii="宋体" w:hAnsi="宋体" w:cs="宋体"/>
                <w:color w:val="auto"/>
                <w:kern w:val="0"/>
                <w:szCs w:val="21"/>
                <w:highlight w:val="none"/>
                <w:lang w:bidi="ar"/>
              </w:rPr>
              <w:t>动测仪</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《建筑基桩检测技术规范》JGJ106-2014</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《建筑地基基础检测规范》</w:t>
            </w:r>
            <w:r>
              <w:rPr>
                <w:rFonts w:hint="eastAsia" w:ascii="宋体" w:hAnsi="宋体" w:cs="宋体"/>
                <w:color w:val="auto"/>
                <w:kern w:val="0"/>
                <w:szCs w:val="21"/>
                <w:highlight w:val="none"/>
                <w:lang w:eastAsia="zh-CN" w:bidi="ar"/>
              </w:rPr>
              <w:t>DBJ/T</w:t>
            </w:r>
            <w:r>
              <w:rPr>
                <w:rFonts w:hint="eastAsia" w:ascii="宋体" w:hAnsi="宋体" w:cs="宋体"/>
                <w:color w:val="auto"/>
                <w:kern w:val="0"/>
                <w:szCs w:val="21"/>
                <w:highlight w:val="none"/>
                <w:lang w:bidi="ar"/>
              </w:rPr>
              <w:t xml:space="preserve"> 15-60-2019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重锤及导向架</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力传感器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加速度传感器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竖向抗压承载力（自平衡法）</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荷载箱</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《建筑基桩自平衡静载试验技术规程》</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403-2017</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基桩自平衡法静载试验技术规程 </w:t>
            </w:r>
            <w:r>
              <w:rPr>
                <w:rFonts w:hint="eastAsia" w:ascii="宋体" w:hAnsi="宋体" w:cs="宋体"/>
                <w:color w:val="auto"/>
                <w:kern w:val="0"/>
                <w:szCs w:val="21"/>
                <w:highlight w:val="none"/>
                <w:lang w:eastAsia="zh-CN" w:bidi="ar"/>
              </w:rPr>
              <w:t>DBJ/T</w:t>
            </w:r>
            <w:r>
              <w:rPr>
                <w:rFonts w:hint="eastAsia" w:ascii="宋体" w:hAnsi="宋体" w:cs="宋体"/>
                <w:color w:val="auto"/>
                <w:kern w:val="0"/>
                <w:szCs w:val="21"/>
                <w:highlight w:val="none"/>
                <w:lang w:bidi="ar"/>
              </w:rPr>
              <w:t xml:space="preserve"> 15-103-2014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静载试验仪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压力传感器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位移传感器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百分表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竖向抗拔承载力（抗拔静载试验）</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液压千斤顶</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《建筑基桩检测技术规范》JGJ106-2014</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《建筑地基基础检测规范》</w:t>
            </w:r>
            <w:r>
              <w:rPr>
                <w:rFonts w:hint="eastAsia" w:ascii="宋体" w:hAnsi="宋体" w:cs="宋体"/>
                <w:color w:val="auto"/>
                <w:kern w:val="0"/>
                <w:szCs w:val="21"/>
                <w:highlight w:val="none"/>
                <w:lang w:eastAsia="zh-CN" w:bidi="ar"/>
              </w:rPr>
              <w:t>DBJ/T</w:t>
            </w:r>
            <w:r>
              <w:rPr>
                <w:rFonts w:hint="eastAsia" w:ascii="宋体" w:hAnsi="宋体" w:cs="宋体"/>
                <w:color w:val="auto"/>
                <w:kern w:val="0"/>
                <w:szCs w:val="21"/>
                <w:highlight w:val="none"/>
                <w:lang w:bidi="ar"/>
              </w:rPr>
              <w:t xml:space="preserve"> 15-60-2019</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《建筑地基基础设计规范》DBJ 15-31-2016</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《建筑地基基础设计规范》GB 50007-2011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217"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983"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钢梁</w:t>
            </w:r>
          </w:p>
        </w:tc>
        <w:tc>
          <w:tcPr>
            <w:tcW w:w="2300"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317" w:type="dxa"/>
            <w:vMerge w:val="continue"/>
            <w:noWrap w:val="0"/>
            <w:vAlign w:val="center"/>
          </w:tcPr>
          <w:p>
            <w:pPr>
              <w:widowControl/>
              <w:jc w:val="left"/>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静载试验仪</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压力传感器(荷</w:t>
            </w:r>
            <w:r>
              <w:rPr>
                <w:rFonts w:hint="eastAsia" w:ascii="宋体" w:hAnsi="宋体" w:cs="宋体"/>
                <w:color w:val="auto"/>
                <w:szCs w:val="21"/>
                <w:highlight w:val="none"/>
              </w:rPr>
              <w:t>重</w:t>
            </w:r>
            <w:r>
              <w:rPr>
                <w:rFonts w:hint="eastAsia" w:ascii="宋体" w:hAnsi="宋体" w:cs="宋体"/>
                <w:color w:val="auto"/>
                <w:kern w:val="0"/>
                <w:szCs w:val="21"/>
                <w:highlight w:val="none"/>
                <w:lang w:bidi="ar"/>
              </w:rPr>
              <w:t>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压力表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位移传感器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百分表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3</w:t>
            </w:r>
          </w:p>
        </w:tc>
        <w:tc>
          <w:tcPr>
            <w:tcW w:w="1134"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桩身完整性</w:t>
            </w: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桩身完整性（低应变法）</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低应变</w:t>
            </w:r>
            <w:r>
              <w:rPr>
                <w:rFonts w:hint="eastAsia" w:ascii="宋体" w:hAnsi="宋体" w:cs="宋体"/>
                <w:color w:val="auto"/>
                <w:kern w:val="0"/>
                <w:szCs w:val="21"/>
                <w:highlight w:val="none"/>
                <w:lang w:bidi="ar"/>
              </w:rPr>
              <w:t>动测仪</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《建筑基桩检测技术规范》JGJ106-2014</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《建筑地基基础检测规范》</w:t>
            </w:r>
            <w:r>
              <w:rPr>
                <w:rFonts w:hint="eastAsia" w:ascii="宋体" w:hAnsi="宋体" w:cs="宋体"/>
                <w:color w:val="auto"/>
                <w:kern w:val="0"/>
                <w:szCs w:val="21"/>
                <w:highlight w:val="none"/>
                <w:lang w:eastAsia="zh-CN" w:bidi="ar"/>
              </w:rPr>
              <w:t>DBJ/T</w:t>
            </w:r>
            <w:r>
              <w:rPr>
                <w:rFonts w:hint="eastAsia" w:ascii="宋体" w:hAnsi="宋体" w:cs="宋体"/>
                <w:color w:val="auto"/>
                <w:kern w:val="0"/>
                <w:szCs w:val="21"/>
                <w:highlight w:val="none"/>
                <w:lang w:bidi="ar"/>
              </w:rPr>
              <w:t xml:space="preserve"> 15-60-2019</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《建筑地基检测技术规范》JGJ 340-2015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手锤、力棒</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加速度传感器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桩身完整性（声波透射法）</w:t>
            </w:r>
          </w:p>
        </w:tc>
        <w:tc>
          <w:tcPr>
            <w:tcW w:w="2983"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跨孔超声检测仪</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《建筑基桩检测技术规范》JGJ106-2014</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《建筑地基基础检测规范》</w:t>
            </w:r>
            <w:r>
              <w:rPr>
                <w:rFonts w:hint="eastAsia" w:ascii="宋体" w:hAnsi="宋体" w:cs="宋体"/>
                <w:color w:val="auto"/>
                <w:kern w:val="0"/>
                <w:szCs w:val="21"/>
                <w:highlight w:val="none"/>
                <w:lang w:eastAsia="zh-CN" w:bidi="ar"/>
              </w:rPr>
              <w:t>DBJ/T</w:t>
            </w:r>
            <w:r>
              <w:rPr>
                <w:rFonts w:hint="eastAsia" w:ascii="宋体" w:hAnsi="宋体" w:cs="宋体"/>
                <w:color w:val="auto"/>
                <w:kern w:val="0"/>
                <w:szCs w:val="21"/>
                <w:highlight w:val="none"/>
                <w:lang w:bidi="ar"/>
              </w:rPr>
              <w:t xml:space="preserve"> 15-60-2019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卷尺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游标卡尺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桩身完整性（钻芯法）</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高速液压钻机</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color w:val="auto"/>
                <w:szCs w:val="21"/>
                <w:highlight w:val="none"/>
              </w:rPr>
            </w:pPr>
            <w:r>
              <w:rPr>
                <w:rFonts w:hint="eastAsia"/>
                <w:color w:val="auto"/>
                <w:szCs w:val="21"/>
                <w:highlight w:val="none"/>
              </w:rPr>
              <w:t>《建筑基桩检测技术规范》JGJ106-2014</w:t>
            </w:r>
          </w:p>
          <w:p>
            <w:pPr>
              <w:widowControl/>
              <w:jc w:val="left"/>
              <w:textAlignment w:val="center"/>
              <w:rPr>
                <w:color w:val="auto"/>
                <w:szCs w:val="21"/>
                <w:highlight w:val="none"/>
              </w:rPr>
            </w:pPr>
            <w:r>
              <w:rPr>
                <w:rFonts w:hint="eastAsia"/>
                <w:color w:val="auto"/>
                <w:szCs w:val="21"/>
                <w:highlight w:val="none"/>
              </w:rPr>
              <w:t>《建筑地基基础检测规范》</w:t>
            </w:r>
            <w:r>
              <w:rPr>
                <w:rFonts w:hint="eastAsia"/>
                <w:color w:val="auto"/>
                <w:szCs w:val="21"/>
                <w:highlight w:val="none"/>
                <w:lang w:eastAsia="zh-CN"/>
              </w:rPr>
              <w:t>DBJ/T</w:t>
            </w:r>
            <w:r>
              <w:rPr>
                <w:rFonts w:hint="eastAsia"/>
                <w:color w:val="auto"/>
                <w:szCs w:val="21"/>
                <w:highlight w:val="none"/>
              </w:rPr>
              <w:t xml:space="preserve"> 15-60-2019</w:t>
            </w:r>
          </w:p>
          <w:p>
            <w:pPr>
              <w:widowControl/>
              <w:jc w:val="left"/>
              <w:textAlignment w:val="center"/>
              <w:rPr>
                <w:rFonts w:hint="eastAsia"/>
                <w:color w:val="auto"/>
                <w:szCs w:val="21"/>
                <w:highlight w:val="none"/>
              </w:rPr>
            </w:pPr>
            <w:r>
              <w:rPr>
                <w:rFonts w:hint="eastAsia"/>
                <w:color w:val="auto"/>
                <w:szCs w:val="21"/>
                <w:highlight w:val="none"/>
              </w:rPr>
              <w:t>《建筑地基检测技术规范》JGJ 340-2015</w:t>
            </w:r>
          </w:p>
          <w:p>
            <w:pPr>
              <w:pStyle w:val="2"/>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《混凝土物理力学性能试验方法标准》</w:t>
            </w:r>
            <w:r>
              <w:rPr>
                <w:rFonts w:hint="eastAsia" w:ascii="宋体" w:hAnsi="宋体" w:cs="宋体"/>
                <w:color w:val="auto"/>
                <w:sz w:val="21"/>
                <w:szCs w:val="21"/>
                <w:highlight w:val="none"/>
                <w:lang w:eastAsia="zh-CN" w:bidi="ar"/>
              </w:rPr>
              <w:t>GB/T</w:t>
            </w:r>
            <w:r>
              <w:rPr>
                <w:rFonts w:hint="eastAsia" w:ascii="宋体" w:hAnsi="宋体" w:cs="宋体"/>
                <w:color w:val="auto"/>
                <w:sz w:val="21"/>
                <w:szCs w:val="21"/>
                <w:highlight w:val="none"/>
                <w:lang w:bidi="ar"/>
              </w:rPr>
              <w:t xml:space="preserve"> 50081-2019</w:t>
            </w:r>
          </w:p>
          <w:p>
            <w:pPr>
              <w:pStyle w:val="2"/>
              <w:jc w:val="left"/>
              <w:rPr>
                <w:rFonts w:ascii="宋体" w:hAnsi="宋体" w:cs="宋体"/>
                <w:color w:val="auto"/>
                <w:sz w:val="21"/>
                <w:szCs w:val="21"/>
                <w:highlight w:val="none"/>
              </w:rPr>
            </w:pPr>
            <w:r>
              <w:rPr>
                <w:rFonts w:hint="eastAsia" w:ascii="宋体" w:hAnsi="宋体" w:cs="宋体"/>
                <w:color w:val="auto"/>
                <w:sz w:val="21"/>
                <w:szCs w:val="21"/>
                <w:highlight w:val="none"/>
                <w:lang w:bidi="ar"/>
              </w:rPr>
              <w:t>《工程岩体试验方法标准》</w:t>
            </w:r>
            <w:r>
              <w:rPr>
                <w:rFonts w:hint="eastAsia" w:ascii="宋体" w:hAnsi="宋体" w:cs="宋体"/>
                <w:color w:val="auto"/>
                <w:sz w:val="21"/>
                <w:szCs w:val="21"/>
                <w:highlight w:val="none"/>
                <w:lang w:eastAsia="zh-CN" w:bidi="ar"/>
              </w:rPr>
              <w:t>GB/T</w:t>
            </w:r>
            <w:r>
              <w:rPr>
                <w:rFonts w:hint="eastAsia" w:ascii="宋体" w:hAnsi="宋体" w:cs="宋体"/>
                <w:color w:val="auto"/>
                <w:sz w:val="21"/>
                <w:szCs w:val="21"/>
                <w:highlight w:val="none"/>
                <w:lang w:bidi="ar"/>
              </w:rPr>
              <w:t>50266-2013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切割机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磨平机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补平装置</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直尺（卷尺）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量角器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塞尺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4</w:t>
            </w:r>
          </w:p>
        </w:tc>
        <w:tc>
          <w:tcPr>
            <w:tcW w:w="1134"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锚杆抗拔承载力</w:t>
            </w: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锚杆抗拔承载力</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锚杆抗拔试验仪</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（静载荷测试分析仪、</w:t>
            </w:r>
            <w:r>
              <w:rPr>
                <w:rFonts w:hint="eastAsia" w:ascii="宋体" w:hAnsi="宋体" w:cs="宋体"/>
                <w:color w:val="auto"/>
                <w:szCs w:val="21"/>
                <w:highlight w:val="none"/>
                <w:lang w:bidi="ar"/>
              </w:rPr>
              <w:t>液压千斤顶、</w:t>
            </w:r>
            <w:r>
              <w:rPr>
                <w:rFonts w:hint="eastAsia" w:ascii="宋体" w:hAnsi="宋体" w:cs="宋体"/>
                <w:color w:val="auto"/>
                <w:szCs w:val="21"/>
                <w:highlight w:val="none"/>
              </w:rPr>
              <w:t>压力传感器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压力表）</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《建筑地基基础设计规范》GB 50007-2011</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《建筑边坡工程技术规范》GB 50330-2013</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《岩土锚杆与喷射混凝土支护工程技术规范》GB50086-2015</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《建筑基坑支护技术规程》JGJ 120-2012</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《锚杆检测与监测技术规程》 </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401-2017</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《建筑地基基础检测规范》</w:t>
            </w:r>
            <w:r>
              <w:rPr>
                <w:rFonts w:hint="eastAsia" w:ascii="宋体" w:hAnsi="宋体" w:cs="宋体"/>
                <w:color w:val="auto"/>
                <w:kern w:val="0"/>
                <w:szCs w:val="21"/>
                <w:highlight w:val="none"/>
                <w:lang w:eastAsia="zh-CN" w:bidi="ar"/>
              </w:rPr>
              <w:t>DBJ/T</w:t>
            </w:r>
            <w:r>
              <w:rPr>
                <w:rFonts w:hint="eastAsia" w:ascii="宋体" w:hAnsi="宋体" w:cs="宋体"/>
                <w:color w:val="auto"/>
                <w:kern w:val="0"/>
                <w:szCs w:val="21"/>
                <w:highlight w:val="none"/>
                <w:lang w:bidi="ar"/>
              </w:rPr>
              <w:t xml:space="preserve"> 15-60-2019</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《建筑地基基础设计规范》DBJ 15-31-2016</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《岩土锚杆（索）技术规程》CECS 22：2005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位移传感器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百分表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5</w:t>
            </w:r>
          </w:p>
        </w:tc>
        <w:tc>
          <w:tcPr>
            <w:tcW w:w="1134"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地下连续墙*</w:t>
            </w: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墙身完整性（声波透射法）*</w:t>
            </w:r>
          </w:p>
        </w:tc>
        <w:tc>
          <w:tcPr>
            <w:tcW w:w="2983" w:type="dxa"/>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跨孔超声检测仪</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restart"/>
            <w:noWrap w:val="0"/>
            <w:vAlign w:val="center"/>
          </w:tcPr>
          <w:p>
            <w:pPr>
              <w:widowControl/>
              <w:jc w:val="left"/>
              <w:textAlignment w:val="center"/>
              <w:rPr>
                <w:color w:val="auto"/>
                <w:szCs w:val="21"/>
                <w:highlight w:val="none"/>
              </w:rPr>
            </w:pPr>
            <w:r>
              <w:rPr>
                <w:rFonts w:hint="eastAsia"/>
                <w:color w:val="auto"/>
                <w:szCs w:val="21"/>
                <w:highlight w:val="none"/>
              </w:rPr>
              <w:t>《建筑地基基础检测规范》</w:t>
            </w:r>
            <w:r>
              <w:rPr>
                <w:rFonts w:hint="eastAsia"/>
                <w:color w:val="auto"/>
                <w:szCs w:val="21"/>
                <w:highlight w:val="none"/>
                <w:lang w:eastAsia="zh-CN"/>
              </w:rPr>
              <w:t>DBJ/T</w:t>
            </w:r>
            <w:r>
              <w:rPr>
                <w:rFonts w:hint="eastAsia"/>
                <w:color w:val="auto"/>
                <w:szCs w:val="21"/>
                <w:highlight w:val="none"/>
              </w:rPr>
              <w:t xml:space="preserve"> 15-60-2019</w:t>
            </w:r>
          </w:p>
          <w:p>
            <w:pPr>
              <w:widowControl/>
              <w:jc w:val="left"/>
              <w:textAlignment w:val="center"/>
              <w:rPr>
                <w:rFonts w:hint="eastAsia"/>
                <w:color w:val="auto"/>
                <w:szCs w:val="21"/>
                <w:highlight w:val="none"/>
              </w:rPr>
            </w:pPr>
            <w:r>
              <w:rPr>
                <w:rFonts w:hint="eastAsia"/>
                <w:color w:val="auto"/>
                <w:szCs w:val="21"/>
                <w:highlight w:val="none"/>
              </w:rPr>
              <w:t>《地下连续墙检测技术规程》T</w:t>
            </w:r>
            <w:r>
              <w:rPr>
                <w:rFonts w:hint="eastAsia"/>
                <w:color w:val="auto"/>
                <w:szCs w:val="21"/>
                <w:highlight w:val="none"/>
                <w:lang w:val="en-US" w:eastAsia="zh-CN"/>
              </w:rPr>
              <w:t>/</w:t>
            </w:r>
            <w:r>
              <w:rPr>
                <w:rFonts w:hint="eastAsia"/>
                <w:color w:val="auto"/>
                <w:szCs w:val="21"/>
                <w:highlight w:val="none"/>
              </w:rPr>
              <w:t>CECS 597-2019</w:t>
            </w:r>
          </w:p>
          <w:p>
            <w:pPr>
              <w:pStyle w:val="2"/>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《混凝土物理力学性能试验方法标准》</w:t>
            </w:r>
            <w:r>
              <w:rPr>
                <w:rFonts w:hint="eastAsia" w:ascii="宋体" w:hAnsi="宋体" w:cs="宋体"/>
                <w:color w:val="auto"/>
                <w:sz w:val="21"/>
                <w:szCs w:val="21"/>
                <w:highlight w:val="none"/>
                <w:lang w:eastAsia="zh-CN" w:bidi="ar"/>
              </w:rPr>
              <w:t>GB/T</w:t>
            </w:r>
            <w:r>
              <w:rPr>
                <w:rFonts w:hint="eastAsia" w:ascii="宋体" w:hAnsi="宋体" w:cs="宋体"/>
                <w:color w:val="auto"/>
                <w:sz w:val="21"/>
                <w:szCs w:val="21"/>
                <w:highlight w:val="none"/>
                <w:lang w:bidi="ar"/>
              </w:rPr>
              <w:t xml:space="preserve"> 50081-2019</w:t>
            </w:r>
          </w:p>
          <w:p>
            <w:pPr>
              <w:pStyle w:val="2"/>
              <w:jc w:val="left"/>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《工程岩体试验方法标准》</w:t>
            </w:r>
            <w:r>
              <w:rPr>
                <w:rFonts w:hint="eastAsia" w:ascii="宋体" w:hAnsi="宋体" w:cs="宋体"/>
                <w:color w:val="auto"/>
                <w:sz w:val="21"/>
                <w:szCs w:val="21"/>
                <w:highlight w:val="none"/>
                <w:lang w:eastAsia="zh-CN" w:bidi="ar"/>
              </w:rPr>
              <w:t>GB/T</w:t>
            </w:r>
            <w:r>
              <w:rPr>
                <w:rFonts w:hint="eastAsia" w:ascii="宋体" w:hAnsi="宋体" w:cs="宋体"/>
                <w:color w:val="auto"/>
                <w:sz w:val="21"/>
                <w:szCs w:val="21"/>
                <w:highlight w:val="none"/>
                <w:lang w:bidi="ar"/>
              </w:rPr>
              <w:t>50266-2013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卷尺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游标卡尺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墙身完整性（钻芯法）*</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高速液压钻机</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直尺（卷尺）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2217"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墙身混凝土强度（钻芯法）*</w:t>
            </w: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高速液压钻机</w:t>
            </w:r>
          </w:p>
        </w:tc>
        <w:tc>
          <w:tcPr>
            <w:tcW w:w="2300"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切割机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磨平机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补平装置</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直尺（卷尺）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量角器</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8" w:type="dxa"/>
            <w:vMerge w:val="continue"/>
            <w:noWrap w:val="0"/>
            <w:vAlign w:val="center"/>
          </w:tcPr>
          <w:p>
            <w:pPr>
              <w:jc w:val="center"/>
              <w:rPr>
                <w:rFonts w:ascii="宋体" w:hAnsi="宋体" w:cs="宋体"/>
                <w:b/>
                <w:bCs/>
                <w:color w:val="auto"/>
                <w:szCs w:val="21"/>
                <w:highlight w:val="none"/>
              </w:rPr>
            </w:pPr>
          </w:p>
        </w:tc>
        <w:tc>
          <w:tcPr>
            <w:tcW w:w="1134" w:type="dxa"/>
            <w:vMerge w:val="continue"/>
            <w:noWrap w:val="0"/>
            <w:vAlign w:val="center"/>
          </w:tcPr>
          <w:p>
            <w:pPr>
              <w:jc w:val="center"/>
              <w:rPr>
                <w:rFonts w:ascii="宋体" w:hAnsi="宋体" w:cs="宋体"/>
                <w:b/>
                <w:bCs/>
                <w:color w:val="auto"/>
                <w:szCs w:val="21"/>
                <w:highlight w:val="none"/>
              </w:rPr>
            </w:pPr>
          </w:p>
        </w:tc>
        <w:tc>
          <w:tcPr>
            <w:tcW w:w="866" w:type="dxa"/>
            <w:vMerge w:val="continue"/>
            <w:noWrap w:val="0"/>
            <w:vAlign w:val="center"/>
          </w:tcPr>
          <w:p>
            <w:pPr>
              <w:jc w:val="center"/>
              <w:rPr>
                <w:rFonts w:ascii="宋体" w:hAnsi="宋体" w:cs="宋体"/>
                <w:color w:val="auto"/>
                <w:szCs w:val="21"/>
                <w:highlight w:val="none"/>
              </w:rPr>
            </w:pPr>
          </w:p>
        </w:tc>
        <w:tc>
          <w:tcPr>
            <w:tcW w:w="2217" w:type="dxa"/>
            <w:vMerge w:val="continue"/>
            <w:noWrap w:val="0"/>
            <w:vAlign w:val="center"/>
          </w:tcPr>
          <w:p>
            <w:pPr>
              <w:jc w:val="center"/>
              <w:rPr>
                <w:rFonts w:ascii="宋体" w:hAnsi="宋体" w:cs="宋体"/>
                <w:color w:val="auto"/>
                <w:szCs w:val="21"/>
                <w:highlight w:val="none"/>
              </w:rPr>
            </w:pPr>
          </w:p>
        </w:tc>
        <w:tc>
          <w:tcPr>
            <w:tcW w:w="29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塞尺</w:t>
            </w:r>
          </w:p>
        </w:tc>
        <w:tc>
          <w:tcPr>
            <w:tcW w:w="2300" w:type="dxa"/>
            <w:vMerge w:val="continue"/>
            <w:noWrap w:val="0"/>
            <w:vAlign w:val="center"/>
          </w:tcPr>
          <w:p>
            <w:pPr>
              <w:jc w:val="center"/>
              <w:rPr>
                <w:rFonts w:ascii="宋体" w:hAnsi="宋体" w:cs="宋体"/>
                <w:color w:val="auto"/>
                <w:szCs w:val="21"/>
                <w:highlight w:val="none"/>
              </w:rPr>
            </w:pPr>
          </w:p>
        </w:tc>
        <w:tc>
          <w:tcPr>
            <w:tcW w:w="4317" w:type="dxa"/>
            <w:vMerge w:val="continue"/>
            <w:noWrap w:val="0"/>
            <w:vAlign w:val="center"/>
          </w:tcPr>
          <w:p>
            <w:pPr>
              <w:jc w:val="left"/>
              <w:rPr>
                <w:rFonts w:ascii="宋体" w:hAnsi="宋体" w:cs="宋体"/>
                <w:color w:val="auto"/>
                <w:szCs w:val="21"/>
                <w:highlight w:val="none"/>
              </w:rPr>
            </w:pP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pStyle w:val="2"/>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表五 </w:t>
      </w:r>
      <w:r>
        <w:rPr>
          <w:rFonts w:hint="eastAsia" w:ascii="黑体" w:hAnsi="黑体" w:eastAsia="黑体" w:cs="黑体"/>
          <w:sz w:val="32"/>
          <w:szCs w:val="32"/>
          <w:highlight w:val="none"/>
        </w:rPr>
        <w:t>建筑节能）</w:t>
      </w:r>
    </w:p>
    <w:tbl>
      <w:tblPr>
        <w:tblStyle w:val="14"/>
        <w:tblW w:w="4911"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591"/>
        <w:gridCol w:w="1158"/>
        <w:gridCol w:w="756"/>
        <w:gridCol w:w="2106"/>
        <w:gridCol w:w="3305"/>
        <w:gridCol w:w="1639"/>
        <w:gridCol w:w="418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215" w:type="pc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项目</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421" w:type="pct"/>
            <w:noWrap/>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检测</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项目</w:t>
            </w:r>
          </w:p>
        </w:tc>
        <w:tc>
          <w:tcPr>
            <w:tcW w:w="275" w:type="pc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参数</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766" w:type="pct"/>
            <w:noWrap/>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检测参数</w:t>
            </w:r>
          </w:p>
        </w:tc>
        <w:tc>
          <w:tcPr>
            <w:tcW w:w="1202" w:type="pc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主要设备名称</w:t>
            </w:r>
          </w:p>
        </w:tc>
        <w:tc>
          <w:tcPr>
            <w:tcW w:w="596" w:type="pc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试验方法要求</w:t>
            </w:r>
          </w:p>
        </w:tc>
        <w:tc>
          <w:tcPr>
            <w:tcW w:w="1523" w:type="pct"/>
            <w:noWrap/>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参考标准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w:t>
            </w:r>
          </w:p>
        </w:tc>
        <w:tc>
          <w:tcPr>
            <w:tcW w:w="421"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保温、绝热材料</w:t>
            </w: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导热系数或热阻</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导热系数测定仪（防护热板法）</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防护热板法</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热流计法</w:t>
            </w: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《绝热材料稳态热阻及有关特性的测定防护热板法》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10294-2008</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《绝热材料稳态热阻及有关特性的测定热流计法》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10295-2008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导热系数测定仪（热流计法）*</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烘箱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天平</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密度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《泡沫塑料及橡胶.表观密度的测定》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6343-2009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《矿物棉及其制品试验方法》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5480-2017</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《无机硬质绝热制品试验方法》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5486-2008</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《外墙内保温板》</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159-2004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烘箱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测微计千分尺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钢卷尺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针形厚度计</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精密直径围尺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密度测量桶</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压缩强度或抗压强度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微机控制电子万能试验机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《硬质泡沫塑料压缩性能的测定》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8813-2020</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《建筑用绝热制品压缩性能的测定》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13480-2014</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《无机硬质绝热制品试验方法》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5486-2008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烘箱电热鼓风干燥箱</w:t>
            </w:r>
          </w:p>
        </w:tc>
        <w:tc>
          <w:tcPr>
            <w:tcW w:w="596" w:type="pct"/>
            <w:vMerge w:val="continue"/>
            <w:tcBorders>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微机控制电子万能试验机</w:t>
            </w:r>
            <w:r>
              <w:rPr>
                <w:rFonts w:hint="eastAsia" w:ascii="宋体" w:hAnsi="宋体" w:eastAsia="宋体" w:cs="宋体"/>
                <w:color w:val="auto"/>
                <w:kern w:val="0"/>
                <w:sz w:val="21"/>
                <w:szCs w:val="21"/>
                <w:highlight w:val="none"/>
                <w:lang w:val="en-US" w:eastAsia="zh-CN" w:bidi="ar"/>
              </w:rPr>
              <w:t>含自动位移测量</w:t>
            </w:r>
          </w:p>
        </w:tc>
        <w:tc>
          <w:tcPr>
            <w:tcW w:w="596" w:type="pc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方法A</w:t>
            </w: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微机控制电子万能试验机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位移测量装置</w:t>
            </w:r>
          </w:p>
        </w:tc>
        <w:tc>
          <w:tcPr>
            <w:tcW w:w="596" w:type="pct"/>
            <w:tcBorders>
              <w:top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方法B</w:t>
            </w: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垂直于板面方向的抗拉强度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微机控制电子万能试验机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《模塑聚苯板薄抹灰外墙外保温系统材料》</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29906-2013</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《建筑用绝热制品垂直于表面抗拉强度的测定》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30804-2014</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《外墙外保温工程技术标准》JGJ144-2019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《胶粉聚苯颗粒外墙外保温系统材料》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158-2013</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《硬泡聚氨酯保温防水工程技术规范》GB50404-2017</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《建筑用真空绝热板》</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438-2014</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《热固复合聚苯乙烯泡沫保温板》</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536-2017</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《建筑用混凝土复合聚苯板外墙外保温材料》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228-2015</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《挤塑聚苯板（XPS）薄抹灰外墙外保温系统材料》</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30595-2014</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《酚醛泡沫板薄抹灰外墙外保温系统材料》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515-2017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 w:bidi="ar"/>
              </w:rPr>
              <w:t>刚性板</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eastAsia="zh" w:bidi="ar"/>
              </w:rPr>
              <w:t>刚性块</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吸水率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restar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方法A</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方法B</w:t>
            </w: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《硬质泡沫塑料吸水率的测定》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8810-2005</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《矿物棉及其制品试验方法》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5480-2017</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《无机硬质绝热制品试验方法》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5486-2008</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《泡沫玻璃绝热制品》JCT647-2014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切片器</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电热鼓风干燥箱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投影仪</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传热系数及热阻</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稳态热传递性能测试系统</w:t>
            </w:r>
          </w:p>
          <w:p>
            <w:pPr>
              <w:widowControl/>
              <w:jc w:val="center"/>
              <w:textAlignment w:val="center"/>
              <w:rPr>
                <w:rFonts w:hint="eastAsia" w:ascii="宋体" w:hAnsi="宋体" w:eastAsia="宋体" w:cs="宋体"/>
                <w:color w:val="auto"/>
                <w:sz w:val="21"/>
                <w:szCs w:val="21"/>
                <w:highlight w:val="none"/>
              </w:rPr>
            </w:pP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《绝热稳态传热性质的测定标定和防护热箱法》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13475-2008</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《围护结构传热系数现场检测技术规程》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 xml:space="preserve"> 357-2015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单位面积质量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《保温装饰板外墙外保温系统材料》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287-2013</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《外墙保温复合板通用技术要求》</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480-2015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钢卷尺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拉伸粘结强度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微机控制电子万能试验机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《保温装饰板外墙外保温系统材料》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287-2013</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《外墙保温复合板通用技术要求》</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480-2015</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《外墙内保温复合板系统》</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30593-2014</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《胶粉聚苯颗粒外墙外保温系统材料》</w:t>
            </w:r>
            <w:r>
              <w:rPr>
                <w:rFonts w:hint="eastAsia" w:ascii="宋体" w:hAnsi="宋体" w:eastAsia="宋体" w:cs="宋体"/>
                <w:color w:val="auto"/>
                <w:sz w:val="21"/>
                <w:szCs w:val="21"/>
                <w:highlight w:val="none"/>
                <w:lang w:eastAsia="zh-CN" w:bidi="ar"/>
              </w:rPr>
              <w:t>JG/T</w:t>
            </w:r>
            <w:r>
              <w:rPr>
                <w:rFonts w:hint="eastAsia" w:ascii="宋体" w:hAnsi="宋体" w:eastAsia="宋体" w:cs="宋体"/>
                <w:color w:val="auto"/>
                <w:sz w:val="21"/>
                <w:szCs w:val="21"/>
                <w:highlight w:val="none"/>
                <w:lang w:bidi="ar"/>
              </w:rPr>
              <w:t>158-2013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燃烧性能*</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不燃性：试验装置</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pStyle w:val="2"/>
              <w:rPr>
                <w:rFonts w:hint="eastAsia" w:ascii="宋体" w:hAnsi="宋体" w:eastAsia="宋体" w:cs="宋体"/>
                <w:color w:val="auto"/>
                <w:sz w:val="21"/>
                <w:szCs w:val="21"/>
                <w:highlight w:val="none"/>
                <w:lang w:eastAsia="zh" w:bidi="ar"/>
              </w:rPr>
            </w:pPr>
            <w:r>
              <w:rPr>
                <w:rFonts w:hint="eastAsia" w:ascii="宋体" w:hAnsi="宋体" w:eastAsia="宋体" w:cs="宋体"/>
                <w:color w:val="auto"/>
                <w:sz w:val="21"/>
                <w:szCs w:val="21"/>
                <w:highlight w:val="none"/>
                <w:lang w:bidi="ar"/>
              </w:rPr>
              <w:t>《建筑材料不燃性试验方法》</w:t>
            </w:r>
            <w:r>
              <w:rPr>
                <w:rFonts w:hint="eastAsia" w:ascii="宋体" w:hAnsi="宋体" w:eastAsia="宋体" w:cs="宋体"/>
                <w:color w:val="auto"/>
                <w:sz w:val="21"/>
                <w:szCs w:val="21"/>
                <w:highlight w:val="none"/>
                <w:lang w:eastAsia="zh-CN" w:bidi="ar"/>
              </w:rPr>
              <w:t>GB/T</w:t>
            </w:r>
            <w:r>
              <w:rPr>
                <w:rFonts w:hint="eastAsia" w:ascii="宋体" w:hAnsi="宋体" w:eastAsia="宋体" w:cs="宋体"/>
                <w:color w:val="auto"/>
                <w:sz w:val="21"/>
                <w:szCs w:val="21"/>
                <w:highlight w:val="none"/>
                <w:lang w:bidi="ar"/>
              </w:rPr>
              <w:t>5464-20</w:t>
            </w:r>
            <w:r>
              <w:rPr>
                <w:rFonts w:hint="eastAsia" w:ascii="宋体" w:hAnsi="宋体" w:eastAsia="宋体" w:cs="宋体"/>
                <w:color w:val="auto"/>
                <w:sz w:val="21"/>
                <w:szCs w:val="21"/>
                <w:highlight w:val="none"/>
                <w:lang w:eastAsia="zh" w:bidi="ar"/>
              </w:rPr>
              <w:t>10</w:t>
            </w:r>
          </w:p>
          <w:p>
            <w:pPr>
              <w:widowControl/>
              <w:jc w:val="left"/>
              <w:textAlignment w:val="center"/>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烘箱</w:t>
            </w:r>
          </w:p>
        </w:tc>
        <w:tc>
          <w:tcPr>
            <w:tcW w:w="596" w:type="pct"/>
            <w:vMerge w:val="continue"/>
            <w:tcBorders>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燃烧热值：试验装置</w:t>
            </w:r>
          </w:p>
        </w:tc>
        <w:tc>
          <w:tcPr>
            <w:tcW w:w="596" w:type="pct"/>
            <w:vMerge w:val="restart"/>
            <w:tcBorders>
              <w:top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《建筑材料及制品的燃烧性能燃烧热值的测定》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14402-2007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分析天平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tcBorders>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单体燃烧试验装置(SBI)</w:t>
            </w:r>
          </w:p>
        </w:tc>
        <w:tc>
          <w:tcPr>
            <w:tcW w:w="596" w:type="pct"/>
            <w:vMerge w:val="restart"/>
            <w:tcBorders>
              <w:top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《建筑材料或制品的单体燃烧试验》</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20284-2006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钢卷尺</w:t>
            </w:r>
          </w:p>
        </w:tc>
        <w:tc>
          <w:tcPr>
            <w:tcW w:w="596" w:type="pct"/>
            <w:vMerge w:val="continue"/>
            <w:tcBorders>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可燃性试验装置</w:t>
            </w:r>
          </w:p>
        </w:tc>
        <w:tc>
          <w:tcPr>
            <w:tcW w:w="596" w:type="pct"/>
            <w:vMerge w:val="restart"/>
            <w:tcBorders>
              <w:top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《建筑材料可燃性试验方法》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8626-2007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continue"/>
            <w:tcBorders>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氧指数测定仪</w:t>
            </w:r>
          </w:p>
        </w:tc>
        <w:tc>
          <w:tcPr>
            <w:tcW w:w="596" w:type="pct"/>
            <w:vMerge w:val="restart"/>
            <w:tcBorders>
              <w:top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《塑料用氧指数法测定燃烧行为第2部分：室温试验》</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2406.2-2009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秒表</w:t>
            </w:r>
          </w:p>
        </w:tc>
        <w:tc>
          <w:tcPr>
            <w:tcW w:w="596" w:type="pct"/>
            <w:vMerge w:val="continue"/>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w:t>
            </w:r>
          </w:p>
        </w:tc>
        <w:tc>
          <w:tcPr>
            <w:tcW w:w="421" w:type="pct"/>
            <w:vMerge w:val="restar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粘结</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材料</w:t>
            </w: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拉伸粘结强度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低温试验箱*</w:t>
            </w:r>
          </w:p>
        </w:tc>
        <w:tc>
          <w:tcPr>
            <w:tcW w:w="596" w:type="pct"/>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《保温装饰板外墙外保温系统材料》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287-2013</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《外墙外保温工程技术标准》JGJ144-2019</w:t>
            </w:r>
          </w:p>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《墙体保温用膨胀聚苯乙烯板胶粘剂》JC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T992-2006</w:t>
            </w:r>
            <w:r>
              <w:rPr>
                <w:rFonts w:hint="eastAsia" w:ascii="宋体" w:hAnsi="宋体" w:eastAsia="宋体" w:cs="宋体"/>
                <w:color w:val="auto"/>
                <w:kern w:val="0"/>
                <w:sz w:val="21"/>
                <w:szCs w:val="21"/>
                <w:highlight w:val="none"/>
                <w:lang w:val="en-US" w:eastAsia="zh-CN" w:bidi="ar"/>
              </w:rPr>
              <w:t>”</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《外墙内保温复合板系统》</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30593-2014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微机控制电子万能试验机</w:t>
            </w:r>
          </w:p>
        </w:tc>
        <w:tc>
          <w:tcPr>
            <w:tcW w:w="596" w:type="pct"/>
            <w:vMerge w:val="continue"/>
            <w:tcBorders>
              <w:top w:val="single" w:color="auto" w:sz="4" w:space="0"/>
              <w:bottom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3</w:t>
            </w:r>
          </w:p>
        </w:tc>
        <w:tc>
          <w:tcPr>
            <w:tcW w:w="421"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增强加固材料</w:t>
            </w: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力学性能</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万能试验机/拉力试验机</w:t>
            </w:r>
          </w:p>
        </w:tc>
        <w:tc>
          <w:tcPr>
            <w:tcW w:w="596" w:type="pct"/>
            <w:tcBorders>
              <w:top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《增强材料机织物试验方法第5部分：玻璃纤维拉伸断裂强力和断裂伸长的测定》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7689.5-2013</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《镀锌电焊网》</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33281-2016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抗腐蚀性能</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耐腐蚀容器</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《外墙外保温工程技术标准》JGJ144-2019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《胶粉聚苯颗粒外墙外保温系统材料》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158-2013</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《玻璃纤维网布耐碱性试验方法氢氧化钠溶液浸泡法》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20102-2006</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《镀锌钢丝锌层硫酸铜试验方法》</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 xml:space="preserve"> 2972-2016</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《增强用玻璃纤维网布 第 2 部 分：聚合物基外墙外保温用玻 璃纤维网布》 JCT 561.2-2006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万能试验机/拉力试验机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网孔中心距偏差*</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《镀锌电焊网》</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33281-2016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钢丝网丝径*</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千分尺</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《镀锌电焊网》</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33281-2016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单位面积质量*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《增强制品试验方法第3部分：单位面积质量的测定》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9914.3-2013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电热鼓风干燥箱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断裂伸长率*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万能试验机/拉力试验机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《增强材料机织物试验方法第5部分：玻璃纤维拉伸断裂强力和断裂伸长的测定》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7689.5-2013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4</w:t>
            </w:r>
          </w:p>
        </w:tc>
        <w:tc>
          <w:tcPr>
            <w:tcW w:w="421" w:type="pct"/>
            <w:vMerge w:val="restar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保温</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砂浆</w:t>
            </w: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抗压强度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万能试验机</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压力试验机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《无机硬质绝热制品试验方法》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5486-2008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电热鼓风干燥箱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 w:bidi="ar"/>
              </w:rPr>
              <w:t>干燥器</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干密度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《建筑保温砂浆》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20473-2021</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《无机硬质绝热制品试验方法》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5486-2008</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《膨胀玻化微珠保温隔热砂浆》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26000-2010</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《胶粉聚苯颗粒外墙外保温系统材料》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158-2013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电热鼓风干燥箱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导热系数</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导热系数测定仪</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《绝热材料稳态热阻及有关特性的测定防护热板法》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10294-2008</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《绝热材料稳态热阻及有关特性的测定热流计法》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10295-2008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天平</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421"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7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6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游标卡尺</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421"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7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6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烘箱</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剪切强度*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万能试验机/拉力试验机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《建筑保温砂浆》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20473-2021</w:t>
            </w:r>
          </w:p>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《陶瓷砖胶粘剂》JC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T547</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-2017</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《膨胀玻化微珠保温隔热砂浆》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26000-2010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拉伸粘结强度*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万能试验机/拉力试验机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《建筑保温砂浆》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20473-2021</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《胶粉聚苯颗粒外墙外保温系统材料》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158-2013</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《陶瓷砖胶粘剂》JCT547-2017</w:t>
            </w:r>
          </w:p>
          <w:p>
            <w:pPr>
              <w:pStyle w:val="2"/>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lang w:val="en-US" w:eastAsia="zh-CN" w:bidi="ar"/>
              </w:rPr>
              <w:t>《外墙外保温工程技术标准》JGJ 144-2019</w:t>
            </w:r>
            <w:r>
              <w:rPr>
                <w:rFonts w:hint="eastAsia" w:ascii="宋体" w:hAnsi="宋体" w:eastAsia="宋体" w:cs="宋体"/>
                <w:color w:val="auto"/>
                <w:sz w:val="21"/>
                <w:szCs w:val="21"/>
                <w:highlight w:val="none"/>
                <w:lang w:bidi="ar"/>
              </w:rPr>
              <w:t>《外墙外保温用膨胀聚苯乙烯板抹面胶浆》JCT 993-2006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电子天平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5</w:t>
            </w:r>
          </w:p>
        </w:tc>
        <w:tc>
          <w:tcPr>
            <w:tcW w:w="421" w:type="pct"/>
            <w:vMerge w:val="restar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抹面</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材料</w:t>
            </w: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拉伸粘结强度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万能试验机/拉力试验机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《外墙外保温工程技术标准》JGJ144-2019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《胶粉聚苯颗粒外墙外保温系统材料》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158-2013</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《外墙外保温用膨胀聚苯乙烯板抹面胶浆》JCT993-2006</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《外墙内保温复合板系统》</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30593-2014</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《建筑砂浆基本性能试验方法标准》JGJ/T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行星式搅拌机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低温箱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压折比（或柔韧性）</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万能试验机</w:t>
            </w:r>
            <w:r>
              <w:rPr>
                <w:rFonts w:hint="eastAsia" w:ascii="宋体" w:hAnsi="宋体" w:eastAsia="宋体" w:cs="宋体"/>
                <w:color w:val="auto"/>
                <w:kern w:val="0"/>
                <w:sz w:val="21"/>
                <w:szCs w:val="21"/>
                <w:highlight w:val="none"/>
                <w:lang w:val="en-US" w:eastAsia="zh-CN" w:bidi="ar"/>
              </w:rPr>
              <w:t>/压力试验机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《水泥胶砂强度检验方法（ISO法）》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17671-2021</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《胶粉聚苯颗粒外墙外保温系统材料》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158-2013</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《外墙外保温用膨胀聚苯乙烯板抹面胶浆》JCT993-2006</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《无机轻集料砂浆保温系统技术标准》</w:t>
            </w:r>
            <w:r>
              <w:rPr>
                <w:rFonts w:hint="eastAsia" w:ascii="宋体" w:hAnsi="宋体" w:eastAsia="宋体" w:cs="宋体"/>
                <w:color w:val="auto"/>
                <w:sz w:val="21"/>
                <w:szCs w:val="21"/>
                <w:highlight w:val="none"/>
                <w:lang w:eastAsia="zh-CN" w:bidi="ar"/>
              </w:rPr>
              <w:t>JGJ/T</w:t>
            </w:r>
            <w:r>
              <w:rPr>
                <w:rFonts w:hint="eastAsia" w:ascii="宋体" w:hAnsi="宋体" w:eastAsia="宋体" w:cs="宋体"/>
                <w:color w:val="auto"/>
                <w:sz w:val="21"/>
                <w:szCs w:val="21"/>
                <w:highlight w:val="none"/>
                <w:lang w:bidi="ar"/>
              </w:rPr>
              <w:t>253-2019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恒温恒湿箱</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行星式搅拌机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水泥胶砂振实台</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6</w:t>
            </w:r>
          </w:p>
        </w:tc>
        <w:tc>
          <w:tcPr>
            <w:tcW w:w="421" w:type="pct"/>
            <w:vMerge w:val="restar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隔热</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型材</w:t>
            </w: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抗拉强度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万能试验机/拉力试验机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《铝合金隔热型材复合性能试验方法》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28289-2012</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《建筑用隔热铝合金型材》</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175-2011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高、低温环境试验箱</w:t>
            </w:r>
            <w:r>
              <w:rPr>
                <w:rFonts w:hint="eastAsia" w:ascii="宋体" w:hAnsi="宋体" w:eastAsia="宋体" w:cs="宋体"/>
                <w:color w:val="auto"/>
                <w:sz w:val="21"/>
                <w:szCs w:val="21"/>
                <w:highlight w:val="none"/>
                <w:vertAlign w:val="baseline"/>
                <w:lang w:val="en-US" w:eastAsia="zh-CN"/>
              </w:rPr>
              <w:t>*</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游标卡尺</w:t>
            </w:r>
            <w:r>
              <w:rPr>
                <w:rFonts w:hint="eastAsia" w:ascii="宋体" w:hAnsi="宋体" w:eastAsia="宋体" w:cs="宋体"/>
                <w:color w:val="auto"/>
                <w:sz w:val="21"/>
                <w:szCs w:val="21"/>
                <w:highlight w:val="none"/>
                <w:vertAlign w:val="baseline"/>
                <w:lang w:val="en-US" w:eastAsia="zh-CN"/>
              </w:rPr>
              <w:t>*</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抗剪强度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高、低温环境试验箱</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万能试验机/拉力试验机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7</w:t>
            </w:r>
          </w:p>
        </w:tc>
        <w:tc>
          <w:tcPr>
            <w:tcW w:w="421" w:type="pct"/>
            <w:vMerge w:val="restar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建筑</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外窗</w:t>
            </w: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气密性能</w:t>
            </w:r>
          </w:p>
        </w:tc>
        <w:tc>
          <w:tcPr>
            <w:tcW w:w="1202"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门窗三性检测装置</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《建筑外门窗气密、水密、抗风压性能检测方法》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7106-2019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水密性能</w:t>
            </w:r>
          </w:p>
        </w:tc>
        <w:tc>
          <w:tcPr>
            <w:tcW w:w="1202" w:type="pct"/>
            <w:vMerge w:val="continue"/>
            <w:noWrap w:val="0"/>
            <w:vAlign w:val="center"/>
          </w:tcPr>
          <w:p>
            <w:pPr>
              <w:jc w:val="center"/>
              <w:rPr>
                <w:rFonts w:hint="eastAsia" w:ascii="宋体" w:hAnsi="宋体" w:eastAsia="宋体" w:cs="宋体"/>
                <w:color w:val="auto"/>
                <w:sz w:val="21"/>
                <w:szCs w:val="21"/>
                <w:highlight w:val="none"/>
              </w:rPr>
            </w:pPr>
          </w:p>
        </w:tc>
        <w:tc>
          <w:tcPr>
            <w:tcW w:w="596" w:type="pct"/>
            <w:vMerge w:val="continue"/>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抗风压性能</w:t>
            </w:r>
          </w:p>
        </w:tc>
        <w:tc>
          <w:tcPr>
            <w:tcW w:w="1202" w:type="pct"/>
            <w:vMerge w:val="continue"/>
            <w:noWrap w:val="0"/>
            <w:vAlign w:val="center"/>
          </w:tcPr>
          <w:p>
            <w:pPr>
              <w:jc w:val="center"/>
              <w:rPr>
                <w:rFonts w:hint="eastAsia" w:ascii="宋体" w:hAnsi="宋体" w:eastAsia="宋体" w:cs="宋体"/>
                <w:color w:val="auto"/>
                <w:sz w:val="21"/>
                <w:szCs w:val="21"/>
                <w:highlight w:val="none"/>
              </w:rPr>
            </w:pPr>
          </w:p>
        </w:tc>
        <w:tc>
          <w:tcPr>
            <w:tcW w:w="596" w:type="pct"/>
            <w:vMerge w:val="continue"/>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传热系数*</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建筑外窗保温性能检测设备</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《建筑外门窗保温性能检测方法》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8484-2020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玻璃的太阳得热系数*</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紫外可见光分光光度计</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《建筑玻璃可见光透射比、太阳光直接透射比、太阳能总透射比、紫外线透射比及有关窗玻璃参数的测定》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2680-2021</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《建筑门窗玻璃幕墙热工计算规程》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151-2008</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《建筑用节能玻璃光学及热工参数现场测量技术条件及计算方法》GB 36261-2018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傅里叶红外光谱仪</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建筑用节能玻璃光学及热工参数现场测试系统</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可见光透射比*</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分光光度计</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《建筑玻璃可见光透射比、太阳光直接透射比、太阳能总透射比、紫外线透射比及有关窗玻璃参数的测定》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2680-2021</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《建筑门窗玻璃幕墙热工计算规程》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151-2008</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《建筑用节能玻璃光学及热工参数现场测量技术条件与计算方法》 </w:t>
            </w:r>
            <w:r>
              <w:rPr>
                <w:rFonts w:hint="eastAsia" w:ascii="宋体" w:hAnsi="宋体" w:eastAsia="宋体" w:cs="宋体"/>
                <w:color w:val="auto"/>
                <w:sz w:val="21"/>
                <w:szCs w:val="21"/>
                <w:highlight w:val="none"/>
                <w:lang w:eastAsia="zh-CN" w:bidi="ar"/>
              </w:rPr>
              <w:t>GB/T</w:t>
            </w:r>
            <w:r>
              <w:rPr>
                <w:rFonts w:hint="eastAsia" w:ascii="宋体" w:hAnsi="宋体" w:eastAsia="宋体" w:cs="宋体"/>
                <w:color w:val="auto"/>
                <w:sz w:val="21"/>
                <w:szCs w:val="21"/>
                <w:highlight w:val="none"/>
                <w:lang w:bidi="ar"/>
              </w:rPr>
              <w:t xml:space="preserve"> 36261-2018</w:t>
            </w:r>
          </w:p>
          <w:p>
            <w:pPr>
              <w:pStyle w:val="2"/>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 </w:t>
            </w:r>
            <w:r>
              <w:rPr>
                <w:rFonts w:hint="eastAsia" w:ascii="宋体" w:hAnsi="宋体" w:eastAsia="宋体" w:cs="宋体"/>
                <w:strike w:val="0"/>
                <w:color w:val="auto"/>
                <w:kern w:val="0"/>
                <w:sz w:val="21"/>
                <w:szCs w:val="21"/>
                <w:highlight w:val="none"/>
                <w:lang w:bidi="ar"/>
              </w:rPr>
              <w:t>建筑用节能玻璃光学及热工参数现场测试系统</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7.7</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中空玻璃密封性能*</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中空玻璃露点仪</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《建筑节能工程施工质量验收标准》GB50411-2019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8</w:t>
            </w:r>
          </w:p>
        </w:tc>
        <w:tc>
          <w:tcPr>
            <w:tcW w:w="421" w:type="pct"/>
            <w:vMerge w:val="restar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节能</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工程</w:t>
            </w: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外墙节能构造及保温层厚度（钻芯法）</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钻芯机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《建筑节能工程施工质量验收标准》GB50411-2019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保温板与基层的拉伸粘结强度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粘结强度检测仪</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《建筑节能工程施工质量验收标准》GB50411-2019</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《建筑工程饰面砖粘结强度检验标准》 </w:t>
            </w:r>
            <w:r>
              <w:rPr>
                <w:rFonts w:hint="eastAsia" w:ascii="宋体" w:hAnsi="宋体" w:eastAsia="宋体" w:cs="宋体"/>
                <w:color w:val="auto"/>
                <w:sz w:val="21"/>
                <w:szCs w:val="21"/>
                <w:highlight w:val="none"/>
                <w:lang w:eastAsia="zh-CN"/>
              </w:rPr>
              <w:t>JGJ/T</w:t>
            </w:r>
            <w:r>
              <w:rPr>
                <w:rFonts w:hint="eastAsia" w:ascii="宋体" w:hAnsi="宋体" w:eastAsia="宋体" w:cs="宋体"/>
                <w:color w:val="auto"/>
                <w:sz w:val="21"/>
                <w:szCs w:val="21"/>
                <w:highlight w:val="none"/>
              </w:rPr>
              <w:t>110-2017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锚固件的锚固力</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粘结强度检测仪</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《外墙保温用锚栓》</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366-2012</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《保温装饰板外墙外保温系统材料》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287-2013</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《建筑工程饰面砖粘结强度检验标准》 </w:t>
            </w:r>
            <w:r>
              <w:rPr>
                <w:rFonts w:hint="eastAsia" w:ascii="宋体" w:hAnsi="宋体" w:eastAsia="宋体" w:cs="宋体"/>
                <w:color w:val="auto"/>
                <w:sz w:val="21"/>
                <w:szCs w:val="21"/>
                <w:highlight w:val="none"/>
                <w:lang w:eastAsia="zh-CN"/>
              </w:rPr>
              <w:t>JGJ/T</w:t>
            </w:r>
            <w:r>
              <w:rPr>
                <w:rFonts w:hint="eastAsia" w:ascii="宋体" w:hAnsi="宋体" w:eastAsia="宋体" w:cs="宋体"/>
                <w:color w:val="auto"/>
                <w:sz w:val="21"/>
                <w:szCs w:val="21"/>
                <w:highlight w:val="none"/>
              </w:rPr>
              <w:t>110-2017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外窗气密性能</w:t>
            </w: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建筑门窗现场气密检测设备</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（差压表、环境温度检测仪、风速计、长度尺）</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《建筑外窗气密、水密、抗风压性能现场检测方法》</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211-2007</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《建筑外门窗气密、水密、抗风压性能检测方法》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7106-2019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8.5</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室内平均温度*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温度自动记录仪</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《居住建筑节能检测标准》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132-2009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177-2009</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《采暖通风与空气调节工程检测技术规程》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260-2011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钢卷尺</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激光测距仪</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8.6</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风口风量*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风速计</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《采暖通风与空气调节工程检测技术规程》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260-2011</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《公共建筑节能检测标准》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177-2009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风量罩</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钢卷尺</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8.7</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通风与空调系统总风量*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风速计</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微压差计</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177-2009《采暖通风与空气调节工程检测技术规程》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260-2011</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《广东省绿色建筑检测标准》</w:t>
            </w:r>
            <w:r>
              <w:rPr>
                <w:rFonts w:hint="eastAsia" w:ascii="宋体" w:hAnsi="宋体" w:eastAsia="宋体" w:cs="宋体"/>
                <w:color w:val="auto"/>
                <w:kern w:val="0"/>
                <w:sz w:val="21"/>
                <w:szCs w:val="21"/>
                <w:highlight w:val="none"/>
                <w:lang w:eastAsia="zh-CN" w:bidi="ar"/>
              </w:rPr>
              <w:t>DBJ/T</w:t>
            </w:r>
            <w:r>
              <w:rPr>
                <w:rFonts w:hint="eastAsia" w:ascii="宋体" w:hAnsi="宋体" w:eastAsia="宋体" w:cs="宋体"/>
                <w:color w:val="auto"/>
                <w:kern w:val="0"/>
                <w:sz w:val="21"/>
                <w:szCs w:val="21"/>
                <w:highlight w:val="none"/>
                <w:lang w:bidi="ar"/>
              </w:rPr>
              <w:t xml:space="preserve"> 15-234-2021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8.8</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风道系统单位风量耗功率空调机组水流量*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水流量计</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177-2009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《采暖通风与空气调节工程检测技术规程》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260-2011</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《公共建筑节能设计标准》GB50189-2015</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《广东省绿色建筑检测标准》</w:t>
            </w:r>
            <w:r>
              <w:rPr>
                <w:rFonts w:hint="eastAsia" w:ascii="宋体" w:hAnsi="宋体" w:eastAsia="宋体" w:cs="宋体"/>
                <w:color w:val="auto"/>
                <w:kern w:val="0"/>
                <w:sz w:val="21"/>
                <w:szCs w:val="21"/>
                <w:highlight w:val="none"/>
                <w:lang w:eastAsia="zh-CN" w:bidi="ar"/>
              </w:rPr>
              <w:t>DBJ/T</w:t>
            </w:r>
            <w:r>
              <w:rPr>
                <w:rFonts w:hint="eastAsia" w:ascii="宋体" w:hAnsi="宋体" w:eastAsia="宋体" w:cs="宋体"/>
                <w:color w:val="auto"/>
                <w:kern w:val="0"/>
                <w:sz w:val="21"/>
                <w:szCs w:val="21"/>
                <w:highlight w:val="none"/>
                <w:lang w:bidi="ar"/>
              </w:rPr>
              <w:t xml:space="preserve"> 15-234-2021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超声波测厚仪</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风速仪</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微压差计</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功率计</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钢卷尺</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8.9</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空调系统冷热水*</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水流量计</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《采暖通风与空气调节工程检测技术规程》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260-2011</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《广东省绿色建筑检测标准》</w:t>
            </w:r>
            <w:r>
              <w:rPr>
                <w:rFonts w:hint="eastAsia" w:ascii="宋体" w:hAnsi="宋体" w:eastAsia="宋体" w:cs="宋体"/>
                <w:color w:val="auto"/>
                <w:kern w:val="0"/>
                <w:sz w:val="21"/>
                <w:szCs w:val="21"/>
                <w:highlight w:val="none"/>
                <w:lang w:eastAsia="zh-CN" w:bidi="ar"/>
              </w:rPr>
              <w:t>DBJ/T</w:t>
            </w:r>
            <w:r>
              <w:rPr>
                <w:rFonts w:hint="eastAsia" w:ascii="宋体" w:hAnsi="宋体" w:eastAsia="宋体" w:cs="宋体"/>
                <w:color w:val="auto"/>
                <w:kern w:val="0"/>
                <w:sz w:val="21"/>
                <w:szCs w:val="21"/>
                <w:highlight w:val="none"/>
                <w:lang w:bidi="ar"/>
              </w:rPr>
              <w:t xml:space="preserve"> 15-234-2021</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《公共建筑节能检测标准》JGJ/T177-2009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超声波测厚仪</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8.10</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冷却水循环流量*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水流量计</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《采暖通风与空气调节工程检测技术规程》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260-2011</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《公共建筑节能检测标准》JGJ/T177-2009</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《广东省绿色建筑检测标准》</w:t>
            </w:r>
            <w:r>
              <w:rPr>
                <w:rFonts w:hint="eastAsia" w:ascii="宋体" w:hAnsi="宋体" w:eastAsia="宋体" w:cs="宋体"/>
                <w:color w:val="auto"/>
                <w:sz w:val="21"/>
                <w:szCs w:val="21"/>
                <w:highlight w:val="none"/>
                <w:lang w:eastAsia="zh-CN" w:bidi="ar"/>
              </w:rPr>
              <w:t>DBJ/T</w:t>
            </w:r>
            <w:r>
              <w:rPr>
                <w:rFonts w:hint="eastAsia" w:ascii="宋体" w:hAnsi="宋体" w:eastAsia="宋体" w:cs="宋体"/>
                <w:color w:val="auto"/>
                <w:sz w:val="21"/>
                <w:szCs w:val="21"/>
                <w:highlight w:val="none"/>
                <w:lang w:bidi="ar"/>
              </w:rPr>
              <w:t xml:space="preserve"> 15-234-2021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超声波测厚仪</w:t>
            </w:r>
          </w:p>
        </w:tc>
        <w:tc>
          <w:tcPr>
            <w:tcW w:w="596"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室外供热管网水力平衡度*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水流量计</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《居住建筑节能检测标准》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132-2009</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《采暖通风与空气调节工程检测技术规程》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260-2011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超声波测厚仪</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室外供热管网热损失率*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热计量仪</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《居住建筑节能检测标准》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132-2009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《采暖通风与空气调节工程检测技术规程》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260-2011</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《广东省绿色建筑检测标准》</w:t>
            </w:r>
            <w:r>
              <w:rPr>
                <w:rFonts w:hint="eastAsia" w:ascii="宋体" w:hAnsi="宋体" w:eastAsia="宋体" w:cs="宋体"/>
                <w:color w:val="auto"/>
                <w:sz w:val="21"/>
                <w:szCs w:val="21"/>
                <w:highlight w:val="none"/>
                <w:lang w:eastAsia="zh-CN" w:bidi="ar"/>
              </w:rPr>
              <w:t>DBJ/T</w:t>
            </w:r>
            <w:r>
              <w:rPr>
                <w:rFonts w:hint="eastAsia" w:ascii="宋体" w:hAnsi="宋体" w:eastAsia="宋体" w:cs="宋体"/>
                <w:color w:val="auto"/>
                <w:sz w:val="21"/>
                <w:szCs w:val="21"/>
                <w:highlight w:val="none"/>
                <w:lang w:bidi="ar"/>
              </w:rPr>
              <w:t xml:space="preserve"> 15-234-2021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水流量计</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超声波测厚仪</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温度测量装置</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8.13</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照度与照明功率密度*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照度计</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177-2009</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《照明测量方法》</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 xml:space="preserve"> 5700-2023</w:t>
            </w:r>
          </w:p>
          <w:p>
            <w:pPr>
              <w:pStyle w:val="2"/>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功率计</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卷尺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激光测距仪</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8.14</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外墙传热系数或热阻*</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稳态热传递性能测试系统</w:t>
            </w:r>
          </w:p>
          <w:p>
            <w:pPr>
              <w:widowControl/>
              <w:jc w:val="center"/>
              <w:textAlignment w:val="center"/>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fldChar w:fldCharType="begin"/>
            </w:r>
            <w:r>
              <w:rPr>
                <w:rFonts w:hint="eastAsia" w:ascii="宋体" w:hAnsi="宋体" w:eastAsia="宋体" w:cs="宋体"/>
                <w:strike/>
                <w:color w:val="auto"/>
                <w:sz w:val="21"/>
                <w:szCs w:val="21"/>
                <w:highlight w:val="none"/>
              </w:rPr>
              <w:instrText xml:space="preserve"> HYPERLINK "https://www.baidu.com/link?url=9h8ZEpMK1kjvlmMDlkZnBnaqwClGCPNaAhYiSYrjVR_0XfuQ3pjouZ0k5061SMNpbrT9fIE3sobcb6EP3bEeAuq0K1Z9GB3_jFPcKQae-ea&amp;wd=&amp;eqid=c783ab680007109400000002644b7361" </w:instrText>
            </w:r>
            <w:r>
              <w:rPr>
                <w:rFonts w:hint="eastAsia" w:ascii="宋体" w:hAnsi="宋体" w:eastAsia="宋体" w:cs="宋体"/>
                <w:strike/>
                <w:color w:val="auto"/>
                <w:sz w:val="21"/>
                <w:szCs w:val="21"/>
                <w:highlight w:val="none"/>
              </w:rPr>
              <w:fldChar w:fldCharType="separate"/>
            </w:r>
            <w:r>
              <w:rPr>
                <w:rStyle w:val="19"/>
                <w:rFonts w:hint="eastAsia" w:ascii="宋体" w:hAnsi="宋体" w:eastAsia="宋体" w:cs="宋体"/>
                <w:strike/>
                <w:color w:val="auto"/>
                <w:sz w:val="21"/>
                <w:szCs w:val="21"/>
                <w:highlight w:val="none"/>
                <w:u w:val="none"/>
              </w:rPr>
              <w:fldChar w:fldCharType="end"/>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《居住建筑节能检测标准》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132-2009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《公共建筑节能检测标准》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177-2009</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《绝热稳态传热性质的测定标定和防护热箱法》</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13475-2008</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《围护结构传热系数现场检测技术规程》</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 xml:space="preserve"> 357-2015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红外热像仪*</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9</w:t>
            </w:r>
          </w:p>
        </w:tc>
        <w:tc>
          <w:tcPr>
            <w:tcW w:w="421" w:type="pct"/>
            <w:vMerge w:val="restart"/>
            <w:noWrap w:val="0"/>
            <w:vAlign w:val="center"/>
          </w:tcPr>
          <w:p>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电线</w:t>
            </w:r>
          </w:p>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电缆</w:t>
            </w: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9.1</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导体电阻值</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直流电阻电桥测量仪</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《电线电缆电性能试验方法第4部分:导体直流电阻试验》</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3048.4-2007</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《电缆的导体》</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3956-2008</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《额定电压450750V及以下聚氯乙烯绝缘电缆第2部分：试验方法》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5023.2-2008</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《额定电压450750V及以下橡皮绝缘电缆第2部分：试验方法》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5013.2-2008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燃烧性能*</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单根电线电缆垂直燃烧试验仪</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《电缆和光缆在火焰条件下的燃烧试验第12部分：单根绝缘电线电缆火焰垂直蔓延试验1kW预混合型火焰试验方法》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18380.12-2022</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《电缆和光缆在火焰条件下的燃烧试验第13部分：单根绝缘电线电缆火焰垂直蔓延试验测定燃烧的滴落（物）微粒的试验方法》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18380.13-2022</w:t>
            </w:r>
          </w:p>
          <w:p>
            <w:pPr>
              <w:widowControl/>
              <w:jc w:val="left"/>
              <w:textAlignment w:val="center"/>
              <w:rPr>
                <w:rFonts w:hint="eastAsia" w:ascii="宋体" w:hAnsi="宋体" w:eastAsia="宋体" w:cs="宋体"/>
                <w:color w:val="auto"/>
                <w:kern w:val="0"/>
                <w:sz w:val="21"/>
                <w:szCs w:val="21"/>
                <w:highlight w:val="none"/>
                <w:lang w:eastAsia="zh" w:bidi="ar"/>
              </w:rPr>
            </w:pPr>
            <w:r>
              <w:rPr>
                <w:rFonts w:hint="eastAsia" w:ascii="宋体" w:hAnsi="宋体" w:eastAsia="宋体" w:cs="宋体"/>
                <w:color w:val="auto"/>
                <w:kern w:val="0"/>
                <w:sz w:val="21"/>
                <w:szCs w:val="21"/>
                <w:highlight w:val="none"/>
                <w:lang w:eastAsia="zh" w:bidi="ar"/>
              </w:rPr>
              <w:t>《电缆或光缆在特定条件下燃烧的烟密度测定 第2部分：试验程序和要求》</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eastAsia="zh" w:bidi="ar"/>
              </w:rPr>
              <w:t xml:space="preserve"> 17651.2-2021</w:t>
            </w:r>
          </w:p>
          <w:p>
            <w:pPr>
              <w:widowControl/>
              <w:jc w:val="left"/>
              <w:textAlignment w:val="center"/>
              <w:rPr>
                <w:rFonts w:hint="eastAsia" w:ascii="宋体" w:hAnsi="宋体" w:eastAsia="宋体" w:cs="宋体"/>
                <w:color w:val="auto"/>
                <w:kern w:val="0"/>
                <w:sz w:val="21"/>
                <w:szCs w:val="21"/>
                <w:highlight w:val="none"/>
                <w:lang w:eastAsia="zh" w:bidi="ar"/>
              </w:rPr>
            </w:pPr>
            <w:r>
              <w:rPr>
                <w:rFonts w:hint="eastAsia" w:ascii="宋体" w:hAnsi="宋体" w:eastAsia="宋体" w:cs="宋体"/>
                <w:color w:val="auto"/>
                <w:kern w:val="0"/>
                <w:sz w:val="21"/>
                <w:szCs w:val="21"/>
                <w:highlight w:val="none"/>
                <w:lang w:eastAsia="zh" w:bidi="ar"/>
              </w:rPr>
              <w:t>《阻燃和耐火电线电缆或光缆通则》</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eastAsia="zh" w:bidi="ar"/>
              </w:rPr>
              <w:t xml:space="preserve"> 19666-2019</w:t>
            </w:r>
          </w:p>
          <w:p>
            <w:pPr>
              <w:widowControl/>
              <w:jc w:val="left"/>
              <w:textAlignment w:val="center"/>
              <w:rPr>
                <w:rFonts w:hint="eastAsia" w:ascii="宋体" w:hAnsi="宋体" w:eastAsia="宋体" w:cs="宋体"/>
                <w:color w:val="auto"/>
                <w:kern w:val="0"/>
                <w:sz w:val="21"/>
                <w:szCs w:val="21"/>
                <w:highlight w:val="none"/>
                <w:lang w:val="en-US" w:eastAsia="zh" w:bidi="ar"/>
              </w:rPr>
            </w:pPr>
            <w:r>
              <w:rPr>
                <w:rFonts w:hint="eastAsia" w:ascii="宋体" w:hAnsi="宋体" w:eastAsia="宋体" w:cs="宋体"/>
                <w:color w:val="auto"/>
                <w:kern w:val="0"/>
                <w:sz w:val="21"/>
                <w:szCs w:val="21"/>
                <w:highlight w:val="none"/>
                <w:lang w:val="en-US" w:eastAsia="zh" w:bidi="ar"/>
              </w:rPr>
              <w:t>《在火焰条件下电缆或光缆的线路完整性试验 第21部分试验步骤和要求 额定电压0.6/1.0 kV及以下电缆》GB/T 19216.21-2003</w:t>
            </w:r>
          </w:p>
          <w:p>
            <w:pPr>
              <w:widowControl/>
              <w:jc w:val="left"/>
              <w:textAlignment w:val="center"/>
              <w:rPr>
                <w:rFonts w:hint="eastAsia" w:ascii="宋体" w:hAnsi="宋体" w:eastAsia="宋体" w:cs="宋体"/>
                <w:color w:val="auto"/>
                <w:kern w:val="0"/>
                <w:sz w:val="21"/>
                <w:szCs w:val="21"/>
                <w:highlight w:val="none"/>
                <w:lang w:val="en-US" w:eastAsia="zh" w:bidi="ar"/>
              </w:rPr>
            </w:pPr>
            <w:r>
              <w:rPr>
                <w:rFonts w:hint="eastAsia" w:ascii="宋体" w:hAnsi="宋体" w:eastAsia="宋体" w:cs="宋体"/>
                <w:color w:val="auto"/>
                <w:kern w:val="0"/>
                <w:sz w:val="21"/>
                <w:szCs w:val="21"/>
                <w:highlight w:val="none"/>
                <w:lang w:val="en-US" w:eastAsia="zh" w:bidi="ar"/>
              </w:rPr>
              <w:t>《在火焰条件下电缆或光缆的线路完整性试验 第23部分 试验步骤和要求 数据电缆》GB/T 19216.23-2003</w:t>
            </w:r>
          </w:p>
          <w:p>
            <w:pPr>
              <w:widowControl/>
              <w:jc w:val="left"/>
              <w:textAlignment w:val="center"/>
              <w:rPr>
                <w:rFonts w:hint="eastAsia" w:ascii="宋体" w:hAnsi="宋体" w:eastAsia="宋体" w:cs="宋体"/>
                <w:color w:val="auto"/>
                <w:kern w:val="0"/>
                <w:sz w:val="21"/>
                <w:szCs w:val="21"/>
                <w:highlight w:val="none"/>
                <w:lang w:val="en-US" w:eastAsia="zh" w:bidi="ar"/>
              </w:rPr>
            </w:pPr>
            <w:r>
              <w:rPr>
                <w:rFonts w:hint="eastAsia" w:ascii="宋体" w:hAnsi="宋体" w:eastAsia="宋体" w:cs="宋体"/>
                <w:color w:val="auto"/>
                <w:kern w:val="0"/>
                <w:sz w:val="21"/>
                <w:szCs w:val="21"/>
                <w:highlight w:val="none"/>
                <w:lang w:val="en-US" w:eastAsia="zh" w:bidi="ar"/>
              </w:rPr>
              <w:t>《在火焰条件下电缆或光缆的线路完整性试验 第25部分 试验步骤和要求 光缆》GB/T 19216.25-2003</w:t>
            </w:r>
          </w:p>
          <w:p>
            <w:pPr>
              <w:widowControl/>
              <w:jc w:val="left"/>
              <w:textAlignment w:val="center"/>
              <w:rPr>
                <w:rFonts w:hint="eastAsia" w:ascii="宋体" w:hAnsi="宋体" w:eastAsia="宋体" w:cs="宋体"/>
                <w:color w:val="auto"/>
                <w:kern w:val="0"/>
                <w:sz w:val="21"/>
                <w:szCs w:val="21"/>
                <w:highlight w:val="none"/>
                <w:lang w:val="en-US" w:eastAsia="zh" w:bidi="ar"/>
              </w:rPr>
            </w:pPr>
            <w:r>
              <w:rPr>
                <w:rFonts w:hint="eastAsia" w:ascii="宋体" w:hAnsi="宋体" w:eastAsia="宋体" w:cs="宋体"/>
                <w:color w:val="auto"/>
                <w:kern w:val="0"/>
                <w:sz w:val="21"/>
                <w:szCs w:val="21"/>
                <w:highlight w:val="none"/>
                <w:lang w:val="en-US" w:eastAsia="zh" w:bidi="ar"/>
              </w:rPr>
              <w:t>《取自电缆或光缆的材料燃烧时释出气体的试验方法 第2部分：酸度(用pH测量)和电导率的测定》GB/T 17650.2-2021</w:t>
            </w:r>
          </w:p>
          <w:p>
            <w:pPr>
              <w:widowControl/>
              <w:jc w:val="left"/>
              <w:textAlignment w:val="center"/>
              <w:rPr>
                <w:rFonts w:hint="eastAsia" w:ascii="宋体" w:hAnsi="宋体" w:eastAsia="宋体" w:cs="宋体"/>
                <w:color w:val="auto"/>
                <w:sz w:val="21"/>
                <w:szCs w:val="21"/>
                <w:highlight w:val="none"/>
                <w:lang w:eastAsia="zh" w:bidi="ar"/>
              </w:rPr>
            </w:pPr>
            <w:r>
              <w:rPr>
                <w:rFonts w:hint="eastAsia" w:ascii="宋体" w:hAnsi="宋体" w:eastAsia="宋体" w:cs="宋体"/>
                <w:color w:val="auto"/>
                <w:kern w:val="0"/>
                <w:sz w:val="21"/>
                <w:szCs w:val="21"/>
                <w:highlight w:val="none"/>
                <w:lang w:val="en-US" w:eastAsia="zh" w:bidi="ar"/>
              </w:rPr>
              <w:t>《取自电缆或光缆的材料燃烧时释出气体的试验方法 第1部分：卤酸气体总量的定》GB/T 17650.1-2021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eastAsia="zh" w:bidi="ar"/>
              </w:rPr>
            </w:pPr>
            <w:r>
              <w:rPr>
                <w:rFonts w:hint="eastAsia" w:ascii="宋体" w:hAnsi="宋体" w:eastAsia="宋体" w:cs="宋体"/>
                <w:color w:val="auto"/>
                <w:kern w:val="0"/>
                <w:sz w:val="21"/>
                <w:szCs w:val="21"/>
                <w:highlight w:val="none"/>
                <w:lang w:eastAsia="zh" w:bidi="ar"/>
              </w:rPr>
              <w:t>电线电缆烟密度试验装置</w:t>
            </w:r>
            <w:r>
              <w:rPr>
                <w:rFonts w:hint="eastAsia" w:ascii="宋体" w:hAnsi="宋体" w:eastAsia="宋体" w:cs="宋体"/>
                <w:color w:val="auto"/>
                <w:kern w:val="0"/>
                <w:sz w:val="21"/>
                <w:szCs w:val="21"/>
                <w:highlight w:val="none"/>
                <w:lang w:bidi="ar"/>
              </w:rPr>
              <w:t>*</w:t>
            </w:r>
          </w:p>
          <w:p>
            <w:pPr>
              <w:widowControl/>
              <w:jc w:val="center"/>
              <w:textAlignment w:val="center"/>
              <w:rPr>
                <w:rFonts w:hint="eastAsia" w:ascii="宋体" w:hAnsi="宋体" w:eastAsia="宋体" w:cs="宋体"/>
                <w:color w:val="auto"/>
                <w:kern w:val="0"/>
                <w:sz w:val="21"/>
                <w:szCs w:val="21"/>
                <w:highlight w:val="none"/>
                <w:lang w:bidi="ar"/>
              </w:rPr>
            </w:pP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 w:bidi="ar"/>
              </w:rPr>
              <w:t>电线电缆耐火性能试验装置</w:t>
            </w:r>
            <w:r>
              <w:rPr>
                <w:rFonts w:hint="eastAsia" w:ascii="宋体" w:hAnsi="宋体" w:eastAsia="宋体" w:cs="宋体"/>
                <w:color w:val="auto"/>
                <w:kern w:val="0"/>
                <w:sz w:val="21"/>
                <w:szCs w:val="21"/>
                <w:highlight w:val="none"/>
                <w:lang w:bidi="ar"/>
              </w:rPr>
              <w:t>*</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
              </w:rPr>
              <w:t>电线电缆烟密度试验装置</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
              </w:rPr>
              <w:t>电线电缆耐火性能试验装置</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421"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7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6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val="en-US" w:eastAsia="zh"/>
              </w:rPr>
            </w:pPr>
            <w:r>
              <w:rPr>
                <w:rFonts w:hint="eastAsia" w:ascii="宋体" w:hAnsi="宋体" w:eastAsia="宋体" w:cs="宋体"/>
                <w:color w:val="auto"/>
                <w:sz w:val="21"/>
                <w:szCs w:val="21"/>
                <w:highlight w:val="none"/>
                <w:lang w:val="en-US" w:eastAsia="zh"/>
              </w:rPr>
              <w:t>电导率计</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421"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7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6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val="en-US" w:eastAsia="zh"/>
              </w:rPr>
            </w:pPr>
            <w:r>
              <w:rPr>
                <w:rFonts w:hint="eastAsia" w:ascii="宋体" w:hAnsi="宋体" w:eastAsia="宋体" w:cs="宋体"/>
                <w:color w:val="auto"/>
                <w:sz w:val="21"/>
                <w:szCs w:val="21"/>
                <w:highlight w:val="none"/>
                <w:lang w:val="en-US" w:eastAsia="zh"/>
              </w:rPr>
              <w:t>离子计（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
              </w:rPr>
              <w:t>色谱仪）</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421"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7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6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lang w:val="en-US" w:eastAsia="zh"/>
              </w:rPr>
            </w:pPr>
            <w:r>
              <w:rPr>
                <w:rFonts w:hint="eastAsia" w:ascii="宋体" w:hAnsi="宋体" w:eastAsia="宋体" w:cs="宋体"/>
                <w:color w:val="auto"/>
                <w:sz w:val="21"/>
                <w:szCs w:val="21"/>
                <w:highlight w:val="none"/>
                <w:lang w:val="en-US" w:eastAsia="zh"/>
              </w:rPr>
              <w:t>电线电缆卤酸气体释出装置</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421"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27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6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val="en-US" w:eastAsia="zh"/>
              </w:rPr>
              <w:t>PH计</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10</w:t>
            </w:r>
          </w:p>
        </w:tc>
        <w:tc>
          <w:tcPr>
            <w:tcW w:w="421"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反射隔热材料*</w:t>
            </w: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10.1</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半球发射率*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便携式辐射计</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傅里叶红外光谱仪</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《建筑反射隔热涂料》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235-2014</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《建筑反射隔热涂料节能检测标准》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287-2014</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《建筑外表面用热反射隔热涂料》JCT 1040-2020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太阳光反射比*</w:t>
            </w:r>
          </w:p>
        </w:tc>
        <w:tc>
          <w:tcPr>
            <w:tcW w:w="1202" w:type="pct"/>
            <w:tcBorders>
              <w:bottom w:val="single" w:color="auto" w:sz="4" w:space="0"/>
            </w:tcBorders>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分光光度计</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光谱仪</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《建筑反射隔热涂料》</w:t>
            </w:r>
            <w:r>
              <w:rPr>
                <w:rFonts w:hint="eastAsia" w:ascii="宋体" w:hAnsi="宋体" w:eastAsia="宋体" w:cs="宋体"/>
                <w:color w:val="auto"/>
                <w:kern w:val="0"/>
                <w:sz w:val="21"/>
                <w:szCs w:val="21"/>
                <w:highlight w:val="none"/>
                <w:lang w:eastAsia="zh-CN" w:bidi="ar"/>
              </w:rPr>
              <w:t>JG/T</w:t>
            </w:r>
            <w:r>
              <w:rPr>
                <w:rFonts w:hint="eastAsia" w:ascii="宋体" w:hAnsi="宋体" w:eastAsia="宋体" w:cs="宋体"/>
                <w:color w:val="auto"/>
                <w:kern w:val="0"/>
                <w:sz w:val="21"/>
                <w:szCs w:val="21"/>
                <w:highlight w:val="none"/>
                <w:lang w:bidi="ar"/>
              </w:rPr>
              <w:t>235-2014</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《建筑反射隔热涂料节能检测标准》</w:t>
            </w:r>
            <w:r>
              <w:rPr>
                <w:rFonts w:hint="eastAsia" w:ascii="宋体" w:hAnsi="宋体" w:eastAsia="宋体" w:cs="宋体"/>
                <w:color w:val="auto"/>
                <w:kern w:val="0"/>
                <w:sz w:val="21"/>
                <w:szCs w:val="21"/>
                <w:highlight w:val="none"/>
                <w:lang w:eastAsia="zh-CN" w:bidi="ar"/>
              </w:rPr>
              <w:t>JGJ/T</w:t>
            </w:r>
            <w:r>
              <w:rPr>
                <w:rFonts w:hint="eastAsia" w:ascii="宋体" w:hAnsi="宋体" w:eastAsia="宋体" w:cs="宋体"/>
                <w:color w:val="auto"/>
                <w:kern w:val="0"/>
                <w:sz w:val="21"/>
                <w:szCs w:val="21"/>
                <w:highlight w:val="none"/>
                <w:lang w:bidi="ar"/>
              </w:rPr>
              <w:t>287-2014</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《建筑外表面用热反射隔热涂料》JCT 1040-2020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76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202" w:type="pct"/>
            <w:tcBorders>
              <w:top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vertAlign w:val="baseline"/>
                <w:lang w:val="en-US" w:eastAsia="zh-CN"/>
              </w:rPr>
              <w:t>便携式反射比测定仪</w:t>
            </w:r>
          </w:p>
        </w:tc>
        <w:tc>
          <w:tcPr>
            <w:tcW w:w="596" w:type="pct"/>
            <w:vMerge w:val="continue"/>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continue"/>
            <w:noWrap w:val="0"/>
            <w:vAlign w:val="center"/>
          </w:tcPr>
          <w:p>
            <w:pPr>
              <w:pStyle w:val="2"/>
              <w:rPr>
                <w:rFonts w:hint="eastAsia" w:ascii="宋体" w:hAnsi="宋体" w:eastAsia="宋体" w:cs="宋体"/>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11</w:t>
            </w:r>
          </w:p>
        </w:tc>
        <w:tc>
          <w:tcPr>
            <w:tcW w:w="421"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供暖通风空调节能工程用材料、构件和设备*</w:t>
            </w: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风机盘管机组：供冷量*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19232-2019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风机盘管机组：供热量*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风机盘管机组：风量*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19232-2019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11.4</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风机盘管机组：水阻力*</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19232-2019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11.5</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风机盘管机组：噪声*</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半消声室</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全消声室</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19232-2019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风机盘管机组：输入功率*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《风机盘管机组》</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19232-2019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11.7</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采暖散热器：单位散热量*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散热量测量装置</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《供暖散热器散热量测定方法》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13754-2017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11.8</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采暖散热器：金属热强度*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散热量测量装置</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11.9</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绝热材料：导热系数或热阻*</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游标卡尺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《绝热材料稳态热阻及有关特性的测定防护热板法》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10294-2008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导热系数测定仪</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针式测厚仪</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11.10</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绝热材料：密度*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《泡沫塑料及橡胶表观密度的测定》</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6343-2009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《柔性泡沫橡塑绝热制品》</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17794-2021</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《矿物棉及其制品试验方法》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5480-2017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精密直径围尺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钢卷尺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绝热材料：吸水率*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卡尺</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《柔性泡沫橡塑绝热制品》</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17794-2021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精密直径围尺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钢直尺</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秒表</w:t>
            </w:r>
          </w:p>
        </w:tc>
        <w:tc>
          <w:tcPr>
            <w:tcW w:w="596"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天平</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真空容器</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12</w:t>
            </w:r>
          </w:p>
        </w:tc>
        <w:tc>
          <w:tcPr>
            <w:tcW w:w="421"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配电与照明节能工程用材料、构件和设备*</w:t>
            </w: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12.1</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照明光源初始光效*</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分布光度计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积分球</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《普通照明用LED模块测试方法》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24824-2009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《LED筒灯性能测量方法》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29293-2012</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《反射型自镇流LED灯性能测试方法》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29295-2012</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《光通量的测量方法》(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 xml:space="preserve"> 26178-2010)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精密交流电源*</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12.2</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照明灯具：镇流器能效值*</w:t>
            </w:r>
          </w:p>
        </w:tc>
        <w:tc>
          <w:tcPr>
            <w:tcW w:w="1202" w:type="pct"/>
            <w:noWrap w:val="0"/>
            <w:vAlign w:val="center"/>
          </w:tcPr>
          <w:p>
            <w:pPr>
              <w:widowControl/>
              <w:jc w:val="center"/>
              <w:textAlignment w:val="center"/>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分布光度计积分球</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eastAsia="zh" w:bidi="ar"/>
              </w:rPr>
            </w:pPr>
            <w:r>
              <w:rPr>
                <w:rFonts w:hint="eastAsia" w:ascii="宋体" w:hAnsi="宋体" w:eastAsia="宋体" w:cs="宋体"/>
                <w:color w:val="auto"/>
                <w:kern w:val="0"/>
                <w:sz w:val="21"/>
                <w:szCs w:val="21"/>
                <w:highlight w:val="none"/>
                <w:lang w:eastAsia="zh" w:bidi="ar"/>
              </w:rPr>
              <w:t>《普通照明用气体放电灯用镇流器能效限定值及能效等级》GB 17896-2022</w:t>
            </w:r>
          </w:p>
          <w:p>
            <w:pPr>
              <w:widowControl/>
              <w:jc w:val="left"/>
              <w:textAlignment w:val="center"/>
              <w:rPr>
                <w:rFonts w:hint="eastAsia" w:ascii="宋体" w:hAnsi="宋体" w:eastAsia="宋体" w:cs="宋体"/>
                <w:color w:val="auto"/>
                <w:kern w:val="0"/>
                <w:sz w:val="21"/>
                <w:szCs w:val="21"/>
                <w:highlight w:val="none"/>
                <w:lang w:eastAsia="zh" w:bidi="ar"/>
              </w:rPr>
            </w:pPr>
            <w:r>
              <w:rPr>
                <w:rFonts w:hint="eastAsia" w:ascii="宋体" w:hAnsi="宋体" w:eastAsia="宋体" w:cs="宋体"/>
                <w:color w:val="auto"/>
                <w:kern w:val="0"/>
                <w:sz w:val="21"/>
                <w:szCs w:val="21"/>
                <w:highlight w:val="none"/>
                <w:lang w:eastAsia="zh" w:bidi="ar"/>
              </w:rPr>
              <w:t>《灯控制装置的效率要求 第2部分:高压放电灯（荧光灯除外） 控制装置效率的测量方法》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eastAsia="zh" w:bidi="ar"/>
              </w:rPr>
              <w:t xml:space="preserve"> 32483.2-2021</w:t>
            </w:r>
          </w:p>
          <w:p>
            <w:pPr>
              <w:widowControl/>
              <w:jc w:val="left"/>
              <w:textAlignment w:val="center"/>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pStyle w:val="2"/>
              <w:jc w:val="center"/>
              <w:rPr>
                <w:rFonts w:hint="eastAsia" w:ascii="宋体" w:hAnsi="宋体" w:eastAsia="宋体" w:cs="宋体"/>
                <w:strike/>
                <w:color w:val="auto"/>
                <w:sz w:val="21"/>
                <w:szCs w:val="21"/>
                <w:highlight w:val="none"/>
              </w:rPr>
            </w:pPr>
            <w:r>
              <w:rPr>
                <w:rFonts w:hint="eastAsia" w:ascii="宋体" w:hAnsi="宋体" w:eastAsia="宋体" w:cs="宋体"/>
                <w:color w:val="auto"/>
                <w:kern w:val="0"/>
                <w:sz w:val="21"/>
                <w:szCs w:val="21"/>
                <w:highlight w:val="none"/>
                <w:lang w:bidi="ar"/>
              </w:rPr>
              <w:t>精密交流电源*</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strike/>
                <w:color w:val="auto"/>
                <w:sz w:val="21"/>
                <w:szCs w:val="21"/>
                <w:highlight w:val="none"/>
              </w:rPr>
            </w:pPr>
            <w:r>
              <w:rPr>
                <w:rFonts w:hint="eastAsia" w:ascii="宋体" w:hAnsi="宋体" w:eastAsia="宋体" w:cs="宋体"/>
                <w:color w:val="auto"/>
                <w:kern w:val="0"/>
                <w:sz w:val="21"/>
                <w:szCs w:val="21"/>
                <w:highlight w:val="none"/>
                <w:lang w:eastAsia="zh" w:bidi="ar"/>
              </w:rPr>
              <w:t>数字功率计功率分析仪</w:t>
            </w:r>
            <w:r>
              <w:rPr>
                <w:rFonts w:hint="eastAsia" w:ascii="宋体" w:hAnsi="宋体" w:eastAsia="宋体" w:cs="宋体"/>
                <w:strike/>
                <w:color w:val="auto"/>
                <w:kern w:val="0"/>
                <w:sz w:val="21"/>
                <w:szCs w:val="21"/>
                <w:highlight w:val="none"/>
                <w:lang w:bidi="ar"/>
              </w:rPr>
              <w:t>*</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12.3</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照明灯具：效率或能效*</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分布光度计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积分球</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《普通照明用LED模块测试方法》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24824-2009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《LED筒灯性能测量方法》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29293-2012</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《反射型自镇流LED灯性能测试方法》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29295-2012</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《室内照明用LED产品能效限定值及能效等级》GB 30255-2019 </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《普通照明用LED平板灯能效限定值及能效等级》GB 38450-2019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精密交流电源*</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continue"/>
            <w:noWrap w:val="0"/>
            <w:vAlign w:val="center"/>
          </w:tcPr>
          <w:p>
            <w:pPr>
              <w:jc w:val="center"/>
              <w:rPr>
                <w:rFonts w:hint="eastAsia" w:ascii="宋体" w:hAnsi="宋体" w:eastAsia="宋体" w:cs="宋体"/>
                <w:color w:val="auto"/>
                <w:sz w:val="21"/>
                <w:szCs w:val="21"/>
                <w:highlight w:val="none"/>
              </w:rPr>
            </w:pPr>
          </w:p>
        </w:tc>
        <w:tc>
          <w:tcPr>
            <w:tcW w:w="766" w:type="pct"/>
            <w:vMerge w:val="continue"/>
            <w:noWrap w:val="0"/>
            <w:vAlign w:val="center"/>
          </w:tcPr>
          <w:p>
            <w:pPr>
              <w:jc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 w:bidi="ar"/>
              </w:rPr>
              <w:t>数字功率计</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eastAsia="zh" w:bidi="ar"/>
              </w:rPr>
              <w:t>功率分析仪</w:t>
            </w:r>
            <w:r>
              <w:rPr>
                <w:rFonts w:hint="eastAsia" w:ascii="宋体" w:hAnsi="宋体" w:eastAsia="宋体" w:cs="宋体"/>
                <w:strike/>
                <w:color w:val="auto"/>
                <w:kern w:val="0"/>
                <w:sz w:val="21"/>
                <w:szCs w:val="21"/>
                <w:highlight w:val="none"/>
                <w:lang w:bidi="ar"/>
              </w:rPr>
              <w:t>*</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vMerge w:val="continue"/>
            <w:noWrap w:val="0"/>
            <w:vAlign w:val="center"/>
          </w:tcPr>
          <w:p>
            <w:pPr>
              <w:jc w:val="left"/>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12.4</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照明设备：功率*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功率计</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《普通照明用LED模块测试方法》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24824-2009</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《LED筒灯性能测量方法》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29293-2012</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《反射型自镇流LED灯性能测试方法》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29295-2012</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《普通照明用自镇流荧光灯性能要求》</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17263-2013</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《灯具分布光度测量的一般要求》</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9468-2008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照明设备：功率因数*</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 w:bidi="ar"/>
              </w:rPr>
              <w:t>功率计</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eastAsia="zh" w:bidi="ar"/>
              </w:rPr>
              <w:t>功率分析仪</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《普通照明用LED模块测试方法》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24824-2009灯用</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《LED筒灯性能测量方法》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29293-2012</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《反射型自镇流LED灯性能测试方法》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29295-2012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12.6</w:t>
            </w:r>
          </w:p>
        </w:tc>
        <w:tc>
          <w:tcPr>
            <w:tcW w:w="766" w:type="pct"/>
            <w:vMerge w:val="restar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照明设备：谐波含量值*</w:t>
            </w:r>
          </w:p>
        </w:tc>
        <w:tc>
          <w:tcPr>
            <w:tcW w:w="1202" w:type="pct"/>
            <w:noWrap w:val="0"/>
            <w:vAlign w:val="center"/>
          </w:tcPr>
          <w:p>
            <w:pPr>
              <w:pStyle w:val="2"/>
              <w:jc w:val="center"/>
              <w:rPr>
                <w:rFonts w:hint="eastAsia" w:ascii="宋体" w:hAnsi="宋体" w:eastAsia="宋体" w:cs="宋体"/>
                <w:color w:val="auto"/>
                <w:sz w:val="21"/>
                <w:szCs w:val="21"/>
                <w:highlight w:val="none"/>
                <w:lang w:eastAsia="zh" w:bidi="ar"/>
              </w:rPr>
            </w:pPr>
            <w:r>
              <w:rPr>
                <w:rFonts w:hint="eastAsia" w:ascii="宋体" w:hAnsi="宋体" w:eastAsia="宋体" w:cs="宋体"/>
                <w:color w:val="auto"/>
                <w:sz w:val="21"/>
                <w:szCs w:val="21"/>
                <w:highlight w:val="none"/>
                <w:lang w:eastAsia="zh" w:bidi="ar"/>
              </w:rPr>
              <w:t>谐波分析仪</w:t>
            </w:r>
          </w:p>
          <w:p>
            <w:pPr>
              <w:widowControl/>
              <w:jc w:val="center"/>
              <w:textAlignment w:val="center"/>
              <w:rPr>
                <w:rFonts w:hint="eastAsia" w:ascii="宋体" w:hAnsi="宋体" w:eastAsia="宋体" w:cs="宋体"/>
                <w:color w:val="auto"/>
                <w:sz w:val="21"/>
                <w:szCs w:val="21"/>
                <w:highlight w:val="none"/>
              </w:rPr>
            </w:pP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vMerge w:val="restar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《电磁兼容 限值 第1部分：谐波电流发射限值（设备每相输入电流≤16A）》GB17625.1-2022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421"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275"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766" w:type="pct"/>
            <w:vMerge w:val="continue"/>
            <w:noWrap w:val="0"/>
            <w:vAlign w:val="center"/>
          </w:tcPr>
          <w:p>
            <w:pPr>
              <w:widowControl/>
              <w:jc w:val="center"/>
              <w:textAlignment w:val="center"/>
              <w:rPr>
                <w:rFonts w:hint="eastAsia" w:ascii="宋体" w:hAnsi="宋体" w:eastAsia="宋体" w:cs="宋体"/>
                <w:color w:val="auto"/>
                <w:sz w:val="21"/>
                <w:szCs w:val="21"/>
                <w:highlight w:val="none"/>
              </w:rPr>
            </w:pPr>
          </w:p>
        </w:tc>
        <w:tc>
          <w:tcPr>
            <w:tcW w:w="1202" w:type="pct"/>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r>
              <w:rPr>
                <w:rFonts w:hint="eastAsia" w:ascii="宋体" w:hAnsi="宋体" w:eastAsia="宋体" w:cs="宋体"/>
                <w:color w:val="auto"/>
                <w:kern w:val="0"/>
                <w:sz w:val="21"/>
                <w:szCs w:val="21"/>
                <w:highlight w:val="none"/>
              </w:rPr>
              <w:t>精密交流电源</w:t>
            </w:r>
          </w:p>
        </w:tc>
        <w:tc>
          <w:tcPr>
            <w:tcW w:w="596" w:type="pct"/>
            <w:vMerge w:val="continue"/>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p>
        </w:tc>
        <w:tc>
          <w:tcPr>
            <w:tcW w:w="421" w:type="pct"/>
            <w:vMerge w:val="continue"/>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p>
        </w:tc>
        <w:tc>
          <w:tcPr>
            <w:tcW w:w="275" w:type="pct"/>
            <w:vMerge w:val="continue"/>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p>
        </w:tc>
        <w:tc>
          <w:tcPr>
            <w:tcW w:w="766" w:type="pct"/>
            <w:vMerge w:val="continue"/>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p>
        </w:tc>
        <w:tc>
          <w:tcPr>
            <w:tcW w:w="1202" w:type="pct"/>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r>
              <w:rPr>
                <w:rFonts w:hint="eastAsia" w:ascii="宋体" w:hAnsi="宋体" w:eastAsia="宋体" w:cs="宋体"/>
                <w:color w:val="auto"/>
                <w:sz w:val="21"/>
                <w:szCs w:val="21"/>
                <w:highlight w:val="none"/>
              </w:rPr>
              <w:t>耦合、去耦网络（CDN）</w:t>
            </w:r>
          </w:p>
        </w:tc>
        <w:tc>
          <w:tcPr>
            <w:tcW w:w="596" w:type="pct"/>
            <w:vMerge w:val="continue"/>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p>
        </w:tc>
        <w:tc>
          <w:tcPr>
            <w:tcW w:w="1523" w:type="pct"/>
            <w:vMerge w:val="continue"/>
            <w:noWrap w:val="0"/>
            <w:vAlign w:val="center"/>
          </w:tcPr>
          <w:p>
            <w:pPr>
              <w:widowControl/>
              <w:jc w:val="center"/>
              <w:textAlignment w:val="center"/>
              <w:rPr>
                <w:rFonts w:hint="eastAsia" w:ascii="宋体" w:hAnsi="宋体" w:eastAsia="宋体" w:cs="宋体"/>
                <w:strike/>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13</w:t>
            </w:r>
          </w:p>
        </w:tc>
        <w:tc>
          <w:tcPr>
            <w:tcW w:w="421" w:type="pct"/>
            <w:vMerge w:val="restart"/>
            <w:noWrap w:val="0"/>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可再生能源应用系统*</w:t>
            </w: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13.1</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太阳能集热器：安全性能*</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太阳能集热器安全性能测试系统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《太阳能集热器性能试验方法》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4271-2021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13.2</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太阳能集热器：热性能*</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太阳能集热器性能测试系统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《太阳能集热器性能试验方法》</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4271-2021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13.3</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太阳能热利用系统的太阳能集热系统：得热量*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太阳能热利用测试系统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《可再生能源建筑应用工程评价标准》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50801-2013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13.4</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太阳能热利用系统的太阳能集热系统：集热效率*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太阳能热利用测试系统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《可再生能源建筑应用工程评价标准》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50801-2013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13.5</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太阳能热利用系统的太阳能集热系统：太阳能保证率*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太阳能热利用测试系统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《可再生能源建筑应用工程评价标准》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50801-2013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13.6</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太阳能光伏组件：发电功率*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太阳能光伏组件测试系统</w:t>
            </w:r>
          </w:p>
        </w:tc>
        <w:tc>
          <w:tcPr>
            <w:tcW w:w="596" w:type="pct"/>
            <w:vMerge w:val="restar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strike/>
                <w:color w:val="auto"/>
                <w:kern w:val="0"/>
                <w:sz w:val="21"/>
                <w:szCs w:val="21"/>
                <w:highlight w:val="none"/>
                <w:lang w:bidi="ar"/>
              </w:rPr>
            </w:pPr>
            <w:r>
              <w:rPr>
                <w:rFonts w:hint="eastAsia" w:ascii="宋体" w:hAnsi="宋体" w:eastAsia="宋体" w:cs="宋体"/>
                <w:color w:val="auto"/>
                <w:kern w:val="0"/>
                <w:sz w:val="21"/>
                <w:szCs w:val="21"/>
                <w:highlight w:val="none"/>
                <w:lang w:bidi="ar"/>
              </w:rPr>
              <w:t>《可再生能源建筑应用工程评价标准》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50801-2013</w:t>
            </w: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《地面用晶体硅光伏组件 设计鉴定和定型》</w:t>
            </w:r>
            <w:r>
              <w:rPr>
                <w:rFonts w:hint="eastAsia" w:ascii="宋体" w:hAnsi="宋体" w:eastAsia="宋体" w:cs="宋体"/>
                <w:color w:val="auto"/>
                <w:sz w:val="21"/>
                <w:szCs w:val="21"/>
                <w:highlight w:val="none"/>
                <w:lang w:eastAsia="zh-CN"/>
              </w:rPr>
              <w:t>GB/T</w:t>
            </w:r>
            <w:r>
              <w:rPr>
                <w:rFonts w:hint="eastAsia" w:ascii="宋体" w:hAnsi="宋体" w:eastAsia="宋体" w:cs="宋体"/>
                <w:color w:val="auto"/>
                <w:sz w:val="21"/>
                <w:szCs w:val="21"/>
                <w:highlight w:val="none"/>
              </w:rPr>
              <w:t xml:space="preserve"> 9535-1998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13.7</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太阳能光伏组件：发电效率*</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太阳能光伏组件测试系统</w:t>
            </w:r>
          </w:p>
        </w:tc>
        <w:tc>
          <w:tcPr>
            <w:tcW w:w="596" w:type="pct"/>
            <w:vMerge w:val="continue"/>
            <w:noWrap w:val="0"/>
            <w:vAlign w:val="center"/>
          </w:tcPr>
          <w:p>
            <w:pPr>
              <w:jc w:val="center"/>
              <w:rPr>
                <w:rFonts w:hint="eastAsia" w:ascii="宋体" w:hAnsi="宋体" w:eastAsia="宋体" w:cs="宋体"/>
                <w:color w:val="auto"/>
                <w:sz w:val="21"/>
                <w:szCs w:val="21"/>
                <w:highlight w:val="none"/>
              </w:rPr>
            </w:pPr>
          </w:p>
        </w:tc>
        <w:tc>
          <w:tcPr>
            <w:tcW w:w="1523" w:type="pct"/>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《可再生能源建筑应用工程评价标准》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50801-2013</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《地面用晶体硅光伏组件 设计鉴定和定型》</w:t>
            </w:r>
            <w:r>
              <w:rPr>
                <w:rFonts w:hint="eastAsia" w:ascii="宋体" w:hAnsi="宋体" w:eastAsia="宋体" w:cs="宋体"/>
                <w:color w:val="auto"/>
                <w:kern w:val="0"/>
                <w:sz w:val="21"/>
                <w:szCs w:val="21"/>
                <w:highlight w:val="none"/>
                <w:lang w:eastAsia="zh-CN"/>
              </w:rPr>
              <w:t>GB/T</w:t>
            </w:r>
            <w:r>
              <w:rPr>
                <w:rFonts w:hint="eastAsia" w:ascii="宋体" w:hAnsi="宋体" w:eastAsia="宋体" w:cs="宋体"/>
                <w:color w:val="auto"/>
                <w:kern w:val="0"/>
                <w:sz w:val="21"/>
                <w:szCs w:val="21"/>
                <w:highlight w:val="none"/>
              </w:rPr>
              <w:t xml:space="preserve"> 9535-1998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13.8</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太阳能光伏发电系统：年发电量*</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太阳能光伏性能测试系统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《可再生能源建筑应用工程评价标准》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50801-2013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 w:type="pct"/>
            <w:vMerge w:val="continue"/>
            <w:noWrap w:val="0"/>
            <w:vAlign w:val="center"/>
          </w:tcPr>
          <w:p>
            <w:pPr>
              <w:jc w:val="center"/>
              <w:rPr>
                <w:rFonts w:hint="eastAsia" w:ascii="宋体" w:hAnsi="宋体" w:eastAsia="宋体" w:cs="宋体"/>
                <w:b/>
                <w:bCs/>
                <w:color w:val="auto"/>
                <w:sz w:val="21"/>
                <w:szCs w:val="21"/>
                <w:highlight w:val="none"/>
              </w:rPr>
            </w:pPr>
          </w:p>
        </w:tc>
        <w:tc>
          <w:tcPr>
            <w:tcW w:w="421" w:type="pct"/>
            <w:vMerge w:val="continue"/>
            <w:noWrap w:val="0"/>
            <w:vAlign w:val="center"/>
          </w:tcPr>
          <w:p>
            <w:pPr>
              <w:jc w:val="center"/>
              <w:rPr>
                <w:rFonts w:hint="eastAsia" w:ascii="宋体" w:hAnsi="宋体" w:eastAsia="宋体" w:cs="宋体"/>
                <w:b/>
                <w:bCs/>
                <w:color w:val="auto"/>
                <w:sz w:val="21"/>
                <w:szCs w:val="21"/>
                <w:highlight w:val="none"/>
              </w:rPr>
            </w:pPr>
          </w:p>
        </w:tc>
        <w:tc>
          <w:tcPr>
            <w:tcW w:w="275"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13.9</w:t>
            </w:r>
          </w:p>
        </w:tc>
        <w:tc>
          <w:tcPr>
            <w:tcW w:w="766"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太阳能光伏发电系统：组件背板最高工作温度*</w:t>
            </w:r>
          </w:p>
        </w:tc>
        <w:tc>
          <w:tcPr>
            <w:tcW w:w="1202" w:type="pct"/>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太阳能光伏性能测试系统</w:t>
            </w:r>
          </w:p>
        </w:tc>
        <w:tc>
          <w:tcPr>
            <w:tcW w:w="596" w:type="pct"/>
            <w:noWrap w:val="0"/>
            <w:vAlign w:val="center"/>
          </w:tcPr>
          <w:p>
            <w:pPr>
              <w:widowControl/>
              <w:jc w:val="center"/>
              <w:textAlignment w:val="center"/>
              <w:rPr>
                <w:rFonts w:hint="eastAsia" w:ascii="宋体" w:hAnsi="宋体" w:eastAsia="宋体" w:cs="宋体"/>
                <w:color w:val="auto"/>
                <w:sz w:val="21"/>
                <w:szCs w:val="21"/>
                <w:highlight w:val="none"/>
                <w:lang w:eastAsia="zh-CN"/>
              </w:rPr>
            </w:pPr>
          </w:p>
        </w:tc>
        <w:tc>
          <w:tcPr>
            <w:tcW w:w="1523" w:type="pct"/>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《可再生能源建筑应用工程评价标准》</w:t>
            </w:r>
            <w:r>
              <w:rPr>
                <w:rFonts w:hint="eastAsia" w:ascii="宋体" w:hAnsi="宋体" w:eastAsia="宋体" w:cs="宋体"/>
                <w:color w:val="auto"/>
                <w:kern w:val="0"/>
                <w:sz w:val="21"/>
                <w:szCs w:val="21"/>
                <w:highlight w:val="none"/>
                <w:lang w:eastAsia="zh-CN" w:bidi="ar"/>
              </w:rPr>
              <w:t>GB/T</w:t>
            </w:r>
            <w:r>
              <w:rPr>
                <w:rFonts w:hint="eastAsia" w:ascii="宋体" w:hAnsi="宋体" w:eastAsia="宋体" w:cs="宋体"/>
                <w:color w:val="auto"/>
                <w:kern w:val="0"/>
                <w:sz w:val="21"/>
                <w:szCs w:val="21"/>
                <w:highlight w:val="none"/>
                <w:lang w:bidi="ar"/>
              </w:rPr>
              <w:t>50801-2013</w:t>
            </w: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p>
      <w:pPr>
        <w:pStyle w:val="2"/>
        <w:keepNext w:val="0"/>
        <w:keepLines w:val="0"/>
        <w:pageBreakBefore w:val="0"/>
        <w:widowControl w:val="0"/>
        <w:kinsoku/>
        <w:wordWrap/>
        <w:overflowPunct/>
        <w:topLinePunct w:val="0"/>
        <w:autoSpaceDE/>
        <w:autoSpaceDN/>
        <w:bidi w:val="0"/>
        <w:adjustRightInd/>
        <w:snapToGrid/>
        <w:spacing w:line="400" w:lineRule="exact"/>
        <w:ind w:firstLine="880" w:firstLineChars="200"/>
        <w:jc w:val="left"/>
        <w:textAlignment w:val="auto"/>
        <w:rPr>
          <w:rFonts w:hint="default" w:ascii="方正小标宋简体" w:hAnsi="方正小标宋简体" w:eastAsia="宋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pStyle w:val="2"/>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表六 </w:t>
      </w:r>
      <w:r>
        <w:rPr>
          <w:rFonts w:hint="eastAsia" w:ascii="黑体" w:hAnsi="黑体" w:eastAsia="黑体" w:cs="黑体"/>
          <w:sz w:val="32"/>
          <w:szCs w:val="32"/>
          <w:highlight w:val="none"/>
        </w:rPr>
        <w:t>建筑幕墙）</w:t>
      </w:r>
    </w:p>
    <w:tbl>
      <w:tblPr>
        <w:tblStyle w:val="14"/>
        <w:tblW w:w="14142" w:type="dxa"/>
        <w:tblInd w:w="0" w:type="dxa"/>
        <w:tblLayout w:type="fixed"/>
        <w:tblCellMar>
          <w:top w:w="0" w:type="dxa"/>
          <w:left w:w="108" w:type="dxa"/>
          <w:bottom w:w="0" w:type="dxa"/>
          <w:right w:w="108" w:type="dxa"/>
        </w:tblCellMar>
      </w:tblPr>
      <w:tblGrid>
        <w:gridCol w:w="708"/>
        <w:gridCol w:w="920"/>
        <w:gridCol w:w="948"/>
        <w:gridCol w:w="2352"/>
        <w:gridCol w:w="2551"/>
        <w:gridCol w:w="2268"/>
        <w:gridCol w:w="4395"/>
      </w:tblGrid>
      <w:tr>
        <w:tblPrEx>
          <w:tblCellMar>
            <w:top w:w="0" w:type="dxa"/>
            <w:left w:w="108" w:type="dxa"/>
            <w:bottom w:w="0" w:type="dxa"/>
            <w:right w:w="108" w:type="dxa"/>
          </w:tblCellMar>
        </w:tblPrEx>
        <w:trPr>
          <w:trHeight w:val="567" w:hRule="atLeast"/>
        </w:trPr>
        <w:tc>
          <w:tcPr>
            <w:tcW w:w="708"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项目</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920"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检测</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项目</w:t>
            </w:r>
          </w:p>
        </w:tc>
        <w:tc>
          <w:tcPr>
            <w:tcW w:w="948"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参数</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2352"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检测参数</w:t>
            </w:r>
          </w:p>
        </w:tc>
        <w:tc>
          <w:tcPr>
            <w:tcW w:w="255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主要设备名称</w:t>
            </w:r>
          </w:p>
        </w:tc>
        <w:tc>
          <w:tcPr>
            <w:tcW w:w="226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试验方法要求</w:t>
            </w:r>
          </w:p>
        </w:tc>
        <w:tc>
          <w:tcPr>
            <w:tcW w:w="439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参考标准</w:t>
            </w:r>
          </w:p>
        </w:tc>
      </w:tr>
      <w:tr>
        <w:tblPrEx>
          <w:tblCellMar>
            <w:top w:w="0" w:type="dxa"/>
            <w:left w:w="108" w:type="dxa"/>
            <w:bottom w:w="0" w:type="dxa"/>
            <w:right w:w="108" w:type="dxa"/>
          </w:tblCellMar>
        </w:tblPrEx>
        <w:trPr>
          <w:trHeight w:val="567"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1</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密封胶</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1.1</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邵氏硬度</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A型邵氏硬度计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《硫化橡胶或热塑性橡胶压入硬度试验方法第1部分：邵氏硬度计法(邵尔硬度)》GB/T 531.1-2008</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1.2</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结构胶标准条件下的拉伸粘结强度</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微机控制电子万能试验机</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《建筑密封材料试验方法 第8部分：拉伸粘结性的测定》GB/T 13477.8-2017</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相容性</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紫外辐照箱</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《建筑用硅酮结构密封胶》GB16776-2005</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1.4</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剥离粘结性</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微机控制电子万能试验机</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《建筑用硅酮结构密封胶》GB16776-2005</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《建筑密封材料试验方法 第18部分：剥离粘结性的测定》GB/T13477.18-2002</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1.5</w:t>
            </w:r>
          </w:p>
        </w:tc>
        <w:tc>
          <w:tcPr>
            <w:tcW w:w="23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石材用密封胶的污染性</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紫外辐照箱</w:t>
            </w:r>
            <w:r>
              <w:rPr>
                <w:rFonts w:hint="eastAsia" w:ascii="宋体" w:hAnsi="宋体" w:cs="宋体"/>
                <w:strike/>
                <w:color w:val="000000"/>
                <w:kern w:val="0"/>
                <w:szCs w:val="21"/>
                <w:highlight w:val="none"/>
                <w:lang w:bidi="ar"/>
              </w:rPr>
              <w:t>*</w:t>
            </w:r>
          </w:p>
        </w:tc>
        <w:tc>
          <w:tcPr>
            <w:tcW w:w="2268" w:type="dxa"/>
            <w:vMerge w:val="restart"/>
            <w:tcBorders>
              <w:top w:val="single" w:color="000000" w:sz="4" w:space="0"/>
              <w:left w:val="single" w:color="000000" w:sz="4" w:space="0"/>
              <w:right w:val="single" w:color="000000" w:sz="4" w:space="0"/>
            </w:tcBorders>
            <w:noWrap w:val="0"/>
            <w:vAlign w:val="center"/>
          </w:tcPr>
          <w:p>
            <w:pPr>
              <w:jc w:val="both"/>
              <w:textAlignment w:val="center"/>
              <w:rPr>
                <w:rFonts w:ascii="宋体" w:hAnsi="宋体" w:cs="宋体"/>
                <w:color w:val="000000"/>
                <w:szCs w:val="21"/>
                <w:highlight w:val="none"/>
              </w:rPr>
            </w:pPr>
          </w:p>
        </w:tc>
        <w:tc>
          <w:tcPr>
            <w:tcW w:w="4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《石材用建筑密封胶》GB/T 23261-2009</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highlight w:val="none"/>
              </w:rPr>
            </w:pPr>
          </w:p>
        </w:tc>
        <w:tc>
          <w:tcPr>
            <w:tcW w:w="23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鼓风干燥箱</w:t>
            </w:r>
          </w:p>
        </w:tc>
        <w:tc>
          <w:tcPr>
            <w:tcW w:w="2268"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1.6</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耐候胶标准状态下的拉伸模量*</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微机控制电子万能试验机</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《建筑密封材料试验方法 第8部分：拉伸粘结性的测定》GB/T 13477.8-2017</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1.7</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石材用密封胶的拉伸模量*</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微机控制电子万能试验机</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《建筑密封材料试验方法 第8部分：拉伸粘结性的测定》GB/T 13477.8-2017</w:t>
            </w:r>
          </w:p>
        </w:tc>
      </w:tr>
      <w:tr>
        <w:tblPrEx>
          <w:tblCellMar>
            <w:top w:w="0" w:type="dxa"/>
            <w:left w:w="108" w:type="dxa"/>
            <w:bottom w:w="0" w:type="dxa"/>
            <w:right w:w="108" w:type="dxa"/>
          </w:tblCellMar>
        </w:tblPrEx>
        <w:trPr>
          <w:trHeight w:val="567"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2</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幕墙</w:t>
            </w:r>
          </w:p>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玻璃</w:t>
            </w:r>
          </w:p>
        </w:tc>
        <w:tc>
          <w:tcPr>
            <w:tcW w:w="94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2.1</w:t>
            </w:r>
          </w:p>
        </w:tc>
        <w:tc>
          <w:tcPr>
            <w:tcW w:w="235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传热系数</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傅里叶红外光谱仪</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《建筑门窗玻璃幕墙热工计算规程》JGJ/T 151-2008</w:t>
            </w:r>
          </w:p>
          <w:p>
            <w:pPr>
              <w:pStyle w:val="2"/>
              <w:jc w:val="left"/>
              <w:rPr>
                <w:color w:val="000000"/>
                <w:sz w:val="21"/>
                <w:szCs w:val="21"/>
                <w:highlight w:val="none"/>
              </w:rPr>
            </w:pPr>
            <w:r>
              <w:rPr>
                <w:rFonts w:hint="eastAsia" w:ascii="宋体" w:hAnsi="宋体" w:cs="宋体"/>
                <w:color w:val="000000"/>
                <w:sz w:val="21"/>
                <w:szCs w:val="21"/>
                <w:highlight w:val="none"/>
                <w:lang w:bidi="ar"/>
              </w:rPr>
              <w:t>《建筑玻璃 可见光透射比、太阳光直接透射比、太阳能总透射比、紫外线透射比及有关窗玻璃参数的测定》GB/T2680-2021</w:t>
            </w:r>
          </w:p>
        </w:tc>
      </w:tr>
      <w:tr>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Cs w:val="21"/>
                <w:highlight w:val="none"/>
                <w:lang w:bidi="ar"/>
              </w:rPr>
            </w:pPr>
          </w:p>
        </w:tc>
        <w:tc>
          <w:tcPr>
            <w:tcW w:w="920"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Cs w:val="21"/>
                <w:highlight w:val="none"/>
                <w:lang w:bidi="ar"/>
              </w:rPr>
            </w:pPr>
          </w:p>
        </w:tc>
        <w:tc>
          <w:tcPr>
            <w:tcW w:w="948"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highlight w:val="none"/>
                <w:lang w:bidi="ar"/>
              </w:rPr>
            </w:pPr>
          </w:p>
        </w:tc>
        <w:tc>
          <w:tcPr>
            <w:tcW w:w="2352"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highlight w:val="none"/>
                <w:lang w:bidi="ar"/>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分光光度计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highlight w:val="none"/>
                <w:lang w:bidi="ar"/>
              </w:rPr>
            </w:pPr>
          </w:p>
        </w:tc>
        <w:tc>
          <w:tcPr>
            <w:tcW w:w="4395"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2.2</w:t>
            </w:r>
          </w:p>
        </w:tc>
        <w:tc>
          <w:tcPr>
            <w:tcW w:w="2352"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可见光透射比</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分光光度计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《建筑玻璃 可见光透射比、太阳光直接透射比、太阳能总透射比、紫外线透射比及有关窗玻璃参数的测定》GB/T2680-2021</w:t>
            </w:r>
          </w:p>
          <w:p>
            <w:pPr>
              <w:pStyle w:val="2"/>
              <w:jc w:val="left"/>
              <w:rPr>
                <w:color w:val="000000"/>
                <w:sz w:val="21"/>
                <w:szCs w:val="21"/>
                <w:highlight w:val="none"/>
              </w:rPr>
            </w:pPr>
            <w:r>
              <w:rPr>
                <w:rFonts w:hint="eastAsia" w:ascii="宋体" w:hAnsi="宋体" w:cs="宋体"/>
                <w:color w:val="000000"/>
                <w:sz w:val="21"/>
                <w:szCs w:val="21"/>
                <w:highlight w:val="none"/>
                <w:lang w:bidi="ar"/>
              </w:rPr>
              <w:t>《建筑门窗玻璃幕墙热工计算规程》(JGJ/T 151-2008)</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2.3</w:t>
            </w:r>
          </w:p>
        </w:tc>
        <w:tc>
          <w:tcPr>
            <w:tcW w:w="23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太阳得热系数</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分光光度计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《建筑玻璃 可见光透射比、太阳光直接透射比、太阳能总透射比、紫外线透射比及有关窗玻璃参数的测定》GB/T2680-2021</w:t>
            </w:r>
          </w:p>
          <w:p>
            <w:pPr>
              <w:pStyle w:val="2"/>
              <w:jc w:val="left"/>
              <w:rPr>
                <w:color w:val="000000"/>
                <w:sz w:val="21"/>
                <w:szCs w:val="21"/>
                <w:highlight w:val="none"/>
              </w:rPr>
            </w:pPr>
            <w:r>
              <w:rPr>
                <w:rFonts w:hint="eastAsia" w:ascii="宋体" w:hAnsi="宋体" w:cs="宋体"/>
                <w:color w:val="000000"/>
                <w:sz w:val="21"/>
                <w:szCs w:val="21"/>
                <w:highlight w:val="none"/>
                <w:lang w:bidi="ar"/>
              </w:rPr>
              <w:t>《建筑门窗玻璃幕墙热工计算规程》(JGJ/T 151-2008)</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highlight w:val="none"/>
              </w:rPr>
            </w:pPr>
          </w:p>
        </w:tc>
        <w:tc>
          <w:tcPr>
            <w:tcW w:w="23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傅里叶红外光谱仪</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highlight w:val="none"/>
              </w:rPr>
            </w:pP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2352"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中空玻璃的密封性能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中空玻璃露点仪</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《建筑节能工程施工质量验收标准》</w:t>
            </w:r>
          </w:p>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GB 50411-2019</w:t>
            </w:r>
          </w:p>
        </w:tc>
      </w:tr>
      <w:tr>
        <w:tblPrEx>
          <w:tblCellMar>
            <w:top w:w="0" w:type="dxa"/>
            <w:left w:w="108" w:type="dxa"/>
            <w:bottom w:w="0" w:type="dxa"/>
            <w:right w:w="108" w:type="dxa"/>
          </w:tblCellMar>
        </w:tblPrEx>
        <w:trPr>
          <w:trHeight w:val="567" w:hRule="atLeast"/>
        </w:trPr>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3</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幕墙</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3.1</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气密性能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建筑幕墙物理性能检测装置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《建筑幕墙气密、水密、抗风压性能检测方法》GB/T 15227-2019</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《建筑幕墙工程检测方法标准》</w:t>
            </w:r>
            <w:r>
              <w:rPr>
                <w:rFonts w:ascii="宋体" w:hAnsi="宋体" w:cs="宋体"/>
                <w:color w:val="000000"/>
                <w:kern w:val="0"/>
                <w:szCs w:val="21"/>
                <w:highlight w:val="none"/>
              </w:rPr>
              <w:t>JGJ/T 324-2014</w:t>
            </w:r>
          </w:p>
          <w:p>
            <w:pPr>
              <w:pStyle w:val="2"/>
              <w:jc w:val="left"/>
              <w:rPr>
                <w:color w:val="000000"/>
                <w:sz w:val="21"/>
                <w:szCs w:val="21"/>
                <w:highlight w:val="none"/>
              </w:rPr>
            </w:pPr>
            <w:r>
              <w:rPr>
                <w:rFonts w:hint="eastAsia" w:ascii="宋体" w:hAnsi="宋体" w:cs="宋体"/>
                <w:color w:val="000000"/>
                <w:sz w:val="21"/>
                <w:szCs w:val="21"/>
                <w:highlight w:val="none"/>
              </w:rPr>
              <w:t>《玻璃幕墙工程质量检验标准》</w:t>
            </w:r>
            <w:r>
              <w:rPr>
                <w:rFonts w:ascii="宋体" w:hAnsi="宋体" w:cs="宋体"/>
                <w:color w:val="000000"/>
                <w:sz w:val="21"/>
                <w:szCs w:val="21"/>
                <w:highlight w:val="none"/>
              </w:rPr>
              <w:t>JGJ/T 139-2020</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3.2</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水密性能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建筑幕墙物理性能检测装置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《建筑幕墙气密、水密、抗风压性能检测方法》GB/T 15227-2019</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《建筑幕墙工程检测方法标准》</w:t>
            </w:r>
            <w:r>
              <w:rPr>
                <w:rFonts w:ascii="宋体" w:hAnsi="宋体" w:cs="宋体"/>
                <w:color w:val="000000"/>
                <w:kern w:val="0"/>
                <w:szCs w:val="21"/>
                <w:highlight w:val="none"/>
              </w:rPr>
              <w:t>JGJ/T 324-2014</w:t>
            </w:r>
          </w:p>
          <w:p>
            <w:pPr>
              <w:pStyle w:val="2"/>
              <w:jc w:val="left"/>
              <w:rPr>
                <w:color w:val="000000"/>
                <w:sz w:val="21"/>
                <w:szCs w:val="21"/>
                <w:highlight w:val="none"/>
              </w:rPr>
            </w:pPr>
            <w:r>
              <w:rPr>
                <w:rFonts w:hint="eastAsia" w:ascii="宋体" w:hAnsi="宋体" w:cs="宋体"/>
                <w:color w:val="000000"/>
                <w:sz w:val="21"/>
                <w:szCs w:val="21"/>
                <w:highlight w:val="none"/>
              </w:rPr>
              <w:t>《玻璃幕墙工程质量检验标准》</w:t>
            </w:r>
            <w:r>
              <w:rPr>
                <w:rFonts w:ascii="宋体" w:hAnsi="宋体" w:cs="宋体"/>
                <w:color w:val="000000"/>
                <w:sz w:val="21"/>
                <w:szCs w:val="21"/>
                <w:highlight w:val="none"/>
              </w:rPr>
              <w:t>JGJ/T 139-2020</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3.3</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抗风压性能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建筑幕墙物理性能检测装置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《建筑幕墙气密、水密、抗风压性能检测方法》GB/T 15227-2019</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《建筑幕墙工程检测方法标准》</w:t>
            </w:r>
            <w:r>
              <w:rPr>
                <w:rFonts w:ascii="宋体" w:hAnsi="宋体" w:cs="宋体"/>
                <w:color w:val="000000"/>
                <w:kern w:val="0"/>
                <w:szCs w:val="21"/>
                <w:highlight w:val="none"/>
              </w:rPr>
              <w:t>JGJ/T 324-2014</w:t>
            </w:r>
          </w:p>
          <w:p>
            <w:pPr>
              <w:pStyle w:val="2"/>
              <w:jc w:val="left"/>
              <w:rPr>
                <w:color w:val="000000"/>
                <w:sz w:val="21"/>
                <w:szCs w:val="21"/>
                <w:highlight w:val="none"/>
              </w:rPr>
            </w:pPr>
            <w:r>
              <w:rPr>
                <w:rFonts w:hint="eastAsia" w:ascii="宋体" w:hAnsi="宋体" w:cs="宋体"/>
                <w:color w:val="000000"/>
                <w:sz w:val="21"/>
                <w:szCs w:val="21"/>
                <w:highlight w:val="none"/>
              </w:rPr>
              <w:t>《玻璃幕墙工程质量检验标准》</w:t>
            </w:r>
            <w:r>
              <w:rPr>
                <w:rFonts w:ascii="宋体" w:hAnsi="宋体" w:cs="宋体"/>
                <w:color w:val="000000"/>
                <w:sz w:val="21"/>
                <w:szCs w:val="21"/>
                <w:highlight w:val="none"/>
              </w:rPr>
              <w:t>JGJ/T 139-2020</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3.4</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层间变形性能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建筑幕墙物理性能检测装置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《建筑幕墙层间变形性能分级及检测方法》</w:t>
            </w:r>
          </w:p>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GB/T 18250-2015</w:t>
            </w:r>
          </w:p>
          <w:p>
            <w:pPr>
              <w:pStyle w:val="2"/>
              <w:jc w:val="left"/>
              <w:rPr>
                <w:color w:val="000000"/>
                <w:sz w:val="21"/>
                <w:szCs w:val="21"/>
                <w:highlight w:val="none"/>
              </w:rPr>
            </w:pPr>
            <w:r>
              <w:rPr>
                <w:rFonts w:hint="eastAsia" w:ascii="宋体" w:hAnsi="宋体" w:cs="宋体"/>
                <w:color w:val="000000"/>
                <w:sz w:val="21"/>
                <w:szCs w:val="21"/>
                <w:highlight w:val="none"/>
              </w:rPr>
              <w:t>《玻璃幕墙工程质量检验标准》</w:t>
            </w:r>
            <w:r>
              <w:rPr>
                <w:rFonts w:ascii="宋体" w:hAnsi="宋体" w:cs="宋体"/>
                <w:color w:val="000000"/>
                <w:sz w:val="21"/>
                <w:szCs w:val="21"/>
                <w:highlight w:val="none"/>
              </w:rPr>
              <w:t>JGJ/T 139-2020</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3.5</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后置埋件抗拔承载力</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锚杆拉拔仪</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《混凝土结构后锚固技术规程》JGJ 145-2013</w:t>
            </w:r>
          </w:p>
          <w:p>
            <w:pPr>
              <w:pStyle w:val="2"/>
              <w:jc w:val="left"/>
              <w:rPr>
                <w:color w:val="000000"/>
                <w:sz w:val="21"/>
                <w:szCs w:val="21"/>
                <w:highlight w:val="none"/>
              </w:rPr>
            </w:pPr>
            <w:r>
              <w:rPr>
                <w:rFonts w:hint="eastAsia" w:ascii="宋体" w:hAnsi="宋体" w:cs="宋体"/>
                <w:color w:val="000000"/>
                <w:sz w:val="21"/>
                <w:szCs w:val="21"/>
                <w:highlight w:val="none"/>
                <w:lang w:bidi="ar"/>
              </w:rPr>
              <w:t>《混凝土后锚固件抗拔和抗剪性能检测技术规程》DBJ/T15-35-2023</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3.6</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保温隔热性能*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建筑外窗保温性能检测设备</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《建筑幕墙保温性能分级及检测方法》GB/T 29043-2012</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3.7</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隔声性能*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建筑幕墙隔声性能检测装置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《建筑门窗空气声隔声性能分级及检测方法》</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GB/T 8485-2008</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《建筑幕墙空气声隔声性能分级及检测方法》</w:t>
            </w:r>
          </w:p>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GB∕T39526-2020</w:t>
            </w:r>
          </w:p>
          <w:p>
            <w:pPr>
              <w:pStyle w:val="2"/>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《声学 建筑和建筑构件隔声测量 第3部分：建筑构件空气声隔声的实验室测量》GB/T 19889.3-2005</w:t>
            </w:r>
          </w:p>
          <w:p>
            <w:pPr>
              <w:pStyle w:val="2"/>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《建筑幕墙工程检测方法标准》</w:t>
            </w:r>
            <w:r>
              <w:rPr>
                <w:rFonts w:ascii="宋体" w:hAnsi="宋体" w:cs="宋体"/>
                <w:color w:val="000000"/>
                <w:sz w:val="21"/>
                <w:szCs w:val="21"/>
                <w:highlight w:val="none"/>
              </w:rPr>
              <w:t>JGJ/T 324-2014</w:t>
            </w:r>
          </w:p>
          <w:p>
            <w:pPr>
              <w:widowControl/>
              <w:jc w:val="left"/>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《声学 建筑和建筑构件隔声测量 第 5 部分:外墙构件和外墙空气声隔声的现场测量》</w:t>
            </w:r>
          </w:p>
          <w:p>
            <w:pPr>
              <w:pStyle w:val="2"/>
              <w:jc w:val="left"/>
              <w:rPr>
                <w:rFonts w:ascii="宋体" w:hAnsi="宋体" w:cs="宋体"/>
                <w:color w:val="000000"/>
                <w:sz w:val="21"/>
                <w:szCs w:val="21"/>
                <w:highlight w:val="none"/>
              </w:rPr>
            </w:pPr>
            <w:r>
              <w:rPr>
                <w:rFonts w:ascii="宋体" w:hAnsi="宋体" w:cs="宋体"/>
                <w:color w:val="000000"/>
                <w:sz w:val="21"/>
                <w:szCs w:val="21"/>
                <w:highlight w:val="none"/>
              </w:rPr>
              <w:t>GB/T 19889.5-2006</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3.8</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采光性能*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采光性能检测装置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《建筑外窗采光性能分级及检测方法》</w:t>
            </w:r>
          </w:p>
          <w:p>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GB/T 11976-2015</w:t>
            </w:r>
          </w:p>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《玻璃幕墙光热性能》</w:t>
            </w:r>
            <w:r>
              <w:rPr>
                <w:rFonts w:ascii="宋体" w:hAnsi="宋体" w:cs="宋体"/>
                <w:color w:val="000000"/>
                <w:kern w:val="0"/>
                <w:szCs w:val="21"/>
                <w:highlight w:val="none"/>
                <w:lang w:bidi="ar"/>
              </w:rPr>
              <w:t>GB/T 18091-2015</w:t>
            </w:r>
          </w:p>
          <w:p>
            <w:pPr>
              <w:pStyle w:val="2"/>
              <w:jc w:val="left"/>
              <w:rPr>
                <w:color w:val="000000"/>
                <w:sz w:val="21"/>
                <w:szCs w:val="21"/>
                <w:highlight w:val="none"/>
              </w:rPr>
            </w:pPr>
            <w:r>
              <w:rPr>
                <w:rFonts w:hint="eastAsia" w:ascii="宋体" w:hAnsi="宋体" w:cs="宋体"/>
                <w:color w:val="000000"/>
                <w:sz w:val="21"/>
                <w:szCs w:val="21"/>
                <w:highlight w:val="none"/>
              </w:rPr>
              <w:t>《建筑幕墙工程检测方法标准》</w:t>
            </w:r>
            <w:r>
              <w:rPr>
                <w:rFonts w:ascii="宋体" w:hAnsi="宋体" w:cs="宋体"/>
                <w:color w:val="000000"/>
                <w:sz w:val="21"/>
                <w:szCs w:val="21"/>
                <w:highlight w:val="none"/>
              </w:rPr>
              <w:t>JGJ/T 324-2014</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3.9</w:t>
            </w:r>
          </w:p>
        </w:tc>
        <w:tc>
          <w:tcPr>
            <w:tcW w:w="235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耐撞击性能*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幕墙耐软重物撞击性能测试装置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《建筑幕墙耐撞击性能分级及检测方法》GB/T 38264-2019</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highlight w:val="none"/>
                <w:lang w:bidi="ar"/>
              </w:rPr>
            </w:pPr>
          </w:p>
        </w:tc>
        <w:tc>
          <w:tcPr>
            <w:tcW w:w="2352"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highlight w:val="none"/>
                <w:lang w:bidi="ar"/>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幕墙耐硬物撞击性能测试装置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Cs w:val="21"/>
                <w:highlight w:val="none"/>
                <w:lang w:bidi="ar"/>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《建筑幕墙耐撞击性能分级及检测方法》GB/T 38264-2019</w:t>
            </w:r>
          </w:p>
        </w:tc>
      </w:tr>
      <w:tr>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3.10</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防火性能*</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耐火性能检测装置</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highlight w:val="none"/>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《建筑构件耐火试验方法  第１部分：通用要求》GB/T 9978.1-2008</w:t>
            </w:r>
          </w:p>
          <w:p>
            <w:pPr>
              <w:widowControl/>
              <w:jc w:val="left"/>
              <w:textAlignment w:val="center"/>
              <w:rPr>
                <w:rFonts w:ascii="宋体" w:hAnsi="宋体" w:cs="宋体"/>
                <w:color w:val="000000"/>
                <w:szCs w:val="21"/>
                <w:highlight w:val="none"/>
              </w:rPr>
            </w:pPr>
            <w:r>
              <w:rPr>
                <w:rFonts w:ascii="宋体" w:hAnsi="宋体" w:cs="宋体"/>
                <w:color w:val="000000"/>
                <w:kern w:val="0"/>
                <w:szCs w:val="21"/>
                <w:highlight w:val="none"/>
                <w:lang w:bidi="ar"/>
              </w:rPr>
              <w:t>《建筑幕墙防火性能分级及试验方法》GB/T 41336-2022</w:t>
            </w: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方正小标宋简体" w:hAnsi="方正小标宋简体" w:eastAsia="宋体" w:cs="方正小标宋简体"/>
          <w:color w:val="auto"/>
          <w:sz w:val="44"/>
          <w:szCs w:val="44"/>
          <w:highlight w:val="none"/>
          <w:lang w:val="en-US" w:eastAsia="zh-CN"/>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pStyle w:val="2"/>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表七 </w:t>
      </w:r>
      <w:r>
        <w:rPr>
          <w:rFonts w:hint="eastAsia" w:ascii="黑体" w:hAnsi="黑体" w:eastAsia="黑体" w:cs="黑体"/>
          <w:sz w:val="32"/>
          <w:szCs w:val="32"/>
          <w:highlight w:val="none"/>
        </w:rPr>
        <w:t>市政工程材料）</w:t>
      </w:r>
    </w:p>
    <w:tbl>
      <w:tblPr>
        <w:tblStyle w:val="14"/>
        <w:tblW w:w="1438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18"/>
        <w:gridCol w:w="952"/>
        <w:gridCol w:w="855"/>
        <w:gridCol w:w="1483"/>
        <w:gridCol w:w="2834"/>
        <w:gridCol w:w="2676"/>
        <w:gridCol w:w="446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1118"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项目</w:t>
            </w: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952" w:type="dxa"/>
            <w:noWrap/>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检测</w:t>
            </w: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项目</w:t>
            </w:r>
          </w:p>
        </w:tc>
        <w:tc>
          <w:tcPr>
            <w:tcW w:w="855"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参数</w:t>
            </w: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483" w:type="dxa"/>
            <w:noWrap/>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检测</w:t>
            </w:r>
          </w:p>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参数</w:t>
            </w:r>
          </w:p>
        </w:tc>
        <w:tc>
          <w:tcPr>
            <w:tcW w:w="2834"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主要设备名称</w:t>
            </w:r>
          </w:p>
        </w:tc>
        <w:tc>
          <w:tcPr>
            <w:tcW w:w="2676"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试验方法要求</w:t>
            </w:r>
          </w:p>
        </w:tc>
        <w:tc>
          <w:tcPr>
            <w:tcW w:w="4466" w:type="dxa"/>
            <w:noWrap w:val="0"/>
            <w:vAlign w:val="center"/>
          </w:tcPr>
          <w:p>
            <w:pPr>
              <w:widowControl/>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参考标准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土、无机结合稳定材料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strike/>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p>
            <w:pPr>
              <w:pStyle w:val="2"/>
              <w:jc w:val="both"/>
              <w:rPr>
                <w:color w:val="auto"/>
                <w:sz w:val="21"/>
                <w:szCs w:val="21"/>
                <w:highlight w:val="none"/>
              </w:rPr>
            </w:pPr>
            <w:r>
              <w:rPr>
                <w:rFonts w:hint="eastAsia" w:ascii="宋体" w:hAnsi="宋体" w:cs="宋体"/>
                <w:color w:val="auto"/>
                <w:sz w:val="21"/>
                <w:szCs w:val="21"/>
                <w:highlight w:val="none"/>
              </w:rPr>
              <w:t>《公路工程无机结合料稳定材料试验规程》JTG 3441-2024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b/>
                <w:bCs/>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b/>
                <w:bCs/>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烘箱</w:t>
            </w:r>
          </w:p>
        </w:tc>
        <w:tc>
          <w:tcPr>
            <w:tcW w:w="2676" w:type="dxa"/>
            <w:tcBorders>
              <w:top w:val="single" w:color="auto" w:sz="4" w:space="0"/>
              <w:bottom w:val="single" w:color="auto" w:sz="4" w:space="0"/>
            </w:tcBorders>
            <w:noWrap w:val="0"/>
            <w:vAlign w:val="center"/>
          </w:tcPr>
          <w:p>
            <w:pPr>
              <w:pStyle w:val="2"/>
              <w:jc w:val="center"/>
              <w:rPr>
                <w:rFonts w:hint="eastAsia" w:ascii="宋体" w:hAnsi="宋体" w:cs="宋体"/>
                <w:color w:val="auto"/>
                <w:szCs w:val="21"/>
                <w:highlight w:val="none"/>
                <w:lang w:bidi="ar"/>
              </w:rPr>
            </w:pPr>
            <w:r>
              <w:rPr>
                <w:rFonts w:hint="eastAsia" w:ascii="宋体" w:hAnsi="宋体" w:cs="宋体"/>
                <w:color w:val="auto"/>
                <w:sz w:val="21"/>
                <w:szCs w:val="21"/>
                <w:highlight w:val="none"/>
              </w:rPr>
              <w:t>烘干法</w:t>
            </w:r>
          </w:p>
        </w:tc>
        <w:tc>
          <w:tcPr>
            <w:tcW w:w="4466" w:type="dxa"/>
            <w:vMerge w:val="continue"/>
            <w:noWrap w:val="0"/>
            <w:vAlign w:val="center"/>
          </w:tcPr>
          <w:p>
            <w:pPr>
              <w:pStyle w:val="2"/>
              <w:jc w:val="both"/>
              <w:rPr>
                <w:rFonts w:hint="eastAsia" w:ascii="宋体" w:hAnsi="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酒精</w:t>
            </w:r>
          </w:p>
        </w:tc>
        <w:tc>
          <w:tcPr>
            <w:tcW w:w="2676" w:type="dxa"/>
            <w:tcBorders>
              <w:top w:val="single" w:color="auto" w:sz="4" w:space="0"/>
              <w:bottom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酒精燃烧法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砂浴</w:t>
            </w:r>
          </w:p>
        </w:tc>
        <w:tc>
          <w:tcPr>
            <w:tcW w:w="2676" w:type="dxa"/>
            <w:vMerge w:val="restart"/>
            <w:tcBorders>
              <w:top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rPr>
              <w:t>砂浴法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硅石蒸发皿</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液限</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液塑限联合测定仪</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液塑限联合测定法</w:t>
            </w: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塑限</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液塑限联合测定仪</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液塑限联合测定法</w:t>
            </w: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击实</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标准击实仪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3430-2020（击实试验T 0131-2019）</w:t>
            </w:r>
          </w:p>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50123-2019（击实试验）</w:t>
            </w:r>
          </w:p>
          <w:p>
            <w:pPr>
              <w:pStyle w:val="2"/>
              <w:jc w:val="both"/>
              <w:rPr>
                <w:color w:val="auto"/>
                <w:sz w:val="21"/>
                <w:szCs w:val="21"/>
                <w:highlight w:val="none"/>
              </w:rPr>
            </w:pPr>
            <w:r>
              <w:rPr>
                <w:rFonts w:hint="eastAsia" w:ascii="宋体" w:hAnsi="宋体" w:cs="宋体"/>
                <w:color w:val="auto"/>
                <w:sz w:val="21"/>
                <w:szCs w:val="21"/>
                <w:highlight w:val="none"/>
                <w:lang w:eastAsia="zh" w:bidi="ar"/>
              </w:rPr>
              <w:t>《公路工程无机结合料稳定材料试验规程》JTG 3441-2024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击实仪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圆孔筛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方孔筛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脱模器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粗粒土和巨粒土最大干密度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表面振动压实仪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电子秤</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试验筛（圆孔筛）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深度仪</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钢尺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承载比（CBR）试验</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标准击实仪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圆孔筛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路面材料强度仪</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压力试验机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百分表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膨胀量测定设备</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电子秤</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台秤</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击实仪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脱模器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无侧限抗压强度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路面强度试验仪</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压力机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标准养护室</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重塑筒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百分表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钢</w:t>
            </w:r>
            <w:r>
              <w:rPr>
                <w:rFonts w:hint="eastAsia" w:ascii="宋体" w:hAnsi="宋体" w:cs="宋体"/>
                <w:color w:val="auto"/>
                <w:kern w:val="0"/>
                <w:szCs w:val="21"/>
                <w:highlight w:val="none"/>
                <w:lang w:bidi="ar"/>
              </w:rPr>
              <w:t>直尺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位移传感器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位移计</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百分表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水泥或石灰剂量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酸式滴定管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《公路工程无机结合料稳定材料试验规程》JTG 3441-2024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容量瓶</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塑性指数*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液塑限联合测定仪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不均匀系数*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0.6mm以下颗粒含量*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颗粒分析*</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color w:val="auto"/>
                <w:kern w:val="0"/>
                <w:szCs w:val="21"/>
                <w:highlight w:val="none"/>
              </w:rPr>
            </w:pPr>
          </w:p>
          <w:p>
            <w:pPr>
              <w:widowControl/>
              <w:jc w:val="center"/>
              <w:textAlignment w:val="center"/>
              <w:rPr>
                <w:rFonts w:hint="eastAsia"/>
                <w:color w:val="auto"/>
                <w:kern w:val="0"/>
                <w:szCs w:val="21"/>
                <w:highlight w:val="none"/>
              </w:rPr>
            </w:pPr>
            <w:r>
              <w:rPr>
                <w:rFonts w:hint="eastAsia"/>
                <w:color w:val="auto"/>
                <w:kern w:val="0"/>
                <w:szCs w:val="21"/>
                <w:highlight w:val="none"/>
              </w:rPr>
              <w:t>筛分法</w:t>
            </w:r>
          </w:p>
          <w:p>
            <w:pPr>
              <w:widowControl/>
              <w:jc w:val="center"/>
              <w:textAlignment w:val="center"/>
              <w:rPr>
                <w:rFonts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甲种密度计</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乙种密度计</w:t>
            </w:r>
          </w:p>
        </w:tc>
        <w:tc>
          <w:tcPr>
            <w:tcW w:w="2676" w:type="dxa"/>
            <w:noWrap w:val="0"/>
            <w:vAlign w:val="center"/>
          </w:tcPr>
          <w:p>
            <w:pPr>
              <w:widowControl/>
              <w:jc w:val="center"/>
              <w:textAlignment w:val="center"/>
              <w:rPr>
                <w:rFonts w:hint="eastAsia"/>
                <w:color w:val="auto"/>
                <w:kern w:val="0"/>
                <w:szCs w:val="21"/>
                <w:highlight w:val="none"/>
              </w:rPr>
            </w:pPr>
            <w:r>
              <w:rPr>
                <w:rFonts w:hint="eastAsia"/>
                <w:color w:val="auto"/>
                <w:kern w:val="0"/>
                <w:szCs w:val="21"/>
                <w:highlight w:val="none"/>
              </w:rPr>
              <w:t>密度计法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jc w:val="center"/>
              <w:rPr>
                <w:rFonts w:ascii="宋体" w:hAnsi="宋体" w:cs="宋体"/>
                <w:color w:val="auto"/>
                <w:szCs w:val="21"/>
                <w:highlight w:val="none"/>
              </w:rPr>
            </w:pPr>
            <w:r>
              <w:rPr>
                <w:rFonts w:hint="eastAsia"/>
                <w:color w:val="auto"/>
                <w:kern w:val="0"/>
                <w:szCs w:val="21"/>
                <w:highlight w:val="none"/>
              </w:rPr>
              <w:t>移液管法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电热板</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电沙浴</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移液管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有机质含量*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油浴锅（带铁丝笼）</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电炉（附自动控温调节器）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酸式滴定管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易溶盐含量*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水浴锅</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《公路土工试验规程》JTG 3430-2020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2</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土工合成材料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拉伸强度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拉伸试验机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bidi="ar"/>
              </w:rPr>
              <w:t>《</w:t>
            </w:r>
            <w:r>
              <w:rPr>
                <w:rFonts w:hint="eastAsia" w:ascii="宋体" w:hAnsi="宋体" w:eastAsia="宋体" w:cs="宋体"/>
                <w:color w:val="auto"/>
                <w:kern w:val="0"/>
                <w:szCs w:val="21"/>
                <w:highlight w:val="none"/>
                <w:lang w:bidi="ar"/>
              </w:rPr>
              <w:t>土工合成材料 宽条拉伸试验方法》</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15788-2017</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《玻璃纤维土工格栅》</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21825-2008</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《塑料 拉伸性能的测定 第1部分：总则》</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1040.1-2018</w:t>
            </w:r>
          </w:p>
          <w:p>
            <w:pPr>
              <w:widowControl/>
              <w:jc w:val="both"/>
              <w:textAlignment w:val="top"/>
              <w:rPr>
                <w:rFonts w:hint="eastAsia" w:ascii="宋体" w:hAnsi="宋体" w:eastAsia="宋体" w:cs="宋体"/>
                <w:color w:val="auto"/>
                <w:kern w:val="0"/>
                <w:szCs w:val="21"/>
                <w:highlight w:val="none"/>
                <w:lang w:eastAsia="zh"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 w:bidi="ar"/>
              </w:rPr>
              <w:t>塑料 拉伸性能的测定 第2部分：模塑和挤塑塑料的试验条件</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eastAsia="zh" w:bidi="ar"/>
              </w:rPr>
              <w:t xml:space="preserve"> 1040.2-2022</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《塑料 拉伸性能的测定 第3部分：薄膜和薄片的试验条件》</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1040.3-2006</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《公路工程土工合成材料 第1部分：土工格栅》</w:t>
            </w:r>
            <w:r>
              <w:rPr>
                <w:rFonts w:hint="eastAsia" w:ascii="宋体" w:hAnsi="宋体" w:eastAsia="宋体" w:cs="宋体"/>
                <w:color w:val="auto"/>
                <w:kern w:val="0"/>
                <w:szCs w:val="21"/>
                <w:highlight w:val="none"/>
                <w:lang w:eastAsia="zh-CN" w:bidi="ar"/>
              </w:rPr>
              <w:t>JT/T</w:t>
            </w:r>
            <w:r>
              <w:rPr>
                <w:rFonts w:hint="eastAsia" w:ascii="宋体" w:hAnsi="宋体" w:eastAsia="宋体" w:cs="宋体"/>
                <w:color w:val="auto"/>
                <w:kern w:val="0"/>
                <w:szCs w:val="21"/>
                <w:highlight w:val="none"/>
                <w:lang w:bidi="ar"/>
              </w:rPr>
              <w:t xml:space="preserve"> 1432.1-202</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《土工合成材料 接头接缝宽条拉伸试验方法》</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16989-2013</w:t>
            </w:r>
          </w:p>
          <w:p>
            <w:pPr>
              <w:pStyle w:val="2"/>
              <w:jc w:val="both"/>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延伸率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拉伸试验机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bidi="ar"/>
              </w:rPr>
              <w:t>《土工合成材料 宽条拉伸试验方法》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t>15788-2017</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《玻璃纤维土工格栅》</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21825-2008</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《塑料 拉伸性能的测定 第1部分：总则》</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1040.1-2018</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《塑料 拉伸性能的测定 第3部分：薄膜和薄片的试验条件》</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1040.3-2006</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《塑料 拉伸性能的测定 第2部分：模塑和挤塑塑料的试验条件》</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1040.2-2022</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《土工合成材料 塑料土工格栅》</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17689-2008</w:t>
            </w:r>
          </w:p>
          <w:p>
            <w:pPr>
              <w:widowControl/>
              <w:jc w:val="both"/>
              <w:textAlignment w:val="top"/>
              <w:rPr>
                <w:rFonts w:ascii="宋体" w:hAnsi="宋体" w:cs="宋体"/>
                <w:color w:val="auto"/>
                <w:szCs w:val="21"/>
                <w:highlight w:val="none"/>
              </w:rPr>
            </w:pPr>
            <w:r>
              <w:rPr>
                <w:rFonts w:hint="eastAsia" w:ascii="宋体" w:hAnsi="宋体" w:eastAsia="宋体" w:cs="宋体"/>
                <w:color w:val="auto"/>
                <w:kern w:val="0"/>
                <w:szCs w:val="21"/>
                <w:highlight w:val="none"/>
                <w:lang w:bidi="ar"/>
              </w:rPr>
              <w:t>《公路工程土工合成材料 第1部分：土工格栅》</w:t>
            </w:r>
            <w:r>
              <w:rPr>
                <w:rFonts w:hint="eastAsia" w:ascii="宋体" w:hAnsi="宋体" w:eastAsia="宋体" w:cs="宋体"/>
                <w:color w:val="auto"/>
                <w:kern w:val="0"/>
                <w:szCs w:val="21"/>
                <w:highlight w:val="none"/>
                <w:lang w:eastAsia="zh-CN" w:bidi="ar"/>
              </w:rPr>
              <w:t>JT/T</w:t>
            </w:r>
            <w:r>
              <w:rPr>
                <w:rFonts w:hint="eastAsia" w:ascii="宋体" w:hAnsi="宋体" w:eastAsia="宋体" w:cs="宋体"/>
                <w:color w:val="auto"/>
                <w:kern w:val="0"/>
                <w:szCs w:val="21"/>
                <w:highlight w:val="none"/>
                <w:lang w:bidi="ar"/>
              </w:rPr>
              <w:t xml:space="preserve"> 1432.1-2022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引伸计</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伸长计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梯形撕裂强度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微机控制电子万能试验机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《土工合成材料 梯形法撕破强力的测定》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13763-2010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CBR顶破强力</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微机控制电子万能试验机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《土工合成材料 静态顶破试验（CBR法）》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14800-2010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顶破夹具</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顶压杆</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厚度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测厚仪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《土工合成材料 规定压力下厚度的测定 第1部分：单层产品》</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13761.1-2022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《塑料薄膜和薄片 厚度测定 机械测量法》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6672-2001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单位面积质量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《土工合成材料 土工布及土工布有关产品单位面积质量的测定方法》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13762-2009</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《公路工程土工合成材料 第1部分：土工格栅》</w:t>
            </w:r>
            <w:r>
              <w:rPr>
                <w:rFonts w:hint="eastAsia" w:ascii="宋体" w:hAnsi="宋体" w:cs="宋体"/>
                <w:color w:val="auto"/>
                <w:kern w:val="0"/>
                <w:szCs w:val="21"/>
                <w:highlight w:val="none"/>
                <w:lang w:eastAsia="zh-CN" w:bidi="ar"/>
              </w:rPr>
              <w:t>JT/T</w:t>
            </w:r>
            <w:r>
              <w:rPr>
                <w:rFonts w:hint="eastAsia" w:ascii="宋体" w:hAnsi="宋体" w:cs="宋体"/>
                <w:color w:val="auto"/>
                <w:kern w:val="0"/>
                <w:szCs w:val="21"/>
                <w:highlight w:val="none"/>
                <w:lang w:bidi="ar"/>
              </w:rPr>
              <w:t xml:space="preserve"> 1432.1-2022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游标卡尺</w:t>
            </w:r>
            <w:r>
              <w:rPr>
                <w:rFonts w:hint="eastAsia" w:ascii="宋体" w:hAnsi="宋体" w:cs="宋体"/>
                <w:color w:val="auto"/>
                <w:kern w:val="0"/>
                <w:szCs w:val="21"/>
                <w:highlight w:val="none"/>
                <w:lang w:val="en-US" w:eastAsia="zh-CN" w:bidi="ar"/>
              </w:rPr>
              <w:t>/</w:t>
            </w:r>
            <w:r>
              <w:rPr>
                <w:rFonts w:ascii="宋体" w:hAnsi="宋体" w:cs="宋体"/>
                <w:color w:val="auto"/>
                <w:kern w:val="0"/>
                <w:szCs w:val="21"/>
                <w:highlight w:val="none"/>
                <w:lang w:bidi="ar"/>
              </w:rPr>
              <w:t>钢尺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垂直渗透系数*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渗透仪</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恒水头法</w:t>
            </w: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《土工布及其有关产品　无负荷时垂直渗透特性的测定》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15789-2016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 w:bidi="ar"/>
              </w:rPr>
              <w:t>溶解氧的测定仪器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eastAsia="zh" w:bidi="ar"/>
              </w:rPr>
              <w:t>仪表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刺破强力*</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微机控制电子万能试验机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《土工合成材料 聚乙烯土工膜》</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17643-2011</w:t>
            </w:r>
          </w:p>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《土工布及其有关产品 刺破强力的测定》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19978-2005</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eastAsia="zh" w:bidi="ar"/>
              </w:rPr>
              <w:t>《垃圾填埋场用高密度聚乙烯土工膜》</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eastAsia="zh" w:bidi="ar"/>
              </w:rPr>
              <w:t xml:space="preserve">  234-2006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环形夹具</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平头顶杆</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3</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掺合料（粉煤灰、钢渣）</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SiO</w:t>
            </w:r>
            <w:r>
              <w:rPr>
                <w:rStyle w:val="41"/>
                <w:rFonts w:hint="eastAsia" w:ascii="宋体" w:hAnsi="宋体" w:cs="宋体"/>
                <w:color w:val="auto"/>
                <w:sz w:val="21"/>
                <w:szCs w:val="21"/>
                <w:highlight w:val="none"/>
                <w:lang w:bidi="ar"/>
              </w:rPr>
              <w:t>2</w:t>
            </w:r>
            <w:r>
              <w:rPr>
                <w:rFonts w:hint="eastAsia" w:ascii="宋体" w:hAnsi="宋体" w:cs="宋体"/>
                <w:color w:val="auto"/>
                <w:kern w:val="0"/>
                <w:szCs w:val="21"/>
                <w:highlight w:val="none"/>
                <w:lang w:bidi="ar"/>
              </w:rPr>
              <w:t>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氟硅酸钾容量法</w:t>
            </w: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铂坩埚</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瓷蒸发皿</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沸水浴</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玻璃容量器皿</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高温炉</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氯化铵重量法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瓷蒸发皿</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分光光度计（带10mm、20mm比色皿）</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干燥箱</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Al</w:t>
            </w:r>
            <w:r>
              <w:rPr>
                <w:rStyle w:val="41"/>
                <w:rFonts w:hint="eastAsia" w:ascii="宋体" w:hAnsi="宋体" w:cs="宋体"/>
                <w:color w:val="auto"/>
                <w:sz w:val="21"/>
                <w:szCs w:val="21"/>
                <w:highlight w:val="none"/>
                <w:lang w:bidi="ar"/>
              </w:rPr>
              <w:t>2</w:t>
            </w:r>
            <w:r>
              <w:rPr>
                <w:rFonts w:hint="eastAsia" w:ascii="宋体" w:hAnsi="宋体" w:cs="宋体"/>
                <w:color w:val="auto"/>
                <w:kern w:val="0"/>
                <w:szCs w:val="21"/>
                <w:highlight w:val="none"/>
                <w:lang w:bidi="ar"/>
              </w:rPr>
              <w:t>O</w:t>
            </w:r>
            <w:r>
              <w:rPr>
                <w:rStyle w:val="41"/>
                <w:rFonts w:hint="eastAsia" w:ascii="宋体" w:hAnsi="宋体" w:cs="宋体"/>
                <w:color w:val="auto"/>
                <w:sz w:val="21"/>
                <w:szCs w:val="21"/>
                <w:highlight w:val="none"/>
                <w:lang w:bidi="ar"/>
              </w:rPr>
              <w:t>3</w:t>
            </w:r>
            <w:r>
              <w:rPr>
                <w:rFonts w:hint="eastAsia" w:ascii="宋体" w:hAnsi="宋体" w:cs="宋体"/>
                <w:color w:val="auto"/>
                <w:kern w:val="0"/>
                <w:szCs w:val="21"/>
                <w:highlight w:val="none"/>
                <w:lang w:bidi="ar"/>
              </w:rPr>
              <w:t>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EDTA滴定法</w:t>
            </w: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铂坩埚（带盖）</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瓷蒸发皿</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沸水浴</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玻璃容量器皿（滴定管、容量瓶、移液管）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高温炉</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Fe</w:t>
            </w:r>
            <w:r>
              <w:rPr>
                <w:rStyle w:val="41"/>
                <w:rFonts w:hint="eastAsia" w:ascii="宋体" w:hAnsi="宋体" w:cs="宋体"/>
                <w:color w:val="auto"/>
                <w:sz w:val="21"/>
                <w:szCs w:val="21"/>
                <w:highlight w:val="none"/>
                <w:lang w:bidi="ar"/>
              </w:rPr>
              <w:t>2</w:t>
            </w:r>
            <w:r>
              <w:rPr>
                <w:rFonts w:hint="eastAsia" w:ascii="宋体" w:hAnsi="宋体" w:cs="宋体"/>
                <w:color w:val="auto"/>
                <w:kern w:val="0"/>
                <w:szCs w:val="21"/>
                <w:highlight w:val="none"/>
                <w:lang w:bidi="ar"/>
              </w:rPr>
              <w:t>O</w:t>
            </w:r>
            <w:r>
              <w:rPr>
                <w:rStyle w:val="41"/>
                <w:rFonts w:hint="eastAsia" w:ascii="宋体" w:hAnsi="宋体" w:cs="宋体"/>
                <w:color w:val="auto"/>
                <w:sz w:val="21"/>
                <w:szCs w:val="21"/>
                <w:highlight w:val="none"/>
                <w:lang w:bidi="ar"/>
              </w:rPr>
              <w:t>3</w:t>
            </w:r>
            <w:r>
              <w:rPr>
                <w:rFonts w:hint="eastAsia" w:ascii="宋体" w:hAnsi="宋体" w:cs="宋体"/>
                <w:color w:val="auto"/>
                <w:kern w:val="0"/>
                <w:szCs w:val="21"/>
                <w:highlight w:val="none"/>
                <w:lang w:bidi="ar"/>
              </w:rPr>
              <w:t>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eastAsia="宋体" w:cs="宋体"/>
                <w:color w:val="auto"/>
                <w:kern w:val="0"/>
                <w:szCs w:val="21"/>
                <w:highlight w:val="none"/>
                <w:lang w:bidi="ar"/>
              </w:rPr>
              <w:t>《水泥化学分析方法》</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铂坩埚</w:t>
            </w:r>
          </w:p>
        </w:tc>
        <w:tc>
          <w:tcPr>
            <w:tcW w:w="2676" w:type="dxa"/>
            <w:vMerge w:val="restart"/>
            <w:tcBorders>
              <w:top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EDTA滴定法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瓷蒸发皿</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沸水浴</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玻璃容量器皿（滴定管、容量瓶、移液管）</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高温炉</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邻菲罗啉分光光度法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银坩埚</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瓷蒸发皿</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分光光度计（带10mm、20mm比色皿）</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烧失量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3441-2024（粉煤灰烧失量测定方法T 0817-2009）</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马弗炉</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《水泥细度检验方法 筛析法》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1345-2005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方孔筛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负压筛析仪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比表面积</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勃氏比表面积透气仪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《水泥比表面积测定方法 勃氏法》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8074-2008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秒表（非自动仪器）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游离氧化钙含量*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游离氧化钙测定仪</w:t>
            </w:r>
          </w:p>
        </w:tc>
        <w:tc>
          <w:tcPr>
            <w:tcW w:w="2676" w:type="dxa"/>
            <w:vMerge w:val="restart"/>
            <w:noWrap w:val="0"/>
            <w:vAlign w:val="center"/>
          </w:tcPr>
          <w:p>
            <w:pPr>
              <w:widowControl/>
              <w:jc w:val="center"/>
              <w:textAlignment w:val="center"/>
              <w:rPr>
                <w:rFonts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《钢渣中游离氧化钙含量测定方法》YBT 4328-2012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玻璃容量器皿（滴定管、容量瓶、移液管）</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玻璃砂芯漏斗</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快速定量滤纸</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粉化率*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压蒸釜</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《钢渣稳定性试验方法》</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24175-2009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压蒸屉</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压碎值*</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石料压碎指标测定仪（含金属筒）</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《公路工程集料试验规程》</w:t>
            </w:r>
          </w:p>
          <w:p>
            <w:pPr>
              <w:widowControl/>
              <w:jc w:val="both"/>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方孔筛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颗粒组成*</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《公路工程集料试验规程》</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台秤</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4</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沥青及乳化沥青（沥青）</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针入度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针入度仪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恒温水浴</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软化点</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软化点试验仪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延度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延度仪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质量变化</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薄膜加热烘箱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旋转薄膜烘箱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残留针入度比</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针入度仪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恒温水浴</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薄膜加热烘箱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旋转薄膜烘箱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残留延度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延度仪</w:t>
            </w:r>
          </w:p>
        </w:tc>
        <w:tc>
          <w:tcPr>
            <w:tcW w:w="2676" w:type="dxa"/>
            <w:vMerge w:val="restart"/>
            <w:noWrap w:val="0"/>
            <w:vAlign w:val="center"/>
          </w:tcPr>
          <w:p>
            <w:pPr>
              <w:widowControl/>
              <w:jc w:val="center"/>
              <w:textAlignment w:val="center"/>
              <w:rPr>
                <w:rFonts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薄膜加热烘箱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旋转薄膜烘箱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弹性恢复</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延度仪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bidi="ar"/>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bidi="ar"/>
              </w:rPr>
              <w:t>温度计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pStyle w:val="2"/>
              <w:ind w:firstLine="420" w:firstLineChars="200"/>
              <w:jc w:val="center"/>
              <w:rPr>
                <w:color w:val="auto"/>
                <w:sz w:val="21"/>
                <w:szCs w:val="21"/>
                <w:highlight w:val="none"/>
              </w:rPr>
            </w:pPr>
          </w:p>
        </w:tc>
        <w:tc>
          <w:tcPr>
            <w:tcW w:w="952" w:type="dxa"/>
            <w:vMerge w:val="continue"/>
            <w:noWrap w:val="0"/>
            <w:vAlign w:val="center"/>
          </w:tcPr>
          <w:p>
            <w:pPr>
              <w:pStyle w:val="2"/>
              <w:ind w:firstLine="420" w:firstLineChars="200"/>
              <w:jc w:val="center"/>
              <w:rPr>
                <w:color w:val="auto"/>
                <w:sz w:val="21"/>
                <w:szCs w:val="21"/>
                <w:highlight w:val="none"/>
              </w:rPr>
            </w:pPr>
          </w:p>
        </w:tc>
        <w:tc>
          <w:tcPr>
            <w:tcW w:w="855" w:type="dxa"/>
            <w:vMerge w:val="continue"/>
            <w:noWrap w:val="0"/>
            <w:vAlign w:val="center"/>
          </w:tcPr>
          <w:p>
            <w:pPr>
              <w:pStyle w:val="2"/>
              <w:ind w:firstLine="420" w:firstLineChars="200"/>
              <w:jc w:val="center"/>
              <w:rPr>
                <w:color w:val="auto"/>
                <w:sz w:val="21"/>
                <w:szCs w:val="21"/>
                <w:highlight w:val="none"/>
              </w:rPr>
            </w:pPr>
          </w:p>
        </w:tc>
        <w:tc>
          <w:tcPr>
            <w:tcW w:w="1483" w:type="dxa"/>
            <w:vMerge w:val="continue"/>
            <w:noWrap w:val="0"/>
            <w:vAlign w:val="center"/>
          </w:tcPr>
          <w:p>
            <w:pPr>
              <w:pStyle w:val="2"/>
              <w:ind w:firstLine="420" w:firstLineChars="200"/>
              <w:jc w:val="center"/>
              <w:rPr>
                <w:color w:val="auto"/>
                <w:sz w:val="21"/>
                <w:szCs w:val="21"/>
                <w:highlight w:val="none"/>
              </w:rPr>
            </w:pPr>
          </w:p>
        </w:tc>
        <w:tc>
          <w:tcPr>
            <w:tcW w:w="2834" w:type="dxa"/>
            <w:noWrap w:val="0"/>
            <w:vAlign w:val="center"/>
          </w:tcPr>
          <w:p>
            <w:pPr>
              <w:pStyle w:val="2"/>
              <w:ind w:firstLine="420" w:firstLineChars="20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钢直尺</w:t>
            </w:r>
          </w:p>
        </w:tc>
        <w:tc>
          <w:tcPr>
            <w:tcW w:w="2676" w:type="dxa"/>
            <w:vMerge w:val="continue"/>
            <w:noWrap w:val="0"/>
            <w:vAlign w:val="center"/>
          </w:tcPr>
          <w:p>
            <w:pPr>
              <w:pStyle w:val="2"/>
              <w:ind w:firstLine="420" w:firstLineChars="200"/>
              <w:jc w:val="center"/>
              <w:rPr>
                <w:rFonts w:hint="eastAsia" w:ascii="宋体" w:hAnsi="宋体" w:cs="宋体"/>
                <w:color w:val="auto"/>
                <w:sz w:val="21"/>
                <w:szCs w:val="21"/>
                <w:highlight w:val="none"/>
                <w:lang w:bidi="ar"/>
              </w:rPr>
            </w:pPr>
          </w:p>
        </w:tc>
        <w:tc>
          <w:tcPr>
            <w:tcW w:w="4466" w:type="dxa"/>
            <w:vMerge w:val="continue"/>
            <w:noWrap w:val="0"/>
            <w:vAlign w:val="center"/>
          </w:tcPr>
          <w:p>
            <w:pPr>
              <w:pStyle w:val="2"/>
              <w:ind w:firstLine="420" w:firstLineChars="200"/>
              <w:jc w:val="both"/>
              <w:rPr>
                <w:rFonts w:hint="eastAsia" w:ascii="宋体" w:hAnsi="宋体" w:cs="宋体"/>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破乳速度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拌和锅</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pStyle w:val="2"/>
              <w:ind w:firstLine="420" w:firstLineChars="200"/>
              <w:jc w:val="center"/>
              <w:rPr>
                <w:color w:val="auto"/>
                <w:sz w:val="21"/>
                <w:szCs w:val="21"/>
                <w:highlight w:val="none"/>
              </w:rPr>
            </w:pPr>
          </w:p>
        </w:tc>
        <w:tc>
          <w:tcPr>
            <w:tcW w:w="952" w:type="dxa"/>
            <w:vMerge w:val="continue"/>
            <w:noWrap w:val="0"/>
            <w:vAlign w:val="center"/>
          </w:tcPr>
          <w:p>
            <w:pPr>
              <w:pStyle w:val="2"/>
              <w:ind w:firstLine="420" w:firstLineChars="200"/>
              <w:jc w:val="center"/>
              <w:rPr>
                <w:color w:val="auto"/>
                <w:sz w:val="21"/>
                <w:szCs w:val="21"/>
                <w:highlight w:val="none"/>
              </w:rPr>
            </w:pPr>
          </w:p>
        </w:tc>
        <w:tc>
          <w:tcPr>
            <w:tcW w:w="855" w:type="dxa"/>
            <w:vMerge w:val="continue"/>
            <w:noWrap w:val="0"/>
            <w:vAlign w:val="center"/>
          </w:tcPr>
          <w:p>
            <w:pPr>
              <w:pStyle w:val="2"/>
              <w:ind w:firstLine="420" w:firstLineChars="200"/>
              <w:jc w:val="center"/>
              <w:rPr>
                <w:color w:val="auto"/>
                <w:sz w:val="21"/>
                <w:szCs w:val="21"/>
                <w:highlight w:val="none"/>
              </w:rPr>
            </w:pPr>
          </w:p>
        </w:tc>
        <w:tc>
          <w:tcPr>
            <w:tcW w:w="1483" w:type="dxa"/>
            <w:vMerge w:val="continue"/>
            <w:noWrap w:val="0"/>
            <w:vAlign w:val="center"/>
          </w:tcPr>
          <w:p>
            <w:pPr>
              <w:pStyle w:val="2"/>
              <w:ind w:firstLine="420" w:firstLineChars="200"/>
              <w:jc w:val="center"/>
              <w:rPr>
                <w:color w:val="auto"/>
                <w:sz w:val="21"/>
                <w:szCs w:val="21"/>
                <w:highlight w:val="none"/>
              </w:rPr>
            </w:pPr>
          </w:p>
        </w:tc>
        <w:tc>
          <w:tcPr>
            <w:tcW w:w="2834" w:type="dxa"/>
            <w:noWrap w:val="0"/>
            <w:vAlign w:val="center"/>
          </w:tcPr>
          <w:p>
            <w:pPr>
              <w:pStyle w:val="2"/>
              <w:ind w:firstLine="1050" w:firstLineChars="500"/>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计时器</w:t>
            </w:r>
          </w:p>
        </w:tc>
        <w:tc>
          <w:tcPr>
            <w:tcW w:w="2676" w:type="dxa"/>
            <w:vMerge w:val="continue"/>
            <w:noWrap w:val="0"/>
            <w:vAlign w:val="center"/>
          </w:tcPr>
          <w:p>
            <w:pPr>
              <w:pStyle w:val="2"/>
              <w:ind w:firstLine="420" w:firstLineChars="200"/>
              <w:jc w:val="center"/>
              <w:rPr>
                <w:rFonts w:hint="eastAsia" w:ascii="宋体" w:hAnsi="宋体" w:cs="宋体"/>
                <w:color w:val="auto"/>
                <w:sz w:val="21"/>
                <w:szCs w:val="21"/>
                <w:highlight w:val="none"/>
                <w:lang w:bidi="ar"/>
              </w:rPr>
            </w:pPr>
          </w:p>
        </w:tc>
        <w:tc>
          <w:tcPr>
            <w:tcW w:w="4466" w:type="dxa"/>
            <w:vMerge w:val="continue"/>
            <w:noWrap w:val="0"/>
            <w:vAlign w:val="center"/>
          </w:tcPr>
          <w:p>
            <w:pPr>
              <w:pStyle w:val="2"/>
              <w:ind w:firstLine="420" w:firstLineChars="200"/>
              <w:jc w:val="both"/>
              <w:rPr>
                <w:rFonts w:hint="eastAsia" w:ascii="宋体" w:hAnsi="宋体" w:cs="宋体"/>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标准黏度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道路沥青标准黏度计（含循环恒温水槽）</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蒸发残留物</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烘箱</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运动黏度*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沥青运动黏度计</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恒温水槽</w:t>
            </w:r>
          </w:p>
        </w:tc>
        <w:tc>
          <w:tcPr>
            <w:tcW w:w="2676" w:type="dxa"/>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top"/>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烘箱</w:t>
            </w:r>
          </w:p>
        </w:tc>
        <w:tc>
          <w:tcPr>
            <w:tcW w:w="2676" w:type="dxa"/>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top"/>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4.12</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布氏旋转黏度*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布洛克菲尔德黏度计</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4.13</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针入度指数*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针入度仪</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蜡含量*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沥青蜡含量试验仪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bidi="ar"/>
              </w:rPr>
              <w:t>温度计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jc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真空干燥箱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闪点*</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克利夫兰开口杯闪点仪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温度计（非自动仪器）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动力黏度*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真空减压毛细管黏度计（含真空减压系统）</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溶解度*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古氏坩埚</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比重瓶</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粒子电荷*</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乳化沥青粒子电荷试验装置</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秒表</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1.18mm筛筛上残留物*</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恩格拉黏度*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恩格拉黏度计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温度计（非自动仪器）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秒表（非自动仪器）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与粗集料的粘附性*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5</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沥青混合料用粗集料、细集料、矿粉、木质素纤维（粗集料）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压碎值</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石料压碎值试验仪（含金属筒）</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洛杉矶磨耗损失</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洛杉矶磨耗试验机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表观相对密度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烘箱</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沥青黏附性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恒温水槽</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颗粒级配</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坚固性*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三角网篮（坚固性网篮）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软弱颗粒或软石含量*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软弱颗粒含量试验仪</w:t>
            </w:r>
            <w:r>
              <w:rPr>
                <w:rFonts w:hint="eastAsia" w:ascii="宋体" w:hAnsi="宋体" w:cs="宋体"/>
                <w:color w:val="auto"/>
                <w:kern w:val="0"/>
                <w:szCs w:val="21"/>
                <w:highlight w:val="none"/>
                <w:lang w:val="en-US" w:eastAsia="zh-CN" w:bidi="ar"/>
              </w:rPr>
              <w:t>/</w:t>
            </w:r>
            <w:r>
              <w:rPr>
                <w:rFonts w:ascii="宋体" w:hAnsi="宋体" w:cs="宋体"/>
                <w:color w:val="auto"/>
                <w:kern w:val="0"/>
                <w:szCs w:val="21"/>
                <w:highlight w:val="none"/>
                <w:lang w:bidi="ar"/>
              </w:rPr>
              <w:t>压力机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磨光值*</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加速磨光试验机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摆式摩擦系数测定仪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针片状颗粒含量*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针片状规准仪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&lt;0.075mm颗粒含量*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沥青混合料用粗集料、细集料、矿粉、木质素纤维（细集料）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表观相对密度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容量瓶</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砂当量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细集料砂当量试验装置</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钢直尺</w:t>
            </w:r>
          </w:p>
          <w:p>
            <w:pPr>
              <w:pStyle w:val="2"/>
              <w:jc w:val="center"/>
              <w:rPr>
                <w:color w:val="auto"/>
                <w:sz w:val="21"/>
                <w:szCs w:val="21"/>
                <w:highlight w:val="none"/>
              </w:rPr>
            </w:pPr>
            <w:r>
              <w:rPr>
                <w:rFonts w:hint="eastAsia" w:ascii="宋体" w:hAnsi="宋体" w:cs="宋体"/>
                <w:color w:val="auto"/>
                <w:sz w:val="21"/>
                <w:szCs w:val="21"/>
                <w:highlight w:val="none"/>
                <w:lang w:bidi="ar"/>
              </w:rPr>
              <w:t>秒表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颗粒级配</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棱角性*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细集料棱角性测定仪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细集料流动时间测定仪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坚固性*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三脚网篮（坚固性网篮）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含泥量*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亚甲蓝值*</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叶轮搅拌机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沥青混合料用粗集料、细集料、矿粉、木质素纤维（矿粉）</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表观相对密度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李氏比重瓶</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3432-2024（矿粉密度试验T 0352-2000)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亲水系数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3432-2024（矿粉亲水系数试验T 0353-2000)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5.21</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塑性指数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液塑限联合测定仪</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《公路工程集料试验规程》JTG 3432-2024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《公路土工试验规程》JTG 3430-2020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加热安定性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电炉</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筛分</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《公路工程集料试验规程》JTG 3432-2024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jc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《公路土工试验规程》JTG 3430-2020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沥青混合料用粗集料、细集料、矿粉、木质素纤维（木质素纤维）</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长度</w:t>
            </w:r>
          </w:p>
        </w:tc>
        <w:tc>
          <w:tcPr>
            <w:tcW w:w="2834"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纤维图像分析仪（絮状）</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《沥青路面用纤维》</w:t>
            </w:r>
            <w:r>
              <w:rPr>
                <w:rFonts w:hint="eastAsia" w:ascii="宋体" w:hAnsi="宋体" w:cs="宋体"/>
                <w:color w:val="auto"/>
                <w:kern w:val="0"/>
                <w:szCs w:val="21"/>
                <w:highlight w:val="none"/>
                <w:lang w:eastAsia="zh-CN" w:bidi="ar"/>
              </w:rPr>
              <w:t>JT/T</w:t>
            </w:r>
            <w:r>
              <w:rPr>
                <w:rFonts w:hint="eastAsia" w:ascii="宋体" w:hAnsi="宋体" w:cs="宋体"/>
                <w:color w:val="auto"/>
                <w:kern w:val="0"/>
                <w:szCs w:val="21"/>
                <w:highlight w:val="none"/>
                <w:lang w:bidi="ar"/>
              </w:rPr>
              <w:t>533-2020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《公路沥青路面施工技术规范》JTG F40-2004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jc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游标卡尺（粒状）</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pStyle w:val="2"/>
              <w:jc w:val="center"/>
              <w:rPr>
                <w:color w:val="auto"/>
                <w:sz w:val="21"/>
                <w:szCs w:val="21"/>
                <w:highlight w:val="none"/>
              </w:rPr>
            </w:pPr>
          </w:p>
        </w:tc>
        <w:tc>
          <w:tcPr>
            <w:tcW w:w="952" w:type="dxa"/>
            <w:vMerge w:val="continue"/>
            <w:noWrap w:val="0"/>
            <w:vAlign w:val="center"/>
          </w:tcPr>
          <w:p>
            <w:pPr>
              <w:pStyle w:val="2"/>
              <w:jc w:val="center"/>
              <w:rPr>
                <w:color w:val="auto"/>
                <w:sz w:val="21"/>
                <w:szCs w:val="21"/>
                <w:highlight w:val="none"/>
              </w:rPr>
            </w:pPr>
          </w:p>
        </w:tc>
        <w:tc>
          <w:tcPr>
            <w:tcW w:w="855" w:type="dxa"/>
            <w:vMerge w:val="continue"/>
            <w:noWrap w:val="0"/>
            <w:vAlign w:val="center"/>
          </w:tcPr>
          <w:p>
            <w:pPr>
              <w:pStyle w:val="2"/>
              <w:jc w:val="center"/>
              <w:rPr>
                <w:color w:val="auto"/>
                <w:sz w:val="21"/>
                <w:szCs w:val="21"/>
                <w:highlight w:val="none"/>
              </w:rPr>
            </w:pPr>
          </w:p>
        </w:tc>
        <w:tc>
          <w:tcPr>
            <w:tcW w:w="1483" w:type="dxa"/>
            <w:vMerge w:val="continue"/>
            <w:noWrap w:val="0"/>
            <w:vAlign w:val="center"/>
          </w:tcPr>
          <w:p>
            <w:pPr>
              <w:pStyle w:val="2"/>
              <w:jc w:val="center"/>
              <w:rPr>
                <w:color w:val="auto"/>
                <w:sz w:val="21"/>
                <w:szCs w:val="21"/>
                <w:highlight w:val="none"/>
              </w:rPr>
            </w:pPr>
          </w:p>
        </w:tc>
        <w:tc>
          <w:tcPr>
            <w:tcW w:w="2834" w:type="dxa"/>
            <w:noWrap w:val="0"/>
            <w:vAlign w:val="center"/>
          </w:tcPr>
          <w:p>
            <w:pPr>
              <w:pStyle w:val="2"/>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钢直尺（束状）</w:t>
            </w:r>
          </w:p>
        </w:tc>
        <w:tc>
          <w:tcPr>
            <w:tcW w:w="2676" w:type="dxa"/>
            <w:vMerge w:val="continue"/>
            <w:noWrap w:val="0"/>
            <w:vAlign w:val="center"/>
          </w:tcPr>
          <w:p>
            <w:pPr>
              <w:pStyle w:val="2"/>
              <w:jc w:val="center"/>
              <w:rPr>
                <w:rFonts w:hint="eastAsia" w:ascii="宋体" w:hAnsi="宋体" w:cs="宋体"/>
                <w:color w:val="auto"/>
                <w:sz w:val="21"/>
                <w:szCs w:val="21"/>
                <w:highlight w:val="none"/>
                <w:lang w:bidi="ar"/>
              </w:rPr>
            </w:pPr>
          </w:p>
        </w:tc>
        <w:tc>
          <w:tcPr>
            <w:tcW w:w="4466" w:type="dxa"/>
            <w:vMerge w:val="continue"/>
            <w:noWrap w:val="0"/>
            <w:vAlign w:val="center"/>
          </w:tcPr>
          <w:p>
            <w:pPr>
              <w:pStyle w:val="2"/>
              <w:jc w:val="both"/>
              <w:rPr>
                <w:rFonts w:hint="eastAsia" w:ascii="宋体" w:hAnsi="宋体" w:cs="宋体"/>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灰分含量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高温炉</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《沥青路面用纤维》</w:t>
            </w:r>
            <w:r>
              <w:rPr>
                <w:rFonts w:hint="eastAsia" w:ascii="宋体" w:hAnsi="宋体" w:cs="宋体"/>
                <w:color w:val="auto"/>
                <w:kern w:val="0"/>
                <w:szCs w:val="21"/>
                <w:highlight w:val="none"/>
                <w:lang w:eastAsia="zh-CN" w:bidi="ar"/>
              </w:rPr>
              <w:t>JT/T</w:t>
            </w:r>
            <w:r>
              <w:rPr>
                <w:rFonts w:hint="eastAsia" w:ascii="宋体" w:hAnsi="宋体" w:cs="宋体"/>
                <w:color w:val="auto"/>
                <w:kern w:val="0"/>
                <w:szCs w:val="21"/>
                <w:highlight w:val="none"/>
                <w:lang w:bidi="ar"/>
              </w:rPr>
              <w:t>533-2020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《公路沥青路面施工技术规范》JTG F40-2004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吸油率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纤维吸油率测定仪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《沥青路面用纤维》</w:t>
            </w:r>
            <w:r>
              <w:rPr>
                <w:rFonts w:hint="eastAsia" w:ascii="宋体" w:hAnsi="宋体" w:cs="宋体"/>
                <w:color w:val="auto"/>
                <w:kern w:val="0"/>
                <w:szCs w:val="21"/>
                <w:highlight w:val="none"/>
                <w:lang w:eastAsia="zh-CN" w:bidi="ar"/>
              </w:rPr>
              <w:t>JT/T</w:t>
            </w:r>
            <w:r>
              <w:rPr>
                <w:rFonts w:hint="eastAsia" w:ascii="宋体" w:hAnsi="宋体" w:cs="宋体"/>
                <w:color w:val="auto"/>
                <w:kern w:val="0"/>
                <w:szCs w:val="21"/>
                <w:highlight w:val="none"/>
                <w:lang w:bidi="ar"/>
              </w:rPr>
              <w:t>533-2020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《公路沥青路面施工技术规范》JTG F40-2004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全自动索式热萃取</w:t>
            </w:r>
            <w:r>
              <w:rPr>
                <w:rFonts w:hint="eastAsia" w:ascii="宋体" w:hAnsi="宋体" w:eastAsia="宋体" w:cs="宋体"/>
                <w:color w:val="auto"/>
                <w:kern w:val="0"/>
                <w:szCs w:val="21"/>
                <w:highlight w:val="none"/>
                <w:lang w:bidi="ar"/>
              </w:rPr>
              <w:t>仪</w:t>
            </w:r>
            <w:r>
              <w:rPr>
                <w:rFonts w:hint="eastAsia" w:ascii="宋体" w:hAnsi="宋体" w:eastAsia="宋体" w:cs="宋体"/>
                <w:color w:val="auto"/>
                <w:kern w:val="0"/>
                <w:szCs w:val="21"/>
                <w:highlight w:val="none"/>
                <w:lang w:val="en-US" w:eastAsia="zh-CN" w:bidi="ar"/>
              </w:rPr>
              <w:t>*</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pH值*</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pH计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《沥青路面用纤维》</w:t>
            </w:r>
            <w:r>
              <w:rPr>
                <w:rFonts w:hint="eastAsia" w:ascii="宋体" w:hAnsi="宋体" w:cs="宋体"/>
                <w:color w:val="auto"/>
                <w:kern w:val="0"/>
                <w:szCs w:val="21"/>
                <w:highlight w:val="none"/>
                <w:lang w:eastAsia="zh-CN" w:bidi="ar"/>
              </w:rPr>
              <w:t>JT/T</w:t>
            </w:r>
            <w:r>
              <w:rPr>
                <w:rFonts w:hint="eastAsia" w:ascii="宋体" w:hAnsi="宋体" w:cs="宋体"/>
                <w:color w:val="auto"/>
                <w:kern w:val="0"/>
                <w:szCs w:val="21"/>
                <w:highlight w:val="none"/>
                <w:lang w:bidi="ar"/>
              </w:rPr>
              <w:t>533-2020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《公路沥青路面施工技术规范》JTG F40-2004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《沥青路面用纤维》</w:t>
            </w:r>
            <w:r>
              <w:rPr>
                <w:rFonts w:hint="eastAsia" w:ascii="宋体" w:hAnsi="宋体" w:cs="宋体"/>
                <w:color w:val="auto"/>
                <w:kern w:val="0"/>
                <w:szCs w:val="21"/>
                <w:highlight w:val="none"/>
                <w:lang w:eastAsia="zh-CN" w:bidi="ar"/>
              </w:rPr>
              <w:t>JT/T</w:t>
            </w:r>
            <w:r>
              <w:rPr>
                <w:rFonts w:hint="eastAsia" w:ascii="宋体" w:hAnsi="宋体" w:cs="宋体"/>
                <w:color w:val="auto"/>
                <w:kern w:val="0"/>
                <w:szCs w:val="21"/>
                <w:highlight w:val="none"/>
                <w:lang w:bidi="ar"/>
              </w:rPr>
              <w:t>533-2020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《公路沥青路面施工技术规范》JTG F40-2004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6</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沥青混合料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马歇尔稳定度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沥青混合料马歇尔试验仪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沥青混合料拌和机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马歇尔击实仪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恒温水浴</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流值</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沥青混合料马歇尔试验仪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沥青混合料拌和机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马歇尔击实仪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恒温水浴</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矿料级配</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油石比</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离心抽提仪</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离心分离法</w:t>
            </w: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tcBorders>
            <w:noWrap w:val="0"/>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燃烧炉法</w:t>
            </w:r>
          </w:p>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燃烧炉（含称量装置）</w:t>
            </w:r>
            <w:r>
              <w:rPr>
                <w:rFonts w:hint="eastAsia" w:ascii="宋体" w:hAnsi="宋体" w:cs="宋体"/>
                <w:color w:val="auto"/>
                <w:kern w:val="0"/>
                <w:szCs w:val="21"/>
                <w:highlight w:val="none"/>
                <w:lang w:val="en-US" w:eastAsia="zh-CN" w:bidi="ar"/>
              </w:rPr>
              <w:t>*</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浸水天平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恒温溢流水箱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残留稳定度*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沥青混合料马歇尔试验仪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沥青混合料拌和机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马歇尔击实仪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恒温水浴</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动稳定度*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轮碾成型机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沥青混合料拌和机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车辙试验机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台秤</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冻融劈裂强度比*</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材料试验机</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马歇尔试验仪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恒温冰箱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配合比设计*</w:t>
            </w: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沥青混合料马歇尔试验仪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《公路沥青路面施工技术规范》JTG F40-2004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ascii="宋体" w:hAnsi="宋体" w:cs="宋体"/>
                <w:color w:val="auto"/>
                <w:szCs w:val="21"/>
                <w:highlight w:val="none"/>
              </w:rPr>
            </w:pPr>
          </w:p>
        </w:tc>
        <w:tc>
          <w:tcPr>
            <w:tcW w:w="1483" w:type="dxa"/>
            <w:vMerge w:val="continue"/>
            <w:noWrap w:val="0"/>
            <w:vAlign w:val="center"/>
          </w:tcPr>
          <w:p>
            <w:pPr>
              <w:widowControl/>
              <w:jc w:val="center"/>
              <w:textAlignment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沥青混合料拌和机</w:t>
            </w:r>
          </w:p>
        </w:tc>
        <w:tc>
          <w:tcPr>
            <w:tcW w:w="2676" w:type="dxa"/>
            <w:vMerge w:val="continue"/>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noWrap w:val="0"/>
            <w:vAlign w:val="center"/>
          </w:tcPr>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highlight w:val="none"/>
              </w:rPr>
            </w:pPr>
          </w:p>
        </w:tc>
        <w:tc>
          <w:tcPr>
            <w:tcW w:w="952" w:type="dxa"/>
            <w:vMerge w:val="continue"/>
            <w:noWrap w:val="0"/>
            <w:vAlign w:val="center"/>
          </w:tcPr>
          <w:p>
            <w:pPr>
              <w:widowControl/>
              <w:jc w:val="center"/>
              <w:textAlignment w:val="center"/>
              <w:rPr>
                <w:highlight w:val="none"/>
              </w:rPr>
            </w:pPr>
          </w:p>
        </w:tc>
        <w:tc>
          <w:tcPr>
            <w:tcW w:w="855" w:type="dxa"/>
            <w:vMerge w:val="continue"/>
            <w:noWrap w:val="0"/>
            <w:vAlign w:val="center"/>
          </w:tcPr>
          <w:p>
            <w:pPr>
              <w:widowControl/>
              <w:jc w:val="center"/>
              <w:textAlignment w:val="center"/>
              <w:rPr>
                <w:highlight w:val="none"/>
              </w:rPr>
            </w:pPr>
          </w:p>
        </w:tc>
        <w:tc>
          <w:tcPr>
            <w:tcW w:w="1483" w:type="dxa"/>
            <w:vMerge w:val="continue"/>
            <w:noWrap w:val="0"/>
            <w:vAlign w:val="center"/>
          </w:tcPr>
          <w:p>
            <w:pPr>
              <w:widowControl/>
              <w:jc w:val="center"/>
              <w:textAlignment w:val="center"/>
              <w:rPr>
                <w:highlight w:val="none"/>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马歇尔击实仪</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pStyle w:val="2"/>
              <w:jc w:val="center"/>
              <w:rPr>
                <w:rFonts w:hint="eastAsia"/>
                <w:color w:val="auto"/>
                <w:kern w:val="0"/>
                <w:sz w:val="21"/>
                <w:szCs w:val="21"/>
                <w:highlight w:val="none"/>
                <w:lang w:val="en-US" w:eastAsia="zh-CN" w:bidi="ar-SA"/>
              </w:rPr>
            </w:pPr>
            <w:r>
              <w:rPr>
                <w:rFonts w:hint="eastAsia"/>
                <w:color w:val="auto"/>
                <w:sz w:val="21"/>
                <w:szCs w:val="21"/>
                <w:highlight w:val="none"/>
              </w:rPr>
              <w:t>恒温水槽</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烘箱</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天平</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台秤</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 w:bidi="ar"/>
              </w:rPr>
            </w:pPr>
            <w:r>
              <w:rPr>
                <w:rFonts w:hint="eastAsia" w:ascii="宋体" w:hAnsi="宋体" w:cs="宋体"/>
                <w:color w:val="auto"/>
                <w:kern w:val="0"/>
                <w:szCs w:val="21"/>
                <w:highlight w:val="none"/>
                <w:lang w:eastAsia="zh" w:bidi="ar"/>
              </w:rPr>
              <w:t>振筛机</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浸水天平</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恒温溢流水箱</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卡尺</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轮碾成型机</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 w:val="21"/>
                <w:szCs w:val="21"/>
                <w:highlight w:val="none"/>
                <w:lang w:val="en-US" w:eastAsia="zh" w:bidi="ar"/>
              </w:rPr>
            </w:pPr>
            <w:r>
              <w:rPr>
                <w:rFonts w:hint="eastAsia" w:ascii="宋体" w:hAnsi="宋体" w:cs="宋体"/>
                <w:color w:val="auto"/>
                <w:kern w:val="0"/>
                <w:szCs w:val="21"/>
                <w:highlight w:val="none"/>
                <w:lang w:bidi="ar"/>
              </w:rPr>
              <w:t>车辙试验机</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7</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路面砖及路缘石</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抗压强度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《混凝土路面砖》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28635-2012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《混凝土砌块和砖试验方法》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4111-2013</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《砌墙砖试验方法》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2542-2012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《混凝土路缘石》</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899-2016</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《砂基透水砖》JGT 376-2012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砖用卡尺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水平仪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直角靠尺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钢板尺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混凝土切割机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抗折试验机</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万能试验机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《混凝土路面砖》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28635-2012</w:t>
            </w:r>
          </w:p>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《透水路面砖和透水路面板》</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25993-2023</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《砂基透水砖》JGT 376-2012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《混凝土路缘石》</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899-2016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砖用卡尺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支撑辊和加压辊（直径40mm）</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抗折试验支撑装置（支杆直径30mm）</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加载压块（直径50mm,厚度大于20mm）</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钢直尺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切割机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磨光机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水平尺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防滑性能</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摆式摩擦系数测定仪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《混凝土路面砖》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28635-2012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《公路路基路面现场测试规程》JTG 3450-2019</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《砂基透水砖》JGT 376-2012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标准量尺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耐磨性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钢轮式耐磨试验机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《混凝土及其制品耐磨性试验方法(滚珠轴承法)》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16925-1997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《无机地面材料耐磨性能试验方法》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12988-2009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方孔筛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滚珠轴承式耐磨试验机*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抗冻性*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冷冻箱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《混凝土路面砖》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28635-2012</w:t>
            </w:r>
          </w:p>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《透水路面砖和透水路面板》</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25993-2023</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《砌墙砖试验方法》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2542-2012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《混凝土砌块和砖试验方法》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4111-2013</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《砂基透水砖》JGT 376-2012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50082-2009（慢冻法)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冻融试验箱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称量设备</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抗折试验机</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万能试验机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砖用卡尺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透水系数*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透水路面砖透水系数试验装置</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《透水路面砖和透水路面板》</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25993-2023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钢直尺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取芯机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抽真空装置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《混凝土路面砖》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28635-2012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《砌墙砖试验方法》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2542-2012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《混凝土砌块和砖试验方法》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4111-2013</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《混凝土路缘石》</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899-2016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抗盐冻性*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冷冻箱（带空气循环、由时间控制的冷冻和加热系统）</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《混凝土路面砖》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28635-2012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《混凝土路缘石》</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899-2016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气候箱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冷冻室（箱）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8</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检查井盖、水篦、混凝土模块、防撞墩、隔离墩</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抗压强度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《混凝土物理力学性能试验方法标准》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50081-2019</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《回弹法检测混凝土抗压强度技术规程》</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23-2011</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《排水工程混凝土模块砌体结构技术规程》CJJT 230-2015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游标量角器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塞尺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混凝土回弹仪</w:t>
            </w:r>
            <w:r>
              <w:rPr>
                <w:rFonts w:hint="eastAsia" w:ascii="宋体" w:hAnsi="宋体" w:cs="宋体"/>
                <w:color w:val="auto"/>
                <w:kern w:val="0"/>
                <w:szCs w:val="21"/>
                <w:highlight w:val="none"/>
                <w:lang w:val="en-US" w:eastAsia="zh-CN" w:bidi="ar"/>
              </w:rPr>
              <w:t>*</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钢砧*</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碳化深度测量仪</w:t>
            </w:r>
            <w:r>
              <w:rPr>
                <w:rFonts w:hint="eastAsia" w:ascii="宋体" w:hAnsi="宋体" w:cs="宋体"/>
                <w:color w:val="auto"/>
                <w:kern w:val="0"/>
                <w:szCs w:val="21"/>
                <w:highlight w:val="none"/>
                <w:lang w:val="en-US" w:eastAsia="zh-CN" w:bidi="ar"/>
              </w:rPr>
              <w:t>*</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钢板（440mm×240mm,厚度≥10mm）</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玻璃平板（440mm×240mm,厚度≥6mm）</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水平仪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直角靠尺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钢直尺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试验荷载</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承载能力试验装（含机架、刚性垫块、橡胶垫片、加压装置、测力仪等）</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《检查井盖》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23858-2009</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《钢纤维混凝土检查井盖》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26537-2011</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《铸铁检查井盖》</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511-2017</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《球墨铸铁复合树脂检查井盖》</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327-2010</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《聚合物基复合材料检查井盖》</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211-2005</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《再生树脂复合材料检查井盖》</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121-2000</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《球墨铸铁复合树脂水箅》</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328-2010</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《聚合物基复合材料水箅》</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212-2005</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《再生树脂复合材料水箅》</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130-2001</w:t>
            </w:r>
          </w:p>
          <w:p>
            <w:pPr>
              <w:widowControl/>
              <w:jc w:val="both"/>
              <w:textAlignment w:val="top"/>
              <w:rPr>
                <w:color w:val="auto"/>
                <w:szCs w:val="21"/>
                <w:highlight w:val="none"/>
              </w:rPr>
            </w:pPr>
            <w:r>
              <w:rPr>
                <w:rFonts w:hint="eastAsia" w:ascii="宋体" w:hAnsi="宋体" w:cs="宋体"/>
                <w:color w:val="auto"/>
                <w:kern w:val="0"/>
                <w:szCs w:val="21"/>
                <w:highlight w:val="none"/>
                <w:lang w:bidi="ar"/>
              </w:rPr>
              <w:t>《玻璃纤维增强塑料复合检查井盖》</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1009-2006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钢卷尺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残余变形</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加载系统（含加载设备、刚性垫块、橡胶垫片、变形测量装置等）</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《检查井盖》</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23858-2009</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《铸铁检查井盖》</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511-2017</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《球墨铸铁复合树脂检查井盖》</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327-2010</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《聚合物基复合材料检查井盖》</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211-2005</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《再生树脂复合材料检查井盖》</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121-2000</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《球墨铸铁复合树脂水箅》</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328-2010</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《聚合物基复合材料水箅》</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212-2005</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《再生树脂复合材料水箅》</w:t>
            </w:r>
            <w:r>
              <w:rPr>
                <w:rFonts w:hint="eastAsia" w:ascii="宋体" w:hAnsi="宋体" w:cs="宋体"/>
                <w:color w:val="auto"/>
                <w:kern w:val="0"/>
                <w:szCs w:val="21"/>
                <w:highlight w:val="none"/>
                <w:lang w:eastAsia="zh-CN" w:bidi="ar"/>
              </w:rPr>
              <w:t>CJ/T</w:t>
            </w:r>
            <w:r>
              <w:rPr>
                <w:rFonts w:hint="eastAsia" w:ascii="宋体" w:hAnsi="宋体" w:cs="宋体"/>
                <w:color w:val="auto"/>
                <w:kern w:val="0"/>
                <w:szCs w:val="21"/>
                <w:highlight w:val="none"/>
                <w:lang w:bidi="ar"/>
              </w:rPr>
              <w:t xml:space="preserve"> 130-2001</w:t>
            </w:r>
          </w:p>
          <w:p>
            <w:pPr>
              <w:pStyle w:val="2"/>
              <w:jc w:val="both"/>
              <w:rPr>
                <w:color w:val="auto"/>
                <w:sz w:val="21"/>
                <w:szCs w:val="21"/>
                <w:highlight w:val="none"/>
              </w:rPr>
            </w:pPr>
            <w:r>
              <w:rPr>
                <w:rFonts w:hint="eastAsia" w:ascii="宋体" w:hAnsi="宋体" w:cs="宋体"/>
                <w:color w:val="auto"/>
                <w:sz w:val="21"/>
                <w:szCs w:val="21"/>
                <w:highlight w:val="none"/>
                <w:lang w:bidi="ar"/>
              </w:rPr>
              <w:t>《玻璃纤维增强塑料复合检查井盖》</w:t>
            </w:r>
            <w:r>
              <w:rPr>
                <w:rFonts w:hint="eastAsia" w:ascii="宋体" w:hAnsi="宋体" w:cs="宋体"/>
                <w:color w:val="auto"/>
                <w:sz w:val="21"/>
                <w:szCs w:val="21"/>
                <w:highlight w:val="none"/>
                <w:lang w:eastAsia="zh-CN" w:bidi="ar"/>
              </w:rPr>
              <w:t>JC/T</w:t>
            </w:r>
            <w:r>
              <w:rPr>
                <w:rFonts w:hint="eastAsia" w:ascii="宋体" w:hAnsi="宋体" w:cs="宋体"/>
                <w:color w:val="auto"/>
                <w:sz w:val="21"/>
                <w:szCs w:val="21"/>
                <w:highlight w:val="none"/>
                <w:lang w:bidi="ar"/>
              </w:rPr>
              <w:t xml:space="preserve"> 1009-2006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9</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水泥</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凝结时间</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水泥净桨搅拌机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《水泥标准用水量、凝结时间、安定性检验方法》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1346-2011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维卡仪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滴定管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bidi="ar"/>
              </w:rPr>
              <w:t>恒温恒湿养护箱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pStyle w:val="2"/>
              <w:jc w:val="center"/>
              <w:rPr>
                <w:color w:val="auto"/>
                <w:sz w:val="21"/>
                <w:szCs w:val="21"/>
                <w:highlight w:val="none"/>
              </w:rPr>
            </w:pPr>
          </w:p>
        </w:tc>
        <w:tc>
          <w:tcPr>
            <w:tcW w:w="952" w:type="dxa"/>
            <w:vMerge w:val="continue"/>
            <w:noWrap w:val="0"/>
            <w:vAlign w:val="center"/>
          </w:tcPr>
          <w:p>
            <w:pPr>
              <w:pStyle w:val="2"/>
              <w:jc w:val="center"/>
              <w:rPr>
                <w:color w:val="auto"/>
                <w:sz w:val="21"/>
                <w:szCs w:val="21"/>
                <w:highlight w:val="none"/>
              </w:rPr>
            </w:pPr>
          </w:p>
        </w:tc>
        <w:tc>
          <w:tcPr>
            <w:tcW w:w="855" w:type="dxa"/>
            <w:vMerge w:val="continue"/>
            <w:noWrap w:val="0"/>
            <w:vAlign w:val="center"/>
          </w:tcPr>
          <w:p>
            <w:pPr>
              <w:pStyle w:val="2"/>
              <w:jc w:val="center"/>
              <w:rPr>
                <w:color w:val="auto"/>
                <w:sz w:val="21"/>
                <w:szCs w:val="21"/>
                <w:highlight w:val="none"/>
              </w:rPr>
            </w:pPr>
          </w:p>
        </w:tc>
        <w:tc>
          <w:tcPr>
            <w:tcW w:w="1483" w:type="dxa"/>
            <w:vMerge w:val="continue"/>
            <w:noWrap w:val="0"/>
            <w:vAlign w:val="center"/>
          </w:tcPr>
          <w:p>
            <w:pPr>
              <w:pStyle w:val="2"/>
              <w:jc w:val="center"/>
              <w:rPr>
                <w:color w:val="auto"/>
                <w:sz w:val="21"/>
                <w:szCs w:val="21"/>
                <w:highlight w:val="none"/>
              </w:rPr>
            </w:pPr>
          </w:p>
        </w:tc>
        <w:tc>
          <w:tcPr>
            <w:tcW w:w="2834" w:type="dxa"/>
            <w:noWrap w:val="0"/>
            <w:vAlign w:val="center"/>
          </w:tcPr>
          <w:p>
            <w:pPr>
              <w:pStyle w:val="2"/>
              <w:jc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计时器</w:t>
            </w:r>
          </w:p>
        </w:tc>
        <w:tc>
          <w:tcPr>
            <w:tcW w:w="2676" w:type="dxa"/>
            <w:vMerge w:val="continue"/>
            <w:noWrap w:val="0"/>
            <w:vAlign w:val="center"/>
          </w:tcPr>
          <w:p>
            <w:pPr>
              <w:pStyle w:val="2"/>
              <w:jc w:val="center"/>
              <w:rPr>
                <w:rFonts w:ascii="宋体" w:hAnsi="宋体" w:cs="宋体"/>
                <w:color w:val="auto"/>
                <w:sz w:val="21"/>
                <w:szCs w:val="21"/>
                <w:highlight w:val="none"/>
                <w:lang w:bidi="ar"/>
              </w:rPr>
            </w:pPr>
          </w:p>
        </w:tc>
        <w:tc>
          <w:tcPr>
            <w:tcW w:w="4466" w:type="dxa"/>
            <w:vMerge w:val="continue"/>
            <w:noWrap w:val="0"/>
            <w:vAlign w:val="center"/>
          </w:tcPr>
          <w:p>
            <w:pPr>
              <w:pStyle w:val="2"/>
              <w:jc w:val="both"/>
              <w:rPr>
                <w:rFonts w:ascii="宋体" w:hAnsi="宋体" w:cs="宋体"/>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安定性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水泥净桨搅拌机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《水泥标准用水量、凝结时间、安定性检验方法》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1346-2011</w:t>
            </w:r>
          </w:p>
          <w:p>
            <w:pPr>
              <w:pStyle w:val="2"/>
              <w:jc w:val="both"/>
              <w:rPr>
                <w:rFonts w:hint="eastAsia" w:ascii="宋体" w:hAnsi="宋体" w:cs="宋体"/>
                <w:color w:val="auto"/>
                <w:sz w:val="21"/>
                <w:szCs w:val="21"/>
                <w:highlight w:val="none"/>
                <w:lang w:bidi="ar"/>
              </w:rPr>
            </w:pPr>
          </w:p>
          <w:p>
            <w:pPr>
              <w:widowControl/>
              <w:jc w:val="both"/>
              <w:textAlignment w:val="top"/>
              <w:rPr>
                <w:rFonts w:ascii="宋体" w:hAnsi="宋体" w:cs="宋体"/>
                <w:color w:val="auto"/>
                <w:szCs w:val="21"/>
                <w:highlight w:val="none"/>
              </w:rPr>
            </w:pPr>
            <w:r>
              <w:rPr>
                <w:rFonts w:hint="eastAsia" w:ascii="宋体" w:hAnsi="宋体" w:cs="宋体"/>
                <w:color w:val="auto"/>
                <w:szCs w:val="21"/>
                <w:highlight w:val="none"/>
              </w:rPr>
              <w:t>《水泥压蒸安定性试验方法》</w:t>
            </w:r>
            <w:r>
              <w:rPr>
                <w:rFonts w:hint="eastAsia" w:ascii="宋体" w:hAnsi="宋体" w:cs="宋体"/>
                <w:color w:val="auto"/>
                <w:szCs w:val="21"/>
                <w:highlight w:val="none"/>
                <w:lang w:eastAsia="zh-CN"/>
              </w:rPr>
              <w:t>GB/T</w:t>
            </w:r>
            <w:r>
              <w:rPr>
                <w:rFonts w:ascii="宋体" w:hAnsi="宋体" w:cs="宋体"/>
                <w:color w:val="auto"/>
                <w:szCs w:val="21"/>
                <w:highlight w:val="none"/>
              </w:rPr>
              <w:t xml:space="preserve"> 750-1992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雷氏夹测定仪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沸煮箱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spacing w:after="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恒温恒湿养护箱</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spacing w:after="0"/>
              <w:jc w:val="center"/>
              <w:rPr>
                <w:rFonts w:ascii="宋体" w:hAnsi="宋体" w:cs="宋体"/>
                <w:color w:val="auto"/>
                <w:sz w:val="21"/>
                <w:szCs w:val="21"/>
                <w:highlight w:val="none"/>
              </w:rPr>
            </w:pPr>
            <w:r>
              <w:rPr>
                <w:rFonts w:hint="eastAsia" w:ascii="宋体" w:hAnsi="宋体" w:cs="宋体"/>
                <w:color w:val="auto"/>
                <w:sz w:val="21"/>
                <w:szCs w:val="21"/>
                <w:highlight w:val="none"/>
              </w:rPr>
              <w:t>压蒸釜*</w:t>
            </w:r>
          </w:p>
        </w:tc>
        <w:tc>
          <w:tcPr>
            <w:tcW w:w="2676" w:type="dxa"/>
            <w:vMerge w:val="restart"/>
            <w:tcBorders>
              <w:top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压蒸法*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spacing w:after="0"/>
              <w:jc w:val="center"/>
              <w:rPr>
                <w:rFonts w:ascii="宋体" w:hAnsi="宋体" w:cs="宋体"/>
                <w:color w:val="auto"/>
                <w:sz w:val="21"/>
                <w:szCs w:val="21"/>
                <w:highlight w:val="none"/>
              </w:rPr>
            </w:pPr>
            <w:r>
              <w:rPr>
                <w:rFonts w:hint="eastAsia" w:ascii="宋体" w:hAnsi="宋体" w:cs="宋体"/>
                <w:color w:val="auto"/>
                <w:sz w:val="21"/>
                <w:szCs w:val="21"/>
                <w:highlight w:val="none"/>
              </w:rPr>
              <w:t>比长仪*</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胶砂强度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行星式水泥胶砂搅拌机</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《水泥胶砂强度检验方法(ISO法)》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17671-2021</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《水泥胶砂流动度测定方法》(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2419-2005)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养护水槽*</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eastAsia="宋体" w:cs="宋体"/>
                <w:color w:val="auto"/>
                <w:kern w:val="0"/>
                <w:szCs w:val="21"/>
                <w:highlight w:val="none"/>
                <w:lang w:bidi="ar"/>
              </w:rPr>
              <w:t>恒温恒湿养护</w:t>
            </w:r>
            <w:r>
              <w:rPr>
                <w:rFonts w:hint="eastAsia" w:ascii="宋体" w:hAnsi="宋体" w:cs="宋体"/>
                <w:color w:val="auto"/>
                <w:kern w:val="0"/>
                <w:szCs w:val="21"/>
                <w:highlight w:val="none"/>
                <w:lang w:bidi="ar"/>
              </w:rPr>
              <w:t>箱</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水泥胶砂振实台</w:t>
            </w:r>
          </w:p>
        </w:tc>
        <w:tc>
          <w:tcPr>
            <w:tcW w:w="2676" w:type="dxa"/>
            <w:tcBorders>
              <w:top w:val="single" w:color="auto" w:sz="4" w:space="0"/>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tcBorders>
              <w:top w:val="single" w:color="auto" w:sz="4" w:space="0"/>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代用法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水泥胶砂流动度测定仪</w:t>
            </w:r>
          </w:p>
        </w:tc>
        <w:tc>
          <w:tcPr>
            <w:tcW w:w="2676" w:type="dxa"/>
            <w:vMerge w:val="restart"/>
            <w:tcBorders>
              <w:top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水泥胶砂抗折强度试验机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水泥胶砂抗压强度试验机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氯离子含量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天平（万分之一）</w:t>
            </w:r>
          </w:p>
        </w:tc>
        <w:tc>
          <w:tcPr>
            <w:tcW w:w="2676" w:type="dxa"/>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玻璃砂芯漏斗</w:t>
            </w:r>
          </w:p>
        </w:tc>
        <w:tc>
          <w:tcPr>
            <w:tcW w:w="2676" w:type="dxa"/>
            <w:vMerge w:val="restart"/>
            <w:tcBorders>
              <w:top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硫氰酸铵容量法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bCs/>
                <w:color w:val="auto"/>
                <w:szCs w:val="21"/>
                <w:highlight w:val="none"/>
                <w:lang w:bidi="ar"/>
              </w:rPr>
              <w:t>滴定管</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磁力搅拌器</w:t>
            </w:r>
          </w:p>
        </w:tc>
        <w:tc>
          <w:tcPr>
            <w:tcW w:w="2676" w:type="dxa"/>
            <w:vMerge w:val="restart"/>
            <w:tcBorders>
              <w:top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电位滴定法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氯离子电位滴定装置（含氯离子电极和甘汞电极）</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抽气过滤装置</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离子色谱仪</w:t>
            </w:r>
          </w:p>
        </w:tc>
        <w:tc>
          <w:tcPr>
            <w:tcW w:w="2676" w:type="dxa"/>
            <w:vMerge w:val="restart"/>
            <w:tcBorders>
              <w:top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离子色谱法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容量瓶</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行星式水泥胶砂搅拌机</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《砌筑水泥》</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3183-2017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水泥胶砂流动度测定仪</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保水率刚性试模装置</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氧化镁含量*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滴定管、容量瓶、移液管</w:t>
            </w:r>
          </w:p>
        </w:tc>
        <w:tc>
          <w:tcPr>
            <w:tcW w:w="2676"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EDTA滴定差减法</w:t>
            </w: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天平（万分之一）</w:t>
            </w:r>
          </w:p>
        </w:tc>
        <w:tc>
          <w:tcPr>
            <w:tcW w:w="2676" w:type="dxa"/>
            <w:vMerge w:val="restart"/>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原子吸收分光光度法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高温炉</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铂坩埚</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银坩埚</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原子吸收分光光度计</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天平（万分之一）</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火焰光度法</w:t>
            </w: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shd w:val="clear" w:color="auto" w:fill="auto"/>
                <w:lang w:bidi="ar"/>
              </w:rPr>
              <w:t>铂皿、通风橱、电热板</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火焰光度计</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原子吸收分光光度计</w:t>
            </w:r>
          </w:p>
        </w:tc>
        <w:tc>
          <w:tcPr>
            <w:tcW w:w="2676" w:type="dxa"/>
            <w:tcBorders>
              <w:top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原子吸收分光光度法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三氧化硫含量*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天平（万分之一）</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高温电阻炉</w:t>
            </w:r>
            <w:r>
              <w:rPr>
                <w:rFonts w:hint="eastAsia" w:ascii="宋体" w:hAnsi="宋体" w:cs="宋体"/>
                <w:color w:val="auto"/>
                <w:szCs w:val="21"/>
                <w:highlight w:val="none"/>
                <w:lang w:bidi="ar"/>
              </w:rPr>
              <w:t>、坩埚</w:t>
            </w:r>
          </w:p>
        </w:tc>
        <w:tc>
          <w:tcPr>
            <w:tcW w:w="2676"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硫酸钡重量法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测定硫化物及硫酸盐的仪器装置</w:t>
            </w:r>
          </w:p>
        </w:tc>
        <w:tc>
          <w:tcPr>
            <w:tcW w:w="2676" w:type="dxa"/>
            <w:noWrap w:val="0"/>
            <w:vAlign w:val="center"/>
          </w:tcPr>
          <w:p>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碘量法</w:t>
            </w:r>
            <w:r>
              <w:rPr>
                <w:rFonts w:hint="eastAsia" w:ascii="宋体" w:hAnsi="宋体" w:eastAsia="宋体" w:cs="宋体"/>
                <w:b w:val="0"/>
                <w:bCs w:val="0"/>
                <w:color w:val="auto"/>
                <w:kern w:val="0"/>
                <w:sz w:val="21"/>
                <w:szCs w:val="21"/>
                <w:highlight w:val="none"/>
                <w:lang w:val="en-US" w:eastAsia="zh-CN" w:bidi="ar"/>
              </w:rPr>
              <w:t>*</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库仑积分测硫仪</w:t>
            </w:r>
          </w:p>
        </w:tc>
        <w:tc>
          <w:tcPr>
            <w:tcW w:w="2676" w:type="dxa"/>
            <w:noWrap w:val="0"/>
            <w:vAlign w:val="center"/>
          </w:tcPr>
          <w:p>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库仑滴定法</w:t>
            </w:r>
            <w:r>
              <w:rPr>
                <w:rFonts w:hint="eastAsia" w:ascii="宋体" w:hAnsi="宋体" w:eastAsia="宋体" w:cs="宋体"/>
                <w:b w:val="0"/>
                <w:bCs w:val="0"/>
                <w:color w:val="auto"/>
                <w:kern w:val="0"/>
                <w:sz w:val="21"/>
                <w:szCs w:val="21"/>
                <w:highlight w:val="none"/>
                <w:lang w:val="en-US" w:eastAsia="zh-CN" w:bidi="ar"/>
              </w:rPr>
              <w:t>*</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磁力搅拌器、碱式滴定管</w:t>
            </w:r>
          </w:p>
        </w:tc>
        <w:tc>
          <w:tcPr>
            <w:tcW w:w="2676" w:type="dxa"/>
            <w:noWrap w:val="0"/>
            <w:vAlign w:val="center"/>
          </w:tcPr>
          <w:p>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离子交换法</w:t>
            </w:r>
            <w:r>
              <w:rPr>
                <w:rFonts w:hint="eastAsia" w:ascii="宋体" w:hAnsi="宋体" w:eastAsia="宋体" w:cs="宋体"/>
                <w:b w:val="0"/>
                <w:bCs w:val="0"/>
                <w:color w:val="auto"/>
                <w:kern w:val="0"/>
                <w:sz w:val="21"/>
                <w:szCs w:val="21"/>
                <w:highlight w:val="none"/>
                <w:lang w:val="en-US" w:eastAsia="zh-CN" w:bidi="ar"/>
              </w:rPr>
              <w:t>*</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10</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骨料、集料（细骨料）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颗粒级配</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含泥量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标准法</w:t>
            </w: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烘箱、试验筛、天平、虹吸管*</w:t>
            </w:r>
          </w:p>
        </w:tc>
        <w:tc>
          <w:tcPr>
            <w:tcW w:w="2676"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虹吸管法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泥块含量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标准法</w:t>
            </w: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亚甲蓝值与石粉含量（人工砂）</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石粉含量测定仪</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叶轮搅拌机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压碎指标（人工砂）</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受压钢模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氯离子含量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容量瓶</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滴定管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表观密度*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标准法</w:t>
            </w: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容量瓶</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李氏瓶*</w:t>
            </w:r>
          </w:p>
        </w:tc>
        <w:tc>
          <w:tcPr>
            <w:tcW w:w="2676" w:type="dxa"/>
            <w:tcBorders>
              <w:top w:val="single" w:color="auto" w:sz="4" w:space="0"/>
              <w:bottom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简易法</w:t>
            </w:r>
          </w:p>
        </w:tc>
        <w:tc>
          <w:tcPr>
            <w:tcW w:w="4466" w:type="dxa"/>
            <w:tcBorders>
              <w:top w:val="single" w:color="auto" w:sz="4" w:space="0"/>
            </w:tcBorders>
            <w:noWrap w:val="0"/>
            <w:vAlign w:val="center"/>
          </w:tcPr>
          <w:p>
            <w:pPr>
              <w:jc w:val="both"/>
              <w:rPr>
                <w:rFonts w:ascii="宋体" w:hAnsi="宋体" w:cs="宋体"/>
                <w:color w:val="auto"/>
                <w:szCs w:val="21"/>
                <w:highlight w:val="none"/>
              </w:rPr>
            </w:pPr>
            <w:r>
              <w:rPr>
                <w:rFonts w:hint="eastAsia" w:ascii="宋体" w:hAnsi="宋体" w:cs="宋体"/>
                <w:color w:val="auto"/>
                <w:kern w:val="0"/>
                <w:szCs w:val="21"/>
                <w:highlight w:val="none"/>
                <w:lang w:bidi="ar"/>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饱和面干试模及捣棒</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坚固性*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三脚网篮</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容器（非铁质）</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比重计</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bCs/>
                <w:color w:val="auto"/>
                <w:szCs w:val="21"/>
                <w:highlight w:val="none"/>
                <w:lang w:bidi="ar"/>
              </w:rPr>
              <w:t>坚固性试验仪*</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碱活性*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快速法、砂浆长度法</w:t>
            </w: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比长仪（百分表）</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水泥胶砂搅拌机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养护筒</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恒温养护箱</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none"/>
                <w:lang w:bidi="ar"/>
              </w:rPr>
              <w:t>水浴</w:t>
            </w:r>
          </w:p>
        </w:tc>
        <w:tc>
          <w:tcPr>
            <w:tcW w:w="2676" w:type="dxa"/>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快速法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恒温养护箱室</w:t>
            </w:r>
          </w:p>
        </w:tc>
        <w:tc>
          <w:tcPr>
            <w:tcW w:w="2676" w:type="dxa"/>
            <w:vMerge w:val="restart"/>
            <w:tcBorders>
              <w:top w:val="single" w:color="auto"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砂浆长度法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跳桌</w:t>
            </w:r>
          </w:p>
        </w:tc>
        <w:tc>
          <w:tcPr>
            <w:tcW w:w="2676" w:type="dxa"/>
            <w:vMerge w:val="continue"/>
            <w:tcBorders>
              <w:top w:val="single" w:color="auto" w:sz="4" w:space="0"/>
              <w:bottom w:val="single" w:color="auto"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p>
        </w:tc>
        <w:tc>
          <w:tcPr>
            <w:tcW w:w="4466" w:type="dxa"/>
            <w:vMerge w:val="continue"/>
            <w:tcBorders>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圆筒钻机、切片机、磨片机</w:t>
            </w:r>
          </w:p>
        </w:tc>
        <w:tc>
          <w:tcPr>
            <w:tcW w:w="2676" w:type="dxa"/>
            <w:vMerge w:val="restart"/>
            <w:tcBorders>
              <w:top w:val="single" w:color="auto"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碱-碳酸盐反应</w:t>
            </w:r>
          </w:p>
        </w:tc>
        <w:tc>
          <w:tcPr>
            <w:tcW w:w="4466" w:type="dxa"/>
            <w:vMerge w:val="restart"/>
            <w:tcBorders>
              <w:top w:val="single" w:color="auto" w:sz="4" w:space="0"/>
            </w:tcBorders>
            <w:noWrap w:val="0"/>
            <w:vAlign w:val="center"/>
          </w:tcPr>
          <w:p>
            <w:pPr>
              <w:jc w:val="both"/>
              <w:rPr>
                <w:rFonts w:ascii="宋体" w:hAnsi="宋体" w:cs="宋体"/>
                <w:color w:val="auto"/>
                <w:szCs w:val="21"/>
                <w:highlight w:val="none"/>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测长仪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养护瓶</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实体显微镜</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偏光显微镜</w:t>
            </w:r>
          </w:p>
        </w:tc>
        <w:tc>
          <w:tcPr>
            <w:tcW w:w="2676" w:type="dxa"/>
            <w:vMerge w:val="restart"/>
            <w:tcBorders>
              <w:top w:val="single" w:color="auto" w:sz="4" w:space="0"/>
              <w:bottom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岩相法</w:t>
            </w:r>
          </w:p>
        </w:tc>
        <w:tc>
          <w:tcPr>
            <w:tcW w:w="4466" w:type="dxa"/>
            <w:vMerge w:val="restart"/>
            <w:tcBorders>
              <w:top w:val="single" w:color="auto" w:sz="4" w:space="0"/>
            </w:tcBorders>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jc w:val="both"/>
              <w:rPr>
                <w:rFonts w:ascii="宋体" w:hAnsi="宋体" w:cs="宋体"/>
                <w:color w:val="auto"/>
                <w:szCs w:val="21"/>
                <w:highlight w:val="none"/>
              </w:rPr>
            </w:pPr>
            <w:r>
              <w:rPr>
                <w:rFonts w:hint="eastAsia"/>
                <w:color w:val="auto"/>
                <w:highlight w:val="none"/>
                <w:lang w:val="en-US" w:eastAsia="zh-CN"/>
              </w:rPr>
              <w:t>《水工混凝土试验规程》SL/T 352-2020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锯石机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磨片机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硫化物和硫酸盐含量*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高温炉</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轻物质含量*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比重计</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有机物含量*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水泥胶砂搅拌机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水泥胶砂抗压强度试验机</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贝壳含量*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14684-2022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10</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骨料、集料（粗骨料）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颗粒级配</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含泥量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泥块含量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压碎值指标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压碎指标测定仪</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振筛机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针片状颗粒含量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针、片状规准仪</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坚固性*</w:t>
            </w: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三脚网篮</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容器（非铁质）</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比重计</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碱活性*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快速法、砂浆长度法</w:t>
            </w: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hint="eastAsia"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台秤</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比长仪（百分表）</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水泥胶砂搅拌机</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养护筒</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破碎机</w:t>
            </w:r>
          </w:p>
        </w:tc>
        <w:tc>
          <w:tcPr>
            <w:tcW w:w="2676" w:type="dxa"/>
            <w:vMerge w:val="continue"/>
            <w:tcBorders>
              <w:bottom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恒温水浴</w:t>
            </w:r>
          </w:p>
        </w:tc>
        <w:tc>
          <w:tcPr>
            <w:tcW w:w="2676" w:type="dxa"/>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快速法</w:t>
            </w: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恒温恒湿养护箱</w:t>
            </w:r>
          </w:p>
        </w:tc>
        <w:tc>
          <w:tcPr>
            <w:tcW w:w="2676" w:type="dxa"/>
            <w:vMerge w:val="restart"/>
            <w:tcBorders>
              <w:top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砂浆长度法</w:t>
            </w: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跳桌</w:t>
            </w:r>
          </w:p>
        </w:tc>
        <w:tc>
          <w:tcPr>
            <w:tcW w:w="2676" w:type="dxa"/>
            <w:vMerge w:val="continue"/>
            <w:tcBorders>
              <w:bottom w:val="single" w:color="auto" w:sz="4" w:space="0"/>
            </w:tcBorders>
            <w:noWrap w:val="0"/>
            <w:vAlign w:val="center"/>
          </w:tcPr>
          <w:p>
            <w:pPr>
              <w:widowControl/>
              <w:jc w:val="center"/>
              <w:textAlignment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切片机</w:t>
            </w:r>
          </w:p>
        </w:tc>
        <w:tc>
          <w:tcPr>
            <w:tcW w:w="2676" w:type="dxa"/>
            <w:vMerge w:val="restart"/>
            <w:tcBorders>
              <w:top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岩相法</w:t>
            </w:r>
          </w:p>
        </w:tc>
        <w:tc>
          <w:tcPr>
            <w:tcW w:w="4466" w:type="dxa"/>
            <w:vMerge w:val="restart"/>
            <w:tcBorders>
              <w:top w:val="single" w:color="auto" w:sz="4" w:space="0"/>
            </w:tcBorders>
            <w:noWrap w:val="0"/>
            <w:vAlign w:val="center"/>
          </w:tcPr>
          <w:p>
            <w:pPr>
              <w:jc w:val="both"/>
              <w:rPr>
                <w:rFonts w:hint="eastAsia" w:ascii="宋体" w:hAnsi="宋体" w:cs="宋体"/>
                <w:color w:val="auto"/>
                <w:szCs w:val="21"/>
                <w:highlight w:val="none"/>
              </w:rPr>
            </w:pPr>
            <w:r>
              <w:rPr>
                <w:rFonts w:hint="eastAsia" w:ascii="宋体" w:hAnsi="宋体" w:cs="宋体"/>
                <w:color w:val="auto"/>
                <w:szCs w:val="21"/>
                <w:highlight w:val="none"/>
              </w:rPr>
              <w:t>《建设用卵石、碎石》GB/T 14685-2022</w:t>
            </w:r>
          </w:p>
          <w:p>
            <w:pPr>
              <w:jc w:val="both"/>
              <w:rPr>
                <w:rFonts w:ascii="宋体" w:hAnsi="宋体" w:cs="宋体"/>
                <w:color w:val="auto"/>
                <w:szCs w:val="21"/>
                <w:highlight w:val="none"/>
              </w:rPr>
            </w:pPr>
            <w:r>
              <w:rPr>
                <w:rFonts w:hint="eastAsia" w:ascii="宋体" w:hAnsi="宋体" w:cs="宋体"/>
                <w:color w:val="auto"/>
                <w:szCs w:val="21"/>
                <w:highlight w:val="none"/>
              </w:rPr>
              <w:t>《水工混凝土试验规程》SL/T 352-2020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磨片机</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实体显微镜、偏光显微镜</w:t>
            </w:r>
          </w:p>
        </w:tc>
        <w:tc>
          <w:tcPr>
            <w:tcW w:w="2676" w:type="dxa"/>
            <w:vMerge w:val="continue"/>
            <w:tcBorders>
              <w:bottom w:val="single" w:color="auto" w:sz="4" w:space="0"/>
            </w:tcBorders>
            <w:noWrap w:val="0"/>
            <w:vAlign w:val="center"/>
          </w:tcPr>
          <w:p>
            <w:pPr>
              <w:widowControl/>
              <w:jc w:val="center"/>
              <w:textAlignment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圆筒钻机、切片机、磨片机</w:t>
            </w:r>
          </w:p>
        </w:tc>
        <w:tc>
          <w:tcPr>
            <w:tcW w:w="2676" w:type="dxa"/>
            <w:vMerge w:val="restart"/>
            <w:tcBorders>
              <w:top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碱-碳酸盐反应</w:t>
            </w:r>
          </w:p>
        </w:tc>
        <w:tc>
          <w:tcPr>
            <w:tcW w:w="4466" w:type="dxa"/>
            <w:vMerge w:val="restart"/>
            <w:tcBorders>
              <w:top w:val="single" w:color="auto" w:sz="4" w:space="0"/>
            </w:tcBorders>
            <w:noWrap w:val="0"/>
            <w:vAlign w:val="center"/>
          </w:tcPr>
          <w:p>
            <w:pPr>
              <w:jc w:val="both"/>
              <w:rPr>
                <w:rFonts w:ascii="宋体" w:hAnsi="宋体" w:cs="宋体"/>
                <w:color w:val="auto"/>
                <w:szCs w:val="21"/>
                <w:highlight w:val="none"/>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测长仪</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养护瓶</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表观密度*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液体天平</w:t>
            </w:r>
          </w:p>
        </w:tc>
        <w:tc>
          <w:tcPr>
            <w:tcW w:w="2676" w:type="dxa"/>
            <w:tcBorders>
              <w:top w:val="single" w:color="auto" w:sz="4" w:space="0"/>
              <w:bottom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液体比重天平法</w:t>
            </w: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广口瓶</w:t>
            </w:r>
          </w:p>
        </w:tc>
        <w:tc>
          <w:tcPr>
            <w:tcW w:w="2676" w:type="dxa"/>
            <w:tcBorders>
              <w:top w:val="single" w:color="auto" w:sz="4" w:space="0"/>
              <w:bottom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广口瓶法</w:t>
            </w: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堆积密度*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《普通混凝土用砂、石质量及检验方法标准》JGJ 52-2006</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容量筒</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空隙率*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《建设用卵石、碎石》</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14685-2022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《普通混凝土用砂、石质量及检验方法标准》JGJ 52-2006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容量筒</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10</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骨料、集料（轻集料）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筒压强度*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《轻集料及其试验方法 第2部分：轻集料试验方法》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承压筒</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托盘天平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堆积密度*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《轻集料及其试验方法 第2部分：轻集料试验方法》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容量筒</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托盘天平</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《轻集料及其试验方法 第2部分：轻集料试验方法》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粒型系数*</w:t>
            </w: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restart"/>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《轻集料及其试验方法 第2部分：轻集料试验方法》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容积筒</w:t>
            </w:r>
          </w:p>
        </w:tc>
        <w:tc>
          <w:tcPr>
            <w:tcW w:w="2676" w:type="dxa"/>
            <w:vMerge w:val="continue"/>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widowControl/>
              <w:jc w:val="both"/>
              <w:textAlignment w:val="top"/>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筛分析*</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《轻集料及其试验方法 第2部分：轻集料试验方法》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17431.2-2010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台秤</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摇筛机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11</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钢筋（含焊接与机械连接）</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屈服强度</w:t>
            </w:r>
          </w:p>
        </w:tc>
        <w:tc>
          <w:tcPr>
            <w:tcW w:w="2834" w:type="dxa"/>
            <w:tcBorders>
              <w:bottom w:val="single" w:color="auto" w:sz="4" w:space="0"/>
            </w:tcBorders>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《金属材料 拉伸试验 第1部分：室温试验方法》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228.1-2021</w:t>
            </w:r>
          </w:p>
          <w:p>
            <w:pPr>
              <w:widowControl/>
              <w:jc w:val="both"/>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《钢筋混凝土用钢材试验方法》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28900-2022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b/>
                <w:bCs/>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b/>
                <w:bCs/>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bidi="ar"/>
              </w:rPr>
              <w:t>引伸计</w:t>
            </w:r>
          </w:p>
        </w:tc>
        <w:tc>
          <w:tcPr>
            <w:tcW w:w="2676" w:type="dxa"/>
            <w:vMerge w:val="continue"/>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pStyle w:val="2"/>
              <w:jc w:val="both"/>
              <w:rPr>
                <w:rFonts w:hint="eastAsia" w:ascii="宋体" w:hAnsi="宋体" w:cs="宋体"/>
                <w:color w:val="auto"/>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抗拉强度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tcBorders>
              <w:top w:val="single" w:color="auto" w:sz="4" w:space="0"/>
            </w:tcBorders>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《金属材料 拉伸试验 第1部分：室温试验方法》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228.1-2021</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《钢筋混凝土用钢材试验方法》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28900-2022</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《钢筋焊接接头试验方法标准》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27-2014</w:t>
            </w:r>
          </w:p>
          <w:p>
            <w:pPr>
              <w:pStyle w:val="2"/>
              <w:jc w:val="both"/>
              <w:rPr>
                <w:color w:val="auto"/>
                <w:sz w:val="21"/>
                <w:szCs w:val="21"/>
                <w:highlight w:val="none"/>
              </w:rPr>
            </w:pPr>
            <w:r>
              <w:rPr>
                <w:rFonts w:hint="eastAsia" w:ascii="宋体" w:hAnsi="宋体" w:cs="宋体"/>
                <w:color w:val="auto"/>
                <w:sz w:val="21"/>
                <w:szCs w:val="21"/>
                <w:highlight w:val="none"/>
                <w:lang w:bidi="ar"/>
              </w:rPr>
              <w:t>《钢筋机械连接技术规程》JGJ 107-2016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断后伸长率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万能试验机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《金属材料 拉伸试验 第1部分：室温试验方法》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228.1-2021</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《钢筋混凝土用钢材试验方法》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28900-2022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标距仪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最大力下总延伸率</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《金属材料 拉伸试验 第1部分：室温试验方法》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228.1-2021</w:t>
            </w:r>
          </w:p>
          <w:p>
            <w:pPr>
              <w:widowControl/>
              <w:jc w:val="both"/>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《钢筋混凝土用钢材试验方法》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28900-2022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标距仪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手工法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电子引伸计*</w:t>
            </w:r>
          </w:p>
        </w:tc>
        <w:tc>
          <w:tcPr>
            <w:tcW w:w="2676"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引伸计法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反向弯曲</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弯曲试验机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《钢筋混凝土用钢 第2部分：热轧带肋钢筋》</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1499.2-2018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《钢筋混凝土用钢材试验方法》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28900-2022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重量偏差</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《钢筋混凝土用钢 第1部分：热轧光圆钢筋》GB∕T 1499.1-2017</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《钢筋混凝土用钢 第2部分：热轧带肋钢筋》</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1499.2-2018</w:t>
            </w:r>
          </w:p>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《冷轧带肋钢筋》</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13788-2017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rPr>
              <w:t>《钢筋混凝土用钢 第3部分：钢筋焊接网》</w:t>
            </w:r>
            <w:r>
              <w:rPr>
                <w:rFonts w:hint="eastAsia" w:ascii="宋体" w:hAnsi="宋体" w:cs="宋体"/>
                <w:color w:val="auto"/>
                <w:kern w:val="0"/>
                <w:szCs w:val="21"/>
                <w:highlight w:val="none"/>
                <w:lang w:eastAsia="zh-CN"/>
              </w:rPr>
              <w:t>GB/T</w:t>
            </w:r>
            <w:r>
              <w:rPr>
                <w:rFonts w:hint="eastAsia" w:ascii="宋体" w:hAnsi="宋体" w:cs="宋体"/>
                <w:color w:val="auto"/>
                <w:kern w:val="0"/>
                <w:szCs w:val="21"/>
                <w:highlight w:val="none"/>
              </w:rPr>
              <w:t xml:space="preserve"> 1499.3-2022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钢直尺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重量偏差测定仪*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残余变形</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《钢筋机械连接技术规程》JGJ 107-2016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残余变形测量装置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弯曲性能*</w:t>
            </w:r>
          </w:p>
        </w:tc>
        <w:tc>
          <w:tcPr>
            <w:tcW w:w="2834"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弯曲试验机</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万能试验机和弯曲装置</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《金属材料 弯曲试验方法》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232-2010</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《钢筋混凝土用钢材试验方法》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28900-2022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《钢筋焊接接头试验方法标准》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27-2014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12</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外加剂</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减水率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《普通混凝土拌合物性能试验方法标准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50080-2016</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《混凝土外加剂》GB 8076-2008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坍落度仪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color w:val="auto"/>
                <w:szCs w:val="21"/>
                <w:highlight w:val="none"/>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钢直尺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pH值</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酸度计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《混凝土外加剂匀质性试验方法》GB/T 8077-2023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密度（或细度）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比重瓶</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密度(比重瓶法)</w:t>
            </w: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混凝土外加剂匀质性试验方法》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8077-2023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恒温设备</w:t>
            </w:r>
          </w:p>
        </w:tc>
        <w:tc>
          <w:tcPr>
            <w:tcW w:w="2676" w:type="dxa"/>
            <w:vMerge w:val="continue"/>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精密密度计</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密度(精密密度计法)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波美比重计</w:t>
            </w:r>
          </w:p>
        </w:tc>
        <w:tc>
          <w:tcPr>
            <w:tcW w:w="2676" w:type="dxa"/>
            <w:vMerge w:val="continue"/>
            <w:tcBorders>
              <w:bottom w:val="single" w:color="auto" w:sz="4" w:space="0"/>
            </w:tcBorders>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液体比重天平</w:t>
            </w:r>
          </w:p>
        </w:tc>
        <w:tc>
          <w:tcPr>
            <w:tcW w:w="2676" w:type="dxa"/>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tcBorders>
              <w:top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细度</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抗压强度比</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《混凝土外加剂》GB 8076-2008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《混凝土物理力学性能试验方法标准》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微机控制电液伺服压力试验机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凝结时间（差）</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《混凝土外加剂》GB 8076-2008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《普通混凝土拌合物性能试验方法标准》(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bidi="ar"/>
              </w:rPr>
              <w:t>贯入阻力仪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含气量</w:t>
            </w:r>
          </w:p>
        </w:tc>
        <w:tc>
          <w:tcPr>
            <w:tcW w:w="2834"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含气量测定仪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《普通混凝土拌合物性能试验方法标准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50080-2016</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《混凝土外加剂》GB 8076-2008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固体含量（或含水率）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《混凝土外加剂匀质性试验方法》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8077-2023</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《混凝土防冻剂》</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475-2004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《喷射混凝土用速凝剂》</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477-2005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限制膨胀率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胶砂搅拌机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《混凝土膨胀剂》</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23439-2017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限制膨胀率测量仪</w:t>
            </w:r>
          </w:p>
        </w:tc>
        <w:tc>
          <w:tcPr>
            <w:tcW w:w="2676" w:type="dxa"/>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纵向限制器</w:t>
            </w:r>
          </w:p>
        </w:tc>
        <w:tc>
          <w:tcPr>
            <w:tcW w:w="2676" w:type="dxa"/>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比长仪</w:t>
            </w:r>
          </w:p>
        </w:tc>
        <w:tc>
          <w:tcPr>
            <w:tcW w:w="2676" w:type="dxa"/>
            <w:noWrap w:val="0"/>
            <w:vAlign w:val="center"/>
          </w:tcPr>
          <w:p>
            <w:pPr>
              <w:widowControl/>
              <w:jc w:val="center"/>
              <w:textAlignment w:val="center"/>
              <w:rPr>
                <w:rFonts w:hint="eastAsia" w:ascii="宋体" w:hAnsi="宋体" w:cs="宋体"/>
                <w:b/>
                <w:bCs/>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泌水率比</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《混凝土外加剂》GB 8076-2008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《水泥砂浆防冻剂》</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2031-2010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容积筒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氯离子含量</w:t>
            </w:r>
          </w:p>
        </w:tc>
        <w:tc>
          <w:tcPr>
            <w:tcW w:w="2834" w:type="dxa"/>
            <w:noWrap w:val="0"/>
            <w:vAlign w:val="center"/>
          </w:tcPr>
          <w:p>
            <w:pPr>
              <w:pStyle w:val="2"/>
              <w:jc w:val="center"/>
              <w:rPr>
                <w:rFonts w:ascii="宋体" w:hAnsi="宋体" w:cs="宋体"/>
                <w:color w:val="auto"/>
                <w:sz w:val="21"/>
                <w:szCs w:val="21"/>
                <w:highlight w:val="none"/>
              </w:rPr>
            </w:pPr>
            <w:r>
              <w:rPr>
                <w:rFonts w:hint="eastAsia" w:ascii="宋体" w:hAnsi="宋体" w:cs="宋体"/>
                <w:color w:val="auto"/>
                <w:sz w:val="21"/>
                <w:szCs w:val="21"/>
                <w:highlight w:val="none"/>
                <w:lang w:bidi="ar"/>
              </w:rPr>
              <w:t>电位滴定仪</w:t>
            </w:r>
            <w:r>
              <w:rPr>
                <w:rFonts w:hint="eastAsia" w:ascii="宋体" w:hAnsi="宋体" w:cs="宋体"/>
                <w:color w:val="auto"/>
                <w:sz w:val="21"/>
                <w:szCs w:val="21"/>
                <w:highlight w:val="none"/>
                <w:lang w:val="en-US" w:eastAsia="zh-CN" w:bidi="ar"/>
              </w:rPr>
              <w:t>/</w:t>
            </w:r>
            <w:r>
              <w:rPr>
                <w:rFonts w:hint="eastAsia" w:ascii="宋体" w:hAnsi="宋体" w:cs="宋体"/>
                <w:color w:val="auto"/>
                <w:sz w:val="21"/>
                <w:szCs w:val="21"/>
                <w:highlight w:val="none"/>
                <w:lang w:bidi="ar"/>
              </w:rPr>
              <w:t>酸度计</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电位滴定法</w:t>
            </w: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《混凝土外加剂匀质性试验方法》GB/T 8077-2023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天平（万分之一）</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离子色谱仪*</w:t>
            </w:r>
          </w:p>
        </w:tc>
        <w:tc>
          <w:tcPr>
            <w:tcW w:w="2676" w:type="dxa"/>
            <w:vMerge w:val="restart"/>
            <w:tcBorders>
              <w:top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离子色谱法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针头微孔滤器*</w:t>
            </w:r>
          </w:p>
        </w:tc>
        <w:tc>
          <w:tcPr>
            <w:tcW w:w="2676" w:type="dxa"/>
            <w:vMerge w:val="continue"/>
            <w:tcBorders>
              <w:top w:val="single" w:color="auto" w:sz="4" w:space="0"/>
              <w:bottom w:val="single" w:color="auto" w:sz="4" w:space="0"/>
            </w:tcBorders>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淋洗体系*</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抑制器*</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相对耐久性指标*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试件盒</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《混凝土外加剂》GB 8076-2008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快速冻融装置</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混凝土动弹性模量测定仪</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温度传感器</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含气量 1h 经时变化量 （坍落度、含气量）*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《混凝土外加剂》GB 8076-2008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《普通混凝土拌合物性能试验方法标准》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含气量测定仪</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color w:val="auto"/>
                <w:szCs w:val="21"/>
                <w:highlight w:val="none"/>
              </w:rPr>
            </w:pPr>
            <w:r>
              <w:rPr>
                <w:rFonts w:hint="eastAsia" w:ascii="宋体" w:hAnsi="宋体" w:cs="宋体"/>
                <w:color w:val="auto"/>
                <w:kern w:val="0"/>
                <w:szCs w:val="21"/>
                <w:highlight w:val="none"/>
                <w:lang w:bidi="ar"/>
              </w:rPr>
              <w:t>坍落度仪</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spacing w:after="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钢直尺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硫酸钠含量*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电阻高温炉</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《混凝土外加剂匀质性试验方法》GB/T 8077-2023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 w:bidi="ar"/>
              </w:rPr>
              <w:t>天平（万分之一）</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收缩率比*</w:t>
            </w:r>
          </w:p>
        </w:tc>
        <w:tc>
          <w:tcPr>
            <w:tcW w:w="2834"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混凝土收缩仪</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《混凝土外加剂》GB 8076-2008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火焰光度计</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火焰光度法</w:t>
            </w:r>
          </w:p>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《混凝土外加剂匀质性试验方法》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8077-2023</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天平</w:t>
            </w:r>
            <w:r>
              <w:rPr>
                <w:rFonts w:hint="eastAsia" w:ascii="宋体" w:hAnsi="宋体" w:cs="宋体"/>
                <w:color w:val="auto"/>
                <w:kern w:val="0"/>
                <w:szCs w:val="21"/>
                <w:highlight w:val="none"/>
              </w:rPr>
              <w:t>（万分之一）</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原子吸收分光光度计*</w:t>
            </w:r>
          </w:p>
        </w:tc>
        <w:tc>
          <w:tcPr>
            <w:tcW w:w="2676" w:type="dxa"/>
            <w:vMerge w:val="restart"/>
            <w:tcBorders>
              <w:top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原子吸收分光光度计法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天平</w:t>
            </w:r>
            <w:r>
              <w:rPr>
                <w:rFonts w:hint="eastAsia" w:ascii="宋体" w:hAnsi="宋体" w:cs="宋体"/>
                <w:color w:val="auto"/>
                <w:kern w:val="0"/>
                <w:szCs w:val="21"/>
                <w:highlight w:val="none"/>
              </w:rPr>
              <w:t>（万分之一）</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13</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砂浆</w:t>
            </w: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抗压强度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《建筑砂浆基本性能试验方法标准》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稠度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砂浆稠度测定仪</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《建筑砂浆基本性能试验方法标准》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砂浆搅拌机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砂浆搅拌机</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《建筑砂浆基本性能试验方法标准》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保水率装置</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拉伸粘接强度（抹灰、砌筑）</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砂浆搅拌机</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《建筑砂浆基本性能试验方法标准》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拉力试验机</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分层度*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砂浆搅拌机</w:t>
            </w:r>
          </w:p>
        </w:tc>
        <w:tc>
          <w:tcPr>
            <w:tcW w:w="2676" w:type="dxa"/>
            <w:vMerge w:val="restart"/>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《建筑砂浆基本性能试验方法标准》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bidi="ar"/>
              </w:rPr>
              <w:t>砂浆分层度筒</w:t>
            </w:r>
          </w:p>
        </w:tc>
        <w:tc>
          <w:tcPr>
            <w:tcW w:w="2676" w:type="dxa"/>
            <w:vMerge w:val="continue"/>
            <w:tcBorders>
              <w:top w:val="single" w:color="auto" w:sz="4" w:space="0"/>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pStyle w:val="2"/>
              <w:spacing w:after="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计时器</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配合比设计*</w:t>
            </w: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砂浆搅拌机</w:t>
            </w:r>
          </w:p>
        </w:tc>
        <w:tc>
          <w:tcPr>
            <w:tcW w:w="2676"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hint="eastAsia" w:ascii="宋体" w:hAnsi="宋体" w:cs="宋体"/>
                <w:color w:val="auto"/>
                <w:kern w:val="0"/>
                <w:szCs w:val="21"/>
                <w:highlight w:val="none"/>
                <w:lang w:bidi="ar"/>
              </w:rPr>
            </w:pP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《砌筑砂浆配合比设计规程》</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98-2010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砂浆稠度测定仪</w:t>
            </w:r>
          </w:p>
        </w:tc>
        <w:tc>
          <w:tcPr>
            <w:tcW w:w="2676" w:type="dxa"/>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top"/>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top"/>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万能试验机/压力试验机</w:t>
            </w:r>
          </w:p>
        </w:tc>
        <w:tc>
          <w:tcPr>
            <w:tcW w:w="2676" w:type="dxa"/>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top"/>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凝结时间*</w:t>
            </w: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《建筑砂浆基本性能试验方法标准》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砂浆凝结时间测定仪</w:t>
            </w:r>
          </w:p>
        </w:tc>
        <w:tc>
          <w:tcPr>
            <w:tcW w:w="2676" w:type="dxa"/>
            <w:vMerge w:val="continue"/>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noWrap w:val="0"/>
            <w:vAlign w:val="center"/>
          </w:tcPr>
          <w:p>
            <w:pPr>
              <w:widowControl/>
              <w:jc w:val="both"/>
              <w:textAlignment w:val="top"/>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tcBorders>
              <w:top w:val="single" w:color="auto" w:sz="4" w:space="0"/>
            </w:tcBorders>
            <w:noWrap w:val="0"/>
            <w:vAlign w:val="center"/>
          </w:tcPr>
          <w:p>
            <w:pPr>
              <w:pStyle w:val="2"/>
              <w:spacing w:after="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计时器</w:t>
            </w:r>
          </w:p>
        </w:tc>
        <w:tc>
          <w:tcPr>
            <w:tcW w:w="2676" w:type="dxa"/>
            <w:vMerge w:val="continue"/>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noWrap w:val="0"/>
            <w:vAlign w:val="center"/>
          </w:tcPr>
          <w:p>
            <w:pPr>
              <w:widowControl/>
              <w:jc w:val="both"/>
              <w:textAlignment w:val="top"/>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抗渗性能*</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砂浆渗透仪</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《建筑砂浆基本性能试验方法标准》</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70-2009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14</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混凝土</w:t>
            </w: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抗压强度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《混凝土物理力学性能试验方法标准》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14.2</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抗渗等级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混凝土抗渗仪</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坍落度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《普通混凝土拌合物性能试验方法标准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pStyle w:val="2"/>
              <w:widowControl/>
              <w:spacing w:after="0"/>
              <w:jc w:val="center"/>
              <w:textAlignment w:val="center"/>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坍落度仪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bottom w:val="single" w:color="auto" w:sz="4" w:space="0"/>
            </w:tcBorders>
            <w:noWrap w:val="0"/>
            <w:vAlign w:val="center"/>
          </w:tcPr>
          <w:p>
            <w:pPr>
              <w:pStyle w:val="2"/>
              <w:spacing w:after="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钢尺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pStyle w:val="2"/>
              <w:spacing w:after="0"/>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计时器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氯离子含量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天平（万分之一）、</w:t>
            </w:r>
            <w:r>
              <w:rPr>
                <w:rFonts w:hint="eastAsia" w:ascii="宋体" w:hAnsi="宋体" w:cs="宋体"/>
                <w:color w:val="auto"/>
                <w:szCs w:val="21"/>
                <w:highlight w:val="none"/>
                <w:lang w:bidi="ar"/>
              </w:rPr>
              <w:t>研磨设备、</w:t>
            </w:r>
            <w:r>
              <w:rPr>
                <w:rFonts w:hint="eastAsia" w:ascii="宋体" w:hAnsi="宋体" w:cs="宋体"/>
                <w:color w:val="auto"/>
                <w:kern w:val="0"/>
                <w:szCs w:val="21"/>
                <w:highlight w:val="none"/>
                <w:lang w:bidi="ar"/>
              </w:rPr>
              <w:t>烘箱、电位滴定仪</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酸度计</w:t>
            </w:r>
            <w:r>
              <w:rPr>
                <w:rFonts w:hint="eastAsia" w:ascii="宋体" w:hAnsi="宋体" w:cs="宋体"/>
                <w:color w:val="auto"/>
                <w:szCs w:val="21"/>
                <w:highlight w:val="none"/>
                <w:lang w:bidi="ar"/>
              </w:rPr>
              <w:t>滴定管</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快速法</w:t>
            </w: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《建筑结构检测技术标准》GB∕T 50344-2019</w:t>
            </w:r>
          </w:p>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《混凝土中氯离子含量检测技术规程》</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322-2013</w:t>
            </w:r>
          </w:p>
          <w:p>
            <w:pPr>
              <w:widowControl/>
              <w:jc w:val="both"/>
              <w:textAlignment w:val="top"/>
              <w:rPr>
                <w:rFonts w:ascii="宋体" w:hAnsi="宋体" w:cs="宋体"/>
                <w:color w:val="auto"/>
                <w:szCs w:val="21"/>
                <w:highlight w:val="none"/>
              </w:rPr>
            </w:pPr>
            <w:r>
              <w:rPr>
                <w:color w:val="auto"/>
                <w:szCs w:val="21"/>
                <w:highlight w:val="none"/>
              </w:rPr>
              <w:t>《混凝土氯离子控制标准》DBJT 15-232-2021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氯离子快速测定仪</w:t>
            </w:r>
            <w:r>
              <w:rPr>
                <w:rFonts w:hint="eastAsia" w:ascii="宋体" w:hAnsi="宋体" w:cs="宋体"/>
                <w:color w:val="auto"/>
                <w:kern w:val="0"/>
                <w:szCs w:val="21"/>
                <w:highlight w:val="none"/>
                <w:lang w:val="en-US" w:eastAsia="zh-CN" w:bidi="ar"/>
              </w:rPr>
              <w:t>/</w:t>
            </w:r>
            <w:r>
              <w:rPr>
                <w:rFonts w:hint="eastAsia" w:ascii="宋体" w:hAnsi="宋体" w:cs="宋体"/>
                <w:color w:val="auto"/>
                <w:szCs w:val="21"/>
                <w:highlight w:val="none"/>
                <w:lang w:bidi="ar"/>
              </w:rPr>
              <w:t>滴定管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限制膨胀率*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《混凝土外加剂应用技术规范》GB 50119-2013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bidi="ar"/>
              </w:rPr>
              <w:t>比长仪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纵向限制器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spacing w:after="0"/>
              <w:jc w:val="center"/>
              <w:rPr>
                <w:rFonts w:ascii="宋体" w:hAnsi="宋体" w:cs="宋体"/>
                <w:color w:val="auto"/>
                <w:sz w:val="21"/>
                <w:szCs w:val="21"/>
                <w:highlight w:val="none"/>
              </w:rPr>
            </w:pPr>
            <w:r>
              <w:rPr>
                <w:rFonts w:hint="eastAsia" w:ascii="宋体" w:hAnsi="宋体" w:cs="宋体"/>
                <w:color w:val="auto"/>
                <w:sz w:val="21"/>
                <w:szCs w:val="21"/>
                <w:highlight w:val="none"/>
                <w:lang w:bidi="ar"/>
              </w:rPr>
              <w:t>恒温恒湿箱养护室</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抗冻性能*</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冻融试验箱</w:t>
            </w:r>
          </w:p>
        </w:tc>
        <w:tc>
          <w:tcPr>
            <w:tcW w:w="2676"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慢速法</w:t>
            </w: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温度传感器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试件盒</w:t>
            </w:r>
          </w:p>
        </w:tc>
        <w:tc>
          <w:tcPr>
            <w:tcW w:w="2676" w:type="dxa"/>
            <w:vMerge w:val="restart"/>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快速法</w:t>
            </w:r>
          </w:p>
          <w:p>
            <w:pPr>
              <w:widowControl/>
              <w:jc w:val="center"/>
              <w:textAlignment w:val="center"/>
              <w:rPr>
                <w:rFonts w:ascii="宋体" w:hAnsi="宋体" w:cs="宋体"/>
                <w:color w:val="auto"/>
                <w:szCs w:val="21"/>
                <w:highlight w:val="none"/>
              </w:rPr>
            </w:pPr>
          </w:p>
        </w:tc>
        <w:tc>
          <w:tcPr>
            <w:tcW w:w="4466" w:type="dxa"/>
            <w:vMerge w:val="restart"/>
            <w:tcBorders>
              <w:top w:val="single" w:color="auto" w:sz="4" w:space="0"/>
            </w:tcBorders>
            <w:noWrap w:val="0"/>
            <w:vAlign w:val="center"/>
          </w:tcPr>
          <w:p>
            <w:pPr>
              <w:jc w:val="both"/>
              <w:rPr>
                <w:rFonts w:ascii="宋体" w:hAnsi="宋体" w:cs="宋体"/>
                <w:color w:val="auto"/>
                <w:szCs w:val="21"/>
                <w:highlight w:val="none"/>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快速冻融装置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widowControl/>
              <w:jc w:val="center"/>
              <w:textAlignment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混凝土动弹性模量测定仪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温度传感器</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tcBorders>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试件盒</w:t>
            </w:r>
          </w:p>
        </w:tc>
        <w:tc>
          <w:tcPr>
            <w:tcW w:w="2676" w:type="dxa"/>
            <w:vMerge w:val="restart"/>
            <w:tcBorders>
              <w:top w:val="single" w:color="auto" w:sz="4"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单面冻融法（或称盐冻法）</w:t>
            </w:r>
            <w:r>
              <w:rPr>
                <w:rFonts w:hint="eastAsia" w:ascii="宋体" w:hAnsi="宋体" w:cs="宋体"/>
                <w:color w:val="auto"/>
                <w:kern w:val="0"/>
                <w:szCs w:val="21"/>
                <w:highlight w:val="none"/>
                <w:lang w:val="en-US" w:eastAsia="zh-CN" w:bidi="ar"/>
              </w:rPr>
              <w:t>*</w:t>
            </w:r>
          </w:p>
        </w:tc>
        <w:tc>
          <w:tcPr>
            <w:tcW w:w="4466" w:type="dxa"/>
            <w:vMerge w:val="restart"/>
            <w:tcBorders>
              <w:top w:val="single" w:color="auto" w:sz="4" w:space="0"/>
            </w:tcBorders>
            <w:noWrap w:val="0"/>
            <w:vAlign w:val="center"/>
          </w:tcPr>
          <w:p>
            <w:pPr>
              <w:jc w:val="both"/>
              <w:rPr>
                <w:rFonts w:ascii="宋体" w:hAnsi="宋体" w:cs="宋体"/>
                <w:color w:val="auto"/>
                <w:szCs w:val="21"/>
                <w:highlight w:val="none"/>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单面冻融试验箱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超声浴槽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超声波测试仪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超声传播时间测量装置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表观密度*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《普通混凝土拌合物性能试验方法标准》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含气量*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仅限粒径不大于40mm的拌合物</w:t>
            </w: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《普通混凝土拌合物性能试验方法标准》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含气量测定仪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凝结时间*</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tcBorders>
              <w:top w:val="single" w:color="auto" w:sz="4" w:space="0"/>
              <w:bottom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《普通混凝土拌合物性能试验方法标准》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50080-2016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color w:val="auto"/>
                <w:szCs w:val="21"/>
                <w:highlight w:val="none"/>
              </w:rPr>
            </w:pPr>
            <w:r>
              <w:rPr>
                <w:rFonts w:hint="eastAsia" w:ascii="宋体" w:hAnsi="宋体" w:cs="宋体"/>
                <w:color w:val="auto"/>
                <w:kern w:val="0"/>
                <w:szCs w:val="21"/>
                <w:highlight w:val="none"/>
                <w:lang w:bidi="ar"/>
              </w:rPr>
              <w:t>贯入阻力仪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spacing w:after="0"/>
              <w:jc w:val="center"/>
              <w:rPr>
                <w:rFonts w:hint="eastAsia"/>
                <w:color w:val="auto"/>
                <w:sz w:val="21"/>
                <w:szCs w:val="21"/>
                <w:highlight w:val="none"/>
              </w:rPr>
            </w:pPr>
            <w:r>
              <w:rPr>
                <w:rFonts w:hint="eastAsia"/>
                <w:color w:val="auto"/>
                <w:sz w:val="21"/>
                <w:szCs w:val="21"/>
                <w:highlight w:val="none"/>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spacing w:after="0"/>
              <w:jc w:val="center"/>
              <w:rPr>
                <w:rFonts w:hint="eastAsia"/>
                <w:color w:val="auto"/>
                <w:sz w:val="21"/>
                <w:szCs w:val="21"/>
                <w:highlight w:val="none"/>
              </w:rPr>
            </w:pPr>
            <w:r>
              <w:rPr>
                <w:rFonts w:hint="eastAsia"/>
                <w:color w:val="auto"/>
                <w:sz w:val="21"/>
                <w:szCs w:val="21"/>
                <w:highlight w:val="none"/>
              </w:rPr>
              <w:t>砂浆试样筒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pStyle w:val="2"/>
              <w:spacing w:after="0"/>
              <w:jc w:val="center"/>
              <w:rPr>
                <w:color w:val="auto"/>
                <w:sz w:val="21"/>
                <w:szCs w:val="21"/>
                <w:highlight w:val="none"/>
              </w:rPr>
            </w:pPr>
            <w:r>
              <w:rPr>
                <w:rFonts w:hint="eastAsia"/>
                <w:color w:val="auto"/>
                <w:sz w:val="21"/>
                <w:szCs w:val="21"/>
                <w:highlight w:val="none"/>
              </w:rPr>
              <w:t>计时器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tcBorders>
              <w:top w:val="single" w:color="auto" w:sz="4" w:space="0"/>
              <w:bottom w:val="single" w:color="auto" w:sz="4" w:space="0"/>
            </w:tcBorders>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14.10</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万能试验机/压力试验机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tcBorders>
              <w:top w:val="single" w:color="auto" w:sz="4" w:space="0"/>
            </w:tcBorders>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《混凝土物理力学性能试验方法标准》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劈裂抗拉强度*</w:t>
            </w:r>
          </w:p>
        </w:tc>
        <w:tc>
          <w:tcPr>
            <w:tcW w:w="2834"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万能试验机/压力试验机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《混凝土物理力学性能试验方法标准》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color w:val="auto"/>
                <w:szCs w:val="21"/>
                <w:highlight w:val="none"/>
              </w:rPr>
            </w:pPr>
          </w:p>
        </w:tc>
        <w:tc>
          <w:tcPr>
            <w:tcW w:w="952" w:type="dxa"/>
            <w:vMerge w:val="continue"/>
            <w:noWrap w:val="0"/>
            <w:vAlign w:val="center"/>
          </w:tcPr>
          <w:p>
            <w:pPr>
              <w:jc w:val="center"/>
              <w:rPr>
                <w:color w:val="auto"/>
                <w:szCs w:val="21"/>
                <w:highlight w:val="none"/>
              </w:rPr>
            </w:pPr>
          </w:p>
        </w:tc>
        <w:tc>
          <w:tcPr>
            <w:tcW w:w="855" w:type="dxa"/>
            <w:vMerge w:val="restart"/>
            <w:noWrap w:val="0"/>
            <w:vAlign w:val="center"/>
          </w:tcPr>
          <w:p>
            <w:pPr>
              <w:jc w:val="center"/>
              <w:rPr>
                <w:color w:val="auto"/>
                <w:szCs w:val="21"/>
                <w:highlight w:val="none"/>
              </w:rPr>
            </w:pPr>
            <w:r>
              <w:rPr>
                <w:rFonts w:hint="eastAsia" w:ascii="宋体" w:hAnsi="宋体" w:cs="宋体"/>
                <w:color w:val="auto"/>
                <w:kern w:val="0"/>
                <w:szCs w:val="21"/>
                <w:highlight w:val="none"/>
                <w:lang w:bidi="ar"/>
              </w:rPr>
              <w:t>14.12</w:t>
            </w:r>
          </w:p>
        </w:tc>
        <w:tc>
          <w:tcPr>
            <w:tcW w:w="1483" w:type="dxa"/>
            <w:vMerge w:val="restart"/>
            <w:noWrap w:val="0"/>
            <w:vAlign w:val="center"/>
          </w:tcPr>
          <w:p>
            <w:pPr>
              <w:jc w:val="center"/>
              <w:rPr>
                <w:color w:val="auto"/>
                <w:szCs w:val="21"/>
                <w:highlight w:val="none"/>
              </w:rPr>
            </w:pPr>
            <w:r>
              <w:rPr>
                <w:rFonts w:hint="eastAsia" w:ascii="宋体" w:hAnsi="宋体" w:cs="宋体"/>
                <w:color w:val="auto"/>
                <w:kern w:val="0"/>
                <w:szCs w:val="21"/>
                <w:highlight w:val="none"/>
                <w:lang w:bidi="ar"/>
              </w:rPr>
              <w:t>静力受压弹性模量*</w:t>
            </w: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noWrap w:val="0"/>
            <w:vAlign w:val="center"/>
          </w:tcPr>
          <w:p>
            <w:pPr>
              <w:jc w:val="center"/>
              <w:rPr>
                <w:rFonts w:ascii="宋体" w:hAnsi="宋体" w:cs="宋体"/>
                <w:b/>
                <w:bCs/>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《混凝土物理力学性能试验方法标准》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color w:val="auto"/>
                <w:szCs w:val="21"/>
                <w:highlight w:val="none"/>
              </w:rPr>
            </w:pPr>
          </w:p>
        </w:tc>
        <w:tc>
          <w:tcPr>
            <w:tcW w:w="952" w:type="dxa"/>
            <w:vMerge w:val="continue"/>
            <w:noWrap w:val="0"/>
            <w:vAlign w:val="center"/>
          </w:tcPr>
          <w:p>
            <w:pPr>
              <w:jc w:val="center"/>
              <w:rPr>
                <w:color w:val="auto"/>
                <w:szCs w:val="21"/>
                <w:highlight w:val="none"/>
              </w:rPr>
            </w:pPr>
          </w:p>
        </w:tc>
        <w:tc>
          <w:tcPr>
            <w:tcW w:w="855" w:type="dxa"/>
            <w:vMerge w:val="continue"/>
            <w:noWrap w:val="0"/>
            <w:vAlign w:val="center"/>
          </w:tcPr>
          <w:p>
            <w:pPr>
              <w:jc w:val="center"/>
              <w:rPr>
                <w:color w:val="auto"/>
                <w:szCs w:val="21"/>
                <w:highlight w:val="none"/>
              </w:rPr>
            </w:pPr>
          </w:p>
        </w:tc>
        <w:tc>
          <w:tcPr>
            <w:tcW w:w="1483" w:type="dxa"/>
            <w:vMerge w:val="continue"/>
            <w:noWrap w:val="0"/>
            <w:vAlign w:val="center"/>
          </w:tcPr>
          <w:p>
            <w:pPr>
              <w:jc w:val="center"/>
              <w:rPr>
                <w:color w:val="auto"/>
                <w:szCs w:val="21"/>
                <w:highlight w:val="none"/>
              </w:rPr>
            </w:pPr>
          </w:p>
        </w:tc>
        <w:tc>
          <w:tcPr>
            <w:tcW w:w="2834" w:type="dxa"/>
            <w:tcBorders>
              <w:top w:val="single" w:color="auto" w:sz="4" w:space="0"/>
            </w:tcBorders>
            <w:noWrap w:val="0"/>
            <w:vAlign w:val="center"/>
          </w:tcPr>
          <w:p>
            <w:pPr>
              <w:jc w:val="center"/>
              <w:rPr>
                <w:color w:val="auto"/>
                <w:szCs w:val="21"/>
                <w:highlight w:val="none"/>
              </w:rPr>
            </w:pPr>
            <w:r>
              <w:rPr>
                <w:rFonts w:hint="eastAsia" w:ascii="宋体" w:hAnsi="宋体" w:cs="宋体"/>
                <w:color w:val="auto"/>
                <w:kern w:val="0"/>
                <w:szCs w:val="21"/>
                <w:highlight w:val="none"/>
                <w:lang w:bidi="ar"/>
              </w:rPr>
              <w:t>微变形测量装置（含千分表</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位移传感器）</w:t>
            </w:r>
          </w:p>
        </w:tc>
        <w:tc>
          <w:tcPr>
            <w:tcW w:w="2676" w:type="dxa"/>
            <w:noWrap w:val="0"/>
            <w:vAlign w:val="center"/>
          </w:tcPr>
          <w:p>
            <w:pPr>
              <w:jc w:val="center"/>
              <w:rPr>
                <w:rFonts w:ascii="宋体" w:hAnsi="宋体" w:cs="宋体"/>
                <w:color w:val="auto"/>
                <w:kern w:val="0"/>
                <w:szCs w:val="21"/>
                <w:highlight w:val="none"/>
                <w:lang w:bidi="ar"/>
              </w:rPr>
            </w:pPr>
          </w:p>
        </w:tc>
        <w:tc>
          <w:tcPr>
            <w:tcW w:w="4466" w:type="dxa"/>
            <w:vMerge w:val="continue"/>
            <w:noWrap w:val="0"/>
            <w:vAlign w:val="center"/>
          </w:tcPr>
          <w:p>
            <w:pPr>
              <w:jc w:val="both"/>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抑制碱-骨料反应有效性*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方孔筛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w:t>
            </w:r>
          </w:p>
          <w:p>
            <w:pPr>
              <w:widowControl/>
              <w:jc w:val="both"/>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《预防混凝土碱骨料反应技术规范》</w:t>
            </w:r>
            <w:r>
              <w:rPr>
                <w:rFonts w:hint="eastAsia" w:ascii="宋体" w:hAnsi="宋体" w:cs="宋体"/>
                <w:color w:val="auto"/>
                <w:szCs w:val="21"/>
                <w:highlight w:val="none"/>
                <w:lang w:eastAsia="zh-CN" w:bidi="ar"/>
              </w:rPr>
              <w:t>GB/T</w:t>
            </w:r>
            <w:r>
              <w:rPr>
                <w:rFonts w:hint="eastAsia" w:ascii="宋体" w:hAnsi="宋体" w:cs="宋体"/>
                <w:color w:val="auto"/>
                <w:szCs w:val="21"/>
                <w:highlight w:val="none"/>
                <w:lang w:bidi="ar"/>
              </w:rPr>
              <w:t xml:space="preserve"> 50733-2011</w:t>
            </w:r>
          </w:p>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《铁路混凝土》TBT 3275-2018</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比长仪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胶砂搅拌机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跳桌</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恒温水浴</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烘箱及养护筒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天平（万分之一）</w:t>
            </w:r>
          </w:p>
        </w:tc>
        <w:tc>
          <w:tcPr>
            <w:tcW w:w="2676" w:type="dxa"/>
            <w:vMerge w:val="restart"/>
            <w:noWrap w:val="0"/>
            <w:vAlign w:val="center"/>
          </w:tcPr>
          <w:p>
            <w:pPr>
              <w:widowControl/>
              <w:jc w:val="center"/>
              <w:textAlignment w:val="center"/>
              <w:rPr>
                <w:rFonts w:ascii="宋体" w:hAnsi="宋体" w:cs="宋体"/>
                <w:color w:val="auto"/>
                <w:szCs w:val="21"/>
                <w:highlight w:val="none"/>
              </w:rPr>
            </w:pPr>
          </w:p>
        </w:tc>
        <w:tc>
          <w:tcPr>
            <w:tcW w:w="4466" w:type="dxa"/>
            <w:vMerge w:val="restart"/>
            <w:noWrap w:val="0"/>
            <w:vAlign w:val="center"/>
          </w:tcPr>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《混凝土结构现场检测技术标准》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50784-2013</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铂皿、通风橱、电热板</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火焰光度计</w:t>
            </w:r>
          </w:p>
        </w:tc>
        <w:tc>
          <w:tcPr>
            <w:tcW w:w="2676" w:type="dxa"/>
            <w:tcBorders>
              <w:top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原子吸收分光光度计</w:t>
            </w:r>
          </w:p>
        </w:tc>
        <w:tc>
          <w:tcPr>
            <w:tcW w:w="2676"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原子吸收分光光度法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14.15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配合比设计*</w:t>
            </w: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混凝土搅拌机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《普通混凝土配合比设计规程 》JGJ 55-2011</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《轻骨料混凝土应用技术标准 》</w:t>
            </w:r>
            <w:r>
              <w:rPr>
                <w:rFonts w:hint="eastAsia" w:ascii="宋体" w:hAnsi="宋体" w:cs="宋体"/>
                <w:color w:val="auto"/>
                <w:kern w:val="0"/>
                <w:szCs w:val="21"/>
                <w:highlight w:val="none"/>
                <w:lang w:eastAsia="zh-CN" w:bidi="ar"/>
              </w:rPr>
              <w:t>JGJ/T</w:t>
            </w:r>
            <w:r>
              <w:rPr>
                <w:rFonts w:hint="eastAsia" w:ascii="宋体" w:hAnsi="宋体" w:cs="宋体"/>
                <w:color w:val="auto"/>
                <w:kern w:val="0"/>
                <w:szCs w:val="21"/>
                <w:highlight w:val="none"/>
                <w:lang w:bidi="ar"/>
              </w:rPr>
              <w:t xml:space="preserve"> 12-2019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秤</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容量筒</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坍落度仪</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养护室</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养护箱</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混凝土抗渗仪</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15</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防水材料及防水密封材料（防水卷材）</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可溶物含量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《建筑防水卷材试验方法 第26部分：沥青防水卷材 可溶物含量(浸涂材料含量)》</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328.26-2007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萃取器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拉力</w:t>
            </w: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恒温恒湿标准养护箱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p>
            <w:pPr>
              <w:widowControl/>
              <w:jc w:val="center"/>
              <w:textAlignment w:val="center"/>
              <w:rPr>
                <w:rFonts w:ascii="宋体" w:hAnsi="宋体" w:cs="宋体"/>
                <w:color w:val="auto"/>
                <w:szCs w:val="21"/>
                <w:highlight w:val="none"/>
              </w:rPr>
            </w:pP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《建筑防水试验方法 第8部：沥青防水卷材拉伸性能》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328.8-2007</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《建筑防水试验方法 第9部分：高分子防水卷材拉伸性能》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328.9-2007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《氯化聚乙烯防水卷材》GB 12953-2003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延伸率（或最大力时延伸率）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恒温恒湿标准养护箱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《建筑防水卷材试验方法 第8部分：沥青防水卷材 拉伸性能》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328.8-2007</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《建筑防水卷材试验方法 第9部分：高分子防水卷材 拉伸性能》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328.9-2007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《氯化聚乙烯防水卷材》GB 12953-2003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大变形引伸计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低温柔度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恒温恒湿标准养护箱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《建筑防水卷材试验方法 第14部分：沥青防水卷材 低温柔性》</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328.14-2007</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《氯化聚乙烯防水卷材》GB 12953-2003</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《建筑防水卷材试验方法 第15部分：高分子防水卷材 低温弯折性》</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328.15-2007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《高分子防水材料 第1部分:片材》</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18173.1-2012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低温试验箱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弯折板</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低温柔度测试仪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热老化后低温柔度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恒温恒湿标准养护箱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《弹性体改性沥青防水卷材》GB 18242-2008</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《自粘聚合物改性沥青防水卷材》GB 23441-2009</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《湿铺防水卷材》</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35467-2017</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《建筑防水材料老化试验方法》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18244-2022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《预铺防水卷材》</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23457-2017</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《道桥用改性沥青防水卷材》</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974-2005</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《氯乙烯(PVC)防水卷材》GB 12952-2011</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《热塑性聚烯烃(TPO)防水卷材》GB 27789-2011</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《高分子防水材料 第1部分:片材》</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18173.1-2012</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《氯化聚乙烯防水卷材》GB 12953-2003</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《胶粉改性沥青聚酯毡与玻纤网格布增强防水卷材》</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1078-2008</w:t>
            </w:r>
          </w:p>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《建筑防水卷材试验方法 第14部分：沥青防水卷材 低温柔性》</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328.14-2007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《建筑防水卷材试验方法 第15部分：高分子防水卷材 低温弯折性》</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328.15-2007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低温试验箱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弯折板</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低温柔度测试仪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热空气老化试验箱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不透水性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恒温恒湿标准养护箱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《建筑防水卷材试验方法 第10部分：沥青和高分子防水卷材 不透水性》</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328.10-2007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《高分子防水材料 第1部分：片材》</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18173.1-2012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不透水试验仪</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耐热度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光学测量装置</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《建筑防水试验方法 第11部分：沥青防水卷材耐热性》</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328.11-2007</w:t>
            </w:r>
          </w:p>
          <w:p>
            <w:pPr>
              <w:widowControl/>
              <w:jc w:val="both"/>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《自粘聚合物改性沥青防水卷材》GB 23441-2009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断裂拉伸强度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《高分子防水材料 第1部分 片材》</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18173.1-2012</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《氯化聚乙烯防水卷材》GB 12953-2003</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《硫化橡胶或热塑性橡胶 拉伸应力应变性能的测定》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528-2009</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《塑料 拉伸性能的测定 第2部分：模塑和挤塑塑料的试验条件》</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1040.2-2022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测厚仪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断裂伸长率</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《高分子防水材料 第1部分 片材》</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18173.1-2012</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《氯化聚乙烯防水卷材》GB 12953-2003</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《硫化橡胶或热塑性橡胶 拉伸应力应变性能的测定》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528-2009</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《塑料 拉伸性能的测定 第2部分：模塑和挤塑塑料的试验条件》</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1040.2-2022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大变形引伸计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撕裂强度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《建筑防水试验方法第18部分沥青防水卷材撕裂性能（钉杆法）》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328.18-2007</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《建筑防水试验方法第19部分高分子防水卷材撕裂性能》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328.19-2007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《硫化橡胶或热塑性橡胶撕裂强度的测定(裤形、直角形和新月形试样)》</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529-2008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测厚仪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15.11</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接缝剥离强度*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《建筑防水试验方法 第20部分：沥青防水卷材接缝剥离性能》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328.20-2007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《建筑防水试验方法 第21部分：高分子防水卷材接缝剥离性能》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328.21-2007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搭接缝不透水性*</w:t>
            </w:r>
          </w:p>
        </w:tc>
        <w:tc>
          <w:tcPr>
            <w:tcW w:w="2834"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防水卷材搭接缝不透水性仪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《建筑防水材料工程要求试验方法》TCWA 302-2023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15.13</w:t>
            </w:r>
          </w:p>
        </w:tc>
        <w:tc>
          <w:tcPr>
            <w:tcW w:w="1483"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剪切性能（胶粘剂、胶粘带）*</w:t>
            </w: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拉力试验机</w:t>
            </w:r>
          </w:p>
        </w:tc>
        <w:tc>
          <w:tcPr>
            <w:tcW w:w="2676" w:type="dxa"/>
            <w:noWrap w:val="0"/>
            <w:vAlign w:val="center"/>
          </w:tcPr>
          <w:p>
            <w:pPr>
              <w:widowControl/>
              <w:jc w:val="center"/>
              <w:textAlignment w:val="center"/>
              <w:rPr>
                <w:rFonts w:hint="eastAsia" w:ascii="宋体" w:hAnsi="宋体" w:eastAsia="宋体" w:cs="宋体"/>
                <w:color w:val="auto"/>
                <w:kern w:val="0"/>
                <w:szCs w:val="21"/>
                <w:highlight w:val="none"/>
                <w:lang w:bidi="ar"/>
              </w:rPr>
            </w:pPr>
          </w:p>
        </w:tc>
        <w:tc>
          <w:tcPr>
            <w:tcW w:w="4466" w:type="dxa"/>
            <w:noWrap w:val="0"/>
            <w:vAlign w:val="center"/>
          </w:tcPr>
          <w:p>
            <w:pPr>
              <w:widowControl/>
              <w:jc w:val="both"/>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《高分子防水卷材胶粘剂》</w:t>
            </w:r>
            <w:r>
              <w:rPr>
                <w:rFonts w:hint="eastAsia" w:ascii="宋体" w:hAnsi="宋体" w:eastAsia="宋体" w:cs="宋体"/>
                <w:color w:val="auto"/>
                <w:kern w:val="0"/>
                <w:szCs w:val="21"/>
                <w:highlight w:val="none"/>
                <w:lang w:eastAsia="zh-CN" w:bidi="ar"/>
              </w:rPr>
              <w:t>JC/T</w:t>
            </w:r>
            <w:r>
              <w:rPr>
                <w:rFonts w:hint="eastAsia" w:ascii="宋体" w:hAnsi="宋体" w:eastAsia="宋体" w:cs="宋体"/>
                <w:color w:val="auto"/>
                <w:kern w:val="0"/>
                <w:szCs w:val="21"/>
                <w:highlight w:val="none"/>
                <w:lang w:bidi="ar"/>
              </w:rPr>
              <w:t xml:space="preserve"> 863-2011</w:t>
            </w:r>
          </w:p>
          <w:p>
            <w:pPr>
              <w:widowControl/>
              <w:jc w:val="both"/>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《氯化聚乙烯防水卷材》GB 12953-2003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15.14</w:t>
            </w:r>
          </w:p>
        </w:tc>
        <w:tc>
          <w:tcPr>
            <w:tcW w:w="1483"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剥离性能（胶粘剂、胶粘带）*</w:t>
            </w:r>
          </w:p>
        </w:tc>
        <w:tc>
          <w:tcPr>
            <w:tcW w:w="2834" w:type="dxa"/>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拉力试验机</w:t>
            </w:r>
          </w:p>
        </w:tc>
        <w:tc>
          <w:tcPr>
            <w:tcW w:w="2676" w:type="dxa"/>
            <w:noWrap w:val="0"/>
            <w:vAlign w:val="center"/>
          </w:tcPr>
          <w:p>
            <w:pPr>
              <w:widowControl/>
              <w:jc w:val="center"/>
              <w:textAlignment w:val="center"/>
              <w:rPr>
                <w:rFonts w:hint="eastAsia" w:ascii="宋体" w:hAnsi="宋体" w:eastAsia="宋体" w:cs="宋体"/>
                <w:color w:val="auto"/>
                <w:kern w:val="0"/>
                <w:szCs w:val="21"/>
                <w:highlight w:val="none"/>
                <w:lang w:bidi="ar"/>
              </w:rPr>
            </w:pPr>
          </w:p>
        </w:tc>
        <w:tc>
          <w:tcPr>
            <w:tcW w:w="4466" w:type="dxa"/>
            <w:noWrap w:val="0"/>
            <w:vAlign w:val="center"/>
          </w:tcPr>
          <w:p>
            <w:pPr>
              <w:widowControl/>
              <w:jc w:val="both"/>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《胶黏剂T剥离强度试验方法 挠性材料对挠性材料》</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2791-1995</w:t>
            </w:r>
          </w:p>
          <w:p>
            <w:pPr>
              <w:widowControl/>
              <w:jc w:val="both"/>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《高分子防水卷材胶粘剂》</w:t>
            </w:r>
            <w:r>
              <w:rPr>
                <w:rFonts w:hint="eastAsia" w:ascii="宋体" w:hAnsi="宋体" w:eastAsia="宋体" w:cs="宋体"/>
                <w:color w:val="auto"/>
                <w:kern w:val="0"/>
                <w:szCs w:val="21"/>
                <w:highlight w:val="none"/>
                <w:lang w:eastAsia="zh-CN" w:bidi="ar"/>
              </w:rPr>
              <w:t>JC/T</w:t>
            </w:r>
            <w:r>
              <w:rPr>
                <w:rFonts w:hint="eastAsia" w:ascii="宋体" w:hAnsi="宋体" w:eastAsia="宋体" w:cs="宋体"/>
                <w:color w:val="auto"/>
                <w:kern w:val="0"/>
                <w:szCs w:val="21"/>
                <w:highlight w:val="none"/>
                <w:lang w:bidi="ar"/>
              </w:rPr>
              <w:t xml:space="preserve"> 863-2011</w:t>
            </w:r>
          </w:p>
          <w:p>
            <w:pPr>
              <w:widowControl/>
              <w:jc w:val="both"/>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《胶粘带剥离强度的试验方法》</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2792-2014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防水材料及防水密封材料（防水涂料）</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固体含量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《建筑防水涂料试验方法》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《聚氨酯防水涂料》</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19250-2013</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《水乳型沥青防水涂料》</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408-2005</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《道桥用防水涂料》</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975-2005</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《色漆、清漆和塑料 不挥发物含量的测定》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1725-2007</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restart"/>
            <w:noWrap w:val="0"/>
            <w:vAlign w:val="center"/>
          </w:tcPr>
          <w:p>
            <w:pPr>
              <w:widowControl/>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卡</w:t>
            </w:r>
            <w:r>
              <w:rPr>
                <w:rFonts w:hint="eastAsia" w:ascii="宋体" w:hAnsi="宋体" w:cs="宋体"/>
                <w:color w:val="auto"/>
                <w:kern w:val="0"/>
                <w:szCs w:val="21"/>
                <w:highlight w:val="none"/>
                <w:lang w:bidi="ar"/>
              </w:rPr>
              <w:t>尔费休水分测定仪</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气相色谱仪</w:t>
            </w:r>
          </w:p>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拉伸强度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《建筑防水涂料试验方法》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大变形引伸计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测厚仪</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恒温恒湿养护箱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耐热性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《建筑防水涂料试验方法》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《非固化橡胶沥青防水涂料》</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2428-2017</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《水乳型沥青防水涂料》</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408-2005</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《道桥用防水涂料》</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975-2005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恒温恒湿养护箱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低温柔性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低温试验箱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《建筑防水涂料试验方法》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《非固化橡胶沥青防水涂料》</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2428-2017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恒温恒湿养护箱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top"/>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低温柔度测试仪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15.19</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不透水性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不透水仪</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《建筑防水涂料试验方法》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断裂伸长率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万能试验机拉伸试验机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《建筑防水涂料试验方法》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《水乳型沥青防水涂料》</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408-2005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大变形引伸计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恒温恒湿养护箱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养护室</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涂膜抗渗性*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砂浆渗透仪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《聚合物水泥防水涂料》</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23445-2009</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《无机防水堵漏材料》GB 23440-2009</w:t>
            </w:r>
          </w:p>
          <w:p>
            <w:pPr>
              <w:widowControl/>
              <w:jc w:val="both"/>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《水泥基渗透结晶型防水材料》GB 18445-2012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《环氧树脂防水涂料》</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2217-2014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混凝土抗渗仪</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浸水168h后拉伸强度*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《聚合物水泥防水涂料》</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23445-2009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测厚仪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浸水168h后断裂伸长率*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《聚合物水泥防水涂料》</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23445-2009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大变形引伸计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耐水性*</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color w:val="auto"/>
                <w:szCs w:val="21"/>
                <w:highlight w:val="none"/>
              </w:rPr>
              <w:t>《绿色产品评价 防水与密封材料》</w:t>
            </w:r>
            <w:r>
              <w:rPr>
                <w:rFonts w:hint="eastAsia"/>
                <w:color w:val="auto"/>
                <w:szCs w:val="21"/>
                <w:highlight w:val="none"/>
                <w:lang w:eastAsia="zh-CN"/>
              </w:rPr>
              <w:t>GB/T</w:t>
            </w:r>
            <w:r>
              <w:rPr>
                <w:rFonts w:hint="eastAsia"/>
                <w:color w:val="auto"/>
                <w:szCs w:val="21"/>
                <w:highlight w:val="none"/>
              </w:rPr>
              <w:t xml:space="preserve"> 35609-2017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测厚仪</w:t>
            </w:r>
          </w:p>
          <w:p>
            <w:pPr>
              <w:widowControl/>
              <w:jc w:val="center"/>
              <w:textAlignment w:val="center"/>
              <w:rPr>
                <w:rFonts w:hint="eastAsia" w:ascii="宋体" w:hAnsi="宋体" w:cs="宋体"/>
                <w:color w:val="auto"/>
                <w:kern w:val="0"/>
                <w:szCs w:val="21"/>
                <w:highlight w:val="none"/>
                <w:lang w:bidi="ar"/>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restart"/>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电热鼓风干燥箱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抗压强度*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行星式水泥胶砂搅拌机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《水泥胶砂强度检验方法(ISO法)》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17671-2021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水养用养护池</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振实台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水泥胶砂强度压力试验机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计时器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行星式水泥胶砂搅拌机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《水泥胶砂强度检验方法(ISO法)》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17671-2021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水养护箱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水养用养护池</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振实台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振动台*</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952"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水泥胶砂抗折试验机</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计时器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15.27</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粘结强度*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微机控制电子万能试验机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《建筑防水涂料试验方法》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《水泥基渗透结晶型防水材料》GB 18445-2012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《聚合物水泥防水涂料》</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23445-2009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抗渗性*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砂浆渗透仪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《聚合物水泥防水涂料》</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23445-2009</w:t>
            </w:r>
          </w:p>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《普通混凝土长期性能和耐久性能试验方法标准》</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50082-2009</w:t>
            </w:r>
          </w:p>
          <w:p>
            <w:pPr>
              <w:widowControl/>
              <w:jc w:val="both"/>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《砂浆、混凝土防水剂》</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474-2008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《水泥基渗透结晶型防水材料》GB 18445-2012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混凝土抗渗仪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防水材料及防水密封材料（防水密封材料及其他防水材料）</w:t>
            </w: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15.29</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耐热性*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《丁基橡胶防水密封胶粘带》 </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942-2022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《膨润土橡胶遇水膨胀止水条》JGT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低温柔性*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低温柔性测试仪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《建筑防水涂料试验方法》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《建筑密封材料试验方法 第7部分：低温柔性的测定》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13477.7-2002</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《高分子防水材料 第3部分：遇水膨胀橡胶》</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18173.3-2014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《膨润土橡胶遇水膨胀止水条》JGT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弯折板</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低温试验箱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拉伸粘结性*</w:t>
            </w:r>
          </w:p>
        </w:tc>
        <w:tc>
          <w:tcPr>
            <w:tcW w:w="2834"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标准法</w:t>
            </w: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《建筑密封材料试验方法第8部分：拉伸粘结性的测定》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13477.8-2017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15.32</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施工度*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搅拌机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《水泥基渗透结晶型防水材料》GB 18445-2012</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《外墙无机建筑涂料》JGT 26-2002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15.33</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表干时间*</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计时器</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《建筑防水涂料试验方法》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《建筑密封材料试验方法 第5部分：表干时间的测定》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13477.5-2002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挤出性*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恒温恒湿标准养护箱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bidi="ar"/>
              </w:rPr>
              <w:t>《建筑密封材料试验方法 第3部分：使用标准器具测定密封材料挤出性的方法》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t>13477.3-2017</w:t>
            </w:r>
          </w:p>
          <w:p>
            <w:pPr>
              <w:widowControl/>
              <w:jc w:val="both"/>
              <w:textAlignment w:val="top"/>
              <w:rPr>
                <w:rFonts w:ascii="宋体" w:hAnsi="宋体" w:cs="宋体"/>
                <w:color w:val="auto"/>
                <w:kern w:val="0"/>
                <w:szCs w:val="21"/>
                <w:highlight w:val="none"/>
                <w:lang w:bidi="ar"/>
              </w:rPr>
            </w:pPr>
            <w:r>
              <w:rPr>
                <w:rFonts w:hint="eastAsia" w:ascii="宋体" w:hAnsi="宋体" w:eastAsia="宋体" w:cs="宋体"/>
                <w:color w:val="auto"/>
                <w:kern w:val="0"/>
                <w:szCs w:val="21"/>
                <w:highlight w:val="none"/>
                <w:lang w:bidi="ar"/>
              </w:rPr>
              <w:t>《建筑用硅酮结构密封胶》GB 16776-2005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气动标准器具</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稳压气源</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秒表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弹性恢复率*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《建筑密封材料试验方法 第17部分：弹性恢复率的测定》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13477.17-2017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浸水后定伸粘结性*</w:t>
            </w:r>
          </w:p>
        </w:tc>
        <w:tc>
          <w:tcPr>
            <w:tcW w:w="2834" w:type="dxa"/>
            <w:vMerge w:val="restart"/>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《建筑密封材料试验方法 第11部分: 浸水后定伸粘结性的测定》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13477.11-2017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流动性*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《建筑密封材料试验方法 第6部分：流动性的测定》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13477.6-2002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低温恒温箱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钢板尺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单位面积质量*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《钠基膨润土防水毯》JGT 193-2006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15.39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膨润土膨胀指数*</w:t>
            </w:r>
          </w:p>
        </w:tc>
        <w:tc>
          <w:tcPr>
            <w:tcW w:w="2834" w:type="dxa"/>
            <w:tcBorders>
              <w:bottom w:val="single" w:color="auto" w:sz="4" w:space="0"/>
            </w:tcBorders>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《钠基膨润土防水毯》JGT 193-2006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widowControl/>
              <w:jc w:val="center"/>
              <w:textAlignment w:val="center"/>
              <w:rPr>
                <w:rFonts w:hint="eastAsia" w:ascii="宋体" w:hAnsi="宋体" w:cs="宋体"/>
                <w:color w:val="auto"/>
                <w:szCs w:val="21"/>
                <w:highlight w:val="none"/>
              </w:rPr>
            </w:pPr>
          </w:p>
        </w:tc>
        <w:tc>
          <w:tcPr>
            <w:tcW w:w="4466" w:type="dxa"/>
            <w:vMerge w:val="continue"/>
            <w:noWrap w:val="0"/>
            <w:vAlign w:val="center"/>
          </w:tcPr>
          <w:p>
            <w:pPr>
              <w:widowControl/>
              <w:jc w:val="both"/>
              <w:textAlignment w:val="top"/>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15.40</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渗透系数*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渗透系数测定装置</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《钠基膨润土防水毯》JGT 193-2006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滤失量*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滤失量测定仪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《钻井液材料规范》</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5005-2010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计时器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拉伸强度*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《硫化橡胶或热塑性橡胶 拉伸应力应变性能的测定》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528-2009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磨片机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测厚仪</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撕裂强度*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《硫化橡胶或热塑性橡胶撕裂强度的测定（裤形、直角形和新月形试样）》</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529-2008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15.44</w:t>
            </w:r>
          </w:p>
        </w:tc>
        <w:tc>
          <w:tcPr>
            <w:tcW w:w="1483" w:type="dxa"/>
            <w:vMerge w:val="restart"/>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硬度*</w:t>
            </w:r>
          </w:p>
        </w:tc>
        <w:tc>
          <w:tcPr>
            <w:tcW w:w="2834"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邵氏硬度计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《硬度试验方法第1部分：邵氏硬度计法（邵尔硬度）》</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531.1-2008</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《塑料和硬橡胶　使用硬度计测定压痕硬度（邵氏硬度）》</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2411-2008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ign w:val="center"/>
          </w:tcPr>
          <w:p>
            <w:pPr>
              <w:jc w:val="center"/>
              <w:rPr>
                <w:rFonts w:ascii="宋体" w:hAnsi="宋体" w:cs="宋体"/>
                <w:color w:val="auto"/>
                <w:szCs w:val="21"/>
                <w:highlight w:val="none"/>
              </w:rPr>
            </w:pPr>
          </w:p>
        </w:tc>
        <w:tc>
          <w:tcPr>
            <w:tcW w:w="2834" w:type="dxa"/>
            <w:vMerge w:val="continue"/>
            <w:noWrap w:val="0"/>
            <w:vAlign w:val="center"/>
          </w:tcPr>
          <w:p>
            <w:pPr>
              <w:widowControl/>
              <w:jc w:val="center"/>
              <w:textAlignment w:val="center"/>
              <w:rPr>
                <w:rFonts w:ascii="宋体" w:hAnsi="宋体" w:cs="宋体"/>
                <w:color w:val="auto"/>
                <w:szCs w:val="21"/>
                <w:highlight w:val="none"/>
              </w:rPr>
            </w:pP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7d膨胀率*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《高分子防水材料 第3部分：遇水膨胀橡胶》</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18173.3-2014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《膨润土橡胶遇水膨胀止水条》JGT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最终膨胀率*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《高分子防水材料 第3部分：遇水膨胀橡胶》</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18173.3-2014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《膨润土橡胶遇水膨胀止水条》JGT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lang w:eastAsia="zh" w:bidi="ar"/>
              </w:rPr>
              <w:t>量筒</w:t>
            </w:r>
          </w:p>
        </w:tc>
        <w:tc>
          <w:tcPr>
            <w:tcW w:w="2676" w:type="dxa"/>
            <w:vMerge w:val="continue"/>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耐水性*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温度计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《膨润土橡胶遇水膨胀止水条》JGT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tcBorders>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水槽</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万能试验机/拉力试验机</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15.48</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体积膨胀倍率*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液体天平</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《高分子防水材料 第3部分：遇水膨胀橡胶》</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18173.3-2014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《膨润土橡胶遇水膨胀止水条》JGT 141-2001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15.49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压缩永久变形*</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压缩装置</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《硫化橡胶或热塑性橡胶 压缩永久变形的测定 第1部分：在常温及高温条件下》</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7759.1-2015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电热鼓风干燥箱</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老化箱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厚度计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计时器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低温弯折*</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低温弯折仪</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《高分子防水材料 第3部分：遇水膨胀橡胶》</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18173.3-2014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低温试验箱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15.51</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剥离强度*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《丁基橡胶防水密封胶粘带》 </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942-2022</w:t>
            </w:r>
          </w:p>
          <w:p>
            <w:pPr>
              <w:widowControl/>
              <w:jc w:val="both"/>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bidi="ar"/>
              </w:rPr>
              <w:t>《建筑密封材料试验方法 第18部分:剥离粘结性的测定》</w:t>
            </w:r>
            <w:r>
              <w:rPr>
                <w:rFonts w:hint="eastAsia" w:ascii="宋体" w:hAnsi="宋体" w:cs="宋体"/>
                <w:color w:val="auto"/>
                <w:kern w:val="0"/>
                <w:szCs w:val="21"/>
                <w:highlight w:val="none"/>
                <w:u w:val="single"/>
                <w:lang w:eastAsia="zh-CN" w:bidi="ar"/>
              </w:rPr>
              <w:t>GB/T</w:t>
            </w:r>
            <w:r>
              <w:rPr>
                <w:rFonts w:hint="eastAsia" w:ascii="宋体" w:hAnsi="宋体" w:cs="宋体"/>
                <w:color w:val="auto"/>
                <w:kern w:val="0"/>
                <w:szCs w:val="21"/>
                <w:highlight w:val="none"/>
                <w:u w:val="single"/>
                <w:lang w:bidi="ar"/>
              </w:rPr>
              <w:t xml:space="preserve"> 13477.18-</w:t>
            </w:r>
            <w:r>
              <w:rPr>
                <w:rFonts w:hint="eastAsia" w:ascii="宋体" w:hAnsi="宋体" w:cs="宋体"/>
                <w:color w:val="auto"/>
                <w:kern w:val="0"/>
                <w:szCs w:val="21"/>
                <w:highlight w:val="none"/>
              </w:rPr>
              <w:t>2017</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《沥青基防水卷材用基层处理剂》</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1069-2008(2015)</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《胶粘剂180°剥离强度试验方法 挠性材料对刚性材料》</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2790-1995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15.52</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浸水168h后的剥离强度保持率*</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《丁基橡胶防水密封胶粘带》 </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942-2022</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《沥青基防水卷材用基层处理剂》</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1069-2008(2015)</w:t>
            </w:r>
          </w:p>
          <w:p>
            <w:pPr>
              <w:widowControl/>
              <w:jc w:val="both"/>
              <w:textAlignment w:val="top"/>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拉力*</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《硫化橡胶或热塑性橡胶 拉伸应力应变性能的测定》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528-2009</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《建筑防水卷材试验方法 第8部分：沥青防水卷材 拉伸性能》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328.8-2007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《建筑防水卷材试验方法 第9部分：高分子防水卷材 拉伸性能》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328.9-2007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裁刀和裁片机</w:t>
            </w:r>
          </w:p>
        </w:tc>
        <w:tc>
          <w:tcPr>
            <w:tcW w:w="2676" w:type="dxa"/>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widowControl/>
              <w:jc w:val="center"/>
              <w:textAlignment w:val="center"/>
              <w:rPr>
                <w:color w:val="auto"/>
                <w:szCs w:val="21"/>
                <w:highlight w:val="none"/>
              </w:rPr>
            </w:pPr>
          </w:p>
        </w:tc>
        <w:tc>
          <w:tcPr>
            <w:tcW w:w="952" w:type="dxa"/>
            <w:vMerge w:val="continue"/>
            <w:noWrap w:val="0"/>
            <w:vAlign w:val="center"/>
          </w:tcPr>
          <w:p>
            <w:pPr>
              <w:widowControl/>
              <w:jc w:val="center"/>
              <w:textAlignment w:val="center"/>
              <w:rPr>
                <w:color w:val="auto"/>
                <w:szCs w:val="21"/>
                <w:highlight w:val="none"/>
              </w:rPr>
            </w:pPr>
          </w:p>
        </w:tc>
        <w:tc>
          <w:tcPr>
            <w:tcW w:w="855" w:type="dxa"/>
            <w:vMerge w:val="continue"/>
            <w:noWrap w:val="0"/>
            <w:vAlign w:val="center"/>
          </w:tcPr>
          <w:p>
            <w:pPr>
              <w:widowControl/>
              <w:jc w:val="center"/>
              <w:textAlignment w:val="center"/>
              <w:rPr>
                <w:color w:val="auto"/>
                <w:szCs w:val="21"/>
                <w:highlight w:val="none"/>
              </w:rPr>
            </w:pPr>
          </w:p>
        </w:tc>
        <w:tc>
          <w:tcPr>
            <w:tcW w:w="1483" w:type="dxa"/>
            <w:vMerge w:val="continue"/>
            <w:noWrap w:val="0"/>
            <w:vAlign w:val="center"/>
          </w:tcPr>
          <w:p>
            <w:pPr>
              <w:widowControl/>
              <w:jc w:val="center"/>
              <w:textAlignment w:val="center"/>
              <w:rPr>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测厚计</w:t>
            </w:r>
          </w:p>
        </w:tc>
        <w:tc>
          <w:tcPr>
            <w:tcW w:w="2676" w:type="dxa"/>
            <w:noWrap w:val="0"/>
            <w:vAlign w:val="center"/>
          </w:tcPr>
          <w:p>
            <w:pPr>
              <w:widowControl/>
              <w:jc w:val="center"/>
              <w:textAlignment w:val="center"/>
              <w:rPr>
                <w:rFonts w:ascii="宋体" w:hAnsi="宋体" w:cs="宋体"/>
                <w:color w:val="auto"/>
                <w:kern w:val="0"/>
                <w:szCs w:val="21"/>
                <w:highlight w:val="none"/>
                <w:lang w:bidi="ar"/>
              </w:rPr>
            </w:pPr>
          </w:p>
        </w:tc>
        <w:tc>
          <w:tcPr>
            <w:tcW w:w="4466" w:type="dxa"/>
            <w:vMerge w:val="continue"/>
            <w:noWrap w:val="0"/>
            <w:vAlign w:val="center"/>
          </w:tcPr>
          <w:p>
            <w:pPr>
              <w:widowControl/>
              <w:jc w:val="both"/>
              <w:textAlignment w:val="center"/>
              <w:rPr>
                <w:rFonts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延伸率*</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《硫化橡胶或热塑性橡胶 拉伸应力应变性能的测定》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528-2009</w:t>
            </w:r>
          </w:p>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《建筑防水卷材试验方法 第8部分：沥青防水卷材 拉伸性能》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328.8-2007</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《建筑防水卷材试验方法 第9部分：高分子防水卷材 拉伸性能》</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328.9-2007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裁刀和裁片机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测厚计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大变形引伸计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固体含量*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《建筑防水涂料试验方法》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16777-2008</w:t>
            </w:r>
          </w:p>
          <w:p>
            <w:pPr>
              <w:widowControl/>
              <w:jc w:val="both"/>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《胶粘剂不挥发物含量的测定》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2793-1995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bottom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电热鼓风干燥箱</w:t>
            </w:r>
          </w:p>
        </w:tc>
        <w:tc>
          <w:tcPr>
            <w:tcW w:w="2676" w:type="dxa"/>
            <w:vMerge w:val="restart"/>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tcBorders>
              <w:top w:val="single" w:color="auto"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卡尔费休水分测定仪*</w:t>
            </w:r>
          </w:p>
        </w:tc>
        <w:tc>
          <w:tcPr>
            <w:tcW w:w="2676"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气相色谱仪*</w:t>
            </w:r>
          </w:p>
        </w:tc>
        <w:tc>
          <w:tcPr>
            <w:tcW w:w="2676" w:type="dxa"/>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15.56</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7d粘结强度*</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《混凝土界面处理剂》</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 xml:space="preserve"> 907-2018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15.57</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7d抗渗性*</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砂浆抗渗仪</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《无机防水堵漏材料》GB 23440-2009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15.58</w:t>
            </w:r>
          </w:p>
        </w:tc>
        <w:tc>
          <w:tcPr>
            <w:tcW w:w="1483" w:type="dxa"/>
            <w:vMerge w:val="restart"/>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拉伸模量*</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《建筑密封材料试验方法 第8部分：拉伸粘结性的测定》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13477.8-2017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1483"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游标卡尺</w:t>
            </w:r>
          </w:p>
        </w:tc>
        <w:tc>
          <w:tcPr>
            <w:tcW w:w="2676" w:type="dxa"/>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widowControl/>
              <w:jc w:val="both"/>
              <w:textAlignment w:val="top"/>
              <w:rPr>
                <w:rFonts w:hint="eastAsia" w:ascii="宋体" w:hAnsi="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15.59</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定伸粘结性*</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《建筑密封材料试验方法 第10部分：定伸粘结性的测定》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13477.10-2017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低温试验箱*</w:t>
            </w:r>
          </w:p>
        </w:tc>
        <w:tc>
          <w:tcPr>
            <w:tcW w:w="2676" w:type="dxa"/>
            <w:noWrap w:val="0"/>
            <w:vAlign w:val="center"/>
          </w:tcPr>
          <w:p>
            <w:pPr>
              <w:widowControl/>
              <w:jc w:val="center"/>
              <w:textAlignment w:val="center"/>
              <w:rPr>
                <w:rFonts w:hint="eastAsia" w:ascii="宋体" w:hAnsi="宋体" w:cs="宋体"/>
                <w:color w:val="auto"/>
                <w:kern w:val="0"/>
                <w:szCs w:val="21"/>
                <w:highlight w:val="none"/>
                <w:lang w:bidi="ar"/>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15.60</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断裂伸长率*</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《硫化橡胶或热塑性橡胶 拉伸应力应变性能的测定》</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528-2009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大变形引伸计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测厚计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16</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水</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氯离子含量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滴定管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《水质 氯化物的测定 硝酸银滴定法》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11896-1989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pH值*</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酸度计</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 xml:space="preserve">《水质 PH值的测定 玻璃电极法》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6920-1986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玻璃电极</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甘汞电极</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硫酸根含量*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蒸气浴</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《水质硫酸盐的测定重量法》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11899-1989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马弗炉</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铂蒸发皿</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不溶物含量*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全玻璃微孔滤膜过滤器</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《水质 悬浮物的测定 重量法》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11901-1989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CN-CA滤膜</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真空泵、吸滤瓶</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可溶物含量*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pStyle w:val="2"/>
              <w:jc w:val="both"/>
              <w:rPr>
                <w:color w:val="auto"/>
                <w:sz w:val="21"/>
                <w:szCs w:val="21"/>
                <w:highlight w:val="none"/>
              </w:rPr>
            </w:pPr>
            <w:r>
              <w:rPr>
                <w:rFonts w:hint="eastAsia" w:ascii="宋体" w:hAnsi="宋体" w:cs="宋体"/>
                <w:color w:val="auto"/>
                <w:sz w:val="21"/>
                <w:szCs w:val="21"/>
                <w:highlight w:val="none"/>
                <w:lang w:bidi="ar"/>
              </w:rPr>
              <w:t>《生活饮用水标准检验方法 第4部分：感官性状和物理指标》</w:t>
            </w:r>
            <w:r>
              <w:rPr>
                <w:rFonts w:hint="eastAsia" w:ascii="宋体" w:hAnsi="宋体" w:cs="宋体"/>
                <w:color w:val="auto"/>
                <w:sz w:val="21"/>
                <w:szCs w:val="21"/>
                <w:highlight w:val="none"/>
                <w:lang w:eastAsia="zh-CN" w:bidi="ar"/>
              </w:rPr>
              <w:t>GB/T</w:t>
            </w:r>
            <w:r>
              <w:rPr>
                <w:rFonts w:hint="eastAsia" w:ascii="宋体" w:hAnsi="宋体" w:cs="宋体"/>
                <w:color w:val="auto"/>
                <w:sz w:val="21"/>
                <w:szCs w:val="21"/>
                <w:highlight w:val="none"/>
                <w:lang w:bidi="ar"/>
              </w:rPr>
              <w:t xml:space="preserve"> 5750.4-2023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水浴锅</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电热恒温干燥箱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凝结时间差*</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水泥净浆搅拌机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《水泥标准稠度用水量、凝结时间、安定性检验方法》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1346-2011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标准法维卡仪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养护箱</w:t>
            </w:r>
          </w:p>
          <w:p>
            <w:pPr>
              <w:pStyle w:val="2"/>
              <w:jc w:val="center"/>
              <w:rPr>
                <w:color w:val="auto"/>
                <w:sz w:val="21"/>
                <w:szCs w:val="21"/>
                <w:highlight w:val="none"/>
              </w:rPr>
            </w:pPr>
            <w:r>
              <w:rPr>
                <w:rFonts w:hint="eastAsia" w:ascii="宋体" w:hAnsi="宋体" w:cs="宋体"/>
                <w:color w:val="auto"/>
                <w:sz w:val="21"/>
                <w:szCs w:val="21"/>
                <w:highlight w:val="none"/>
                <w:lang w:bidi="ar"/>
              </w:rPr>
              <w:t>计时器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16.7</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抗压强度比*</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行星式搅拌机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《水泥胶砂强度检验方法(ISO法)》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17671-2021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养护箱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振实台</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抗压强度试验机（含抗压夹具）</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抗折强度试验机（含抗折夹具）</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16.8</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碱含量*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《水泥化学分析方法》</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176-2017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铂皿</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聚四氟乙烯器皿</w:t>
            </w:r>
          </w:p>
        </w:tc>
        <w:tc>
          <w:tcPr>
            <w:tcW w:w="2676" w:type="dxa"/>
            <w:vMerge w:val="continue"/>
            <w:tcBorders>
              <w:bottom w:val="single" w:color="auto" w:sz="4" w:space="0"/>
            </w:tcBorders>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火焰光度计</w:t>
            </w:r>
          </w:p>
        </w:tc>
        <w:tc>
          <w:tcPr>
            <w:tcW w:w="2676" w:type="dxa"/>
            <w:tcBorders>
              <w:top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kern w:val="0"/>
                <w:szCs w:val="21"/>
                <w:highlight w:val="none"/>
                <w:lang w:bidi="ar"/>
              </w:rPr>
              <w:t>火焰光度计法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原子吸收分光光度计*</w:t>
            </w:r>
          </w:p>
        </w:tc>
        <w:tc>
          <w:tcPr>
            <w:tcW w:w="2676"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原子吸收分光光度计法</w:t>
            </w: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17</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石灰*</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有效氧化钙和氧化镁含量*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方孔筛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strike/>
                <w:color w:val="auto"/>
                <w:kern w:val="0"/>
                <w:szCs w:val="21"/>
                <w:highlight w:val="none"/>
                <w:lang w:bidi="ar"/>
              </w:rPr>
            </w:pPr>
            <w:r>
              <w:rPr>
                <w:rFonts w:hint="eastAsia" w:ascii="宋体" w:hAnsi="宋体" w:cs="宋体"/>
                <w:color w:val="auto"/>
                <w:kern w:val="0"/>
                <w:szCs w:val="21"/>
                <w:highlight w:val="none"/>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《建筑石灰试验方法第2部分 化学分析方法》</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478.2-2013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酸式滴定管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restart"/>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容量瓶</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氧化镁含量*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《建筑石灰试验方法第2部分 化学分析方法》</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478.2-2013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分析天平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电炉</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酸式滴定管</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容量瓶</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未消化残渣含量*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方孔筛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《建筑石灰试验方法第1部分 物理试验方法》</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478.1-2013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生石灰浆渣测定仪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量筒</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钢板尺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含水率*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《建筑石灰试验方法第1部分 物理试验方法》</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478.1-2013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试验筛</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《公路工程无机结合料稳定材料试验规程》JTG 3441-2024</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《建筑石灰试验方法第1部分 物理试验方法》</w:t>
            </w:r>
            <w:r>
              <w:rPr>
                <w:rFonts w:hint="eastAsia" w:ascii="宋体" w:hAnsi="宋体" w:cs="宋体"/>
                <w:color w:val="auto"/>
                <w:kern w:val="0"/>
                <w:szCs w:val="21"/>
                <w:highlight w:val="none"/>
                <w:lang w:eastAsia="zh-CN" w:bidi="ar"/>
              </w:rPr>
              <w:t>JC/T</w:t>
            </w:r>
            <w:r>
              <w:rPr>
                <w:rFonts w:hint="eastAsia" w:ascii="宋体" w:hAnsi="宋体" w:cs="宋体"/>
                <w:color w:val="auto"/>
                <w:kern w:val="0"/>
                <w:szCs w:val="21"/>
                <w:highlight w:val="none"/>
                <w:lang w:bidi="ar"/>
              </w:rPr>
              <w:t>478.1-2013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烘箱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18</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石材*</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干燥压缩强度*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《天然石材试验方法 第1部分：干燥、水饱和、冻融循环后压缩强度试验》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9966.1-2020</w:t>
            </w:r>
          </w:p>
          <w:p>
            <w:pPr>
              <w:widowControl/>
              <w:jc w:val="both"/>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《公路工程岩石试验规程》 JTG 3431-2024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万能角度尺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水饱和压缩强度*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《天然石材试验方法 第1部分：干燥、水饱和、冻融循环后压缩强度试验》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9966.1-2020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《公路工程岩石试验规程》 JTG 3431-2024（单轴抗压强度试验 T 0221-2005）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万能角度尺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干燥弯曲强度*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《天然石材试验方法 第2部分：干燥、水饱和、冻融循环后弯曲强度试验》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9966.2-2020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《公路工程岩石试验规程》 JTG 3431-2024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抗折试验装置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万能角度尺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18.4</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水饱和弯曲强度*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压力试验机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《天然石材试验方法 第2部分：干燥、水饱和、冻融循环后弯曲强度试验》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9966.2-2020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《公路工程岩石试验规程》 JTG 3431-2024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抗折试验装置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恒温水箱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万能角度尺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18.5</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体积密度*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《天然石材试验方法 第3部分：吸水率、体积密度、真密度、真气孔率试验》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9966.3-2020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《公路工程岩石试验规程》 JTG 3431-2024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金属网篮</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抽气设备</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煮沸水槽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吸水率*</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《天然石材试验方法 第3部分：吸水率、体积密度、真密度、真气孔率试验》 </w:t>
            </w:r>
            <w:r>
              <w:rPr>
                <w:rFonts w:hint="eastAsia" w:ascii="宋体" w:hAnsi="宋体" w:cs="宋体"/>
                <w:color w:val="auto"/>
                <w:kern w:val="0"/>
                <w:szCs w:val="21"/>
                <w:highlight w:val="none"/>
                <w:lang w:eastAsia="zh-CN" w:bidi="ar"/>
              </w:rPr>
              <w:t>GB/T</w:t>
            </w:r>
            <w:r>
              <w:rPr>
                <w:rFonts w:hint="eastAsia" w:ascii="宋体" w:hAnsi="宋体" w:cs="宋体"/>
                <w:color w:val="auto"/>
                <w:kern w:val="0"/>
                <w:szCs w:val="21"/>
                <w:highlight w:val="none"/>
                <w:lang w:bidi="ar"/>
              </w:rPr>
              <w:t xml:space="preserve"> 9966.3-2020</w:t>
            </w:r>
          </w:p>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《公路工程岩石试验规程》 JTG 3431-2024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鼓风干燥箱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水箱</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干燥器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抽气设备</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煮沸水槽</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19</w:t>
            </w:r>
          </w:p>
        </w:tc>
        <w:tc>
          <w:tcPr>
            <w:tcW w:w="952" w:type="dxa"/>
            <w:vMerge w:val="restart"/>
            <w:noWrap w:val="0"/>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螺栓、锚具夹具及连接器*</w:t>
            </w: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19.1</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抗滑移系数*</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《钢结构工程施工质量验收标准》GB 50205-2020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抗滑移系数检测仪</w:t>
            </w:r>
            <w:r>
              <w:rPr>
                <w:rFonts w:ascii="宋体" w:hAnsi="宋体" w:cs="宋体"/>
                <w:color w:val="auto"/>
                <w:kern w:val="0"/>
                <w:szCs w:val="21"/>
                <w:highlight w:val="none"/>
                <w:lang w:bidi="ar"/>
              </w:rPr>
              <w:t>、压力传感器</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19.2</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外观质量*</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放大镜</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《公路桥梁预应力钢绞线用锚具、夹具和连接器》</w:t>
            </w:r>
            <w:r>
              <w:rPr>
                <w:rFonts w:hint="eastAsia" w:ascii="宋体" w:hAnsi="宋体" w:eastAsia="宋体" w:cs="宋体"/>
                <w:color w:val="auto"/>
                <w:kern w:val="0"/>
                <w:szCs w:val="21"/>
                <w:highlight w:val="none"/>
                <w:lang w:eastAsia="zh-CN" w:bidi="ar"/>
              </w:rPr>
              <w:t>JT/T</w:t>
            </w:r>
            <w:r>
              <w:rPr>
                <w:rFonts w:hint="eastAsia" w:ascii="宋体" w:hAnsi="宋体" w:eastAsia="宋体" w:cs="宋体"/>
                <w:color w:val="auto"/>
                <w:kern w:val="0"/>
                <w:szCs w:val="21"/>
                <w:highlight w:val="none"/>
                <w:lang w:bidi="ar"/>
              </w:rPr>
              <w:t xml:space="preserve"> 329-2010</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《无损检测磁粉检测 第1部分：总则》</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15822.1-2005</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《预应力筋用锚具、夹具和连接器》</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14370-2015</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《钢结构用高强度大六角 头螺栓、 大六角螺母、 垫圈技术条件》</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1231-2006</w:t>
            </w:r>
          </w:p>
          <w:p>
            <w:pPr>
              <w:widowControl/>
              <w:jc w:val="both"/>
              <w:textAlignment w:val="top"/>
              <w:rPr>
                <w:rFonts w:ascii="宋体" w:hAnsi="宋体" w:cs="宋体"/>
                <w:color w:val="auto"/>
                <w:szCs w:val="21"/>
                <w:highlight w:val="none"/>
              </w:rPr>
            </w:pPr>
            <w:r>
              <w:rPr>
                <w:rFonts w:hint="eastAsia" w:ascii="宋体" w:hAnsi="宋体" w:eastAsia="宋体" w:cs="宋体"/>
                <w:color w:val="auto"/>
                <w:kern w:val="0"/>
                <w:szCs w:val="21"/>
                <w:highlight w:val="none"/>
                <w:lang w:bidi="ar"/>
              </w:rPr>
              <w:t>《钢结构用扭剪型高强度螺栓连接副》</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3632-2008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磁粉探伤仪</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jc w:val="both"/>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19.3</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尺寸*</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钢</w:t>
            </w:r>
            <w:r>
              <w:rPr>
                <w:rFonts w:hint="eastAsia" w:ascii="宋体" w:hAnsi="宋体" w:cs="宋体"/>
                <w:color w:val="auto"/>
                <w:kern w:val="0"/>
                <w:szCs w:val="21"/>
                <w:highlight w:val="none"/>
                <w:lang w:bidi="ar"/>
              </w:rPr>
              <w:t>直尺</w:t>
            </w:r>
          </w:p>
        </w:tc>
        <w:tc>
          <w:tcPr>
            <w:tcW w:w="2676" w:type="dxa"/>
            <w:vMerge w:val="restart"/>
            <w:noWrap w:val="0"/>
            <w:vAlign w:val="center"/>
          </w:tcPr>
          <w:p>
            <w:pPr>
              <w:widowControl/>
              <w:jc w:val="center"/>
              <w:textAlignment w:val="center"/>
              <w:rPr>
                <w:rFonts w:hint="eastAsia" w:ascii="宋体" w:hAnsi="宋体" w:cs="宋体"/>
                <w:color w:val="auto"/>
                <w:szCs w:val="21"/>
                <w:highlight w:val="none"/>
              </w:rPr>
            </w:pPr>
          </w:p>
        </w:tc>
        <w:tc>
          <w:tcPr>
            <w:tcW w:w="4466" w:type="dxa"/>
            <w:vMerge w:val="restart"/>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《公路桥梁预应力钢绞线用锚具、夹具和连接器》</w:t>
            </w:r>
            <w:r>
              <w:rPr>
                <w:rFonts w:hint="eastAsia" w:ascii="宋体" w:hAnsi="宋体" w:eastAsia="宋体" w:cs="宋体"/>
                <w:color w:val="auto"/>
                <w:kern w:val="0"/>
                <w:szCs w:val="21"/>
                <w:highlight w:val="none"/>
                <w:lang w:eastAsia="zh-CN" w:bidi="ar"/>
              </w:rPr>
              <w:t>JT/T</w:t>
            </w:r>
            <w:r>
              <w:rPr>
                <w:rFonts w:hint="eastAsia" w:ascii="宋体" w:hAnsi="宋体" w:eastAsia="宋体" w:cs="宋体"/>
                <w:color w:val="auto"/>
                <w:kern w:val="0"/>
                <w:szCs w:val="21"/>
                <w:highlight w:val="none"/>
                <w:lang w:bidi="ar"/>
              </w:rPr>
              <w:t xml:space="preserve">329-2010 </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《预应力筋用锚具、夹具和连接器》</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14370-2015</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《钢结构用高强度大六角 头螺栓、 大六角螺母、 垫圈技术条件》</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1231-2006</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《钢结构用扭剪型高强度螺栓连接副》</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3632-2008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塞环规</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widowControl/>
              <w:jc w:val="both"/>
              <w:textAlignment w:val="top"/>
              <w:rPr>
                <w:rFonts w:hint="eastAsia" w:ascii="宋体" w:hAnsi="宋体" w:eastAsia="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螺旋千分尺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widowControl/>
              <w:jc w:val="both"/>
              <w:textAlignment w:val="top"/>
              <w:rPr>
                <w:rFonts w:hint="eastAsia" w:ascii="宋体" w:hAnsi="宋体" w:eastAsia="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游标卡尺</w:t>
            </w:r>
          </w:p>
        </w:tc>
        <w:tc>
          <w:tcPr>
            <w:tcW w:w="2676" w:type="dxa"/>
            <w:vMerge w:val="continue"/>
            <w:noWrap w:val="0"/>
            <w:vAlign w:val="center"/>
          </w:tcPr>
          <w:p>
            <w:pPr>
              <w:jc w:val="center"/>
              <w:rPr>
                <w:rFonts w:ascii="宋体" w:hAnsi="宋体" w:cs="宋体"/>
                <w:color w:val="auto"/>
                <w:szCs w:val="21"/>
                <w:highlight w:val="none"/>
              </w:rPr>
            </w:pPr>
          </w:p>
        </w:tc>
        <w:tc>
          <w:tcPr>
            <w:tcW w:w="4466" w:type="dxa"/>
            <w:vMerge w:val="continue"/>
            <w:noWrap w:val="0"/>
            <w:vAlign w:val="center"/>
          </w:tcPr>
          <w:p>
            <w:pPr>
              <w:widowControl/>
              <w:jc w:val="both"/>
              <w:textAlignment w:val="top"/>
              <w:rPr>
                <w:rFonts w:hint="eastAsia" w:ascii="宋体" w:hAnsi="宋体" w:eastAsia="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19.4</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静载锚固性能*</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eastAsia="宋体" w:cs="Times New Roman"/>
                <w:color w:val="auto"/>
                <w:highlight w:val="none"/>
                <w:vertAlign w:val="baseline"/>
                <w:lang w:val="en-US" w:eastAsia="zh-CN"/>
              </w:rPr>
              <w:t>静载锚固性能试验装置</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《公路桥梁预应力钢绞线用锚具、夹具和连接器》</w:t>
            </w:r>
            <w:r>
              <w:rPr>
                <w:rFonts w:hint="eastAsia" w:ascii="宋体" w:hAnsi="宋体" w:eastAsia="宋体" w:cs="宋体"/>
                <w:color w:val="auto"/>
                <w:kern w:val="0"/>
                <w:szCs w:val="21"/>
                <w:highlight w:val="none"/>
                <w:lang w:eastAsia="zh-CN" w:bidi="ar"/>
              </w:rPr>
              <w:t>JT/T</w:t>
            </w:r>
            <w:r>
              <w:rPr>
                <w:rFonts w:hint="eastAsia" w:ascii="宋体" w:hAnsi="宋体" w:eastAsia="宋体" w:cs="宋体"/>
                <w:color w:val="auto"/>
                <w:kern w:val="0"/>
                <w:szCs w:val="21"/>
                <w:highlight w:val="none"/>
                <w:lang w:bidi="ar"/>
              </w:rPr>
              <w:t>329-2010</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《预应力筋用锚具、夹具和连接器》</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14370-2015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19.5</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疲劳荷载性能*</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疲劳试验机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《公路桥梁预应力钢绞线用锚具、夹具和连接器》</w:t>
            </w:r>
            <w:r>
              <w:rPr>
                <w:rFonts w:hint="eastAsia" w:ascii="宋体" w:hAnsi="宋体" w:eastAsia="宋体" w:cs="宋体"/>
                <w:color w:val="auto"/>
                <w:kern w:val="0"/>
                <w:szCs w:val="21"/>
                <w:highlight w:val="none"/>
                <w:lang w:eastAsia="zh-CN" w:bidi="ar"/>
              </w:rPr>
              <w:t>JT/T</w:t>
            </w:r>
            <w:r>
              <w:rPr>
                <w:rFonts w:hint="eastAsia" w:ascii="宋体" w:hAnsi="宋体" w:eastAsia="宋体" w:cs="宋体"/>
                <w:color w:val="auto"/>
                <w:kern w:val="0"/>
                <w:szCs w:val="21"/>
                <w:highlight w:val="none"/>
                <w:lang w:bidi="ar"/>
              </w:rPr>
              <w:t xml:space="preserve"> 329-2010</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《预应力筋用锚具、夹具和连接器》</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14370-2015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19.6</w:t>
            </w:r>
          </w:p>
        </w:tc>
        <w:tc>
          <w:tcPr>
            <w:tcW w:w="1483" w:type="dxa"/>
            <w:vMerge w:val="restart"/>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硬度*</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洛氏硬度计</w:t>
            </w:r>
          </w:p>
        </w:tc>
        <w:tc>
          <w:tcPr>
            <w:tcW w:w="2676"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洛氏硬度试验</w:t>
            </w:r>
          </w:p>
        </w:tc>
        <w:tc>
          <w:tcPr>
            <w:tcW w:w="4466" w:type="dxa"/>
            <w:vMerge w:val="restart"/>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《金属材料 洛氏硬度试验 第一部分：试验方法》</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230.1-2018</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《金属材料 布氏硬度试验 第一部分：试验方法》</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231.1-2018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vMerge w:val="continue"/>
            <w:noWrap w:val="0"/>
            <w:vAlign w:val="center"/>
          </w:tcPr>
          <w:p>
            <w:pPr>
              <w:jc w:val="center"/>
              <w:rPr>
                <w:rFonts w:ascii="宋体" w:hAnsi="宋体" w:cs="宋体"/>
                <w:color w:val="auto"/>
                <w:szCs w:val="21"/>
                <w:highlight w:val="none"/>
              </w:rPr>
            </w:pPr>
          </w:p>
        </w:tc>
        <w:tc>
          <w:tcPr>
            <w:tcW w:w="1483" w:type="dxa"/>
            <w:vMerge w:val="continue"/>
            <w:noWrap w:val="0"/>
            <w:vAlign w:val="center"/>
          </w:tcPr>
          <w:p>
            <w:pPr>
              <w:jc w:val="center"/>
              <w:rPr>
                <w:rFonts w:ascii="宋体" w:hAnsi="宋体" w:cs="宋体"/>
                <w:color w:val="auto"/>
                <w:szCs w:val="21"/>
                <w:highlight w:val="none"/>
              </w:rPr>
            </w:pP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布氏硬度计</w:t>
            </w:r>
          </w:p>
        </w:tc>
        <w:tc>
          <w:tcPr>
            <w:tcW w:w="2676"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布氏硬度试验</w:t>
            </w:r>
          </w:p>
        </w:tc>
        <w:tc>
          <w:tcPr>
            <w:tcW w:w="4466" w:type="dxa"/>
            <w:vMerge w:val="continue"/>
            <w:noWrap w:val="0"/>
            <w:vAlign w:val="center"/>
          </w:tcPr>
          <w:p>
            <w:pPr>
              <w:widowControl/>
              <w:jc w:val="both"/>
              <w:textAlignment w:val="top"/>
              <w:rPr>
                <w:rFonts w:hint="eastAsia" w:ascii="宋体" w:hAnsi="宋体" w:eastAsia="宋体" w:cs="宋体"/>
                <w:color w:val="auto"/>
                <w:kern w:val="0"/>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19.7</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紧固轴力*</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高强螺栓检测仪</w:t>
            </w:r>
            <w:r>
              <w:rPr>
                <w:rFonts w:ascii="宋体" w:hAnsi="宋体" w:cs="宋体"/>
                <w:color w:val="auto"/>
                <w:kern w:val="0"/>
                <w:szCs w:val="21"/>
                <w:highlight w:val="none"/>
                <w:lang w:bidi="ar"/>
              </w:rPr>
              <w:t>、扭力扳手</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《钢结构用扭剪型高强度螺栓连接副》</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3632-2008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19.8</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扭矩系数*</w:t>
            </w:r>
          </w:p>
        </w:tc>
        <w:tc>
          <w:tcPr>
            <w:tcW w:w="2834"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高强螺栓检测仪</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《钢结构用高强度大六角 头螺栓、 大六角螺母、 垫圈技术条件》</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1231-2006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8" w:type="dxa"/>
            <w:vMerge w:val="continue"/>
            <w:noWrap w:val="0"/>
            <w:vAlign w:val="center"/>
          </w:tcPr>
          <w:p>
            <w:pPr>
              <w:jc w:val="center"/>
              <w:rPr>
                <w:rFonts w:ascii="宋体" w:hAnsi="宋体" w:cs="宋体"/>
                <w:b/>
                <w:bCs/>
                <w:color w:val="auto"/>
                <w:szCs w:val="21"/>
                <w:highlight w:val="none"/>
              </w:rPr>
            </w:pPr>
          </w:p>
        </w:tc>
        <w:tc>
          <w:tcPr>
            <w:tcW w:w="952" w:type="dxa"/>
            <w:vMerge w:val="continue"/>
            <w:noWrap w:val="0"/>
            <w:vAlign w:val="center"/>
          </w:tcPr>
          <w:p>
            <w:pPr>
              <w:jc w:val="center"/>
              <w:rPr>
                <w:rFonts w:ascii="宋体" w:hAnsi="宋体" w:cs="宋体"/>
                <w:b/>
                <w:bCs/>
                <w:color w:val="auto"/>
                <w:szCs w:val="21"/>
                <w:highlight w:val="none"/>
              </w:rPr>
            </w:pPr>
          </w:p>
        </w:tc>
        <w:tc>
          <w:tcPr>
            <w:tcW w:w="855"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19.9</w:t>
            </w:r>
          </w:p>
        </w:tc>
        <w:tc>
          <w:tcPr>
            <w:tcW w:w="1483" w:type="dxa"/>
            <w:noWrap w:val="0"/>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最小拉力载荷（普通紧固件）*</w:t>
            </w:r>
          </w:p>
        </w:tc>
        <w:tc>
          <w:tcPr>
            <w:tcW w:w="2834"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万能试验机/拉力试验机</w:t>
            </w:r>
          </w:p>
        </w:tc>
        <w:tc>
          <w:tcPr>
            <w:tcW w:w="2676" w:type="dxa"/>
            <w:noWrap w:val="0"/>
            <w:vAlign w:val="center"/>
          </w:tcPr>
          <w:p>
            <w:pPr>
              <w:widowControl/>
              <w:jc w:val="center"/>
              <w:textAlignment w:val="center"/>
              <w:rPr>
                <w:rFonts w:hint="eastAsia" w:ascii="宋体" w:hAnsi="宋体" w:cs="宋体"/>
                <w:color w:val="auto"/>
                <w:szCs w:val="21"/>
                <w:highlight w:val="none"/>
              </w:rPr>
            </w:pPr>
          </w:p>
        </w:tc>
        <w:tc>
          <w:tcPr>
            <w:tcW w:w="4466" w:type="dxa"/>
            <w:noWrap w:val="0"/>
            <w:vAlign w:val="center"/>
          </w:tcPr>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《紧固件机械性能　螺栓、螺钉和螺柱》</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3098.1-2010</w:t>
            </w:r>
          </w:p>
          <w:p>
            <w:pPr>
              <w:widowControl/>
              <w:jc w:val="both"/>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《金属材料 拉伸试验 第1部分：室温试验方法》</w:t>
            </w:r>
            <w:r>
              <w:rPr>
                <w:rFonts w:hint="eastAsia" w:ascii="宋体" w:hAnsi="宋体" w:eastAsia="宋体" w:cs="宋体"/>
                <w:color w:val="auto"/>
                <w:kern w:val="0"/>
                <w:szCs w:val="21"/>
                <w:highlight w:val="none"/>
                <w:lang w:eastAsia="zh-CN" w:bidi="ar"/>
              </w:rPr>
              <w:t>GB/T</w:t>
            </w:r>
            <w:r>
              <w:rPr>
                <w:rFonts w:hint="eastAsia" w:ascii="宋体" w:hAnsi="宋体" w:eastAsia="宋体" w:cs="宋体"/>
                <w:color w:val="auto"/>
                <w:kern w:val="0"/>
                <w:szCs w:val="21"/>
                <w:highlight w:val="none"/>
                <w:lang w:bidi="ar"/>
              </w:rPr>
              <w:t xml:space="preserve"> 228.1-2021</w:t>
            </w: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pStyle w:val="2"/>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表八 </w:t>
      </w:r>
      <w:r>
        <w:rPr>
          <w:rFonts w:hint="eastAsia" w:ascii="黑体" w:hAnsi="黑体" w:eastAsia="黑体" w:cs="黑体"/>
          <w:sz w:val="32"/>
          <w:szCs w:val="32"/>
          <w:highlight w:val="none"/>
        </w:rPr>
        <w:t>道路工程）</w:t>
      </w:r>
    </w:p>
    <w:tbl>
      <w:tblPr>
        <w:tblStyle w:val="14"/>
        <w:tblW w:w="1442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893"/>
        <w:gridCol w:w="743"/>
        <w:gridCol w:w="1208"/>
        <w:gridCol w:w="3085"/>
        <w:gridCol w:w="2835"/>
        <w:gridCol w:w="496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restart"/>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项目</w:t>
            </w:r>
          </w:p>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序号</w:t>
            </w:r>
          </w:p>
        </w:tc>
        <w:tc>
          <w:tcPr>
            <w:tcW w:w="893" w:type="dxa"/>
            <w:vMerge w:val="restart"/>
            <w:shd w:val="clear" w:color="auto" w:fill="FFFFFF"/>
            <w:noWrap/>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检测项目</w:t>
            </w:r>
          </w:p>
        </w:tc>
        <w:tc>
          <w:tcPr>
            <w:tcW w:w="743" w:type="dxa"/>
            <w:vMerge w:val="restart"/>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参数</w:t>
            </w:r>
          </w:p>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序号</w:t>
            </w:r>
          </w:p>
        </w:tc>
        <w:tc>
          <w:tcPr>
            <w:tcW w:w="1208" w:type="dxa"/>
            <w:vMerge w:val="restart"/>
            <w:shd w:val="clear" w:color="auto" w:fill="FFFFFF"/>
            <w:noWrap/>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检测参数</w:t>
            </w:r>
          </w:p>
        </w:tc>
        <w:tc>
          <w:tcPr>
            <w:tcW w:w="3085" w:type="dxa"/>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主要设备名称</w:t>
            </w:r>
          </w:p>
        </w:tc>
        <w:tc>
          <w:tcPr>
            <w:tcW w:w="2835" w:type="dxa"/>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试验方法要求</w:t>
            </w:r>
          </w:p>
        </w:tc>
        <w:tc>
          <w:tcPr>
            <w:tcW w:w="4961" w:type="dxa"/>
            <w:shd w:val="clear" w:color="auto" w:fill="FFFFFF"/>
            <w:noWrap/>
            <w:vAlign w:val="center"/>
          </w:tcPr>
          <w:p>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参考标准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bidi="ar"/>
              </w:rPr>
            </w:pPr>
          </w:p>
        </w:tc>
        <w:tc>
          <w:tcPr>
            <w:tcW w:w="893" w:type="dxa"/>
            <w:vMerge w:val="continue"/>
            <w:shd w:val="clear" w:color="auto" w:fill="FFFFFF"/>
            <w:noWrap/>
            <w:vAlign w:val="center"/>
          </w:tcPr>
          <w:p>
            <w:pPr>
              <w:widowControl/>
              <w:jc w:val="center"/>
              <w:textAlignment w:val="center"/>
              <w:rPr>
                <w:rFonts w:hint="eastAsia" w:ascii="宋体" w:hAnsi="宋体" w:eastAsia="宋体" w:cs="宋体"/>
                <w:b/>
                <w:bCs/>
                <w:kern w:val="0"/>
                <w:sz w:val="21"/>
                <w:szCs w:val="21"/>
                <w:highlight w:val="none"/>
                <w:lang w:bidi="ar"/>
              </w:rPr>
            </w:pPr>
          </w:p>
        </w:tc>
        <w:tc>
          <w:tcPr>
            <w:tcW w:w="743" w:type="dxa"/>
            <w:vMerge w:val="continue"/>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bidi="ar"/>
              </w:rPr>
            </w:pPr>
          </w:p>
        </w:tc>
        <w:tc>
          <w:tcPr>
            <w:tcW w:w="1208" w:type="dxa"/>
            <w:vMerge w:val="continue"/>
            <w:shd w:val="clear" w:color="auto" w:fill="FFFFFF"/>
            <w:noWrap/>
            <w:vAlign w:val="center"/>
          </w:tcPr>
          <w:p>
            <w:pPr>
              <w:widowControl/>
              <w:jc w:val="center"/>
              <w:textAlignment w:val="center"/>
              <w:rPr>
                <w:rFonts w:hint="eastAsia" w:ascii="宋体" w:hAnsi="宋体" w:eastAsia="宋体" w:cs="宋体"/>
                <w:b/>
                <w:bCs/>
                <w:kern w:val="0"/>
                <w:sz w:val="21"/>
                <w:szCs w:val="21"/>
                <w:highlight w:val="none"/>
                <w:lang w:bidi="ar"/>
              </w:rPr>
            </w:pPr>
          </w:p>
        </w:tc>
        <w:tc>
          <w:tcPr>
            <w:tcW w:w="3085" w:type="dxa"/>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原名</w:t>
            </w:r>
          </w:p>
        </w:tc>
        <w:tc>
          <w:tcPr>
            <w:tcW w:w="2835" w:type="dxa"/>
            <w:shd w:val="clear" w:color="auto" w:fill="FFFFFF"/>
            <w:noWrap w:val="0"/>
            <w:vAlign w:val="center"/>
          </w:tcPr>
          <w:p>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原名</w:t>
            </w:r>
          </w:p>
        </w:tc>
        <w:tc>
          <w:tcPr>
            <w:tcW w:w="4961" w:type="dxa"/>
            <w:shd w:val="clear" w:color="auto" w:fill="FFFFFF"/>
            <w:noWrap/>
            <w:vAlign w:val="center"/>
          </w:tcPr>
          <w:p>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原名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restart"/>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1</w:t>
            </w:r>
          </w:p>
        </w:tc>
        <w:tc>
          <w:tcPr>
            <w:tcW w:w="893" w:type="dxa"/>
            <w:vMerge w:val="restart"/>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沥青混合料路面</w:t>
            </w: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1.1</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厚度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游标卡尺</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钢直尺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短脉冲雷达*</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钻芯机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1.2</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压实度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电子天平</w:t>
            </w:r>
          </w:p>
        </w:tc>
        <w:tc>
          <w:tcPr>
            <w:tcW w:w="2835" w:type="dxa"/>
            <w:vMerge w:val="restart"/>
            <w:noWrap w:val="0"/>
            <w:vAlign w:val="center"/>
          </w:tcPr>
          <w:p>
            <w:pPr>
              <w:widowControl/>
              <w:jc w:val="both"/>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《公路路基路面现场测试规程》JTG 3450-2019</w:t>
            </w:r>
          </w:p>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《公路工程沥青及沥青混合料试验规程》JTG E20-2011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浸</w:t>
            </w:r>
            <w:r>
              <w:rPr>
                <w:rFonts w:hint="eastAsia" w:ascii="宋体" w:hAnsi="宋体" w:eastAsia="宋体" w:cs="宋体"/>
                <w:kern w:val="0"/>
                <w:sz w:val="21"/>
                <w:szCs w:val="21"/>
                <w:highlight w:val="none"/>
                <w:lang w:bidi="ar"/>
              </w:rPr>
              <w:t>水天平</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溢流水箱</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钻芯机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无核密度仪*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1.3</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弯沉值</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贝克曼梁路面弯沉仪</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百分表</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自动弯沉仪*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落锤式弯沉仪*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激光式高速路面弯沉测量仪*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1.4</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平整度*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三米</w:t>
            </w:r>
            <w:r>
              <w:rPr>
                <w:rFonts w:hint="eastAsia" w:ascii="宋体" w:hAnsi="宋体" w:eastAsia="宋体" w:cs="宋体"/>
                <w:kern w:val="0"/>
                <w:sz w:val="21"/>
                <w:szCs w:val="21"/>
                <w:highlight w:val="none"/>
                <w:lang w:bidi="ar"/>
              </w:rPr>
              <w:t>直尺</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塞尺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连续式平整度仪*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车载式颠簸累积仪*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激光平整度仪*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手推式断面仪*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1.5</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渗水系数*</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路面渗水仪</w:t>
            </w:r>
          </w:p>
        </w:tc>
        <w:tc>
          <w:tcPr>
            <w:tcW w:w="2835" w:type="dxa"/>
            <w:vMerge w:val="restart"/>
            <w:noWrap w:val="0"/>
            <w:vAlign w:val="center"/>
          </w:tcPr>
          <w:p>
            <w:pPr>
              <w:jc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《公路路基路面现场测试规程》(渗水系数）JTG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秒表</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1.6</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抗滑性能*</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手工铺砂仪</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钢板尺/构造深度尺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电动铺砂仪*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车载式激光构造深度仪*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lang w:val="en-US" w:eastAsia="zh-CN"/>
              </w:rPr>
              <w:t>路表温度计</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摆式仪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数字式摆式仪*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单轮式横向力系数测试系统*</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双轮式横向力系数测试系统*</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动态旋转式摩擦系数测定仪*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restart"/>
            <w:noWrap w:val="0"/>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893" w:type="dxa"/>
            <w:vMerge w:val="restart"/>
            <w:noWrap w:val="0"/>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基层和底基层</w:t>
            </w: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2.1</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压实度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bidi="ar"/>
              </w:rPr>
              <w:t>电子秤</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widowControl/>
              <w:jc w:val="center"/>
              <w:textAlignment w:val="center"/>
              <w:rPr>
                <w:rFonts w:hint="eastAsia" w:ascii="宋体" w:hAnsi="宋体" w:eastAsia="宋体" w:cs="宋体"/>
                <w:kern w:val="0"/>
                <w:sz w:val="21"/>
                <w:szCs w:val="21"/>
                <w:highlight w:val="none"/>
                <w:lang w:bidi="ar"/>
              </w:rPr>
            </w:pPr>
          </w:p>
        </w:tc>
        <w:tc>
          <w:tcPr>
            <w:tcW w:w="1208" w:type="dxa"/>
            <w:vMerge w:val="continue"/>
            <w:noWrap w:val="0"/>
            <w:vAlign w:val="center"/>
          </w:tcPr>
          <w:p>
            <w:pPr>
              <w:widowControl/>
              <w:jc w:val="center"/>
              <w:textAlignment w:val="center"/>
              <w:rPr>
                <w:rFonts w:hint="eastAsia" w:ascii="宋体" w:hAnsi="宋体" w:eastAsia="宋体" w:cs="宋体"/>
                <w:kern w:val="0"/>
                <w:sz w:val="21"/>
                <w:szCs w:val="21"/>
                <w:highlight w:val="none"/>
                <w:lang w:bidi="ar"/>
              </w:rPr>
            </w:pPr>
          </w:p>
        </w:tc>
        <w:tc>
          <w:tcPr>
            <w:tcW w:w="3085" w:type="dxa"/>
            <w:noWrap w:val="0"/>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电子天平</w:t>
            </w:r>
          </w:p>
        </w:tc>
        <w:tc>
          <w:tcPr>
            <w:tcW w:w="2835" w:type="dxa"/>
            <w:vMerge w:val="continue"/>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continue"/>
            <w:noWrap w:val="0"/>
            <w:vAlign w:val="center"/>
          </w:tcPr>
          <w:p>
            <w:pPr>
              <w:widowControl/>
              <w:textAlignment w:val="center"/>
              <w:rPr>
                <w:rFonts w:hint="eastAsia" w:ascii="宋体" w:hAnsi="宋体" w:eastAsia="宋体" w:cs="宋体"/>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烘箱</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灌砂筒</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环刀</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无核密度仪*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核子密湿度仪*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2.2</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弯沉值</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贝克曼梁路面弯沉仪</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百分表</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自动弯沉仪*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落锤式弯沉仪*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激光式高速路面弯沉测量仪*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厚度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游标卡尺</w:t>
            </w:r>
          </w:p>
        </w:tc>
        <w:tc>
          <w:tcPr>
            <w:tcW w:w="2835" w:type="dxa"/>
            <w:vMerge w:val="restart"/>
            <w:noWrap w:val="0"/>
            <w:vAlign w:val="center"/>
          </w:tcPr>
          <w:p>
            <w:pPr>
              <w:jc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钢直尺</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取芯机</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平整度*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三米直尺</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楔形塞尺</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连续式平整度仪*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车载式颠簸累积仪*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激光平整度仪*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手推式断面仪*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无侧限抗压强度*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路面材料强度仪</w:t>
            </w:r>
          </w:p>
        </w:tc>
        <w:tc>
          <w:tcPr>
            <w:tcW w:w="2835" w:type="dxa"/>
            <w:vMerge w:val="restart"/>
            <w:noWrap w:val="0"/>
            <w:vAlign w:val="center"/>
          </w:tcPr>
          <w:p>
            <w:pPr>
              <w:jc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《公路工程无机结合料稳定材料试验规程》JTG 3441-2024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万能试验机/压力试验机*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钢板尺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游标卡尺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养护室</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电子天平</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restart"/>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3</w:t>
            </w:r>
          </w:p>
        </w:tc>
        <w:tc>
          <w:tcPr>
            <w:tcW w:w="893" w:type="dxa"/>
            <w:vMerge w:val="restart"/>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土路基</w:t>
            </w: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压实度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电子天平</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烘箱</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灌砂筒</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环刀</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无核密度仪*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核子密湿度仪*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弯沉值</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贝克曼梁路面弯沉仪</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百分表</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自动弯沉仪*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落锤式弯沉仪*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激光式高速路面弯沉测量仪*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土基回弹模量*</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千斤顶、测力计</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百分表</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承载板</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位移计*</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贝克曼梁路面弯沉仪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restart"/>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4</w:t>
            </w:r>
          </w:p>
        </w:tc>
        <w:tc>
          <w:tcPr>
            <w:tcW w:w="893" w:type="dxa"/>
            <w:vMerge w:val="restart"/>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排水管道工程*</w:t>
            </w: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4.1</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地基承载力*</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动力触探仪</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《建筑地基检测技术规范》JGJ 340-2015</w:t>
            </w:r>
          </w:p>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《建筑地基处理技术规范》JGJ 79-2012</w:t>
            </w:r>
          </w:p>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《土工试验方法标准》GB 50123-2019</w:t>
            </w:r>
          </w:p>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《建筑地基处理技术规范》JGJ 79-2012</w:t>
            </w:r>
          </w:p>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《建筑地基基础设计规范》GB 50007-2011</w:t>
            </w:r>
          </w:p>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《岩土工程勘察规范[2009年版]》GB 50021-2001</w:t>
            </w:r>
          </w:p>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《建筑地基检测技术规范》JGJ 340-2015</w:t>
            </w:r>
          </w:p>
          <w:p>
            <w:pPr>
              <w:widowControl/>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《建筑地基基础检测规范》DBJ/T 15-60-2019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标准贯入器*</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静力触探仪*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平板荷载试验系统</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千斤顶</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十字板剪切仪*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4.2</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回填土压实度*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电子天平</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《公路路基路面现场测试规程》JTG 3450-2019</w:t>
            </w:r>
          </w:p>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《土工试验方法标准》GB 50123-2019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烘箱</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灌砂筒</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环刀</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无核密度仪*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核子密湿度仪*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4.3</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背后土体密实性*</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探地雷达</w:t>
            </w:r>
          </w:p>
        </w:tc>
        <w:tc>
          <w:tcPr>
            <w:tcW w:w="2835" w:type="dxa"/>
            <w:vMerge w:val="restart"/>
            <w:noWrap w:val="0"/>
            <w:vAlign w:val="center"/>
          </w:tcPr>
          <w:p>
            <w:pPr>
              <w:widowControl/>
              <w:jc w:val="center"/>
              <w:textAlignment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《城市地下病害体综合探测与风险评估技术标准》JGJ/T 437-2018</w:t>
            </w:r>
          </w:p>
          <w:p>
            <w:pPr>
              <w:widowControl/>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《城市工程地球物理探测标准》 CJJ/T 7-2017</w:t>
            </w:r>
          </w:p>
          <w:p>
            <w:pPr>
              <w:pStyle w:val="2"/>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高密度电阻率法探测仪*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瞬态面波法探测仪*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微动勘探法探测仪*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地震映像法探测仪*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瞬变电磁法探测仪*</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4.4</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严密性试验*</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渗水量测量装置</w:t>
            </w:r>
          </w:p>
        </w:tc>
        <w:tc>
          <w:tcPr>
            <w:tcW w:w="2835" w:type="dxa"/>
            <w:vMerge w:val="restart"/>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《给水排水管道工程施工及验收规范》GB 50268-2008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钢卷尺</w:t>
            </w:r>
          </w:p>
        </w:tc>
        <w:tc>
          <w:tcPr>
            <w:tcW w:w="2835" w:type="dxa"/>
            <w:vMerge w:val="continue"/>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温度计</w:t>
            </w:r>
          </w:p>
        </w:tc>
        <w:tc>
          <w:tcPr>
            <w:tcW w:w="2835" w:type="dxa"/>
            <w:vMerge w:val="continue"/>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压力表</w:t>
            </w:r>
          </w:p>
        </w:tc>
        <w:tc>
          <w:tcPr>
            <w:tcW w:w="2835" w:type="dxa"/>
            <w:vMerge w:val="continue"/>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restart"/>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5</w:t>
            </w:r>
          </w:p>
        </w:tc>
        <w:tc>
          <w:tcPr>
            <w:tcW w:w="893" w:type="dxa"/>
            <w:vMerge w:val="restart"/>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水泥混凝土路面*</w:t>
            </w: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5.1</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平整度*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三米</w:t>
            </w:r>
            <w:r>
              <w:rPr>
                <w:rFonts w:hint="eastAsia" w:ascii="宋体" w:hAnsi="宋体" w:eastAsia="宋体" w:cs="宋体"/>
                <w:kern w:val="0"/>
                <w:sz w:val="21"/>
                <w:szCs w:val="21"/>
                <w:highlight w:val="none"/>
                <w:lang w:bidi="ar"/>
              </w:rPr>
              <w:t>直尺</w:t>
            </w:r>
          </w:p>
        </w:tc>
        <w:tc>
          <w:tcPr>
            <w:tcW w:w="2835" w:type="dxa"/>
            <w:vMerge w:val="restart"/>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楔形塞尺</w:t>
            </w:r>
          </w:p>
        </w:tc>
        <w:tc>
          <w:tcPr>
            <w:tcW w:w="2835" w:type="dxa"/>
            <w:vMerge w:val="continue"/>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连续式平整度仪*</w:t>
            </w:r>
          </w:p>
        </w:tc>
        <w:tc>
          <w:tcPr>
            <w:tcW w:w="2835" w:type="dxa"/>
            <w:vMerge w:val="continue"/>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车载式颠簸累积仪*</w:t>
            </w:r>
          </w:p>
        </w:tc>
        <w:tc>
          <w:tcPr>
            <w:tcW w:w="2835" w:type="dxa"/>
            <w:vMerge w:val="continue"/>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激光平整度仪*</w:t>
            </w:r>
          </w:p>
        </w:tc>
        <w:tc>
          <w:tcPr>
            <w:tcW w:w="2835" w:type="dxa"/>
            <w:vMerge w:val="continue"/>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手推式断面仪*</w:t>
            </w:r>
          </w:p>
        </w:tc>
        <w:tc>
          <w:tcPr>
            <w:tcW w:w="2835" w:type="dxa"/>
            <w:vMerge w:val="continue"/>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5.2</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构造深度*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手工铺砂仪</w:t>
            </w:r>
          </w:p>
        </w:tc>
        <w:tc>
          <w:tcPr>
            <w:tcW w:w="2835" w:type="dxa"/>
            <w:vMerge w:val="restart"/>
            <w:noWrap w:val="0"/>
            <w:vAlign w:val="center"/>
          </w:tcPr>
          <w:p>
            <w:pPr>
              <w:widowControl/>
              <w:jc w:val="left"/>
              <w:textAlignment w:val="center"/>
              <w:rPr>
                <w:rFonts w:hint="eastAsia" w:ascii="宋体" w:hAnsi="宋体" w:eastAsia="宋体" w:cs="宋体"/>
                <w:kern w:val="0"/>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钢板尺/构造深度尺</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电动铺砂仪*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车载式激光构造深度仪*</w:t>
            </w:r>
          </w:p>
        </w:tc>
        <w:tc>
          <w:tcPr>
            <w:tcW w:w="2835" w:type="dxa"/>
            <w:vMerge w:val="continue"/>
            <w:noWrap w:val="0"/>
            <w:vAlign w:val="center"/>
          </w:tcPr>
          <w:p>
            <w:pPr>
              <w:jc w:val="left"/>
              <w:rPr>
                <w:rFonts w:hint="eastAsia" w:ascii="宋体" w:hAnsi="宋体" w:eastAsia="宋体" w:cs="宋体"/>
                <w:sz w:val="21"/>
                <w:szCs w:val="21"/>
                <w:highlight w:val="none"/>
              </w:rPr>
            </w:pPr>
          </w:p>
        </w:tc>
        <w:tc>
          <w:tcPr>
            <w:tcW w:w="4961" w:type="dxa"/>
            <w:vMerge w:val="continue"/>
            <w:noWrap w:val="0"/>
            <w:vAlign w:val="center"/>
          </w:tcPr>
          <w:p>
            <w:pPr>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5.3</w:t>
            </w:r>
          </w:p>
        </w:tc>
        <w:tc>
          <w:tcPr>
            <w:tcW w:w="1208" w:type="dxa"/>
            <w:vMerge w:val="restart"/>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厚度*</w:t>
            </w: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游标卡尺</w:t>
            </w:r>
          </w:p>
        </w:tc>
        <w:tc>
          <w:tcPr>
            <w:tcW w:w="2835" w:type="dxa"/>
            <w:vMerge w:val="restart"/>
            <w:noWrap w:val="0"/>
            <w:vAlign w:val="center"/>
          </w:tcPr>
          <w:p>
            <w:pPr>
              <w:jc w:val="center"/>
              <w:rPr>
                <w:rFonts w:hint="eastAsia" w:ascii="宋体" w:hAnsi="宋体" w:eastAsia="宋体" w:cs="宋体"/>
                <w:sz w:val="21"/>
                <w:szCs w:val="21"/>
                <w:highlight w:val="none"/>
              </w:rPr>
            </w:pPr>
          </w:p>
        </w:tc>
        <w:tc>
          <w:tcPr>
            <w:tcW w:w="4961" w:type="dxa"/>
            <w:vMerge w:val="restart"/>
            <w:noWrap w:val="0"/>
            <w:vAlign w:val="center"/>
          </w:tcPr>
          <w:p>
            <w:pPr>
              <w:widowControl/>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公路路基路面现场测试规程JTG 3450-2019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钢直尺</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jc w:val="left"/>
              <w:rPr>
                <w:rFonts w:hint="eastAsia" w:ascii="宋体" w:hAnsi="宋体" w:eastAsia="宋体" w:cs="宋体"/>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0" w:type="dxa"/>
            <w:vMerge w:val="continue"/>
            <w:noWrap w:val="0"/>
            <w:vAlign w:val="center"/>
          </w:tcPr>
          <w:p>
            <w:pPr>
              <w:jc w:val="center"/>
              <w:rPr>
                <w:rFonts w:hint="eastAsia" w:ascii="宋体" w:hAnsi="宋体" w:eastAsia="宋体" w:cs="宋体"/>
                <w:b/>
                <w:bCs/>
                <w:sz w:val="21"/>
                <w:szCs w:val="21"/>
                <w:highlight w:val="none"/>
              </w:rPr>
            </w:pPr>
          </w:p>
        </w:tc>
        <w:tc>
          <w:tcPr>
            <w:tcW w:w="893" w:type="dxa"/>
            <w:vMerge w:val="continue"/>
            <w:noWrap w:val="0"/>
            <w:vAlign w:val="center"/>
          </w:tcPr>
          <w:p>
            <w:pPr>
              <w:jc w:val="center"/>
              <w:rPr>
                <w:rFonts w:hint="eastAsia" w:ascii="宋体" w:hAnsi="宋体" w:eastAsia="宋体" w:cs="宋体"/>
                <w:b/>
                <w:bCs/>
                <w:sz w:val="21"/>
                <w:szCs w:val="21"/>
                <w:highlight w:val="none"/>
              </w:rPr>
            </w:pPr>
          </w:p>
        </w:tc>
        <w:tc>
          <w:tcPr>
            <w:tcW w:w="743" w:type="dxa"/>
            <w:vMerge w:val="continue"/>
            <w:noWrap w:val="0"/>
            <w:vAlign w:val="center"/>
          </w:tcPr>
          <w:p>
            <w:pPr>
              <w:jc w:val="center"/>
              <w:rPr>
                <w:rFonts w:hint="eastAsia" w:ascii="宋体" w:hAnsi="宋体" w:eastAsia="宋体" w:cs="宋体"/>
                <w:sz w:val="21"/>
                <w:szCs w:val="21"/>
                <w:highlight w:val="none"/>
              </w:rPr>
            </w:pPr>
          </w:p>
        </w:tc>
        <w:tc>
          <w:tcPr>
            <w:tcW w:w="1208" w:type="dxa"/>
            <w:vMerge w:val="continue"/>
            <w:noWrap w:val="0"/>
            <w:vAlign w:val="center"/>
          </w:tcPr>
          <w:p>
            <w:pPr>
              <w:jc w:val="center"/>
              <w:rPr>
                <w:rFonts w:hint="eastAsia" w:ascii="宋体" w:hAnsi="宋体" w:eastAsia="宋体" w:cs="宋体"/>
                <w:sz w:val="21"/>
                <w:szCs w:val="21"/>
                <w:highlight w:val="none"/>
              </w:rPr>
            </w:pPr>
          </w:p>
        </w:tc>
        <w:tc>
          <w:tcPr>
            <w:tcW w:w="3085"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取芯机</w:t>
            </w:r>
          </w:p>
        </w:tc>
        <w:tc>
          <w:tcPr>
            <w:tcW w:w="2835" w:type="dxa"/>
            <w:vMerge w:val="continue"/>
            <w:noWrap w:val="0"/>
            <w:vAlign w:val="center"/>
          </w:tcPr>
          <w:p>
            <w:pPr>
              <w:jc w:val="center"/>
              <w:rPr>
                <w:rFonts w:hint="eastAsia" w:ascii="宋体" w:hAnsi="宋体" w:eastAsia="宋体" w:cs="宋体"/>
                <w:sz w:val="21"/>
                <w:szCs w:val="21"/>
                <w:highlight w:val="none"/>
              </w:rPr>
            </w:pPr>
          </w:p>
        </w:tc>
        <w:tc>
          <w:tcPr>
            <w:tcW w:w="4961" w:type="dxa"/>
            <w:vMerge w:val="continue"/>
            <w:noWrap w:val="0"/>
            <w:vAlign w:val="center"/>
          </w:tcPr>
          <w:p>
            <w:pPr>
              <w:jc w:val="left"/>
              <w:rPr>
                <w:rFonts w:hint="eastAsia" w:ascii="宋体" w:hAnsi="宋体" w:eastAsia="宋体" w:cs="宋体"/>
                <w:sz w:val="21"/>
                <w:szCs w:val="21"/>
                <w:highlight w:val="none"/>
              </w:rPr>
            </w:pP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pStyle w:val="2"/>
        <w:jc w:val="center"/>
        <w:rPr>
          <w:rFonts w:hint="eastAsia" w:ascii="黑体" w:hAnsi="黑体" w:eastAsia="黑体" w:cs="黑体"/>
          <w:sz w:val="32"/>
          <w:szCs w:val="32"/>
          <w:highlight w:val="none"/>
        </w:rPr>
      </w:pPr>
      <w:r>
        <w:rPr>
          <w:rFonts w:hint="eastAsia" w:ascii="方正小标宋简体" w:hAnsi="方正小标宋简体" w:eastAsia="方正小标宋简体" w:cs="方正小标宋简体"/>
          <w:color w:val="auto"/>
          <w:sz w:val="44"/>
          <w:szCs w:val="44"/>
          <w:highlight w:val="none"/>
          <w:lang w:val="en-US" w:eastAsia="zh-CN"/>
        </w:rPr>
        <w:t>仪器设备配置表</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 xml:space="preserve">表九 </w:t>
      </w:r>
      <w:r>
        <w:rPr>
          <w:rFonts w:hint="eastAsia" w:ascii="黑体" w:hAnsi="黑体" w:eastAsia="黑体" w:cs="黑体"/>
          <w:sz w:val="32"/>
          <w:szCs w:val="32"/>
          <w:highlight w:val="none"/>
        </w:rPr>
        <w:t>桥梁与地下工程）</w:t>
      </w:r>
    </w:p>
    <w:tbl>
      <w:tblPr>
        <w:tblStyle w:val="14"/>
        <w:tblW w:w="1418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059"/>
        <w:gridCol w:w="850"/>
        <w:gridCol w:w="1967"/>
        <w:gridCol w:w="3777"/>
        <w:gridCol w:w="1817"/>
        <w:gridCol w:w="40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71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项目</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序号</w:t>
            </w:r>
          </w:p>
        </w:tc>
        <w:tc>
          <w:tcPr>
            <w:tcW w:w="105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检测</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项目</w:t>
            </w: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参数</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序号</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检测参数</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主要设备名称</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试验方法要求</w:t>
            </w:r>
          </w:p>
        </w:tc>
        <w:tc>
          <w:tcPr>
            <w:tcW w:w="400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参考标准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1</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桥梁结构与构件</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静态应变(应力)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静态应变测量与采集设备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（总通道数不得少于200个）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dstrike w:val="0"/>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《公路桥梁荷载试验规程》 JTG/T J21-01-2015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 50982-2014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《公路桥梁结构监测技术规范》JT/T 1037-2022</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千分表*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杠杆引伸仪*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电阻应变计（配套应变测试分析系统）</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振弦式应变计 (配套数据采集测试仪)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光纤传感器（配套光纤光栅解调仪）*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动态应变(应力)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电阻式动态应变测量、采集与分析设备（不少于8通道）</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 xml:space="preserve"> 《公路桥梁荷载试验规程》JTG/T J21-01-2015</w:t>
            </w:r>
            <w:r>
              <w:rPr>
                <w:rFonts w:hint="eastAsia" w:asciiTheme="minorEastAsia" w:hAnsiTheme="minorEastAsia" w:eastAsiaTheme="minorEastAsia" w:cstheme="minorEastAsia"/>
                <w:color w:val="auto"/>
                <w:kern w:val="0"/>
                <w:sz w:val="21"/>
                <w:szCs w:val="21"/>
                <w:highlight w:val="none"/>
                <w:lang w:bidi="ar"/>
              </w:rPr>
              <w:t xml:space="preserve">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《建筑与桥梁结构监测技术规范》GB50982-2014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《公路桥梁施工监控技术规程》 JTG/T 3650-01-2022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《公路桥梁结构监测技术规范》JT/T 1037-2022</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光纤传感器(配套数据采集光纤光栅解调仪)</w:t>
            </w:r>
            <w:r>
              <w:rPr>
                <w:rFonts w:hint="eastAsia" w:asciiTheme="minorEastAsia" w:hAnsiTheme="minorEastAsia" w:eastAsiaTheme="minorEastAsia" w:cstheme="minorEastAsia"/>
                <w:color w:val="auto"/>
                <w:kern w:val="0"/>
                <w:sz w:val="21"/>
                <w:szCs w:val="21"/>
                <w:highlight w:val="none"/>
                <w:lang w:bidi="ar"/>
              </w:rPr>
              <w:t>*</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位移</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千分表</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 《城市桥梁检测与评定技术规范》CJJ/T 233-2015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dstrike w:val="0"/>
                <w:color w:val="auto"/>
                <w:kern w:val="0"/>
                <w:sz w:val="21"/>
                <w:szCs w:val="21"/>
                <w:highlight w:val="none"/>
                <w:lang w:bidi="ar"/>
              </w:rPr>
            </w:pP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《公路工程质量检验评定标准 第一册 土建工程》JTG F80/1-2017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《城市桥梁工程施工与质量验收规范》 CJJ 2-2008</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《工程测量标准》GB 50026-2020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《国家一、二等水准测量规范》GB/T 12897-2006</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 50982-2014)</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百分表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bidi="ar"/>
              </w:rPr>
              <w:t>位移计数据采集系统（不少于16通道）</w:t>
            </w:r>
            <w:r>
              <w:rPr>
                <w:rFonts w:hint="eastAsia" w:asciiTheme="minorEastAsia" w:hAnsiTheme="minorEastAsia" w:eastAsiaTheme="minorEastAsia" w:cstheme="minorEastAsia"/>
                <w:color w:val="auto"/>
                <w:kern w:val="0"/>
                <w:sz w:val="21"/>
                <w:szCs w:val="21"/>
                <w:highlight w:val="none"/>
                <w:lang w:val="en-US" w:eastAsia="zh-CN" w:bidi="ar"/>
              </w:rPr>
              <w:t>*</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精密水准仪 </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光电挠度仪*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倾角计</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卫星定位系统*</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1.4</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模态参数(频率、振型、阻尼比)</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振动信号采集与分析设备（总通道数不少于16通道）</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r>
              <w:rPr>
                <w:rFonts w:hint="eastAsia" w:asciiTheme="minorEastAsia" w:hAnsiTheme="minorEastAsia" w:eastAsiaTheme="minorEastAsia" w:cstheme="minorEastAsia"/>
                <w:strike w:val="0"/>
                <w:color w:val="auto"/>
                <w:kern w:val="0"/>
                <w:sz w:val="21"/>
                <w:szCs w:val="21"/>
                <w:highlight w:val="none"/>
                <w:lang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p>
            <w:pPr>
              <w:pStyle w:val="2"/>
              <w:keepNext w:val="0"/>
              <w:keepLines w:val="0"/>
              <w:numPr>
                <w:ilvl w:val="0"/>
                <w:numId w:val="0"/>
              </w:numPr>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建筑与桥梁结构监测技术规范》(GB 50982-2014)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测振传感器（不少于12个竖向传感器、不少于4个水平传感器）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1.5</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索力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索力振动动测试仪(配套测振采集器)</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 《公路桥梁荷载试验规程》 JTG/T J21-01-2015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《建筑与桥梁结构监测技术规范》GB50982-2014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《公路桥梁施工监控技术规程》 JTG/T 3650-01-2022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《公路桥梁结构监测技术规范》JT/T 1037-2022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d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《在用公路桥梁现场检测技术规程》JTG/T 5214-2022</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《建筑与桥梁结构监测技术规范》GB50982-2014</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测力传感器与数据采集仪*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1.6</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承载能力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桥梁结构计算分析软件</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dstrike w:val="0"/>
                <w:color w:val="auto"/>
                <w:kern w:val="0"/>
                <w:sz w:val="21"/>
                <w:szCs w:val="21"/>
                <w:highlight w:val="none"/>
                <w:lang w:bidi="ar"/>
              </w:rPr>
              <w:t xml:space="preserve">《公路桥梁承载能力检测评定规程》 JTG/T J21-2011 </w:t>
            </w:r>
            <w:r>
              <w:rPr>
                <w:rFonts w:hint="eastAsia" w:asciiTheme="minorEastAsia" w:hAnsiTheme="minorEastAsia" w:eastAsiaTheme="minorEastAsia" w:cstheme="minorEastAsia"/>
                <w:color w:val="auto"/>
                <w:kern w:val="0"/>
                <w:sz w:val="21"/>
                <w:szCs w:val="21"/>
                <w:highlight w:val="none"/>
                <w:lang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1.7</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桥梁线形</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dstrike w:val="0"/>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《城市桥梁检测与评定技术规范》CJJ/T 233-2015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《工程测量标准》GB 50026-2020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《国家一、二等水准测量规范》GB/T 12897-2006</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《建筑变形测量规范》JGJ 8-2016</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《公路桥梁施工监控技术规程》(JTG/T 3650-01-2022)</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《城市桥梁工程施工与质量验收规范》CJJ 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精密水准仪 </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卫星定位系统*          </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1.8</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动态挠度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电阻应变式位移计及动态应变仪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r>
              <w:rPr>
                <w:rFonts w:hint="eastAsia" w:asciiTheme="minorEastAsia" w:hAnsiTheme="minorEastAsia" w:eastAsiaTheme="minorEastAsia" w:cstheme="minorEastAsia"/>
                <w:color w:val="auto"/>
                <w:kern w:val="0"/>
                <w:sz w:val="21"/>
                <w:szCs w:val="21"/>
                <w:highlight w:val="none"/>
                <w:lang w:bidi="ar"/>
              </w:rPr>
              <w:t xml:space="preserve">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《建筑与桥梁结构监测技术规范》GB50982-2014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《公路桥梁施工监控技术规程》 JTG/T 3650-01-2022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 JT/T 1037-2022</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strike w:val="0"/>
                <w:dstrike w:val="0"/>
                <w:color w:val="auto"/>
                <w:kern w:val="0"/>
                <w:sz w:val="21"/>
                <w:szCs w:val="21"/>
                <w:highlight w:val="none"/>
                <w:lang w:bidi="ar"/>
              </w:rPr>
              <w:t>光电位移测量装置</w:t>
            </w:r>
            <w:r>
              <w:rPr>
                <w:rFonts w:hint="eastAsia" w:asciiTheme="minorEastAsia" w:hAnsiTheme="minorEastAsia" w:eastAsiaTheme="minorEastAsia" w:cstheme="minorEastAsia"/>
                <w:strike w:val="0"/>
                <w:dstrike w:val="0"/>
                <w:color w:val="auto"/>
                <w:kern w:val="0"/>
                <w:sz w:val="21"/>
                <w:szCs w:val="21"/>
                <w:highlight w:val="none"/>
                <w:lang w:val="en-US" w:eastAsia="zh-CN" w:bidi="ar"/>
              </w:rPr>
              <w:t>*</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trike w:val="0"/>
                <w:dstrike w:val="0"/>
                <w:color w:val="auto"/>
                <w:sz w:val="21"/>
                <w:szCs w:val="21"/>
                <w:highlight w:val="none"/>
              </w:rPr>
            </w:pPr>
            <w:r>
              <w:rPr>
                <w:rFonts w:hint="eastAsia" w:asciiTheme="minorEastAsia" w:hAnsiTheme="minorEastAsia" w:eastAsiaTheme="minorEastAsia" w:cstheme="minorEastAsia"/>
                <w:strike w:val="0"/>
                <w:dstrike w:val="0"/>
                <w:color w:val="auto"/>
                <w:kern w:val="0"/>
                <w:sz w:val="21"/>
                <w:szCs w:val="21"/>
                <w:highlight w:val="none"/>
                <w:lang w:bidi="ar"/>
              </w:rPr>
              <w:t>光电挠度仪*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雷达波测试仪*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1.9</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静态挠度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千分表</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d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 xml:space="preserve">《公路桥梁荷载试验规程》  JTG/T J21-01-2015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《建筑与桥梁结构监测技术规范》GB50982-2014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《公路桥梁施工监控技术规程》 JTG/T 3650-01-2022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 JT/T 1037-2022</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百分表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位移计数据采集系统*</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精密水准仪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光电挠度仪*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卫星定位系统*</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1.10</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结构尺寸</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  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《城市桥梁工程施工与质量验收规范》CJJ 2-2008</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《混凝土结构工程施工质量验收规范》GB50204-2015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激光测距仪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1.11</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轴线偏位</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sz w:val="21"/>
                <w:szCs w:val="21"/>
                <w:highlight w:val="none"/>
                <w:lang w:bidi="ar"/>
              </w:rPr>
              <w:t>经纬仪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  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《城市桥梁工程施工与质量验收规范》CJJ 2-2008</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《工程测量标准》  GB 50026-2020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《国家一、二等水准测量规范》GB/T 12897-2006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竖直度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《公路工程质量检验评定标准 第一册 土建工程》JTG F80/1-2017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《城市桥梁工程施工与质量验收规范》CJJ 2-2008</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《工程测量标准》GB 50026-2020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trike w:val="0"/>
                <w:dstrike w:val="0"/>
                <w:color w:val="auto"/>
                <w:kern w:val="0"/>
                <w:sz w:val="21"/>
                <w:szCs w:val="21"/>
                <w:highlight w:val="none"/>
                <w:lang w:bidi="ar"/>
              </w:rPr>
              <w:t>《在用公路桥梁现场检测技术规程》JTG/T 5214-2022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u w:val="none"/>
                <w:lang w:bidi="ar"/>
              </w:rPr>
              <w:t>全站仪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u w:val="none"/>
                <w:lang w:bidi="ar"/>
              </w:rPr>
            </w:pPr>
            <w:r>
              <w:rPr>
                <w:rFonts w:hint="eastAsia" w:asciiTheme="minorEastAsia" w:hAnsiTheme="minorEastAsia" w:eastAsiaTheme="minorEastAsia" w:cstheme="minorEastAsia"/>
                <w:strike w:val="0"/>
                <w:dstrike w:val="0"/>
                <w:color w:val="auto"/>
                <w:kern w:val="0"/>
                <w:sz w:val="21"/>
                <w:szCs w:val="21"/>
                <w:highlight w:val="none"/>
                <w:u w:val="none"/>
                <w:lang w:bidi="ar"/>
              </w:rPr>
              <w:t>经纬仪*</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059"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u w:val="none"/>
                <w:lang w:bidi="ar"/>
              </w:rPr>
            </w:pPr>
            <w:r>
              <w:rPr>
                <w:rFonts w:hint="eastAsia" w:asciiTheme="minorEastAsia" w:hAnsiTheme="minorEastAsia" w:eastAsiaTheme="minorEastAsia" w:cstheme="minorEastAsia"/>
                <w:color w:val="auto"/>
                <w:kern w:val="0"/>
                <w:sz w:val="21"/>
                <w:szCs w:val="21"/>
                <w:highlight w:val="none"/>
                <w:u w:val="none"/>
                <w:lang w:bidi="ar"/>
              </w:rPr>
              <w:t>垂球*</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激光垂准仪*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经纬仪*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p>
            <w:pPr>
              <w:pStyle w:val="2"/>
              <w:rPr>
                <w:rFonts w:hint="eastAsia"/>
                <w:highlight w:val="none"/>
              </w:rPr>
            </w:pP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混凝土强度（回弹法）</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《回弹法检测混凝土抗压强度技术规程》</w:t>
            </w:r>
            <w:r>
              <w:rPr>
                <w:rStyle w:val="34"/>
                <w:rFonts w:hint="eastAsia" w:asciiTheme="minorEastAsia" w:hAnsiTheme="minorEastAsia" w:eastAsiaTheme="minorEastAsia" w:cstheme="minorEastAsia"/>
                <w:b w:val="0"/>
                <w:bCs w:val="0"/>
                <w:color w:val="auto"/>
                <w:sz w:val="21"/>
                <w:szCs w:val="21"/>
                <w:highlight w:val="none"/>
                <w:lang w:bidi="ar"/>
              </w:rPr>
              <w:t>JGJ/T 23-2011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《高强混凝土强度检测技术规程》</w:t>
            </w:r>
            <w:r>
              <w:rPr>
                <w:rStyle w:val="34"/>
                <w:rFonts w:hint="eastAsia" w:asciiTheme="minorEastAsia" w:hAnsiTheme="minorEastAsia" w:eastAsiaTheme="minorEastAsia" w:cstheme="minorEastAsia"/>
                <w:b w:val="0"/>
                <w:bCs w:val="0"/>
                <w:color w:val="auto"/>
                <w:sz w:val="21"/>
                <w:szCs w:val="21"/>
                <w:highlight w:val="none"/>
                <w:lang w:bidi="ar"/>
              </w:rPr>
              <w:t>JGJ/T 294-2013</w:t>
            </w:r>
          </w:p>
          <w:p>
            <w:pPr>
              <w:keepNext w:val="0"/>
              <w:keepLines w:val="0"/>
              <w:widowControl/>
              <w:suppressLineNumbers w:val="0"/>
              <w:spacing w:before="0" w:beforeAutospacing="0" w:after="0" w:afterAutospacing="0"/>
              <w:ind w:left="0" w:right="0"/>
              <w:jc w:val="left"/>
              <w:rPr>
                <w:rStyle w:val="34"/>
                <w:rFonts w:hint="eastAsia" w:asciiTheme="minorEastAsia" w:hAnsiTheme="minorEastAsia" w:eastAsiaTheme="minorEastAsia" w:cstheme="minorEastAsia"/>
                <w:b w:val="0"/>
                <w:bCs w:val="0"/>
                <w:color w:val="auto"/>
                <w:sz w:val="21"/>
                <w:szCs w:val="21"/>
                <w:highlight w:val="none"/>
                <w:lang w:val="en-US" w:eastAsia="zh-CN" w:bidi="ar"/>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《回弹法检测泵送混凝土抗压强度技术规程》DBJ/T15-211-2021</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《高强混凝土强度回弹法检测技术规程》DBJ/T15-186-2020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高强混凝土回弹仪*</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(20.0kg)</w:t>
            </w:r>
            <w:r>
              <w:rPr>
                <w:rStyle w:val="33"/>
                <w:rFonts w:hint="eastAsia" w:asciiTheme="minorEastAsia" w:hAnsiTheme="minorEastAsia" w:eastAsiaTheme="minorEastAsia" w:cstheme="minorEastAsia"/>
                <w:b w:val="0"/>
                <w:bCs w:val="0"/>
                <w:color w:val="auto"/>
                <w:sz w:val="21"/>
                <w:szCs w:val="21"/>
                <w:highlight w:val="none"/>
                <w:lang w:bidi="ar"/>
              </w:rPr>
              <w:t>（高强回弹仪）*</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碳化深度测量尺</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混凝土强度（钻芯法）</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《钻芯检测离心高强混凝土强度试验方法》GB/T 19496-2004</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 xml:space="preserve">《混凝土物理力学性能试验方法标准》GB/T 50081-2019 </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混凝土强度（回弹-钻芯综合法）</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 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《回弹法检测混凝土抗压强度技术规程》JGJ/T 23-2011</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《混凝土物理力学性能试验方法标准》GB/T 50081-2019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混凝土强度（超声回弹综合法）</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《超声回弹综合法检测混凝土抗压强度技术规程》T/CECS 02-2020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混凝土超声波检测仪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1.14</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混凝土碳化深度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碳化深度测量尺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 》GB/T 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《回弹法检测混凝土抗压强度技术规程》JGJ/T 23-2011</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《桥梁混凝土结构无损检测技术规程》T/CECS G:J50-01-2019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1.15</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钢筋位置及保护层厚度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《混凝土中钢筋检测技术标准》JGJ/T 152-2019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《混凝土结构工程施工质量验收规范 》GB 50204-2015</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《桥梁混凝土结构无损检测技术规程》T/CECS G:J50-01-2019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卡尺</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雷达测试仪*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1.16</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氯离子含量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天平（万分之一）、</w:t>
            </w:r>
            <w:r>
              <w:rPr>
                <w:rFonts w:hint="eastAsia" w:asciiTheme="minorEastAsia" w:hAnsiTheme="minorEastAsia" w:eastAsiaTheme="minorEastAsia" w:cstheme="minorEastAsia"/>
                <w:color w:val="auto"/>
                <w:sz w:val="21"/>
                <w:szCs w:val="21"/>
                <w:highlight w:val="none"/>
                <w:lang w:bidi="ar"/>
              </w:rPr>
              <w:t>研磨设备、</w:t>
            </w:r>
            <w:r>
              <w:rPr>
                <w:rFonts w:hint="eastAsia" w:asciiTheme="minorEastAsia" w:hAnsiTheme="minorEastAsia" w:eastAsiaTheme="minorEastAsia" w:cstheme="minorEastAsia"/>
                <w:color w:val="auto"/>
                <w:kern w:val="0"/>
                <w:sz w:val="21"/>
                <w:szCs w:val="21"/>
                <w:highlight w:val="none"/>
                <w:lang w:bidi="ar"/>
              </w:rPr>
              <w:t>烘箱、电位滴定仪</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bidi="ar"/>
              </w:rPr>
              <w:t>酸度计</w:t>
            </w:r>
            <w:r>
              <w:rPr>
                <w:rFonts w:hint="eastAsia" w:asciiTheme="minorEastAsia" w:hAnsiTheme="minorEastAsia" w:eastAsiaTheme="minorEastAsia" w:cstheme="minorEastAsia"/>
                <w:color w:val="auto"/>
                <w:sz w:val="21"/>
                <w:szCs w:val="21"/>
                <w:highlight w:val="none"/>
                <w:lang w:bidi="ar"/>
              </w:rPr>
              <w:t>滴定管</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《建筑结构检测技术标准》GB∕T 50344-2019</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《混凝土中氯离子含量检测技术规程》</w:t>
            </w:r>
            <w:r>
              <w:rPr>
                <w:rFonts w:hint="eastAsia" w:asciiTheme="minorEastAsia" w:hAnsiTheme="minorEastAsia" w:eastAsiaTheme="minorEastAsia" w:cstheme="minorEastAsia"/>
                <w:color w:val="auto"/>
                <w:kern w:val="0"/>
                <w:sz w:val="21"/>
                <w:szCs w:val="21"/>
                <w:highlight w:val="none"/>
                <w:lang w:eastAsia="zh-CN" w:bidi="ar"/>
              </w:rPr>
              <w:t>JGJ/T</w:t>
            </w:r>
            <w:r>
              <w:rPr>
                <w:rFonts w:hint="eastAsia" w:asciiTheme="minorEastAsia" w:hAnsiTheme="minorEastAsia" w:eastAsiaTheme="minorEastAsia" w:cstheme="minorEastAsia"/>
                <w:color w:val="auto"/>
                <w:kern w:val="0"/>
                <w:sz w:val="21"/>
                <w:szCs w:val="21"/>
                <w:highlight w:val="none"/>
                <w:lang w:bidi="ar"/>
              </w:rPr>
              <w:t xml:space="preserve"> 322-2013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《混凝土氯离子控制标准》</w:t>
            </w:r>
            <w:r>
              <w:rPr>
                <w:rFonts w:hint="eastAsia" w:asciiTheme="minorEastAsia" w:hAnsiTheme="minorEastAsia" w:eastAsiaTheme="minorEastAsia" w:cstheme="minorEastAsia"/>
                <w:color w:val="auto"/>
                <w:sz w:val="21"/>
                <w:szCs w:val="21"/>
                <w:highlight w:val="none"/>
                <w:lang w:eastAsia="zh-CN"/>
              </w:rPr>
              <w:t>DBJ/T</w:t>
            </w:r>
            <w:r>
              <w:rPr>
                <w:rFonts w:hint="eastAsia" w:asciiTheme="minorEastAsia" w:hAnsiTheme="minorEastAsia" w:eastAsiaTheme="minorEastAsia" w:cstheme="minorEastAsia"/>
                <w:color w:val="auto"/>
                <w:sz w:val="21"/>
                <w:szCs w:val="21"/>
                <w:highlight w:val="none"/>
              </w:rPr>
              <w:t xml:space="preserve"> 15-232-2021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1.17</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《城市桥梁工程施工与质量验收规范》CJJ 2-2008</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p>
            <w:pPr>
              <w:pStyle w:val="2"/>
              <w:keepNext w:val="0"/>
              <w:keepLines w:val="0"/>
              <w:numPr>
                <w:ilvl w:val="0"/>
                <w:numId w:val="0"/>
              </w:numPr>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《桥梁混凝土结构无损检测技术规程》T/CECS G:J50-01-2019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激光测距仪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bidi="ar"/>
              </w:rPr>
              <w:t>裂缝宽度观测仪</w:t>
            </w:r>
            <w:r>
              <w:rPr>
                <w:rFonts w:hint="eastAsia" w:asciiTheme="minorEastAsia" w:hAnsiTheme="minorEastAsia" w:eastAsiaTheme="minorEastAsia" w:cstheme="minorEastAsia"/>
                <w:color w:val="auto"/>
                <w:sz w:val="21"/>
                <w:szCs w:val="21"/>
                <w:highlight w:val="none"/>
                <w:lang w:val="en-US" w:eastAsia="zh-CN" w:bidi="ar"/>
              </w:rPr>
              <w:t>/</w:t>
            </w:r>
            <w:r>
              <w:rPr>
                <w:rFonts w:hint="eastAsia" w:asciiTheme="minorEastAsia" w:hAnsiTheme="minorEastAsia" w:eastAsiaTheme="minorEastAsia" w:cstheme="minorEastAsia"/>
                <w:color w:val="auto"/>
                <w:sz w:val="21"/>
                <w:szCs w:val="21"/>
                <w:highlight w:val="none"/>
                <w:lang w:bidi="ar"/>
              </w:rPr>
              <w:t>刻度放大镜</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eastAsia="zh-CN" w:bidi="ar"/>
              </w:rPr>
              <w:t>非金属超声测试仪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1.18</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内部缺陷*</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《雷达法检测混凝土结构技术标准》JTJ/T 456-2019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《冲击回波法检测混凝土缺陷技术标准》JTJ/T 411-2017</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《超声法检测混凝土缺陷技术规程》CECS 21:2000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《桥梁混凝土结构无损检测技术规程》T/CECS G:J50-01-2019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取芯机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雷达测试仪*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冲击回波法检测仪*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CT扫描仪*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非金属超声波检测仪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1.19</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预应力孔道摩阻损失*</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测力传感器与数据采集仪*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《公路桥涵施工技术规范》JTG/T 3650-2020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《预应力筋用锚具、夹具和连接器应用技术规程》JGJ 85-2010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张拉千斤顶及配套油泵</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1.20</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有效预应力*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有效预应力测试装置</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 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《公路桥涵施工技术规范》JTG/T 3650-2020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《桥梁预应力及索力张拉施工质量检测验收规程》CQJTG/T F81-2009</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《广东省公路桥梁工程后张法预应力施工及检测技术指南》的通知（粤交质〔2021〕424号）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测力传感器与数据采集仪*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孔道压浆密实性*</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bidi="ar"/>
              </w:rPr>
              <w:t>地质雷达</w:t>
            </w:r>
            <w:r>
              <w:rPr>
                <w:rFonts w:hint="eastAsia" w:asciiTheme="minorEastAsia" w:hAnsiTheme="minorEastAsia" w:eastAsiaTheme="minorEastAsia" w:cstheme="minorEastAsia"/>
                <w:color w:val="auto"/>
                <w:kern w:val="0"/>
                <w:sz w:val="21"/>
                <w:szCs w:val="21"/>
                <w:highlight w:val="none"/>
                <w:lang w:val="en-US" w:eastAsia="zh-CN" w:bidi="ar"/>
              </w:rPr>
              <w:t>*</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《冲击回波法检测混凝土缺陷技术规程》JGJ/T411-2017</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《广东省公路桥梁工程后张法预应力施工及检测技术指南》的通知（粤交质〔2021〕424号）</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《桥梁混凝土结构无损检测技术规程》T/CECS G:J50-01-2019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内窥镜*</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孔道压浆质量检测设备</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1</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桥梁结构与构件</w:t>
            </w: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1.22</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风速*</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风速仪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《公路桥梁抗风设计规范》JTG/T 3360-01-2018</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 50982-2014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《公路桥梁结构监测技术规范》JT/T 1037-2022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《公路桥梁施工监控技术规程》JTG/T 3650-01-2022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1.23</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温度*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温度传感器及数据采集仪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《公路桥梁施工监控技术规程》JTG/T 3650-01-2022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《公路桥梁结构监测技术规范》JT/T 1037-2022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《建筑与桥梁结构监测技术规范》GB 50982-2014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1.24</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加速度*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拾振器</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振动信号采集与分析设备</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《城市桥梁检测与评定技术规范》CJJ/T 233-2015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《公路桥梁结构监测技术规范》JT/T 1037-2022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 50982-2014</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1.25</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速度*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拾振器</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振动信号采集与分析设备</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《城市桥梁检测与评定技术规范》CJJ/T 233-2015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《公路桥梁结构监测技术规范》JT/T 1037-2022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《建筑与桥梁结构监测技术规范》GB 50982-2014</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1.26</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冲击性能*</w:t>
            </w:r>
          </w:p>
        </w:tc>
        <w:tc>
          <w:tcPr>
            <w:tcW w:w="3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电阻式动态应变测量、采集与分析设备（不少于8通道）</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《城市桥梁检测与评定技术规范》CJJ/T 233-2015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d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光纤光栅应变计(配套数据采集光纤光栅解调仪)*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电阻应变式位移计及动态应变仪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光电位移测量装置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光电挠度仪*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雷达波测试仪*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1.27</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混凝土电阻率*</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混凝土电阻率测量仪及标准块</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《混凝土中钢筋检测技术标准》JGJ/T152-2019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1.28</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钢筋锈蚀状况*</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钢筋锈蚀电位测量仪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《混凝土中钢筋检测技术标准》JGJ/T 152-2019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2</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隧道主体结构</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断面尺寸</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隧道激光断面仪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《工程测量标准》GB50026-2020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锚杆拉拔力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锚杆拉拔仪</w:t>
            </w:r>
            <w:r>
              <w:rPr>
                <w:rFonts w:hint="eastAsia" w:asciiTheme="minorEastAsia" w:hAnsiTheme="minorEastAsia" w:eastAsiaTheme="minorEastAsia" w:cstheme="minorEastAsia"/>
                <w:color w:val="auto"/>
                <w:kern w:val="0"/>
                <w:sz w:val="21"/>
                <w:szCs w:val="21"/>
                <w:highlight w:val="none"/>
                <w:lang w:val="en-US" w:eastAsia="zh-CN" w:bidi="ar"/>
              </w:rPr>
              <w:t>/（静载荷测试分析仪、液压千斤顶、压力传感器/压力表）</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《岩土锚杆与喷射混凝土支护工程技术规范》GB50086-2015</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《锚杆检测与监测技术规程》 JGJ/T 401-2017</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岩土锚杆（索）技术规程</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 xml:space="preserve">CECS 22：2005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位移传感器/百分表</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衬砌厚度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地质雷达</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《铁路隧道衬砌质量无损检测规程》TB 10223-2004</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《城市地下空间检测监测技术标准》DBJ 15-71-2010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《公路隧道施工技术规范》 JTG/T 3660-2020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《城市工程地球物理探测标准》 CJJ/T 7-2017</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《公路工程物探规程》 JTG/T 3222-2020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取芯机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2.4</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衬砌及背后密实状况</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地质雷达</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color w:val="auto"/>
                <w:kern w:val="0"/>
                <w:sz w:val="21"/>
                <w:szCs w:val="21"/>
                <w:highlight w:val="none"/>
                <w:lang w:bidi="ar"/>
              </w:rPr>
            </w:pP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《铁路隧道衬砌质量无损检测规程》TB 10223-2004</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《城市地下空间检测监测技术标准》DBJ 15-71-2010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《公路隧道施工技术规范》 JTG/T 3660-2020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《城市工程地球物理探测标准》 CJJ/T 7-2017</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《公路工程物探规程》 JTG/T 3222-2020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取芯机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2.5</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墙面平整度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2m直尺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2.6</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钢筋网格尺寸</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2.7</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锚杆长度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锚杆质量检测仪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《锚杆锚固质量无损检测技术规程》JGJ/T 182-2009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2.8</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锚杆锚固密实度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锚杆质量检测仪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《锚杆锚固质量无损检测技术规程》JGJ/T 182-2009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2.9</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管片几何尺寸</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《盾构隧道管片质量检测技术标准》CJJ/T 164-2011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2</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隧道主体结构</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2.10</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错台</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《盾构法隧道施工及验收规范》GB 50446-2017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《铁路隧道工程施工质量验收标准》TB 10417-2018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2m直尺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椭圆度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隧道激光断面仪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《工程测量标准》GB 50026-2020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《盾构法隧道施工及验收规范》GB 50446-2017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《铁路隧道工程施工质量验收标准》TB 10417-2018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混凝土强度（回弹法）</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《回弹法检测混凝土抗压强度技术规程》</w:t>
            </w:r>
            <w:r>
              <w:rPr>
                <w:rStyle w:val="34"/>
                <w:rFonts w:hint="eastAsia" w:asciiTheme="minorEastAsia" w:hAnsiTheme="minorEastAsia" w:eastAsiaTheme="minorEastAsia" w:cstheme="minorEastAsia"/>
                <w:b w:val="0"/>
                <w:bCs w:val="0"/>
                <w:color w:val="auto"/>
                <w:sz w:val="21"/>
                <w:szCs w:val="21"/>
                <w:highlight w:val="none"/>
                <w:lang w:bidi="ar"/>
              </w:rPr>
              <w:t>JGJ/T 23-2011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《高强混凝土强度检测技术规程》</w:t>
            </w:r>
            <w:r>
              <w:rPr>
                <w:rStyle w:val="34"/>
                <w:rFonts w:hint="eastAsia" w:asciiTheme="minorEastAsia" w:hAnsiTheme="minorEastAsia" w:eastAsiaTheme="minorEastAsia" w:cstheme="minorEastAsia"/>
                <w:b w:val="0"/>
                <w:bCs w:val="0"/>
                <w:color w:val="auto"/>
                <w:sz w:val="21"/>
                <w:szCs w:val="21"/>
                <w:highlight w:val="none"/>
                <w:lang w:bidi="ar"/>
              </w:rPr>
              <w:t>JGJ/T 294-2013</w:t>
            </w:r>
          </w:p>
          <w:p>
            <w:pPr>
              <w:keepNext w:val="0"/>
              <w:keepLines w:val="0"/>
              <w:widowControl/>
              <w:suppressLineNumbers w:val="0"/>
              <w:spacing w:before="0" w:beforeAutospacing="0" w:after="0" w:afterAutospacing="0"/>
              <w:ind w:left="0" w:right="0"/>
              <w:jc w:val="left"/>
              <w:rPr>
                <w:rStyle w:val="34"/>
                <w:rFonts w:hint="eastAsia" w:asciiTheme="minorEastAsia" w:hAnsiTheme="minorEastAsia" w:eastAsiaTheme="minorEastAsia" w:cstheme="minorEastAsia"/>
                <w:b w:val="0"/>
                <w:bCs w:val="0"/>
                <w:color w:val="auto"/>
                <w:sz w:val="21"/>
                <w:szCs w:val="21"/>
                <w:highlight w:val="none"/>
                <w:lang w:val="en-US" w:eastAsia="zh-CN" w:bidi="ar"/>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《回弹法检测泵送混凝土抗压强度技术规程》DBJ/T15-211-2021</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《高强混凝土强度回弹法检测技术规程》DBJ/T15-186-2020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高强混凝土回弹仪*</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(20.0kg)</w:t>
            </w:r>
            <w:r>
              <w:rPr>
                <w:rStyle w:val="33"/>
                <w:rFonts w:hint="eastAsia" w:asciiTheme="minorEastAsia" w:hAnsiTheme="minorEastAsia" w:eastAsiaTheme="minorEastAsia" w:cstheme="minorEastAsia"/>
                <w:b w:val="0"/>
                <w:bCs w:val="0"/>
                <w:color w:val="auto"/>
                <w:sz w:val="21"/>
                <w:szCs w:val="21"/>
                <w:highlight w:val="none"/>
                <w:lang w:bidi="ar"/>
              </w:rPr>
              <w:t>（高强回弹仪）*</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碳化深度测量尺</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混凝土强度（钻芯法）</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《钻芯检测离心高强混凝土强度试验方法》GB/T 19496-2004</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 xml:space="preserve">《混凝土物理力学性能试验方法标准》GB/T 50081-2019 </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混凝土强度（回弹-钻芯综合法）</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 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《回弹法检测混凝土抗压强度技术规程》JGJ/T 23-2011</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《混凝土物理力学性能试验方法标准》GB/T 50081-2019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混凝土强度（超声回弹综合法）</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《超声回弹综合法检测混凝土抗压强度技术规程》T/CECS 02-2020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混凝土超声波检测仪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钢筋位置及保护层厚度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《混凝土中钢筋检测技术标准》JGJ/T 152-2019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《混凝土结构工程施工质量验收规范 》GB 50204-2015</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《盾构法隧道施工及验收规范》GB 50446-2017</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《盾构隧道管片质量检测技术标准》CJJ/T 164-2011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eastAsia="zh-CN" w:bidi="ar"/>
              </w:rPr>
              <w:t>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雷达测试仪*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2.14</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裂缝宽度观测仪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激光测距仪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2.15</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内部缺陷*</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《雷达法检测混凝土结构技术标准》JTJ/T 456-2019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《冲击回波法检测混凝土缺陷技术标准》JTJ/T 411-2017</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《超声法检测混凝土缺陷技术规程》CECS 21:2000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取芯机</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196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雷达测试仪*</w:t>
            </w:r>
          </w:p>
        </w:tc>
        <w:tc>
          <w:tcPr>
            <w:tcW w:w="181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4000"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冲击回波法检测仪*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CT扫描仪*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非金属超声波检测仪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2.16</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衬砌内钢筋间距*</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地质雷达</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《铁路隧道衬砌质量无损检测规程》TB 10223-2004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2</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隧道主体结构</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2.17</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仰拱厚度*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地质雷达</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《城市工程地球物理探测标准》 CJJ/T 7-2017</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《铁路隧道衬砌质量无损检测规程》 TB  10223-2004/J 341-2004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取芯机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精密水准仪 </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2.18</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渗漏水*</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bidi="ar"/>
              </w:rPr>
              <w:t>地下防水工程质量验收规范》GB50208-2011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量筒</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bidi="ar"/>
              </w:rPr>
              <w:t>量杯</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秒表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渗压计</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流量计及采集分析系统</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2.19</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 钢筋锈蚀状况*</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钢筋锈蚀电位测量仪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《混凝土中钢筋检测技术标准》JGJ/T 152-2019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3</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桥梁及附属物*</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桥面系外观质量*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《城市桥梁工程施工与质量验收规范》CJJ 2-2008</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激光测距仪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桥梁上部外观质量*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激光测距仪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裂缝宽度观测仪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桥梁下部外观质量*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激光测距仪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裂缝宽度观测仪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3.4</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桥梁附属设施外观质量*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激光测距仪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4</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桥梁支座*</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《橡胶支座 第4部分：普通橡胶支座》GB/T 20688.4-2023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《城市轨道交通桥梁盆式支座》CJ/T 464-2014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《公路桥梁板式橡胶支座》JT/T 4-2019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《桥梁球型支座》GB/T 17955-2009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《公路桥梁盆式支座》JT/T 391-2019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厚度塞尺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内在质量*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numPr>
                <w:ilvl w:val="0"/>
                <w:numId w:val="1"/>
              </w:numPr>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w:t>
            </w:r>
            <w:r>
              <w:rPr>
                <w:rFonts w:hint="eastAsia" w:asciiTheme="minorEastAsia" w:hAnsiTheme="minorEastAsia" w:eastAsiaTheme="minorEastAsia" w:cstheme="minorEastAsia"/>
                <w:color w:val="auto"/>
                <w:kern w:val="0"/>
                <w:sz w:val="21"/>
                <w:szCs w:val="21"/>
                <w:highlight w:val="none"/>
                <w:lang w:val="en-US" w:eastAsia="zh-CN" w:bidi="ar"/>
              </w:rPr>
              <w:t>23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《公路桥梁板式橡胶支座》JT/T 4-2019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《桥梁球型支座》GB/T 17955-2009</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《城市轨道交通桥梁盆式支座》CJ/T 464-2014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4.3</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竖向压缩变形*</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《公路桥梁盆式支座》JT/T 391-2019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《城市轨道交通桥梁盆式支座》CJ/T 464-2014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《桥梁球型支座 附录A》GB/T 17955-2009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《桥梁球型支座》GB/T 17955-2009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4.4</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抗压弹性模量*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《公路桥梁板式橡胶支座》JT/T 4-2019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4.5</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极限抗压强度*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《公路桥梁板式橡胶支座》JT/T 4-2019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4.6</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盆环径向变形*</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《公路桥梁盆式支座》JT/T 391-2019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《城市轨道交通桥梁盆式支座》CJ/T 464-2014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《桥梁球型支座》GB/T 17955-2009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4.7</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抗剪弹性模量*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20688.4-2023《公路桥梁板式橡胶支座》JT/T 4-2019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4.8</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抗剪粘结性能*</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20688.4-2023《公路桥梁板式橡胶支座》JT/T 4-2019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4.9</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抗剪老化*</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20688.4-2023《公路桥梁板式橡胶支座》JT/T 4-2019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老化箱</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4.10</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承载力*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20688.4-2023《公路桥梁盆式支座》JT/T 391-2019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《城市轨道交通桥梁盆式支座》CJ/T 464-2014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《桥梁球型支座》GB/T 17955-2009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4.11</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摩擦系数*</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20688.4-2023《公路桥梁盆式支座》JT/T 391-2019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《城市轨道交通桥梁盆式支座》CJ/T 464-2014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《公路桥梁板式橡胶支座》JT/T 4-2019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《桥梁球型支座》GB/T 17955-2009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4.12</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转动性能*</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压剪试验机（配套转动板试验配件）</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《桥梁球型支座》GB/T 17955-2009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4.13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尺寸偏差*</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20688.4-2023《公路桥梁盆式支座》JT/T 391-2019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《城市轨道交通桥梁盆式支座》CJ/T 464-2014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《公路桥梁板式橡胶支座》JT/T 4-2019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《桥梁球型支座》GB/T 17955-2009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4.14</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转角试验*</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压剪试验机（配套转动板试验配件）</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《橡胶支座 第4部分：普通橡胶支座》GB/T 20688.4-2023《公路桥梁盆式支座》JT/T 391-2019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《城市轨道交通桥梁盆式支座》CJ/T 464-2014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《公路桥梁板式橡胶支座》JT/T 4-2019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《桥梁球型支座》GB/T 17955-2009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5</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桥梁伸缩装置*</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平整度仪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尺寸偏差*</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焊缝尺寸*</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《钢结构焊接规范》GB 50661-2011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焊接检验尺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5.4</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焊缝探伤*</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超声波探伤仪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《焊缝无损检测 磁粉检测》GB/T 26951-2011</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《焊缝无损检测 焊缝磁粉检测 验收等级》GB/T 26952-2011</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焊缝无损检测 超声检测 技术、检测等级和评定》</w:t>
            </w:r>
            <w:r>
              <w:rPr>
                <w:rFonts w:hint="eastAsia" w:asciiTheme="minorEastAsia" w:hAnsiTheme="minorEastAsia" w:eastAsiaTheme="minorEastAsia" w:cstheme="minorEastAsia"/>
                <w:color w:val="auto"/>
                <w:kern w:val="0"/>
                <w:sz w:val="21"/>
                <w:szCs w:val="21"/>
                <w:highlight w:val="none"/>
                <w:lang w:bidi="ar"/>
              </w:rPr>
              <w:t>GB/T 11345-2023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磁粉探伤仪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5.5</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涂层附着力*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附着力测定仪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《公路桥梁钢结构防腐涂装技术条件》JT/T 722-2008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漆膜划格器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5.6</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涂层厚度*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磁阻法测厚仪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《城市轨道交通桥梁伸缩装置》CJ/T 497-2016</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5.7</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橡胶密封带夹持性能*</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橡胶密封带夹持性能试验机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5.8</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装配公差*</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变形性能试验装置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水平尺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5.9</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变形性能*</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变形性能试验装置</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5.10</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防水性能*</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变形性能试验装置</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5.11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承载性能*</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变形性能试验装置</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《公路桥梁伸缩装置通用技术条件》JT/T 327-2016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加载钢板及橡胶垫</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加载千斤顶及反力装置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6</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隧道环境*</w:t>
            </w: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6.1</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照度*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照度计</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《公路隧道照明设计细则》JTG/T D70/2-01-2014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《照明测量方法》GB/T 5700-2008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6.2</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噪声*</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噪音检测仪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《声环境质量标准》GB 3096-2008</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《声学环境噪声的描述、测量与评价第 2 部分：环境噪声级测定》 GB/T 3222.2-2009</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6.3</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风速*</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风速仪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《公路隧道通风设计细则》JTG/T D70/2-02-2014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6.4</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一氧化碳浓度*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气体检测仪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《工作场所空气中有害物质监测的采样规范》GBZ 159-2004</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《密闭空间直读式仪器气体检测规范》GBZ/T 206-2007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《工作场所空气有毒物质测定》GBZ/T 300-2017</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《公路瓦斯隧道设计与施工技术规范》JTG/T 3374-2020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6.5</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二氧化碳浓度*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气体检测仪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6.6</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二氧化硫浓度*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气体检测仪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6.7</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氧浓度*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气体检测仪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6.8</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一氧化氮浓度*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气体检测仪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6.9</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二氧化氮浓度*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气体检测仪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6.10</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瓦斯浓度*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气体检测仪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6.11</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硫化氢浓度*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气体检测仪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6.12</w:t>
            </w:r>
          </w:p>
        </w:tc>
        <w:tc>
          <w:tcPr>
            <w:tcW w:w="19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烟尘浓度*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能见度检测仪</w:t>
            </w:r>
          </w:p>
        </w:tc>
        <w:tc>
          <w:tcPr>
            <w:tcW w:w="181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7</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人行天桥及地下通道*</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自振频率*</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振动信号采集与分析设备（总通道数不少于16通道）</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 </w:t>
            </w: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测振传感器（不少于12个竖向传感器、不少于4个水平传感器）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桥面线形*</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 《城市桥梁检测与评定技术规范》CJJ/T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《公路工程质量检验评定标准 第一册 土建工程》 JTG F80/1-2017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《城市桥梁工程施工与质量验收规范》CJJ 2-2008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《工程测量标准》  GB 50026-2020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《国家一、二等水准测量规范》GB/T 12897-2006</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《建筑变形测量规范》JGJ8-2016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精密水准仪 </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卫星定位系统*          </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地基承载力*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动力触探仪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《建筑地基处理技术规范》JGJ 79-2012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《公路桥涵地基与基础设计规范》JTG 3363-2019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《建筑地基基础设计规范》GB 50007-2011</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《岩土工程勘察规范[2009年版]》GB 50021-2001</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《建筑地基检测技术规范》JGJ 340-2015</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《建筑地基基础检测规范》DBJ/T 15-60-2019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标准贯入器*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静力触探仪*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平板荷载试验系统</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千斤顶</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十字板剪切仪*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7.4</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变形缝质量*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7.5</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防水层的缝宽和搭接长度*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《城市人行天桥与人行地道技术规范》CJJ 69-1995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《地下工程防水技术规范》GB 50108-2008</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7.6</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尺寸*</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 《城市桥梁检测与评定技术规范》CJJ/T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 xml:space="preserve">   </w:t>
            </w:r>
            <w:r>
              <w:rPr>
                <w:rFonts w:hint="eastAsia" w:asciiTheme="minorEastAsia" w:hAnsiTheme="minorEastAsia" w:eastAsiaTheme="minorEastAsia" w:cstheme="minorEastAsia"/>
                <w:color w:val="auto"/>
                <w:kern w:val="0"/>
                <w:sz w:val="21"/>
                <w:szCs w:val="21"/>
                <w:highlight w:val="none"/>
                <w:lang w:bidi="ar"/>
              </w:rPr>
              <w:t xml:space="preserve"> 《公路工程质量检验评定标准 第一册 土建工程》JTG F80/1-2017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《城市桥梁工程施工与质量验收规范》 CJJ 2-2008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7.7</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栏杆水平推力*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千斤顶</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《城市人行天桥与人行地道技术规范》CJJ 69-1995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《城市桥梁检测与评定技术规范》CJJ/T 233-2015 </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 </w:t>
            </w:r>
            <w:r>
              <w:rPr>
                <w:rFonts w:hint="eastAsia" w:asciiTheme="minorEastAsia" w:hAnsiTheme="minorEastAsia" w:eastAsiaTheme="minorEastAsia" w:cstheme="minorEastAsia"/>
                <w:strike w:val="0"/>
                <w:dstrike w:val="0"/>
                <w:color w:val="auto"/>
                <w:kern w:val="0"/>
                <w:sz w:val="21"/>
                <w:szCs w:val="21"/>
                <w:highlight w:val="none"/>
                <w:lang w:bidi="ar"/>
              </w:rPr>
              <w:t>《公路桥梁荷载试验规程》JTG/T J21-01-2015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d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《楼梯栏杆及扶手》JG/T 558-2018</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val="0"/>
                <w:dstrike w:val="0"/>
                <w:color w:val="auto"/>
                <w:kern w:val="0"/>
                <w:sz w:val="21"/>
                <w:szCs w:val="21"/>
                <w:highlight w:val="none"/>
                <w:lang w:bidi="ar"/>
              </w:rPr>
            </w:pPr>
            <w:r>
              <w:rPr>
                <w:rFonts w:hint="eastAsia" w:asciiTheme="minorEastAsia" w:hAnsiTheme="minorEastAsia" w:eastAsiaTheme="minorEastAsia" w:cstheme="minorEastAsia"/>
                <w:strike w:val="0"/>
                <w:dstrike w:val="0"/>
                <w:color w:val="auto"/>
                <w:kern w:val="0"/>
                <w:sz w:val="21"/>
                <w:szCs w:val="21"/>
                <w:highlight w:val="none"/>
                <w:lang w:bidi="ar"/>
              </w:rPr>
              <w:t>《建筑防护栏杆技术标准》JGJ/T470-2019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《城市桥梁检测技术标准》DBJ/T 15-87-2022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百分表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千分表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位移计及数据采集系统</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8</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综合管廊主体结构*</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断面尺寸*</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隧道激光断面仪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《工程测量标准》GB50026-2020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衬砌厚度*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地质雷达</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《铁路隧道衬砌质量无损检测规程》TB 10223-2004</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《公路隧道施工技术规范》 JTG/T 3660-2020</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《城市地下空间检测监测技术标准》DBJ 15-71-2010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《城市工程地球物理探测标准》 CJJ/T 7-2017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取芯机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衬砌密实性*</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地质雷达</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《铁路隧道衬砌质量无损检测规程》TB 10223-2004</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《城市地下空间检测监测技术标准》DBJ 15-71-2010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《公路隧道施工技术规范》 JTG/T 3660-2020</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《城市工程地球物理探测标准》 CJJ/T 7-2017</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《公路工程物探规程》 JTG/T 3222-2020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取芯机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8.4</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墙面平整度*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2m直尺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《混凝土结构工程施工质量验收规范》GB50204-2015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8.5</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衬砌内钢筋间距*</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地质雷达</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《公路隧道施工技术规范》JTG/T 3660-2020</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《混凝土结构工程施工质量验收规范》GB50204-2015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钢筋探测仪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8.6</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混凝土强度（回弹法）</w:t>
            </w:r>
            <w:r>
              <w:rPr>
                <w:rFonts w:hint="eastAsia" w:asciiTheme="minorEastAsia" w:hAnsiTheme="minorEastAsia" w:eastAsiaTheme="minorEastAsia" w:cstheme="minorEastAsia"/>
                <w:color w:val="auto"/>
                <w:kern w:val="0"/>
                <w:sz w:val="21"/>
                <w:szCs w:val="21"/>
                <w:highlight w:val="none"/>
                <w:lang w:bidi="ar"/>
              </w:rPr>
              <w:t>*</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《回弹法检测混凝土抗压强度技术规程》</w:t>
            </w:r>
            <w:r>
              <w:rPr>
                <w:rStyle w:val="34"/>
                <w:rFonts w:hint="eastAsia" w:asciiTheme="minorEastAsia" w:hAnsiTheme="minorEastAsia" w:eastAsiaTheme="minorEastAsia" w:cstheme="minorEastAsia"/>
                <w:b w:val="0"/>
                <w:bCs w:val="0"/>
                <w:color w:val="auto"/>
                <w:sz w:val="21"/>
                <w:szCs w:val="21"/>
                <w:highlight w:val="none"/>
                <w:lang w:bidi="ar"/>
              </w:rPr>
              <w:t>JGJ/T 23-2011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《高强混凝土强度检测技术规程》</w:t>
            </w:r>
            <w:r>
              <w:rPr>
                <w:rStyle w:val="34"/>
                <w:rFonts w:hint="eastAsia" w:asciiTheme="minorEastAsia" w:hAnsiTheme="minorEastAsia" w:eastAsiaTheme="minorEastAsia" w:cstheme="minorEastAsia"/>
                <w:b w:val="0"/>
                <w:bCs w:val="0"/>
                <w:color w:val="auto"/>
                <w:sz w:val="21"/>
                <w:szCs w:val="21"/>
                <w:highlight w:val="none"/>
                <w:lang w:bidi="ar"/>
              </w:rPr>
              <w:t>JGJ/T 294-2013</w:t>
            </w:r>
          </w:p>
          <w:p>
            <w:pPr>
              <w:keepNext w:val="0"/>
              <w:keepLines w:val="0"/>
              <w:widowControl/>
              <w:suppressLineNumbers w:val="0"/>
              <w:spacing w:before="0" w:beforeAutospacing="0" w:after="0" w:afterAutospacing="0"/>
              <w:ind w:left="0" w:right="0"/>
              <w:jc w:val="left"/>
              <w:rPr>
                <w:rStyle w:val="34"/>
                <w:rFonts w:hint="eastAsia" w:asciiTheme="minorEastAsia" w:hAnsiTheme="minorEastAsia" w:eastAsiaTheme="minorEastAsia" w:cstheme="minorEastAsia"/>
                <w:b w:val="0"/>
                <w:bCs w:val="0"/>
                <w:color w:val="auto"/>
                <w:sz w:val="21"/>
                <w:szCs w:val="21"/>
                <w:highlight w:val="none"/>
                <w:lang w:val="en-US" w:eastAsia="zh-CN" w:bidi="ar"/>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《回弹法检测泵送混凝土抗压强度技术规程》DBJ/T15-211-2021</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《高强混凝土强度回弹法检测技术规程》DBJ/T15-186-2020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高强混凝土回弹仪*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(20.0kg)</w:t>
            </w:r>
            <w:r>
              <w:rPr>
                <w:rStyle w:val="33"/>
                <w:rFonts w:hint="eastAsia" w:asciiTheme="minorEastAsia" w:hAnsiTheme="minorEastAsia" w:eastAsiaTheme="minorEastAsia" w:cstheme="minorEastAsia"/>
                <w:b w:val="0"/>
                <w:bCs w:val="0"/>
                <w:color w:val="auto"/>
                <w:sz w:val="21"/>
                <w:szCs w:val="21"/>
                <w:highlight w:val="none"/>
                <w:lang w:bidi="ar"/>
              </w:rPr>
              <w:t>（高强回弹仪）*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碳化深度测量尺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混凝土强度（钻芯法）</w:t>
            </w:r>
            <w:r>
              <w:rPr>
                <w:rFonts w:hint="eastAsia" w:asciiTheme="minorEastAsia" w:hAnsiTheme="minorEastAsia" w:eastAsiaTheme="minorEastAsia" w:cstheme="minorEastAsia"/>
                <w:color w:val="auto"/>
                <w:kern w:val="0"/>
                <w:sz w:val="21"/>
                <w:szCs w:val="21"/>
                <w:highlight w:val="none"/>
                <w:lang w:bidi="ar"/>
              </w:rPr>
              <w:t>*</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《钻芯检测离心高强混凝土强度试验方法》GB/T 19496-2004</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 xml:space="preserve">《混凝土物理力学性能试验方法标准》GB/T 50081-2019 </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Style w:val="34"/>
                <w:rFonts w:hint="eastAsia" w:asciiTheme="minorEastAsia" w:hAnsiTheme="minorEastAsia" w:eastAsiaTheme="minorEastAsia" w:cstheme="minorEastAsia"/>
                <w:b w:val="0"/>
                <w:bCs w:val="0"/>
                <w:color w:val="auto"/>
                <w:sz w:val="21"/>
                <w:szCs w:val="21"/>
                <w:highlight w:val="none"/>
                <w:lang w:val="en-US" w:eastAsia="zh-CN" w:bidi="ar"/>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混凝土强度（回弹-钻芯综合法）</w:t>
            </w:r>
            <w:r>
              <w:rPr>
                <w:rFonts w:hint="eastAsia" w:asciiTheme="minorEastAsia" w:hAnsiTheme="minorEastAsia" w:eastAsiaTheme="minorEastAsia" w:cstheme="minorEastAsia"/>
                <w:color w:val="auto"/>
                <w:kern w:val="0"/>
                <w:sz w:val="21"/>
                <w:szCs w:val="21"/>
                <w:highlight w:val="none"/>
                <w:lang w:bidi="ar"/>
              </w:rPr>
              <w:t>*</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 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《回弹法检测混凝土抗压强度技术规程》JGJ/T 23-2011</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《混凝土物理力学性能试验方法标准》GB/T 50081-2019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混凝土强度（超声回弹综合法）</w:t>
            </w:r>
            <w:r>
              <w:rPr>
                <w:rFonts w:hint="eastAsia" w:asciiTheme="minorEastAsia" w:hAnsiTheme="minorEastAsia" w:eastAsiaTheme="minorEastAsia" w:cstheme="minorEastAsia"/>
                <w:color w:val="auto"/>
                <w:kern w:val="0"/>
                <w:sz w:val="21"/>
                <w:szCs w:val="21"/>
                <w:highlight w:val="none"/>
                <w:lang w:bidi="ar"/>
              </w:rPr>
              <w:t>*</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《超声回弹综合法检测混凝土抗压强度技术规程》T/CECS 02-2020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混凝土超声波检测仪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8.7</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钢筋保护层厚度*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《混凝土中钢筋检测技术标准》JGJ/T 152-2019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《混凝土结构工程施工质量验收规范 》GB 50204-2015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雷达测试仪*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8.8</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钢筋锈蚀状况*</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钢筋锈蚀电位测量仪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《混凝土中钢筋检测技术标准》JGJ/T 152-2019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9</w:t>
            </w:r>
          </w:p>
        </w:tc>
        <w:tc>
          <w:tcPr>
            <w:tcW w:w="1059"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涵洞主体结构*</w:t>
            </w: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9.1</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外观质量*</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激光测距仪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裂缝宽度观测仪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9.2</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地基承载力*</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动力触探仪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《建筑地基处理技术规范》JGJ 79-2012</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《公路桥涵地基与基础设计规范》JTG 3363-2019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《建筑地基基础设计规范》GB 50007-2011</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《岩土工程勘察规范[2009年版]》GB 50021-2001</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《建筑地基检测技术规范》JGJ 340-2015</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《建筑地基基础检测规范》DBJ/T 15-60-2019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标准贯入器*</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静力触探仪*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平板荷载试验系统</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千斤顶</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十字板剪切仪*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9.3</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回填土压实度*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电子天平</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《公路路基路面现场测试规程》(灌砂法、环刀法）JTG 3450-2019（T0921-2019、T0923-2019）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bidi="ar"/>
              </w:rPr>
              <w:t>电子</w:t>
            </w:r>
            <w:r>
              <w:rPr>
                <w:rFonts w:hint="eastAsia" w:asciiTheme="minorEastAsia" w:hAnsiTheme="minorEastAsia" w:eastAsiaTheme="minorEastAsia" w:cstheme="minorEastAsia"/>
                <w:color w:val="auto"/>
                <w:kern w:val="0"/>
                <w:sz w:val="21"/>
                <w:szCs w:val="21"/>
                <w:highlight w:val="none"/>
                <w:lang w:eastAsia="zh-CN" w:bidi="ar"/>
              </w:rPr>
              <w:t>称</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烘箱</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灌砂筒</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环刀</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9.4</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混凝土强度（回弹法）</w:t>
            </w:r>
            <w:r>
              <w:rPr>
                <w:rFonts w:hint="eastAsia" w:asciiTheme="minorEastAsia" w:hAnsiTheme="minorEastAsia" w:eastAsiaTheme="minorEastAsia" w:cstheme="minorEastAsia"/>
                <w:color w:val="auto"/>
                <w:kern w:val="0"/>
                <w:sz w:val="21"/>
                <w:szCs w:val="21"/>
                <w:highlight w:val="none"/>
                <w:lang w:bidi="ar"/>
              </w:rPr>
              <w:t>*</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《回弹法检测混凝土抗压强度技术规程》</w:t>
            </w:r>
            <w:r>
              <w:rPr>
                <w:rStyle w:val="34"/>
                <w:rFonts w:hint="eastAsia" w:asciiTheme="minorEastAsia" w:hAnsiTheme="minorEastAsia" w:eastAsiaTheme="minorEastAsia" w:cstheme="minorEastAsia"/>
                <w:b w:val="0"/>
                <w:bCs w:val="0"/>
                <w:color w:val="auto"/>
                <w:sz w:val="21"/>
                <w:szCs w:val="21"/>
                <w:highlight w:val="none"/>
                <w:lang w:bidi="ar"/>
              </w:rPr>
              <w:t>JGJ/T 23-2011</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《高强混凝土强度检测技术规程》</w:t>
            </w:r>
            <w:r>
              <w:rPr>
                <w:rStyle w:val="34"/>
                <w:rFonts w:hint="eastAsia" w:asciiTheme="minorEastAsia" w:hAnsiTheme="minorEastAsia" w:eastAsiaTheme="minorEastAsia" w:cstheme="minorEastAsia"/>
                <w:b w:val="0"/>
                <w:bCs w:val="0"/>
                <w:color w:val="auto"/>
                <w:sz w:val="21"/>
                <w:szCs w:val="21"/>
                <w:highlight w:val="none"/>
                <w:lang w:bidi="ar"/>
              </w:rPr>
              <w:t>JGJ/T 294-2013</w:t>
            </w:r>
          </w:p>
          <w:p>
            <w:pPr>
              <w:keepNext w:val="0"/>
              <w:keepLines w:val="0"/>
              <w:widowControl/>
              <w:suppressLineNumbers w:val="0"/>
              <w:spacing w:before="0" w:beforeAutospacing="0" w:after="0" w:afterAutospacing="0"/>
              <w:ind w:left="0" w:right="0"/>
              <w:jc w:val="left"/>
              <w:rPr>
                <w:rStyle w:val="34"/>
                <w:rFonts w:hint="eastAsia" w:asciiTheme="minorEastAsia" w:hAnsiTheme="minorEastAsia" w:eastAsiaTheme="minorEastAsia" w:cstheme="minorEastAsia"/>
                <w:b w:val="0"/>
                <w:bCs w:val="0"/>
                <w:color w:val="auto"/>
                <w:sz w:val="21"/>
                <w:szCs w:val="21"/>
                <w:highlight w:val="none"/>
                <w:lang w:val="en-US" w:eastAsia="zh-CN" w:bidi="ar"/>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《回弹法检测泵送混凝土抗压强度技术规程》DBJ/T15-211-2021</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《高强混凝土强度回弹法检测技术规程》DBJ/T15-186-2020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高强混凝土回弹仪*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(20.0kg)</w:t>
            </w:r>
            <w:r>
              <w:rPr>
                <w:rStyle w:val="33"/>
                <w:rFonts w:hint="eastAsia" w:asciiTheme="minorEastAsia" w:hAnsiTheme="minorEastAsia" w:eastAsiaTheme="minorEastAsia" w:cstheme="minorEastAsia"/>
                <w:b w:val="0"/>
                <w:bCs w:val="0"/>
                <w:color w:val="auto"/>
                <w:sz w:val="21"/>
                <w:szCs w:val="21"/>
                <w:highlight w:val="none"/>
                <w:lang w:bidi="ar"/>
              </w:rPr>
              <w:t>（高强回弹仪）*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碳化深度测量尺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混凝土强度（钻芯法）</w:t>
            </w:r>
            <w:r>
              <w:rPr>
                <w:rFonts w:hint="eastAsia" w:asciiTheme="minorEastAsia" w:hAnsiTheme="minorEastAsia" w:eastAsiaTheme="minorEastAsia" w:cstheme="minorEastAsia"/>
                <w:color w:val="auto"/>
                <w:kern w:val="0"/>
                <w:sz w:val="21"/>
                <w:szCs w:val="21"/>
                <w:highlight w:val="none"/>
                <w:lang w:bidi="ar"/>
              </w:rPr>
              <w:t>*</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《钻芯检测离心高强混凝土强度试验方法》GB/T 19496-2004</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 xml:space="preserve">《混凝土物理力学性能试验方法标准》GB/T 50081-2019 </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4"/>
                <w:rFonts w:hint="eastAsia" w:asciiTheme="minorEastAsia" w:hAnsiTheme="minorEastAsia" w:eastAsiaTheme="minorEastAsia" w:cstheme="minorEastAsia"/>
                <w:b w:val="0"/>
                <w:bCs w:val="0"/>
                <w:color w:val="auto"/>
                <w:sz w:val="21"/>
                <w:szCs w:val="21"/>
                <w:highlight w:val="none"/>
                <w:lang w:val="en-US" w:eastAsia="zh-CN" w:bidi="ar"/>
              </w:rPr>
              <w:t>混凝土强度（回弹-钻芯综合法）</w:t>
            </w:r>
            <w:r>
              <w:rPr>
                <w:rFonts w:hint="eastAsia" w:asciiTheme="minorEastAsia" w:hAnsiTheme="minorEastAsia" w:eastAsiaTheme="minorEastAsia" w:cstheme="minorEastAsia"/>
                <w:color w:val="auto"/>
                <w:kern w:val="0"/>
                <w:sz w:val="21"/>
                <w:szCs w:val="21"/>
                <w:highlight w:val="none"/>
                <w:lang w:bidi="ar"/>
              </w:rPr>
              <w:t>*</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《混凝土结构工程施工质量验收规范》GB 50204-2015</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《回弹法检测混凝土抗压强度技术规程》JGJ/T 23-2011</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《混凝土物理力学性能试验方法标准》GB/T 50081-2019</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《钻芯法检测混凝土强度技术规程》JGJ/T 384-2016</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《钻芯法检测混凝土强度技术规程》CECS 03:2007</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钢筋探测仪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钻芯机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切割机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pStyle w:val="2"/>
              <w:rPr>
                <w:rFonts w:hint="eastAsia"/>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磨平机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补平装置</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压力试验机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角度尺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Style w:val="33"/>
                <w:rFonts w:hint="eastAsia" w:asciiTheme="minorEastAsia" w:hAnsiTheme="minorEastAsia" w:eastAsiaTheme="minorEastAsia" w:cstheme="minorEastAsia"/>
                <w:b w:val="0"/>
                <w:bCs w:val="0"/>
                <w:color w:val="auto"/>
                <w:sz w:val="21"/>
                <w:szCs w:val="21"/>
                <w:highlight w:val="none"/>
                <w:lang w:bidi="ar"/>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混凝土强度（超声回弹综合法）</w:t>
            </w:r>
            <w:r>
              <w:rPr>
                <w:rFonts w:hint="eastAsia" w:asciiTheme="minorEastAsia" w:hAnsiTheme="minorEastAsia" w:eastAsiaTheme="minorEastAsia" w:cstheme="minorEastAsia"/>
                <w:color w:val="auto"/>
                <w:kern w:val="0"/>
                <w:sz w:val="21"/>
                <w:szCs w:val="21"/>
                <w:highlight w:val="none"/>
                <w:lang w:bidi="ar"/>
              </w:rPr>
              <w:t>*</w:t>
            </w: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普通混凝土回弹仪</w:t>
            </w:r>
          </w:p>
        </w:tc>
        <w:tc>
          <w:tcPr>
            <w:tcW w:w="1817"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Style w:val="34"/>
                <w:rFonts w:hint="eastAsia" w:asciiTheme="minorEastAsia" w:hAnsiTheme="minorEastAsia" w:eastAsiaTheme="minorEastAsia" w:cstheme="minorEastAsia"/>
                <w:b w:val="0"/>
                <w:bCs w:val="0"/>
                <w:color w:val="auto"/>
                <w:sz w:val="21"/>
                <w:szCs w:val="21"/>
                <w:highlight w:val="none"/>
                <w:lang w:bidi="ar"/>
              </w:rPr>
            </w:pPr>
            <w:r>
              <w:rPr>
                <w:rStyle w:val="33"/>
                <w:rFonts w:hint="eastAsia" w:asciiTheme="minorEastAsia" w:hAnsiTheme="minorEastAsia" w:eastAsiaTheme="minorEastAsia" w:cstheme="minorEastAsia"/>
                <w:b w:val="0"/>
                <w:bCs w:val="0"/>
                <w:color w:val="auto"/>
                <w:sz w:val="21"/>
                <w:szCs w:val="21"/>
                <w:highlight w:val="none"/>
                <w:lang w:bidi="ar"/>
              </w:rPr>
              <w:t>《混凝土结构现场检测技术标准》</w:t>
            </w:r>
            <w:r>
              <w:rPr>
                <w:rStyle w:val="34"/>
                <w:rFonts w:hint="eastAsia" w:asciiTheme="minorEastAsia" w:hAnsiTheme="minorEastAsia" w:eastAsiaTheme="minorEastAsia" w:cstheme="minorEastAsia"/>
                <w:b w:val="0"/>
                <w:bCs w:val="0"/>
                <w:color w:val="auto"/>
                <w:sz w:val="21"/>
                <w:szCs w:val="21"/>
                <w:highlight w:val="none"/>
                <w:lang w:bidi="ar"/>
              </w:rPr>
              <w:t>GB/T 50784-2013</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b w:val="0"/>
                <w:bCs w:val="0"/>
                <w:color w:val="auto"/>
                <w:sz w:val="21"/>
                <w:szCs w:val="21"/>
                <w:highlight w:val="none"/>
                <w:lang w:bidi="ar"/>
              </w:rPr>
              <w:t>《超声回弹综合法检测混凝土抗压强度技术规程》T/CECS 02-2020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Style w:val="33"/>
                <w:rFonts w:hint="eastAsia" w:asciiTheme="minorEastAsia" w:hAnsiTheme="minorEastAsia" w:eastAsiaTheme="minorEastAsia" w:cstheme="minorEastAsia"/>
                <w:b w:val="0"/>
                <w:bCs w:val="0"/>
                <w:color w:val="auto"/>
                <w:sz w:val="21"/>
                <w:szCs w:val="21"/>
                <w:highlight w:val="none"/>
                <w:lang w:bidi="ar"/>
              </w:rPr>
              <w:t>钢砧</w:t>
            </w:r>
            <w:r>
              <w:rPr>
                <w:rStyle w:val="34"/>
                <w:rFonts w:hint="eastAsia" w:asciiTheme="minorEastAsia" w:hAnsiTheme="minorEastAsia" w:eastAsiaTheme="minorEastAsia" w:cstheme="minorEastAsia"/>
                <w:b w:val="0"/>
                <w:bCs w:val="0"/>
                <w:color w:val="auto"/>
                <w:sz w:val="21"/>
                <w:szCs w:val="21"/>
                <w:highlight w:val="none"/>
                <w:lang w:bidi="ar"/>
              </w:rPr>
              <w:t>(16.0kg)</w:t>
            </w:r>
          </w:p>
        </w:tc>
        <w:tc>
          <w:tcPr>
            <w:tcW w:w="1817"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混凝土超声波检测仪</w:t>
            </w:r>
          </w:p>
        </w:tc>
        <w:tc>
          <w:tcPr>
            <w:tcW w:w="1817"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bidi="ar"/>
              </w:rPr>
              <w:t>钢尺</w:t>
            </w:r>
          </w:p>
        </w:tc>
        <w:tc>
          <w:tcPr>
            <w:tcW w:w="1817"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9.5</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钢筋保护层厚度*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《混凝土中钢筋检测技术标准》JGJ/T 152-2019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《混凝土结构工程施工质量验收规范 》GB 50204-2015</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游标卡尺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雷达测试仪*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9.6</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断面尺寸*</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激光断面仪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《工程测量标准》GB50026-2020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全站仪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9.7</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接缝宽度*</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《地下工程防水技术规范》GB 50108-2008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9.8</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错台*</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钢直尺</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《公路工程质量检验评定标准 第一册 土建工程》JTG F80/1-2017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2m直尺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塞尺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9.9</w:t>
            </w:r>
          </w:p>
        </w:tc>
        <w:tc>
          <w:tcPr>
            <w:tcW w:w="196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钢筋锈蚀状况*</w:t>
            </w: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钢筋锈蚀电位测量仪</w:t>
            </w:r>
          </w:p>
        </w:tc>
        <w:tc>
          <w:tcPr>
            <w:tcW w:w="181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p>
        </w:tc>
        <w:tc>
          <w:tcPr>
            <w:tcW w:w="4000"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《混凝土中钢筋检测技术标准》JGJ/T 152-2019</w:t>
            </w:r>
          </w:p>
          <w:p>
            <w:pPr>
              <w:keepNext w:val="0"/>
              <w:keepLines w:val="0"/>
              <w:widowControl/>
              <w:suppressLineNumbers w:val="0"/>
              <w:spacing w:before="0" w:beforeAutospacing="0" w:after="0" w:afterAutospacing="0"/>
              <w:ind w:left="0" w:right="0"/>
              <w:textAlignment w:val="center"/>
              <w:rPr>
                <w:rFonts w:hint="eastAsia" w:asciiTheme="minorEastAsia" w:hAnsiTheme="minorEastAsia" w:eastAsiaTheme="minorEastAsia" w:cstheme="minorEastAsia"/>
                <w:strike/>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《混凝土结构现场检测技术标准》GB/T 50784-2013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钢筋位置测定仪</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1059"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highlight w:val="none"/>
              </w:rPr>
            </w:pPr>
          </w:p>
        </w:tc>
        <w:tc>
          <w:tcPr>
            <w:tcW w:w="85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196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377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钢卷尺</w:t>
            </w:r>
          </w:p>
        </w:tc>
        <w:tc>
          <w:tcPr>
            <w:tcW w:w="181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4000"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p>
        </w:tc>
      </w:tr>
    </w:tbl>
    <w:p>
      <w:pPr>
        <w:pStyle w:val="2"/>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注</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1.标</w:t>
      </w:r>
      <w:r>
        <w:rPr>
          <w:rFonts w:hint="eastAsia" w:ascii="宋体" w:hAnsi="宋体" w:eastAsia="宋体" w:cs="宋体"/>
          <w:color w:val="000000"/>
          <w:sz w:val="21"/>
          <w:szCs w:val="21"/>
          <w:highlight w:val="none"/>
          <w:lang w:bidi="ar"/>
        </w:rPr>
        <w:t>*</w:t>
      </w:r>
      <w:r>
        <w:rPr>
          <w:rFonts w:hint="eastAsia" w:ascii="宋体" w:hAnsi="宋体" w:cs="宋体"/>
          <w:color w:val="000000"/>
          <w:sz w:val="21"/>
          <w:szCs w:val="21"/>
          <w:highlight w:val="none"/>
          <w:lang w:val="en-US" w:eastAsia="zh-CN" w:bidi="ar"/>
        </w:rPr>
        <w:t>项</w:t>
      </w:r>
      <w:r>
        <w:rPr>
          <w:rFonts w:hint="eastAsia" w:ascii="宋体" w:hAnsi="宋体" w:eastAsia="宋体" w:cs="宋体"/>
          <w:color w:val="000000"/>
          <w:sz w:val="21"/>
          <w:szCs w:val="21"/>
          <w:highlight w:val="none"/>
          <w:lang w:bidi="ar"/>
        </w:rPr>
        <w:t>为</w:t>
      </w:r>
      <w:r>
        <w:rPr>
          <w:rFonts w:hint="eastAsia" w:ascii="宋体" w:hAnsi="宋体" w:cs="宋体"/>
          <w:color w:val="000000"/>
          <w:sz w:val="21"/>
          <w:szCs w:val="21"/>
          <w:highlight w:val="none"/>
          <w:lang w:eastAsia="zh-CN" w:bidi="ar"/>
        </w:rPr>
        <w:t>可选检测项目、</w:t>
      </w:r>
      <w:r>
        <w:rPr>
          <w:rFonts w:hint="eastAsia" w:ascii="宋体" w:hAnsi="宋体" w:eastAsia="宋体" w:cs="宋体"/>
          <w:color w:val="000000"/>
          <w:sz w:val="21"/>
          <w:szCs w:val="21"/>
          <w:highlight w:val="none"/>
          <w:lang w:bidi="ar"/>
        </w:rPr>
        <w:t>可选参数和可选设备</w:t>
      </w:r>
      <w:r>
        <w:rPr>
          <w:rFonts w:hint="eastAsia" w:ascii="宋体" w:hAnsi="宋体" w:cs="宋体"/>
          <w:color w:val="000000"/>
          <w:sz w:val="21"/>
          <w:szCs w:val="2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2.表中同一检测参数如含多种试验方法的，被评审机构只需满足该检测参数一种（含）以上方法相关条件，且经评审通过，则该检测参数予以通过；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420" w:firstLineChars="200"/>
        <w:jc w:val="left"/>
        <w:textAlignment w:val="auto"/>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3.当标准规范更新调整或有新的检测方法和仪器设备时按照新的要求执行。</w:t>
      </w:r>
    </w:p>
    <w:sectPr>
      <w:pgSz w:w="16838" w:h="11906" w:orient="landscape"/>
      <w:pgMar w:top="1587" w:right="1644" w:bottom="1474"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等线B5">
    <w:panose1 w:val="0101010401010101010B"/>
    <w:charset w:val="86"/>
    <w:family w:val="auto"/>
    <w:pitch w:val="default"/>
    <w:sig w:usb0="800000A3" w:usb1="00497878" w:usb2="00000000" w:usb3="00000000" w:csb0="00040001" w:csb1="00000000"/>
  </w:font>
  <w:font w:name="Segoe UI Symbol">
    <w:altName w:val="Noto Sans"/>
    <w:panose1 w:val="020B0502040204020203"/>
    <w:charset w:val="00"/>
    <w:family w:val="auto"/>
    <w:pitch w:val="default"/>
    <w:sig w:usb0="00000000" w:usb1="00000000" w:usb2="0064C000" w:usb3="00000002" w:csb0="00000001" w:csb1="4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p>
    <w:pPr>
      <w:autoSpaceDE w:val="0"/>
      <w:autoSpaceDN w:val="0"/>
      <w:adjustRightInd w:val="0"/>
      <w:ind w:firstLine="480"/>
      <w:jc w:val="left"/>
      <w:rPr>
        <w:rFonts w:ascii="宋体"/>
        <w:kern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E2E45"/>
    <w:multiLevelType w:val="singleLevel"/>
    <w:tmpl w:val="FDCE2E4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NGRlODkzZDA5ZDNjOTA3OTY0YTUwZDZiZmE3NWYifQ=="/>
  </w:docVars>
  <w:rsids>
    <w:rsidRoot w:val="005416EB"/>
    <w:rsid w:val="00015A63"/>
    <w:rsid w:val="000569DC"/>
    <w:rsid w:val="00074688"/>
    <w:rsid w:val="00081513"/>
    <w:rsid w:val="0009638F"/>
    <w:rsid w:val="000E6F80"/>
    <w:rsid w:val="000E7DF2"/>
    <w:rsid w:val="0011627D"/>
    <w:rsid w:val="0012527E"/>
    <w:rsid w:val="001355CB"/>
    <w:rsid w:val="00192F13"/>
    <w:rsid w:val="00195AAB"/>
    <w:rsid w:val="001B068A"/>
    <w:rsid w:val="001C7587"/>
    <w:rsid w:val="001D4D2D"/>
    <w:rsid w:val="001E1087"/>
    <w:rsid w:val="001E1A2A"/>
    <w:rsid w:val="001F3295"/>
    <w:rsid w:val="001F51CE"/>
    <w:rsid w:val="0020614E"/>
    <w:rsid w:val="002101F1"/>
    <w:rsid w:val="002154BE"/>
    <w:rsid w:val="002163CD"/>
    <w:rsid w:val="00217936"/>
    <w:rsid w:val="00242E58"/>
    <w:rsid w:val="0026057F"/>
    <w:rsid w:val="0026072A"/>
    <w:rsid w:val="002941A1"/>
    <w:rsid w:val="002962ED"/>
    <w:rsid w:val="002A7AF6"/>
    <w:rsid w:val="002B2F19"/>
    <w:rsid w:val="00303131"/>
    <w:rsid w:val="003238E8"/>
    <w:rsid w:val="003521B9"/>
    <w:rsid w:val="00371688"/>
    <w:rsid w:val="00387870"/>
    <w:rsid w:val="00387F32"/>
    <w:rsid w:val="0039068E"/>
    <w:rsid w:val="00393B78"/>
    <w:rsid w:val="0039799C"/>
    <w:rsid w:val="003A0E73"/>
    <w:rsid w:val="003E20AC"/>
    <w:rsid w:val="00412F69"/>
    <w:rsid w:val="0043197D"/>
    <w:rsid w:val="00433889"/>
    <w:rsid w:val="00442240"/>
    <w:rsid w:val="00443FBC"/>
    <w:rsid w:val="00473928"/>
    <w:rsid w:val="00485A77"/>
    <w:rsid w:val="00495580"/>
    <w:rsid w:val="004C1526"/>
    <w:rsid w:val="004C5786"/>
    <w:rsid w:val="004D06E1"/>
    <w:rsid w:val="004E74FC"/>
    <w:rsid w:val="0054088A"/>
    <w:rsid w:val="005416EB"/>
    <w:rsid w:val="00555FD3"/>
    <w:rsid w:val="005635F0"/>
    <w:rsid w:val="0056786D"/>
    <w:rsid w:val="0057307A"/>
    <w:rsid w:val="00587326"/>
    <w:rsid w:val="005877DE"/>
    <w:rsid w:val="00587FED"/>
    <w:rsid w:val="005A3EF9"/>
    <w:rsid w:val="005B658C"/>
    <w:rsid w:val="005D3A05"/>
    <w:rsid w:val="005F6305"/>
    <w:rsid w:val="00605DFD"/>
    <w:rsid w:val="00613DC9"/>
    <w:rsid w:val="00630D99"/>
    <w:rsid w:val="00655625"/>
    <w:rsid w:val="00657A79"/>
    <w:rsid w:val="00657BBC"/>
    <w:rsid w:val="00673A2B"/>
    <w:rsid w:val="00675798"/>
    <w:rsid w:val="00697E9F"/>
    <w:rsid w:val="006C6134"/>
    <w:rsid w:val="006D2400"/>
    <w:rsid w:val="006F53C0"/>
    <w:rsid w:val="00711E36"/>
    <w:rsid w:val="00715404"/>
    <w:rsid w:val="00725524"/>
    <w:rsid w:val="00744DA9"/>
    <w:rsid w:val="0077278C"/>
    <w:rsid w:val="007800E3"/>
    <w:rsid w:val="007D1E44"/>
    <w:rsid w:val="007E6477"/>
    <w:rsid w:val="007F7568"/>
    <w:rsid w:val="0083582C"/>
    <w:rsid w:val="008742A4"/>
    <w:rsid w:val="008A65BB"/>
    <w:rsid w:val="008B0C6E"/>
    <w:rsid w:val="008C3BA4"/>
    <w:rsid w:val="0097035C"/>
    <w:rsid w:val="00987EF4"/>
    <w:rsid w:val="009C010F"/>
    <w:rsid w:val="009C5BC2"/>
    <w:rsid w:val="009C6F69"/>
    <w:rsid w:val="009D3B25"/>
    <w:rsid w:val="00A54BE2"/>
    <w:rsid w:val="00A561A5"/>
    <w:rsid w:val="00A660E2"/>
    <w:rsid w:val="00A828C7"/>
    <w:rsid w:val="00A91642"/>
    <w:rsid w:val="00A92B0F"/>
    <w:rsid w:val="00AB726A"/>
    <w:rsid w:val="00AC3CD8"/>
    <w:rsid w:val="00AE0D9D"/>
    <w:rsid w:val="00AE4FDC"/>
    <w:rsid w:val="00B3622C"/>
    <w:rsid w:val="00B559E9"/>
    <w:rsid w:val="00B714FA"/>
    <w:rsid w:val="00BB2EEB"/>
    <w:rsid w:val="00BB5BA9"/>
    <w:rsid w:val="00BC34D8"/>
    <w:rsid w:val="00BF425B"/>
    <w:rsid w:val="00C070D6"/>
    <w:rsid w:val="00C110DC"/>
    <w:rsid w:val="00C23E86"/>
    <w:rsid w:val="00C30606"/>
    <w:rsid w:val="00C42B9F"/>
    <w:rsid w:val="00C45F58"/>
    <w:rsid w:val="00C54083"/>
    <w:rsid w:val="00C62365"/>
    <w:rsid w:val="00C81600"/>
    <w:rsid w:val="00C938E2"/>
    <w:rsid w:val="00CA09B2"/>
    <w:rsid w:val="00CA1581"/>
    <w:rsid w:val="00CC30E6"/>
    <w:rsid w:val="00CE6184"/>
    <w:rsid w:val="00CF1F09"/>
    <w:rsid w:val="00CF5B73"/>
    <w:rsid w:val="00D0398E"/>
    <w:rsid w:val="00D17CD5"/>
    <w:rsid w:val="00D411B8"/>
    <w:rsid w:val="00D9545D"/>
    <w:rsid w:val="00DA0817"/>
    <w:rsid w:val="00DA5BFA"/>
    <w:rsid w:val="00DC5C42"/>
    <w:rsid w:val="00DC654D"/>
    <w:rsid w:val="00DD7D1B"/>
    <w:rsid w:val="00E02139"/>
    <w:rsid w:val="00E02D2C"/>
    <w:rsid w:val="00E425C8"/>
    <w:rsid w:val="00E6406F"/>
    <w:rsid w:val="00E64FB7"/>
    <w:rsid w:val="00E81925"/>
    <w:rsid w:val="00EC055E"/>
    <w:rsid w:val="00EC49A1"/>
    <w:rsid w:val="00ED4564"/>
    <w:rsid w:val="00F14622"/>
    <w:rsid w:val="00F15BBD"/>
    <w:rsid w:val="00F74657"/>
    <w:rsid w:val="00FA524A"/>
    <w:rsid w:val="00FB1B17"/>
    <w:rsid w:val="00FB7343"/>
    <w:rsid w:val="00FC613F"/>
    <w:rsid w:val="00FD5AD1"/>
    <w:rsid w:val="00FD61E5"/>
    <w:rsid w:val="00FD636C"/>
    <w:rsid w:val="01082EC6"/>
    <w:rsid w:val="01273453"/>
    <w:rsid w:val="01722330"/>
    <w:rsid w:val="01A85D51"/>
    <w:rsid w:val="020F3EF1"/>
    <w:rsid w:val="02650770"/>
    <w:rsid w:val="026733C7"/>
    <w:rsid w:val="026B6990"/>
    <w:rsid w:val="027F2CA3"/>
    <w:rsid w:val="02B86C57"/>
    <w:rsid w:val="02CA1EB1"/>
    <w:rsid w:val="02FC0103"/>
    <w:rsid w:val="03107E03"/>
    <w:rsid w:val="035B751F"/>
    <w:rsid w:val="03896506"/>
    <w:rsid w:val="03975EA3"/>
    <w:rsid w:val="039F467D"/>
    <w:rsid w:val="03F1316B"/>
    <w:rsid w:val="03F90AE6"/>
    <w:rsid w:val="03FD05D6"/>
    <w:rsid w:val="043B2A16"/>
    <w:rsid w:val="049250F9"/>
    <w:rsid w:val="04926F71"/>
    <w:rsid w:val="04EE7EEC"/>
    <w:rsid w:val="051E64D5"/>
    <w:rsid w:val="05521048"/>
    <w:rsid w:val="059D19BD"/>
    <w:rsid w:val="060F19E9"/>
    <w:rsid w:val="069114AA"/>
    <w:rsid w:val="06A61794"/>
    <w:rsid w:val="06BC3647"/>
    <w:rsid w:val="06C947A0"/>
    <w:rsid w:val="06FB42B1"/>
    <w:rsid w:val="07787E17"/>
    <w:rsid w:val="07896A93"/>
    <w:rsid w:val="07CA0317"/>
    <w:rsid w:val="07EC6998"/>
    <w:rsid w:val="08986B20"/>
    <w:rsid w:val="08BE2ADC"/>
    <w:rsid w:val="08EE4992"/>
    <w:rsid w:val="09364A2C"/>
    <w:rsid w:val="09737538"/>
    <w:rsid w:val="09FC4E8C"/>
    <w:rsid w:val="0A230FB6"/>
    <w:rsid w:val="0A3B3C06"/>
    <w:rsid w:val="0A694E8C"/>
    <w:rsid w:val="0A769228"/>
    <w:rsid w:val="0A8A06EA"/>
    <w:rsid w:val="0A9B6453"/>
    <w:rsid w:val="0B09160F"/>
    <w:rsid w:val="0B446315"/>
    <w:rsid w:val="0B574441"/>
    <w:rsid w:val="0B5F199F"/>
    <w:rsid w:val="0B9E1294"/>
    <w:rsid w:val="0BA8707A"/>
    <w:rsid w:val="0BBE0F12"/>
    <w:rsid w:val="0C1D5003"/>
    <w:rsid w:val="0C782EF0"/>
    <w:rsid w:val="0CA03C5A"/>
    <w:rsid w:val="0CE21B90"/>
    <w:rsid w:val="0D061C5D"/>
    <w:rsid w:val="0D0E533C"/>
    <w:rsid w:val="0D605732"/>
    <w:rsid w:val="0DFB1BC3"/>
    <w:rsid w:val="0E305316"/>
    <w:rsid w:val="0E403641"/>
    <w:rsid w:val="0E4D6BB6"/>
    <w:rsid w:val="0E61132A"/>
    <w:rsid w:val="0E8042DE"/>
    <w:rsid w:val="0EB93673"/>
    <w:rsid w:val="0ED82B00"/>
    <w:rsid w:val="0F2E2A99"/>
    <w:rsid w:val="0F915584"/>
    <w:rsid w:val="0FA47B58"/>
    <w:rsid w:val="0FE060B1"/>
    <w:rsid w:val="10112456"/>
    <w:rsid w:val="102F70B1"/>
    <w:rsid w:val="108E47D2"/>
    <w:rsid w:val="10D878ED"/>
    <w:rsid w:val="110D266B"/>
    <w:rsid w:val="110E719E"/>
    <w:rsid w:val="112A6877"/>
    <w:rsid w:val="116C159F"/>
    <w:rsid w:val="117D4B05"/>
    <w:rsid w:val="12386623"/>
    <w:rsid w:val="12715107"/>
    <w:rsid w:val="127F4F43"/>
    <w:rsid w:val="12B5379D"/>
    <w:rsid w:val="12CB1C35"/>
    <w:rsid w:val="12F0432E"/>
    <w:rsid w:val="13447EB3"/>
    <w:rsid w:val="138403CC"/>
    <w:rsid w:val="13961EAE"/>
    <w:rsid w:val="13E1369A"/>
    <w:rsid w:val="13EE5F81"/>
    <w:rsid w:val="144C2C07"/>
    <w:rsid w:val="147C72F5"/>
    <w:rsid w:val="14FD084F"/>
    <w:rsid w:val="15097EAB"/>
    <w:rsid w:val="155B0443"/>
    <w:rsid w:val="15633F4A"/>
    <w:rsid w:val="15771888"/>
    <w:rsid w:val="15AF28EE"/>
    <w:rsid w:val="15B43749"/>
    <w:rsid w:val="15D37329"/>
    <w:rsid w:val="15DB4B90"/>
    <w:rsid w:val="161D093B"/>
    <w:rsid w:val="1638724C"/>
    <w:rsid w:val="16564503"/>
    <w:rsid w:val="16576B1C"/>
    <w:rsid w:val="16783AEC"/>
    <w:rsid w:val="169F744C"/>
    <w:rsid w:val="16A146AD"/>
    <w:rsid w:val="16B354AE"/>
    <w:rsid w:val="16BE143E"/>
    <w:rsid w:val="1703785A"/>
    <w:rsid w:val="172829E4"/>
    <w:rsid w:val="174F3A55"/>
    <w:rsid w:val="174F484D"/>
    <w:rsid w:val="17722F85"/>
    <w:rsid w:val="17C91D05"/>
    <w:rsid w:val="182E0907"/>
    <w:rsid w:val="184B770B"/>
    <w:rsid w:val="185B5474"/>
    <w:rsid w:val="186C60D4"/>
    <w:rsid w:val="18900444"/>
    <w:rsid w:val="191F708A"/>
    <w:rsid w:val="19BA5A77"/>
    <w:rsid w:val="1A216F18"/>
    <w:rsid w:val="1AC2275D"/>
    <w:rsid w:val="1ACF7994"/>
    <w:rsid w:val="1ADC302D"/>
    <w:rsid w:val="1B09565B"/>
    <w:rsid w:val="1B250B40"/>
    <w:rsid w:val="1B356450"/>
    <w:rsid w:val="1B505038"/>
    <w:rsid w:val="1B966EEF"/>
    <w:rsid w:val="1BB67591"/>
    <w:rsid w:val="1BCE1FCB"/>
    <w:rsid w:val="1BEA7161"/>
    <w:rsid w:val="1C2A3ADB"/>
    <w:rsid w:val="1C7A236C"/>
    <w:rsid w:val="1CB303A9"/>
    <w:rsid w:val="1D0E51AB"/>
    <w:rsid w:val="1D290F49"/>
    <w:rsid w:val="1D306ECF"/>
    <w:rsid w:val="1D320E99"/>
    <w:rsid w:val="1D47241E"/>
    <w:rsid w:val="1D7565E9"/>
    <w:rsid w:val="1D926692"/>
    <w:rsid w:val="1D9862E1"/>
    <w:rsid w:val="1DDA0E09"/>
    <w:rsid w:val="1DE903E9"/>
    <w:rsid w:val="1DED33CF"/>
    <w:rsid w:val="1E0B2F34"/>
    <w:rsid w:val="1E1B36DB"/>
    <w:rsid w:val="1E312D17"/>
    <w:rsid w:val="1E696B3C"/>
    <w:rsid w:val="1E7BB091"/>
    <w:rsid w:val="1E8A3082"/>
    <w:rsid w:val="1E9B481C"/>
    <w:rsid w:val="1ED23280"/>
    <w:rsid w:val="1EE179C0"/>
    <w:rsid w:val="1F0E1C97"/>
    <w:rsid w:val="1F192BA2"/>
    <w:rsid w:val="1F512208"/>
    <w:rsid w:val="1F520570"/>
    <w:rsid w:val="1F666BD8"/>
    <w:rsid w:val="1F7F25CA"/>
    <w:rsid w:val="1F977E64"/>
    <w:rsid w:val="1F9D4DA1"/>
    <w:rsid w:val="1FBF88D1"/>
    <w:rsid w:val="1FC13D1D"/>
    <w:rsid w:val="1FCC46F3"/>
    <w:rsid w:val="1FEF3A7D"/>
    <w:rsid w:val="200D7EB9"/>
    <w:rsid w:val="208018C7"/>
    <w:rsid w:val="208A2E16"/>
    <w:rsid w:val="20BD143D"/>
    <w:rsid w:val="20E65D8D"/>
    <w:rsid w:val="216D06F2"/>
    <w:rsid w:val="218A0E12"/>
    <w:rsid w:val="21C85211"/>
    <w:rsid w:val="21FE4E3F"/>
    <w:rsid w:val="225D1507"/>
    <w:rsid w:val="22800451"/>
    <w:rsid w:val="22C87887"/>
    <w:rsid w:val="23161ACD"/>
    <w:rsid w:val="23C465C3"/>
    <w:rsid w:val="23E67071"/>
    <w:rsid w:val="241E5CD3"/>
    <w:rsid w:val="24757F6C"/>
    <w:rsid w:val="24B25E39"/>
    <w:rsid w:val="24F876E9"/>
    <w:rsid w:val="25070E5D"/>
    <w:rsid w:val="25190D81"/>
    <w:rsid w:val="25560FA3"/>
    <w:rsid w:val="262E018F"/>
    <w:rsid w:val="26704261"/>
    <w:rsid w:val="269A2146"/>
    <w:rsid w:val="26CB6B33"/>
    <w:rsid w:val="27225ADA"/>
    <w:rsid w:val="27957A90"/>
    <w:rsid w:val="27FB1532"/>
    <w:rsid w:val="283A6E54"/>
    <w:rsid w:val="2886653D"/>
    <w:rsid w:val="28A06035"/>
    <w:rsid w:val="2901078E"/>
    <w:rsid w:val="2A0165B5"/>
    <w:rsid w:val="2A1844F4"/>
    <w:rsid w:val="2A4402F1"/>
    <w:rsid w:val="2A467790"/>
    <w:rsid w:val="2A7221B2"/>
    <w:rsid w:val="2A780E67"/>
    <w:rsid w:val="2A7E6069"/>
    <w:rsid w:val="2AC670C5"/>
    <w:rsid w:val="2AD03A9F"/>
    <w:rsid w:val="2AD25465"/>
    <w:rsid w:val="2AE71338"/>
    <w:rsid w:val="2B027E6B"/>
    <w:rsid w:val="2B94170E"/>
    <w:rsid w:val="2BB03264"/>
    <w:rsid w:val="2BB16FE3"/>
    <w:rsid w:val="2BF0298E"/>
    <w:rsid w:val="2C0B2FE1"/>
    <w:rsid w:val="2C4E2ECE"/>
    <w:rsid w:val="2CA23219"/>
    <w:rsid w:val="2D0839C4"/>
    <w:rsid w:val="2D314CC9"/>
    <w:rsid w:val="2D3409F5"/>
    <w:rsid w:val="2D5409B8"/>
    <w:rsid w:val="2D574EC4"/>
    <w:rsid w:val="2D7B1638"/>
    <w:rsid w:val="2D9FC479"/>
    <w:rsid w:val="2DD029D5"/>
    <w:rsid w:val="2E216586"/>
    <w:rsid w:val="2E224612"/>
    <w:rsid w:val="2E24482E"/>
    <w:rsid w:val="2E3E54DD"/>
    <w:rsid w:val="2E513149"/>
    <w:rsid w:val="2E6609A2"/>
    <w:rsid w:val="2E907392"/>
    <w:rsid w:val="2F1F3445"/>
    <w:rsid w:val="2F2614E8"/>
    <w:rsid w:val="2F4C49DD"/>
    <w:rsid w:val="2F685560"/>
    <w:rsid w:val="2F6B7EFE"/>
    <w:rsid w:val="2F9B6CFF"/>
    <w:rsid w:val="2F9C1FB2"/>
    <w:rsid w:val="2FB9D460"/>
    <w:rsid w:val="2FFD6233"/>
    <w:rsid w:val="2FFE79DE"/>
    <w:rsid w:val="2FFECC7A"/>
    <w:rsid w:val="3025663B"/>
    <w:rsid w:val="30475B47"/>
    <w:rsid w:val="3073027C"/>
    <w:rsid w:val="30B579BF"/>
    <w:rsid w:val="30CC724F"/>
    <w:rsid w:val="30D51E0F"/>
    <w:rsid w:val="31121375"/>
    <w:rsid w:val="311A6841"/>
    <w:rsid w:val="31233C5B"/>
    <w:rsid w:val="314F750B"/>
    <w:rsid w:val="31E85B72"/>
    <w:rsid w:val="324D4B92"/>
    <w:rsid w:val="326276D3"/>
    <w:rsid w:val="3289775B"/>
    <w:rsid w:val="32BA1360"/>
    <w:rsid w:val="32FF1881"/>
    <w:rsid w:val="333030BB"/>
    <w:rsid w:val="33765CEE"/>
    <w:rsid w:val="33CA0978"/>
    <w:rsid w:val="34237336"/>
    <w:rsid w:val="34540284"/>
    <w:rsid w:val="347253F1"/>
    <w:rsid w:val="348B2476"/>
    <w:rsid w:val="34B407C8"/>
    <w:rsid w:val="34F20A83"/>
    <w:rsid w:val="35013A5F"/>
    <w:rsid w:val="353C315A"/>
    <w:rsid w:val="35476D5B"/>
    <w:rsid w:val="358D0F0B"/>
    <w:rsid w:val="35EE2F05"/>
    <w:rsid w:val="366F6862"/>
    <w:rsid w:val="36743E79"/>
    <w:rsid w:val="36B60EB3"/>
    <w:rsid w:val="36EB413B"/>
    <w:rsid w:val="371371EE"/>
    <w:rsid w:val="371F5EDD"/>
    <w:rsid w:val="37AA067B"/>
    <w:rsid w:val="37D76468"/>
    <w:rsid w:val="37E32EF7"/>
    <w:rsid w:val="38400D04"/>
    <w:rsid w:val="38735A0D"/>
    <w:rsid w:val="38B14909"/>
    <w:rsid w:val="395C02B6"/>
    <w:rsid w:val="397363FD"/>
    <w:rsid w:val="3979638A"/>
    <w:rsid w:val="39E7785C"/>
    <w:rsid w:val="3A03179B"/>
    <w:rsid w:val="3A1E1083"/>
    <w:rsid w:val="3A700E5A"/>
    <w:rsid w:val="3AAD2F82"/>
    <w:rsid w:val="3AD71D29"/>
    <w:rsid w:val="3B585B17"/>
    <w:rsid w:val="3B699A7B"/>
    <w:rsid w:val="3B9E54DA"/>
    <w:rsid w:val="3BA945C4"/>
    <w:rsid w:val="3BAB772A"/>
    <w:rsid w:val="3BD86C58"/>
    <w:rsid w:val="3BDA652C"/>
    <w:rsid w:val="3BDF51AE"/>
    <w:rsid w:val="3CDF6AA9"/>
    <w:rsid w:val="3CF73851"/>
    <w:rsid w:val="3CFA5349"/>
    <w:rsid w:val="3CFFE25B"/>
    <w:rsid w:val="3D67DF06"/>
    <w:rsid w:val="3DA54918"/>
    <w:rsid w:val="3DB84881"/>
    <w:rsid w:val="3DC92F4B"/>
    <w:rsid w:val="3DD90A35"/>
    <w:rsid w:val="3DDF477F"/>
    <w:rsid w:val="3DFE07A6"/>
    <w:rsid w:val="3E2B711B"/>
    <w:rsid w:val="3E6D7B2B"/>
    <w:rsid w:val="3E6E51DF"/>
    <w:rsid w:val="3E7E1D34"/>
    <w:rsid w:val="3E80785E"/>
    <w:rsid w:val="3EFC2F7A"/>
    <w:rsid w:val="3F1A520D"/>
    <w:rsid w:val="3F2215C7"/>
    <w:rsid w:val="3F305CFE"/>
    <w:rsid w:val="3F496996"/>
    <w:rsid w:val="3F67F9F5"/>
    <w:rsid w:val="3F6E9FDF"/>
    <w:rsid w:val="3F9133A5"/>
    <w:rsid w:val="3F96ABE6"/>
    <w:rsid w:val="3FDFEE9C"/>
    <w:rsid w:val="3FEF6821"/>
    <w:rsid w:val="3FF3AB5C"/>
    <w:rsid w:val="3FFA46E6"/>
    <w:rsid w:val="3FFFA272"/>
    <w:rsid w:val="402B37FA"/>
    <w:rsid w:val="406915FE"/>
    <w:rsid w:val="40830F63"/>
    <w:rsid w:val="408A3A76"/>
    <w:rsid w:val="40BC2373"/>
    <w:rsid w:val="40D51F29"/>
    <w:rsid w:val="40E83499"/>
    <w:rsid w:val="40EF533E"/>
    <w:rsid w:val="410570E7"/>
    <w:rsid w:val="41483F38"/>
    <w:rsid w:val="415E2BBF"/>
    <w:rsid w:val="419A3831"/>
    <w:rsid w:val="426D3BC9"/>
    <w:rsid w:val="427A2817"/>
    <w:rsid w:val="42812E8D"/>
    <w:rsid w:val="428C3002"/>
    <w:rsid w:val="42FFD664"/>
    <w:rsid w:val="4339622E"/>
    <w:rsid w:val="435D2975"/>
    <w:rsid w:val="43811FD9"/>
    <w:rsid w:val="43B7F747"/>
    <w:rsid w:val="43DD4E0B"/>
    <w:rsid w:val="43F7578B"/>
    <w:rsid w:val="44421112"/>
    <w:rsid w:val="44892761"/>
    <w:rsid w:val="452D1094"/>
    <w:rsid w:val="45322F35"/>
    <w:rsid w:val="455577DC"/>
    <w:rsid w:val="45CE24CD"/>
    <w:rsid w:val="45F4304A"/>
    <w:rsid w:val="460E1816"/>
    <w:rsid w:val="46252B46"/>
    <w:rsid w:val="46EB449C"/>
    <w:rsid w:val="473A62D0"/>
    <w:rsid w:val="47831802"/>
    <w:rsid w:val="47AF4D11"/>
    <w:rsid w:val="47D657CA"/>
    <w:rsid w:val="47DF5C7D"/>
    <w:rsid w:val="47FA2537"/>
    <w:rsid w:val="48052E40"/>
    <w:rsid w:val="480E1B71"/>
    <w:rsid w:val="484713ED"/>
    <w:rsid w:val="484D14FE"/>
    <w:rsid w:val="485B27A2"/>
    <w:rsid w:val="497004D0"/>
    <w:rsid w:val="4A2B4393"/>
    <w:rsid w:val="4A9028DD"/>
    <w:rsid w:val="4A916541"/>
    <w:rsid w:val="4AB84D04"/>
    <w:rsid w:val="4B0C61BC"/>
    <w:rsid w:val="4B241FED"/>
    <w:rsid w:val="4B475260"/>
    <w:rsid w:val="4C3E2B07"/>
    <w:rsid w:val="4C6F0C66"/>
    <w:rsid w:val="4CCC1EC1"/>
    <w:rsid w:val="4CDF6854"/>
    <w:rsid w:val="4D0F7FFF"/>
    <w:rsid w:val="4D3A1520"/>
    <w:rsid w:val="4D551EB6"/>
    <w:rsid w:val="4DA462E6"/>
    <w:rsid w:val="4DA87CCE"/>
    <w:rsid w:val="4E105610"/>
    <w:rsid w:val="4E141D71"/>
    <w:rsid w:val="4E650ED2"/>
    <w:rsid w:val="4E7A9099"/>
    <w:rsid w:val="4E923C90"/>
    <w:rsid w:val="4F50610E"/>
    <w:rsid w:val="4F7E2C06"/>
    <w:rsid w:val="4F8F424D"/>
    <w:rsid w:val="4FCE78C2"/>
    <w:rsid w:val="4FE63299"/>
    <w:rsid w:val="50E115AC"/>
    <w:rsid w:val="513C5070"/>
    <w:rsid w:val="51AE428B"/>
    <w:rsid w:val="51C172C9"/>
    <w:rsid w:val="51DB6F6F"/>
    <w:rsid w:val="51E043F4"/>
    <w:rsid w:val="51E2385D"/>
    <w:rsid w:val="522119B0"/>
    <w:rsid w:val="52421C4A"/>
    <w:rsid w:val="52946FDD"/>
    <w:rsid w:val="5295437A"/>
    <w:rsid w:val="52D4309B"/>
    <w:rsid w:val="52EA311A"/>
    <w:rsid w:val="53092B99"/>
    <w:rsid w:val="532E7539"/>
    <w:rsid w:val="534A49FC"/>
    <w:rsid w:val="53695B54"/>
    <w:rsid w:val="53BA7839"/>
    <w:rsid w:val="53BC2C8F"/>
    <w:rsid w:val="53C658BC"/>
    <w:rsid w:val="53E07B69"/>
    <w:rsid w:val="54026EAB"/>
    <w:rsid w:val="5406215C"/>
    <w:rsid w:val="543547EF"/>
    <w:rsid w:val="5452714F"/>
    <w:rsid w:val="549053A9"/>
    <w:rsid w:val="54DA5622"/>
    <w:rsid w:val="54E6275B"/>
    <w:rsid w:val="55741347"/>
    <w:rsid w:val="559A3EE9"/>
    <w:rsid w:val="559C56C6"/>
    <w:rsid w:val="55D23DAF"/>
    <w:rsid w:val="55E97FA8"/>
    <w:rsid w:val="55ED8BF1"/>
    <w:rsid w:val="5606767B"/>
    <w:rsid w:val="561227A5"/>
    <w:rsid w:val="565C6063"/>
    <w:rsid w:val="56791DA2"/>
    <w:rsid w:val="568073E5"/>
    <w:rsid w:val="56A1160C"/>
    <w:rsid w:val="56A556C0"/>
    <w:rsid w:val="56EA31AE"/>
    <w:rsid w:val="56F387E3"/>
    <w:rsid w:val="56F706F6"/>
    <w:rsid w:val="570034B8"/>
    <w:rsid w:val="57545431"/>
    <w:rsid w:val="575A6FC1"/>
    <w:rsid w:val="57A07507"/>
    <w:rsid w:val="57D01480"/>
    <w:rsid w:val="57E44562"/>
    <w:rsid w:val="58145286"/>
    <w:rsid w:val="58350124"/>
    <w:rsid w:val="584F7123"/>
    <w:rsid w:val="585E45D4"/>
    <w:rsid w:val="587769E4"/>
    <w:rsid w:val="588875E4"/>
    <w:rsid w:val="58C63C68"/>
    <w:rsid w:val="58E3560B"/>
    <w:rsid w:val="58FF717A"/>
    <w:rsid w:val="59022BED"/>
    <w:rsid w:val="599E454D"/>
    <w:rsid w:val="59A04FA4"/>
    <w:rsid w:val="59D7428B"/>
    <w:rsid w:val="5A514925"/>
    <w:rsid w:val="5A52775D"/>
    <w:rsid w:val="5A5D59BD"/>
    <w:rsid w:val="5B456A64"/>
    <w:rsid w:val="5B4C1122"/>
    <w:rsid w:val="5B7824A6"/>
    <w:rsid w:val="5BD448EE"/>
    <w:rsid w:val="5BEF96FC"/>
    <w:rsid w:val="5BF07B73"/>
    <w:rsid w:val="5BF32932"/>
    <w:rsid w:val="5BFC41DC"/>
    <w:rsid w:val="5BFD8C01"/>
    <w:rsid w:val="5BFFCDD1"/>
    <w:rsid w:val="5C201D06"/>
    <w:rsid w:val="5C29783E"/>
    <w:rsid w:val="5C313919"/>
    <w:rsid w:val="5C3D5D5F"/>
    <w:rsid w:val="5D15F8BA"/>
    <w:rsid w:val="5D262A36"/>
    <w:rsid w:val="5D4065DC"/>
    <w:rsid w:val="5D7C348F"/>
    <w:rsid w:val="5DA5D801"/>
    <w:rsid w:val="5DD15589"/>
    <w:rsid w:val="5DDFDB4B"/>
    <w:rsid w:val="5DF9E5BB"/>
    <w:rsid w:val="5DFD637E"/>
    <w:rsid w:val="5E105B43"/>
    <w:rsid w:val="5E5230B5"/>
    <w:rsid w:val="5E543178"/>
    <w:rsid w:val="5E594391"/>
    <w:rsid w:val="5EB81C90"/>
    <w:rsid w:val="5EBD7613"/>
    <w:rsid w:val="5ED33663"/>
    <w:rsid w:val="5EFFEC21"/>
    <w:rsid w:val="5F3145C6"/>
    <w:rsid w:val="5F7DF2EB"/>
    <w:rsid w:val="5FA66CA0"/>
    <w:rsid w:val="5FAF0A1C"/>
    <w:rsid w:val="5FCD17EA"/>
    <w:rsid w:val="5FD98A09"/>
    <w:rsid w:val="5FF92F15"/>
    <w:rsid w:val="5FFA5B51"/>
    <w:rsid w:val="5FFFE5B3"/>
    <w:rsid w:val="60017E4A"/>
    <w:rsid w:val="60912DAE"/>
    <w:rsid w:val="60B31564"/>
    <w:rsid w:val="60BF3C01"/>
    <w:rsid w:val="60BF3DBF"/>
    <w:rsid w:val="60C43183"/>
    <w:rsid w:val="617701F5"/>
    <w:rsid w:val="61D03DA9"/>
    <w:rsid w:val="61FD390E"/>
    <w:rsid w:val="62053A53"/>
    <w:rsid w:val="627E55B4"/>
    <w:rsid w:val="62B14718"/>
    <w:rsid w:val="62B75DFE"/>
    <w:rsid w:val="62BF1D86"/>
    <w:rsid w:val="62CE653B"/>
    <w:rsid w:val="62D17980"/>
    <w:rsid w:val="62E66660"/>
    <w:rsid w:val="62F53AC8"/>
    <w:rsid w:val="62F7CD94"/>
    <w:rsid w:val="62FFE9CF"/>
    <w:rsid w:val="63717E4D"/>
    <w:rsid w:val="63934D06"/>
    <w:rsid w:val="639F7D2D"/>
    <w:rsid w:val="63FB0A69"/>
    <w:rsid w:val="63FB0F69"/>
    <w:rsid w:val="642E40E1"/>
    <w:rsid w:val="64563773"/>
    <w:rsid w:val="646E623E"/>
    <w:rsid w:val="64722EF6"/>
    <w:rsid w:val="64D515D8"/>
    <w:rsid w:val="656733A3"/>
    <w:rsid w:val="658813BA"/>
    <w:rsid w:val="65A94671"/>
    <w:rsid w:val="65C634F9"/>
    <w:rsid w:val="65E02D4B"/>
    <w:rsid w:val="65FC0126"/>
    <w:rsid w:val="66292291"/>
    <w:rsid w:val="66802EFA"/>
    <w:rsid w:val="66D863DF"/>
    <w:rsid w:val="66FE3052"/>
    <w:rsid w:val="67017C22"/>
    <w:rsid w:val="670D2C3F"/>
    <w:rsid w:val="67182FBC"/>
    <w:rsid w:val="672C55DE"/>
    <w:rsid w:val="674FBC73"/>
    <w:rsid w:val="679B66E6"/>
    <w:rsid w:val="67AE48CF"/>
    <w:rsid w:val="67E76191"/>
    <w:rsid w:val="67EC6609"/>
    <w:rsid w:val="68095E4A"/>
    <w:rsid w:val="685A261F"/>
    <w:rsid w:val="686F4CDF"/>
    <w:rsid w:val="69685073"/>
    <w:rsid w:val="697E05AE"/>
    <w:rsid w:val="69C77840"/>
    <w:rsid w:val="69EA6318"/>
    <w:rsid w:val="6A1879E8"/>
    <w:rsid w:val="6A227CCF"/>
    <w:rsid w:val="6A306848"/>
    <w:rsid w:val="6A3E5777"/>
    <w:rsid w:val="6A5F5CCB"/>
    <w:rsid w:val="6AD91E3C"/>
    <w:rsid w:val="6AE33229"/>
    <w:rsid w:val="6AFC3632"/>
    <w:rsid w:val="6B104F56"/>
    <w:rsid w:val="6B1B1185"/>
    <w:rsid w:val="6B357B51"/>
    <w:rsid w:val="6B4A349A"/>
    <w:rsid w:val="6B5670CE"/>
    <w:rsid w:val="6B8448F8"/>
    <w:rsid w:val="6BC30A2F"/>
    <w:rsid w:val="6BE2340D"/>
    <w:rsid w:val="6BEFBF6C"/>
    <w:rsid w:val="6C160862"/>
    <w:rsid w:val="6C1905F8"/>
    <w:rsid w:val="6C30410D"/>
    <w:rsid w:val="6C4F5FC2"/>
    <w:rsid w:val="6C7500BB"/>
    <w:rsid w:val="6C7733D7"/>
    <w:rsid w:val="6C9F6AB1"/>
    <w:rsid w:val="6CD106F7"/>
    <w:rsid w:val="6CFDC474"/>
    <w:rsid w:val="6D397754"/>
    <w:rsid w:val="6D662BAE"/>
    <w:rsid w:val="6D687B25"/>
    <w:rsid w:val="6D9F0C4A"/>
    <w:rsid w:val="6DCF7719"/>
    <w:rsid w:val="6E572FCB"/>
    <w:rsid w:val="6E6828A9"/>
    <w:rsid w:val="6E693893"/>
    <w:rsid w:val="6E8E6C0A"/>
    <w:rsid w:val="6E9F6FDD"/>
    <w:rsid w:val="6EBC5B17"/>
    <w:rsid w:val="6ED53764"/>
    <w:rsid w:val="6EFBB582"/>
    <w:rsid w:val="6F2E2F23"/>
    <w:rsid w:val="6F67421D"/>
    <w:rsid w:val="6F7E656D"/>
    <w:rsid w:val="6FDB8EDD"/>
    <w:rsid w:val="6FF5F89F"/>
    <w:rsid w:val="6FF99DED"/>
    <w:rsid w:val="6FFDE373"/>
    <w:rsid w:val="70145A9E"/>
    <w:rsid w:val="70666005"/>
    <w:rsid w:val="706A7177"/>
    <w:rsid w:val="707E95AA"/>
    <w:rsid w:val="70863314"/>
    <w:rsid w:val="709A5CAE"/>
    <w:rsid w:val="70B655B2"/>
    <w:rsid w:val="70C25732"/>
    <w:rsid w:val="719A3C70"/>
    <w:rsid w:val="71CA79DB"/>
    <w:rsid w:val="71D76C38"/>
    <w:rsid w:val="71ED9095"/>
    <w:rsid w:val="727A5D97"/>
    <w:rsid w:val="727D23A5"/>
    <w:rsid w:val="728F20F0"/>
    <w:rsid w:val="72FA0C86"/>
    <w:rsid w:val="730F7C7F"/>
    <w:rsid w:val="731004AA"/>
    <w:rsid w:val="731B2A0C"/>
    <w:rsid w:val="731C2EE9"/>
    <w:rsid w:val="733C3B9B"/>
    <w:rsid w:val="73421DFC"/>
    <w:rsid w:val="73AD7CCC"/>
    <w:rsid w:val="74065409"/>
    <w:rsid w:val="74A05D67"/>
    <w:rsid w:val="74BC1582"/>
    <w:rsid w:val="74DA01CA"/>
    <w:rsid w:val="75376899"/>
    <w:rsid w:val="75E9480E"/>
    <w:rsid w:val="75F4E870"/>
    <w:rsid w:val="75FE2CE0"/>
    <w:rsid w:val="75FF0362"/>
    <w:rsid w:val="762A1762"/>
    <w:rsid w:val="762A4647"/>
    <w:rsid w:val="765357D5"/>
    <w:rsid w:val="769B8463"/>
    <w:rsid w:val="76BB697E"/>
    <w:rsid w:val="76E36870"/>
    <w:rsid w:val="778D89EC"/>
    <w:rsid w:val="778F7DB3"/>
    <w:rsid w:val="77D694B1"/>
    <w:rsid w:val="77E29CE0"/>
    <w:rsid w:val="77EA669B"/>
    <w:rsid w:val="77FF41CE"/>
    <w:rsid w:val="78120820"/>
    <w:rsid w:val="78590DAB"/>
    <w:rsid w:val="785B1C41"/>
    <w:rsid w:val="787712C3"/>
    <w:rsid w:val="789D0197"/>
    <w:rsid w:val="78CE53CD"/>
    <w:rsid w:val="78F175A3"/>
    <w:rsid w:val="790B140B"/>
    <w:rsid w:val="792C3AD5"/>
    <w:rsid w:val="79726D08"/>
    <w:rsid w:val="79812FBE"/>
    <w:rsid w:val="79BA64F1"/>
    <w:rsid w:val="7A6371F2"/>
    <w:rsid w:val="7A682979"/>
    <w:rsid w:val="7A743F7F"/>
    <w:rsid w:val="7A9B82DC"/>
    <w:rsid w:val="7AA06610"/>
    <w:rsid w:val="7AFB9A54"/>
    <w:rsid w:val="7AFD7566"/>
    <w:rsid w:val="7B2612EA"/>
    <w:rsid w:val="7B2C71FE"/>
    <w:rsid w:val="7B376ABE"/>
    <w:rsid w:val="7B6273C9"/>
    <w:rsid w:val="7B722A08"/>
    <w:rsid w:val="7B803E61"/>
    <w:rsid w:val="7B901215"/>
    <w:rsid w:val="7BBDD270"/>
    <w:rsid w:val="7BBFCCC0"/>
    <w:rsid w:val="7BC47BF7"/>
    <w:rsid w:val="7BC609BA"/>
    <w:rsid w:val="7BEA794E"/>
    <w:rsid w:val="7BEB1685"/>
    <w:rsid w:val="7BF0845C"/>
    <w:rsid w:val="7BF46B07"/>
    <w:rsid w:val="7BFF4C50"/>
    <w:rsid w:val="7C667DC9"/>
    <w:rsid w:val="7C681D46"/>
    <w:rsid w:val="7CBDA81E"/>
    <w:rsid w:val="7CDA2186"/>
    <w:rsid w:val="7D364FB1"/>
    <w:rsid w:val="7D3F20B7"/>
    <w:rsid w:val="7D5D7043"/>
    <w:rsid w:val="7D6F198C"/>
    <w:rsid w:val="7D951CD7"/>
    <w:rsid w:val="7D9836D6"/>
    <w:rsid w:val="7DAB09CE"/>
    <w:rsid w:val="7DB27B05"/>
    <w:rsid w:val="7DBFCAF9"/>
    <w:rsid w:val="7DDA1DE0"/>
    <w:rsid w:val="7DDF557D"/>
    <w:rsid w:val="7DFDAE00"/>
    <w:rsid w:val="7DFFEFC9"/>
    <w:rsid w:val="7E442470"/>
    <w:rsid w:val="7E6B6157"/>
    <w:rsid w:val="7E7D9B58"/>
    <w:rsid w:val="7E8B6C36"/>
    <w:rsid w:val="7E9844A9"/>
    <w:rsid w:val="7EA71055"/>
    <w:rsid w:val="7EBF74C8"/>
    <w:rsid w:val="7EDB5AE5"/>
    <w:rsid w:val="7EDD33A7"/>
    <w:rsid w:val="7F0E76D2"/>
    <w:rsid w:val="7F1903B6"/>
    <w:rsid w:val="7F243F04"/>
    <w:rsid w:val="7F4F7F11"/>
    <w:rsid w:val="7F7E6D9B"/>
    <w:rsid w:val="7F7FBDFB"/>
    <w:rsid w:val="7F870140"/>
    <w:rsid w:val="7F8D16EE"/>
    <w:rsid w:val="7F921408"/>
    <w:rsid w:val="7F960605"/>
    <w:rsid w:val="7F974966"/>
    <w:rsid w:val="7FB74206"/>
    <w:rsid w:val="7FCED177"/>
    <w:rsid w:val="7FDF62A2"/>
    <w:rsid w:val="7FDF8D6D"/>
    <w:rsid w:val="7FED5A02"/>
    <w:rsid w:val="7FED9B34"/>
    <w:rsid w:val="7FEF58E9"/>
    <w:rsid w:val="7FEF9874"/>
    <w:rsid w:val="7FF799E2"/>
    <w:rsid w:val="7FFF4290"/>
    <w:rsid w:val="7FFF44DA"/>
    <w:rsid w:val="7FFF4C5F"/>
    <w:rsid w:val="7FFFD404"/>
    <w:rsid w:val="8F3FCFDE"/>
    <w:rsid w:val="9796B092"/>
    <w:rsid w:val="9BD6C478"/>
    <w:rsid w:val="ABDF6E08"/>
    <w:rsid w:val="ADCC0F76"/>
    <w:rsid w:val="AEFD5259"/>
    <w:rsid w:val="AFBDCE9F"/>
    <w:rsid w:val="B1DE5026"/>
    <w:rsid w:val="B67F434F"/>
    <w:rsid w:val="B6FBA9F1"/>
    <w:rsid w:val="B75F5382"/>
    <w:rsid w:val="BAF52789"/>
    <w:rsid w:val="BBFF0F21"/>
    <w:rsid w:val="BC3F6DA8"/>
    <w:rsid w:val="BDFC07A9"/>
    <w:rsid w:val="BDFE6BBC"/>
    <w:rsid w:val="BEFF9FDA"/>
    <w:rsid w:val="BF765C26"/>
    <w:rsid w:val="BFDFACF2"/>
    <w:rsid w:val="BFEF6D8B"/>
    <w:rsid w:val="C7FFB60F"/>
    <w:rsid w:val="CBE7F4CB"/>
    <w:rsid w:val="CBEEDE2C"/>
    <w:rsid w:val="CFBD4557"/>
    <w:rsid w:val="D1763842"/>
    <w:rsid w:val="D2EF7759"/>
    <w:rsid w:val="D625B1EC"/>
    <w:rsid w:val="D868D798"/>
    <w:rsid w:val="DB4F14FD"/>
    <w:rsid w:val="DBBEE084"/>
    <w:rsid w:val="DDEF7323"/>
    <w:rsid w:val="DDFFF929"/>
    <w:rsid w:val="DED72F12"/>
    <w:rsid w:val="DEF92AB3"/>
    <w:rsid w:val="DF2DC77F"/>
    <w:rsid w:val="DF9F1BF8"/>
    <w:rsid w:val="DFED9F70"/>
    <w:rsid w:val="DFF7D933"/>
    <w:rsid w:val="E0FD317A"/>
    <w:rsid w:val="E5FD5A9F"/>
    <w:rsid w:val="E6F75FD7"/>
    <w:rsid w:val="E71FE767"/>
    <w:rsid w:val="E7B7CB37"/>
    <w:rsid w:val="E7CD579F"/>
    <w:rsid w:val="E9BBF38B"/>
    <w:rsid w:val="E9DDB235"/>
    <w:rsid w:val="E9FAFD4B"/>
    <w:rsid w:val="EB9FD28B"/>
    <w:rsid w:val="EBFB9FC5"/>
    <w:rsid w:val="ECBDBAF1"/>
    <w:rsid w:val="ECDF3C15"/>
    <w:rsid w:val="ED6D055A"/>
    <w:rsid w:val="EDFBAE0A"/>
    <w:rsid w:val="EEFC1D62"/>
    <w:rsid w:val="EEFF88FD"/>
    <w:rsid w:val="EF8F1E78"/>
    <w:rsid w:val="F21F8612"/>
    <w:rsid w:val="F2E4FB36"/>
    <w:rsid w:val="F3EF8FA4"/>
    <w:rsid w:val="F4FFA3BC"/>
    <w:rsid w:val="F5FEA741"/>
    <w:rsid w:val="F6BF26D6"/>
    <w:rsid w:val="F6FE7754"/>
    <w:rsid w:val="F7B5A77E"/>
    <w:rsid w:val="F7DBA5F5"/>
    <w:rsid w:val="F7E3844B"/>
    <w:rsid w:val="F8AE3481"/>
    <w:rsid w:val="F9B7220A"/>
    <w:rsid w:val="F9BFB2E0"/>
    <w:rsid w:val="F9DFB472"/>
    <w:rsid w:val="F9EF9271"/>
    <w:rsid w:val="FA5EC14A"/>
    <w:rsid w:val="FAEE3970"/>
    <w:rsid w:val="FBEE43BD"/>
    <w:rsid w:val="FBFD3256"/>
    <w:rsid w:val="FDB7A996"/>
    <w:rsid w:val="FDBDD637"/>
    <w:rsid w:val="FDFD8E71"/>
    <w:rsid w:val="FEBF2EC4"/>
    <w:rsid w:val="FEFB1889"/>
    <w:rsid w:val="FF3B99C6"/>
    <w:rsid w:val="FF71828F"/>
    <w:rsid w:val="FF7ADE00"/>
    <w:rsid w:val="FFCFDB8F"/>
    <w:rsid w:val="FFDE31AB"/>
    <w:rsid w:val="FFE362D2"/>
    <w:rsid w:val="FFEAC4F0"/>
    <w:rsid w:val="FFEE235E"/>
    <w:rsid w:val="FFEF87B6"/>
    <w:rsid w:val="FFF7F412"/>
    <w:rsid w:val="FFFBA25B"/>
    <w:rsid w:val="FFFD5DBA"/>
    <w:rsid w:val="FFFDD8CA"/>
    <w:rsid w:val="FFFFC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autoSpaceDE w:val="0"/>
      <w:autoSpaceDN w:val="0"/>
      <w:adjustRightInd w:val="0"/>
      <w:spacing w:beforeLines="50" w:afterLines="50"/>
      <w:ind w:left="272" w:hanging="272"/>
      <w:jc w:val="left"/>
      <w:outlineLvl w:val="1"/>
    </w:pPr>
    <w:rPr>
      <w:rFonts w:ascii="宋体" w:hAnsi="Arial"/>
      <w:b/>
      <w:kern w:val="0"/>
      <w:szCs w:val="24"/>
      <w:lang w:val="zh-CN"/>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unhideWhenUsed/>
    <w:qFormat/>
    <w:uiPriority w:val="0"/>
    <w:pPr>
      <w:spacing w:after="120"/>
    </w:pPr>
    <w:rPr>
      <w:kern w:val="0"/>
      <w:sz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eastAsia="楷体_GB2312"/>
    </w:rPr>
  </w:style>
  <w:style w:type="paragraph" w:styleId="8">
    <w:name w:val="Date"/>
    <w:basedOn w:val="1"/>
    <w:next w:val="1"/>
    <w:qFormat/>
    <w:uiPriority w:val="0"/>
    <w:pPr>
      <w:ind w:left="100" w:leftChars="2500"/>
    </w:pPr>
    <w:rPr>
      <w:rFonts w:ascii="宋体"/>
      <w:sz w:val="24"/>
    </w:rPr>
  </w:style>
  <w:style w:type="paragraph" w:styleId="9">
    <w:name w:val="Body Text Indent 2"/>
    <w:basedOn w:val="1"/>
    <w:unhideWhenUsed/>
    <w:qFormat/>
    <w:uiPriority w:val="0"/>
    <w:pPr>
      <w:spacing w:after="120" w:line="480" w:lineRule="auto"/>
      <w:ind w:left="200" w:leftChars="200"/>
    </w:p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unhideWhenUsed/>
    <w:qFormat/>
    <w:uiPriority w:val="1"/>
    <w:pPr>
      <w:spacing w:beforeLines="0" w:afterLines="0" w:line="283" w:lineRule="exact"/>
      <w:ind w:left="50"/>
    </w:pPr>
    <w:rPr>
      <w:rFonts w:hint="eastAsia"/>
      <w:b/>
      <w:i/>
      <w:sz w:val="24"/>
      <w:szCs w:val="24"/>
    </w:rPr>
  </w:style>
  <w:style w:type="table" w:styleId="15">
    <w:name w:val="Table Grid"/>
    <w:basedOn w:val="14"/>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character" w:customStyle="1" w:styleId="21">
    <w:name w:val="15"/>
    <w:basedOn w:val="16"/>
    <w:qFormat/>
    <w:uiPriority w:val="0"/>
    <w:rPr>
      <w:rFonts w:hint="default" w:ascii="Times New Roman" w:hAnsi="Times New Roman" w:cs="Times New Roman"/>
      <w:b/>
      <w:bCs/>
    </w:rPr>
  </w:style>
  <w:style w:type="paragraph" w:customStyle="1" w:styleId="22">
    <w:name w:val="正文文本缩进 21"/>
    <w:basedOn w:val="1"/>
    <w:qFormat/>
    <w:uiPriority w:val="0"/>
    <w:pPr>
      <w:spacing w:after="120" w:line="480" w:lineRule="auto"/>
      <w:ind w:left="200" w:leftChars="200"/>
    </w:pPr>
  </w:style>
  <w:style w:type="paragraph" w:customStyle="1" w:styleId="23">
    <w:name w:val="细则正文"/>
    <w:basedOn w:val="1"/>
    <w:qFormat/>
    <w:uiPriority w:val="0"/>
    <w:pPr>
      <w:ind w:firstLine="640"/>
    </w:pPr>
    <w:rPr>
      <w:rFonts w:ascii="仿宋" w:hAnsi="仿宋"/>
      <w:szCs w:val="32"/>
    </w:rPr>
  </w:style>
  <w:style w:type="character" w:customStyle="1" w:styleId="24">
    <w:name w:val="页眉 字符"/>
    <w:basedOn w:val="16"/>
    <w:link w:val="11"/>
    <w:qFormat/>
    <w:uiPriority w:val="0"/>
    <w:rPr>
      <w:rFonts w:ascii="Times New Roman" w:hAnsi="Times New Roman" w:eastAsia="宋体" w:cs="Times New Roman"/>
      <w:kern w:val="2"/>
      <w:sz w:val="18"/>
      <w:szCs w:val="18"/>
    </w:rPr>
  </w:style>
  <w:style w:type="character" w:customStyle="1" w:styleId="25">
    <w:name w:val="页脚 字符"/>
    <w:basedOn w:val="16"/>
    <w:link w:val="10"/>
    <w:qFormat/>
    <w:uiPriority w:val="0"/>
    <w:rPr>
      <w:rFonts w:ascii="Times New Roman" w:hAnsi="Times New Roman" w:eastAsia="宋体" w:cs="Times New Roman"/>
      <w:kern w:val="2"/>
      <w:sz w:val="18"/>
      <w:szCs w:val="18"/>
    </w:rPr>
  </w:style>
  <w:style w:type="character" w:customStyle="1" w:styleId="26">
    <w:name w:val="标题 1 字符"/>
    <w:basedOn w:val="16"/>
    <w:link w:val="3"/>
    <w:qFormat/>
    <w:uiPriority w:val="0"/>
    <w:rPr>
      <w:rFonts w:ascii="Times New Roman" w:hAnsi="Times New Roman" w:eastAsia="宋体" w:cs="Times New Roman"/>
      <w:b/>
      <w:bCs/>
      <w:kern w:val="44"/>
      <w:sz w:val="44"/>
      <w:szCs w:val="44"/>
    </w:rPr>
  </w:style>
  <w:style w:type="character" w:customStyle="1" w:styleId="27">
    <w:name w:val="正文文本 字符"/>
    <w:basedOn w:val="16"/>
    <w:link w:val="2"/>
    <w:qFormat/>
    <w:uiPriority w:val="0"/>
    <w:rPr>
      <w:rFonts w:ascii="Times New Roman" w:hAnsi="Times New Roman" w:eastAsia="宋体" w:cs="Times New Roman"/>
      <w:szCs w:val="24"/>
    </w:rPr>
  </w:style>
  <w:style w:type="paragraph" w:customStyle="1" w:styleId="28">
    <w:name w:val="列出段落"/>
    <w:basedOn w:val="1"/>
    <w:qFormat/>
    <w:uiPriority w:val="0"/>
    <w:pPr>
      <w:ind w:firstLine="420" w:firstLineChars="200"/>
    </w:pPr>
    <w:rPr>
      <w:rFonts w:ascii="Calibri" w:hAnsi="Calibri"/>
      <w:szCs w:val="22"/>
    </w:rPr>
  </w:style>
  <w:style w:type="paragraph" w:styleId="29">
    <w:name w:val="List Paragraph"/>
    <w:basedOn w:val="1"/>
    <w:unhideWhenUsed/>
    <w:qFormat/>
    <w:uiPriority w:val="99"/>
    <w:pPr>
      <w:ind w:firstLine="420" w:firstLineChars="200"/>
    </w:pPr>
  </w:style>
  <w:style w:type="character" w:customStyle="1" w:styleId="30">
    <w:name w:val="font71"/>
    <w:basedOn w:val="16"/>
    <w:qFormat/>
    <w:uiPriority w:val="0"/>
    <w:rPr>
      <w:rFonts w:hint="eastAsia" w:ascii="宋体" w:hAnsi="宋体" w:eastAsia="宋体" w:cs="宋体"/>
      <w:color w:val="000000"/>
      <w:sz w:val="19"/>
      <w:szCs w:val="19"/>
      <w:u w:val="none"/>
    </w:rPr>
  </w:style>
  <w:style w:type="character" w:customStyle="1" w:styleId="31">
    <w:name w:val="font121"/>
    <w:basedOn w:val="16"/>
    <w:qFormat/>
    <w:uiPriority w:val="0"/>
    <w:rPr>
      <w:rFonts w:hint="eastAsia" w:ascii="宋体" w:hAnsi="宋体" w:eastAsia="宋体" w:cs="宋体"/>
      <w:color w:val="000000"/>
      <w:sz w:val="19"/>
      <w:szCs w:val="19"/>
      <w:u w:val="none"/>
      <w:vertAlign w:val="superscript"/>
    </w:rPr>
  </w:style>
  <w:style w:type="character" w:customStyle="1" w:styleId="32">
    <w:name w:val="font131"/>
    <w:basedOn w:val="16"/>
    <w:qFormat/>
    <w:uiPriority w:val="0"/>
    <w:rPr>
      <w:rFonts w:hint="eastAsia" w:ascii="宋体" w:hAnsi="宋体" w:eastAsia="宋体" w:cs="宋体"/>
      <w:color w:val="000000"/>
      <w:sz w:val="19"/>
      <w:szCs w:val="19"/>
      <w:u w:val="none"/>
      <w:vertAlign w:val="subscript"/>
    </w:rPr>
  </w:style>
  <w:style w:type="character" w:customStyle="1" w:styleId="33">
    <w:name w:val="font61"/>
    <w:basedOn w:val="16"/>
    <w:qFormat/>
    <w:uiPriority w:val="0"/>
    <w:rPr>
      <w:rFonts w:hint="eastAsia" w:ascii="宋体" w:hAnsi="宋体" w:eastAsia="宋体" w:cs="宋体"/>
      <w:color w:val="000000"/>
      <w:sz w:val="18"/>
      <w:szCs w:val="18"/>
      <w:u w:val="none"/>
    </w:rPr>
  </w:style>
  <w:style w:type="character" w:customStyle="1" w:styleId="34">
    <w:name w:val="font51"/>
    <w:basedOn w:val="16"/>
    <w:qFormat/>
    <w:uiPriority w:val="0"/>
    <w:rPr>
      <w:rFonts w:hint="default" w:ascii="Times New Roman" w:hAnsi="Times New Roman" w:cs="Times New Roman"/>
      <w:color w:val="000000"/>
      <w:sz w:val="18"/>
      <w:szCs w:val="18"/>
      <w:u w:val="none"/>
    </w:rPr>
  </w:style>
  <w:style w:type="character" w:customStyle="1" w:styleId="35">
    <w:name w:val="font112"/>
    <w:basedOn w:val="16"/>
    <w:qFormat/>
    <w:uiPriority w:val="0"/>
    <w:rPr>
      <w:rFonts w:hint="eastAsia" w:ascii="宋体" w:hAnsi="宋体" w:eastAsia="宋体" w:cs="宋体"/>
      <w:color w:val="000000"/>
      <w:sz w:val="20"/>
      <w:szCs w:val="20"/>
      <w:u w:val="none"/>
    </w:rPr>
  </w:style>
  <w:style w:type="character" w:customStyle="1" w:styleId="36">
    <w:name w:val="font141"/>
    <w:basedOn w:val="16"/>
    <w:qFormat/>
    <w:uiPriority w:val="0"/>
    <w:rPr>
      <w:rFonts w:hint="default" w:ascii="Times New Roman" w:hAnsi="Times New Roman" w:cs="Times New Roman"/>
      <w:color w:val="000000"/>
      <w:sz w:val="18"/>
      <w:szCs w:val="18"/>
      <w:u w:val="none"/>
    </w:rPr>
  </w:style>
  <w:style w:type="character" w:customStyle="1" w:styleId="37">
    <w:name w:val="font31"/>
    <w:basedOn w:val="16"/>
    <w:qFormat/>
    <w:uiPriority w:val="0"/>
    <w:rPr>
      <w:rFonts w:hint="eastAsia" w:ascii="宋体" w:hAnsi="宋体" w:eastAsia="宋体" w:cs="宋体"/>
      <w:color w:val="000000"/>
      <w:sz w:val="18"/>
      <w:szCs w:val="18"/>
      <w:u w:val="none"/>
    </w:rPr>
  </w:style>
  <w:style w:type="character" w:customStyle="1" w:styleId="38">
    <w:name w:val="font101"/>
    <w:basedOn w:val="16"/>
    <w:qFormat/>
    <w:uiPriority w:val="0"/>
    <w:rPr>
      <w:rFonts w:hint="eastAsia" w:ascii="宋体" w:hAnsi="宋体" w:eastAsia="宋体" w:cs="宋体"/>
      <w:color w:val="000000"/>
      <w:sz w:val="19"/>
      <w:szCs w:val="19"/>
      <w:u w:val="none"/>
      <w:vertAlign w:val="superscript"/>
    </w:rPr>
  </w:style>
  <w:style w:type="character" w:customStyle="1" w:styleId="39">
    <w:name w:val="font111"/>
    <w:basedOn w:val="16"/>
    <w:qFormat/>
    <w:uiPriority w:val="0"/>
    <w:rPr>
      <w:rFonts w:ascii="汉仪中等线B5" w:hAnsi="汉仪中等线B5" w:eastAsia="汉仪中等线B5" w:cs="汉仪中等线B5"/>
      <w:color w:val="000000"/>
      <w:sz w:val="19"/>
      <w:szCs w:val="19"/>
      <w:u w:val="none"/>
    </w:rPr>
  </w:style>
  <w:style w:type="character" w:customStyle="1" w:styleId="40">
    <w:name w:val="font122"/>
    <w:basedOn w:val="16"/>
    <w:qFormat/>
    <w:uiPriority w:val="0"/>
    <w:rPr>
      <w:rFonts w:ascii="Calibri" w:hAnsi="Calibri" w:cs="Calibri"/>
      <w:color w:val="000000"/>
      <w:sz w:val="19"/>
      <w:szCs w:val="19"/>
      <w:u w:val="none"/>
    </w:rPr>
  </w:style>
  <w:style w:type="character" w:customStyle="1" w:styleId="41">
    <w:name w:val="font151"/>
    <w:basedOn w:val="16"/>
    <w:qFormat/>
    <w:uiPriority w:val="0"/>
    <w:rPr>
      <w:rFonts w:hint="default" w:ascii="Times New Roman" w:hAnsi="Times New Roman" w:cs="Times New Roman"/>
      <w:color w:val="000000"/>
      <w:sz w:val="18"/>
      <w:szCs w:val="18"/>
      <w:u w:val="none"/>
      <w:vertAlign w:val="subscript"/>
    </w:rPr>
  </w:style>
  <w:style w:type="character" w:customStyle="1" w:styleId="42">
    <w:name w:val="font81"/>
    <w:basedOn w:val="16"/>
    <w:qFormat/>
    <w:uiPriority w:val="0"/>
    <w:rPr>
      <w:rFonts w:hint="eastAsia" w:ascii="宋体" w:hAnsi="宋体" w:eastAsia="宋体" w:cs="宋体"/>
      <w:color w:val="000000"/>
      <w:sz w:val="18"/>
      <w:szCs w:val="18"/>
      <w:u w:val="none"/>
    </w:rPr>
  </w:style>
  <w:style w:type="character" w:customStyle="1" w:styleId="43">
    <w:name w:val="font161"/>
    <w:basedOn w:val="16"/>
    <w:qFormat/>
    <w:uiPriority w:val="0"/>
    <w:rPr>
      <w:rFonts w:hint="default" w:ascii="Times New Roman" w:hAnsi="Times New Roman" w:cs="Times New Roman"/>
      <w:color w:val="000000"/>
      <w:sz w:val="18"/>
      <w:szCs w:val="18"/>
      <w:u w:val="none"/>
      <w:vertAlign w:val="superscript"/>
    </w:rPr>
  </w:style>
  <w:style w:type="character" w:customStyle="1" w:styleId="44">
    <w:name w:val="font171"/>
    <w:basedOn w:val="16"/>
    <w:qFormat/>
    <w:uiPriority w:val="0"/>
    <w:rPr>
      <w:rFonts w:ascii="Segoe UI Symbol" w:hAnsi="Segoe UI Symbol" w:eastAsia="Segoe UI Symbol" w:cs="Segoe UI Symbol"/>
      <w:color w:val="000000"/>
      <w:sz w:val="18"/>
      <w:szCs w:val="18"/>
      <w:u w:val="none"/>
    </w:rPr>
  </w:style>
  <w:style w:type="character" w:customStyle="1" w:styleId="45">
    <w:name w:val="font9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2418</Words>
  <Characters>13786</Characters>
  <Lines>114</Lines>
  <Paragraphs>32</Paragraphs>
  <TotalTime>39</TotalTime>
  <ScaleCrop>false</ScaleCrop>
  <LinksUpToDate>false</LinksUpToDate>
  <CharactersWithSpaces>16172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2023-05-26T00:56:00Z</dcterms:created>
  <dc:creator>YuanauyiQ</dc:creator>
  <cp:lastModifiedBy>szj</cp:lastModifiedBy>
  <cp:lastPrinted>2024-05-12T18:33:00Z</cp:lastPrinted>
  <dcterms:modified xsi:type="dcterms:W3CDTF">2024-06-05T10:06:39Z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B04013E8EAEC489A9D277954A8A147A8_13</vt:lpwstr>
  </property>
  <property fmtid="{D5CDD505-2E9C-101B-9397-08002B2CF9AE}" pid="4" name="ribbonExt">
    <vt:lpwstr>{"WPSExtOfficeTab":{"OnGetEnabled":false,"OnGetVisible":false}}</vt:lpwstr>
  </property>
</Properties>
</file>