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rPr>
          <w:rFonts w:hint="eastAsia" w:ascii="黑体" w:hAnsi="黑体" w:eastAsia="黑体" w:cs="仿宋_GB2312"/>
          <w:b w:val="0"/>
          <w:bCs/>
          <w:sz w:val="24"/>
          <w:szCs w:val="24"/>
          <w:lang w:val="en-US" w:eastAsia="zh-CN"/>
        </w:rPr>
      </w:pPr>
      <w:r>
        <w:rPr>
          <w:rFonts w:hint="eastAsia" w:ascii="黑体" w:hAnsi="黑体" w:eastAsia="黑体" w:cs="仿宋_GB2312"/>
          <w:b w:val="0"/>
          <w:bCs/>
          <w:sz w:val="24"/>
          <w:szCs w:val="24"/>
          <w:lang w:eastAsia="zh-CN"/>
        </w:rPr>
        <w:t>附件</w:t>
      </w:r>
      <w:r>
        <w:rPr>
          <w:rFonts w:hint="eastAsia" w:ascii="黑体" w:hAnsi="黑体" w:eastAsia="黑体" w:cs="仿宋_GB2312"/>
          <w:b w:val="0"/>
          <w:bCs/>
          <w:sz w:val="24"/>
          <w:szCs w:val="24"/>
          <w:lang w:val="en-US" w:eastAsia="zh-CN"/>
        </w:rPr>
        <w:t>2</w:t>
      </w:r>
    </w:p>
    <w:p>
      <w:pPr>
        <w:tabs>
          <w:tab w:val="left" w:pos="1620"/>
        </w:tabs>
        <w:rPr>
          <w:rFonts w:hint="eastAsia" w:ascii="黑体" w:hAnsi="黑体" w:eastAsia="黑体" w:cs="仿宋_GB2312"/>
          <w:b w:val="0"/>
          <w:bCs/>
          <w:sz w:val="24"/>
          <w:szCs w:val="24"/>
          <w:lang w:val="en-US" w:eastAsia="zh-CN"/>
        </w:r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r>
        <w:rPr>
          <w:rFonts w:hint="eastAsia" w:ascii="方正小标宋简体" w:hAnsi="方正小标宋简体" w:eastAsia="方正小标宋简体"/>
          <w:b w:val="0"/>
          <w:bCs/>
          <w:sz w:val="44"/>
          <w:szCs w:val="44"/>
          <w:lang w:eastAsia="zh-CN"/>
        </w:rPr>
        <w:t>拟录入房屋建筑和市政基础设施工程施工图设计文件审查机构名录的企业情况表</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p>
    <w:tbl>
      <w:tblPr>
        <w:tblStyle w:val="11"/>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875"/>
        <w:gridCol w:w="3777"/>
        <w:gridCol w:w="3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0" w:type="dxa"/>
            <w:vAlign w:val="center"/>
          </w:tcPr>
          <w:p>
            <w:pPr>
              <w:tabs>
                <w:tab w:val="left" w:pos="1620"/>
              </w:tabs>
              <w:ind w:left="0" w:leftChars="0" w:right="0" w:rightChars="0" w:firstLine="0" w:firstLineChars="0"/>
              <w:jc w:val="center"/>
              <w:rPr>
                <w:rFonts w:hint="eastAsia" w:ascii="黑体" w:hAnsi="黑体" w:eastAsia="黑体" w:cs="黑体"/>
                <w:b w:val="0"/>
                <w:bCs/>
                <w:color w:val="auto"/>
                <w:sz w:val="24"/>
                <w:szCs w:val="24"/>
                <w:lang w:eastAsia="zh-CN"/>
              </w:rPr>
            </w:pPr>
            <w:r>
              <w:rPr>
                <w:rFonts w:hint="eastAsia" w:ascii="黑体" w:hAnsi="黑体" w:eastAsia="黑体" w:cs="黑体"/>
                <w:b w:val="0"/>
                <w:bCs/>
                <w:color w:val="auto"/>
                <w:sz w:val="21"/>
                <w:szCs w:val="21"/>
                <w:lang w:eastAsia="zh-CN"/>
              </w:rPr>
              <w:t>序号</w:t>
            </w:r>
          </w:p>
        </w:tc>
        <w:tc>
          <w:tcPr>
            <w:tcW w:w="1875"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lang w:eastAsia="zh-CN"/>
              </w:rPr>
              <w:t>机构名称</w:t>
            </w:r>
          </w:p>
        </w:tc>
        <w:tc>
          <w:tcPr>
            <w:tcW w:w="3777"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已备案事项</w:t>
            </w:r>
          </w:p>
        </w:tc>
        <w:tc>
          <w:tcPr>
            <w:tcW w:w="3791"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廉江市建筑工程施工图设计文件审查中心</w:t>
            </w:r>
          </w:p>
        </w:tc>
        <w:tc>
          <w:tcPr>
            <w:tcW w:w="3777" w:type="dxa"/>
            <w:vAlign w:val="center"/>
          </w:tcPr>
          <w:p>
            <w:pPr>
              <w:snapToGrid w:val="0"/>
              <w:jc w:val="both"/>
              <w:rPr>
                <w:rFonts w:hint="default" w:ascii="仿宋_GB2312" w:hAnsi="仿宋_GB2312" w:eastAsia="仿宋_GB2312" w:cs="仿宋_GB2312"/>
                <w:b w:val="0"/>
                <w:bCs w:val="0"/>
                <w:color w:val="auto"/>
                <w:kern w:val="0"/>
                <w:sz w:val="24"/>
                <w:szCs w:val="24"/>
                <w:lang w:val="en-US" w:eastAsia="zh-CN"/>
              </w:rPr>
            </w:pPr>
            <w:r>
              <w:rPr>
                <w:rFonts w:hint="default" w:ascii="仿宋_GB2312" w:hAnsi="仿宋_GB2312" w:eastAsia="仿宋_GB2312" w:cs="仿宋_GB2312"/>
                <w:b w:val="0"/>
                <w:bCs w:val="0"/>
                <w:color w:val="auto"/>
                <w:kern w:val="0"/>
                <w:sz w:val="24"/>
                <w:szCs w:val="24"/>
                <w:lang w:val="en-US" w:eastAsia="zh-CN"/>
              </w:rPr>
              <w:t>二类 房屋建筑（不含超限高层）工程；二类 市政基础设施（给水、排水、道路、桥梁、风景园林）工程</w:t>
            </w:r>
          </w:p>
        </w:tc>
        <w:tc>
          <w:tcPr>
            <w:tcW w:w="3791" w:type="dxa"/>
            <w:vAlign w:val="center"/>
          </w:tcPr>
          <w:p>
            <w:pPr>
              <w:snapToGrid w:val="0"/>
              <w:jc w:val="both"/>
              <w:rPr>
                <w:rFonts w:hint="eastAsia" w:ascii="仿宋_GB2312" w:hAnsi="仿宋_GB2312" w:eastAsia="仿宋_GB2312" w:cs="仿宋_GB2312"/>
                <w:b w:val="0"/>
                <w:bCs w:val="0"/>
                <w:color w:val="auto"/>
                <w:kern w:val="0"/>
                <w:sz w:val="24"/>
                <w:szCs w:val="24"/>
                <w:lang w:val="en-US" w:eastAsia="zh-CN"/>
              </w:rPr>
            </w:pPr>
            <w:r>
              <w:rPr>
                <w:rFonts w:hint="default" w:ascii="仿宋_GB2312" w:hAnsi="仿宋_GB2312" w:eastAsia="仿宋_GB2312" w:cs="仿宋_GB2312"/>
                <w:b/>
                <w:bCs/>
                <w:color w:val="auto"/>
                <w:kern w:val="0"/>
                <w:sz w:val="24"/>
                <w:szCs w:val="24"/>
                <w:lang w:val="en-US" w:eastAsia="zh-CN"/>
              </w:rPr>
              <w:t>延续：</w:t>
            </w:r>
            <w:r>
              <w:rPr>
                <w:rFonts w:hint="default" w:ascii="仿宋_GB2312" w:hAnsi="仿宋_GB2312" w:eastAsia="仿宋_GB2312" w:cs="仿宋_GB2312"/>
                <w:b w:val="0"/>
                <w:bCs w:val="0"/>
                <w:color w:val="auto"/>
                <w:kern w:val="0"/>
                <w:sz w:val="24"/>
                <w:szCs w:val="24"/>
                <w:lang w:val="en-US" w:eastAsia="zh-CN"/>
              </w:rPr>
              <w:t>二类 房屋建筑（不含超限高层）工程；二类 市政基础设施（给水、排水、道路、桥梁、风景园林）工程</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广东建科施工图审查有限公司</w:t>
            </w:r>
          </w:p>
        </w:tc>
        <w:tc>
          <w:tcPr>
            <w:tcW w:w="3777"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hAnsi="仿宋_GB2312" w:eastAsia="仿宋_GB2312" w:cs="仿宋_GB2312"/>
                <w:b w:val="0"/>
                <w:bCs w:val="0"/>
                <w:color w:val="auto"/>
                <w:kern w:val="0"/>
                <w:sz w:val="24"/>
                <w:szCs w:val="24"/>
                <w:lang w:val="en-US" w:eastAsia="zh-CN"/>
              </w:rPr>
              <w:t>一类 房屋建筑（含超限高层）工程；二类 市政基础设施（道路、桥梁、隧道、公共交通、风景园林）工程</w:t>
            </w:r>
          </w:p>
        </w:tc>
        <w:tc>
          <w:tcPr>
            <w:tcW w:w="3791" w:type="dxa"/>
            <w:vAlign w:val="center"/>
          </w:tcPr>
          <w:p>
            <w:pPr>
              <w:snapToGrid w:val="0"/>
              <w:jc w:val="both"/>
              <w:rPr>
                <w:rFonts w:hint="eastAsia" w:ascii="仿宋_GB2312" w:hAnsi="仿宋_GB2312" w:eastAsia="仿宋_GB2312" w:cs="仿宋_GB2312"/>
                <w:b w:val="0"/>
                <w:bCs w:val="0"/>
                <w:color w:val="auto"/>
                <w:kern w:val="0"/>
                <w:sz w:val="24"/>
                <w:szCs w:val="24"/>
                <w:lang w:val="en-US" w:eastAsia="zh-CN"/>
              </w:rPr>
            </w:pPr>
            <w:r>
              <w:rPr>
                <w:rFonts w:hint="eastAsia" w:ascii="仿宋_GB2312" w:eastAsia="仿宋_GB2312"/>
                <w:b/>
                <w:bCs/>
                <w:sz w:val="24"/>
                <w:szCs w:val="24"/>
                <w:lang w:val="en-US" w:eastAsia="zh-CN"/>
              </w:rPr>
              <w:t>延续：</w:t>
            </w:r>
            <w:r>
              <w:rPr>
                <w:rFonts w:hint="eastAsia" w:ascii="仿宋_GB2312" w:hAnsi="仿宋_GB2312" w:eastAsia="仿宋_GB2312" w:cs="仿宋_GB2312"/>
                <w:b w:val="0"/>
                <w:bCs w:val="0"/>
                <w:color w:val="auto"/>
                <w:kern w:val="0"/>
                <w:sz w:val="24"/>
                <w:szCs w:val="24"/>
                <w:lang w:val="en-US" w:eastAsia="zh-CN"/>
              </w:rPr>
              <w:t>一类 房屋建筑（含超限高层）工程；</w:t>
            </w:r>
          </w:p>
          <w:p>
            <w:pPr>
              <w:snapToGrid w:val="0"/>
              <w:jc w:val="both"/>
              <w:rPr>
                <w:rFonts w:hint="eastAsia" w:ascii="仿宋_GB2312" w:hAnsi="宋体" w:eastAsia="仿宋_GB2312" w:cs="宋体"/>
                <w:b/>
                <w:bCs/>
                <w:sz w:val="24"/>
                <w:szCs w:val="24"/>
                <w:lang w:val="en-US" w:eastAsia="zh-CN"/>
              </w:rPr>
            </w:pPr>
            <w:r>
              <w:rPr>
                <w:rFonts w:hint="eastAsia" w:ascii="仿宋_GB2312" w:eastAsia="仿宋_GB2312"/>
                <w:b/>
                <w:bCs/>
                <w:sz w:val="24"/>
                <w:szCs w:val="24"/>
                <w:lang w:val="en-US" w:eastAsia="zh-CN"/>
              </w:rPr>
              <w:t>升类：</w:t>
            </w:r>
            <w:r>
              <w:rPr>
                <w:rFonts w:hint="eastAsia" w:ascii="仿宋_GB2312" w:hAnsi="仿宋_GB2312" w:eastAsia="仿宋_GB2312" w:cs="仿宋_GB2312"/>
                <w:b w:val="0"/>
                <w:bCs w:val="0"/>
                <w:color w:val="auto"/>
                <w:kern w:val="0"/>
                <w:sz w:val="24"/>
                <w:szCs w:val="24"/>
                <w:lang w:val="en-US" w:eastAsia="zh-CN"/>
              </w:rPr>
              <w:t>一类 市政基础设施（道路、桥梁、隧道、公共交通、风景园林）工程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汕尾市公信建设工程设计审查有限公司</w:t>
            </w:r>
          </w:p>
        </w:tc>
        <w:tc>
          <w:tcPr>
            <w:tcW w:w="3777"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eastAsia="仿宋_GB2312"/>
                <w:b w:val="0"/>
                <w:bCs w:val="0"/>
                <w:sz w:val="24"/>
                <w:szCs w:val="24"/>
                <w:lang w:val="en-US" w:eastAsia="zh-CN"/>
              </w:rPr>
              <w:t>一类 房屋建筑（不含超限高层）工程；一类 市政基础设施（道路、桥梁、隧道、风景园林）工程</w:t>
            </w:r>
          </w:p>
        </w:tc>
        <w:tc>
          <w:tcPr>
            <w:tcW w:w="3791" w:type="dxa"/>
            <w:vAlign w:val="center"/>
          </w:tcPr>
          <w:p>
            <w:pPr>
              <w:snapToGrid w:val="0"/>
              <w:jc w:val="both"/>
              <w:rPr>
                <w:rFonts w:hint="eastAsia" w:ascii="仿宋_GB2312" w:eastAsia="仿宋_GB2312"/>
                <w:b/>
                <w:bCs/>
                <w:sz w:val="24"/>
                <w:szCs w:val="24"/>
                <w:lang w:val="en-US" w:eastAsia="zh-CN"/>
              </w:rPr>
            </w:pPr>
            <w:r>
              <w:rPr>
                <w:rFonts w:hint="eastAsia" w:ascii="仿宋_GB2312" w:eastAsia="仿宋_GB2312"/>
                <w:b/>
                <w:bCs/>
                <w:sz w:val="24"/>
                <w:szCs w:val="24"/>
                <w:lang w:val="en-US" w:eastAsia="zh-CN"/>
              </w:rPr>
              <w:t>延续：</w:t>
            </w:r>
            <w:r>
              <w:rPr>
                <w:rFonts w:hint="eastAsia" w:ascii="仿宋_GB2312" w:eastAsia="仿宋_GB2312"/>
                <w:b w:val="0"/>
                <w:bCs w:val="0"/>
                <w:sz w:val="24"/>
                <w:szCs w:val="24"/>
                <w:lang w:val="en-US" w:eastAsia="zh-CN"/>
              </w:rPr>
              <w:t>一类 房屋建筑（不含超限高层）工程；一类 市政基础设施（道路、桥梁、隧道、风景园林）工程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
              </w:rPr>
            </w:pPr>
            <w:bookmarkStart w:id="1" w:name="_GoBack" w:colFirst="2" w:colLast="2"/>
            <w:r>
              <w:rPr>
                <w:rFonts w:hint="eastAsia" w:ascii="仿宋_GB2312" w:hAnsi="仿宋_GB2312" w:eastAsia="仿宋_GB2312" w:cs="仿宋_GB2312"/>
                <w:color w:val="auto"/>
                <w:kern w:val="0"/>
                <w:sz w:val="24"/>
                <w:szCs w:val="24"/>
                <w:lang w:val="en-US" w:eastAsia="zh"/>
              </w:rPr>
              <w:t>4</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佛山德顺施工图审查有限公司</w:t>
            </w:r>
          </w:p>
        </w:tc>
        <w:tc>
          <w:tcPr>
            <w:tcW w:w="3777" w:type="dxa"/>
            <w:vAlign w:val="center"/>
          </w:tcPr>
          <w:p>
            <w:pPr>
              <w:snapToGrid w:val="0"/>
              <w:jc w:val="both"/>
              <w:rPr>
                <w:rFonts w:hint="default" w:ascii="仿宋_GB2312" w:hAnsi="Times New Roman" w:eastAsia="仿宋_GB2312" w:cs="Times New Roman"/>
                <w:b/>
                <w:bCs/>
                <w:sz w:val="24"/>
                <w:szCs w:val="24"/>
                <w:lang w:eastAsia="zh-CN"/>
              </w:rPr>
            </w:pPr>
            <w:r>
              <w:rPr>
                <w:rFonts w:hint="eastAsia" w:ascii="仿宋_GB2312" w:hAnsi="Times New Roman" w:eastAsia="仿宋_GB2312" w:cs="Times New Roman"/>
                <w:b w:val="0"/>
                <w:bCs w:val="0"/>
                <w:sz w:val="24"/>
                <w:szCs w:val="24"/>
                <w:lang w:val="en-US" w:eastAsia="zh-CN"/>
              </w:rPr>
              <w:t>一类 房屋建筑（含超限高层）工程；一类 市政基础设施（道路、桥梁、隧道、风景园林）工程</w:t>
            </w:r>
            <w:r>
              <w:rPr>
                <w:rFonts w:hint="default" w:ascii="仿宋_GB2312" w:hAnsi="Times New Roman" w:eastAsia="仿宋_GB2312" w:cs="Times New Roman"/>
                <w:b w:val="0"/>
                <w:bCs w:val="0"/>
                <w:sz w:val="24"/>
                <w:szCs w:val="24"/>
                <w:lang w:eastAsia="zh-CN"/>
              </w:rPr>
              <w:t>；</w:t>
            </w:r>
          </w:p>
          <w:p>
            <w:pPr>
              <w:snapToGrid w:val="0"/>
              <w:jc w:val="both"/>
              <w:rPr>
                <w:rFonts w:hint="default" w:ascii="仿宋_GB2312" w:hAnsi="Times New Roman" w:eastAsia="仿宋_GB2312" w:cs="Times New Roman"/>
                <w:b w:val="0"/>
                <w:bCs w:val="0"/>
                <w:sz w:val="24"/>
                <w:szCs w:val="24"/>
                <w:lang w:eastAsia="zh-CN"/>
              </w:rPr>
            </w:pPr>
            <w:r>
              <w:rPr>
                <w:rFonts w:hint="eastAsia" w:ascii="仿宋_GB2312" w:hAnsi="Times New Roman" w:eastAsia="仿宋_GB2312" w:cs="Times New Roman"/>
                <w:b w:val="0"/>
                <w:bCs w:val="0"/>
                <w:sz w:val="24"/>
                <w:szCs w:val="24"/>
                <w:lang w:val="en-US" w:eastAsia="zh-CN"/>
              </w:rPr>
              <w:t>二</w:t>
            </w:r>
            <w:r>
              <w:rPr>
                <w:rFonts w:hint="eastAsia" w:ascii="仿宋_GB2312" w:hAnsi="Times New Roman" w:eastAsia="仿宋_GB2312" w:cs="Times New Roman"/>
                <w:b w:val="0"/>
                <w:bCs w:val="0"/>
                <w:sz w:val="24"/>
                <w:szCs w:val="24"/>
                <w:lang w:val="en-US" w:eastAsia="zh-CN"/>
              </w:rPr>
              <w:t>类 市政基础设施（燃气、热力）工程</w:t>
            </w:r>
            <w:r>
              <w:rPr>
                <w:rFonts w:hint="default" w:ascii="仿宋_GB2312" w:hAnsi="Times New Roman" w:eastAsia="仿宋_GB2312" w:cs="Times New Roman"/>
                <w:b w:val="0"/>
                <w:bCs w:val="0"/>
                <w:sz w:val="24"/>
                <w:szCs w:val="24"/>
                <w:lang w:eastAsia="zh-CN"/>
              </w:rPr>
              <w:t>；</w:t>
            </w:r>
          </w:p>
          <w:p>
            <w:pPr>
              <w:snapToGrid w:val="0"/>
              <w:jc w:val="both"/>
              <w:rPr>
                <w:rFonts w:hint="eastAsia" w:ascii="仿宋_GB2312" w:hAnsi="Times New Roman" w:eastAsia="仿宋_GB2312" w:cs="Times New Roman"/>
                <w:b/>
                <w:bCs/>
                <w:sz w:val="24"/>
                <w:szCs w:val="24"/>
                <w:lang w:val="en-US" w:eastAsia="zh-CN"/>
              </w:rPr>
            </w:pPr>
          </w:p>
        </w:tc>
        <w:tc>
          <w:tcPr>
            <w:tcW w:w="3791" w:type="dxa"/>
            <w:vAlign w:val="center"/>
          </w:tcPr>
          <w:p>
            <w:pPr>
              <w:snapToGrid w:val="0"/>
              <w:jc w:val="both"/>
              <w:rPr>
                <w:rFonts w:hint="default" w:ascii="仿宋_GB2312" w:hAnsi="Times New Roman" w:eastAsia="仿宋_GB2312" w:cs="Times New Roman"/>
                <w:b/>
                <w:bCs/>
                <w:sz w:val="24"/>
                <w:szCs w:val="24"/>
                <w:lang w:eastAsia="zh-CN"/>
              </w:rPr>
            </w:pPr>
            <w:r>
              <w:rPr>
                <w:rFonts w:hint="eastAsia" w:ascii="仿宋_GB2312" w:hAnsi="Times New Roman" w:eastAsia="仿宋_GB2312" w:cs="Times New Roman"/>
                <w:b/>
                <w:bCs/>
                <w:sz w:val="24"/>
                <w:szCs w:val="24"/>
                <w:lang w:val="en-US" w:eastAsia="zh-CN"/>
              </w:rPr>
              <w:t>延续：</w:t>
            </w:r>
            <w:r>
              <w:rPr>
                <w:rFonts w:hint="eastAsia" w:ascii="仿宋_GB2312" w:hAnsi="Times New Roman" w:eastAsia="仿宋_GB2312" w:cs="Times New Roman"/>
                <w:b w:val="0"/>
                <w:bCs w:val="0"/>
                <w:sz w:val="24"/>
                <w:szCs w:val="24"/>
                <w:lang w:val="en-US" w:eastAsia="zh-CN"/>
              </w:rPr>
              <w:t>一类 房屋建筑（含超限高层）工程；一类 市政基础设施（道路、桥梁、隧道、风景园林）工程</w:t>
            </w:r>
            <w:r>
              <w:rPr>
                <w:rFonts w:hint="default" w:ascii="仿宋_GB2312" w:hAnsi="Times New Roman" w:eastAsia="仿宋_GB2312" w:cs="Times New Roman"/>
                <w:b w:val="0"/>
                <w:bCs w:val="0"/>
                <w:sz w:val="24"/>
                <w:szCs w:val="24"/>
                <w:lang w:eastAsia="zh-CN"/>
              </w:rPr>
              <w:t>；</w:t>
            </w:r>
          </w:p>
          <w:p>
            <w:pPr>
              <w:snapToGrid w:val="0"/>
              <w:jc w:val="both"/>
              <w:rPr>
                <w:rFonts w:hint="default" w:ascii="仿宋_GB2312" w:hAnsi="Times New Roman" w:eastAsia="仿宋_GB2312" w:cs="Times New Roman"/>
                <w:b w:val="0"/>
                <w:bCs w:val="0"/>
                <w:sz w:val="24"/>
                <w:szCs w:val="24"/>
                <w:lang w:eastAsia="zh-CN"/>
              </w:rPr>
            </w:pPr>
            <w:r>
              <w:rPr>
                <w:rFonts w:hint="eastAsia" w:ascii="仿宋_GB2312" w:hAnsi="Times New Roman" w:eastAsia="仿宋_GB2312" w:cs="Times New Roman"/>
                <w:b/>
                <w:bCs/>
                <w:sz w:val="24"/>
                <w:szCs w:val="24"/>
                <w:lang w:val="en-US" w:eastAsia="zh-CN"/>
              </w:rPr>
              <w:t>升类：</w:t>
            </w:r>
            <w:r>
              <w:rPr>
                <w:rFonts w:hint="eastAsia" w:ascii="仿宋_GB2312" w:hAnsi="Times New Roman" w:eastAsia="仿宋_GB2312" w:cs="Times New Roman"/>
                <w:b w:val="0"/>
                <w:bCs w:val="0"/>
                <w:sz w:val="24"/>
                <w:szCs w:val="24"/>
                <w:lang w:val="en-US" w:eastAsia="zh-CN"/>
              </w:rPr>
              <w:t>一类 市政基础设施（燃气、热力）工程</w:t>
            </w:r>
            <w:r>
              <w:rPr>
                <w:rFonts w:hint="default" w:ascii="仿宋_GB2312" w:hAnsi="Times New Roman" w:eastAsia="仿宋_GB2312" w:cs="Times New Roman"/>
                <w:b w:val="0"/>
                <w:bCs w:val="0"/>
                <w:sz w:val="24"/>
                <w:szCs w:val="24"/>
                <w:lang w:eastAsia="zh-CN"/>
              </w:rPr>
              <w:t>；</w:t>
            </w:r>
          </w:p>
          <w:p>
            <w:pPr>
              <w:snapToGrid w:val="0"/>
              <w:jc w:val="both"/>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增项：</w:t>
            </w:r>
            <w:r>
              <w:rPr>
                <w:rFonts w:hint="eastAsia" w:ascii="仿宋_GB2312" w:hAnsi="Times New Roman" w:eastAsia="仿宋_GB2312" w:cs="Times New Roman"/>
                <w:b w:val="0"/>
                <w:bCs w:val="0"/>
                <w:sz w:val="24"/>
                <w:szCs w:val="24"/>
                <w:lang w:val="en-US" w:eastAsia="zh-CN"/>
              </w:rPr>
              <w:t>一类 市政基础设施（公共交通）工程</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40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11"/>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3902"/>
        <w:gridCol w:w="1756"/>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3902" w:type="dxa"/>
            <w:noWrap w:val="0"/>
            <w:vAlign w:val="center"/>
          </w:tcPr>
          <w:p>
            <w:pPr>
              <w:rPr>
                <w:rFonts w:hint="eastAsia" w:ascii="宋体" w:hAnsi="宋体" w:eastAsia="宋体" w:cs="宋体"/>
                <w:color w:val="auto"/>
                <w:szCs w:val="21"/>
                <w:lang w:val="en-US" w:eastAsia="zh-CN"/>
              </w:rPr>
            </w:pPr>
            <w:r>
              <w:rPr>
                <w:rFonts w:hint="eastAsia"/>
              </w:rPr>
              <w:t>廉江市建筑工程施工图设计文件审查中心</w:t>
            </w:r>
          </w:p>
        </w:tc>
        <w:tc>
          <w:tcPr>
            <w:tcW w:w="1756" w:type="dxa"/>
            <w:noWrap w:val="0"/>
            <w:vAlign w:val="center"/>
          </w:tcPr>
          <w:p>
            <w:pPr>
              <w:jc w:val="center"/>
              <w:rPr>
                <w:rFonts w:hint="eastAsia" w:ascii="宋体" w:hAnsi="宋体" w:eastAsia="宋体" w:cs="宋体"/>
                <w:color w:val="auto"/>
                <w:szCs w:val="21"/>
              </w:rPr>
            </w:pPr>
            <w:r>
              <w:rPr>
                <w:rFonts w:hint="eastAsia"/>
                <w:color w:val="auto"/>
              </w:rPr>
              <w:t>成立日期</w:t>
            </w:r>
          </w:p>
        </w:tc>
        <w:tc>
          <w:tcPr>
            <w:tcW w:w="2246" w:type="dxa"/>
            <w:noWrap w:val="0"/>
            <w:vAlign w:val="center"/>
          </w:tcPr>
          <w:p>
            <w:pPr>
              <w:jc w:val="center"/>
              <w:rPr>
                <w:rFonts w:hint="eastAsia" w:ascii="宋体" w:hAnsi="宋体" w:eastAsia="宋体" w:cs="宋体"/>
                <w:color w:val="auto"/>
                <w:sz w:val="18"/>
                <w:szCs w:val="18"/>
              </w:rPr>
            </w:pPr>
            <w:r>
              <w:rPr>
                <w:rFonts w:hint="eastAsia"/>
              </w:rPr>
              <w:t>2002年10月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3902" w:type="dxa"/>
            <w:noWrap w:val="0"/>
            <w:vAlign w:val="center"/>
          </w:tcPr>
          <w:p>
            <w:pPr>
              <w:rPr>
                <w:rFonts w:hint="eastAsia" w:ascii="宋体" w:hAnsi="宋体" w:eastAsia="宋体" w:cs="宋体"/>
                <w:color w:val="auto"/>
                <w:szCs w:val="21"/>
                <w:lang w:val="en-US" w:eastAsia="zh-CN"/>
              </w:rPr>
            </w:pPr>
            <w:r>
              <w:rPr>
                <w:rFonts w:hint="eastAsia"/>
              </w:rPr>
              <w:t>廉江市廉城塘山路65号</w:t>
            </w:r>
          </w:p>
        </w:tc>
        <w:tc>
          <w:tcPr>
            <w:tcW w:w="1756" w:type="dxa"/>
            <w:noWrap w:val="0"/>
            <w:vAlign w:val="center"/>
          </w:tcPr>
          <w:p>
            <w:pPr>
              <w:jc w:val="center"/>
              <w:rPr>
                <w:rFonts w:hint="eastAsia" w:ascii="宋体" w:hAnsi="宋体" w:eastAsia="宋体" w:cs="宋体"/>
                <w:color w:val="auto"/>
                <w:szCs w:val="21"/>
              </w:rPr>
            </w:pPr>
            <w:r>
              <w:rPr>
                <w:rFonts w:hint="eastAsia"/>
                <w:color w:val="auto"/>
              </w:rPr>
              <w:t>隶属地</w:t>
            </w:r>
          </w:p>
        </w:tc>
        <w:tc>
          <w:tcPr>
            <w:tcW w:w="2246" w:type="dxa"/>
            <w:noWrap w:val="0"/>
            <w:vAlign w:val="center"/>
          </w:tcPr>
          <w:p>
            <w:pPr>
              <w:jc w:val="center"/>
              <w:rPr>
                <w:rFonts w:hint="eastAsia" w:ascii="宋体" w:hAnsi="宋体" w:eastAsia="宋体" w:cs="宋体"/>
                <w:color w:val="auto"/>
                <w:szCs w:val="21"/>
              </w:rPr>
            </w:pPr>
            <w:r>
              <w:rPr>
                <w:rFonts w:hint="eastAsia"/>
              </w:rPr>
              <w:t>湛江市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3902" w:type="dxa"/>
            <w:noWrap w:val="0"/>
            <w:vAlign w:val="center"/>
          </w:tcPr>
          <w:p>
            <w:pPr>
              <w:rPr>
                <w:rFonts w:hint="eastAsia" w:asciiTheme="majorEastAsia" w:hAnsiTheme="majorEastAsia" w:eastAsiaTheme="majorEastAsia" w:cstheme="majorEastAsia"/>
              </w:rPr>
            </w:pPr>
            <w:r>
              <w:rPr>
                <w:rFonts w:hint="eastAsia"/>
              </w:rPr>
              <w:t>全民所有制企业</w:t>
            </w:r>
          </w:p>
        </w:tc>
        <w:tc>
          <w:tcPr>
            <w:tcW w:w="1756" w:type="dxa"/>
            <w:noWrap w:val="0"/>
            <w:vAlign w:val="center"/>
          </w:tcPr>
          <w:p>
            <w:pPr>
              <w:jc w:val="center"/>
              <w:rPr>
                <w:rFonts w:hint="eastAsia"/>
                <w:sz w:val="18"/>
                <w:szCs w:val="18"/>
                <w:highlight w:val="none"/>
              </w:rPr>
            </w:pPr>
            <w:r>
              <w:rPr>
                <w:rFonts w:hint="eastAsia"/>
                <w:sz w:val="18"/>
                <w:szCs w:val="18"/>
                <w:highlight w:val="none"/>
              </w:rPr>
              <w:t>统一社会</w:t>
            </w:r>
          </w:p>
          <w:p>
            <w:pPr>
              <w:jc w:val="center"/>
              <w:rPr>
                <w:rFonts w:hint="eastAsia" w:asciiTheme="majorEastAsia" w:hAnsiTheme="majorEastAsia" w:eastAsiaTheme="majorEastAsia" w:cstheme="majorEastAsia"/>
              </w:rPr>
            </w:pPr>
            <w:r>
              <w:rPr>
                <w:rFonts w:hint="eastAsia"/>
                <w:sz w:val="18"/>
                <w:szCs w:val="18"/>
                <w:highlight w:val="none"/>
              </w:rPr>
              <w:t>信用代码</w:t>
            </w:r>
          </w:p>
        </w:tc>
        <w:tc>
          <w:tcPr>
            <w:tcW w:w="2246" w:type="dxa"/>
            <w:noWrap w:val="0"/>
            <w:vAlign w:val="center"/>
          </w:tcPr>
          <w:p>
            <w:pPr>
              <w:jc w:val="center"/>
              <w:rPr>
                <w:rFonts w:hint="eastAsia" w:ascii="宋体" w:hAnsi="宋体" w:eastAsia="宋体" w:cs="Times New Roman"/>
                <w:szCs w:val="21"/>
              </w:rPr>
            </w:pPr>
            <w:r>
              <w:rPr>
                <w:rFonts w:hint="eastAsia"/>
              </w:rPr>
              <w:t>9144088174449439X4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rPr>
            </w:pPr>
            <w:r>
              <w:rPr>
                <w:rFonts w:hint="eastAsia"/>
              </w:rPr>
              <w:t>主管部门（举办单位）：廉江市住房和城乡建设局</w:t>
            </w:r>
          </w:p>
          <w:p>
            <w:pPr>
              <w:rPr>
                <w:rFonts w:hint="eastAsia" w:ascii="宋体" w:hAnsi="宋体" w:eastAsia="宋体" w:cs="宋体"/>
                <w:szCs w:val="21"/>
                <w:highlight w:val="none"/>
              </w:rPr>
            </w:pPr>
            <w:r>
              <w:rPr>
                <w:rFonts w:hint="eastAsia"/>
              </w:rPr>
              <w:t>联营人（股东）：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rPr>
            </w:pPr>
            <w:r>
              <w:rPr>
                <w:rFonts w:hint="eastAsia"/>
              </w:rPr>
              <w:t>二类 房屋建筑（不含超限高层）工程；</w:t>
            </w:r>
          </w:p>
          <w:p>
            <w:pPr>
              <w:tabs>
                <w:tab w:val="left" w:pos="6556"/>
              </w:tabs>
              <w:rPr>
                <w:rFonts w:hint="eastAsia"/>
                <w:lang w:eastAsia="zh-CN"/>
              </w:rPr>
            </w:pPr>
            <w:r>
              <w:rPr>
                <w:rFonts w:hint="eastAsia"/>
              </w:rPr>
              <w:t>二类 市政基础设施（给水、排水、道路、桥梁、风景园林）工程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3902" w:type="dxa"/>
            <w:noWrap w:val="0"/>
            <w:vAlign w:val="center"/>
          </w:tcPr>
          <w:p>
            <w:pPr>
              <w:rPr>
                <w:rFonts w:hint="eastAsia" w:asciiTheme="majorEastAsia" w:hAnsiTheme="majorEastAsia" w:eastAsiaTheme="majorEastAsia" w:cstheme="majorEastAsia"/>
              </w:rPr>
            </w:pPr>
            <w:r>
              <w:rPr>
                <w:rFonts w:hint="eastAsia" w:ascii="宋体" w:hAnsi="宋体"/>
              </w:rPr>
              <w:t>30</w:t>
            </w:r>
            <w:r>
              <w:rPr>
                <w:rFonts w:hint="eastAsia"/>
              </w:rPr>
              <w:t>人</w:t>
            </w:r>
          </w:p>
        </w:tc>
        <w:tc>
          <w:tcPr>
            <w:tcW w:w="1756" w:type="dxa"/>
            <w:noWrap w:val="0"/>
            <w:vAlign w:val="center"/>
          </w:tcPr>
          <w:p>
            <w:pPr>
              <w:jc w:val="center"/>
              <w:rPr>
                <w:rFonts w:hint="eastAsia" w:asciiTheme="majorEastAsia" w:hAnsiTheme="majorEastAsia" w:eastAsiaTheme="majorEastAsia" w:cstheme="majorEastAsia"/>
              </w:rPr>
            </w:pPr>
            <w:r>
              <w:rPr>
                <w:rFonts w:hint="eastAsia"/>
              </w:rPr>
              <w:t>审查人员数</w:t>
            </w:r>
          </w:p>
        </w:tc>
        <w:tc>
          <w:tcPr>
            <w:tcW w:w="2246" w:type="dxa"/>
            <w:noWrap w:val="0"/>
            <w:vAlign w:val="center"/>
          </w:tcPr>
          <w:p>
            <w:pPr>
              <w:jc w:val="both"/>
              <w:rPr>
                <w:rFonts w:hint="default" w:ascii="宋体" w:hAnsi="宋体"/>
                <w:lang w:val="en-US"/>
              </w:rPr>
            </w:pPr>
            <w:r>
              <w:rPr>
                <w:rFonts w:hint="eastAsia" w:ascii="宋体" w:hAnsi="宋体"/>
              </w:rPr>
              <w:t>22人/14人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3902" w:type="dxa"/>
            <w:noWrap w:val="0"/>
            <w:vAlign w:val="center"/>
          </w:tcPr>
          <w:p>
            <w:pPr>
              <w:rPr>
                <w:rFonts w:hint="eastAsia" w:asciiTheme="majorEastAsia" w:hAnsiTheme="majorEastAsia" w:eastAsiaTheme="majorEastAsia" w:cstheme="majorEastAsia"/>
              </w:rPr>
            </w:pPr>
            <w:r>
              <w:rPr>
                <w:rFonts w:hint="eastAsia"/>
              </w:rPr>
              <w:t>李超（主任）</w:t>
            </w:r>
          </w:p>
        </w:tc>
        <w:tc>
          <w:tcPr>
            <w:tcW w:w="175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行政负责人</w:t>
            </w:r>
          </w:p>
        </w:tc>
        <w:tc>
          <w:tcPr>
            <w:tcW w:w="2246" w:type="dxa"/>
            <w:noWrap w:val="0"/>
            <w:vAlign w:val="center"/>
          </w:tcPr>
          <w:p>
            <w:pPr>
              <w:rPr>
                <w:rFonts w:hint="eastAsia" w:ascii="宋体" w:hAnsi="宋体"/>
              </w:rPr>
            </w:pPr>
            <w:r>
              <w:rPr>
                <w:rFonts w:hint="eastAsia"/>
              </w:rPr>
              <w:t>李超（主任）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技术负责人</w:t>
            </w:r>
          </w:p>
        </w:tc>
        <w:tc>
          <w:tcPr>
            <w:tcW w:w="3902" w:type="dxa"/>
            <w:noWrap w:val="0"/>
            <w:vAlign w:val="center"/>
          </w:tcPr>
          <w:p>
            <w:pPr>
              <w:rPr>
                <w:rFonts w:hint="eastAsia" w:asciiTheme="majorEastAsia" w:hAnsiTheme="majorEastAsia" w:eastAsiaTheme="majorEastAsia" w:cstheme="majorEastAsia"/>
                <w:szCs w:val="21"/>
              </w:rPr>
            </w:pPr>
            <w:r>
              <w:rPr>
                <w:rFonts w:hint="eastAsia"/>
              </w:rPr>
              <w:t>刘传荣（总工程师）</w:t>
            </w:r>
          </w:p>
        </w:tc>
        <w:tc>
          <w:tcPr>
            <w:tcW w:w="175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szCs w:val="21"/>
              </w:rPr>
              <w:t>工作联系人</w:t>
            </w:r>
          </w:p>
        </w:tc>
        <w:tc>
          <w:tcPr>
            <w:tcW w:w="2246" w:type="dxa"/>
            <w:noWrap w:val="0"/>
            <w:vAlign w:val="center"/>
          </w:tcPr>
          <w:p>
            <w:pPr>
              <w:rPr>
                <w:rFonts w:hint="eastAsia" w:ascii="宋体" w:hAnsi="宋体"/>
                <w:lang w:eastAsia="zh-CN"/>
              </w:rPr>
            </w:pPr>
            <w:r>
              <w:rPr>
                <w:rFonts w:hint="eastAsia"/>
              </w:rPr>
              <w:t>李超（主任）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3902" w:type="dxa"/>
            <w:noWrap w:val="0"/>
            <w:vAlign w:val="center"/>
          </w:tcPr>
          <w:p>
            <w:pPr>
              <w:rPr>
                <w:rFonts w:hint="default" w:ascii="宋体" w:hAnsi="宋体" w:eastAsia="宋体" w:cs="宋体"/>
                <w:color w:val="auto"/>
                <w:szCs w:val="21"/>
                <w:lang w:val="en-US" w:eastAsia="zh-CN"/>
              </w:rPr>
            </w:pPr>
            <w:r>
              <w:rPr>
                <w:rFonts w:hint="eastAsia"/>
              </w:rPr>
              <w:t>广东省廉江市廉城塘山路65号</w:t>
            </w:r>
          </w:p>
        </w:tc>
        <w:tc>
          <w:tcPr>
            <w:tcW w:w="1756" w:type="dxa"/>
            <w:noWrap w:val="0"/>
            <w:vAlign w:val="center"/>
          </w:tcPr>
          <w:p>
            <w:pPr>
              <w:jc w:val="center"/>
              <w:rPr>
                <w:rFonts w:hint="eastAsia" w:ascii="宋体" w:hAnsi="宋体" w:eastAsia="宋体" w:cs="宋体"/>
                <w:color w:val="auto"/>
                <w:szCs w:val="21"/>
              </w:rPr>
            </w:pPr>
            <w:r>
              <w:rPr>
                <w:rFonts w:hint="eastAsia"/>
              </w:rPr>
              <w:t>邮政编码</w:t>
            </w:r>
          </w:p>
        </w:tc>
        <w:tc>
          <w:tcPr>
            <w:tcW w:w="2246" w:type="dxa"/>
            <w:noWrap w:val="0"/>
            <w:vAlign w:val="center"/>
          </w:tcPr>
          <w:p>
            <w:pPr>
              <w:jc w:val="both"/>
              <w:rPr>
                <w:rFonts w:hint="default" w:ascii="宋体" w:hAnsi="宋体" w:eastAsia="宋体" w:cs="宋体"/>
                <w:color w:val="auto"/>
                <w:szCs w:val="21"/>
                <w:lang w:val="en-US" w:eastAsia="zh-CN"/>
              </w:rPr>
            </w:pPr>
            <w:r>
              <w:rPr>
                <w:rFonts w:hint="eastAsia" w:ascii="宋体" w:hAnsi="宋体"/>
              </w:rPr>
              <w:t>524400</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廉江市建筑工程施工图设计文件审查中心</w:t>
      </w:r>
      <w:r>
        <w:rPr>
          <w:rFonts w:hint="eastAsia" w:ascii="方正小标宋简体" w:hAnsi="方正小标宋简体" w:eastAsia="方正小标宋简体"/>
          <w:b w:val="0"/>
          <w:bCs/>
          <w:sz w:val="44"/>
          <w:szCs w:val="44"/>
          <w:lang w:eastAsia="zh-CN"/>
        </w:rPr>
        <w:t>审查人员情况</w:t>
      </w:r>
    </w:p>
    <w:tbl>
      <w:tblPr>
        <w:tblStyle w:val="11"/>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2</w:t>
            </w:r>
            <w:r>
              <w:rPr>
                <w:rFonts w:hint="eastAsia" w:ascii="宋体" w:hAnsi="宋体"/>
                <w:b w:val="0"/>
                <w:bCs/>
                <w:sz w:val="18"/>
                <w:szCs w:val="18"/>
                <w:lang w:eastAsia="zh-CN"/>
              </w:rPr>
              <w:t>-</w:t>
            </w:r>
            <w:r>
              <w:rPr>
                <w:rFonts w:hint="eastAsia" w:ascii="宋体" w:hAnsi="宋体"/>
                <w:b w:val="0"/>
                <w:bCs/>
                <w:sz w:val="18"/>
                <w:szCs w:val="18"/>
              </w:rPr>
              <w:t>1</w:t>
            </w:r>
          </w:p>
        </w:tc>
        <w:tc>
          <w:tcPr>
            <w:tcW w:w="740"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3</w:t>
            </w:r>
            <w:r>
              <w:rPr>
                <w:rFonts w:hint="eastAsia" w:ascii="宋体" w:hAnsi="宋体"/>
                <w:b w:val="0"/>
                <w:bCs/>
                <w:sz w:val="18"/>
                <w:szCs w:val="18"/>
                <w:lang w:eastAsia="zh-CN"/>
              </w:rPr>
              <w:t>-</w:t>
            </w:r>
            <w:r>
              <w:rPr>
                <w:rFonts w:hint="eastAsia" w:ascii="宋体" w:hAnsi="宋体"/>
                <w:b w:val="0"/>
                <w:bCs/>
                <w:sz w:val="18"/>
                <w:szCs w:val="18"/>
              </w:rPr>
              <w:t>2</w:t>
            </w:r>
          </w:p>
        </w:tc>
        <w:tc>
          <w:tcPr>
            <w:tcW w:w="741" w:type="dxa"/>
            <w:noWrap w:val="0"/>
            <w:vAlign w:val="center"/>
          </w:tcPr>
          <w:p>
            <w:pPr>
              <w:jc w:val="center"/>
              <w:rPr>
                <w:rFonts w:hint="default"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0"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4</w:t>
            </w:r>
            <w:r>
              <w:rPr>
                <w:rFonts w:hint="eastAsia" w:ascii="宋体" w:hAnsi="宋体"/>
                <w:b w:val="0"/>
                <w:bCs/>
                <w:sz w:val="18"/>
                <w:szCs w:val="18"/>
                <w:lang w:eastAsia="zh-CN"/>
              </w:rPr>
              <w:t>-</w:t>
            </w:r>
            <w:r>
              <w:rPr>
                <w:rFonts w:hint="eastAsia" w:ascii="宋体" w:hAnsi="宋体"/>
                <w:b w:val="0"/>
                <w:bCs/>
                <w:sz w:val="18"/>
                <w:szCs w:val="18"/>
              </w:rPr>
              <w:t>2</w:t>
            </w:r>
          </w:p>
        </w:tc>
        <w:tc>
          <w:tcPr>
            <w:tcW w:w="741"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2</w:t>
            </w:r>
            <w:r>
              <w:rPr>
                <w:rFonts w:hint="eastAsia" w:ascii="宋体" w:hAnsi="宋体"/>
                <w:b w:val="0"/>
                <w:bCs/>
                <w:sz w:val="18"/>
                <w:szCs w:val="18"/>
                <w:lang w:eastAsia="zh-CN"/>
              </w:rPr>
              <w:t>-</w:t>
            </w:r>
            <w:r>
              <w:rPr>
                <w:rFonts w:hint="eastAsia" w:ascii="宋体" w:hAnsi="宋体"/>
                <w:b w:val="0"/>
                <w:bCs/>
                <w:sz w:val="18"/>
                <w:szCs w:val="18"/>
              </w:rPr>
              <w:t>1</w:t>
            </w:r>
          </w:p>
        </w:tc>
        <w:tc>
          <w:tcPr>
            <w:tcW w:w="740"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2</w:t>
            </w:r>
            <w:r>
              <w:rPr>
                <w:rFonts w:hint="eastAsia" w:ascii="宋体" w:hAnsi="宋体"/>
                <w:b w:val="0"/>
                <w:bCs/>
                <w:sz w:val="18"/>
                <w:szCs w:val="18"/>
                <w:lang w:eastAsia="zh-CN"/>
              </w:rPr>
              <w:t>-</w:t>
            </w:r>
            <w:r>
              <w:rPr>
                <w:rFonts w:hint="eastAsia" w:ascii="宋体" w:hAnsi="宋体"/>
                <w:b w:val="0"/>
                <w:bCs/>
                <w:sz w:val="18"/>
                <w:szCs w:val="18"/>
              </w:rPr>
              <w:t>1</w:t>
            </w:r>
          </w:p>
        </w:tc>
        <w:tc>
          <w:tcPr>
            <w:tcW w:w="741" w:type="dxa"/>
            <w:noWrap w:val="0"/>
            <w:vAlign w:val="center"/>
          </w:tcPr>
          <w:p>
            <w:pPr>
              <w:jc w:val="center"/>
              <w:rPr>
                <w:rFonts w:hint="default"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0" w:type="dxa"/>
            <w:noWrap w:val="0"/>
            <w:vAlign w:val="center"/>
          </w:tcPr>
          <w:p>
            <w:pPr>
              <w:jc w:val="center"/>
              <w:rPr>
                <w:rFonts w:hint="default"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58" w:type="dxa"/>
            <w:noWrap w:val="0"/>
            <w:vAlign w:val="center"/>
          </w:tcPr>
          <w:p>
            <w:pPr>
              <w:jc w:val="center"/>
              <w:rPr>
                <w:rFonts w:hint="eastAsia"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0" w:type="dxa"/>
            <w:noWrap w:val="0"/>
            <w:vAlign w:val="center"/>
          </w:tcPr>
          <w:p>
            <w:pPr>
              <w:jc w:val="center"/>
              <w:rPr>
                <w:rFonts w:hint="eastAsia"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1" w:type="dxa"/>
            <w:noWrap w:val="0"/>
            <w:vAlign w:val="center"/>
          </w:tcPr>
          <w:p>
            <w:pPr>
              <w:jc w:val="center"/>
              <w:rPr>
                <w:rFonts w:hint="eastAsia"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0" w:type="dxa"/>
            <w:noWrap w:val="0"/>
            <w:vAlign w:val="center"/>
          </w:tcPr>
          <w:p>
            <w:pPr>
              <w:jc w:val="center"/>
              <w:rPr>
                <w:rFonts w:hint="eastAsia" w:ascii="宋体" w:hAnsi="宋体" w:eastAsia="宋体" w:cs="宋体"/>
                <w:b w:val="0"/>
                <w:bCs/>
                <w:color w:val="auto"/>
                <w:sz w:val="18"/>
                <w:szCs w:val="18"/>
                <w:lang w:eastAsia="zh-CN"/>
              </w:rPr>
            </w:pPr>
            <w:r>
              <w:rPr>
                <w:rFonts w:hint="eastAsia" w:ascii="宋体" w:hAnsi="宋体"/>
                <w:b w:val="0"/>
                <w:bCs/>
                <w:sz w:val="18"/>
                <w:szCs w:val="18"/>
              </w:rPr>
              <w:t>4</w:t>
            </w:r>
            <w:r>
              <w:rPr>
                <w:rFonts w:hint="eastAsia" w:ascii="宋体" w:hAnsi="宋体"/>
                <w:b w:val="0"/>
                <w:bCs/>
                <w:sz w:val="18"/>
                <w:szCs w:val="18"/>
                <w:lang w:eastAsia="zh-CN"/>
              </w:rPr>
              <w:t>-</w:t>
            </w:r>
            <w:r>
              <w:rPr>
                <w:rFonts w:hint="eastAsia" w:ascii="宋体" w:hAnsi="宋体"/>
                <w:b w:val="0"/>
                <w:bCs/>
                <w:sz w:val="18"/>
                <w:szCs w:val="18"/>
              </w:rPr>
              <w:t>3</w:t>
            </w:r>
          </w:p>
        </w:tc>
        <w:tc>
          <w:tcPr>
            <w:tcW w:w="741" w:type="dxa"/>
            <w:noWrap w:val="0"/>
            <w:vAlign w:val="center"/>
          </w:tcPr>
          <w:p>
            <w:pPr>
              <w:jc w:val="center"/>
              <w:rPr>
                <w:rFonts w:hint="eastAsia" w:ascii="宋体" w:hAnsi="宋体" w:eastAsia="宋体" w:cs="宋体"/>
                <w:b w:val="0"/>
                <w:bCs/>
                <w:color w:val="auto"/>
                <w:sz w:val="18"/>
                <w:szCs w:val="18"/>
                <w:lang w:val="en-US" w:eastAsia="zh-CN"/>
              </w:rPr>
            </w:pPr>
            <w:r>
              <w:rPr>
                <w:rFonts w:hint="eastAsia" w:cs="宋体"/>
                <w:b w:val="0"/>
                <w:bCs/>
                <w:color w:val="auto"/>
                <w:sz w:val="18"/>
                <w:szCs w:val="18"/>
                <w:lang w:val="en-US" w:eastAsia="zh-CN"/>
              </w:rPr>
              <w:t>0</w:t>
            </w:r>
          </w:p>
        </w:tc>
        <w:tc>
          <w:tcPr>
            <w:tcW w:w="740"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 xml:space="preserve"> </w:t>
            </w:r>
            <w:r>
              <w:rPr>
                <w:rFonts w:hint="eastAsia" w:ascii="宋体" w:hAnsi="宋体"/>
                <w:b w:val="0"/>
                <w:bCs/>
                <w:sz w:val="18"/>
                <w:szCs w:val="18"/>
                <w:lang w:val="en-US" w:eastAsia="zh-CN"/>
              </w:rPr>
              <w:t>0</w:t>
            </w:r>
          </w:p>
        </w:tc>
        <w:tc>
          <w:tcPr>
            <w:tcW w:w="741" w:type="dxa"/>
            <w:noWrap w:val="0"/>
            <w:vAlign w:val="center"/>
          </w:tcPr>
          <w:p>
            <w:pPr>
              <w:jc w:val="center"/>
              <w:rPr>
                <w:rFonts w:hint="eastAsia" w:ascii="宋体" w:hAnsi="宋体" w:eastAsia="宋体" w:cs="宋体"/>
                <w:b w:val="0"/>
                <w:bCs/>
                <w:color w:val="auto"/>
                <w:sz w:val="18"/>
                <w:szCs w:val="18"/>
                <w:lang w:val="en-US" w:eastAsia="zh-CN"/>
              </w:rPr>
            </w:pPr>
            <w:r>
              <w:rPr>
                <w:rFonts w:hint="eastAsia" w:ascii="宋体" w:hAnsi="宋体"/>
                <w:b w:val="0"/>
                <w:bCs/>
                <w:sz w:val="18"/>
                <w:szCs w:val="18"/>
              </w:rPr>
              <w:t>2</w:t>
            </w:r>
            <w:r>
              <w:rPr>
                <w:rFonts w:hint="eastAsia" w:ascii="宋体" w:hAnsi="宋体"/>
                <w:b w:val="0"/>
                <w:bCs/>
                <w:sz w:val="18"/>
                <w:szCs w:val="18"/>
                <w:lang w:eastAsia="zh-CN"/>
              </w:rPr>
              <w:t>-</w:t>
            </w:r>
            <w:r>
              <w:rPr>
                <w:rFonts w:hint="eastAsia" w:ascii="宋体" w:hAnsi="宋体"/>
                <w:b w:val="0"/>
                <w:bCs/>
                <w:sz w:val="18"/>
                <w:szCs w:val="18"/>
              </w:rPr>
              <w:t>2</w:t>
            </w:r>
          </w:p>
        </w:tc>
        <w:tc>
          <w:tcPr>
            <w:tcW w:w="740" w:type="dxa"/>
            <w:noWrap w:val="0"/>
            <w:vAlign w:val="center"/>
          </w:tcPr>
          <w:p>
            <w:pPr>
              <w:jc w:val="center"/>
              <w:rPr>
                <w:rFonts w:hint="eastAsia" w:ascii="宋体" w:hAnsi="宋体" w:eastAsia="宋体" w:cs="宋体"/>
                <w:b w:val="0"/>
                <w:bCs/>
                <w:color w:val="auto"/>
                <w:sz w:val="18"/>
                <w:szCs w:val="18"/>
              </w:rPr>
            </w:pPr>
            <w:r>
              <w:rPr>
                <w:rFonts w:hint="eastAsia" w:ascii="宋体" w:hAnsi="宋体"/>
                <w:b w:val="0"/>
                <w:bCs/>
                <w:sz w:val="18"/>
                <w:szCs w:val="18"/>
              </w:rPr>
              <w:t>1</w:t>
            </w:r>
            <w:r>
              <w:rPr>
                <w:rFonts w:hint="eastAsia" w:ascii="宋体" w:hAnsi="宋体"/>
                <w:b w:val="0"/>
                <w:bCs/>
                <w:sz w:val="18"/>
                <w:szCs w:val="18"/>
                <w:lang w:eastAsia="zh-CN"/>
              </w:rPr>
              <w:t>-</w:t>
            </w:r>
            <w:r>
              <w:rPr>
                <w:rFonts w:hint="eastAsia" w:ascii="宋体" w:hAnsi="宋体"/>
                <w:b w:val="0"/>
                <w:bCs/>
                <w:sz w:val="18"/>
                <w:szCs w:val="18"/>
              </w:rPr>
              <w:t>1</w:t>
            </w:r>
          </w:p>
        </w:tc>
        <w:tc>
          <w:tcPr>
            <w:tcW w:w="741" w:type="dxa"/>
            <w:noWrap w:val="0"/>
            <w:vAlign w:val="center"/>
          </w:tcPr>
          <w:p>
            <w:pPr>
              <w:jc w:val="center"/>
              <w:rPr>
                <w:rFonts w:hint="default" w:ascii="宋体" w:hAnsi="宋体" w:eastAsia="宋体" w:cs="宋体"/>
                <w:b w:val="0"/>
                <w:bCs/>
                <w:color w:val="auto"/>
                <w:sz w:val="18"/>
                <w:szCs w:val="18"/>
                <w:lang w:val="en-US" w:eastAsia="zh-CN"/>
              </w:rPr>
            </w:pPr>
            <w:r>
              <w:rPr>
                <w:rFonts w:hint="eastAsia" w:ascii="宋体" w:hAnsi="宋体"/>
                <w:b w:val="0"/>
                <w:bCs/>
                <w:sz w:val="18"/>
                <w:szCs w:val="18"/>
              </w:rPr>
              <w:t>2</w:t>
            </w:r>
            <w:r>
              <w:rPr>
                <w:rFonts w:hint="eastAsia" w:ascii="宋体" w:hAnsi="宋体"/>
                <w:b w:val="0"/>
                <w:bCs/>
                <w:sz w:val="18"/>
                <w:szCs w:val="18"/>
                <w:lang w:eastAsia="zh-CN"/>
              </w:rPr>
              <w:t>-</w:t>
            </w:r>
            <w:r>
              <w:rPr>
                <w:rFonts w:hint="eastAsia" w:ascii="宋体" w:hAnsi="宋体"/>
                <w:b w:val="0"/>
                <w:bCs/>
                <w:sz w:val="18"/>
                <w:szCs w:val="18"/>
              </w:rPr>
              <w:t>1</w:t>
            </w:r>
          </w:p>
        </w:tc>
        <w:tc>
          <w:tcPr>
            <w:tcW w:w="846" w:type="dxa"/>
            <w:noWrap w:val="0"/>
            <w:vAlign w:val="center"/>
          </w:tcPr>
          <w:p>
            <w:pPr>
              <w:jc w:val="center"/>
              <w:rPr>
                <w:rFonts w:hint="default" w:ascii="宋体" w:hAnsi="宋体" w:eastAsia="宋体" w:cs="宋体"/>
                <w:b w:val="0"/>
                <w:bCs/>
                <w:color w:val="auto"/>
                <w:sz w:val="18"/>
                <w:szCs w:val="18"/>
                <w:lang w:val="en-US" w:eastAsia="zh-CN"/>
              </w:rPr>
            </w:pPr>
            <w:r>
              <w:rPr>
                <w:rFonts w:hint="eastAsia" w:ascii="宋体" w:hAnsi="宋体"/>
                <w:b w:val="0"/>
                <w:bCs/>
                <w:sz w:val="18"/>
                <w:szCs w:val="18"/>
              </w:rPr>
              <w:t>22</w:t>
            </w:r>
            <w:r>
              <w:rPr>
                <w:rFonts w:hint="eastAsia" w:ascii="宋体" w:hAnsi="宋体"/>
                <w:b w:val="0"/>
                <w:bCs/>
                <w:sz w:val="18"/>
                <w:szCs w:val="18"/>
                <w:lang w:eastAsia="zh-CN"/>
              </w:rPr>
              <w:t>-</w:t>
            </w:r>
            <w:r>
              <w:rPr>
                <w:rFonts w:hint="eastAsia" w:ascii="宋体" w:hAnsi="宋体"/>
                <w:b w:val="0"/>
                <w:bCs/>
                <w:sz w:val="18"/>
                <w:szCs w:val="18"/>
              </w:rPr>
              <w:t>14</w:t>
            </w:r>
          </w:p>
        </w:tc>
      </w:tr>
    </w:tbl>
    <w:tbl>
      <w:tblPr>
        <w:tblStyle w:val="11"/>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岗位性质</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姓 名</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性别</w:t>
            </w:r>
          </w:p>
        </w:tc>
        <w:tc>
          <w:tcPr>
            <w:tcW w:w="1108" w:type="dxa"/>
            <w:vAlign w:val="center"/>
          </w:tcPr>
          <w:p>
            <w:pPr>
              <w:jc w:val="center"/>
              <w:rPr>
                <w:rFonts w:hint="eastAsia"/>
                <w:sz w:val="18"/>
                <w:szCs w:val="18"/>
              </w:rPr>
            </w:pPr>
            <w:r>
              <w:rPr>
                <w:rFonts w:hint="eastAsia"/>
                <w:sz w:val="18"/>
                <w:szCs w:val="18"/>
              </w:rPr>
              <w:t>年龄</w:t>
            </w:r>
          </w:p>
          <w:p>
            <w:pPr>
              <w:jc w:val="center"/>
              <w:rPr>
                <w:rFonts w:hint="eastAsia" w:asciiTheme="majorEastAsia" w:hAnsiTheme="majorEastAsia" w:eastAsiaTheme="majorEastAsia" w:cstheme="majorEastAsia"/>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执业注册类别</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技术职称</w:t>
            </w:r>
          </w:p>
        </w:tc>
        <w:tc>
          <w:tcPr>
            <w:tcW w:w="1486" w:type="dxa"/>
            <w:vAlign w:val="center"/>
          </w:tcPr>
          <w:p>
            <w:pPr>
              <w:spacing w:line="280" w:lineRule="exact"/>
              <w:jc w:val="center"/>
              <w:rPr>
                <w:rFonts w:hint="eastAsia"/>
                <w:sz w:val="18"/>
                <w:szCs w:val="18"/>
              </w:rPr>
            </w:pPr>
            <w:r>
              <w:rPr>
                <w:rFonts w:hint="eastAsia"/>
                <w:sz w:val="18"/>
                <w:szCs w:val="18"/>
              </w:rPr>
              <w:t>设计工龄</w:t>
            </w:r>
          </w:p>
          <w:p>
            <w:pPr>
              <w:spacing w:line="280" w:lineRule="exact"/>
              <w:jc w:val="center"/>
              <w:rPr>
                <w:rFonts w:hint="eastAsia" w:asciiTheme="majorEastAsia" w:hAnsiTheme="majorEastAsia" w:eastAsiaTheme="majorEastAsia" w:cstheme="majorEastAsia"/>
                <w:sz w:val="18"/>
                <w:szCs w:val="18"/>
              </w:rPr>
            </w:pPr>
            <w:r>
              <w:rPr>
                <w:rFonts w:hint="eastAsia"/>
                <w:sz w:val="18"/>
                <w:szCs w:val="18"/>
              </w:rPr>
              <w:t>(年)</w:t>
            </w:r>
          </w:p>
        </w:tc>
        <w:tc>
          <w:tcPr>
            <w:tcW w:w="1534" w:type="dxa"/>
            <w:vAlign w:val="center"/>
          </w:tcPr>
          <w:p>
            <w:pPr>
              <w:spacing w:line="280" w:lineRule="exact"/>
              <w:jc w:val="center"/>
              <w:rPr>
                <w:rFonts w:hint="eastAsia"/>
                <w:sz w:val="18"/>
                <w:szCs w:val="18"/>
              </w:rPr>
            </w:pPr>
            <w:r>
              <w:rPr>
                <w:rFonts w:hint="eastAsia"/>
                <w:sz w:val="18"/>
                <w:szCs w:val="18"/>
              </w:rPr>
              <w:t>设计业绩</w:t>
            </w:r>
          </w:p>
          <w:p>
            <w:pPr>
              <w:spacing w:line="280" w:lineRule="exact"/>
              <w:jc w:val="center"/>
              <w:rPr>
                <w:rFonts w:hint="eastAsia" w:asciiTheme="majorEastAsia" w:hAnsiTheme="majorEastAsia" w:eastAsiaTheme="majorEastAsia" w:cstheme="majorEastAsia"/>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王小蓓</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69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建筑设计高级工程师</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37</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朱玓</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57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高级建筑师</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22</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刘传荣</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67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结构高级工程师</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32</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赵瑞敏</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58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32</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赵卫荣</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57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35</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给排水</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陈伟辉</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43</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p>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(给水排水)</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给水排水设计高级工程师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12</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给排水</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kern w:val="0"/>
                <w:sz w:val="18"/>
                <w:szCs w:val="18"/>
              </w:rPr>
              <w:t>梁绍容</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kern w:val="0"/>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kern w:val="0"/>
                <w:sz w:val="18"/>
                <w:szCs w:val="18"/>
              </w:rPr>
              <w:t>58</w:t>
            </w:r>
          </w:p>
        </w:tc>
        <w:tc>
          <w:tcPr>
            <w:tcW w:w="2007" w:type="dxa"/>
            <w:vAlign w:val="center"/>
          </w:tcPr>
          <w:p>
            <w:pPr>
              <w:spacing w:line="240" w:lineRule="exact"/>
              <w:jc w:val="center"/>
              <w:rPr>
                <w:rFonts w:hint="eastAsia"/>
                <w:kern w:val="0"/>
                <w:sz w:val="18"/>
                <w:szCs w:val="18"/>
              </w:rPr>
            </w:pPr>
            <w:r>
              <w:rPr>
                <w:rFonts w:hint="eastAsia"/>
                <w:kern w:val="0"/>
                <w:sz w:val="18"/>
                <w:szCs w:val="18"/>
              </w:rPr>
              <w:t>注册公用设备工程师</w:t>
            </w:r>
          </w:p>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kern w:val="0"/>
                <w:sz w:val="18"/>
                <w:szCs w:val="18"/>
              </w:rPr>
              <w:t>(给水排水)</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kern w:val="0"/>
                <w:sz w:val="18"/>
                <w:szCs w:val="18"/>
              </w:rPr>
              <w:t>给排水工程</w:t>
            </w:r>
            <w:r>
              <w:rPr>
                <w:rFonts w:hint="eastAsia"/>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31</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给排水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马晓雯</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60</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kern w:val="0"/>
                <w:sz w:val="18"/>
                <w:szCs w:val="18"/>
              </w:rPr>
              <w:t>给排水</w:t>
            </w:r>
            <w:r>
              <w:rPr>
                <w:rFonts w:hint="eastAsia"/>
                <w:sz w:val="18"/>
                <w:szCs w:val="18"/>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35</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给排水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鲁承虎</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rPr>
              <w:t>62</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高级工程师（教授级）</w:t>
            </w:r>
          </w:p>
        </w:tc>
        <w:tc>
          <w:tcPr>
            <w:tcW w:w="1486" w:type="dxa"/>
            <w:vAlign w:val="center"/>
          </w:tcPr>
          <w:p>
            <w:pPr>
              <w:jc w:val="center"/>
              <w:rPr>
                <w:rFonts w:hint="eastAsia" w:cs="Times New Roman"/>
                <w:color w:val="auto"/>
                <w:sz w:val="18"/>
                <w:szCs w:val="18"/>
                <w:lang w:val="en-US" w:eastAsia="zh-CN"/>
              </w:rPr>
            </w:pPr>
            <w:r>
              <w:rPr>
                <w:rFonts w:hint="eastAsia"/>
                <w:sz w:val="18"/>
                <w:szCs w:val="18"/>
              </w:rPr>
              <w:t>37</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 xml:space="preserve">暖通空调 </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杨春生</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sz w:val="18"/>
                <w:szCs w:val="18"/>
              </w:rPr>
              <w:t>72</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（暖通空调）</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32</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 xml:space="preserve">暖通空调 </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张清宇</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55</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（暖通空调）</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采暖通风高级工程师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26</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电气</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李晓薇</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sz w:val="18"/>
                <w:szCs w:val="18"/>
              </w:rPr>
              <w:t>55</w:t>
            </w:r>
          </w:p>
        </w:tc>
        <w:tc>
          <w:tcPr>
            <w:tcW w:w="2007" w:type="dxa"/>
            <w:vAlign w:val="center"/>
          </w:tcPr>
          <w:p>
            <w:pPr>
              <w:spacing w:line="240" w:lineRule="exact"/>
              <w:jc w:val="center"/>
              <w:rPr>
                <w:rFonts w:hint="eastAsia"/>
                <w:sz w:val="18"/>
                <w:szCs w:val="18"/>
              </w:rPr>
            </w:pPr>
            <w:r>
              <w:rPr>
                <w:rFonts w:hint="eastAsia"/>
                <w:sz w:val="18"/>
                <w:szCs w:val="18"/>
              </w:rPr>
              <w:t>注册电气工程师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（供配电）</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电气高级工程师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26</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电气</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张建功</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rPr>
                <w:rFonts w:hint="eastAsia" w:cs="Times New Roman"/>
                <w:color w:val="auto"/>
                <w:sz w:val="18"/>
                <w:szCs w:val="18"/>
                <w:lang w:val="en-US" w:eastAsia="zh-CN"/>
              </w:rPr>
            </w:pPr>
            <w:r>
              <w:rPr>
                <w:rFonts w:hint="eastAsia"/>
                <w:sz w:val="18"/>
                <w:szCs w:val="18"/>
              </w:rPr>
              <w:t xml:space="preserve"> 68</w:t>
            </w:r>
          </w:p>
        </w:tc>
        <w:tc>
          <w:tcPr>
            <w:tcW w:w="2007" w:type="dxa"/>
            <w:vAlign w:val="center"/>
          </w:tcPr>
          <w:p>
            <w:pPr>
              <w:spacing w:line="240" w:lineRule="exact"/>
              <w:jc w:val="center"/>
              <w:rPr>
                <w:rFonts w:hint="eastAsia"/>
                <w:sz w:val="18"/>
                <w:szCs w:val="18"/>
              </w:rPr>
            </w:pPr>
            <w:r>
              <w:rPr>
                <w:rFonts w:hint="eastAsia"/>
                <w:sz w:val="18"/>
                <w:szCs w:val="18"/>
              </w:rPr>
              <w:t>注册电气工程师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（供配电）</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工程技术高级工程师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37</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曹慧莘</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65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道桥高级工程师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 xml:space="preserve">36  </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陆军青</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道路桥梁工程设计高级工程师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32</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孟晓红</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57</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道桥高级工程师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 xml:space="preserve">27 </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杨欧</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ind w:firstLine="90" w:firstLineChars="50"/>
              <w:rPr>
                <w:rFonts w:hint="eastAsia" w:cs="Times New Roman"/>
                <w:color w:val="auto"/>
                <w:sz w:val="18"/>
                <w:szCs w:val="18"/>
                <w:lang w:eastAsia="zh-CN"/>
              </w:rPr>
            </w:pPr>
            <w:r>
              <w:rPr>
                <w:rFonts w:hint="eastAsia"/>
                <w:sz w:val="18"/>
                <w:szCs w:val="18"/>
              </w:rPr>
              <w:t>道桥高级工程师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19</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园林</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刘丽</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45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园林高级工程师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19</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园林</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毛小妮</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41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园林高级工程师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14</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环保</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李哲民</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rPr>
              <w:t>44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w:t>
            </w:r>
          </w:p>
        </w:tc>
        <w:tc>
          <w:tcPr>
            <w:tcW w:w="2146" w:type="dxa"/>
            <w:vAlign w:val="center"/>
          </w:tcPr>
          <w:p>
            <w:pPr>
              <w:jc w:val="center"/>
              <w:rPr>
                <w:rFonts w:hint="eastAsia" w:cs="Times New Roman"/>
                <w:color w:val="auto"/>
                <w:sz w:val="18"/>
                <w:szCs w:val="18"/>
                <w:lang w:eastAsia="zh-CN"/>
              </w:rPr>
            </w:pPr>
            <w:r>
              <w:rPr>
                <w:rFonts w:hint="eastAsia"/>
                <w:sz w:val="18"/>
                <w:szCs w:val="18"/>
              </w:rPr>
              <w:t>环境工程高级工程师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19</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勘察</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李天华</w:t>
            </w:r>
          </w:p>
        </w:tc>
        <w:tc>
          <w:tcPr>
            <w:tcW w:w="1027" w:type="dxa"/>
            <w:vAlign w:val="center"/>
          </w:tcPr>
          <w:p>
            <w:pPr>
              <w:jc w:val="center"/>
              <w:rPr>
                <w:rFonts w:hint="eastAsia" w:cs="Times New Roman"/>
                <w:color w:val="auto"/>
                <w:sz w:val="18"/>
                <w:szCs w:val="18"/>
                <w:lang w:eastAsia="zh-CN"/>
              </w:rPr>
            </w:pPr>
            <w:r>
              <w:rPr>
                <w:rFonts w:hint="eastAsia"/>
                <w:sz w:val="18"/>
                <w:szCs w:val="18"/>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rPr>
              <w:t>62</w:t>
            </w:r>
          </w:p>
        </w:tc>
        <w:tc>
          <w:tcPr>
            <w:tcW w:w="2007" w:type="dxa"/>
            <w:vAlign w:val="center"/>
          </w:tcPr>
          <w:p>
            <w:pPr>
              <w:spacing w:line="240" w:lineRule="exact"/>
              <w:jc w:val="center"/>
              <w:rPr>
                <w:rFonts w:hint="eastAsia"/>
                <w:sz w:val="18"/>
                <w:szCs w:val="18"/>
              </w:rPr>
            </w:pPr>
            <w:r>
              <w:rPr>
                <w:rFonts w:hint="eastAsia"/>
                <w:sz w:val="18"/>
                <w:szCs w:val="18"/>
              </w:rPr>
              <w:t>注册土木工程师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(岩土)</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测绘高级工程师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 xml:space="preserve">25 </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rPr>
              <w:t>勘察</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刘明凤</w:t>
            </w:r>
          </w:p>
        </w:tc>
        <w:tc>
          <w:tcPr>
            <w:tcW w:w="1027" w:type="dxa"/>
            <w:vAlign w:val="center"/>
          </w:tcPr>
          <w:p>
            <w:pPr>
              <w:jc w:val="center"/>
              <w:rPr>
                <w:rFonts w:hint="eastAsia" w:cs="Times New Roman"/>
                <w:color w:val="auto"/>
                <w:sz w:val="18"/>
                <w:szCs w:val="18"/>
                <w:lang w:eastAsia="zh-CN"/>
              </w:rPr>
            </w:pPr>
            <w:r>
              <w:rPr>
                <w:rFonts w:hint="eastAsia"/>
                <w:sz w:val="18"/>
                <w:szCs w:val="18"/>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rPr>
              <w:t>55</w:t>
            </w:r>
          </w:p>
        </w:tc>
        <w:tc>
          <w:tcPr>
            <w:tcW w:w="2007" w:type="dxa"/>
            <w:vAlign w:val="center"/>
          </w:tcPr>
          <w:p>
            <w:pPr>
              <w:spacing w:line="240" w:lineRule="exact"/>
              <w:jc w:val="center"/>
              <w:rPr>
                <w:rFonts w:hint="eastAsia"/>
                <w:sz w:val="18"/>
                <w:szCs w:val="18"/>
              </w:rPr>
            </w:pPr>
            <w:r>
              <w:rPr>
                <w:rFonts w:hint="eastAsia"/>
                <w:sz w:val="18"/>
                <w:szCs w:val="18"/>
              </w:rPr>
              <w:t>注册土木工程师</w:t>
            </w:r>
          </w:p>
          <w:p>
            <w:pPr>
              <w:spacing w:line="240" w:lineRule="exact"/>
              <w:jc w:val="center"/>
              <w:rPr>
                <w:rFonts w:hint="eastAsia" w:ascii="Times New Roman" w:hAnsi="Times New Roman" w:eastAsia="宋体" w:cs="Times New Roman"/>
                <w:color w:val="auto"/>
                <w:sz w:val="18"/>
                <w:szCs w:val="18"/>
              </w:rPr>
            </w:pPr>
            <w:r>
              <w:rPr>
                <w:rFonts w:hint="eastAsia"/>
                <w:sz w:val="18"/>
                <w:szCs w:val="18"/>
              </w:rPr>
              <w:t>(岩土)</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rPr>
              <w:t>32</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廉江市建筑工程施工图设计文件审查中心</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11"/>
        <w:tblW w:w="140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6"/>
        <w:gridCol w:w="1300"/>
        <w:gridCol w:w="4304"/>
        <w:gridCol w:w="1313"/>
        <w:gridCol w:w="6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姓 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完成年月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  目  名  称（至少5项）</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项目规模</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王小蓓</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2004年4月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嘉骏苑商住楼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建筑面积3.2万平方米，地上32层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2001年9月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广东广雅中学教学楼实验楼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建筑面积1.9万平方米，地上6层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2001年12月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广东港澳中心</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建筑面积6.8万平方米，地上40层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2001年12月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全鸿花园商住楼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建筑面积2.6万平方米，地上22层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三寓宾馆综合楼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建筑面积1.2万平方米，地上16层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2005年1月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甘怡苑东怡阁</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建筑面积4.7万平方米，地上26层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朱玓</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2012年3月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江苏嘉锦汽车空港工业园厂区4#综合楼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单体综合楼，地上8层，建筑面积7709平方米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南京凌鹏电力设备安装有限公司厂房</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总建筑面积10081平方米，其中一栋单层厂房跨度22米，建筑面积6427平方米；一栋5层厂房，跨度8.8 米，建筑面积3654平方米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泓源广场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单体商业建筑，建筑面积14080.6平方米，地上四层，地下二层，建筑高度24米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2015年10月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江苏金厦金地鑫城</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住宅小区规划、施工图设计。建筑面积194817平方米，建筑层数地上17层，地下1层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金浦精密机电生产厂房</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单体厂房，建筑面积5495平方米，地上6层，建筑高度24米，跨度7.2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盘城粮管所仓库</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单体仓库，建筑面积9742平方米，地上3层，建筑高度14.9米，跨度8.4米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刘传荣</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国土资源部下沙培训中心</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 20000平方米，地上 21层、建筑高63米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1999年12月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深圳兰陵实业有限公司综合楼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建筑面积20000平方米，地上20层、建筑高度60米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2001年11月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龙华南方特种化工厂办公楼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建筑面积21000平方米，地上20层、建筑高度60米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葵涌高级中学科技楼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建筑面积20000平方米，地上20层、建筑高度60米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平湖实验小学办公楼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单体建筑面积7000平方米，地上6层、建筑高度18米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赵瑞敏</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绥芬河站站房工程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总建筑面积35609 平方米；中间1层，两侧3层，建筑高度33米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大连地铁1号线工程控制中心</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总建筑面积32812平方米；地下1层，地上17层，建筑高度83.17米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新建呼和浩特调度所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总建筑面积23243平方米；地下2层，地上10层，建筑高度49.4米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济南东动车所检查库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总建筑面积33690 平方米；地上1层，边跨局部2层，建筑高度13米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如皋南站房综合楼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总建筑面积18775 平方米；主体2层，局部4层，建筑高度20米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赵卫荣</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2015年12月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新建张家口至呼和浩特铁路呼和浩特东站</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公共建筑，站房建筑面积14938.7平方米，柱网31.18X22米，地面以上2层、局部3层，建筑高度 25.9米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新建张家口至呼和浩特铁路呼和浩特东动车运用所检修库</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建筑面积24080平方米，单层，跨度33米，建筑高度10.75米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北京轨道交通房山线北延工程阎村车辆基地扩建停车列检库</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建筑面积12077平方米，单层，跨度41.6米，建筑高度 10.75米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5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2012年5月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东莞至惠州轨道交通项目常平东站</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公共建筑，站房建筑面积13068平方米，地面以上2层、局部 3 层，建筑高度15.2米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2007年10月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北京玻钢院复核材料有限公司年产3000吨汽车用复合材料制品生产线工程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建筑面积5741平方米，单层，跨度 24米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陈伟辉</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2012年4月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吴川市碧海园</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住宅小区约17万平方米，建筑层数24层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启达世家三期</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住宅小区约31万平方米，建筑层数30层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湛江华田雅居小区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住宅小区约7万平方米，建筑层数24层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2013年11月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万豪世家（二期）</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住宅小区约11万平方米，建筑层数32层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保利原景花园</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商住楼约25万平方米，建筑层数39层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华源城供水管网工程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管径DN400mm-1000mm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廉江市城区供水管网改造</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管径DN400mm-1000mm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3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广东廉江经济开发区(产业园)梧村垌区第四工作面30米路及排水排污管网工程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本工程按城市次公路Ⅰ级标准设计，设计行车时速为40㏎。西起廉吉公路，东至龙华大道，全线总长480.627米。包括机动车道、排污工程、排水工程，管径DN1000mm-1200mm、土（石）方工程等。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廉江市中环二路排水改造工程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全长956米，在道路北侧人行道铺设管径为1000mm-1200mm排水涵管。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广东廉江经济开发区（产业园）水东烈区翠山路及排水排污管网工程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次干路，翠山路955.93米（规划24米，主车道16米，两侧人行道各4米），支路竹南路及塘涌路379.48米（规划20米，主车道14米，两侧人行道各3米）,管径DN800mm-1200mm管径排水管2783.83米，管径DN800mm-1200mm排污管2706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梁绍容</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2004年8月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柳州市河东沿江截污工程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大型，排水工程，DN1350毫米-DN1650毫米，总管长4344米；提升泵站两座，规模17万立方米/日和23.5万立方米/日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2008年4月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柳州市旧机场（帽合）截污工程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中型，排水工程，管道DN800毫米-DN1650毫米，渠道B*H=2400*1500，B*H=3600*1800，总管渠长2115.25米；提升泵站1座，规模5万立方米/日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2007年7月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柳州市龙泉山污水处理厂污水收集系统东南片管线改造工程（冶炼干渠排水工程）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大型，排水工程，管道DN2600毫米，渠道B*H=3000*3000，总管渠长1788米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2004年5月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柳州市阳和工业新区排水干渠出口管渠工程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大型，排水工程，管道DN2000毫米，渠道B*H=4500*3000，总管渠长1995米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2009年4月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柳州市柳东大道延长线道路工程及桥梁工程-石榴河桥工程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大型，城市主干路，道路长1600米，宽40米。桥梁单跨30米，长150米，排水管径DN400毫米-DN2000毫米，总管道长3650米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2010年1月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柳州潭中西路西环路口改造工程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大型，城市主干路，道路红线宽50米，道路总长920米，DN400毫米-DN2000毫米，渠道BXH=3600X1600，管渠总长810米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2006年1月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柳州市柳东大道给水工程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中型，给水工程，管径DN800毫米-DN1000毫米,总长9500米。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融安县河西农贸市场改建工程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中型，公共建筑。规划用地面积22619平方米，总建筑面积24210平方米。最大单体建筑面积7427平方米，地上8层，建筑高度30米。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柳州市学院路中学</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中型，公共建筑。规划用地面积62531.44平方米，总建筑面积27524.18平方米。最大单体建筑面积6423.90平方米，地上3层，建筑高度23.95米。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马晓雯</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1999年6月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绍兴汇津水务有限公司净水厂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净水厂，净水厂净水量40万立方米/日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1995年9月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福建漳浦第二水厂给水工程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自来水厂，供水量10万立方米/日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2002年10月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合肥第二水厂改造扩建工程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自来水厂，供水量20万立方米/日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无锡锡东地面水厂改建工程净水厂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净水厂，供水量20万立方米/日。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2005年5月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洋山深水港一期工程市政供水工程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供水量5万立方米/日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2002年10月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上海张江东部扩展用地雨污水泵站新建工程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泵站，排水量10万立方米/日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鲁承虎</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1990年2月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淄博市引黄供水工程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泵站，给水量50万立方米/日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1996年4月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乌鲁木齐市河东污水处理厂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污水处理厂，污水处理20万立方米/日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2000年10月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乌鲁木齐市石墩子山水厂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净水厂，净水量20万立方米/日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2001年12月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哈密市污水处理厂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污水处理厂，污水处理10万立方米/日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1998年11月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张掖市供水工程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泵站，给水量10万立方米/日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杨春生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1986年3月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上海自行车前叉厂</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四层工业厂房，单跨跨度6米，建筑面积5200平方米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1988年4月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湖南省金属材料公司服务大楼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公共建筑，建筑面积2.3万平方米，地上17层，地下一层，建筑高度57米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1994年10月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长沙马王堆农贸市场湘龙大厦</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公共建筑，建筑面积5万平方米，地上30层,地下二层，建筑高度99米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昆钢氧化球团烧结工程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五层工业厂房，单跨跨度6米，建筑面积6200平方米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2005年8月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涟源钢铁厂280平方米烧结工程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五层工业厂房，单跨跨度6米，建筑面积6800平方米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张清宇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2002年8月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杭州富阳公牛轮胎制造有限责任公司年产30万条全钢载重子午胎项目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子午胎车间建筑面积3.3万平方米，单层厂房，跨度24米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中策橡胶（建德）有限公司新安江分公司迁扩建项目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全钢成型车间建筑面积1.4万平方米，单层厂房，跨度26米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双星东风轮胎工业4.0智能化工厂项目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项目用地483亩，总建筑面积21.7万平方米，其中钢结构生产主厂房建筑面积9.6万平方米，单层厂房，跨度24米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2007年7月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库博成山(山东)客车轮胎有限公司半钢子午胎项目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单体生产厂房，建筑面积6.2万平方米，单层厂房，跨度27米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2006年9月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沈阳三橡轮胎有限公司特种轮胎搬迁改造项目特种轮胎车间</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单体建筑面积1.6万平方米，单层厂房，跨度28米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李晓薇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科思创德士模都三聚体共混与特种固化剂项目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存在爆炸危险的技术要求复杂的三层工业厂房，生产车间总建筑面积8300平方米，跨度9米，混凝土结构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中海壳牌多元醇装置聚醚生产单元技术改造项目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存在爆炸危险的技术要求复杂的三层工业建筑，主体结构总建筑面积5100平方米，跨度11米，混凝土结构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2021年7月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巴斯夫化工有限公司混料升级项目和造粒扩产项目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存在粉尘爆炸危险的技术要求复杂的六层工业建筑，主厂房总建筑面积5600平方米，跨度11米，全钢结构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2022年6月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罗姆化学聚甲基丙烯酸甲酯生产装置三线项目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存在爆炸危险的技术要求复杂的三层工业厂房，主厂房总建筑面积1.1万平方米，跨度9米，三层，混凝土结构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2023年6月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巴斯夫护理化学品（上海）有限公司金牛项目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存在爆炸危险的技术要求复杂的七层工业建筑，主厂房总建筑面积5800平方米，跨度9米，全钢结构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张建功</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2007年11月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马钢生产指挥中心工程（马钢办公大楼）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单体公共建筑，建筑高度92.4米,建筑面积7.6万平方米，地上21层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三台路（天门大道--马钢大道）道路改造工程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城市主干道，配套照明，信号灯的电气设计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2008年7月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马钢（芜湖）材料技术有限公司新建厂房工程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单层厂房，跨度21米，吊车32吨，建筑面积3.3万平方米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2011年12月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马钢股份电炉厂高速车轮用钢生产线技术厂房工程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单层厂房，跨度33米，吊车300吨，建筑面积9.12万平方米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马钢（合肥）公司淘汰落后转型发展项目之一连续镀锌线厂房工程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单层厂房，跨度36米，吊车35吨，建筑面积5.94万平方米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曹慧莘</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省道连崟至兴华公路改扩建工程-阿木尔河大桥</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二级公路104 k米，其中配套工程大桥长104米，单跨5-20米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泰康镇外环路改建工程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一级公路1.95千米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黑龙江省高速公路管理局2018年中修养护工程勘察设计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高速公路702.902千米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黑龙江省高速公路管理局2019年中修养护工程勘察设计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高速公路702.812千米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2018年10月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兰西县东出口呼兰河大桥至绥扎路道路建设工程-呼兰河大桥</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一级公路2.541千米，其中配套工程大桥长600米，单跨11-40米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陆军青</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2003年7月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柳江县穿山镇雄良河桥梁工程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单跨20米，桥梁总长90米，宽度15米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2005年7月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柳州市都乐公园道路改造工程（桥梁工程）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全线共3座桥梁：单跨37.029米，桥梁总长46.04米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2007年5月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柳州市柳东大道延长线道路工程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城市主干道，长2460米，宽40米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2006年6月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柳州市学院路延长线工程A标段</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城市主干道，长680米，宽60米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2004年9月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柳州市龙屯路工程A标段</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城市主干道，长530米，宽40米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2008年10月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柳州市北外环路工程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城市快速路，长度为10378.633米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2004年9月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柳州市龙屯路B标段（K0+852.64桥梁）</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城市主干道，长390米，宽40米，其中上跨湘桂铁路立交桥，单跨13米，总长462米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孟晓红</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1998年5月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大连疏港路西段绿波立交工程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互通式立交桥，双向6车道，桥梁全长1.3千米，单跨28米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1999年5月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大连市胜星桥工程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桥梁全长1.6千米，双向4车道，单跨40米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绥阳县诗乡大道项目  </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城市主干道，道路长1.2 千米，时速60千米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2015年8月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梨溪新区大道</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城市主干道，道路长2.8千米，路面宽40米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绥芬河市新街道路工程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城市主干道，道路长1264.54米,路面宽36米，时速60千米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杨欧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2008年7月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林都机场公路汤旺河公路大桥</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全长306米，桥梁跨径2×20+8×25米。其中最大单跨跨径25米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2006年7月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鸡讷公路桃山支线大桥工程设计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桥梁全长105米，桥梁总跨度65米，桥宽净7.5米，其中最大单跨跨径20米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2012年1月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牡丹江市东四跨江大桥项目二期阳明泡大桥工程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大桥全长325.86米，滨绥铁路框构桥全长262.5米，道路全长2402米，桥梁跨径布置为14×20米+2×20.5米，其中最大单跨跨径20.5米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2014年便民利民道路整修工程第二标段</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城市次干路，机车东三路（前进二道街至机车东西路）工程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2014年林口县东街立交桥维修改造工程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东街跨铁立交桥全长398米其中主桥长205米，桥梁跨径7×20+2×25米），其中最大单跨跨径25米， 宽12米。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刘丽</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2010年1月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营口经济技术开发区滨城大道景观绿化工程景观设计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城市重点景观道路绿化项目，投资额6340万元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2010年10月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沈本产业大道沈溪新城-主城区道路两侧景观带工程景观设计一标段</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城市重点景观道路绿化项目，投资额3538万元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2011年12月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蒲河新城和平公园景观设计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城市地标广场景观设计，投资额3000万元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2012年4月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中国医科大学沈北新校园建设景观设计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校园环境设计，投资额3280万元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泰康之家三亚养老度假村项目景观施工图设计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养老社区，投资额5500万元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毛小妮</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2022年8月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2019年前海功能环境双提升工程景观设计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总投资额23108.44万元，用地面积35.33万平方米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2023年8月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海南生态软件园云海吾乡文化中心</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总投资额1850万元，用地面积17.8397万平方米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青岛中洲半岛城邦</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总投资额1350万元，用地面积12.2832万平方米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2022年12月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中新天津生态城57C一期住宅地块</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总投资额1200万元，用地面积10.8435万平方米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2022年8月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广州卓越臻珑府项目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总投资额560万元，用地面积2.8317万平方米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李哲民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安铺镇人民大道（三十米街段）供水主管道安装工程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供水管网约1238米，管径DN800mm-1000mm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7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佛山顺德（廉江）产业转移工业园金山（二）产业聚集地企仔塘、老洋塘排水工程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企仔塘排水采用混凝土排水沟形式敷设，规格为：宽1米*高1.2米，总长916.5米；老洋塘排水采用钢筋混凝土排水管敷设，管径DN1200mm，总长340.25米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2020年7月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广东廉江经济开发区（产业园）横岭排污改造工程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在原排污沟新建一条管径DN1000mm-1200mm承插式钢筋混凝土排污管，管道总长183米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2021年2月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廉江市江边街改造工程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设计行车时速为30千米，设计年限为15年。江边街自环市路起至东环三路止，总长431.34米。本次设计内容为：包括机动车道(白改黑)、人行道工程、绿化工程、路灯工程、排污排水管径DN1000mm-1200mm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75"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2020年3月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佛山顺德（廉江）产业转移工业园金山产业集聚地土方平整（鸿富实业有限公司南面地块）及经二路道路工程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本工程按城市次干路Ⅰ级标准设计，设计行车时速为40千米，设计年限为20年。本次设计内容为：包括机动车道、排污工程、排水工程、土(石)方工程、排污排水管径DN800mm-1000mm。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李天华</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乐山市景区道路基础设施改造工程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城市主干道总长约4623米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乐山青江新区春华路基础设施修建工程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城市主干道总长约3417米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2017年6月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泸州江旭机械制造有限责任公司生产厂房建设项目</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修建面积约为2915.25平方米，单跨34米钢筋混凝土结构厂房一座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文峰丽景二期1#楼工程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按设计施工图所示的土建、装饰、水电安装及附属工程，框剪结构，地上28层，地下2层，总建筑面积24824.56平方米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2015年4月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宏宇·心悦国际8#楼工程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中型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总建筑面积25508.6平方米，框架结构，地上十八层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刘明凤</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2019年8月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玉兰花园8#住宅楼勘察工程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住宅，地上27层、地下2层，建筑面积23225.69平方米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2019年4月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泰安市王府花园 6 A-06 地块2#住宅楼勘察工程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公共建筑，地上32层、地下2层，建筑面积16259.3平方米，建筑高度93.3米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2019年10月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徐家楼新华片区三期棚改项目地块一1#住宅楼勘察工程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住宅，地上23层、地下2层，建筑面积12097.45平方米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2016年12月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泰安龙湖公园里1#商务综合楼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公共建筑，地上25层、地下2层，建筑面积12926.3平方米，建筑高度75.9米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2019年1月</w:t>
            </w:r>
          </w:p>
        </w:tc>
        <w:tc>
          <w:tcPr>
            <w:tcW w:w="4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宁阳盛世亿德嘉园38#住宅楼勘察工程</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大型</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住宅，地上26层、地下2层，建筑面积25496.07平方米</w:t>
            </w:r>
          </w:p>
        </w:tc>
      </w:tr>
    </w:tbl>
    <w:p>
      <w:pPr>
        <w:pStyle w:val="2"/>
        <w:rPr>
          <w:rFonts w:hint="eastAsia"/>
          <w:lang w:eastAsia="zh-CN"/>
        </w:rPr>
      </w:pPr>
    </w:p>
    <w:p>
      <w:pPr>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lang w:val="en-US" w:eastAsia="zh-CN"/>
        </w:rPr>
      </w:pPr>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ˎ̥">
    <w:altName w:val="汉仪新人文宋简"/>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新人文宋简">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DYzZjBiMmU3NWRjZWExODk4YjZlZWQ5MTZlODYifQ=="/>
  </w:docVars>
  <w:rsids>
    <w:rsidRoot w:val="00172A27"/>
    <w:rsid w:val="0010731F"/>
    <w:rsid w:val="006B363C"/>
    <w:rsid w:val="008E24CE"/>
    <w:rsid w:val="00966AB1"/>
    <w:rsid w:val="00C02625"/>
    <w:rsid w:val="00C76953"/>
    <w:rsid w:val="010E25C7"/>
    <w:rsid w:val="012E5169"/>
    <w:rsid w:val="017C1EEB"/>
    <w:rsid w:val="019D7AC1"/>
    <w:rsid w:val="01BC37FC"/>
    <w:rsid w:val="01CA6854"/>
    <w:rsid w:val="01D972FB"/>
    <w:rsid w:val="01F77D98"/>
    <w:rsid w:val="021E0CD1"/>
    <w:rsid w:val="023C572A"/>
    <w:rsid w:val="023D203E"/>
    <w:rsid w:val="02507AD3"/>
    <w:rsid w:val="027A09E2"/>
    <w:rsid w:val="02890E1F"/>
    <w:rsid w:val="028C1C3D"/>
    <w:rsid w:val="02986CC6"/>
    <w:rsid w:val="02BA46F5"/>
    <w:rsid w:val="02F61FA7"/>
    <w:rsid w:val="03203A67"/>
    <w:rsid w:val="03304904"/>
    <w:rsid w:val="0373314B"/>
    <w:rsid w:val="043B4B6D"/>
    <w:rsid w:val="04574BBD"/>
    <w:rsid w:val="04942085"/>
    <w:rsid w:val="04B40D9A"/>
    <w:rsid w:val="04BB45C9"/>
    <w:rsid w:val="04F37BF6"/>
    <w:rsid w:val="04FA3A13"/>
    <w:rsid w:val="05370A85"/>
    <w:rsid w:val="056129D8"/>
    <w:rsid w:val="05B6711F"/>
    <w:rsid w:val="05DF570F"/>
    <w:rsid w:val="05E0364F"/>
    <w:rsid w:val="062E4E50"/>
    <w:rsid w:val="064B3147"/>
    <w:rsid w:val="06AA27D7"/>
    <w:rsid w:val="072A2722"/>
    <w:rsid w:val="07555A2D"/>
    <w:rsid w:val="077B30B6"/>
    <w:rsid w:val="07EF2E7E"/>
    <w:rsid w:val="07FB5D4B"/>
    <w:rsid w:val="08016C47"/>
    <w:rsid w:val="085D0662"/>
    <w:rsid w:val="087924FA"/>
    <w:rsid w:val="08B63D5F"/>
    <w:rsid w:val="08D204A9"/>
    <w:rsid w:val="08E339E3"/>
    <w:rsid w:val="09922C26"/>
    <w:rsid w:val="09C20B21"/>
    <w:rsid w:val="09CB3EEB"/>
    <w:rsid w:val="09E44908"/>
    <w:rsid w:val="0A1A67B7"/>
    <w:rsid w:val="0A4645CA"/>
    <w:rsid w:val="0C377954"/>
    <w:rsid w:val="0C7D19FC"/>
    <w:rsid w:val="0CFE1155"/>
    <w:rsid w:val="0CFF77D0"/>
    <w:rsid w:val="0D2116B1"/>
    <w:rsid w:val="0D240BCC"/>
    <w:rsid w:val="0D6C7382"/>
    <w:rsid w:val="0DBB1EAC"/>
    <w:rsid w:val="0E1E294E"/>
    <w:rsid w:val="0E2612A2"/>
    <w:rsid w:val="0E271A16"/>
    <w:rsid w:val="0F8916B9"/>
    <w:rsid w:val="0FBA7FD0"/>
    <w:rsid w:val="0FF99AB3"/>
    <w:rsid w:val="10151CC3"/>
    <w:rsid w:val="10390029"/>
    <w:rsid w:val="106E202E"/>
    <w:rsid w:val="107271CD"/>
    <w:rsid w:val="10A369D7"/>
    <w:rsid w:val="10FA24AA"/>
    <w:rsid w:val="11290DE0"/>
    <w:rsid w:val="112F2C66"/>
    <w:rsid w:val="11306DF5"/>
    <w:rsid w:val="1149652C"/>
    <w:rsid w:val="11BE35D4"/>
    <w:rsid w:val="11D3635A"/>
    <w:rsid w:val="11D95A29"/>
    <w:rsid w:val="1228082A"/>
    <w:rsid w:val="123F1561"/>
    <w:rsid w:val="126208C2"/>
    <w:rsid w:val="12F465EA"/>
    <w:rsid w:val="12F77294"/>
    <w:rsid w:val="130C0294"/>
    <w:rsid w:val="132D433B"/>
    <w:rsid w:val="135160C6"/>
    <w:rsid w:val="136D633D"/>
    <w:rsid w:val="138C260D"/>
    <w:rsid w:val="13943FE4"/>
    <w:rsid w:val="13A42ED2"/>
    <w:rsid w:val="13AA4EAD"/>
    <w:rsid w:val="143353C1"/>
    <w:rsid w:val="1445486A"/>
    <w:rsid w:val="144A2D0F"/>
    <w:rsid w:val="14AA0F86"/>
    <w:rsid w:val="15516EF6"/>
    <w:rsid w:val="1553096F"/>
    <w:rsid w:val="157F458B"/>
    <w:rsid w:val="15912242"/>
    <w:rsid w:val="16345B2D"/>
    <w:rsid w:val="16AE7455"/>
    <w:rsid w:val="16D57034"/>
    <w:rsid w:val="16E6E541"/>
    <w:rsid w:val="170D761B"/>
    <w:rsid w:val="17192763"/>
    <w:rsid w:val="171A7C30"/>
    <w:rsid w:val="177D0E5D"/>
    <w:rsid w:val="178075BF"/>
    <w:rsid w:val="1799C467"/>
    <w:rsid w:val="17AB3FCB"/>
    <w:rsid w:val="17B56576"/>
    <w:rsid w:val="17CF05D8"/>
    <w:rsid w:val="17EB9B28"/>
    <w:rsid w:val="17FF69CA"/>
    <w:rsid w:val="18213832"/>
    <w:rsid w:val="18250AF1"/>
    <w:rsid w:val="187F44B1"/>
    <w:rsid w:val="188C6080"/>
    <w:rsid w:val="18D624FB"/>
    <w:rsid w:val="19484E4C"/>
    <w:rsid w:val="195171EF"/>
    <w:rsid w:val="199D06FE"/>
    <w:rsid w:val="19A56052"/>
    <w:rsid w:val="19E40C3A"/>
    <w:rsid w:val="19FF7A4B"/>
    <w:rsid w:val="1A2B5EB4"/>
    <w:rsid w:val="1A720505"/>
    <w:rsid w:val="1A994A5E"/>
    <w:rsid w:val="1AA75E9D"/>
    <w:rsid w:val="1AB611C7"/>
    <w:rsid w:val="1AB67BF8"/>
    <w:rsid w:val="1AD77542"/>
    <w:rsid w:val="1B6F7F9B"/>
    <w:rsid w:val="1BF525FC"/>
    <w:rsid w:val="1C322C25"/>
    <w:rsid w:val="1C4D2C09"/>
    <w:rsid w:val="1C5A1496"/>
    <w:rsid w:val="1C723F6C"/>
    <w:rsid w:val="1CB1239F"/>
    <w:rsid w:val="1CD8108C"/>
    <w:rsid w:val="1D03421E"/>
    <w:rsid w:val="1D9B6316"/>
    <w:rsid w:val="1DA97BF3"/>
    <w:rsid w:val="1DE35E71"/>
    <w:rsid w:val="1DE43017"/>
    <w:rsid w:val="1E2D64F4"/>
    <w:rsid w:val="1E4856D3"/>
    <w:rsid w:val="1E801182"/>
    <w:rsid w:val="1EB93B37"/>
    <w:rsid w:val="1EC60FC9"/>
    <w:rsid w:val="1ED173FA"/>
    <w:rsid w:val="1EEB7AB7"/>
    <w:rsid w:val="1EEEDA78"/>
    <w:rsid w:val="1EFA51E0"/>
    <w:rsid w:val="1EFF5D37"/>
    <w:rsid w:val="1F0D6C08"/>
    <w:rsid w:val="1F2D2E4C"/>
    <w:rsid w:val="1F3DC7FB"/>
    <w:rsid w:val="1F863EAF"/>
    <w:rsid w:val="1F9B339E"/>
    <w:rsid w:val="1F9FD2C9"/>
    <w:rsid w:val="1FB7749E"/>
    <w:rsid w:val="1FBF62EF"/>
    <w:rsid w:val="1FDD8B6A"/>
    <w:rsid w:val="1FF79A98"/>
    <w:rsid w:val="200C3695"/>
    <w:rsid w:val="202740F3"/>
    <w:rsid w:val="202D25B2"/>
    <w:rsid w:val="20C4222B"/>
    <w:rsid w:val="20E72962"/>
    <w:rsid w:val="21006DBD"/>
    <w:rsid w:val="21095843"/>
    <w:rsid w:val="216A228C"/>
    <w:rsid w:val="21721709"/>
    <w:rsid w:val="21760338"/>
    <w:rsid w:val="21966920"/>
    <w:rsid w:val="21A123FE"/>
    <w:rsid w:val="22472ACA"/>
    <w:rsid w:val="224D59B2"/>
    <w:rsid w:val="228C69C6"/>
    <w:rsid w:val="22B242A7"/>
    <w:rsid w:val="22B40B19"/>
    <w:rsid w:val="236034B2"/>
    <w:rsid w:val="236D30A8"/>
    <w:rsid w:val="238C640B"/>
    <w:rsid w:val="23DC42FF"/>
    <w:rsid w:val="23E8600A"/>
    <w:rsid w:val="23F310A7"/>
    <w:rsid w:val="23FF1887"/>
    <w:rsid w:val="240639E8"/>
    <w:rsid w:val="243A0419"/>
    <w:rsid w:val="243F69B9"/>
    <w:rsid w:val="244F2331"/>
    <w:rsid w:val="245B0FA0"/>
    <w:rsid w:val="24A67887"/>
    <w:rsid w:val="24BB61FB"/>
    <w:rsid w:val="24CF521F"/>
    <w:rsid w:val="251645D9"/>
    <w:rsid w:val="252F7F8D"/>
    <w:rsid w:val="25341832"/>
    <w:rsid w:val="25725625"/>
    <w:rsid w:val="25852A33"/>
    <w:rsid w:val="25BA4CE3"/>
    <w:rsid w:val="25CE7664"/>
    <w:rsid w:val="260F25EA"/>
    <w:rsid w:val="26494DF4"/>
    <w:rsid w:val="265838E3"/>
    <w:rsid w:val="266925B6"/>
    <w:rsid w:val="267DCDB1"/>
    <w:rsid w:val="269A2408"/>
    <w:rsid w:val="26D11D4E"/>
    <w:rsid w:val="26E06FA8"/>
    <w:rsid w:val="270F46F2"/>
    <w:rsid w:val="27305CB3"/>
    <w:rsid w:val="273F09CC"/>
    <w:rsid w:val="274D3771"/>
    <w:rsid w:val="276356F6"/>
    <w:rsid w:val="27D71847"/>
    <w:rsid w:val="27FE8AF7"/>
    <w:rsid w:val="27FF0945"/>
    <w:rsid w:val="282D4EA6"/>
    <w:rsid w:val="283101E2"/>
    <w:rsid w:val="28366954"/>
    <w:rsid w:val="285042DB"/>
    <w:rsid w:val="285B459C"/>
    <w:rsid w:val="28ED70B6"/>
    <w:rsid w:val="29396A82"/>
    <w:rsid w:val="298E4D0B"/>
    <w:rsid w:val="2A19258C"/>
    <w:rsid w:val="2A4B60E2"/>
    <w:rsid w:val="2A71673D"/>
    <w:rsid w:val="2A93259D"/>
    <w:rsid w:val="2B1F0D0A"/>
    <w:rsid w:val="2B6A01FB"/>
    <w:rsid w:val="2B8B741C"/>
    <w:rsid w:val="2B8C54FC"/>
    <w:rsid w:val="2BBD3679"/>
    <w:rsid w:val="2BF05B44"/>
    <w:rsid w:val="2C000F58"/>
    <w:rsid w:val="2C0A671B"/>
    <w:rsid w:val="2C120089"/>
    <w:rsid w:val="2C2ED5C9"/>
    <w:rsid w:val="2C565613"/>
    <w:rsid w:val="2C706DDC"/>
    <w:rsid w:val="2C7B24ED"/>
    <w:rsid w:val="2C7B483A"/>
    <w:rsid w:val="2CD30A7A"/>
    <w:rsid w:val="2D061195"/>
    <w:rsid w:val="2D5E5593"/>
    <w:rsid w:val="2DA60C5E"/>
    <w:rsid w:val="2DAC7314"/>
    <w:rsid w:val="2DB00867"/>
    <w:rsid w:val="2DCF540E"/>
    <w:rsid w:val="2DDD38CC"/>
    <w:rsid w:val="2DEF3779"/>
    <w:rsid w:val="2E586CE4"/>
    <w:rsid w:val="2E6018E3"/>
    <w:rsid w:val="2E699C88"/>
    <w:rsid w:val="2E6A68CD"/>
    <w:rsid w:val="2EE734F3"/>
    <w:rsid w:val="2EFDC3CA"/>
    <w:rsid w:val="2F040995"/>
    <w:rsid w:val="2F2D061A"/>
    <w:rsid w:val="2F380B9A"/>
    <w:rsid w:val="2F7F12D8"/>
    <w:rsid w:val="2FBD4536"/>
    <w:rsid w:val="2FBFF403"/>
    <w:rsid w:val="30441248"/>
    <w:rsid w:val="30CD0276"/>
    <w:rsid w:val="31281103"/>
    <w:rsid w:val="316FCE56"/>
    <w:rsid w:val="31E53D4B"/>
    <w:rsid w:val="31F75418"/>
    <w:rsid w:val="31FB52BF"/>
    <w:rsid w:val="32337AB0"/>
    <w:rsid w:val="32373B67"/>
    <w:rsid w:val="325159C4"/>
    <w:rsid w:val="327F43C3"/>
    <w:rsid w:val="329A6D4E"/>
    <w:rsid w:val="330A591D"/>
    <w:rsid w:val="33223A71"/>
    <w:rsid w:val="334D3D2F"/>
    <w:rsid w:val="3350047D"/>
    <w:rsid w:val="339B76FF"/>
    <w:rsid w:val="33C828DF"/>
    <w:rsid w:val="33F73BEE"/>
    <w:rsid w:val="34356167"/>
    <w:rsid w:val="34511E39"/>
    <w:rsid w:val="34513B17"/>
    <w:rsid w:val="34723AD9"/>
    <w:rsid w:val="34B3020E"/>
    <w:rsid w:val="34CA7565"/>
    <w:rsid w:val="350D3D55"/>
    <w:rsid w:val="351D5CDB"/>
    <w:rsid w:val="35553302"/>
    <w:rsid w:val="35AC6A13"/>
    <w:rsid w:val="35BC0905"/>
    <w:rsid w:val="35D076C4"/>
    <w:rsid w:val="36886938"/>
    <w:rsid w:val="369972AF"/>
    <w:rsid w:val="36F628CC"/>
    <w:rsid w:val="37815705"/>
    <w:rsid w:val="37B36FAC"/>
    <w:rsid w:val="37BD6AFD"/>
    <w:rsid w:val="37F70B6C"/>
    <w:rsid w:val="37FB5753"/>
    <w:rsid w:val="37FE29E2"/>
    <w:rsid w:val="37FF59EE"/>
    <w:rsid w:val="388A494B"/>
    <w:rsid w:val="38A16EAE"/>
    <w:rsid w:val="38CE1722"/>
    <w:rsid w:val="38EA6C39"/>
    <w:rsid w:val="38EF1BCA"/>
    <w:rsid w:val="391A640D"/>
    <w:rsid w:val="394D4BA9"/>
    <w:rsid w:val="3A1B2A4C"/>
    <w:rsid w:val="3AAF25A7"/>
    <w:rsid w:val="3AC7601C"/>
    <w:rsid w:val="3ADA4865"/>
    <w:rsid w:val="3ADFE1DF"/>
    <w:rsid w:val="3AEF7506"/>
    <w:rsid w:val="3AFD65C2"/>
    <w:rsid w:val="3AFF7B74"/>
    <w:rsid w:val="3B206559"/>
    <w:rsid w:val="3B273243"/>
    <w:rsid w:val="3B5BB6C9"/>
    <w:rsid w:val="3B6EFA83"/>
    <w:rsid w:val="3B9B679F"/>
    <w:rsid w:val="3B9FA7F3"/>
    <w:rsid w:val="3BA32E12"/>
    <w:rsid w:val="3BD42C28"/>
    <w:rsid w:val="3BE36EC9"/>
    <w:rsid w:val="3BFE71B1"/>
    <w:rsid w:val="3C563533"/>
    <w:rsid w:val="3C5D609D"/>
    <w:rsid w:val="3C7F2718"/>
    <w:rsid w:val="3CE03E49"/>
    <w:rsid w:val="3CEA33D1"/>
    <w:rsid w:val="3CEBCAE0"/>
    <w:rsid w:val="3CFFCFD8"/>
    <w:rsid w:val="3D453325"/>
    <w:rsid w:val="3D485297"/>
    <w:rsid w:val="3D563AB0"/>
    <w:rsid w:val="3D710703"/>
    <w:rsid w:val="3D7C6D72"/>
    <w:rsid w:val="3D7F00D5"/>
    <w:rsid w:val="3DA303C3"/>
    <w:rsid w:val="3DB32087"/>
    <w:rsid w:val="3DC550C7"/>
    <w:rsid w:val="3DED4987"/>
    <w:rsid w:val="3DFE170F"/>
    <w:rsid w:val="3E450256"/>
    <w:rsid w:val="3E6E6C83"/>
    <w:rsid w:val="3E6F3FD2"/>
    <w:rsid w:val="3E7F3B4C"/>
    <w:rsid w:val="3EBB3466"/>
    <w:rsid w:val="3EBF23A9"/>
    <w:rsid w:val="3EC10946"/>
    <w:rsid w:val="3EDE731C"/>
    <w:rsid w:val="3EEC0585"/>
    <w:rsid w:val="3F3F73CD"/>
    <w:rsid w:val="3F691227"/>
    <w:rsid w:val="3F6F18C6"/>
    <w:rsid w:val="3F75659A"/>
    <w:rsid w:val="3F7763CE"/>
    <w:rsid w:val="3F7B5D09"/>
    <w:rsid w:val="3F7F2201"/>
    <w:rsid w:val="3F7F6D50"/>
    <w:rsid w:val="3F940DF3"/>
    <w:rsid w:val="3FB915C4"/>
    <w:rsid w:val="3FBE8F22"/>
    <w:rsid w:val="3FBF6838"/>
    <w:rsid w:val="3FDB3EEF"/>
    <w:rsid w:val="3FED36AF"/>
    <w:rsid w:val="3FFB11DB"/>
    <w:rsid w:val="3FFF35B9"/>
    <w:rsid w:val="40187524"/>
    <w:rsid w:val="40613EC3"/>
    <w:rsid w:val="40884C35"/>
    <w:rsid w:val="40AC11C3"/>
    <w:rsid w:val="40E524F9"/>
    <w:rsid w:val="40EB782E"/>
    <w:rsid w:val="41136E92"/>
    <w:rsid w:val="413E08C6"/>
    <w:rsid w:val="4157334C"/>
    <w:rsid w:val="41C34A58"/>
    <w:rsid w:val="42264542"/>
    <w:rsid w:val="427B2420"/>
    <w:rsid w:val="42BB03FD"/>
    <w:rsid w:val="42D76F3E"/>
    <w:rsid w:val="432905E2"/>
    <w:rsid w:val="433C2FC7"/>
    <w:rsid w:val="438C6F99"/>
    <w:rsid w:val="43A93C7A"/>
    <w:rsid w:val="43DC0C99"/>
    <w:rsid w:val="43E25B13"/>
    <w:rsid w:val="43E37176"/>
    <w:rsid w:val="43F8390B"/>
    <w:rsid w:val="442E489A"/>
    <w:rsid w:val="44684191"/>
    <w:rsid w:val="44972C41"/>
    <w:rsid w:val="44BE5250"/>
    <w:rsid w:val="45064999"/>
    <w:rsid w:val="45A17A28"/>
    <w:rsid w:val="45D86376"/>
    <w:rsid w:val="462673F6"/>
    <w:rsid w:val="468F369D"/>
    <w:rsid w:val="46AB19A8"/>
    <w:rsid w:val="46D41EC2"/>
    <w:rsid w:val="46E54706"/>
    <w:rsid w:val="46E9421E"/>
    <w:rsid w:val="46F404A3"/>
    <w:rsid w:val="471B3B6C"/>
    <w:rsid w:val="476236CE"/>
    <w:rsid w:val="47AB2BB7"/>
    <w:rsid w:val="47C47D3D"/>
    <w:rsid w:val="47D26BEC"/>
    <w:rsid w:val="48081183"/>
    <w:rsid w:val="485A44B7"/>
    <w:rsid w:val="487964F0"/>
    <w:rsid w:val="489D608C"/>
    <w:rsid w:val="490C297B"/>
    <w:rsid w:val="491C5D30"/>
    <w:rsid w:val="498508D2"/>
    <w:rsid w:val="49A224A1"/>
    <w:rsid w:val="49A87EB1"/>
    <w:rsid w:val="49B0440C"/>
    <w:rsid w:val="49FFD522"/>
    <w:rsid w:val="4A0A5DAD"/>
    <w:rsid w:val="4AAC5041"/>
    <w:rsid w:val="4B191F9B"/>
    <w:rsid w:val="4B3252A1"/>
    <w:rsid w:val="4B615BEE"/>
    <w:rsid w:val="4B79D015"/>
    <w:rsid w:val="4BA6001F"/>
    <w:rsid w:val="4BE16C52"/>
    <w:rsid w:val="4BF55C0C"/>
    <w:rsid w:val="4BFC0F94"/>
    <w:rsid w:val="4BFE57D7"/>
    <w:rsid w:val="4C3A46B4"/>
    <w:rsid w:val="4C3D2EC4"/>
    <w:rsid w:val="4C9A05F8"/>
    <w:rsid w:val="4CBA248F"/>
    <w:rsid w:val="4CE043F0"/>
    <w:rsid w:val="4CE73F9F"/>
    <w:rsid w:val="4CEF2FE9"/>
    <w:rsid w:val="4D2F42DA"/>
    <w:rsid w:val="4D545EF3"/>
    <w:rsid w:val="4D97FFC8"/>
    <w:rsid w:val="4DBFF146"/>
    <w:rsid w:val="4DE3CB3D"/>
    <w:rsid w:val="4E161E2D"/>
    <w:rsid w:val="4E7FD219"/>
    <w:rsid w:val="4EAB1D1E"/>
    <w:rsid w:val="4ECB229F"/>
    <w:rsid w:val="4F690E8C"/>
    <w:rsid w:val="4FBEC977"/>
    <w:rsid w:val="4FDF177A"/>
    <w:rsid w:val="4FFE3F5D"/>
    <w:rsid w:val="503E9997"/>
    <w:rsid w:val="50560FBB"/>
    <w:rsid w:val="51066C35"/>
    <w:rsid w:val="51110BF5"/>
    <w:rsid w:val="5181744E"/>
    <w:rsid w:val="51B788BB"/>
    <w:rsid w:val="51CD4A41"/>
    <w:rsid w:val="51FB4F37"/>
    <w:rsid w:val="532046AE"/>
    <w:rsid w:val="535542B5"/>
    <w:rsid w:val="536A1D31"/>
    <w:rsid w:val="5377A0F8"/>
    <w:rsid w:val="53B6FDF0"/>
    <w:rsid w:val="53F20141"/>
    <w:rsid w:val="53FD29DA"/>
    <w:rsid w:val="541C420C"/>
    <w:rsid w:val="5428674C"/>
    <w:rsid w:val="54376B61"/>
    <w:rsid w:val="544B2F03"/>
    <w:rsid w:val="544B7E63"/>
    <w:rsid w:val="548E1377"/>
    <w:rsid w:val="54AA67A6"/>
    <w:rsid w:val="555B3D38"/>
    <w:rsid w:val="55C16CCC"/>
    <w:rsid w:val="55D93BA9"/>
    <w:rsid w:val="55DF11EF"/>
    <w:rsid w:val="55FF275B"/>
    <w:rsid w:val="56087AE4"/>
    <w:rsid w:val="562B6A3C"/>
    <w:rsid w:val="563C77DB"/>
    <w:rsid w:val="56625914"/>
    <w:rsid w:val="5676E052"/>
    <w:rsid w:val="56A84260"/>
    <w:rsid w:val="56CE40B3"/>
    <w:rsid w:val="56D683AE"/>
    <w:rsid w:val="56DE01A4"/>
    <w:rsid w:val="571D559A"/>
    <w:rsid w:val="574DE0E4"/>
    <w:rsid w:val="574FD478"/>
    <w:rsid w:val="577472BC"/>
    <w:rsid w:val="57799FD9"/>
    <w:rsid w:val="5793374C"/>
    <w:rsid w:val="57B212CB"/>
    <w:rsid w:val="57E248ED"/>
    <w:rsid w:val="57E3B28D"/>
    <w:rsid w:val="57F18AEB"/>
    <w:rsid w:val="57F7AEEF"/>
    <w:rsid w:val="57FB28F8"/>
    <w:rsid w:val="57FF0F17"/>
    <w:rsid w:val="58076969"/>
    <w:rsid w:val="5821394A"/>
    <w:rsid w:val="582A28FE"/>
    <w:rsid w:val="588F4FFC"/>
    <w:rsid w:val="589D6C1A"/>
    <w:rsid w:val="58B04A61"/>
    <w:rsid w:val="58D6453D"/>
    <w:rsid w:val="58DE7981"/>
    <w:rsid w:val="58F65F0D"/>
    <w:rsid w:val="5929160D"/>
    <w:rsid w:val="592B6DCA"/>
    <w:rsid w:val="593F26F7"/>
    <w:rsid w:val="595D6A2A"/>
    <w:rsid w:val="595F76BA"/>
    <w:rsid w:val="59BE47B1"/>
    <w:rsid w:val="59F79157"/>
    <w:rsid w:val="5A472F75"/>
    <w:rsid w:val="5A902107"/>
    <w:rsid w:val="5A9060D3"/>
    <w:rsid w:val="5AD174B4"/>
    <w:rsid w:val="5ADA0C3F"/>
    <w:rsid w:val="5B0168A2"/>
    <w:rsid w:val="5B264C04"/>
    <w:rsid w:val="5B46079D"/>
    <w:rsid w:val="5B9A0EA3"/>
    <w:rsid w:val="5BFC75DC"/>
    <w:rsid w:val="5BFFCF9E"/>
    <w:rsid w:val="5C353FBD"/>
    <w:rsid w:val="5C373651"/>
    <w:rsid w:val="5C62416A"/>
    <w:rsid w:val="5C675281"/>
    <w:rsid w:val="5CB2049B"/>
    <w:rsid w:val="5CEE4440"/>
    <w:rsid w:val="5D420EEF"/>
    <w:rsid w:val="5D7E20A9"/>
    <w:rsid w:val="5D7F3AEB"/>
    <w:rsid w:val="5DB40E58"/>
    <w:rsid w:val="5DD3315F"/>
    <w:rsid w:val="5DD7474F"/>
    <w:rsid w:val="5DD777E7"/>
    <w:rsid w:val="5DEF7B4B"/>
    <w:rsid w:val="5DF67B9F"/>
    <w:rsid w:val="5DFEDD2D"/>
    <w:rsid w:val="5E1B187B"/>
    <w:rsid w:val="5E5F594C"/>
    <w:rsid w:val="5E7679F8"/>
    <w:rsid w:val="5EBFA87C"/>
    <w:rsid w:val="5EEA2CB2"/>
    <w:rsid w:val="5EED39BD"/>
    <w:rsid w:val="5F0B22AF"/>
    <w:rsid w:val="5F263649"/>
    <w:rsid w:val="5F4B7A4A"/>
    <w:rsid w:val="5F6BDF9D"/>
    <w:rsid w:val="5FAEA533"/>
    <w:rsid w:val="5FBD8441"/>
    <w:rsid w:val="5FC46DED"/>
    <w:rsid w:val="5FC7E3E1"/>
    <w:rsid w:val="5FEF1ABE"/>
    <w:rsid w:val="5FEF405C"/>
    <w:rsid w:val="5FF7A328"/>
    <w:rsid w:val="5FFC30AB"/>
    <w:rsid w:val="5FFD4743"/>
    <w:rsid w:val="5FFD80FC"/>
    <w:rsid w:val="5FFD82BD"/>
    <w:rsid w:val="601C3B87"/>
    <w:rsid w:val="60456D9A"/>
    <w:rsid w:val="60612BE7"/>
    <w:rsid w:val="60DC556D"/>
    <w:rsid w:val="61325EF4"/>
    <w:rsid w:val="61851983"/>
    <w:rsid w:val="61D747C1"/>
    <w:rsid w:val="62015E83"/>
    <w:rsid w:val="622249EB"/>
    <w:rsid w:val="62CB4B43"/>
    <w:rsid w:val="62D422D9"/>
    <w:rsid w:val="62DB4214"/>
    <w:rsid w:val="62E04B1E"/>
    <w:rsid w:val="62FBB491"/>
    <w:rsid w:val="632469C3"/>
    <w:rsid w:val="63466974"/>
    <w:rsid w:val="640C7C62"/>
    <w:rsid w:val="64261B1B"/>
    <w:rsid w:val="649B3991"/>
    <w:rsid w:val="64F81542"/>
    <w:rsid w:val="65C7702F"/>
    <w:rsid w:val="65ED2C39"/>
    <w:rsid w:val="65FE6938"/>
    <w:rsid w:val="66115D5E"/>
    <w:rsid w:val="66A70D01"/>
    <w:rsid w:val="66D4560C"/>
    <w:rsid w:val="66EEFC43"/>
    <w:rsid w:val="67327CE8"/>
    <w:rsid w:val="673EE817"/>
    <w:rsid w:val="677957A1"/>
    <w:rsid w:val="67AE2634"/>
    <w:rsid w:val="67B027AB"/>
    <w:rsid w:val="67C7F719"/>
    <w:rsid w:val="67D7D52C"/>
    <w:rsid w:val="67F671B1"/>
    <w:rsid w:val="6825035B"/>
    <w:rsid w:val="6825618F"/>
    <w:rsid w:val="687056FC"/>
    <w:rsid w:val="68767EF5"/>
    <w:rsid w:val="68771438"/>
    <w:rsid w:val="687D214D"/>
    <w:rsid w:val="689525F5"/>
    <w:rsid w:val="68A76D3C"/>
    <w:rsid w:val="68A84242"/>
    <w:rsid w:val="68B3739E"/>
    <w:rsid w:val="690E0C64"/>
    <w:rsid w:val="69731306"/>
    <w:rsid w:val="699407A3"/>
    <w:rsid w:val="69974AB2"/>
    <w:rsid w:val="69D14773"/>
    <w:rsid w:val="69EC5D5C"/>
    <w:rsid w:val="69FE0C20"/>
    <w:rsid w:val="69FE4821"/>
    <w:rsid w:val="6A487440"/>
    <w:rsid w:val="6A5D094B"/>
    <w:rsid w:val="6A7D334C"/>
    <w:rsid w:val="6AAD0626"/>
    <w:rsid w:val="6AAD6D0E"/>
    <w:rsid w:val="6AD34562"/>
    <w:rsid w:val="6B220E78"/>
    <w:rsid w:val="6B357FB0"/>
    <w:rsid w:val="6B3A6596"/>
    <w:rsid w:val="6B5A7776"/>
    <w:rsid w:val="6BB9A02B"/>
    <w:rsid w:val="6BDD7F5D"/>
    <w:rsid w:val="6BE7D8D7"/>
    <w:rsid w:val="6BF5132D"/>
    <w:rsid w:val="6BF76434"/>
    <w:rsid w:val="6BFAEFF8"/>
    <w:rsid w:val="6BFD3538"/>
    <w:rsid w:val="6C744EC8"/>
    <w:rsid w:val="6C7A155A"/>
    <w:rsid w:val="6CA7DEC4"/>
    <w:rsid w:val="6CBFCA9B"/>
    <w:rsid w:val="6CEE4266"/>
    <w:rsid w:val="6CF45ACA"/>
    <w:rsid w:val="6CF67941"/>
    <w:rsid w:val="6CFFBC74"/>
    <w:rsid w:val="6DAF7A21"/>
    <w:rsid w:val="6DBDDE0A"/>
    <w:rsid w:val="6DD6E6C6"/>
    <w:rsid w:val="6DDF640D"/>
    <w:rsid w:val="6DEFA698"/>
    <w:rsid w:val="6E395923"/>
    <w:rsid w:val="6E425136"/>
    <w:rsid w:val="6E7308F0"/>
    <w:rsid w:val="6E7D7F2B"/>
    <w:rsid w:val="6EA223A1"/>
    <w:rsid w:val="6F125E85"/>
    <w:rsid w:val="6F472468"/>
    <w:rsid w:val="6F543EAC"/>
    <w:rsid w:val="6F933862"/>
    <w:rsid w:val="6FB7A251"/>
    <w:rsid w:val="6FB85521"/>
    <w:rsid w:val="6FBA03FB"/>
    <w:rsid w:val="6FF3659A"/>
    <w:rsid w:val="6FFD0E38"/>
    <w:rsid w:val="6FFD25D6"/>
    <w:rsid w:val="700B577D"/>
    <w:rsid w:val="70346AA0"/>
    <w:rsid w:val="706046E9"/>
    <w:rsid w:val="707D0B69"/>
    <w:rsid w:val="70EF35BD"/>
    <w:rsid w:val="710F23F7"/>
    <w:rsid w:val="711639BE"/>
    <w:rsid w:val="718824CE"/>
    <w:rsid w:val="71F020FC"/>
    <w:rsid w:val="72015738"/>
    <w:rsid w:val="723D77D9"/>
    <w:rsid w:val="727FA2C7"/>
    <w:rsid w:val="729C4BE8"/>
    <w:rsid w:val="72AB6AC0"/>
    <w:rsid w:val="72F378BD"/>
    <w:rsid w:val="730F19FB"/>
    <w:rsid w:val="735658BC"/>
    <w:rsid w:val="735F52AB"/>
    <w:rsid w:val="7379734F"/>
    <w:rsid w:val="7383CFBF"/>
    <w:rsid w:val="739957EB"/>
    <w:rsid w:val="739B00E7"/>
    <w:rsid w:val="73DF75E3"/>
    <w:rsid w:val="73E557D4"/>
    <w:rsid w:val="73FBEE88"/>
    <w:rsid w:val="73FD8D84"/>
    <w:rsid w:val="74077539"/>
    <w:rsid w:val="74C24450"/>
    <w:rsid w:val="74DE25C7"/>
    <w:rsid w:val="74E33A52"/>
    <w:rsid w:val="75368779"/>
    <w:rsid w:val="755634E0"/>
    <w:rsid w:val="756E0822"/>
    <w:rsid w:val="757F3570"/>
    <w:rsid w:val="75AE7D9A"/>
    <w:rsid w:val="75B84327"/>
    <w:rsid w:val="75BDDFEF"/>
    <w:rsid w:val="75E31150"/>
    <w:rsid w:val="75EE55B6"/>
    <w:rsid w:val="75F76215"/>
    <w:rsid w:val="75FD371E"/>
    <w:rsid w:val="75FD5051"/>
    <w:rsid w:val="763F30A1"/>
    <w:rsid w:val="76567242"/>
    <w:rsid w:val="766016B9"/>
    <w:rsid w:val="766BDBCB"/>
    <w:rsid w:val="7676CC58"/>
    <w:rsid w:val="76852114"/>
    <w:rsid w:val="769F8A6B"/>
    <w:rsid w:val="76D417EE"/>
    <w:rsid w:val="76DE4301"/>
    <w:rsid w:val="76ED0A13"/>
    <w:rsid w:val="76F7B93B"/>
    <w:rsid w:val="76FD1997"/>
    <w:rsid w:val="770327E8"/>
    <w:rsid w:val="772D37D9"/>
    <w:rsid w:val="773F6EB9"/>
    <w:rsid w:val="777B1405"/>
    <w:rsid w:val="777BE973"/>
    <w:rsid w:val="77A669CA"/>
    <w:rsid w:val="77A86BF8"/>
    <w:rsid w:val="77AF7008"/>
    <w:rsid w:val="77BC9300"/>
    <w:rsid w:val="77BE281C"/>
    <w:rsid w:val="77BE3292"/>
    <w:rsid w:val="77BFB1FC"/>
    <w:rsid w:val="77BFBA52"/>
    <w:rsid w:val="77D78991"/>
    <w:rsid w:val="77DD39BE"/>
    <w:rsid w:val="77DF8E2D"/>
    <w:rsid w:val="77F4DC93"/>
    <w:rsid w:val="77F62BDF"/>
    <w:rsid w:val="77F7500A"/>
    <w:rsid w:val="7857CDF1"/>
    <w:rsid w:val="786354E7"/>
    <w:rsid w:val="78F37024"/>
    <w:rsid w:val="79197886"/>
    <w:rsid w:val="7929157A"/>
    <w:rsid w:val="793F09D8"/>
    <w:rsid w:val="793F1269"/>
    <w:rsid w:val="79443810"/>
    <w:rsid w:val="7957DD4D"/>
    <w:rsid w:val="797B1EF5"/>
    <w:rsid w:val="79B1B8EE"/>
    <w:rsid w:val="79BFC727"/>
    <w:rsid w:val="79F7827C"/>
    <w:rsid w:val="7A1C2118"/>
    <w:rsid w:val="7A7EA32C"/>
    <w:rsid w:val="7AA70697"/>
    <w:rsid w:val="7ACF4660"/>
    <w:rsid w:val="7AEF9E2D"/>
    <w:rsid w:val="7B12171B"/>
    <w:rsid w:val="7B171A1E"/>
    <w:rsid w:val="7B3B0287"/>
    <w:rsid w:val="7B58039D"/>
    <w:rsid w:val="7B639887"/>
    <w:rsid w:val="7B693FD1"/>
    <w:rsid w:val="7B74305E"/>
    <w:rsid w:val="7B784910"/>
    <w:rsid w:val="7B7B0C05"/>
    <w:rsid w:val="7B7D3BF7"/>
    <w:rsid w:val="7B8B457B"/>
    <w:rsid w:val="7BB33191"/>
    <w:rsid w:val="7BB74DF8"/>
    <w:rsid w:val="7BBA2A7C"/>
    <w:rsid w:val="7BBC6E3B"/>
    <w:rsid w:val="7BC7A9C9"/>
    <w:rsid w:val="7BCA658D"/>
    <w:rsid w:val="7BD8365D"/>
    <w:rsid w:val="7BF1D616"/>
    <w:rsid w:val="7BFD9CAC"/>
    <w:rsid w:val="7BFF64EB"/>
    <w:rsid w:val="7BFF8F46"/>
    <w:rsid w:val="7C1432F2"/>
    <w:rsid w:val="7C1A4FE8"/>
    <w:rsid w:val="7C2A47D5"/>
    <w:rsid w:val="7C6BAEA9"/>
    <w:rsid w:val="7C716EF4"/>
    <w:rsid w:val="7CAE4DAE"/>
    <w:rsid w:val="7CD7164B"/>
    <w:rsid w:val="7CE634E0"/>
    <w:rsid w:val="7D39330A"/>
    <w:rsid w:val="7D675BDD"/>
    <w:rsid w:val="7D762586"/>
    <w:rsid w:val="7D834FBB"/>
    <w:rsid w:val="7D863D79"/>
    <w:rsid w:val="7DAA0A3C"/>
    <w:rsid w:val="7DAB5A3F"/>
    <w:rsid w:val="7DAFC7D4"/>
    <w:rsid w:val="7DB5324D"/>
    <w:rsid w:val="7DBE7DDE"/>
    <w:rsid w:val="7DCFCBE4"/>
    <w:rsid w:val="7DDF462F"/>
    <w:rsid w:val="7DDFD46C"/>
    <w:rsid w:val="7DE784C5"/>
    <w:rsid w:val="7DF769D7"/>
    <w:rsid w:val="7DFBD9E6"/>
    <w:rsid w:val="7DFE559C"/>
    <w:rsid w:val="7DFEBA93"/>
    <w:rsid w:val="7DFEC2B3"/>
    <w:rsid w:val="7DFF7C69"/>
    <w:rsid w:val="7E1F8704"/>
    <w:rsid w:val="7EA75757"/>
    <w:rsid w:val="7EAF3636"/>
    <w:rsid w:val="7EBF4BA0"/>
    <w:rsid w:val="7ECF3837"/>
    <w:rsid w:val="7ED3882D"/>
    <w:rsid w:val="7EDE33CB"/>
    <w:rsid w:val="7EDF6DDA"/>
    <w:rsid w:val="7EDFAA0B"/>
    <w:rsid w:val="7EE1084A"/>
    <w:rsid w:val="7EE8292E"/>
    <w:rsid w:val="7EEF3A7B"/>
    <w:rsid w:val="7F0657E2"/>
    <w:rsid w:val="7F1951B2"/>
    <w:rsid w:val="7F3696BD"/>
    <w:rsid w:val="7F3A560B"/>
    <w:rsid w:val="7F3F20D7"/>
    <w:rsid w:val="7F434CC4"/>
    <w:rsid w:val="7F478200"/>
    <w:rsid w:val="7F579186"/>
    <w:rsid w:val="7F6BB9EF"/>
    <w:rsid w:val="7F76205F"/>
    <w:rsid w:val="7F7A665B"/>
    <w:rsid w:val="7F7C96A1"/>
    <w:rsid w:val="7F7D58EC"/>
    <w:rsid w:val="7F7ED191"/>
    <w:rsid w:val="7F7F9760"/>
    <w:rsid w:val="7F7FC488"/>
    <w:rsid w:val="7F9D08B5"/>
    <w:rsid w:val="7F9F4AC7"/>
    <w:rsid w:val="7FA16B6D"/>
    <w:rsid w:val="7FABCFD8"/>
    <w:rsid w:val="7FAD2CF1"/>
    <w:rsid w:val="7FAFCC57"/>
    <w:rsid w:val="7FB9BBED"/>
    <w:rsid w:val="7FBD9F55"/>
    <w:rsid w:val="7FBEDF79"/>
    <w:rsid w:val="7FC75C2E"/>
    <w:rsid w:val="7FD5D957"/>
    <w:rsid w:val="7FD91AB4"/>
    <w:rsid w:val="7FD9E862"/>
    <w:rsid w:val="7FDEEA96"/>
    <w:rsid w:val="7FDF53D3"/>
    <w:rsid w:val="7FDF838E"/>
    <w:rsid w:val="7FDFBE07"/>
    <w:rsid w:val="7FE755D7"/>
    <w:rsid w:val="7FE907C4"/>
    <w:rsid w:val="7FEF3205"/>
    <w:rsid w:val="7FEF730E"/>
    <w:rsid w:val="7FF118C9"/>
    <w:rsid w:val="7FF2EA01"/>
    <w:rsid w:val="7FF59C48"/>
    <w:rsid w:val="7FFAFE6B"/>
    <w:rsid w:val="7FFB664F"/>
    <w:rsid w:val="7FFB6773"/>
    <w:rsid w:val="7FFDD549"/>
    <w:rsid w:val="7FFF2E26"/>
    <w:rsid w:val="7FFF4B2F"/>
    <w:rsid w:val="7FFFBB2D"/>
    <w:rsid w:val="85FDA75E"/>
    <w:rsid w:val="923D5133"/>
    <w:rsid w:val="94DD7B0C"/>
    <w:rsid w:val="9536C1AF"/>
    <w:rsid w:val="9679CCD8"/>
    <w:rsid w:val="97F3D4C9"/>
    <w:rsid w:val="9D4B5CFF"/>
    <w:rsid w:val="9DDF4C9F"/>
    <w:rsid w:val="9DE68B30"/>
    <w:rsid w:val="9DEE246B"/>
    <w:rsid w:val="9FBF8717"/>
    <w:rsid w:val="9FCF96BE"/>
    <w:rsid w:val="9FDBB5B3"/>
    <w:rsid w:val="A37E16AE"/>
    <w:rsid w:val="A3F9BCC4"/>
    <w:rsid w:val="A6FE1991"/>
    <w:rsid w:val="A73E334A"/>
    <w:rsid w:val="A773F52E"/>
    <w:rsid w:val="A7BF2469"/>
    <w:rsid w:val="A7DEBDD6"/>
    <w:rsid w:val="A9EF8E27"/>
    <w:rsid w:val="AD458869"/>
    <w:rsid w:val="AD8F4260"/>
    <w:rsid w:val="ADDD22FF"/>
    <w:rsid w:val="AE9B393C"/>
    <w:rsid w:val="AED94107"/>
    <w:rsid w:val="AEEFC718"/>
    <w:rsid w:val="AEFBA735"/>
    <w:rsid w:val="AEFF7A0F"/>
    <w:rsid w:val="AF9EC66D"/>
    <w:rsid w:val="AFD70FF2"/>
    <w:rsid w:val="AFDF798E"/>
    <w:rsid w:val="AFEC2408"/>
    <w:rsid w:val="AFFF8621"/>
    <w:rsid w:val="B3CF133D"/>
    <w:rsid w:val="B3D771F0"/>
    <w:rsid w:val="B4FF5E10"/>
    <w:rsid w:val="B54B9D90"/>
    <w:rsid w:val="B5BA38B1"/>
    <w:rsid w:val="B5FFA147"/>
    <w:rsid w:val="B77BE72E"/>
    <w:rsid w:val="B79B489D"/>
    <w:rsid w:val="B7B8AA71"/>
    <w:rsid w:val="B7DE9CA2"/>
    <w:rsid w:val="B7DFCEAB"/>
    <w:rsid w:val="B7E10E24"/>
    <w:rsid w:val="B7EFE1B5"/>
    <w:rsid w:val="B7F6A981"/>
    <w:rsid w:val="BA7B23C6"/>
    <w:rsid w:val="BAFFCD34"/>
    <w:rsid w:val="BBCA073B"/>
    <w:rsid w:val="BCB3D3F6"/>
    <w:rsid w:val="BCF77FDC"/>
    <w:rsid w:val="BCFEA4C3"/>
    <w:rsid w:val="BDDFF2E4"/>
    <w:rsid w:val="BDEC2B2C"/>
    <w:rsid w:val="BDF62657"/>
    <w:rsid w:val="BDFD12AB"/>
    <w:rsid w:val="BDFFAFCB"/>
    <w:rsid w:val="BEB2FF80"/>
    <w:rsid w:val="BF3FB32B"/>
    <w:rsid w:val="BF79B7BC"/>
    <w:rsid w:val="BF7E5D05"/>
    <w:rsid w:val="BF7F40FB"/>
    <w:rsid w:val="BF9F0BB0"/>
    <w:rsid w:val="BFB75D4C"/>
    <w:rsid w:val="BFBBDB30"/>
    <w:rsid w:val="BFDD6C8F"/>
    <w:rsid w:val="BFF32D62"/>
    <w:rsid w:val="BFF5CBEA"/>
    <w:rsid w:val="BFF74CC1"/>
    <w:rsid w:val="BFF91796"/>
    <w:rsid w:val="BFFB707B"/>
    <w:rsid w:val="BFFF447C"/>
    <w:rsid w:val="BFFFC038"/>
    <w:rsid w:val="C6B96B6B"/>
    <w:rsid w:val="CBB7F9BA"/>
    <w:rsid w:val="CDF773A5"/>
    <w:rsid w:val="CDFDCC28"/>
    <w:rsid w:val="CDFFFBCF"/>
    <w:rsid w:val="CE6F09B6"/>
    <w:rsid w:val="CEFE6412"/>
    <w:rsid w:val="CF7F5CEF"/>
    <w:rsid w:val="CFBD257B"/>
    <w:rsid w:val="CFD7DCED"/>
    <w:rsid w:val="CFF61D1C"/>
    <w:rsid w:val="D2C608D3"/>
    <w:rsid w:val="D343C06A"/>
    <w:rsid w:val="D3DF853E"/>
    <w:rsid w:val="D49E925A"/>
    <w:rsid w:val="D67C4135"/>
    <w:rsid w:val="D6BF43FA"/>
    <w:rsid w:val="D8BAA349"/>
    <w:rsid w:val="D8EBB199"/>
    <w:rsid w:val="DAFF0F61"/>
    <w:rsid w:val="DB5E7AC0"/>
    <w:rsid w:val="DB67CBDA"/>
    <w:rsid w:val="DBEE5F48"/>
    <w:rsid w:val="DC5FDC58"/>
    <w:rsid w:val="DDE94CFA"/>
    <w:rsid w:val="DDE9719E"/>
    <w:rsid w:val="DDF8CE7B"/>
    <w:rsid w:val="DDF8EF12"/>
    <w:rsid w:val="DDFAE13C"/>
    <w:rsid w:val="DE67AFBC"/>
    <w:rsid w:val="DE7BD793"/>
    <w:rsid w:val="DEBB86D9"/>
    <w:rsid w:val="DEFE30C0"/>
    <w:rsid w:val="DEFFB381"/>
    <w:rsid w:val="DF3ECF69"/>
    <w:rsid w:val="DF6DA0C3"/>
    <w:rsid w:val="DF7D20D7"/>
    <w:rsid w:val="DF9D9D99"/>
    <w:rsid w:val="DFB74DC9"/>
    <w:rsid w:val="DFB91D5B"/>
    <w:rsid w:val="DFBD4BD7"/>
    <w:rsid w:val="DFBEF6D6"/>
    <w:rsid w:val="DFCF8ED6"/>
    <w:rsid w:val="DFFAA551"/>
    <w:rsid w:val="DFFB2C01"/>
    <w:rsid w:val="DFFCC5E3"/>
    <w:rsid w:val="DFFF18F2"/>
    <w:rsid w:val="DFFFD6EB"/>
    <w:rsid w:val="DFFFEBB9"/>
    <w:rsid w:val="E1FE872C"/>
    <w:rsid w:val="E57FA808"/>
    <w:rsid w:val="E5FD5EFE"/>
    <w:rsid w:val="E67F83C9"/>
    <w:rsid w:val="E685D1F9"/>
    <w:rsid w:val="E6BB7E40"/>
    <w:rsid w:val="E763FCC8"/>
    <w:rsid w:val="E7F75949"/>
    <w:rsid w:val="E7FB7609"/>
    <w:rsid w:val="E7FEC5FE"/>
    <w:rsid w:val="E8CFC3D3"/>
    <w:rsid w:val="E8DD5138"/>
    <w:rsid w:val="E8F6FF8E"/>
    <w:rsid w:val="EA9FA91A"/>
    <w:rsid w:val="EADE8C46"/>
    <w:rsid w:val="EAF9AF99"/>
    <w:rsid w:val="EAFB0159"/>
    <w:rsid w:val="EBAA76BA"/>
    <w:rsid w:val="EBFF6FE9"/>
    <w:rsid w:val="EBFFF49E"/>
    <w:rsid w:val="ECBFD6DE"/>
    <w:rsid w:val="ECFFC37F"/>
    <w:rsid w:val="ED6E3591"/>
    <w:rsid w:val="EDF92797"/>
    <w:rsid w:val="EDFEA945"/>
    <w:rsid w:val="EE0FCC81"/>
    <w:rsid w:val="EEFDBB7A"/>
    <w:rsid w:val="EF3BDB39"/>
    <w:rsid w:val="EF5164BB"/>
    <w:rsid w:val="EF5DFD82"/>
    <w:rsid w:val="EF7E9B28"/>
    <w:rsid w:val="EF7FB9FD"/>
    <w:rsid w:val="EF8A88B0"/>
    <w:rsid w:val="EFB5B6CA"/>
    <w:rsid w:val="EFCBB994"/>
    <w:rsid w:val="EFEAD3CC"/>
    <w:rsid w:val="EFEE7924"/>
    <w:rsid w:val="EFF642C0"/>
    <w:rsid w:val="EFFF36BB"/>
    <w:rsid w:val="EFFF8227"/>
    <w:rsid w:val="F37F2D70"/>
    <w:rsid w:val="F3BA62F4"/>
    <w:rsid w:val="F3BB371D"/>
    <w:rsid w:val="F4BF114D"/>
    <w:rsid w:val="F5753CB4"/>
    <w:rsid w:val="F57ABC27"/>
    <w:rsid w:val="F5956C3C"/>
    <w:rsid w:val="F5DB8D68"/>
    <w:rsid w:val="F5EE2210"/>
    <w:rsid w:val="F5F7B404"/>
    <w:rsid w:val="F5FF5631"/>
    <w:rsid w:val="F66D2286"/>
    <w:rsid w:val="F6DFBA6B"/>
    <w:rsid w:val="F6F933DA"/>
    <w:rsid w:val="F6FBA644"/>
    <w:rsid w:val="F73A2625"/>
    <w:rsid w:val="F764EC7F"/>
    <w:rsid w:val="F773EB2D"/>
    <w:rsid w:val="F797CEBC"/>
    <w:rsid w:val="F7B32EA3"/>
    <w:rsid w:val="F7BEA3F8"/>
    <w:rsid w:val="F7D9959E"/>
    <w:rsid w:val="F7DA7C41"/>
    <w:rsid w:val="F7DDF76D"/>
    <w:rsid w:val="F7DF96BB"/>
    <w:rsid w:val="F7E9D278"/>
    <w:rsid w:val="F7FD3D05"/>
    <w:rsid w:val="F7FFE2D9"/>
    <w:rsid w:val="F917F429"/>
    <w:rsid w:val="F96F940E"/>
    <w:rsid w:val="F9DF5D3E"/>
    <w:rsid w:val="FA7F8202"/>
    <w:rsid w:val="FAC98800"/>
    <w:rsid w:val="FAFAE470"/>
    <w:rsid w:val="FB2F0F0C"/>
    <w:rsid w:val="FB6F116D"/>
    <w:rsid w:val="FB6FCCA9"/>
    <w:rsid w:val="FB7764F1"/>
    <w:rsid w:val="FB7FCCF7"/>
    <w:rsid w:val="FB9677DC"/>
    <w:rsid w:val="FBAF5129"/>
    <w:rsid w:val="FBB7BCEF"/>
    <w:rsid w:val="FBB7DF00"/>
    <w:rsid w:val="FBBB0B73"/>
    <w:rsid w:val="FBBF5450"/>
    <w:rsid w:val="FBBF86B3"/>
    <w:rsid w:val="FBBFB36C"/>
    <w:rsid w:val="FBCB71BA"/>
    <w:rsid w:val="FBDBA6AB"/>
    <w:rsid w:val="FBDBDAC1"/>
    <w:rsid w:val="FBEE117B"/>
    <w:rsid w:val="FBEE3ED9"/>
    <w:rsid w:val="FBEF8F56"/>
    <w:rsid w:val="FBEFB584"/>
    <w:rsid w:val="FBFE57DE"/>
    <w:rsid w:val="FC6F0A67"/>
    <w:rsid w:val="FCF3562C"/>
    <w:rsid w:val="FCFB13B3"/>
    <w:rsid w:val="FCFF0FE1"/>
    <w:rsid w:val="FD6FE217"/>
    <w:rsid w:val="FD73E5F7"/>
    <w:rsid w:val="FD770809"/>
    <w:rsid w:val="FD7EDCCC"/>
    <w:rsid w:val="FD7F51E9"/>
    <w:rsid w:val="FDBB81B3"/>
    <w:rsid w:val="FDCDB1DE"/>
    <w:rsid w:val="FDE71B70"/>
    <w:rsid w:val="FDFB1361"/>
    <w:rsid w:val="FE3D49F0"/>
    <w:rsid w:val="FE4FF22E"/>
    <w:rsid w:val="FE734873"/>
    <w:rsid w:val="FE7BE14C"/>
    <w:rsid w:val="FEABA862"/>
    <w:rsid w:val="FEAD4700"/>
    <w:rsid w:val="FEBEB6D1"/>
    <w:rsid w:val="FEDDA89D"/>
    <w:rsid w:val="FEDFD48F"/>
    <w:rsid w:val="FEEA9F02"/>
    <w:rsid w:val="FEFDCF1A"/>
    <w:rsid w:val="FEFEDA4B"/>
    <w:rsid w:val="FEFEE409"/>
    <w:rsid w:val="FEFF35E9"/>
    <w:rsid w:val="FEFF4E55"/>
    <w:rsid w:val="FEFF9085"/>
    <w:rsid w:val="FF176640"/>
    <w:rsid w:val="FF547F50"/>
    <w:rsid w:val="FF6A7DF9"/>
    <w:rsid w:val="FF6D1519"/>
    <w:rsid w:val="FF71EC73"/>
    <w:rsid w:val="FF75A175"/>
    <w:rsid w:val="FF7BBC51"/>
    <w:rsid w:val="FF7C7729"/>
    <w:rsid w:val="FF7F536D"/>
    <w:rsid w:val="FF7FFD77"/>
    <w:rsid w:val="FF9D6256"/>
    <w:rsid w:val="FF9EDB87"/>
    <w:rsid w:val="FFA97B6F"/>
    <w:rsid w:val="FFAE8991"/>
    <w:rsid w:val="FFB5597A"/>
    <w:rsid w:val="FFB65ACC"/>
    <w:rsid w:val="FFB672F4"/>
    <w:rsid w:val="FFBE59F3"/>
    <w:rsid w:val="FFC8474A"/>
    <w:rsid w:val="FFCF14DF"/>
    <w:rsid w:val="FFCFAD1B"/>
    <w:rsid w:val="FFDAD0AB"/>
    <w:rsid w:val="FFEF251C"/>
    <w:rsid w:val="FFEF98F6"/>
    <w:rsid w:val="FFEFC239"/>
    <w:rsid w:val="FFEFC611"/>
    <w:rsid w:val="FFEFCB7A"/>
    <w:rsid w:val="FFF398BC"/>
    <w:rsid w:val="FFF3FD53"/>
    <w:rsid w:val="FFF597DE"/>
    <w:rsid w:val="FFF6ACBD"/>
    <w:rsid w:val="FFF9D8A2"/>
    <w:rsid w:val="FFFC151F"/>
    <w:rsid w:val="FFFC4383"/>
    <w:rsid w:val="FFFE3CC6"/>
    <w:rsid w:val="FFFE7F73"/>
    <w:rsid w:val="FFFEF154"/>
    <w:rsid w:val="FFFF2DD3"/>
    <w:rsid w:val="FFFF84D0"/>
    <w:rsid w:val="FFFF9DE4"/>
    <w:rsid w:val="FFFFC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ody Text Indent"/>
    <w:basedOn w:val="1"/>
    <w:qFormat/>
    <w:uiPriority w:val="0"/>
    <w:pPr>
      <w:ind w:firstLine="630"/>
    </w:pPr>
    <w:rPr>
      <w:rFonts w:eastAsia="仿宋_GB2312"/>
      <w:sz w:val="32"/>
      <w:szCs w:val="20"/>
    </w:rPr>
  </w:style>
  <w:style w:type="paragraph" w:styleId="6">
    <w:name w:val="Plain Text"/>
    <w:basedOn w:val="1"/>
    <w:qFormat/>
    <w:uiPriority w:val="0"/>
    <w:rPr>
      <w:rFonts w:ascii="宋体" w:hAnsi="Courier New"/>
      <w:szCs w:val="20"/>
    </w:rPr>
  </w:style>
  <w:style w:type="paragraph" w:styleId="7">
    <w:name w:val="Date"/>
    <w:basedOn w:val="1"/>
    <w:next w:val="1"/>
    <w:qFormat/>
    <w:uiPriority w:val="0"/>
    <w:pPr>
      <w:widowControl/>
    </w:pPr>
    <w:rPr>
      <w:rFonts w:ascii="宋体" w:hAnsi="Courier New"/>
      <w:sz w:val="28"/>
      <w:szCs w:val="20"/>
    </w:rPr>
  </w:style>
  <w:style w:type="paragraph" w:styleId="8">
    <w:name w:val="Balloon Text"/>
    <w:basedOn w:val="1"/>
    <w:semiHidden/>
    <w:qFormat/>
    <w:uiPriority w:val="99"/>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2"/>
    <w:qFormat/>
    <w:uiPriority w:val="0"/>
    <w:pPr>
      <w:widowControl w:val="0"/>
      <w:spacing w:after="120" w:line="240" w:lineRule="auto"/>
      <w:ind w:firstLine="420"/>
      <w:jc w:val="both"/>
    </w:pPr>
    <w:rPr>
      <w:snapToGrid w:val="0"/>
      <w:kern w:val="0"/>
    </w:rPr>
  </w:style>
  <w:style w:type="table" w:styleId="12">
    <w:name w:val="Table Grid"/>
    <w:basedOn w:val="1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qFormat/>
    <w:uiPriority w:val="0"/>
    <w:rPr>
      <w:rFonts w:hint="eastAsia" w:ascii="宋体" w:hAnsi="宋体" w:eastAsia="宋体" w:cs="宋体"/>
      <w:color w:val="000000"/>
      <w:u w:val="none"/>
    </w:rPr>
  </w:style>
  <w:style w:type="character" w:styleId="15">
    <w:name w:val="Hyperlink"/>
    <w:basedOn w:val="13"/>
    <w:qFormat/>
    <w:uiPriority w:val="0"/>
    <w:rPr>
      <w:rFonts w:hint="eastAsia" w:ascii="宋体" w:hAnsi="宋体" w:eastAsia="宋体" w:cs="宋体"/>
      <w:color w:val="000000"/>
      <w:u w:val="none"/>
    </w:rPr>
  </w:style>
  <w:style w:type="paragraph" w:customStyle="1" w:styleId="16">
    <w:name w:val="Table Paragraph"/>
    <w:basedOn w:val="1"/>
    <w:unhideWhenUsed/>
    <w:qFormat/>
    <w:uiPriority w:val="1"/>
    <w:rPr>
      <w:rFonts w:hint="default"/>
      <w:sz w:val="24"/>
    </w:rPr>
  </w:style>
  <w:style w:type="paragraph" w:customStyle="1" w:styleId="1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font21"/>
    <w:basedOn w:val="13"/>
    <w:qFormat/>
    <w:uiPriority w:val="0"/>
    <w:rPr>
      <w:rFonts w:hint="eastAsia" w:ascii="宋体" w:hAnsi="宋体" w:eastAsia="宋体" w:cs="宋体"/>
      <w:color w:val="000000"/>
      <w:sz w:val="22"/>
      <w:szCs w:val="22"/>
      <w:u w:val="none"/>
    </w:rPr>
  </w:style>
  <w:style w:type="character" w:customStyle="1" w:styleId="21">
    <w:name w:val="font11"/>
    <w:basedOn w:val="13"/>
    <w:qFormat/>
    <w:uiPriority w:val="0"/>
    <w:rPr>
      <w:rFonts w:hint="eastAsia" w:ascii="宋体" w:hAnsi="宋体" w:eastAsia="宋体" w:cs="宋体"/>
      <w:color w:val="000000"/>
      <w:sz w:val="22"/>
      <w:szCs w:val="22"/>
      <w:u w:val="none"/>
      <w:vertAlign w:val="superscript"/>
    </w:rPr>
  </w:style>
  <w:style w:type="paragraph" w:customStyle="1" w:styleId="2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4">
    <w:name w:val="Normal"/>
    <w:basedOn w:val="1"/>
    <w:qFormat/>
    <w:uiPriority w:val="0"/>
    <w:pPr>
      <w:widowControl/>
    </w:pPr>
    <w:rPr>
      <w:rFonts w:ascii="宋体" w:hAnsi="宋体" w:cs="宋体"/>
      <w:szCs w:val="21"/>
    </w:rPr>
  </w:style>
  <w:style w:type="character" w:customStyle="1" w:styleId="25">
    <w:name w:val="txtcontent11"/>
    <w:qFormat/>
    <w:uiPriority w:val="0"/>
    <w:rPr>
      <w:rFonts w:hint="default" w:ascii="ˎ̥" w:hAnsi="ˎ̥"/>
      <w:color w:val="000000"/>
      <w:sz w:val="21"/>
      <w:szCs w:val="21"/>
    </w:rPr>
  </w:style>
  <w:style w:type="paragraph" w:customStyle="1" w:styleId="26">
    <w:name w:val="md-end-block"/>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Other|1"/>
    <w:basedOn w:val="1"/>
    <w:qFormat/>
    <w:uiPriority w:val="0"/>
    <w:pPr>
      <w:spacing w:line="302" w:lineRule="exact"/>
      <w:jc w:val="left"/>
    </w:pPr>
    <w:rPr>
      <w:rFonts w:ascii="宋体" w:hAnsi="宋体" w:eastAsia="宋体" w:cs="宋体"/>
      <w:kern w:val="0"/>
      <w:sz w:val="20"/>
      <w:szCs w:val="20"/>
      <w:lang w:val="zh-TW" w:eastAsia="zh-TW" w:bidi="zh-TW"/>
    </w:rPr>
  </w:style>
  <w:style w:type="paragraph" w:customStyle="1" w:styleId="28">
    <w:name w:val="_Style 6"/>
    <w:basedOn w:val="1"/>
    <w:next w:val="1"/>
    <w:qFormat/>
    <w:uiPriority w:val="0"/>
    <w:pPr>
      <w:pBdr>
        <w:bottom w:val="single" w:color="auto" w:sz="6" w:space="1"/>
      </w:pBdr>
      <w:jc w:val="center"/>
    </w:pPr>
    <w:rPr>
      <w:rFonts w:ascii="Arial"/>
      <w:vanish/>
      <w:sz w:val="16"/>
    </w:rPr>
  </w:style>
  <w:style w:type="paragraph" w:customStyle="1" w:styleId="29">
    <w:name w:val="无间隔1"/>
    <w:qFormat/>
    <w:uiPriority w:val="1"/>
    <w:pPr>
      <w:adjustRightInd w:val="0"/>
      <w:snapToGrid w:val="0"/>
    </w:pPr>
    <w:rPr>
      <w:rFonts w:ascii="Tahoma" w:hAnsi="Tahoma" w:eastAsia="微软雅黑" w:cs="Times New Roman"/>
      <w:sz w:val="22"/>
      <w:szCs w:val="22"/>
      <w:lang w:val="en-US" w:eastAsia="zh-CN" w:bidi="ar-SA"/>
    </w:rPr>
  </w:style>
  <w:style w:type="character" w:customStyle="1" w:styleId="30">
    <w:name w:val="font51"/>
    <w:basedOn w:val="13"/>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hint="eastAsia" w:ascii="宋体" w:hAnsi="宋体" w:eastAsia="宋体" w:cs="宋体"/>
      <w:color w:val="000000"/>
      <w:sz w:val="20"/>
      <w:szCs w:val="20"/>
      <w:u w:val="none"/>
      <w:vertAlign w:val="superscript"/>
    </w:rPr>
  </w:style>
  <w:style w:type="character" w:customStyle="1" w:styleId="32">
    <w:name w:val="font01"/>
    <w:basedOn w:val="13"/>
    <w:qFormat/>
    <w:uiPriority w:val="0"/>
    <w:rPr>
      <w:rFonts w:hint="eastAsia" w:ascii="宋体" w:hAnsi="宋体" w:eastAsia="宋体" w:cs="宋体"/>
      <w:color w:val="333333"/>
      <w:sz w:val="20"/>
      <w:szCs w:val="20"/>
      <w:u w:val="none"/>
    </w:rPr>
  </w:style>
  <w:style w:type="character" w:customStyle="1" w:styleId="33">
    <w:name w:val="font101"/>
    <w:basedOn w:val="13"/>
    <w:qFormat/>
    <w:uiPriority w:val="0"/>
    <w:rPr>
      <w:rFonts w:hint="default" w:ascii="Times New Roman" w:hAnsi="Times New Roman" w:cs="Times New Roman"/>
      <w:color w:val="000000"/>
      <w:sz w:val="18"/>
      <w:szCs w:val="18"/>
      <w:u w:val="none"/>
    </w:rPr>
  </w:style>
  <w:style w:type="character" w:customStyle="1" w:styleId="34">
    <w:name w:val="font91"/>
    <w:basedOn w:val="13"/>
    <w:qFormat/>
    <w:uiPriority w:val="0"/>
    <w:rPr>
      <w:rFonts w:hint="eastAsia" w:ascii="宋体" w:hAnsi="宋体" w:eastAsia="宋体" w:cs="宋体"/>
      <w:color w:val="000000"/>
      <w:sz w:val="18"/>
      <w:szCs w:val="18"/>
      <w:u w:val="none"/>
    </w:rPr>
  </w:style>
  <w:style w:type="character" w:customStyle="1" w:styleId="35">
    <w:name w:val="font31"/>
    <w:basedOn w:val="13"/>
    <w:qFormat/>
    <w:uiPriority w:val="0"/>
    <w:rPr>
      <w:rFonts w:hint="eastAsia" w:ascii="宋体" w:hAnsi="宋体" w:eastAsia="宋体" w:cs="宋体"/>
      <w:color w:val="000000"/>
      <w:sz w:val="18"/>
      <w:szCs w:val="18"/>
      <w:u w:val="none"/>
      <w:vertAlign w:val="superscript"/>
    </w:rPr>
  </w:style>
  <w:style w:type="character" w:customStyle="1" w:styleId="36">
    <w:name w:val="font71"/>
    <w:basedOn w:val="13"/>
    <w:qFormat/>
    <w:uiPriority w:val="0"/>
    <w:rPr>
      <w:rFonts w:hint="eastAsia" w:ascii="宋体" w:hAnsi="宋体" w:eastAsia="宋体" w:cs="宋体"/>
      <w:color w:val="000000"/>
      <w:sz w:val="15"/>
      <w:szCs w:val="15"/>
      <w:u w:val="none"/>
      <w:vertAlign w:val="superscript"/>
    </w:rPr>
  </w:style>
  <w:style w:type="character" w:customStyle="1" w:styleId="37">
    <w:name w:val="font111"/>
    <w:basedOn w:val="13"/>
    <w:qFormat/>
    <w:uiPriority w:val="0"/>
    <w:rPr>
      <w:rFonts w:hint="eastAsia" w:ascii="宋体" w:hAnsi="宋体" w:eastAsia="宋体" w:cs="宋体"/>
      <w:color w:val="000000"/>
      <w:sz w:val="15"/>
      <w:szCs w:val="15"/>
      <w:u w:val="none"/>
    </w:rPr>
  </w:style>
  <w:style w:type="character" w:customStyle="1" w:styleId="38">
    <w:name w:val="font121"/>
    <w:basedOn w:val="13"/>
    <w:qFormat/>
    <w:uiPriority w:val="0"/>
    <w:rPr>
      <w:rFonts w:hint="default" w:ascii="Times New Roman" w:hAnsi="Times New Roman" w:cs="Times New Roman"/>
      <w:color w:val="000000"/>
      <w:sz w:val="15"/>
      <w:szCs w:val="15"/>
      <w:u w:val="none"/>
    </w:rPr>
  </w:style>
  <w:style w:type="character" w:customStyle="1" w:styleId="39">
    <w:name w:val="font13"/>
    <w:basedOn w:val="13"/>
    <w:qFormat/>
    <w:uiPriority w:val="0"/>
    <w:rPr>
      <w:rFonts w:hint="default" w:ascii="Times New Roman" w:hAnsi="Times New Roman" w:cs="Times New Roman"/>
      <w:color w:val="000000"/>
      <w:sz w:val="15"/>
      <w:szCs w:val="15"/>
      <w:u w:val="none"/>
      <w:vertAlign w:val="superscript"/>
    </w:rPr>
  </w:style>
  <w:style w:type="character" w:customStyle="1" w:styleId="40">
    <w:name w:val="font6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省住房和城乡建设厅</Company>
  <Pages>34</Pages>
  <Words>21447</Words>
  <Characters>26873</Characters>
  <Lines>1</Lines>
  <Paragraphs>1</Paragraphs>
  <TotalTime>1</TotalTime>
  <ScaleCrop>false</ScaleCrop>
  <LinksUpToDate>false</LinksUpToDate>
  <CharactersWithSpaces>27020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2019-03-21T00:33:00Z</dcterms:created>
  <dc:creator>蔡瀛</dc:creator>
  <cp:lastModifiedBy> 曾姿</cp:lastModifiedBy>
  <cp:lastPrinted>2020-11-21T17:49:00Z</cp:lastPrinted>
  <dcterms:modified xsi:type="dcterms:W3CDTF">2024-05-17T09:59:42Z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showSavePromptFlag">
    <vt:lpwstr>true</vt:lpwstr>
  </property>
  <property fmtid="{D5CDD505-2E9C-101B-9397-08002B2CF9AE}" pid="4" name="ribbonExt">
    <vt:lpwstr>{"WPSExtOfficeTab":{"OnGetEnabled":false,"OnGetVisible":false}}</vt:lpwstr>
  </property>
  <property fmtid="{D5CDD505-2E9C-101B-9397-08002B2CF9AE}" pid="5" name="ICV">
    <vt:lpwstr>3431520F7FA8488992428CE280FC8778</vt:lpwstr>
  </property>
</Properties>
</file>