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W w:w="8974" w:type="dxa"/>
        <w:jc w:val="center"/>
        <w:tblLayout w:type="fixed"/>
        <w:tblCellMar>
          <w:top w:w="0" w:type="dxa"/>
          <w:left w:w="108" w:type="dxa"/>
          <w:bottom w:w="0" w:type="dxa"/>
          <w:right w:w="108" w:type="dxa"/>
        </w:tblCellMar>
      </w:tblPr>
      <w:tblGrid>
        <w:gridCol w:w="2066"/>
        <w:gridCol w:w="300"/>
        <w:gridCol w:w="2549"/>
        <w:gridCol w:w="675"/>
        <w:gridCol w:w="3384"/>
      </w:tblGrid>
      <w:tr>
        <w:tblPrEx>
          <w:tblCellMar>
            <w:top w:w="0" w:type="dxa"/>
            <w:left w:w="108" w:type="dxa"/>
            <w:bottom w:w="0" w:type="dxa"/>
            <w:right w:w="108" w:type="dxa"/>
          </w:tblCellMar>
        </w:tblPrEx>
        <w:trPr>
          <w:jc w:val="center"/>
        </w:trPr>
        <w:tc>
          <w:tcPr>
            <w:tcW w:w="4915" w:type="dxa"/>
            <w:gridSpan w:val="3"/>
            <w:vAlign w:val="center"/>
          </w:tcPr>
          <w:p>
            <w:pPr>
              <w:jc w:val="center"/>
              <w:rPr>
                <w:sz w:val="48"/>
                <w:szCs w:val="48"/>
              </w:rPr>
            </w:pPr>
            <w:bookmarkStart w:id="0" w:name="_Toc469911160"/>
            <w:r>
              <w:rPr>
                <w:rFonts w:hAnsi="宋体"/>
                <w:sz w:val="48"/>
                <w:szCs w:val="48"/>
              </w:rPr>
              <w:t>广东省标准</w:t>
            </w:r>
          </w:p>
        </w:tc>
        <w:tc>
          <w:tcPr>
            <w:tcW w:w="4059" w:type="dxa"/>
            <w:gridSpan w:val="2"/>
          </w:tcPr>
          <w:p>
            <w:pPr>
              <w:jc w:val="center"/>
              <w:rPr>
                <w:rFonts w:ascii="宋体" w:hAnsi="宋体"/>
                <w:sz w:val="96"/>
                <w:szCs w:val="96"/>
              </w:rPr>
            </w:pPr>
            <w:r>
              <w:rPr>
                <w:rFonts w:hint="eastAsia" w:ascii="宋体" w:hAnsi="宋体"/>
                <w:sz w:val="96"/>
                <w:szCs w:val="96"/>
              </w:rPr>
              <w:drawing>
                <wp:anchor distT="0" distB="0" distL="114300" distR="114300" simplePos="0" relativeHeight="251672576" behindDoc="0" locked="0" layoutInCell="1" allowOverlap="1">
                  <wp:simplePos x="0" y="0"/>
                  <wp:positionH relativeFrom="page">
                    <wp:posOffset>662940</wp:posOffset>
                  </wp:positionH>
                  <wp:positionV relativeFrom="page">
                    <wp:posOffset>99060</wp:posOffset>
                  </wp:positionV>
                  <wp:extent cx="1600200" cy="744220"/>
                  <wp:effectExtent l="0" t="0" r="0" b="17780"/>
                  <wp:wrapNone/>
                  <wp:docPr id="5" name="图片 3" descr="说明: G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descr="说明: GD"/>
                          <pic:cNvPicPr>
                            <a:picLocks noChangeAspect="true"/>
                          </pic:cNvPicPr>
                        </pic:nvPicPr>
                        <pic:blipFill>
                          <a:blip r:embed="rId13" cstate="print"/>
                          <a:stretch>
                            <a:fillRect/>
                          </a:stretch>
                        </pic:blipFill>
                        <pic:spPr>
                          <a:xfrm>
                            <a:off x="0" y="0"/>
                            <a:ext cx="1600200" cy="744220"/>
                          </a:xfrm>
                          <a:prstGeom prst="rect">
                            <a:avLst/>
                          </a:prstGeom>
                          <a:noFill/>
                          <a:ln w="9525">
                            <a:noFill/>
                          </a:ln>
                        </pic:spPr>
                      </pic:pic>
                    </a:graphicData>
                  </a:graphic>
                </wp:anchor>
              </w:drawing>
            </w:r>
            <w:r>
              <w:rPr>
                <w:rFonts w:hint="eastAsia" w:ascii="宋体" w:hAnsi="宋体"/>
                <w:sz w:val="96"/>
                <w:szCs w:val="96"/>
              </w:rPr>
              <w:t xml:space="preserve">   </w:t>
            </w:r>
          </w:p>
        </w:tc>
      </w:tr>
      <w:tr>
        <w:tblPrEx>
          <w:tblCellMar>
            <w:top w:w="0" w:type="dxa"/>
            <w:left w:w="108" w:type="dxa"/>
            <w:bottom w:w="0" w:type="dxa"/>
            <w:right w:w="108" w:type="dxa"/>
          </w:tblCellMar>
        </w:tblPrEx>
        <w:trPr>
          <w:trHeight w:val="989" w:hRule="atLeast"/>
          <w:jc w:val="center"/>
        </w:trPr>
        <w:tc>
          <w:tcPr>
            <w:tcW w:w="2366" w:type="dxa"/>
            <w:gridSpan w:val="2"/>
          </w:tcPr>
          <w:p/>
        </w:tc>
        <w:tc>
          <w:tcPr>
            <w:tcW w:w="2549" w:type="dxa"/>
          </w:tcPr>
          <w:p>
            <w:pPr>
              <w:rPr>
                <w:sz w:val="32"/>
              </w:rPr>
            </w:pPr>
          </w:p>
        </w:tc>
        <w:tc>
          <w:tcPr>
            <w:tcW w:w="4059" w:type="dxa"/>
            <w:gridSpan w:val="2"/>
            <w:vAlign w:val="bottom"/>
          </w:tcPr>
          <w:p>
            <w:pPr>
              <w:ind w:left="-106" w:leftChars="-51" w:right="302" w:hanging="1"/>
              <w:jc w:val="right"/>
              <w:rPr>
                <w:sz w:val="30"/>
                <w:szCs w:val="30"/>
              </w:rPr>
            </w:pPr>
            <w:r>
              <w:rPr>
                <w:sz w:val="30"/>
                <w:szCs w:val="30"/>
              </w:rPr>
              <w:t xml:space="preserve">  DBJ</w:t>
            </w:r>
            <w:r>
              <w:rPr>
                <w:rFonts w:hint="eastAsia"/>
                <w:sz w:val="30"/>
                <w:szCs w:val="30"/>
                <w:lang w:val="en-US" w:eastAsia="zh-CN"/>
              </w:rPr>
              <w:t>/</w:t>
            </w:r>
            <w:r>
              <w:rPr>
                <w:rFonts w:hint="default"/>
                <w:sz w:val="30"/>
                <w:szCs w:val="30"/>
                <w:lang w:val="en" w:eastAsia="zh-CN"/>
              </w:rPr>
              <w:t>T</w:t>
            </w:r>
            <w:r>
              <w:rPr>
                <w:sz w:val="30"/>
                <w:szCs w:val="30"/>
              </w:rPr>
              <w:t>**-**-20</w:t>
            </w:r>
            <w:r>
              <w:rPr>
                <w:rFonts w:hint="eastAsia"/>
                <w:sz w:val="30"/>
                <w:szCs w:val="30"/>
                <w:lang w:val="en-US" w:eastAsia="zh-CN"/>
              </w:rPr>
              <w:t>2</w:t>
            </w:r>
            <w:r>
              <w:rPr>
                <w:sz w:val="30"/>
                <w:szCs w:val="30"/>
              </w:rPr>
              <w:t>*</w:t>
            </w:r>
          </w:p>
          <w:p>
            <w:pPr>
              <w:jc w:val="center"/>
              <w:rPr>
                <w:sz w:val="32"/>
              </w:rPr>
            </w:pPr>
            <w:r>
              <w:rPr>
                <w:rFonts w:hAnsi="宋体"/>
                <w:sz w:val="30"/>
                <w:szCs w:val="30"/>
              </w:rPr>
              <w:t>备案号</w:t>
            </w:r>
            <w:r>
              <w:rPr>
                <w:sz w:val="30"/>
                <w:szCs w:val="30"/>
              </w:rPr>
              <w:t xml:space="preserve"> J XXXXX-20</w:t>
            </w:r>
            <w:r>
              <w:rPr>
                <w:rFonts w:hint="eastAsia"/>
                <w:sz w:val="30"/>
                <w:szCs w:val="30"/>
                <w:lang w:val="en-US" w:eastAsia="zh-CN"/>
              </w:rPr>
              <w:t>2</w:t>
            </w:r>
            <w:r>
              <w:rPr>
                <w:sz w:val="30"/>
                <w:szCs w:val="30"/>
              </w:rPr>
              <w:t>*</w:t>
            </w:r>
          </w:p>
        </w:tc>
      </w:tr>
      <w:tr>
        <w:tblPrEx>
          <w:tblCellMar>
            <w:top w:w="0" w:type="dxa"/>
            <w:left w:w="108" w:type="dxa"/>
            <w:bottom w:w="0" w:type="dxa"/>
            <w:right w:w="108" w:type="dxa"/>
          </w:tblCellMar>
        </w:tblPrEx>
        <w:trPr>
          <w:jc w:val="center"/>
        </w:trPr>
        <w:tc>
          <w:tcPr>
            <w:tcW w:w="8974" w:type="dxa"/>
            <w:gridSpan w:val="5"/>
          </w:tcPr>
          <w:p>
            <w:r>
              <mc:AlternateContent>
                <mc:Choice Requires="wps">
                  <w:drawing>
                    <wp:anchor distT="0" distB="0" distL="114300" distR="114300" simplePos="0" relativeHeight="251664384" behindDoc="0" locked="0" layoutInCell="1" allowOverlap="1">
                      <wp:simplePos x="0" y="0"/>
                      <wp:positionH relativeFrom="column">
                        <wp:posOffset>-52705</wp:posOffset>
                      </wp:positionH>
                      <wp:positionV relativeFrom="paragraph">
                        <wp:posOffset>46990</wp:posOffset>
                      </wp:positionV>
                      <wp:extent cx="5400675"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540067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15pt;margin-top:3.7pt;height:0.05pt;width:425.25pt;z-index:251664384;mso-width-relative:page;mso-height-relative:page;" filled="f" stroked="t" coordsize="21600,21600" o:gfxdata="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U/MhTtUAAAAG&#10;AQAADwAAAAAAAAABACAAAAA4AAAAZHJzL2Rvd25yZXYueG1sUEsBAhQAFAAAAAgAh07iQKopt63Q&#10;AQAAjAMAAA4AAAAAAAAAAQAgAAAAOgEAAGRycy9lMm9Eb2MueG1sUEsFBgAAAAAGAAYAWQEAAHwF&#10;AAAAAA==&#10;">
                      <v:fill on="f" focussize="0,0"/>
                      <v:stroke color="#000000" joinstyle="round"/>
                      <v:imagedata o:title=""/>
                      <o:lock v:ext="edit" aspectratio="f"/>
                    </v:line>
                  </w:pict>
                </mc:Fallback>
              </mc:AlternateContent>
            </w:r>
          </w:p>
          <w:p/>
          <w:p/>
        </w:tc>
      </w:tr>
      <w:tr>
        <w:tblPrEx>
          <w:tblCellMar>
            <w:top w:w="0" w:type="dxa"/>
            <w:left w:w="108" w:type="dxa"/>
            <w:bottom w:w="0" w:type="dxa"/>
            <w:right w:w="108" w:type="dxa"/>
          </w:tblCellMar>
        </w:tblPrEx>
        <w:trPr>
          <w:jc w:val="center"/>
        </w:trPr>
        <w:tc>
          <w:tcPr>
            <w:tcW w:w="8974" w:type="dxa"/>
            <w:gridSpan w:val="5"/>
          </w:tcPr>
          <w:p>
            <w:pPr>
              <w:spacing w:line="240" w:lineRule="auto"/>
              <w:jc w:val="both"/>
              <w:rPr>
                <w:rFonts w:hAnsi="宋体"/>
                <w:b/>
                <w:sz w:val="48"/>
                <w:szCs w:val="48"/>
              </w:rPr>
            </w:pPr>
            <w:r>
              <w:rPr>
                <w:rFonts w:hint="eastAsia" w:hAnsi="宋体"/>
                <w:b/>
                <w:sz w:val="48"/>
                <w:szCs w:val="48"/>
              </w:rPr>
              <w:t>城市地下病害体探测与风险评估技术标准</w:t>
            </w:r>
          </w:p>
        </w:tc>
      </w:tr>
      <w:tr>
        <w:tblPrEx>
          <w:tblCellMar>
            <w:top w:w="0" w:type="dxa"/>
            <w:left w:w="108" w:type="dxa"/>
            <w:bottom w:w="0" w:type="dxa"/>
            <w:right w:w="108" w:type="dxa"/>
          </w:tblCellMar>
        </w:tblPrEx>
        <w:trPr>
          <w:jc w:val="center"/>
        </w:trPr>
        <w:tc>
          <w:tcPr>
            <w:tcW w:w="8974" w:type="dxa"/>
            <w:gridSpan w:val="5"/>
          </w:tcPr>
          <w:p>
            <w:pPr>
              <w:spacing w:line="240" w:lineRule="auto"/>
              <w:jc w:val="center"/>
              <w:rPr>
                <w:b/>
                <w:color w:val="000000"/>
                <w:sz w:val="28"/>
                <w:szCs w:val="28"/>
              </w:rPr>
            </w:pPr>
            <w:r>
              <w:rPr>
                <w:b/>
                <w:color w:val="000000"/>
                <w:sz w:val="28"/>
                <w:szCs w:val="28"/>
              </w:rPr>
              <w:t>Technical standard for detection and risk evaluation of underground disasters in urban area</w:t>
            </w:r>
          </w:p>
          <w:p>
            <w:pPr>
              <w:spacing w:line="240" w:lineRule="auto"/>
              <w:jc w:val="center"/>
              <w:rPr>
                <w:b/>
                <w:color w:val="000000"/>
                <w:sz w:val="28"/>
                <w:szCs w:val="28"/>
              </w:rPr>
            </w:pPr>
          </w:p>
        </w:tc>
      </w:tr>
      <w:tr>
        <w:tblPrEx>
          <w:tblCellMar>
            <w:top w:w="0" w:type="dxa"/>
            <w:left w:w="108" w:type="dxa"/>
            <w:bottom w:w="0" w:type="dxa"/>
            <w:right w:w="108" w:type="dxa"/>
          </w:tblCellMar>
        </w:tblPrEx>
        <w:trPr>
          <w:jc w:val="center"/>
        </w:trPr>
        <w:tc>
          <w:tcPr>
            <w:tcW w:w="2066" w:type="dxa"/>
          </w:tcPr>
          <w:p>
            <w:pPr>
              <w:rPr>
                <w:rFonts w:ascii="黑体" w:hAnsi="黑体" w:eastAsia="黑体"/>
                <w:b/>
                <w:bCs/>
                <w:sz w:val="32"/>
                <w:szCs w:val="32"/>
              </w:rPr>
            </w:pPr>
          </w:p>
        </w:tc>
        <w:tc>
          <w:tcPr>
            <w:tcW w:w="3524" w:type="dxa"/>
            <w:gridSpan w:val="3"/>
          </w:tcPr>
          <w:p>
            <w:pPr>
              <w:snapToGrid w:val="0"/>
              <w:spacing w:line="240" w:lineRule="auto"/>
              <w:jc w:val="center"/>
              <w:rPr>
                <w:rFonts w:hAnsi="宋体"/>
                <w:sz w:val="36"/>
                <w:szCs w:val="36"/>
              </w:rPr>
            </w:pPr>
            <w:r>
              <w:rPr>
                <w:rFonts w:hint="eastAsia" w:hAnsi="宋体"/>
                <w:sz w:val="36"/>
                <w:szCs w:val="36"/>
              </w:rPr>
              <w:t>（</w:t>
            </w:r>
            <w:r>
              <w:rPr>
                <w:rFonts w:hint="eastAsia" w:hAnsi="宋体"/>
                <w:sz w:val="36"/>
                <w:szCs w:val="36"/>
                <w:lang w:eastAsia="zh-CN"/>
              </w:rPr>
              <w:t>公开</w:t>
            </w:r>
            <w:r>
              <w:rPr>
                <w:rFonts w:hint="eastAsia" w:hAnsi="宋体"/>
                <w:sz w:val="36"/>
                <w:szCs w:val="36"/>
              </w:rPr>
              <w:t>征求意见稿）</w:t>
            </w:r>
          </w:p>
          <w:p>
            <w:pPr>
              <w:rPr>
                <w:b/>
                <w:bCs/>
                <w:sz w:val="30"/>
                <w:szCs w:val="30"/>
              </w:rPr>
            </w:pPr>
          </w:p>
          <w:p>
            <w:pPr>
              <w:rPr>
                <w:rFonts w:ascii="黑体" w:hAnsi="黑体" w:eastAsia="黑体"/>
                <w:b/>
                <w:bCs/>
                <w:sz w:val="32"/>
                <w:szCs w:val="32"/>
              </w:rPr>
            </w:pPr>
          </w:p>
          <w:p>
            <w:pPr>
              <w:rPr>
                <w:rFonts w:ascii="黑体" w:hAnsi="黑体" w:eastAsia="黑体"/>
                <w:b/>
                <w:bCs/>
                <w:sz w:val="32"/>
                <w:szCs w:val="32"/>
              </w:rPr>
            </w:pPr>
          </w:p>
          <w:p>
            <w:pPr>
              <w:rPr>
                <w:rFonts w:ascii="黑体" w:hAnsi="黑体" w:eastAsia="黑体"/>
                <w:b/>
                <w:bCs/>
                <w:sz w:val="32"/>
                <w:szCs w:val="32"/>
              </w:rPr>
            </w:pPr>
          </w:p>
          <w:p>
            <w:pPr>
              <w:rPr>
                <w:rFonts w:ascii="宋体" w:hAnsi="宋体"/>
                <w:b/>
                <w:bCs/>
                <w:sz w:val="32"/>
                <w:szCs w:val="32"/>
              </w:rPr>
            </w:pPr>
          </w:p>
          <w:p>
            <w:pPr>
              <w:rPr>
                <w:rFonts w:ascii="宋体" w:hAnsi="宋体"/>
                <w:b/>
                <w:bCs/>
                <w:sz w:val="32"/>
                <w:szCs w:val="32"/>
              </w:rPr>
            </w:pPr>
          </w:p>
        </w:tc>
        <w:tc>
          <w:tcPr>
            <w:tcW w:w="3384" w:type="dxa"/>
          </w:tcPr>
          <w:p>
            <w:pPr>
              <w:rPr>
                <w:rFonts w:ascii="黑体" w:hAnsi="黑体" w:eastAsia="黑体"/>
                <w:b/>
                <w:bCs/>
                <w:sz w:val="32"/>
                <w:szCs w:val="32"/>
              </w:rPr>
            </w:pPr>
          </w:p>
        </w:tc>
      </w:tr>
      <w:tr>
        <w:tblPrEx>
          <w:tblCellMar>
            <w:top w:w="0" w:type="dxa"/>
            <w:left w:w="108" w:type="dxa"/>
            <w:bottom w:w="0" w:type="dxa"/>
            <w:right w:w="108" w:type="dxa"/>
          </w:tblCellMar>
        </w:tblPrEx>
        <w:trPr>
          <w:trHeight w:val="588" w:hRule="atLeast"/>
          <w:jc w:val="center"/>
        </w:trPr>
        <w:tc>
          <w:tcPr>
            <w:tcW w:w="8974" w:type="dxa"/>
            <w:gridSpan w:val="5"/>
          </w:tcPr>
          <w:p>
            <w:pPr>
              <w:snapToGrid w:val="0"/>
              <w:jc w:val="left"/>
              <w:rPr>
                <w:b/>
                <w:sz w:val="28"/>
                <w:szCs w:val="28"/>
              </w:rPr>
            </w:pPr>
            <w:r>
              <w:rPr>
                <w:b/>
                <w:sz w:val="28"/>
                <w:szCs w:val="28"/>
              </w:rPr>
              <w:t>20</w:t>
            </w:r>
            <w:r>
              <w:rPr>
                <w:rFonts w:hint="eastAsia"/>
                <w:b/>
                <w:sz w:val="28"/>
                <w:szCs w:val="28"/>
                <w:lang w:val="en-US" w:eastAsia="zh-CN"/>
              </w:rPr>
              <w:t>2</w:t>
            </w:r>
            <w:r>
              <w:rPr>
                <w:b/>
                <w:sz w:val="28"/>
                <w:szCs w:val="28"/>
              </w:rPr>
              <w:t>x-</w:t>
            </w:r>
            <w:r>
              <w:rPr>
                <w:sz w:val="28"/>
                <w:szCs w:val="28"/>
              </w:rPr>
              <w:t>×</w:t>
            </w:r>
            <w:r>
              <w:rPr>
                <w:b/>
                <w:sz w:val="28"/>
                <w:szCs w:val="28"/>
              </w:rPr>
              <w:t>-</w:t>
            </w:r>
            <w:r>
              <w:rPr>
                <w:sz w:val="28"/>
                <w:szCs w:val="28"/>
              </w:rPr>
              <w:t>×</w:t>
            </w:r>
            <w:r>
              <w:rPr>
                <w:rFonts w:hAnsi="宋体"/>
                <w:sz w:val="28"/>
                <w:szCs w:val="28"/>
              </w:rPr>
              <w:t>发布</w:t>
            </w:r>
            <w:r>
              <w:rPr>
                <w:rFonts w:hint="eastAsia" w:hAnsi="宋体"/>
                <w:sz w:val="28"/>
                <w:szCs w:val="28"/>
              </w:rPr>
              <w:t xml:space="preserve">                                </w:t>
            </w:r>
            <w:r>
              <w:rPr>
                <w:b/>
                <w:sz w:val="28"/>
                <w:szCs w:val="28"/>
              </w:rPr>
              <w:t>20</w:t>
            </w:r>
            <w:r>
              <w:rPr>
                <w:rFonts w:hint="eastAsia"/>
                <w:b/>
                <w:sz w:val="28"/>
                <w:szCs w:val="28"/>
                <w:lang w:val="en-US" w:eastAsia="zh-CN"/>
              </w:rPr>
              <w:t>2</w:t>
            </w:r>
            <w:r>
              <w:rPr>
                <w:b/>
                <w:sz w:val="28"/>
                <w:szCs w:val="28"/>
              </w:rPr>
              <w:t>x-×-×</w:t>
            </w:r>
            <w:r>
              <w:rPr>
                <w:rFonts w:hAnsi="宋体"/>
                <w:b/>
                <w:sz w:val="28"/>
                <w:szCs w:val="28"/>
              </w:rPr>
              <w:t>实施</w:t>
            </w:r>
          </w:p>
          <w:p>
            <w:pPr>
              <w:snapToGrid w:val="0"/>
              <w:rPr>
                <w:b/>
                <w:szCs w:val="21"/>
              </w:rPr>
            </w:pPr>
            <w:r>
              <w:rPr>
                <w:b/>
                <w:szCs w:val="21"/>
              </w:rPr>
              <w:t>———————————————————————————————————————</w:t>
            </w:r>
          </w:p>
          <w:p>
            <w:pPr>
              <w:snapToGrid w:val="0"/>
              <w:jc w:val="center"/>
              <w:rPr>
                <w:b/>
                <w:szCs w:val="21"/>
              </w:rPr>
            </w:pPr>
          </w:p>
          <w:p>
            <w:pPr>
              <w:snapToGrid w:val="0"/>
              <w:spacing w:line="240" w:lineRule="auto"/>
              <w:jc w:val="center"/>
              <w:rPr>
                <w:rFonts w:hAnsi="宋体"/>
                <w:b/>
                <w:sz w:val="30"/>
                <w:szCs w:val="30"/>
              </w:rPr>
            </w:pPr>
            <w:r>
              <w:rPr>
                <w:rFonts w:hAnsi="宋体"/>
                <w:b/>
                <w:sz w:val="30"/>
                <w:szCs w:val="30"/>
              </w:rPr>
              <w:t>广东省住房和城乡建设厅发布</w:t>
            </w:r>
          </w:p>
          <w:p>
            <w:pPr>
              <w:jc w:val="right"/>
              <w:rPr>
                <w:rFonts w:ascii="黑体" w:hAnsi="黑体" w:eastAsia="黑体"/>
                <w:bCs/>
                <w:sz w:val="28"/>
                <w:szCs w:val="28"/>
              </w:rPr>
            </w:pPr>
            <w:r>
              <w:rPr>
                <w:sz w:val="44"/>
              </w:rPr>
              <mc:AlternateContent>
                <mc:Choice Requires="wps">
                  <w:drawing>
                    <wp:anchor distT="0" distB="0" distL="114300" distR="114300" simplePos="0" relativeHeight="251783168" behindDoc="0" locked="0" layoutInCell="1" allowOverlap="1">
                      <wp:simplePos x="0" y="0"/>
                      <wp:positionH relativeFrom="column">
                        <wp:posOffset>4178935</wp:posOffset>
                      </wp:positionH>
                      <wp:positionV relativeFrom="paragraph">
                        <wp:posOffset>61595</wp:posOffset>
                      </wp:positionV>
                      <wp:extent cx="1428750" cy="287655"/>
                      <wp:effectExtent l="5080" t="5080" r="13970" b="12065"/>
                      <wp:wrapNone/>
                      <wp:docPr id="7" name="文本框 7"/>
                      <wp:cNvGraphicFramePr/>
                      <a:graphic xmlns:a="http://schemas.openxmlformats.org/drawingml/2006/main">
                        <a:graphicData uri="http://schemas.microsoft.com/office/word/2010/wordprocessingShape">
                          <wps:wsp>
                            <wps:cNvSpPr txBox="true"/>
                            <wps:spPr>
                              <a:xfrm>
                                <a:off x="5327015" y="9083040"/>
                                <a:ext cx="1428750" cy="287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b/>
                                      <w:szCs w:val="21"/>
                                      <w:lang w:eastAsia="zh-CN"/>
                                    </w:rPr>
                                  </w:pPr>
                                  <w:r>
                                    <w:rPr>
                                      <w:rFonts w:hint="eastAsia"/>
                                      <w:b/>
                                      <w:szCs w:val="21"/>
                                      <w:lang w:eastAsia="zh-CN"/>
                                    </w:rPr>
                                    <w:t>本标准不涉及专利</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29.05pt;margin-top:4.85pt;height:22.65pt;width:112.5pt;z-index:251783168;mso-width-relative:page;mso-height-relative:page;" fillcolor="#FFFFFF [3201]" filled="t" stroked="t" coordsize="21600,21600" o:gfxdata="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FN+ev3VAAAACAEAAA8AAAAAAAAAAQAgAAAAOAAAAGRycy9kb3ducmV2LnhtbFBLAQIUABQAAAAI&#10;AIdO4kCXHGFPTAIAAIcEAAAOAAAAAAAAAAEAIAAAADoBAABkcnMvZTJvRG9jLnhtbFBLBQYAAAAA&#10;BgAGAFkBAAD4BQAAAAA=&#10;">
                      <v:fill on="t" focussize="0,0"/>
                      <v:stroke weight="0.5pt" color="#000000 [3204]" joinstyle="round"/>
                      <v:imagedata o:title=""/>
                      <o:lock v:ext="edit" aspectratio="f"/>
                      <v:textbox>
                        <w:txbxContent>
                          <w:p>
                            <w:pPr>
                              <w:spacing w:line="240" w:lineRule="auto"/>
                              <w:rPr>
                                <w:rFonts w:hint="eastAsia"/>
                                <w:b/>
                                <w:szCs w:val="21"/>
                                <w:lang w:eastAsia="zh-CN"/>
                              </w:rPr>
                            </w:pPr>
                            <w:r>
                              <w:rPr>
                                <w:rFonts w:hint="eastAsia"/>
                                <w:b/>
                                <w:szCs w:val="21"/>
                                <w:lang w:eastAsia="zh-CN"/>
                              </w:rPr>
                              <w:t>本标准不涉及专利</w:t>
                            </w:r>
                          </w:p>
                        </w:txbxContent>
                      </v:textbox>
                    </v:shape>
                  </w:pict>
                </mc:Fallback>
              </mc:AlternateContent>
            </w:r>
            <w:r>
              <w:rPr>
                <w:b/>
                <w:bCs/>
                <w:sz w:val="44"/>
                <w:szCs w:val="44"/>
              </w:rPr>
              <mc:AlternateContent>
                <mc:Choice Requires="wps">
                  <w:drawing>
                    <wp:anchor distT="0" distB="0" distL="114300" distR="114300" simplePos="0" relativeHeight="251786240" behindDoc="0" locked="0" layoutInCell="1" allowOverlap="1">
                      <wp:simplePos x="0" y="0"/>
                      <wp:positionH relativeFrom="column">
                        <wp:posOffset>4876800</wp:posOffset>
                      </wp:positionH>
                      <wp:positionV relativeFrom="paragraph">
                        <wp:posOffset>9168130</wp:posOffset>
                      </wp:positionV>
                      <wp:extent cx="1504950" cy="295275"/>
                      <wp:effectExtent l="4445" t="4445" r="14605" b="5080"/>
                      <wp:wrapNone/>
                      <wp:docPr id="9" name="矩形 9"/>
                      <wp:cNvGraphicFramePr/>
                      <a:graphic xmlns:a="http://schemas.openxmlformats.org/drawingml/2006/main">
                        <a:graphicData uri="http://schemas.microsoft.com/office/word/2010/wordprocessingShape">
                          <wps:wsp>
                            <wps:cNvSpPr/>
                            <wps:spPr>
                              <a:xfrm>
                                <a:off x="0" y="0"/>
                                <a:ext cx="15049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b/>
                                      <w:szCs w:val="21"/>
                                    </w:rPr>
                                    <w:t>本标准不涉及专利</w:t>
                                  </w:r>
                                </w:p>
                              </w:txbxContent>
                            </wps:txbx>
                            <wps:bodyPr upright="true"/>
                          </wps:wsp>
                        </a:graphicData>
                      </a:graphic>
                    </wp:anchor>
                  </w:drawing>
                </mc:Choice>
                <mc:Fallback>
                  <w:pict>
                    <v:rect id="_x0000_s1026" o:spid="_x0000_s1026" o:spt="1" style="position:absolute;left:0pt;margin-left:384pt;margin-top:721.9pt;height:23.25pt;width:118.5pt;z-index:251786240;mso-width-relative:page;mso-height-relative:page;" fillcolor="#FFFFFF" filled="t" stroked="t" coordsize="21600,21600" o:gfxdata="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BcEXaLaAAAADgEAAA8AAAAAAAAAAQAgAAAAOAAAAGRycy9kb3du&#10;cmV2LnhtbFBLAQIUABQAAAAIAIdO4kDSG3jm5wEAAN4DAAAOAAAAAAAAAAEAIAAAAD8BAABkcnMv&#10;ZTJvRG9jLnhtbFBLBQYAAAAABgAGAFkBAACYBQAAAAA=&#10;">
                      <v:fill on="t" focussize="0,0"/>
                      <v:stroke color="#000000" joinstyle="miter"/>
                      <v:imagedata o:title=""/>
                      <o:lock v:ext="edit" aspectratio="f"/>
                      <v:textbox>
                        <w:txbxContent>
                          <w:p>
                            <w:r>
                              <w:rPr>
                                <w:rFonts w:hint="eastAsia"/>
                                <w:b/>
                                <w:szCs w:val="21"/>
                              </w:rPr>
                              <w:t>本标准不涉及专利</w:t>
                            </w:r>
                          </w:p>
                        </w:txbxContent>
                      </v:textbox>
                    </v:rect>
                  </w:pict>
                </mc:Fallback>
              </mc:AlternateContent>
            </w:r>
          </w:p>
        </w:tc>
      </w:tr>
    </w:tbl>
    <w:p>
      <w:pPr>
        <w:spacing w:line="240" w:lineRule="auto"/>
        <w:jc w:val="center"/>
        <w:rPr>
          <w:rFonts w:hint="eastAsia" w:hAnsi="宋体"/>
          <w:b/>
          <w:sz w:val="48"/>
          <w:szCs w:val="48"/>
        </w:rPr>
      </w:pPr>
    </w:p>
    <w:p>
      <w:pPr>
        <w:spacing w:line="240" w:lineRule="auto"/>
        <w:jc w:val="center"/>
        <w:rPr>
          <w:rFonts w:hint="eastAsia" w:hAnsi="宋体"/>
          <w:b/>
          <w:sz w:val="48"/>
          <w:szCs w:val="48"/>
        </w:rPr>
      </w:pPr>
      <w:r>
        <w:rPr>
          <w:rFonts w:hint="eastAsia" w:hAnsi="宋体"/>
          <w:b/>
          <w:sz w:val="48"/>
          <w:szCs w:val="48"/>
        </w:rPr>
        <w:t>广东省标准</w:t>
      </w:r>
    </w:p>
    <w:p>
      <w:pPr>
        <w:spacing w:line="240" w:lineRule="auto"/>
        <w:jc w:val="center"/>
        <w:rPr>
          <w:rFonts w:hint="eastAsia" w:hAnsi="宋体" w:eastAsia="宋体"/>
          <w:b/>
          <w:sz w:val="48"/>
          <w:szCs w:val="48"/>
          <w:lang w:eastAsia="zh-CN"/>
        </w:rPr>
      </w:pPr>
      <w:r>
        <w:rPr>
          <w:rFonts w:hint="eastAsia" w:hAnsi="宋体" w:eastAsia="宋体"/>
          <w:b/>
          <w:sz w:val="48"/>
          <w:szCs w:val="48"/>
        </w:rPr>
        <w:t>城市地下病害体探测与风险评估</w:t>
      </w:r>
      <w:r>
        <w:rPr>
          <w:rFonts w:hint="eastAsia" w:hAnsi="宋体" w:eastAsia="宋体"/>
          <w:b/>
          <w:sz w:val="48"/>
          <w:szCs w:val="48"/>
          <w:lang w:eastAsia="zh-CN"/>
        </w:rPr>
        <w:t>技术</w:t>
      </w:r>
    </w:p>
    <w:p>
      <w:pPr>
        <w:spacing w:line="240" w:lineRule="auto"/>
        <w:jc w:val="center"/>
        <w:rPr>
          <w:rFonts w:hint="eastAsia" w:hAnsi="宋体" w:eastAsia="宋体"/>
          <w:b/>
          <w:sz w:val="48"/>
          <w:szCs w:val="48"/>
        </w:rPr>
      </w:pPr>
      <w:r>
        <w:rPr>
          <w:rFonts w:hint="eastAsia" w:hAnsi="宋体" w:eastAsia="宋体"/>
          <w:b/>
          <w:sz w:val="48"/>
          <w:szCs w:val="48"/>
        </w:rPr>
        <w:t>标准</w:t>
      </w:r>
    </w:p>
    <w:p>
      <w:pPr>
        <w:snapToGrid w:val="0"/>
        <w:spacing w:line="360" w:lineRule="auto"/>
        <w:jc w:val="center"/>
        <w:rPr>
          <w:color w:val="000000"/>
          <w:sz w:val="28"/>
          <w:szCs w:val="28"/>
        </w:rPr>
      </w:pPr>
      <w:r>
        <w:rPr>
          <w:color w:val="000000"/>
          <w:sz w:val="28"/>
          <w:szCs w:val="28"/>
        </w:rPr>
        <w:t>Technical standard for detection and risk evaluation of underground disasters in urban area</w:t>
      </w:r>
    </w:p>
    <w:p>
      <w:pPr>
        <w:snapToGrid w:val="0"/>
        <w:spacing w:line="360" w:lineRule="auto"/>
        <w:jc w:val="center"/>
        <w:rPr>
          <w:color w:val="000000"/>
          <w:sz w:val="28"/>
          <w:szCs w:val="28"/>
        </w:rPr>
      </w:pPr>
    </w:p>
    <w:p>
      <w:pPr>
        <w:spacing w:line="240" w:lineRule="auto"/>
        <w:jc w:val="center"/>
        <w:rPr>
          <w:b/>
          <w:sz w:val="28"/>
          <w:szCs w:val="28"/>
        </w:rPr>
      </w:pPr>
      <w:r>
        <w:rPr>
          <w:rFonts w:hint="eastAsia"/>
          <w:b/>
          <w:sz w:val="28"/>
          <w:szCs w:val="28"/>
        </w:rPr>
        <w:t>DBJ/T XXXX</w:t>
      </w:r>
      <w:r>
        <w:rPr>
          <w:rFonts w:hint="eastAsia"/>
          <w:b/>
          <w:sz w:val="28"/>
          <w:szCs w:val="28"/>
          <w:lang w:val="en-US" w:eastAsia="zh-CN"/>
        </w:rPr>
        <w:t>-202</w:t>
      </w:r>
      <w:r>
        <w:rPr>
          <w:rFonts w:hint="eastAsia"/>
          <w:b/>
          <w:sz w:val="28"/>
          <w:szCs w:val="28"/>
        </w:rPr>
        <w:t>X</w:t>
      </w:r>
    </w:p>
    <w:p>
      <w:pPr>
        <w:jc w:val="center"/>
        <w:rPr>
          <w:sz w:val="32"/>
          <w:szCs w:val="32"/>
        </w:rPr>
      </w:pPr>
    </w:p>
    <w:p>
      <w:pPr>
        <w:spacing w:line="240" w:lineRule="auto"/>
        <w:ind w:firstLine="1120" w:firstLineChars="400"/>
        <w:rPr>
          <w:rFonts w:hint="eastAsia" w:hAnsi="宋体"/>
          <w:sz w:val="28"/>
          <w:szCs w:val="28"/>
        </w:rPr>
      </w:pPr>
      <w:r>
        <w:rPr>
          <w:rFonts w:hint="eastAsia" w:hAnsi="宋体"/>
          <w:sz w:val="28"/>
          <w:szCs w:val="28"/>
        </w:rPr>
        <w:t>住房和城乡建设部备案号：</w:t>
      </w:r>
    </w:p>
    <w:p>
      <w:pPr>
        <w:spacing w:line="240" w:lineRule="auto"/>
        <w:ind w:firstLine="1120" w:firstLineChars="400"/>
        <w:rPr>
          <w:rFonts w:hint="eastAsia" w:hAnsi="宋体"/>
          <w:sz w:val="28"/>
          <w:szCs w:val="28"/>
        </w:rPr>
      </w:pPr>
      <w:r>
        <w:rPr>
          <w:rFonts w:hint="eastAsia" w:hAnsi="宋体"/>
          <w:sz w:val="28"/>
          <w:szCs w:val="28"/>
        </w:rPr>
        <w:t>批准部门：广东省住房和城乡建设厅</w:t>
      </w:r>
    </w:p>
    <w:p>
      <w:pPr>
        <w:spacing w:line="240" w:lineRule="auto"/>
        <w:ind w:firstLine="1120" w:firstLineChars="400"/>
        <w:rPr>
          <w:rFonts w:hint="eastAsia" w:hAnsi="宋体"/>
          <w:sz w:val="28"/>
          <w:szCs w:val="28"/>
        </w:rPr>
      </w:pPr>
      <w:r>
        <w:rPr>
          <w:rFonts w:hint="eastAsia" w:hAnsi="宋体"/>
          <w:sz w:val="28"/>
          <w:szCs w:val="28"/>
          <w:lang w:eastAsia="zh-CN"/>
        </w:rPr>
        <w:t>施行</w:t>
      </w:r>
      <w:r>
        <w:rPr>
          <w:rFonts w:hint="eastAsia" w:hAnsi="宋体"/>
          <w:sz w:val="28"/>
          <w:szCs w:val="28"/>
        </w:rPr>
        <w:t>日期：</w:t>
      </w:r>
      <w:r>
        <w:rPr>
          <w:rFonts w:hint="eastAsia" w:hAnsi="宋体"/>
          <w:sz w:val="28"/>
          <w:szCs w:val="28"/>
          <w:lang w:val="en-US" w:eastAsia="zh-CN"/>
        </w:rPr>
        <w:t>202</w:t>
      </w:r>
      <w:r>
        <w:rPr>
          <w:rFonts w:hint="eastAsia" w:hAnsi="宋体"/>
          <w:sz w:val="28"/>
          <w:szCs w:val="28"/>
        </w:rPr>
        <w:t>X年XX月XX日</w:t>
      </w: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rPr>
          <w:sz w:val="32"/>
          <w:szCs w:val="32"/>
          <w:u w:val="single"/>
        </w:rPr>
      </w:pPr>
    </w:p>
    <w:p>
      <w:pPr>
        <w:spacing w:line="360" w:lineRule="auto"/>
        <w:jc w:val="center"/>
        <w:rPr>
          <w:b/>
          <w:sz w:val="28"/>
          <w:szCs w:val="28"/>
        </w:rPr>
      </w:pPr>
      <w:r>
        <w:rPr>
          <w:b/>
          <w:sz w:val="28"/>
          <w:szCs w:val="28"/>
        </w:rPr>
        <w:t>XXX</w:t>
      </w:r>
      <w:r>
        <w:rPr>
          <w:rFonts w:hint="eastAsia"/>
          <w:b/>
          <w:sz w:val="28"/>
          <w:szCs w:val="28"/>
        </w:rPr>
        <w:t>出版</w:t>
      </w:r>
    </w:p>
    <w:p>
      <w:pPr>
        <w:widowControl/>
        <w:tabs>
          <w:tab w:val="left" w:pos="425"/>
        </w:tabs>
        <w:jc w:val="center"/>
        <w:outlineLvl w:val="0"/>
        <w:rPr>
          <w:rFonts w:hint="default"/>
          <w:b/>
          <w:sz w:val="28"/>
          <w:szCs w:val="28"/>
          <w:lang w:val="en-US" w:eastAsia="zh-CN"/>
        </w:rPr>
      </w:pPr>
      <w:r>
        <w:rPr>
          <w:rFonts w:hint="eastAsia"/>
          <w:b/>
          <w:sz w:val="28"/>
          <w:szCs w:val="28"/>
          <w:lang w:val="en-US" w:eastAsia="zh-CN"/>
        </w:rPr>
        <w:t>202×</w:t>
      </w:r>
    </w:p>
    <w:p>
      <w:pPr>
        <w:widowControl/>
        <w:tabs>
          <w:tab w:val="left" w:pos="425"/>
        </w:tabs>
        <w:jc w:val="center"/>
        <w:outlineLvl w:val="0"/>
        <w:rPr>
          <w:b/>
          <w:kern w:val="0"/>
          <w:sz w:val="24"/>
        </w:rPr>
      </w:pPr>
    </w:p>
    <w:p>
      <w:pPr>
        <w:widowControl/>
        <w:tabs>
          <w:tab w:val="left" w:pos="425"/>
        </w:tabs>
        <w:jc w:val="center"/>
        <w:outlineLvl w:val="0"/>
        <w:rPr>
          <w:b/>
          <w:kern w:val="0"/>
          <w:sz w:val="24"/>
        </w:rPr>
      </w:pPr>
    </w:p>
    <w:p>
      <w:pPr>
        <w:widowControl/>
        <w:tabs>
          <w:tab w:val="left" w:pos="425"/>
        </w:tabs>
        <w:jc w:val="center"/>
        <w:outlineLvl w:val="0"/>
        <w:rPr>
          <w:b/>
          <w:kern w:val="0"/>
          <w:sz w:val="24"/>
        </w:rPr>
      </w:pPr>
    </w:p>
    <w:p>
      <w:pPr>
        <w:spacing w:before="156" w:beforeLines="50" w:after="156" w:afterLines="50"/>
        <w:jc w:val="center"/>
        <w:rPr>
          <w:rFonts w:hint="eastAsia" w:hAnsi="宋体"/>
          <w:b/>
          <w:bCs/>
          <w:sz w:val="30"/>
          <w:szCs w:val="30"/>
        </w:rPr>
      </w:pPr>
      <w:r>
        <w:rPr>
          <w:rFonts w:hint="eastAsia" w:hAnsi="宋体"/>
          <w:b/>
          <w:bCs/>
          <w:sz w:val="30"/>
          <w:szCs w:val="30"/>
        </w:rPr>
        <w:t>广东省住房和城乡建设厅关于发布广东省标准</w:t>
      </w:r>
    </w:p>
    <w:p>
      <w:pPr>
        <w:spacing w:line="240" w:lineRule="auto"/>
        <w:jc w:val="center"/>
        <w:rPr>
          <w:rFonts w:hint="eastAsia" w:hAnsi="宋体"/>
          <w:b/>
          <w:bCs/>
          <w:sz w:val="30"/>
          <w:szCs w:val="30"/>
        </w:rPr>
      </w:pPr>
      <w:r>
        <w:rPr>
          <w:rFonts w:hint="eastAsia" w:hAnsi="宋体"/>
          <w:b/>
          <w:bCs/>
          <w:sz w:val="30"/>
          <w:szCs w:val="30"/>
        </w:rPr>
        <w:t>《城市地下病害体探测与风险评估</w:t>
      </w:r>
      <w:r>
        <w:rPr>
          <w:rFonts w:hint="eastAsia" w:hAnsi="宋体"/>
          <w:b/>
          <w:bCs/>
          <w:sz w:val="30"/>
          <w:szCs w:val="30"/>
          <w:lang w:eastAsia="zh-CN"/>
        </w:rPr>
        <w:t>技术</w:t>
      </w:r>
      <w:r>
        <w:rPr>
          <w:rFonts w:hint="eastAsia" w:hAnsi="宋体"/>
          <w:b/>
          <w:bCs/>
          <w:sz w:val="30"/>
          <w:szCs w:val="30"/>
        </w:rPr>
        <w:t>标准》的公告</w:t>
      </w:r>
    </w:p>
    <w:p>
      <w:pPr>
        <w:spacing w:before="156" w:beforeLines="50" w:after="156" w:afterLines="50"/>
        <w:jc w:val="center"/>
        <w:rPr>
          <w:rFonts w:hint="eastAsia" w:hAnsi="宋体"/>
          <w:bCs/>
          <w:sz w:val="30"/>
          <w:szCs w:val="30"/>
        </w:rPr>
      </w:pPr>
      <w:r>
        <w:rPr>
          <w:rFonts w:hint="eastAsia" w:hAnsi="宋体"/>
          <w:bCs/>
          <w:sz w:val="30"/>
          <w:szCs w:val="30"/>
        </w:rPr>
        <w:t>粤建公告【20xx】x号</w:t>
      </w:r>
    </w:p>
    <w:p>
      <w:pPr>
        <w:spacing w:line="360" w:lineRule="auto"/>
        <w:ind w:firstLine="480" w:firstLineChars="200"/>
        <w:rPr>
          <w:rFonts w:hint="eastAsia" w:hAnsi="宋体"/>
          <w:bCs/>
          <w:kern w:val="0"/>
          <w:sz w:val="24"/>
        </w:rPr>
      </w:pPr>
      <w:r>
        <w:rPr>
          <w:rFonts w:hint="eastAsia" w:hAnsi="宋体"/>
          <w:bCs/>
          <w:kern w:val="0"/>
          <w:sz w:val="24"/>
        </w:rPr>
        <w:t>经组织专家委员会审查，现批准《</w:t>
      </w:r>
      <w:r>
        <w:rPr>
          <w:rFonts w:hint="eastAsia" w:hAnsi="宋体" w:eastAsia="宋体"/>
          <w:bCs/>
          <w:kern w:val="0"/>
          <w:sz w:val="24"/>
        </w:rPr>
        <w:t>城市地下病害体探测与风险评估</w:t>
      </w:r>
      <w:r>
        <w:rPr>
          <w:rFonts w:hint="eastAsia" w:hAnsi="宋体" w:eastAsia="宋体"/>
          <w:bCs/>
          <w:kern w:val="0"/>
          <w:sz w:val="24"/>
          <w:lang w:eastAsia="zh-CN"/>
        </w:rPr>
        <w:t>技术</w:t>
      </w:r>
      <w:r>
        <w:rPr>
          <w:rFonts w:hint="eastAsia" w:hAnsi="宋体" w:eastAsia="宋体"/>
          <w:bCs/>
          <w:kern w:val="0"/>
          <w:sz w:val="24"/>
        </w:rPr>
        <w:t>标准</w:t>
      </w:r>
      <w:r>
        <w:rPr>
          <w:rFonts w:hint="eastAsia" w:hAnsi="宋体"/>
          <w:bCs/>
          <w:kern w:val="0"/>
          <w:sz w:val="24"/>
        </w:rPr>
        <w:t>》为广东省地方标准，编号为DBJ/T xx-xxx-2020，自202x年x月x日起实施。</w:t>
      </w:r>
    </w:p>
    <w:p>
      <w:pPr>
        <w:spacing w:line="360" w:lineRule="auto"/>
        <w:ind w:firstLine="480" w:firstLineChars="200"/>
        <w:rPr>
          <w:rFonts w:hint="eastAsia" w:hAnsi="宋体"/>
          <w:bCs/>
          <w:kern w:val="0"/>
          <w:sz w:val="24"/>
        </w:rPr>
      </w:pPr>
      <w:r>
        <w:rPr>
          <w:rFonts w:hAnsi="宋体"/>
          <w:bCs/>
          <w:kern w:val="0"/>
          <w:sz w:val="24"/>
        </w:rPr>
        <w:t>本</w:t>
      </w:r>
      <w:r>
        <w:rPr>
          <w:rFonts w:hint="eastAsia" w:hAnsi="宋体"/>
          <w:bCs/>
          <w:kern w:val="0"/>
          <w:sz w:val="24"/>
          <w:lang w:eastAsia="zh-CN"/>
        </w:rPr>
        <w:t>标准</w:t>
      </w:r>
      <w:r>
        <w:rPr>
          <w:rFonts w:hAnsi="宋体"/>
          <w:bCs/>
          <w:kern w:val="0"/>
          <w:sz w:val="24"/>
        </w:rPr>
        <w:t>由广东省住房和城乡建设厅负责管理，由</w:t>
      </w:r>
      <w:r>
        <w:rPr>
          <w:rFonts w:hint="eastAsia" w:hAnsi="宋体"/>
          <w:bCs/>
          <w:kern w:val="0"/>
          <w:sz w:val="24"/>
          <w:lang w:eastAsia="zh-CN"/>
        </w:rPr>
        <w:t>广州市中心区交通项目管理中心、</w:t>
      </w:r>
      <w:r>
        <w:rPr>
          <w:rFonts w:hint="eastAsia" w:hAnsi="宋体" w:eastAsia="宋体"/>
          <w:bCs/>
          <w:kern w:val="0"/>
          <w:sz w:val="24"/>
          <w:lang w:eastAsia="zh-CN"/>
        </w:rPr>
        <w:t>广州地铁设计研究院股份有限公</w:t>
      </w:r>
      <w:r>
        <w:rPr>
          <w:rFonts w:hint="eastAsia"/>
        </w:rPr>
        <w:t>司</w:t>
      </w:r>
      <w:r>
        <w:rPr>
          <w:rFonts w:hAnsi="宋体"/>
          <w:bCs/>
          <w:kern w:val="0"/>
          <w:sz w:val="24"/>
        </w:rPr>
        <w:t>负责具体技术内容的解释</w:t>
      </w:r>
      <w:r>
        <w:rPr>
          <w:rFonts w:hint="eastAsia" w:hAnsi="宋体"/>
          <w:bCs/>
          <w:kern w:val="0"/>
          <w:sz w:val="24"/>
          <w:lang w:eastAsia="zh-CN"/>
        </w:rPr>
        <w:t>，并在广东省住房和城乡建设厅门户网站（</w:t>
      </w:r>
      <w:r>
        <w:rPr>
          <w:rFonts w:hint="eastAsia" w:hAnsi="宋体"/>
          <w:bCs/>
          <w:kern w:val="0"/>
          <w:sz w:val="24"/>
          <w:lang w:val="en-US" w:eastAsia="zh-CN"/>
        </w:rPr>
        <w:t>×××</w:t>
      </w:r>
      <w:r>
        <w:rPr>
          <w:rFonts w:hint="eastAsia" w:hAnsi="宋体"/>
          <w:bCs/>
          <w:kern w:val="0"/>
          <w:sz w:val="24"/>
          <w:lang w:eastAsia="zh-CN"/>
        </w:rPr>
        <w:t>）公开</w:t>
      </w:r>
      <w:r>
        <w:rPr>
          <w:rFonts w:hint="eastAsia" w:hAnsi="宋体"/>
          <w:bCs/>
          <w:kern w:val="0"/>
          <w:sz w:val="24"/>
        </w:rPr>
        <w:t>。</w:t>
      </w:r>
    </w:p>
    <w:p>
      <w:pPr>
        <w:spacing w:line="360" w:lineRule="auto"/>
        <w:ind w:firstLine="480" w:firstLineChars="200"/>
        <w:rPr>
          <w:rFonts w:hint="eastAsia" w:hAnsi="宋体"/>
          <w:bCs/>
          <w:kern w:val="0"/>
          <w:sz w:val="24"/>
        </w:rPr>
      </w:pPr>
    </w:p>
    <w:p>
      <w:pPr>
        <w:spacing w:line="360" w:lineRule="auto"/>
        <w:ind w:firstLine="480" w:firstLineChars="200"/>
        <w:rPr>
          <w:rFonts w:hint="eastAsia" w:hAnsi="宋体"/>
          <w:bCs/>
          <w:kern w:val="0"/>
          <w:sz w:val="24"/>
        </w:rPr>
      </w:pPr>
    </w:p>
    <w:p>
      <w:pPr>
        <w:spacing w:line="360" w:lineRule="auto"/>
        <w:ind w:firstLine="480" w:firstLineChars="200"/>
        <w:rPr>
          <w:rFonts w:hint="eastAsia" w:hAnsi="宋体"/>
          <w:bCs/>
          <w:kern w:val="0"/>
          <w:sz w:val="24"/>
        </w:rPr>
      </w:pPr>
    </w:p>
    <w:p>
      <w:pPr>
        <w:spacing w:line="360" w:lineRule="auto"/>
        <w:ind w:firstLine="480" w:firstLineChars="200"/>
        <w:rPr>
          <w:rFonts w:hint="eastAsia" w:hAnsi="宋体"/>
          <w:bCs/>
          <w:kern w:val="0"/>
          <w:sz w:val="24"/>
        </w:rPr>
      </w:pPr>
    </w:p>
    <w:p>
      <w:pPr>
        <w:spacing w:line="360" w:lineRule="auto"/>
        <w:ind w:firstLine="5040" w:firstLineChars="2100"/>
        <w:rPr>
          <w:rFonts w:hint="eastAsia" w:hAnsi="宋体"/>
          <w:bCs/>
          <w:kern w:val="0"/>
          <w:sz w:val="24"/>
          <w:lang w:eastAsia="zh-CN"/>
        </w:rPr>
      </w:pPr>
      <w:r>
        <w:rPr>
          <w:rFonts w:hint="eastAsia" w:hAnsi="宋体"/>
          <w:bCs/>
          <w:kern w:val="0"/>
          <w:sz w:val="24"/>
          <w:lang w:eastAsia="zh-CN"/>
        </w:rPr>
        <w:t>广东省住房和城乡建设厅</w:t>
      </w:r>
    </w:p>
    <w:p>
      <w:pPr>
        <w:spacing w:line="360" w:lineRule="auto"/>
        <w:ind w:firstLine="5280" w:firstLineChars="2200"/>
        <w:rPr>
          <w:rFonts w:hint="default" w:hAnsi="宋体"/>
          <w:bCs/>
          <w:kern w:val="0"/>
          <w:sz w:val="24"/>
          <w:lang w:val="en-US" w:eastAsia="zh-CN"/>
        </w:rPr>
      </w:pPr>
      <w:r>
        <w:rPr>
          <w:rFonts w:hint="eastAsia" w:hAnsi="宋体"/>
          <w:bCs/>
          <w:kern w:val="0"/>
          <w:sz w:val="24"/>
          <w:lang w:val="en-US" w:eastAsia="zh-CN"/>
        </w:rPr>
        <w:t>202×年××月××日</w:t>
      </w:r>
    </w:p>
    <w:p>
      <w:pPr>
        <w:widowControl/>
        <w:tabs>
          <w:tab w:val="left" w:pos="425"/>
        </w:tabs>
        <w:jc w:val="center"/>
        <w:outlineLvl w:val="0"/>
        <w:rPr>
          <w:b/>
          <w:kern w:val="0"/>
          <w:sz w:val="24"/>
        </w:rPr>
      </w:pPr>
    </w:p>
    <w:p>
      <w:pPr>
        <w:widowControl/>
        <w:tabs>
          <w:tab w:val="left" w:pos="425"/>
        </w:tabs>
        <w:jc w:val="center"/>
        <w:outlineLvl w:val="0"/>
        <w:rPr>
          <w:b/>
          <w:kern w:val="0"/>
          <w:sz w:val="24"/>
        </w:rPr>
        <w:sectPr>
          <w:footerReference r:id="rId5" w:type="default"/>
          <w:footerReference r:id="rId6" w:type="even"/>
          <w:pgSz w:w="11906" w:h="16838"/>
          <w:pgMar w:top="1440" w:right="1800" w:bottom="1440" w:left="1800" w:header="851" w:footer="992" w:gutter="0"/>
          <w:pgNumType w:start="1"/>
          <w:cols w:space="425" w:num="1"/>
          <w:docGrid w:type="lines" w:linePitch="312" w:charSpace="0"/>
        </w:sectPr>
      </w:pPr>
    </w:p>
    <w:p>
      <w:pPr>
        <w:spacing w:before="624" w:beforeLines="200"/>
        <w:jc w:val="center"/>
        <w:rPr>
          <w:b/>
          <w:kern w:val="36"/>
          <w:sz w:val="36"/>
          <w:szCs w:val="36"/>
        </w:rPr>
      </w:pPr>
      <w:r>
        <w:rPr>
          <w:rFonts w:hint="eastAsia"/>
          <w:b/>
          <w:kern w:val="36"/>
          <w:sz w:val="36"/>
          <w:szCs w:val="36"/>
        </w:rPr>
        <w:t>前    言</w:t>
      </w:r>
    </w:p>
    <w:p>
      <w:pPr>
        <w:spacing w:line="540" w:lineRule="exact"/>
        <w:ind w:firstLine="420" w:firstLineChars="200"/>
      </w:pPr>
      <w:r>
        <w:rPr>
          <w:rFonts w:hint="eastAsia"/>
          <w:kern w:val="36"/>
        </w:rPr>
        <w:t>根据《广东省市场监督管理局关于征集2021年第二批地方标准制修订计划项目的通知》（粤市监标准〔2021〕405号）的要求，标准编制组经广泛调查研究，认真总结实践经验，参考国内先进标准，并广泛征求意见，编制了本标准。</w:t>
      </w:r>
    </w:p>
    <w:p>
      <w:pPr>
        <w:spacing w:line="540" w:lineRule="exact"/>
        <w:ind w:left="105" w:leftChars="50" w:firstLine="315" w:firstLineChars="150"/>
      </w:pPr>
      <w:r>
        <w:rPr>
          <w:rFonts w:hint="eastAsia"/>
        </w:rPr>
        <w:t>本标准共9章，主要技术内容是：1.总则；2.术语和符号；3.基本规定；4.地下病害体分类；5.技术准备；6.地下病害体探测；7.地下病害体验证与成因分析；8.地下病害体风险评估；9.成果编制与信息化管理。</w:t>
      </w:r>
    </w:p>
    <w:p>
      <w:pPr>
        <w:autoSpaceDE w:val="0"/>
        <w:autoSpaceDN w:val="0"/>
        <w:adjustRightInd w:val="0"/>
        <w:spacing w:line="540" w:lineRule="exact"/>
        <w:ind w:firstLine="420" w:firstLineChars="200"/>
        <w:jc w:val="left"/>
        <w:rPr>
          <w:kern w:val="36"/>
        </w:rPr>
      </w:pPr>
      <w:r>
        <w:rPr>
          <w:rFonts w:hint="eastAsia"/>
          <w:kern w:val="36"/>
        </w:rPr>
        <w:t>本标准由广东省市场监督管理局负责管理，由主编单位负责具体技术内容的解释。在执行过程中，如有意见和建议，请反馈给广州市中心区交通项目管理中心（地址：广州市越秀区东风中路318号嘉业大厦16楼，邮编：510335，E-mail：dtbhbzz@163.com）。</w:t>
      </w:r>
    </w:p>
    <w:p>
      <w:pPr>
        <w:spacing w:line="540" w:lineRule="exact"/>
        <w:ind w:firstLine="420" w:firstLineChars="200"/>
      </w:pPr>
      <w:r>
        <w:t>本</w:t>
      </w:r>
      <w:r>
        <w:rPr>
          <w:rFonts w:hint="eastAsia"/>
        </w:rPr>
        <w:t>标准</w:t>
      </w:r>
      <w:r>
        <w:t>主编单位：</w:t>
      </w:r>
      <w:r>
        <w:rPr>
          <w:rFonts w:hint="eastAsia"/>
        </w:rPr>
        <w:t>广州市中心区交通项目管理中心</w:t>
      </w:r>
    </w:p>
    <w:p>
      <w:pPr>
        <w:spacing w:line="540" w:lineRule="exact"/>
        <w:ind w:firstLine="2100" w:firstLineChars="1000"/>
      </w:pPr>
      <w:r>
        <w:rPr>
          <w:rFonts w:hint="eastAsia"/>
        </w:rPr>
        <w:t>广州市交通运输局</w:t>
      </w:r>
    </w:p>
    <w:p>
      <w:pPr>
        <w:spacing w:line="540" w:lineRule="exact"/>
        <w:ind w:firstLine="2100" w:firstLineChars="1000"/>
      </w:pPr>
      <w:r>
        <w:rPr>
          <w:rFonts w:hint="eastAsia"/>
        </w:rPr>
        <w:t>广州地铁设计研究院股份有限公司</w:t>
      </w:r>
    </w:p>
    <w:p>
      <w:pPr>
        <w:spacing w:line="540" w:lineRule="exact"/>
        <w:ind w:firstLine="420" w:firstLineChars="200"/>
      </w:pPr>
      <w:r>
        <w:rPr>
          <w:rFonts w:hint="eastAsia"/>
        </w:rPr>
        <w:t>本标准参编单位：广州市道路事务中心</w:t>
      </w:r>
    </w:p>
    <w:p>
      <w:pPr>
        <w:spacing w:line="540" w:lineRule="exact"/>
        <w:ind w:firstLine="2100" w:firstLineChars="1000"/>
      </w:pPr>
      <w:r>
        <w:rPr>
          <w:rFonts w:hint="eastAsia"/>
        </w:rPr>
        <w:t>广州市城市规划勘测设计研究院</w:t>
      </w:r>
    </w:p>
    <w:p>
      <w:pPr>
        <w:spacing w:line="540" w:lineRule="exact"/>
        <w:ind w:firstLine="2100" w:firstLineChars="1000"/>
      </w:pPr>
      <w:r>
        <w:rPr>
          <w:rFonts w:hint="eastAsia"/>
        </w:rPr>
        <w:t>广州市市政工程设计研究总院有限公司</w:t>
      </w:r>
    </w:p>
    <w:p>
      <w:pPr>
        <w:spacing w:line="540" w:lineRule="exact"/>
        <w:ind w:firstLine="2100" w:firstLineChars="1000"/>
      </w:pPr>
      <w:r>
        <w:rPr>
          <w:rFonts w:hint="eastAsia"/>
        </w:rPr>
        <w:t>清华大学公共安全研究院</w:t>
      </w:r>
    </w:p>
    <w:p>
      <w:pPr>
        <w:spacing w:line="540" w:lineRule="exact"/>
        <w:ind w:firstLine="2100" w:firstLineChars="1000"/>
      </w:pPr>
      <w:r>
        <w:rPr>
          <w:rFonts w:hint="eastAsia"/>
        </w:rPr>
        <w:t>北京市勘察设计研究院有限公司</w:t>
      </w:r>
    </w:p>
    <w:p>
      <w:pPr>
        <w:spacing w:line="540" w:lineRule="exact"/>
        <w:ind w:firstLine="2100" w:firstLineChars="1000"/>
      </w:pPr>
      <w:r>
        <w:rPr>
          <w:rFonts w:hint="eastAsia"/>
        </w:rPr>
        <w:t>广东省建设工程质量安全检测总站有限公司</w:t>
      </w:r>
    </w:p>
    <w:p>
      <w:pPr>
        <w:spacing w:line="540" w:lineRule="exact"/>
        <w:ind w:firstLine="2100" w:firstLineChars="1000"/>
      </w:pPr>
      <w:r>
        <w:rPr>
          <w:rFonts w:hint="eastAsia"/>
        </w:rPr>
        <w:t>广州诚安路桥检测有限公司</w:t>
      </w:r>
    </w:p>
    <w:p>
      <w:pPr>
        <w:spacing w:line="540" w:lineRule="exact"/>
        <w:ind w:firstLine="2100" w:firstLineChars="1000"/>
      </w:pPr>
      <w:r>
        <w:rPr>
          <w:rFonts w:hint="eastAsia"/>
        </w:rPr>
        <w:t>广东省工程勘察院</w:t>
      </w:r>
    </w:p>
    <w:p>
      <w:pPr>
        <w:spacing w:line="540" w:lineRule="exact"/>
        <w:ind w:firstLine="2100" w:firstLineChars="1000"/>
      </w:pPr>
      <w:r>
        <w:rPr>
          <w:rFonts w:hint="eastAsia"/>
        </w:rPr>
        <w:t>深圳市市政设计研究院有限公司</w:t>
      </w:r>
    </w:p>
    <w:p>
      <w:pPr>
        <w:spacing w:line="540" w:lineRule="exact"/>
        <w:ind w:firstLine="2100" w:firstLineChars="1000"/>
        <w:rPr>
          <w:rFonts w:hint="eastAsia"/>
        </w:rPr>
      </w:pPr>
      <w:r>
        <w:rPr>
          <w:rFonts w:hint="eastAsia"/>
        </w:rPr>
        <w:t>中科云图科技有限公司</w:t>
      </w:r>
    </w:p>
    <w:p>
      <w:pPr>
        <w:spacing w:line="540" w:lineRule="exact"/>
        <w:ind w:firstLine="2100" w:firstLineChars="1000"/>
        <w:rPr>
          <w:rFonts w:hint="eastAsia"/>
        </w:rPr>
      </w:pPr>
    </w:p>
    <w:p>
      <w:pPr>
        <w:spacing w:line="540" w:lineRule="exact"/>
        <w:ind w:left="2100" w:hanging="2100" w:hangingChars="1000"/>
        <w:rPr>
          <w:rFonts w:hint="eastAsia" w:eastAsia="宋体"/>
          <w:lang w:val="en-US" w:eastAsia="zh-CN"/>
        </w:rPr>
      </w:pPr>
      <w:r>
        <w:rPr>
          <w:rFonts w:hint="eastAsia"/>
          <w:kern w:val="36"/>
        </w:rPr>
        <w:t>本标准主要起草人员：</w:t>
      </w:r>
      <w:r>
        <w:rPr>
          <w:rFonts w:hint="eastAsia" w:eastAsia="宋体"/>
          <w:lang w:val="en-US" w:eastAsia="zh-CN"/>
        </w:rPr>
        <w:t xml:space="preserve">朱强 史海欧 朱章勇 柏文锋 王一兆 魏立新 彭卫平 </w:t>
      </w:r>
      <w:r>
        <w:rPr>
          <w:rFonts w:hint="eastAsia"/>
          <w:lang w:val="en-US" w:eastAsia="zh-CN"/>
        </w:rPr>
        <w:t xml:space="preserve"> </w:t>
      </w:r>
      <w:r>
        <w:rPr>
          <w:rFonts w:hint="eastAsia" w:eastAsia="宋体"/>
          <w:lang w:val="en-US" w:eastAsia="zh-CN"/>
        </w:rPr>
        <w:t>徐世杨</w:t>
      </w:r>
    </w:p>
    <w:p>
      <w:pPr>
        <w:spacing w:line="540" w:lineRule="exact"/>
        <w:ind w:firstLine="2100" w:firstLineChars="1000"/>
        <w:rPr>
          <w:rFonts w:hint="eastAsia" w:eastAsia="宋体"/>
          <w:lang w:val="en-US" w:eastAsia="zh-CN"/>
        </w:rPr>
      </w:pPr>
      <w:r>
        <w:rPr>
          <w:rFonts w:hint="eastAsia" w:eastAsia="宋体"/>
          <w:lang w:val="en-US" w:eastAsia="zh-CN"/>
        </w:rPr>
        <w:t>孙晖 程俭廷 陈昌彦 黄佳铭</w:t>
      </w:r>
      <w:r>
        <w:rPr>
          <w:rFonts w:hint="eastAsia"/>
          <w:lang w:val="en-US" w:eastAsia="zh-CN"/>
        </w:rPr>
        <w:t xml:space="preserve">  </w:t>
      </w:r>
      <w:r>
        <w:rPr>
          <w:rFonts w:hint="eastAsia" w:eastAsia="宋体"/>
          <w:lang w:val="en-US" w:eastAsia="zh-CN"/>
        </w:rPr>
        <w:t>闵星</w:t>
      </w:r>
      <w:r>
        <w:rPr>
          <w:rFonts w:hint="eastAsia"/>
          <w:lang w:val="en-US" w:eastAsia="zh-CN"/>
        </w:rPr>
        <w:t xml:space="preserve">  </w:t>
      </w:r>
      <w:r>
        <w:rPr>
          <w:rFonts w:hint="eastAsia" w:eastAsia="宋体"/>
          <w:lang w:val="en-US" w:eastAsia="zh-CN"/>
        </w:rPr>
        <w:t xml:space="preserve">陈晓丹 杨春山 </w:t>
      </w:r>
      <w:r>
        <w:rPr>
          <w:rFonts w:hint="eastAsia"/>
          <w:lang w:val="en-US" w:eastAsia="zh-CN"/>
        </w:rPr>
        <w:t xml:space="preserve"> </w:t>
      </w:r>
      <w:r>
        <w:rPr>
          <w:rFonts w:hint="eastAsia" w:eastAsia="宋体"/>
          <w:lang w:val="en-US" w:eastAsia="zh-CN"/>
        </w:rPr>
        <w:t xml:space="preserve">陈亚毅 </w:t>
      </w:r>
    </w:p>
    <w:p>
      <w:pPr>
        <w:spacing w:line="540" w:lineRule="exact"/>
        <w:ind w:firstLine="2100" w:firstLineChars="1000"/>
        <w:rPr>
          <w:rFonts w:hint="eastAsia" w:eastAsia="宋体"/>
          <w:lang w:val="en-US" w:eastAsia="zh-CN"/>
        </w:rPr>
      </w:pPr>
      <w:r>
        <w:rPr>
          <w:rFonts w:hint="eastAsia" w:eastAsia="宋体"/>
          <w:lang w:val="en-US" w:eastAsia="zh-CN"/>
        </w:rPr>
        <w:t>鲍轶洲 赵文秀 刘伟强</w:t>
      </w:r>
      <w:r>
        <w:rPr>
          <w:rFonts w:hint="eastAsia"/>
          <w:lang w:val="en-US" w:eastAsia="zh-CN"/>
        </w:rPr>
        <w:t xml:space="preserve"> </w:t>
      </w:r>
      <w:r>
        <w:rPr>
          <w:rFonts w:hint="eastAsia" w:eastAsia="宋体"/>
          <w:lang w:val="en-US" w:eastAsia="zh-CN"/>
        </w:rPr>
        <w:t xml:space="preserve">陆卓豪 周梓滔 </w:t>
      </w:r>
      <w:r>
        <w:rPr>
          <w:rFonts w:hint="eastAsia"/>
          <w:lang w:val="en-US" w:eastAsia="zh-CN"/>
        </w:rPr>
        <w:t xml:space="preserve"> </w:t>
      </w:r>
      <w:r>
        <w:rPr>
          <w:rFonts w:hint="eastAsia" w:eastAsia="宋体"/>
          <w:lang w:val="en-US" w:eastAsia="zh-CN"/>
        </w:rPr>
        <w:t xml:space="preserve">黄冬青 </w:t>
      </w:r>
      <w:r>
        <w:rPr>
          <w:rFonts w:hint="eastAsia"/>
          <w:lang w:val="en-US" w:eastAsia="zh-CN"/>
        </w:rPr>
        <w:t xml:space="preserve"> </w:t>
      </w:r>
      <w:r>
        <w:rPr>
          <w:rFonts w:hint="eastAsia" w:eastAsia="宋体"/>
          <w:lang w:val="en-US" w:eastAsia="zh-CN"/>
        </w:rPr>
        <w:t>邓兴栋</w:t>
      </w:r>
      <w:r>
        <w:rPr>
          <w:rFonts w:hint="eastAsia"/>
          <w:lang w:val="en-US" w:eastAsia="zh-CN"/>
        </w:rPr>
        <w:t xml:space="preserve">  </w:t>
      </w:r>
      <w:r>
        <w:rPr>
          <w:rFonts w:hint="eastAsia" w:eastAsia="宋体"/>
          <w:lang w:val="en-US" w:eastAsia="zh-CN"/>
        </w:rPr>
        <w:t>王飞</w:t>
      </w:r>
    </w:p>
    <w:p>
      <w:pPr>
        <w:spacing w:line="540" w:lineRule="exact"/>
        <w:ind w:left="2100" w:leftChars="1000" w:firstLine="0" w:firstLineChars="0"/>
        <w:rPr>
          <w:rFonts w:hint="eastAsia" w:eastAsia="宋体"/>
          <w:lang w:val="en-US" w:eastAsia="zh-CN"/>
        </w:rPr>
      </w:pPr>
      <w:r>
        <w:rPr>
          <w:rFonts w:hint="eastAsia" w:eastAsia="宋体"/>
          <w:lang w:val="en-US" w:eastAsia="zh-CN"/>
        </w:rPr>
        <w:t xml:space="preserve">杨向 </w:t>
      </w:r>
      <w:r>
        <w:rPr>
          <w:rFonts w:hint="eastAsia"/>
          <w:lang w:val="en-US" w:eastAsia="zh-CN"/>
        </w:rPr>
        <w:t xml:space="preserve">  </w:t>
      </w:r>
      <w:r>
        <w:rPr>
          <w:rFonts w:hint="eastAsia" w:eastAsia="宋体"/>
          <w:lang w:val="en-US" w:eastAsia="zh-CN"/>
        </w:rPr>
        <w:t xml:space="preserve">周宏磊 </w:t>
      </w:r>
      <w:r>
        <w:rPr>
          <w:rFonts w:hint="eastAsia"/>
          <w:lang w:val="en-US" w:eastAsia="zh-CN"/>
        </w:rPr>
        <w:t xml:space="preserve"> </w:t>
      </w:r>
      <w:r>
        <w:rPr>
          <w:rFonts w:hint="eastAsia" w:eastAsia="宋体"/>
          <w:lang w:val="en-US" w:eastAsia="zh-CN"/>
        </w:rPr>
        <w:t xml:space="preserve">张辉 </w:t>
      </w:r>
      <w:r>
        <w:rPr>
          <w:rFonts w:hint="eastAsia"/>
          <w:lang w:val="en-US" w:eastAsia="zh-CN"/>
        </w:rPr>
        <w:t xml:space="preserve"> </w:t>
      </w:r>
      <w:r>
        <w:rPr>
          <w:rFonts w:hint="eastAsia" w:eastAsia="宋体"/>
          <w:lang w:val="en-US" w:eastAsia="zh-CN"/>
        </w:rPr>
        <w:t xml:space="preserve">段景川 </w:t>
      </w:r>
      <w:r>
        <w:rPr>
          <w:rFonts w:hint="eastAsia"/>
          <w:lang w:val="en-US" w:eastAsia="zh-CN"/>
        </w:rPr>
        <w:t xml:space="preserve"> </w:t>
      </w:r>
      <w:r>
        <w:rPr>
          <w:rFonts w:hint="eastAsia" w:eastAsia="宋体"/>
          <w:lang w:val="en-US" w:eastAsia="zh-CN"/>
        </w:rPr>
        <w:t xml:space="preserve">曾奇 </w:t>
      </w:r>
      <w:r>
        <w:rPr>
          <w:rFonts w:hint="eastAsia"/>
          <w:lang w:val="en-US" w:eastAsia="zh-CN"/>
        </w:rPr>
        <w:t xml:space="preserve">  </w:t>
      </w:r>
      <w:r>
        <w:rPr>
          <w:rFonts w:hint="eastAsia" w:eastAsia="宋体"/>
          <w:lang w:val="en-US" w:eastAsia="zh-CN"/>
        </w:rPr>
        <w:t xml:space="preserve">何钦 </w:t>
      </w:r>
      <w:r>
        <w:rPr>
          <w:rFonts w:hint="eastAsia"/>
          <w:lang w:val="en-US" w:eastAsia="zh-CN"/>
        </w:rPr>
        <w:t xml:space="preserve">  </w:t>
      </w:r>
      <w:r>
        <w:rPr>
          <w:rFonts w:hint="eastAsia" w:eastAsia="宋体"/>
          <w:lang w:val="en-US" w:eastAsia="zh-CN"/>
        </w:rPr>
        <w:t>谢先明 崔志猛</w:t>
      </w:r>
    </w:p>
    <w:p>
      <w:pPr>
        <w:spacing w:line="540" w:lineRule="exact"/>
        <w:rPr>
          <w:rFonts w:hint="eastAsia" w:eastAsia="宋体"/>
        </w:rPr>
      </w:pPr>
    </w:p>
    <w:p>
      <w:pPr>
        <w:spacing w:line="540" w:lineRule="exact"/>
      </w:pPr>
      <w:r>
        <w:rPr>
          <w:rFonts w:hint="eastAsia"/>
        </w:rPr>
        <w:t>本标准主要审查人员：</w:t>
      </w:r>
    </w:p>
    <w:p>
      <w:pPr>
        <w:spacing w:line="540" w:lineRule="exact"/>
        <w:ind w:firstLine="420" w:firstLineChars="200"/>
      </w:pPr>
    </w:p>
    <w:p>
      <w:pPr>
        <w:jc w:val="center"/>
        <w:rPr>
          <w:sz w:val="36"/>
          <w:szCs w:val="36"/>
        </w:rPr>
        <w:sectPr>
          <w:pgSz w:w="11906" w:h="16838"/>
          <w:pgMar w:top="1440" w:right="1800" w:bottom="1440" w:left="1800" w:header="851" w:footer="992" w:gutter="0"/>
          <w:cols w:space="425" w:num="1"/>
          <w:docGrid w:type="lines" w:linePitch="312" w:charSpace="0"/>
        </w:sectPr>
      </w:pPr>
    </w:p>
    <w:p>
      <w:pPr>
        <w:pStyle w:val="24"/>
        <w:spacing w:before="0" w:beforeAutospacing="0" w:after="0" w:afterAutospacing="0" w:line="300" w:lineRule="auto"/>
        <w:jc w:val="center"/>
        <w:rPr>
          <w:rFonts w:ascii="Times New Roman" w:hAnsi="Times New Roman" w:cs="Times New Roman"/>
          <w:b/>
          <w:sz w:val="28"/>
          <w:szCs w:val="28"/>
        </w:rPr>
      </w:pPr>
      <w:r>
        <w:rPr>
          <w:rFonts w:hint="eastAsia" w:ascii="Times New Roman" w:hAnsi="Times New Roman" w:cs="Times New Roman"/>
          <w:b/>
          <w:sz w:val="28"/>
          <w:szCs w:val="28"/>
        </w:rPr>
        <w:t>目    次</w:t>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rPr>
          <w:b w:val="0"/>
          <w:caps w:val="0"/>
        </w:rPr>
        <w:fldChar w:fldCharType="begin"/>
      </w:r>
      <w:r>
        <w:rPr>
          <w:b w:val="0"/>
          <w:caps w:val="0"/>
        </w:rPr>
        <w:instrText xml:space="preserve"> TOC \o "1-2" \h \z \u </w:instrText>
      </w:r>
      <w:r>
        <w:rPr>
          <w:b w:val="0"/>
          <w:caps w:val="0"/>
        </w:rPr>
        <w:fldChar w:fldCharType="separate"/>
      </w:r>
      <w:r>
        <w:fldChar w:fldCharType="begin"/>
      </w:r>
      <w:r>
        <w:instrText xml:space="preserve"> HYPERLINK \l "_Toc148468221" </w:instrText>
      </w:r>
      <w:r>
        <w:fldChar w:fldCharType="separate"/>
      </w:r>
      <w:r>
        <w:rPr>
          <w:rStyle w:val="32"/>
          <w:rFonts w:ascii="Times New Roman" w:hAnsi="Times New Roman"/>
          <w:kern w:val="0"/>
        </w:rPr>
        <w:t>1</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总   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_Toc148468221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"_Toc148468222" </w:instrText>
      </w:r>
      <w:r>
        <w:fldChar w:fldCharType="separate"/>
      </w:r>
      <w:r>
        <w:rPr>
          <w:rStyle w:val="32"/>
          <w:rFonts w:ascii="Times New Roman" w:hAnsi="Times New Roman"/>
          <w:kern w:val="0"/>
        </w:rPr>
        <w:t>2</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术语和符号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_Toc148468222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"_Toc148468223" </w:instrText>
      </w:r>
      <w:r>
        <w:fldChar w:fldCharType="separate"/>
      </w:r>
      <w:r>
        <w:rPr>
          <w:rStyle w:val="32"/>
          <w:rFonts w:ascii="Times New Roman" w:hAnsi="Times New Roman"/>
          <w:kern w:val="0"/>
        </w:rPr>
        <w:t>2.1  术语</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_Toc148468223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"_Toc148468224" </w:instrText>
      </w:r>
      <w:r>
        <w:fldChar w:fldCharType="separate"/>
      </w:r>
      <w:r>
        <w:rPr>
          <w:rStyle w:val="32"/>
          <w:rFonts w:ascii="Times New Roman" w:hAnsi="Times New Roman"/>
          <w:kern w:val="0"/>
        </w:rPr>
        <w:t>2.2  符号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_Toc148468224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"_Toc148468225" </w:instrText>
      </w:r>
      <w:r>
        <w:fldChar w:fldCharType="separate"/>
      </w:r>
      <w:r>
        <w:rPr>
          <w:rStyle w:val="32"/>
          <w:rFonts w:ascii="Times New Roman" w:hAnsi="Times New Roman"/>
          <w:kern w:val="0"/>
        </w:rPr>
        <w:t>3</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基本规定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_Toc148468225 \h </w:instrText>
      </w:r>
      <w:r>
        <w:rPr>
          <w:rFonts w:ascii="Times New Roman" w:hAnsi="Times New Roman"/>
        </w:rPr>
        <w:fldChar w:fldCharType="separate"/>
      </w:r>
      <w:r>
        <w:rPr>
          <w:rFonts w:ascii="Times New Roman" w:hAnsi="Times New Roman"/>
        </w:rPr>
        <w:t>5</w:t>
      </w:r>
      <w:r>
        <w:rPr>
          <w:rFonts w:ascii="Times New Roman" w:hAnsi="Times New Roman"/>
        </w:rPr>
        <w:fldChar w:fldCharType="end"/>
      </w:r>
      <w:r>
        <w:rPr>
          <w:rFonts w:ascii="Times New Roman" w:hAnsi="Times New Roman"/>
        </w:rPr>
        <w:fldChar w:fldCharType="end"/>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"_Toc148468226" </w:instrText>
      </w:r>
      <w:r>
        <w:fldChar w:fldCharType="separate"/>
      </w:r>
      <w:r>
        <w:rPr>
          <w:rStyle w:val="32"/>
          <w:rFonts w:ascii="Times New Roman" w:hAnsi="Times New Roman"/>
          <w:kern w:val="0"/>
        </w:rPr>
        <w:t>4</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地下病害体分类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_Toc148468226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"_Toc148468227" </w:instrText>
      </w:r>
      <w:r>
        <w:fldChar w:fldCharType="separate"/>
      </w:r>
      <w:r>
        <w:rPr>
          <w:rStyle w:val="32"/>
          <w:rFonts w:ascii="Times New Roman" w:hAnsi="Times New Roman"/>
          <w:kern w:val="0"/>
        </w:rPr>
        <w:t>5</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技术准备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_Toc148468227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"_Toc148468228" </w:instrText>
      </w:r>
      <w:r>
        <w:fldChar w:fldCharType="separate"/>
      </w:r>
      <w:r>
        <w:rPr>
          <w:rStyle w:val="32"/>
          <w:rFonts w:ascii="Times New Roman" w:hAnsi="Times New Roman"/>
          <w:kern w:val="0"/>
        </w:rPr>
        <w:t>5.1  一般规定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_Toc148468228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"_Toc148468229" </w:instrText>
      </w:r>
      <w:r>
        <w:fldChar w:fldCharType="separate"/>
      </w:r>
      <w:r>
        <w:rPr>
          <w:rStyle w:val="32"/>
          <w:rFonts w:ascii="Times New Roman" w:hAnsi="Times New Roman"/>
          <w:kern w:val="0"/>
        </w:rPr>
        <w:t>5.2  资料收集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_Toc148468229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"_Toc148468230" </w:instrText>
      </w:r>
      <w:r>
        <w:fldChar w:fldCharType="separate"/>
      </w:r>
      <w:r>
        <w:rPr>
          <w:rStyle w:val="32"/>
          <w:rFonts w:ascii="Times New Roman" w:hAnsi="Times New Roman"/>
          <w:kern w:val="0"/>
        </w:rPr>
        <w:t>5.3  现场踏勘</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_Toc148468230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"_Toc148468231" </w:instrText>
      </w:r>
      <w:r>
        <w:fldChar w:fldCharType="separate"/>
      </w:r>
      <w:r>
        <w:rPr>
          <w:rStyle w:val="32"/>
          <w:rFonts w:ascii="Times New Roman" w:hAnsi="Times New Roman"/>
          <w:kern w:val="0"/>
        </w:rPr>
        <w:t>5.4  方法选择</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_Toc148468231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"_Toc148468232" </w:instrText>
      </w:r>
      <w:r>
        <w:fldChar w:fldCharType="separate"/>
      </w:r>
      <w:r>
        <w:rPr>
          <w:rStyle w:val="32"/>
          <w:rFonts w:ascii="Times New Roman" w:hAnsi="Times New Roman"/>
          <w:kern w:val="0"/>
        </w:rPr>
        <w:t>5.5  方案编制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_Toc148468232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"_Toc148468233" </w:instrText>
      </w:r>
      <w:r>
        <w:fldChar w:fldCharType="separate"/>
      </w:r>
      <w:r>
        <w:rPr>
          <w:rStyle w:val="32"/>
          <w:rFonts w:ascii="Times New Roman" w:hAnsi="Times New Roman"/>
          <w:kern w:val="0"/>
        </w:rPr>
        <w:t>6</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地下病害体探测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_Toc148468233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"_Toc148468234" </w:instrText>
      </w:r>
      <w:r>
        <w:fldChar w:fldCharType="separate"/>
      </w:r>
      <w:r>
        <w:rPr>
          <w:rStyle w:val="32"/>
          <w:rFonts w:ascii="Times New Roman" w:hAnsi="Times New Roman"/>
          <w:kern w:val="0"/>
        </w:rPr>
        <w:t>6.1  一般规定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_Toc148468234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"_Toc148468235" </w:instrText>
      </w:r>
      <w:r>
        <w:fldChar w:fldCharType="separate"/>
      </w:r>
      <w:r>
        <w:rPr>
          <w:rStyle w:val="32"/>
          <w:rFonts w:ascii="Times New Roman" w:hAnsi="Times New Roman"/>
          <w:kern w:val="0"/>
        </w:rPr>
        <w:t>6.2  探地雷达法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_Toc148468235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"_Toc148468236" </w:instrText>
      </w:r>
      <w:r>
        <w:fldChar w:fldCharType="separate"/>
      </w:r>
      <w:r>
        <w:rPr>
          <w:rStyle w:val="32"/>
          <w:rFonts w:ascii="Times New Roman" w:hAnsi="Times New Roman"/>
          <w:kern w:val="0"/>
        </w:rPr>
        <w:t>6.3  高密度电阻率法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_Toc148468236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"_Toc148468237" </w:instrText>
      </w:r>
      <w:r>
        <w:fldChar w:fldCharType="separate"/>
      </w:r>
      <w:r>
        <w:rPr>
          <w:rStyle w:val="32"/>
          <w:rFonts w:ascii="Times New Roman" w:hAnsi="Times New Roman"/>
          <w:kern w:val="0"/>
        </w:rPr>
        <w:t>6.4  瞬态面波法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_Toc148468237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"_Toc148468238" </w:instrText>
      </w:r>
      <w:r>
        <w:fldChar w:fldCharType="separate"/>
      </w:r>
      <w:r>
        <w:rPr>
          <w:rStyle w:val="32"/>
          <w:rFonts w:ascii="Times New Roman" w:hAnsi="Times New Roman"/>
          <w:kern w:val="0"/>
        </w:rPr>
        <w:t>6.5  地震映像法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_Toc148468238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"_Toc148468239" </w:instrText>
      </w:r>
      <w:r>
        <w:fldChar w:fldCharType="separate"/>
      </w:r>
      <w:r>
        <w:rPr>
          <w:rStyle w:val="32"/>
          <w:rFonts w:ascii="Times New Roman" w:hAnsi="Times New Roman"/>
          <w:kern w:val="0"/>
        </w:rPr>
        <w:t>6.6  微动勘探法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_Toc148468239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"_Toc148468240" </w:instrText>
      </w:r>
      <w:r>
        <w:fldChar w:fldCharType="separate"/>
      </w:r>
      <w:r>
        <w:rPr>
          <w:rStyle w:val="32"/>
          <w:rFonts w:ascii="Times New Roman" w:hAnsi="Times New Roman"/>
          <w:kern w:val="0"/>
        </w:rPr>
        <w:t>6.7  瞬变电磁法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_Toc148468240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"_Toc148468241" </w:instrText>
      </w:r>
      <w:r>
        <w:fldChar w:fldCharType="separate"/>
      </w:r>
      <w:r>
        <w:rPr>
          <w:rStyle w:val="32"/>
          <w:rFonts w:ascii="Times New Roman" w:hAnsi="Times New Roman"/>
          <w:kern w:val="0"/>
        </w:rPr>
        <w:t>7</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地下病害体验证与成因分析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_Toc148468241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"_Toc148468242" </w:instrText>
      </w:r>
      <w:r>
        <w:fldChar w:fldCharType="separate"/>
      </w:r>
      <w:r>
        <w:rPr>
          <w:rStyle w:val="32"/>
          <w:rFonts w:ascii="Times New Roman" w:hAnsi="Times New Roman"/>
          <w:kern w:val="0"/>
        </w:rPr>
        <w:t>7.1  地下病害体验证</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_Toc148468242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"_Toc148468243" </w:instrText>
      </w:r>
      <w:r>
        <w:fldChar w:fldCharType="separate"/>
      </w:r>
      <w:r>
        <w:rPr>
          <w:rStyle w:val="32"/>
          <w:rFonts w:ascii="Times New Roman" w:hAnsi="Times New Roman"/>
          <w:kern w:val="0"/>
        </w:rPr>
        <w:t>7.2  地下病害体成因分析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_Toc148468243 \h </w:instrText>
      </w:r>
      <w:r>
        <w:rPr>
          <w:rFonts w:ascii="Times New Roman" w:hAnsi="Times New Roman"/>
        </w:rPr>
        <w:fldChar w:fldCharType="separate"/>
      </w:r>
      <w:r>
        <w:rPr>
          <w:rFonts w:ascii="Times New Roman" w:hAnsi="Times New Roman"/>
        </w:rPr>
        <w:t>24</w:t>
      </w:r>
      <w:r>
        <w:rPr>
          <w:rFonts w:ascii="Times New Roman" w:hAnsi="Times New Roman"/>
        </w:rPr>
        <w:fldChar w:fldCharType="end"/>
      </w:r>
      <w:r>
        <w:rPr>
          <w:rFonts w:ascii="Times New Roman" w:hAnsi="Times New Roman"/>
        </w:rPr>
        <w:fldChar w:fldCharType="end"/>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"_Toc148468244" </w:instrText>
      </w:r>
      <w:r>
        <w:fldChar w:fldCharType="separate"/>
      </w:r>
      <w:r>
        <w:rPr>
          <w:rStyle w:val="32"/>
          <w:rFonts w:ascii="Times New Roman" w:hAnsi="Times New Roman"/>
          <w:kern w:val="0"/>
        </w:rPr>
        <w:t>8</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地下病害体风险评估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_Toc148468244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"_Toc148468245" </w:instrText>
      </w:r>
      <w:r>
        <w:fldChar w:fldCharType="separate"/>
      </w:r>
      <w:r>
        <w:rPr>
          <w:rStyle w:val="32"/>
          <w:rFonts w:ascii="Times New Roman" w:hAnsi="Times New Roman"/>
          <w:kern w:val="0"/>
        </w:rPr>
        <w:t>8.1  一般规定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_Toc148468245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"_Toc148468246" </w:instrText>
      </w:r>
      <w:r>
        <w:fldChar w:fldCharType="separate"/>
      </w:r>
      <w:r>
        <w:rPr>
          <w:rStyle w:val="32"/>
          <w:rFonts w:ascii="Times New Roman" w:hAnsi="Times New Roman"/>
          <w:kern w:val="0"/>
        </w:rPr>
        <w:t>8.2  风险因素调查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_Toc148468246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"_Toc148468247" </w:instrText>
      </w:r>
      <w:r>
        <w:fldChar w:fldCharType="separate"/>
      </w:r>
      <w:r>
        <w:rPr>
          <w:rStyle w:val="32"/>
          <w:rFonts w:ascii="Times New Roman" w:hAnsi="Times New Roman"/>
          <w:kern w:val="0"/>
        </w:rPr>
        <w:t>8.3  风险发生可能性评价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_Toc148468247 \h </w:instrText>
      </w:r>
      <w:r>
        <w:rPr>
          <w:rFonts w:ascii="Times New Roman" w:hAnsi="Times New Roman"/>
        </w:rPr>
        <w:fldChar w:fldCharType="separate"/>
      </w:r>
      <w:r>
        <w:rPr>
          <w:rFonts w:ascii="Times New Roman" w:hAnsi="Times New Roman"/>
        </w:rPr>
        <w:t>26</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"_Toc148468248" </w:instrText>
      </w:r>
      <w:r>
        <w:fldChar w:fldCharType="separate"/>
      </w:r>
      <w:r>
        <w:rPr>
          <w:rStyle w:val="32"/>
          <w:rFonts w:ascii="Times New Roman" w:hAnsi="Times New Roman"/>
          <w:kern w:val="0"/>
        </w:rPr>
        <w:t>8.4  风险后果评价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_Toc148468248 \h </w:instrText>
      </w:r>
      <w:r>
        <w:rPr>
          <w:rFonts w:ascii="Times New Roman" w:hAnsi="Times New Roman"/>
        </w:rPr>
        <w:fldChar w:fldCharType="separate"/>
      </w:r>
      <w:r>
        <w:rPr>
          <w:rFonts w:ascii="Times New Roman" w:hAnsi="Times New Roman"/>
        </w:rPr>
        <w:t>34</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"_Toc148468249" </w:instrText>
      </w:r>
      <w:r>
        <w:fldChar w:fldCharType="separate"/>
      </w:r>
      <w:r>
        <w:rPr>
          <w:rStyle w:val="32"/>
          <w:rFonts w:ascii="Times New Roman" w:hAnsi="Times New Roman"/>
          <w:kern w:val="0"/>
        </w:rPr>
        <w:t>8.5  风险等级划分与控制对策</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_Toc148468249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r>
        <w:rPr>
          <w:rFonts w:ascii="Times New Roman" w:hAnsi="Times New Roman"/>
        </w:rPr>
        <w:fldChar w:fldCharType="end"/>
      </w:r>
    </w:p>
    <w:p>
      <w:pPr>
        <w:pStyle w:val="3"/>
        <w:tabs>
          <w:tab w:val="left" w:pos="420"/>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"_Toc148468250" </w:instrText>
      </w:r>
      <w:r>
        <w:fldChar w:fldCharType="separate"/>
      </w:r>
      <w:r>
        <w:rPr>
          <w:rStyle w:val="32"/>
          <w:rFonts w:ascii="Times New Roman" w:hAnsi="Times New Roman"/>
          <w:kern w:val="0"/>
        </w:rPr>
        <w:t>9</w:t>
      </w:r>
      <w:r>
        <w:rPr>
          <w:rFonts w:ascii="Times New Roman" w:hAnsi="Times New Roman" w:eastAsiaTheme="minorEastAsia" w:cstheme="minorBidi"/>
          <w:b w:val="0"/>
          <w:bCs w:val="0"/>
          <w:caps w:val="0"/>
          <w:sz w:val="21"/>
          <w:szCs w:val="22"/>
          <w14:ligatures w14:val="standardContextual"/>
        </w:rPr>
        <w:tab/>
      </w:r>
      <w:r>
        <w:rPr>
          <w:rStyle w:val="32"/>
          <w:rFonts w:ascii="Times New Roman" w:hAnsi="Times New Roman"/>
          <w:kern w:val="0"/>
        </w:rPr>
        <w:t>成果编制与信息化管理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_Toc148468250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"_Toc148468251" </w:instrText>
      </w:r>
      <w:r>
        <w:fldChar w:fldCharType="separate"/>
      </w:r>
      <w:r>
        <w:rPr>
          <w:rStyle w:val="32"/>
          <w:rFonts w:ascii="Times New Roman" w:hAnsi="Times New Roman"/>
          <w:kern w:val="0"/>
        </w:rPr>
        <w:t>9.1  一般规定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_Toc148468251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"_Toc148468252" </w:instrText>
      </w:r>
      <w:r>
        <w:fldChar w:fldCharType="separate"/>
      </w:r>
      <w:r>
        <w:rPr>
          <w:rStyle w:val="32"/>
          <w:rFonts w:ascii="Times New Roman" w:hAnsi="Times New Roman"/>
          <w:kern w:val="0"/>
        </w:rPr>
        <w:t>9.2  成果编制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_Toc148468252 \h </w:instrText>
      </w:r>
      <w:r>
        <w:rPr>
          <w:rFonts w:ascii="Times New Roman" w:hAnsi="Times New Roman"/>
        </w:rPr>
        <w:fldChar w:fldCharType="separate"/>
      </w:r>
      <w:r>
        <w:rPr>
          <w:rFonts w:ascii="Times New Roman" w:hAnsi="Times New Roman"/>
        </w:rPr>
        <w:t>39</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"_Toc148468253" </w:instrText>
      </w:r>
      <w:r>
        <w:fldChar w:fldCharType="separate"/>
      </w:r>
      <w:r>
        <w:rPr>
          <w:rStyle w:val="32"/>
          <w:rFonts w:ascii="Times New Roman" w:hAnsi="Times New Roman"/>
          <w:kern w:val="0"/>
        </w:rPr>
        <w:t>9.3  信息化管理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_Toc148468253 \h </w:instrText>
      </w:r>
      <w:r>
        <w:rPr>
          <w:rFonts w:ascii="Times New Roman" w:hAnsi="Times New Roman"/>
        </w:rPr>
        <w:fldChar w:fldCharType="separate"/>
      </w:r>
      <w:r>
        <w:rPr>
          <w:rFonts w:ascii="Times New Roman" w:hAnsi="Times New Roman"/>
        </w:rPr>
        <w:t>40</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"_Toc148468254" </w:instrText>
      </w:r>
      <w:r>
        <w:fldChar w:fldCharType="separate"/>
      </w:r>
      <w:r>
        <w:rPr>
          <w:rStyle w:val="32"/>
          <w:rFonts w:ascii="Times New Roman" w:hAnsi="Times New Roman"/>
        </w:rPr>
        <w:t>附录A  探地雷达法现场探测记录单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_Toc148468254 \h </w:instrText>
      </w:r>
      <w:r>
        <w:rPr>
          <w:rFonts w:ascii="Times New Roman" w:hAnsi="Times New Roman"/>
        </w:rPr>
        <w:fldChar w:fldCharType="separate"/>
      </w:r>
      <w:r>
        <w:rPr>
          <w:rFonts w:ascii="Times New Roman" w:hAnsi="Times New Roman"/>
        </w:rPr>
        <w:t>42</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"_Toc148468255" </w:instrText>
      </w:r>
      <w:r>
        <w:fldChar w:fldCharType="separate"/>
      </w:r>
      <w:r>
        <w:rPr>
          <w:rStyle w:val="32"/>
          <w:rFonts w:ascii="Times New Roman" w:hAnsi="Times New Roman"/>
        </w:rPr>
        <w:t>附录B  地下病害体特征波形</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_Toc148468255 \h </w:instrText>
      </w:r>
      <w:r>
        <w:rPr>
          <w:rFonts w:ascii="Times New Roman" w:hAnsi="Times New Roman"/>
        </w:rPr>
        <w:fldChar w:fldCharType="separate"/>
      </w:r>
      <w:r>
        <w:rPr>
          <w:rFonts w:ascii="Times New Roman" w:hAnsi="Times New Roman"/>
        </w:rPr>
        <w:t>43</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"_Toc148468256" </w:instrText>
      </w:r>
      <w:r>
        <w:fldChar w:fldCharType="separate"/>
      </w:r>
      <w:r>
        <w:rPr>
          <w:rStyle w:val="32"/>
          <w:rFonts w:ascii="Times New Roman" w:hAnsi="Times New Roman"/>
        </w:rPr>
        <w:t>附录C  地下病害体信息卡样例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_Toc148468256 \h </w:instrText>
      </w:r>
      <w:r>
        <w:rPr>
          <w:rFonts w:ascii="Times New Roman" w:hAnsi="Times New Roman"/>
        </w:rPr>
        <w:fldChar w:fldCharType="separate"/>
      </w:r>
      <w:r>
        <w:rPr>
          <w:rFonts w:ascii="Times New Roman" w:hAnsi="Times New Roman"/>
        </w:rPr>
        <w:t>44</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"_Toc148468257" </w:instrText>
      </w:r>
      <w:r>
        <w:fldChar w:fldCharType="separate"/>
      </w:r>
      <w:r>
        <w:rPr>
          <w:rStyle w:val="32"/>
          <w:rFonts w:ascii="Times New Roman" w:hAnsi="Times New Roman"/>
        </w:rPr>
        <w:t>附录D  高密度电阻率法现场探测记录单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_Toc148468257 \h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"_Toc148468258" </w:instrText>
      </w:r>
      <w:r>
        <w:fldChar w:fldCharType="separate"/>
      </w:r>
      <w:r>
        <w:rPr>
          <w:rStyle w:val="32"/>
          <w:rFonts w:ascii="Times New Roman" w:hAnsi="Times New Roman"/>
        </w:rPr>
        <w:t>附录E  瞬态面波法现场探测记录单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_Toc148468258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"_Toc148468259" </w:instrText>
      </w:r>
      <w:r>
        <w:fldChar w:fldCharType="separate"/>
      </w:r>
      <w:r>
        <w:rPr>
          <w:rStyle w:val="32"/>
          <w:rFonts w:ascii="Times New Roman" w:hAnsi="Times New Roman"/>
        </w:rPr>
        <w:t>附录F  地震映像法现场探测记录单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_Toc148468259 \h </w:instrText>
      </w:r>
      <w:r>
        <w:rPr>
          <w:rFonts w:ascii="Times New Roman" w:hAnsi="Times New Roman"/>
        </w:rPr>
        <w:fldChar w:fldCharType="separate"/>
      </w:r>
      <w:r>
        <w:rPr>
          <w:rFonts w:ascii="Times New Roman" w:hAnsi="Times New Roman"/>
        </w:rPr>
        <w:t>47</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"_Toc148468260" </w:instrText>
      </w:r>
      <w:r>
        <w:fldChar w:fldCharType="separate"/>
      </w:r>
      <w:r>
        <w:rPr>
          <w:rStyle w:val="32"/>
          <w:rFonts w:ascii="Times New Roman" w:hAnsi="Times New Roman"/>
        </w:rPr>
        <w:t>附录G  微动勘探法现场探测记录单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_Toc148468260 \h </w:instrText>
      </w:r>
      <w:r>
        <w:rPr>
          <w:rFonts w:ascii="Times New Roman" w:hAnsi="Times New Roman"/>
        </w:rPr>
        <w:fldChar w:fldCharType="separate"/>
      </w:r>
      <w:r>
        <w:rPr>
          <w:rFonts w:ascii="Times New Roman" w:hAnsi="Times New Roman"/>
        </w:rPr>
        <w:t>48</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"_Toc148468261" </w:instrText>
      </w:r>
      <w:r>
        <w:fldChar w:fldCharType="separate"/>
      </w:r>
      <w:r>
        <w:rPr>
          <w:rStyle w:val="32"/>
          <w:rFonts w:ascii="Times New Roman" w:hAnsi="Times New Roman"/>
        </w:rPr>
        <w:t>附录H  瞬变电磁法现场探测记录单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_Toc148468261 \h </w:instrText>
      </w:r>
      <w:r>
        <w:rPr>
          <w:rFonts w:ascii="Times New Roman" w:hAnsi="Times New Roman"/>
        </w:rPr>
        <w:fldChar w:fldCharType="separate"/>
      </w:r>
      <w:r>
        <w:rPr>
          <w:rFonts w:ascii="Times New Roman" w:hAnsi="Times New Roman"/>
        </w:rPr>
        <w:t>49</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"_Toc148468262" </w:instrText>
      </w:r>
      <w:r>
        <w:fldChar w:fldCharType="separate"/>
      </w:r>
      <w:r>
        <w:rPr>
          <w:rStyle w:val="32"/>
          <w:rFonts w:ascii="Times New Roman" w:hAnsi="Times New Roman"/>
        </w:rPr>
        <w:t>本标准用词说明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_Toc148468262 \h </w:instrText>
      </w:r>
      <w:r>
        <w:rPr>
          <w:rFonts w:ascii="Times New Roman" w:hAnsi="Times New Roman"/>
        </w:rPr>
        <w:fldChar w:fldCharType="separate"/>
      </w:r>
      <w:r>
        <w:rPr>
          <w:rFonts w:ascii="Times New Roman" w:hAnsi="Times New Roman"/>
        </w:rPr>
        <w:t>50</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"_Toc148468263" </w:instrText>
      </w:r>
      <w:r>
        <w:fldChar w:fldCharType="separate"/>
      </w:r>
      <w:r>
        <w:rPr>
          <w:rStyle w:val="32"/>
          <w:rFonts w:ascii="Times New Roman" w:hAnsi="Times New Roman"/>
        </w:rPr>
        <w:t>引用标准名录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_Toc148468263 \h </w:instrText>
      </w:r>
      <w:r>
        <w:rPr>
          <w:rFonts w:ascii="Times New Roman" w:hAnsi="Times New Roman"/>
        </w:rPr>
        <w:fldChar w:fldCharType="separate"/>
      </w:r>
      <w:r>
        <w:rPr>
          <w:rFonts w:ascii="Times New Roman" w:hAnsi="Times New Roman"/>
        </w:rPr>
        <w:t>51</w:t>
      </w:r>
      <w:r>
        <w:rPr>
          <w:rFonts w:ascii="Times New Roman" w:hAnsi="Times New Roman"/>
        </w:rPr>
        <w:fldChar w:fldCharType="end"/>
      </w:r>
      <w:r>
        <w:rPr>
          <w:rFonts w:ascii="Times New Roman" w:hAnsi="Times New Roman"/>
        </w:rPr>
        <w:fldChar w:fldCharType="end"/>
      </w:r>
    </w:p>
    <w:p>
      <w:pPr>
        <w:pStyle w:val="3"/>
        <w:tabs>
          <w:tab w:val="right" w:leader="dot" w:pos="7828"/>
        </w:tabs>
        <w:rPr>
          <w:rFonts w:eastAsiaTheme="minorEastAsia" w:cstheme="minorBidi"/>
          <w:b w:val="0"/>
          <w:bCs w:val="0"/>
          <w:caps w:val="0"/>
          <w:sz w:val="21"/>
          <w:szCs w:val="22"/>
          <w14:ligatures w14:val="standardContextual"/>
        </w:rPr>
      </w:pPr>
      <w:r>
        <w:rPr>
          <w:rFonts w:hint="eastAsia"/>
        </w:rPr>
        <w:t>附</w:t>
      </w:r>
      <w:r>
        <w:fldChar w:fldCharType="begin"/>
      </w:r>
      <w:r>
        <w:instrText xml:space="preserve"> HYPERLINK \l "_Toc148468264" </w:instrText>
      </w:r>
      <w:r>
        <w:fldChar w:fldCharType="separate"/>
      </w:r>
      <w:r>
        <w:rPr>
          <w:rStyle w:val="32"/>
          <w:rFonts w:ascii="Times New Roman" w:hAnsi="Times New Roman"/>
        </w:rPr>
        <w:t>条文说明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_Toc148468264 \h </w:instrText>
      </w:r>
      <w:r>
        <w:rPr>
          <w:rFonts w:ascii="Times New Roman" w:hAnsi="Times New Roman"/>
        </w:rPr>
        <w:fldChar w:fldCharType="separate"/>
      </w:r>
      <w:r>
        <w:rPr>
          <w:rFonts w:ascii="Times New Roman" w:hAnsi="Times New Roman"/>
        </w:rPr>
        <w:t>52</w:t>
      </w:r>
      <w:r>
        <w:rPr>
          <w:rFonts w:ascii="Times New Roman" w:hAnsi="Times New Roman"/>
        </w:rPr>
        <w:fldChar w:fldCharType="end"/>
      </w:r>
      <w:r>
        <w:rPr>
          <w:rFonts w:ascii="Times New Roman" w:hAnsi="Times New Roman"/>
        </w:rPr>
        <w:fldChar w:fldCharType="end"/>
      </w:r>
    </w:p>
    <w:p>
      <w:pPr>
        <w:rPr>
          <w:bCs/>
        </w:rPr>
      </w:pPr>
      <w:r>
        <w:rPr>
          <w:rFonts w:asciiTheme="minorHAnsi" w:hAnsiTheme="minorHAnsi"/>
          <w:b/>
          <w:caps/>
          <w:sz w:val="20"/>
          <w:szCs w:val="20"/>
        </w:rPr>
        <w:fldChar w:fldCharType="end"/>
      </w:r>
    </w:p>
    <w:p>
      <w:pPr>
        <w:widowControl/>
        <w:tabs>
          <w:tab w:val="clear" w:pos="720"/>
        </w:tabs>
        <w:spacing w:line="240" w:lineRule="auto"/>
        <w:jc w:val="left"/>
        <w:rPr>
          <w:bCs/>
        </w:rPr>
        <w:sectPr>
          <w:headerReference r:id="rId7" w:type="default"/>
          <w:footerReference r:id="rId8" w:type="default"/>
          <w:footerReference r:id="rId9" w:type="even"/>
          <w:pgSz w:w="11906" w:h="16838"/>
          <w:pgMar w:top="1440" w:right="1800" w:bottom="1440" w:left="2268" w:header="851" w:footer="992" w:gutter="0"/>
          <w:cols w:space="425" w:num="1"/>
          <w:docGrid w:type="lines" w:linePitch="312" w:charSpace="0"/>
        </w:sectPr>
      </w:pPr>
    </w:p>
    <w:p>
      <w:pPr>
        <w:widowControl/>
        <w:tabs>
          <w:tab w:val="left" w:pos="420"/>
          <w:tab w:val="right" w:leader="dot" w:pos="7828"/>
        </w:tabs>
        <w:jc w:val="center"/>
        <w:rPr>
          <w:color w:val="000000" w:themeColor="text1"/>
          <w:kern w:val="0"/>
          <w:sz w:val="28"/>
          <w:szCs w:val="28"/>
          <w14:textFill>
            <w14:solidFill>
              <w14:schemeClr w14:val="tx1"/>
            </w14:solidFill>
          </w14:textFill>
        </w:rPr>
      </w:pPr>
      <w:bookmarkStart w:id="1" w:name="_Toc25829164"/>
      <w:r>
        <w:rPr>
          <w:color w:val="000000" w:themeColor="text1"/>
          <w:kern w:val="0"/>
          <w:sz w:val="28"/>
          <w:szCs w:val="28"/>
          <w14:textFill>
            <w14:solidFill>
              <w14:schemeClr w14:val="tx1"/>
            </w14:solidFill>
          </w14:textFill>
        </w:rPr>
        <w:t>Contents</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General Provision</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1</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 xml:space="preserve">Terms </w:t>
      </w:r>
      <w:r>
        <w:rPr>
          <w:rFonts w:hint="eastAsia"/>
          <w:b/>
          <w:bCs/>
          <w:color w:val="000000" w:themeColor="text1"/>
          <w:kern w:val="0"/>
          <w:sz w:val="24"/>
          <w:szCs w:val="24"/>
          <w14:textFill>
            <w14:solidFill>
              <w14:schemeClr w14:val="tx1"/>
            </w14:solidFill>
          </w14:textFill>
        </w:rPr>
        <w:t>and</w:t>
      </w:r>
      <w:r>
        <w:rPr>
          <w:b/>
          <w:bCs/>
          <w:color w:val="000000" w:themeColor="text1"/>
          <w:kern w:val="0"/>
          <w:sz w:val="24"/>
          <w:szCs w:val="24"/>
          <w14:textFill>
            <w14:solidFill>
              <w14:schemeClr w14:val="tx1"/>
            </w14:solidFill>
          </w14:textFill>
        </w:rPr>
        <w:t xml:space="preserve"> Symbols</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2</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Terms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2</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Symbols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4</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Basic Requirements</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5</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Classification of Underground Disasters</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7</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Technical Preparation</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9</w:t>
      </w:r>
    </w:p>
    <w:p>
      <w:pPr>
        <w:pStyle w:val="70"/>
        <w:widowControl/>
        <w:numPr>
          <w:ilvl w:val="0"/>
          <w:numId w:val="3"/>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General Requirements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9</w:t>
      </w:r>
    </w:p>
    <w:p>
      <w:pPr>
        <w:pStyle w:val="70"/>
        <w:widowControl/>
        <w:numPr>
          <w:ilvl w:val="0"/>
          <w:numId w:val="3"/>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Collection of Data</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9</w:t>
      </w:r>
    </w:p>
    <w:p>
      <w:pPr>
        <w:pStyle w:val="70"/>
        <w:widowControl/>
        <w:numPr>
          <w:ilvl w:val="0"/>
          <w:numId w:val="3"/>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Field Investigation</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9</w:t>
      </w:r>
    </w:p>
    <w:p>
      <w:pPr>
        <w:pStyle w:val="70"/>
        <w:widowControl/>
        <w:numPr>
          <w:ilvl w:val="0"/>
          <w:numId w:val="3"/>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Selection of Method</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10</w:t>
      </w:r>
    </w:p>
    <w:p>
      <w:pPr>
        <w:pStyle w:val="70"/>
        <w:widowControl/>
        <w:numPr>
          <w:ilvl w:val="0"/>
          <w:numId w:val="3"/>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Compilation of Scheme</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10</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Detection of Underground Disasters</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11</w:t>
      </w:r>
    </w:p>
    <w:p>
      <w:pPr>
        <w:pStyle w:val="70"/>
        <w:widowControl/>
        <w:numPr>
          <w:ilvl w:val="0"/>
          <w:numId w:val="4"/>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General Requirements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11</w:t>
      </w:r>
    </w:p>
    <w:p>
      <w:pPr>
        <w:pStyle w:val="70"/>
        <w:widowControl/>
        <w:numPr>
          <w:ilvl w:val="0"/>
          <w:numId w:val="4"/>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Ground Penetrating Radar</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11</w:t>
      </w:r>
    </w:p>
    <w:p>
      <w:pPr>
        <w:pStyle w:val="70"/>
        <w:widowControl/>
        <w:numPr>
          <w:ilvl w:val="0"/>
          <w:numId w:val="4"/>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High-density Resistivity Method</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1</w:t>
      </w:r>
      <w:r>
        <w:rPr>
          <w:rFonts w:hint="eastAsia"/>
          <w:color w:val="000000" w:themeColor="text1"/>
          <w:kern w:val="0"/>
          <w14:textFill>
            <w14:solidFill>
              <w14:schemeClr w14:val="tx1"/>
            </w14:solidFill>
          </w14:textFill>
        </w:rPr>
        <w:t>6</w:t>
      </w:r>
    </w:p>
    <w:p>
      <w:pPr>
        <w:pStyle w:val="70"/>
        <w:widowControl/>
        <w:numPr>
          <w:ilvl w:val="0"/>
          <w:numId w:val="4"/>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Transient Surface Wave Method</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18</w:t>
      </w:r>
    </w:p>
    <w:p>
      <w:pPr>
        <w:pStyle w:val="70"/>
        <w:widowControl/>
        <w:numPr>
          <w:ilvl w:val="0"/>
          <w:numId w:val="4"/>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Seismic Imaging Method</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19</w:t>
      </w:r>
    </w:p>
    <w:p>
      <w:pPr>
        <w:pStyle w:val="70"/>
        <w:widowControl/>
        <w:numPr>
          <w:ilvl w:val="0"/>
          <w:numId w:val="4"/>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Microtremor Exploration Method</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21</w:t>
      </w:r>
    </w:p>
    <w:p>
      <w:pPr>
        <w:pStyle w:val="70"/>
        <w:widowControl/>
        <w:numPr>
          <w:ilvl w:val="0"/>
          <w:numId w:val="4"/>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Transient Electromagnetic Method</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22</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bookmarkStart w:id="2" w:name="_Hlk148463145"/>
      <w:r>
        <w:rPr>
          <w:b/>
          <w:bCs/>
          <w:color w:val="000000" w:themeColor="text1"/>
          <w:kern w:val="0"/>
          <w:sz w:val="24"/>
          <w:szCs w:val="24"/>
          <w14:textFill>
            <w14:solidFill>
              <w14:schemeClr w14:val="tx1"/>
            </w14:solidFill>
          </w14:textFill>
        </w:rPr>
        <w:t>Verification and Cause Analysis of Underground Disasters</w:t>
      </w:r>
      <w:bookmarkEnd w:id="2"/>
      <w:r>
        <w:rPr>
          <w:b/>
          <w:bCs/>
          <w:color w:val="000000" w:themeColor="text1"/>
          <w:kern w:val="0"/>
          <w:sz w:val="24"/>
          <w:szCs w:val="24"/>
          <w14:textFill>
            <w14:solidFill>
              <w14:schemeClr w14:val="tx1"/>
            </w14:solidFill>
          </w14:textFill>
        </w:rPr>
        <w:t xml:space="preserve"> Identified by Detection…..</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24</w:t>
      </w:r>
    </w:p>
    <w:p>
      <w:pPr>
        <w:pStyle w:val="70"/>
        <w:widowControl/>
        <w:numPr>
          <w:ilvl w:val="0"/>
          <w:numId w:val="5"/>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Verification of Underground Disasters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24</w:t>
      </w:r>
    </w:p>
    <w:p>
      <w:pPr>
        <w:pStyle w:val="70"/>
        <w:widowControl/>
        <w:numPr>
          <w:ilvl w:val="0"/>
          <w:numId w:val="5"/>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Cause Analysis of Underground Disasters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24</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Risk Evaluation of Underground Disasters…..</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26</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General Requirements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26</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Investigation of Risk Factors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26</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Evaluation of Risk Probability</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26</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Evaluation of Risk Consequence</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34</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level of Risk and Control Countermeasures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36</w:t>
      </w:r>
    </w:p>
    <w:p>
      <w:pPr>
        <w:pStyle w:val="70"/>
        <w:widowControl/>
        <w:numPr>
          <w:ilvl w:val="0"/>
          <w:numId w:val="2"/>
        </w:numPr>
        <w:tabs>
          <w:tab w:val="left" w:pos="420"/>
          <w:tab w:val="right" w:leader="dot" w:pos="7828"/>
        </w:tabs>
        <w:ind w:firstLineChars="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Surveying Report and Informatization Management…..</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39</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General Requirements</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39</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Surveying Report</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39</w:t>
      </w:r>
    </w:p>
    <w:p>
      <w:pPr>
        <w:pStyle w:val="70"/>
        <w:widowControl/>
        <w:numPr>
          <w:ilvl w:val="1"/>
          <w:numId w:val="2"/>
        </w:numPr>
        <w:tabs>
          <w:tab w:val="left" w:pos="420"/>
          <w:tab w:val="right" w:leader="dot" w:pos="7828"/>
        </w:tabs>
        <w:ind w:firstLineChars="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Informatization Management</w:t>
      </w:r>
      <w:r>
        <w:rPr>
          <w:color w:val="000000" w:themeColor="text1"/>
          <w:kern w:val="0"/>
          <w14:textFill>
            <w14:solidFill>
              <w14:schemeClr w14:val="tx1"/>
            </w14:solidFill>
          </w14:textFill>
        </w:rPr>
        <w:tab/>
      </w:r>
      <w:r>
        <w:rPr>
          <w:color w:val="000000" w:themeColor="text1"/>
          <w:kern w:val="0"/>
          <w14:textFill>
            <w14:solidFill>
              <w14:schemeClr w14:val="tx1"/>
            </w14:solidFill>
          </w14:textFill>
        </w:rPr>
        <w:t>40</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Appendix A Field Record Sheet for GPR</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42</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Appendix B Characteristic Wave of Underground Disasters …</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43</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Appendix C Information Table of Underground Disasters</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44</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Appendix D Field Record Sheet for High-density Resistivity Method</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45</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Appendix E Field Record Sheet for Transient Surface</w:t>
      </w:r>
      <w:r>
        <w:rPr>
          <w:rFonts w:hint="eastAsia"/>
          <w:b/>
          <w:bCs/>
          <w:color w:val="000000" w:themeColor="text1"/>
          <w:kern w:val="0"/>
          <w:sz w:val="24"/>
          <w:szCs w:val="24"/>
          <w14:textFill>
            <w14:solidFill>
              <w14:schemeClr w14:val="tx1"/>
            </w14:solidFill>
          </w14:textFill>
        </w:rPr>
        <w:t xml:space="preserve"> </w:t>
      </w:r>
      <w:r>
        <w:rPr>
          <w:b/>
          <w:bCs/>
          <w:color w:val="000000" w:themeColor="text1"/>
          <w:kern w:val="0"/>
          <w:sz w:val="24"/>
          <w:szCs w:val="24"/>
          <w14:textFill>
            <w14:solidFill>
              <w14:schemeClr w14:val="tx1"/>
            </w14:solidFill>
          </w14:textFill>
        </w:rPr>
        <w:t>Wave Method ……</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46</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Appendix F Field Record Sheet for Seismic Imaging Method</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47</w:t>
      </w:r>
    </w:p>
    <w:p>
      <w:pPr>
        <w:widowControl/>
        <w:tabs>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Appendix G Field Record Sheet for Microtremor</w:t>
      </w:r>
      <w:r>
        <w:rPr>
          <w:rFonts w:hint="eastAsia"/>
          <w:b/>
          <w:bCs/>
          <w:color w:val="000000" w:themeColor="text1"/>
          <w:kern w:val="0"/>
          <w:sz w:val="24"/>
          <w:szCs w:val="24"/>
          <w14:textFill>
            <w14:solidFill>
              <w14:schemeClr w14:val="tx1"/>
            </w14:solidFill>
          </w14:textFill>
        </w:rPr>
        <w:t xml:space="preserve"> </w:t>
      </w:r>
      <w:r>
        <w:rPr>
          <w:b/>
          <w:bCs/>
          <w:color w:val="000000" w:themeColor="text1"/>
          <w:kern w:val="0"/>
          <w:sz w:val="24"/>
          <w:szCs w:val="24"/>
          <w14:textFill>
            <w14:solidFill>
              <w14:schemeClr w14:val="tx1"/>
            </w14:solidFill>
          </w14:textFill>
        </w:rPr>
        <w:t>Exploration Method ..…48</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Appendix H Field Record Sheet for Transient Electromagnetic Method</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49</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Explanation of Wording in This Standard</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50</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List of Quoted Standards</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51</w:t>
      </w:r>
    </w:p>
    <w:p>
      <w:pPr>
        <w:widowControl/>
        <w:tabs>
          <w:tab w:val="left" w:pos="420"/>
          <w:tab w:val="right" w:leader="dot" w:pos="7828"/>
        </w:tabs>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Addition: Explanations of the Provisions</w:t>
      </w:r>
      <w:r>
        <w:rPr>
          <w:b/>
          <w:bCs/>
          <w:color w:val="000000" w:themeColor="text1"/>
          <w:kern w:val="0"/>
          <w:sz w:val="24"/>
          <w:szCs w:val="24"/>
          <w14:textFill>
            <w14:solidFill>
              <w14:schemeClr w14:val="tx1"/>
            </w14:solidFill>
          </w14:textFill>
        </w:rPr>
        <w:tab/>
      </w:r>
      <w:r>
        <w:rPr>
          <w:b/>
          <w:bCs/>
          <w:color w:val="000000" w:themeColor="text1"/>
          <w:kern w:val="0"/>
          <w:sz w:val="24"/>
          <w:szCs w:val="24"/>
          <w14:textFill>
            <w14:solidFill>
              <w14:schemeClr w14:val="tx1"/>
            </w14:solidFill>
          </w14:textFill>
        </w:rPr>
        <w:t>52</w:t>
      </w:r>
    </w:p>
    <w:p>
      <w:pPr>
        <w:widowControl/>
        <w:tabs>
          <w:tab w:val="left" w:pos="420"/>
          <w:tab w:val="right" w:leader="dot" w:pos="7828"/>
        </w:tabs>
        <w:spacing w:line="240" w:lineRule="auto"/>
        <w:jc w:val="left"/>
        <w:rPr>
          <w:color w:val="000000" w:themeColor="text1"/>
          <w:kern w:val="0"/>
          <w:sz w:val="28"/>
          <w:szCs w:val="28"/>
          <w:highlight w:val="yellow"/>
          <w14:textFill>
            <w14:solidFill>
              <w14:schemeClr w14:val="tx1"/>
            </w14:solidFill>
          </w14:textFill>
        </w:rPr>
      </w:pPr>
    </w:p>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color w:val="000000" w:themeColor="text1"/>
          <w:kern w:val="0"/>
          <w:szCs w:val="24"/>
          <w:highlight w:val="yellow"/>
          <w14:textFill>
            <w14:solidFill>
              <w14:schemeClr w14:val="tx1"/>
            </w14:solidFill>
          </w14:textFill>
        </w:rPr>
        <w:sectPr>
          <w:pgSz w:w="11906" w:h="16838"/>
          <w:pgMar w:top="1440" w:right="1800" w:bottom="1440" w:left="2268" w:header="851" w:footer="992" w:gutter="0"/>
          <w:cols w:space="425" w:num="1"/>
          <w:docGrid w:type="lines" w:linePitch="312" w:charSpace="0"/>
        </w:sectPr>
      </w:pPr>
    </w:p>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3" w:name="_Toc148468221"/>
      <w:r>
        <w:rPr>
          <w:rFonts w:hint="eastAsia" w:ascii="Times New Roman" w:hAnsi="Times New Roman"/>
          <w:bCs w:val="0"/>
          <w:caps w:val="0"/>
          <w:kern w:val="0"/>
          <w:szCs w:val="24"/>
        </w:rPr>
        <w:t>总   则</w:t>
      </w:r>
      <w:bookmarkEnd w:id="1"/>
      <w:bookmarkEnd w:id="3"/>
    </w:p>
    <w:p>
      <w:pPr>
        <w:tabs>
          <w:tab w:val="left" w:pos="900"/>
        </w:tabs>
        <w:rPr>
          <w:rFonts w:ascii="Times" w:hAnsi="宋体"/>
        </w:rPr>
      </w:pPr>
      <w:r>
        <w:rPr>
          <w:rFonts w:hint="eastAsia" w:ascii="Times" w:hAnsi="宋体"/>
        </w:rPr>
        <w:t>1.0.1  为规范我省城市地下病害体探测与风险评估工作，做到技术先进、经济环保、评估准确、成果可靠，保障城市运行安全，制定本标准。</w:t>
      </w:r>
    </w:p>
    <w:p>
      <w:pPr>
        <w:tabs>
          <w:tab w:val="left" w:pos="900"/>
        </w:tabs>
        <w:rPr>
          <w:rFonts w:ascii="Times" w:hAnsi="宋体"/>
        </w:rPr>
      </w:pPr>
      <w:r>
        <w:rPr>
          <w:rFonts w:hint="eastAsia" w:ascii="Times" w:hAnsi="宋体"/>
        </w:rPr>
        <w:t xml:space="preserve">1.0.2  </w:t>
      </w:r>
      <w:r>
        <w:rPr>
          <w:rFonts w:hint="eastAsia"/>
        </w:rPr>
        <w:t>本标准适用于城市道路、广场以及地下市政基础设施沿线等区域，深度30米以内的地下病害体的探测及风险评估。</w:t>
      </w:r>
    </w:p>
    <w:p>
      <w:pPr>
        <w:tabs>
          <w:tab w:val="left" w:pos="900"/>
        </w:tabs>
        <w:rPr>
          <w:rFonts w:ascii="Times" w:hAnsi="宋体"/>
        </w:rPr>
      </w:pPr>
      <w:r>
        <w:rPr>
          <w:rFonts w:hint="eastAsia" w:ascii="Times" w:hAnsi="宋体"/>
        </w:rPr>
        <w:t xml:space="preserve">1.0.3  </w:t>
      </w:r>
      <w:r>
        <w:rPr>
          <w:rFonts w:hint="eastAsia"/>
        </w:rPr>
        <w:t>城市地下病害体探测及风险评估除应符合本标准外，尚应符合国家现行有关标准的规定。</w:t>
      </w:r>
    </w:p>
    <w:p/>
    <w:p/>
    <w:p>
      <w:pPr>
        <w:sectPr>
          <w:pgSz w:w="11906" w:h="16838"/>
          <w:pgMar w:top="1440" w:right="1800" w:bottom="1440" w:left="2268" w:header="851" w:footer="992" w:gutter="0"/>
          <w:pgNumType w:start="1"/>
          <w:cols w:space="425" w:num="1"/>
          <w:docGrid w:type="lines" w:linePitch="312" w:charSpace="0"/>
        </w:sectPr>
      </w:pPr>
    </w:p>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4" w:name="_Toc25829165"/>
      <w:bookmarkStart w:id="5" w:name="_Toc148468222"/>
      <w:bookmarkStart w:id="6" w:name="_Toc25828241"/>
      <w:r>
        <w:rPr>
          <w:rFonts w:hint="eastAsia" w:ascii="Times New Roman" w:hAnsi="Times New Roman"/>
          <w:bCs w:val="0"/>
          <w:caps w:val="0"/>
          <w:kern w:val="0"/>
          <w:szCs w:val="24"/>
        </w:rPr>
        <w:t>术语</w:t>
      </w:r>
      <w:bookmarkEnd w:id="4"/>
      <w:r>
        <w:rPr>
          <w:rFonts w:hint="eastAsia" w:ascii="Times New Roman" w:hAnsi="Times New Roman"/>
          <w:bCs w:val="0"/>
          <w:caps w:val="0"/>
          <w:kern w:val="0"/>
          <w:szCs w:val="24"/>
        </w:rPr>
        <w:t>和符号</w:t>
      </w:r>
      <w:bookmarkEnd w:id="5"/>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7" w:name="_Toc148468223"/>
      <w:r>
        <w:rPr>
          <w:rStyle w:val="32"/>
          <w:rFonts w:ascii="Times New Roman" w:hAnsi="Times New Roman"/>
          <w:bCs w:val="0"/>
          <w:caps w:val="0"/>
          <w:kern w:val="0"/>
          <w:sz w:val="21"/>
          <w:szCs w:val="21"/>
        </w:rPr>
        <w:t>2</w:t>
      </w:r>
      <w:r>
        <w:rPr>
          <w:rStyle w:val="32"/>
          <w:rFonts w:hint="eastAsia" w:ascii="Times New Roman" w:hAnsi="Times New Roman"/>
          <w:bCs w:val="0"/>
          <w:caps w:val="0"/>
          <w:kern w:val="0"/>
          <w:sz w:val="21"/>
          <w:szCs w:val="21"/>
        </w:rPr>
        <w:t>.1  术语</w:t>
      </w:r>
      <w:bookmarkEnd w:id="7"/>
    </w:p>
    <w:bookmarkEnd w:id="6"/>
    <w:p>
      <w:pPr>
        <w:pStyle w:val="74"/>
        <w:spacing w:before="0" w:beforeAutospacing="0" w:after="0" w:afterAutospacing="0" w:line="360" w:lineRule="auto"/>
        <w:rPr>
          <w:rFonts w:ascii="Times New Roman" w:hAnsi="Times New Roman" w:cs="Times New Roman"/>
        </w:rPr>
      </w:pPr>
      <w:r>
        <w:rPr>
          <w:rFonts w:ascii="Times New Roman" w:hAnsi="Times New Roman" w:cs="Times New Roman"/>
          <w:sz w:val="21"/>
          <w:szCs w:val="21"/>
        </w:rPr>
        <w:t>2.1.1  地下病害体  underground disasters</w:t>
      </w:r>
    </w:p>
    <w:p>
      <w:pPr>
        <w:pStyle w:val="74"/>
        <w:spacing w:before="0" w:beforeAutospacing="0" w:after="0" w:afterAutospacing="0" w:line="360" w:lineRule="auto"/>
        <w:ind w:firstLine="480"/>
        <w:jc w:val="both"/>
        <w:rPr>
          <w:rFonts w:ascii="Times New Roman" w:hAnsi="Times New Roman" w:cs="Times New Roman"/>
          <w:sz w:val="21"/>
          <w:szCs w:val="21"/>
        </w:rPr>
      </w:pPr>
      <w:r>
        <w:rPr>
          <w:rFonts w:ascii="Times New Roman" w:hAnsi="Times New Roman" w:cs="Times New Roman"/>
          <w:sz w:val="21"/>
          <w:szCs w:val="21"/>
        </w:rPr>
        <w:t>存在于地面以下的脱空、空洞、疏松体、富水体等威胁道路、管线、广场及地下工程等城市安全的不良地质体。</w:t>
      </w:r>
    </w:p>
    <w:p>
      <w:pPr>
        <w:pStyle w:val="74"/>
        <w:spacing w:before="0" w:beforeAutospacing="0" w:after="0" w:afterAutospacing="0" w:line="360" w:lineRule="auto"/>
        <w:rPr>
          <w:rFonts w:ascii="Times New Roman" w:hAnsi="Times New Roman" w:cs="Times New Roman"/>
        </w:rPr>
      </w:pPr>
      <w:r>
        <w:rPr>
          <w:rFonts w:ascii="Times New Roman" w:hAnsi="Times New Roman" w:cs="Times New Roman"/>
          <w:sz w:val="21"/>
          <w:szCs w:val="21"/>
        </w:rPr>
        <w:t>2.1.2  地下病害体探测  underground disasters detection</w:t>
      </w:r>
    </w:p>
    <w:p>
      <w:pPr>
        <w:pStyle w:val="74"/>
        <w:spacing w:before="0" w:beforeAutospacing="0" w:after="0" w:afterAutospacing="0" w:line="360" w:lineRule="auto"/>
        <w:ind w:firstLine="480"/>
        <w:jc w:val="both"/>
        <w:rPr>
          <w:rFonts w:ascii="Times New Roman" w:hAnsi="Times New Roman" w:cs="Times New Roman"/>
          <w:sz w:val="21"/>
          <w:szCs w:val="21"/>
          <w:shd w:val="clear" w:color="auto" w:fill="FFFFFF"/>
        </w:rPr>
      </w:pPr>
      <w:r>
        <w:rPr>
          <w:rFonts w:ascii="Times New Roman" w:hAnsi="Times New Roman" w:cs="Times New Roman"/>
          <w:sz w:val="21"/>
          <w:szCs w:val="21"/>
        </w:rPr>
        <w:t>采用地表地球物理方法、弹性波、电磁波等方法探测地下病害体，查明其类型、位置和规模等属性特征的活动。</w:t>
      </w:r>
    </w:p>
    <w:p>
      <w:pPr>
        <w:pStyle w:val="74"/>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2.1.3  脱空  cavity underneath pavement</w:t>
      </w:r>
    </w:p>
    <w:p>
      <w:pPr>
        <w:pStyle w:val="74"/>
        <w:spacing w:before="0" w:beforeAutospacing="0" w:after="0" w:afterAutospacing="0" w:line="360" w:lineRule="auto"/>
        <w:ind w:firstLine="420" w:firstLineChars="200"/>
        <w:rPr>
          <w:rFonts w:ascii="Times New Roman" w:hAnsi="Times New Roman" w:cs="Times New Roman"/>
        </w:rPr>
      </w:pPr>
      <w:r>
        <w:rPr>
          <w:rFonts w:ascii="Times New Roman" w:hAnsi="Times New Roman" w:cs="Times New Roman"/>
          <w:sz w:val="21"/>
          <w:szCs w:val="21"/>
        </w:rPr>
        <w:t>净空高度小于或等于0.3米的地面硬壳层与土基之间的不连续接触的空间。</w:t>
      </w:r>
    </w:p>
    <w:p>
      <w:pPr>
        <w:pStyle w:val="74"/>
        <w:spacing w:before="0" w:beforeAutospacing="0" w:after="0" w:afterAutospacing="0" w:line="360" w:lineRule="auto"/>
        <w:rPr>
          <w:rFonts w:ascii="Times New Roman" w:hAnsi="Times New Roman" w:cs="Times New Roman"/>
        </w:rPr>
      </w:pPr>
      <w:r>
        <w:rPr>
          <w:rFonts w:ascii="Times New Roman" w:hAnsi="Times New Roman" w:cs="Times New Roman"/>
          <w:sz w:val="21"/>
          <w:szCs w:val="21"/>
        </w:rPr>
        <w:t>2.1.4  空洞  void</w:t>
      </w:r>
    </w:p>
    <w:p>
      <w:pPr>
        <w:pStyle w:val="74"/>
        <w:spacing w:before="0" w:beforeAutospacing="0" w:after="0" w:afterAutospacing="0" w:line="360" w:lineRule="auto"/>
        <w:ind w:firstLine="480"/>
        <w:jc w:val="both"/>
        <w:rPr>
          <w:rFonts w:ascii="Times New Roman" w:hAnsi="Times New Roman" w:cs="Times New Roman"/>
          <w:sz w:val="21"/>
          <w:szCs w:val="21"/>
        </w:rPr>
      </w:pPr>
      <w:r>
        <w:rPr>
          <w:rFonts w:ascii="Times New Roman" w:hAnsi="Times New Roman" w:cs="Times New Roman"/>
          <w:sz w:val="21"/>
          <w:szCs w:val="21"/>
        </w:rPr>
        <w:t>净空高度大于0.3米的地面硬壳层与土基之间的洞体以及地下土体中的洞穴。</w:t>
      </w:r>
    </w:p>
    <w:p>
      <w:pPr>
        <w:pStyle w:val="74"/>
        <w:spacing w:before="0" w:beforeAutospacing="0" w:after="0" w:afterAutospacing="0" w:line="360" w:lineRule="auto"/>
        <w:rPr>
          <w:rFonts w:ascii="Times New Roman" w:hAnsi="Times New Roman" w:cs="Times New Roman"/>
        </w:rPr>
      </w:pPr>
      <w:r>
        <w:rPr>
          <w:rFonts w:ascii="Times New Roman" w:hAnsi="Times New Roman" w:cs="Times New Roman"/>
          <w:sz w:val="21"/>
          <w:szCs w:val="21"/>
        </w:rPr>
        <w:t>2.1.5  疏松体  loosely infilled void</w:t>
      </w:r>
    </w:p>
    <w:p>
      <w:pPr>
        <w:pStyle w:val="74"/>
        <w:spacing w:before="0" w:beforeAutospacing="0" w:after="0" w:afterAutospacing="0" w:line="360" w:lineRule="auto"/>
        <w:ind w:firstLine="480"/>
        <w:jc w:val="both"/>
        <w:rPr>
          <w:rFonts w:ascii="Times New Roman" w:hAnsi="Times New Roman" w:cs="Times New Roman"/>
          <w:sz w:val="21"/>
          <w:szCs w:val="21"/>
        </w:rPr>
      </w:pPr>
      <w:r>
        <w:rPr>
          <w:rFonts w:ascii="Times New Roman" w:hAnsi="Times New Roman" w:cs="Times New Roman"/>
          <w:sz w:val="21"/>
          <w:szCs w:val="21"/>
        </w:rPr>
        <w:t>密实度明显低于周边土体的局部松散地质体。</w:t>
      </w:r>
    </w:p>
    <w:p>
      <w:pPr>
        <w:pStyle w:val="74"/>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2.1.6  富水体  water-rich void</w:t>
      </w:r>
    </w:p>
    <w:p>
      <w:pPr>
        <w:pStyle w:val="74"/>
        <w:spacing w:before="0" w:beforeAutospacing="0" w:after="0" w:afterAutospacing="0" w:line="360" w:lineRule="auto"/>
        <w:ind w:firstLine="480"/>
        <w:jc w:val="both"/>
        <w:rPr>
          <w:rFonts w:ascii="Times New Roman" w:hAnsi="Times New Roman" w:cs="Times New Roman"/>
        </w:rPr>
      </w:pPr>
      <w:r>
        <w:rPr>
          <w:rFonts w:ascii="Times New Roman" w:hAnsi="Times New Roman" w:cs="Times New Roman"/>
          <w:sz w:val="21"/>
          <w:szCs w:val="21"/>
        </w:rPr>
        <w:t>含水量明显高于周边土体的局部含水地质体。</w:t>
      </w:r>
    </w:p>
    <w:p>
      <w:pPr>
        <w:pStyle w:val="74"/>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2.1.7  测线  survey line</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开展探测前布置的由一系列观测点组成的线状轨迹。</w:t>
      </w:r>
    </w:p>
    <w:p>
      <w:pPr>
        <w:pStyle w:val="74"/>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2.1.8  探地雷达法  ground penetrating radar method（GPR）</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通过高频电磁波在介质中的传播来探测地下介质分布的一种电磁波方法。</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.1.9  </w:t>
      </w:r>
      <w:r>
        <w:rPr>
          <w:rFonts w:hint="eastAsia" w:ascii="Times New Roman" w:hAnsi="Times New Roman" w:cs="Times New Roman"/>
          <w:sz w:val="21"/>
          <w:szCs w:val="21"/>
        </w:rPr>
        <w:t>高密度电阻率法  high-density electrical method（HEM）</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通过接地电极将直流电供人地下，建立稳定的人工电场，在地表观测某点垂直方向或某剖面的水平方向的电阻率变化，从而了解岩层的分布的一种方法。</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.1.10  </w:t>
      </w:r>
      <w:r>
        <w:rPr>
          <w:rFonts w:hint="eastAsia" w:ascii="Times New Roman" w:hAnsi="Times New Roman" w:cs="Times New Roman"/>
          <w:sz w:val="21"/>
          <w:szCs w:val="21"/>
        </w:rPr>
        <w:t>瞬态面波法  transient surface wave method</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利用瑞雷波传播速度与介质的物理力学性质的密切相关性，获得的不同深度上介质的速度参数，从而推测介质的物质及结构属性的方法。</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.1.11  </w:t>
      </w:r>
      <w:r>
        <w:rPr>
          <w:rFonts w:hint="eastAsia" w:ascii="Times New Roman" w:hAnsi="Times New Roman" w:cs="Times New Roman"/>
          <w:sz w:val="21"/>
          <w:szCs w:val="21"/>
        </w:rPr>
        <w:t>地震映像法  seismic imaging method</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利用地震反射波进行人工地震勘探的方法，测量结果能较准确地确定界面的深度和形态，圈定局部构造，判断地层岩性。</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.1.12  </w:t>
      </w:r>
      <w:r>
        <w:rPr>
          <w:rFonts w:hint="eastAsia" w:ascii="Times New Roman" w:hAnsi="Times New Roman" w:cs="Times New Roman"/>
          <w:sz w:val="21"/>
          <w:szCs w:val="21"/>
        </w:rPr>
        <w:t>微动勘探法  micro-motion exploration method</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微动勘探又称被动源面波法，是面波勘探方法的一种。</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.1.13  </w:t>
      </w:r>
      <w:r>
        <w:rPr>
          <w:rFonts w:hint="eastAsia" w:ascii="Times New Roman" w:hAnsi="Times New Roman" w:cs="Times New Roman"/>
          <w:sz w:val="21"/>
          <w:szCs w:val="21"/>
        </w:rPr>
        <w:t>瞬变电磁法  transient electromagnetic method</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瞬变电磁法又称为时间域电磁法（TEM），它是利用不接地回线或接地线源向地下发射一次脉冲磁场，在一次脉冲磁场间歇期间，利用线圈或接地电极观测二次涡流场的方法。</w:t>
      </w:r>
    </w:p>
    <w:p>
      <w:pPr>
        <w:pStyle w:val="74"/>
        <w:spacing w:before="0" w:beforeAutospacing="0" w:after="0" w:afterAutospacing="0" w:line="360" w:lineRule="auto"/>
        <w:rPr>
          <w:rFonts w:ascii="Times New Roman" w:hAnsi="Times New Roman" w:cs="Times New Roman"/>
          <w:sz w:val="21"/>
          <w:szCs w:val="21"/>
        </w:rPr>
      </w:pPr>
      <w:r>
        <w:rPr>
          <w:rFonts w:ascii="Times New Roman" w:hAnsi="Times New Roman" w:cs="Times New Roman"/>
          <w:sz w:val="21"/>
          <w:szCs w:val="21"/>
        </w:rPr>
        <w:t xml:space="preserve">2.1.14 </w:t>
      </w:r>
      <w:r>
        <w:rPr>
          <w:rFonts w:hint="eastAsia" w:ascii="Times New Roman" w:hAnsi="Times New Roman" w:cs="Times New Roman"/>
          <w:sz w:val="21"/>
          <w:szCs w:val="21"/>
        </w:rPr>
        <w:t xml:space="preserve"> 伪剖面  pseudo profile</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反映地下介质对地球物理信号反射强弱、未经位置校准和真实性验证的剖面。</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.1.15  </w:t>
      </w:r>
      <w:r>
        <w:rPr>
          <w:rFonts w:hint="eastAsia" w:ascii="Times New Roman" w:hAnsi="Times New Roman" w:cs="Times New Roman"/>
          <w:sz w:val="21"/>
          <w:szCs w:val="21"/>
        </w:rPr>
        <w:t>纵向切片</w:t>
      </w:r>
      <w:r>
        <w:rPr>
          <w:rFonts w:ascii="Times New Roman" w:hAnsi="Times New Roman" w:cs="Times New Roman"/>
          <w:sz w:val="21"/>
          <w:szCs w:val="21"/>
        </w:rPr>
        <w:t xml:space="preserve">  direction slice</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沿探地雷达探测前进方向且垂直地面的剖面。</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.1.16  </w:t>
      </w:r>
      <w:r>
        <w:rPr>
          <w:rFonts w:hint="eastAsia" w:ascii="Times New Roman" w:hAnsi="Times New Roman" w:cs="Times New Roman"/>
          <w:sz w:val="21"/>
          <w:szCs w:val="21"/>
        </w:rPr>
        <w:t xml:space="preserve">横向切片 </w:t>
      </w:r>
      <w:r>
        <w:rPr>
          <w:rFonts w:ascii="Times New Roman" w:hAnsi="Times New Roman" w:cs="Times New Roman"/>
          <w:sz w:val="21"/>
          <w:szCs w:val="21"/>
        </w:rPr>
        <w:t xml:space="preserve"> cross line slice</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垂直探地雷达探测前进方向且垂直地面的剖面。</w:t>
      </w:r>
    </w:p>
    <w:p>
      <w:pPr>
        <w:pStyle w:val="74"/>
        <w:spacing w:before="0" w:beforeAutospacing="0" w:after="0" w:afterAutospacing="0" w:line="360" w:lineRule="auto"/>
        <w:rPr>
          <w:rFonts w:ascii="Times New Roman" w:hAnsi="Times New Roman" w:cs="Times New Roman"/>
          <w:sz w:val="21"/>
          <w:szCs w:val="21"/>
        </w:rPr>
      </w:pPr>
      <w:bookmarkStart w:id="8" w:name="_Toc71293459"/>
      <w:bookmarkEnd w:id="8"/>
      <w:r>
        <w:rPr>
          <w:rFonts w:hint="eastAsia" w:ascii="Times New Roman" w:hAnsi="Times New Roman" w:cs="Times New Roman"/>
          <w:sz w:val="21"/>
          <w:szCs w:val="21"/>
        </w:rPr>
        <w:t>2</w:t>
      </w:r>
      <w:r>
        <w:rPr>
          <w:rFonts w:ascii="Times New Roman" w:hAnsi="Times New Roman" w:cs="Times New Roman"/>
          <w:sz w:val="21"/>
          <w:szCs w:val="21"/>
        </w:rPr>
        <w:t xml:space="preserve">.1.17  </w:t>
      </w:r>
      <w:r>
        <w:rPr>
          <w:rFonts w:hint="eastAsia" w:ascii="Times New Roman" w:hAnsi="Times New Roman" w:cs="Times New Roman"/>
          <w:sz w:val="21"/>
          <w:szCs w:val="21"/>
        </w:rPr>
        <w:t xml:space="preserve">时间切片 </w:t>
      </w:r>
      <w:r>
        <w:rPr>
          <w:rFonts w:ascii="Times New Roman" w:hAnsi="Times New Roman" w:cs="Times New Roman"/>
          <w:sz w:val="21"/>
          <w:szCs w:val="21"/>
        </w:rPr>
        <w:t xml:space="preserve"> time slice</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垂直于雷达波传播方向的不同时间或深度的切片。</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.1.18  </w:t>
      </w:r>
      <w:r>
        <w:rPr>
          <w:rFonts w:hint="eastAsia" w:ascii="Times New Roman" w:hAnsi="Times New Roman" w:cs="Times New Roman"/>
          <w:sz w:val="21"/>
          <w:szCs w:val="21"/>
        </w:rPr>
        <w:t xml:space="preserve">地下病害体验证  </w:t>
      </w:r>
      <w:r>
        <w:rPr>
          <w:rFonts w:ascii="Times New Roman" w:hAnsi="Times New Roman" w:cs="Times New Roman"/>
          <w:sz w:val="21"/>
          <w:szCs w:val="21"/>
        </w:rPr>
        <w:t xml:space="preserve">verification </w:t>
      </w:r>
      <w:r>
        <w:rPr>
          <w:rFonts w:hint="eastAsia" w:ascii="Times New Roman" w:hAnsi="Times New Roman" w:cs="Times New Roman"/>
          <w:sz w:val="21"/>
          <w:szCs w:val="21"/>
        </w:rPr>
        <w:t>o</w:t>
      </w:r>
      <w:r>
        <w:rPr>
          <w:rFonts w:ascii="Times New Roman" w:hAnsi="Times New Roman" w:cs="Times New Roman"/>
          <w:sz w:val="21"/>
          <w:szCs w:val="21"/>
        </w:rPr>
        <w:t>f</w:t>
      </w:r>
      <w:r>
        <w:rPr>
          <w:rFonts w:hint="eastAsia" w:ascii="Times New Roman" w:hAnsi="Times New Roman" w:cs="Times New Roman"/>
          <w:sz w:val="21"/>
          <w:szCs w:val="21"/>
        </w:rPr>
        <w:t xml:space="preserve"> </w:t>
      </w:r>
      <w:bookmarkStart w:id="9" w:name="_Hlk118863109"/>
      <w:r>
        <w:rPr>
          <w:rFonts w:ascii="Times New Roman" w:hAnsi="Times New Roman" w:cs="Times New Roman"/>
          <w:sz w:val="21"/>
          <w:szCs w:val="21"/>
        </w:rPr>
        <w:t>underground disasters</w:t>
      </w:r>
      <w:bookmarkEnd w:id="9"/>
      <w:r>
        <w:rPr>
          <w:rFonts w:ascii="Times New Roman" w:hAnsi="Times New Roman" w:cs="Times New Roman"/>
          <w:sz w:val="21"/>
          <w:szCs w:val="21"/>
        </w:rPr>
        <w:t xml:space="preserve"> identified by detection</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在地球物理探测成果基础上，采取钻探、挖探、钎探、动力触探和其他的物探方法对疑似地下病害体的类型、埋深和规模进行确认的活动。</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.1.19  </w:t>
      </w:r>
      <w:r>
        <w:rPr>
          <w:rFonts w:hint="eastAsia" w:ascii="Times New Roman" w:hAnsi="Times New Roman" w:cs="Times New Roman"/>
          <w:sz w:val="21"/>
          <w:szCs w:val="21"/>
        </w:rPr>
        <w:t xml:space="preserve">地下病害体风险评估 </w:t>
      </w:r>
      <w:r>
        <w:rPr>
          <w:rFonts w:ascii="Times New Roman" w:hAnsi="Times New Roman" w:cs="Times New Roman"/>
          <w:sz w:val="21"/>
          <w:szCs w:val="21"/>
        </w:rPr>
        <w:t xml:space="preserve"> risk evaluation of underground disasters</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根据地下病害体的类型、埋深、规模，地下结构完损状况，区域工程地质、水文地质条件，周边环境、施工干扰、道路荷载、气象条件等孕险环境与致险因子，评价其造成地面塌陷、地下管线破损等灾害的风险可能性和风险后果，综合判定其风险等级，并提出相应的风险管理建议。</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.1.20  </w:t>
      </w:r>
      <w:r>
        <w:rPr>
          <w:rFonts w:hint="eastAsia" w:ascii="Times New Roman" w:hAnsi="Times New Roman" w:cs="Times New Roman"/>
          <w:sz w:val="21"/>
          <w:szCs w:val="21"/>
        </w:rPr>
        <w:t xml:space="preserve">点评估 </w:t>
      </w:r>
      <w:r>
        <w:rPr>
          <w:rFonts w:ascii="Times New Roman" w:hAnsi="Times New Roman" w:cs="Times New Roman"/>
          <w:sz w:val="21"/>
          <w:szCs w:val="21"/>
        </w:rPr>
        <w:t xml:space="preserve"> </w:t>
      </w:r>
      <w:r>
        <w:rPr>
          <w:rFonts w:hint="eastAsia" w:ascii="Times New Roman" w:hAnsi="Times New Roman" w:cs="Times New Roman"/>
          <w:sz w:val="21"/>
          <w:szCs w:val="21"/>
        </w:rPr>
        <w:t>point</w:t>
      </w:r>
      <w:r>
        <w:rPr>
          <w:rFonts w:ascii="Times New Roman" w:hAnsi="Times New Roman" w:cs="Times New Roman"/>
          <w:sz w:val="21"/>
          <w:szCs w:val="21"/>
        </w:rPr>
        <w:t xml:space="preserve"> evaluation</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以单一地下病害体为对象开展风险评估。</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.1.21  </w:t>
      </w:r>
      <w:r>
        <w:rPr>
          <w:rFonts w:hint="eastAsia" w:ascii="Times New Roman" w:hAnsi="Times New Roman" w:cs="Times New Roman"/>
          <w:sz w:val="21"/>
          <w:szCs w:val="21"/>
        </w:rPr>
        <w:t xml:space="preserve">评估单元 </w:t>
      </w:r>
      <w:r>
        <w:rPr>
          <w:rFonts w:ascii="Times New Roman" w:hAnsi="Times New Roman" w:cs="Times New Roman"/>
          <w:sz w:val="21"/>
          <w:szCs w:val="21"/>
        </w:rPr>
        <w:t xml:space="preserve"> </w:t>
      </w:r>
      <w:r>
        <w:rPr>
          <w:rFonts w:hint="eastAsia" w:ascii="Times New Roman" w:hAnsi="Times New Roman" w:cs="Times New Roman"/>
          <w:sz w:val="21"/>
          <w:szCs w:val="21"/>
        </w:rPr>
        <w:t>a</w:t>
      </w:r>
      <w:r>
        <w:rPr>
          <w:rFonts w:ascii="Times New Roman" w:hAnsi="Times New Roman" w:cs="Times New Roman"/>
          <w:sz w:val="21"/>
          <w:szCs w:val="21"/>
        </w:rPr>
        <w:t>ssessment unit</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在一定长度和宽度范围内存在多个病害体的区域。</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.1.22  </w:t>
      </w:r>
      <w:r>
        <w:rPr>
          <w:rFonts w:hint="eastAsia" w:ascii="Times New Roman" w:hAnsi="Times New Roman" w:cs="Times New Roman"/>
          <w:sz w:val="21"/>
          <w:szCs w:val="21"/>
        </w:rPr>
        <w:t xml:space="preserve">面评估 </w:t>
      </w:r>
      <w:r>
        <w:rPr>
          <w:rFonts w:ascii="Times New Roman" w:hAnsi="Times New Roman" w:cs="Times New Roman"/>
          <w:sz w:val="21"/>
          <w:szCs w:val="21"/>
        </w:rPr>
        <w:t xml:space="preserve"> area evaluation</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以评估单元为对象，结合点评估结果、致塌因素发育条件及周边环境，对评估单元的风险发生可能性等级和风险后果等级开展评估。</w:t>
      </w:r>
    </w:p>
    <w:p>
      <w:pPr>
        <w:pStyle w:val="74"/>
        <w:spacing w:before="0" w:beforeAutospacing="0" w:after="0" w:afterAutospacing="0" w:line="360" w:lineRule="auto"/>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.1.23  </w:t>
      </w:r>
      <w:r>
        <w:rPr>
          <w:rFonts w:hint="eastAsia" w:ascii="Times New Roman" w:hAnsi="Times New Roman" w:cs="Times New Roman"/>
          <w:sz w:val="21"/>
          <w:szCs w:val="21"/>
        </w:rPr>
        <w:t xml:space="preserve">信息化管理 </w:t>
      </w:r>
      <w:r>
        <w:rPr>
          <w:rFonts w:ascii="Times New Roman" w:hAnsi="Times New Roman" w:cs="Times New Roman"/>
          <w:sz w:val="21"/>
          <w:szCs w:val="21"/>
        </w:rPr>
        <w:t xml:space="preserve"> information management </w:t>
      </w:r>
    </w:p>
    <w:p>
      <w:pPr>
        <w:pStyle w:val="74"/>
        <w:spacing w:before="0" w:beforeAutospacing="0" w:after="0" w:afterAutospacing="0" w:line="36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将地下病害体探测、评估成果及地下空间相关信息进行数字化处理，利用信息系统实施统一管理。</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0" w:name="_Toc148468224"/>
      <w:r>
        <w:rPr>
          <w:rStyle w:val="32"/>
          <w:rFonts w:ascii="Times New Roman" w:hAnsi="Times New Roman"/>
          <w:bCs w:val="0"/>
          <w:caps w:val="0"/>
          <w:kern w:val="0"/>
          <w:sz w:val="21"/>
          <w:szCs w:val="21"/>
        </w:rPr>
        <w:t>2</w:t>
      </w:r>
      <w:r>
        <w:rPr>
          <w:rStyle w:val="32"/>
          <w:rFonts w:hint="eastAsia" w:ascii="Times New Roman" w:hAnsi="Times New Roman"/>
          <w:bCs w:val="0"/>
          <w:caps w:val="0"/>
          <w:kern w:val="0"/>
          <w:sz w:val="21"/>
          <w:szCs w:val="21"/>
        </w:rPr>
        <w:t>.</w:t>
      </w:r>
      <w:r>
        <w:rPr>
          <w:rStyle w:val="32"/>
          <w:rFonts w:ascii="Times New Roman" w:hAnsi="Times New Roman"/>
          <w:bCs w:val="0"/>
          <w:caps w:val="0"/>
          <w:kern w:val="0"/>
          <w:sz w:val="21"/>
          <w:szCs w:val="21"/>
        </w:rPr>
        <w:t>2</w:t>
      </w:r>
      <w:r>
        <w:rPr>
          <w:rStyle w:val="32"/>
          <w:rFonts w:hint="eastAsia" w:ascii="Times New Roman" w:hAnsi="Times New Roman"/>
          <w:bCs w:val="0"/>
          <w:caps w:val="0"/>
          <w:kern w:val="0"/>
          <w:sz w:val="21"/>
          <w:szCs w:val="21"/>
        </w:rPr>
        <w:t xml:space="preserve">  符号</w:t>
      </w:r>
      <w:bookmarkEnd w:id="10"/>
    </w:p>
    <w:p>
      <w:pPr>
        <w:jc w:val="left"/>
        <w:rPr>
          <w:i/>
        </w:rPr>
      </w:pPr>
      <w:r>
        <w:rPr>
          <w:rFonts w:hint="eastAsia"/>
          <w:i/>
        </w:rPr>
        <w:t>c</w:t>
      </w:r>
      <w:r>
        <w:t>——电磁波在空气中的传播速度</w:t>
      </w:r>
      <w:r>
        <w:rPr>
          <w:rFonts w:hint="eastAsia"/>
        </w:rPr>
        <w:t>；</w:t>
      </w:r>
    </w:p>
    <w:p>
      <w:pPr>
        <w:jc w:val="left"/>
      </w:pPr>
      <w:r>
        <w:rPr>
          <w:i/>
        </w:rPr>
        <w:t>D</w:t>
      </w:r>
      <w:r>
        <w:t>——</w:t>
      </w:r>
      <w:r>
        <w:rPr>
          <w:rFonts w:hint="eastAsia"/>
        </w:rPr>
        <w:t>最大探测深度；</w:t>
      </w:r>
    </w:p>
    <w:p>
      <w:pPr>
        <w:jc w:val="left"/>
      </w:pPr>
      <w:r>
        <w:rPr>
          <w:i/>
        </w:rPr>
        <w:t>f</w:t>
      </w:r>
      <w:r>
        <w:rPr>
          <w:i/>
          <w:vertAlign w:val="subscript"/>
        </w:rPr>
        <w:t>0</w:t>
      </w:r>
      <w:r>
        <w:t>——</w:t>
      </w:r>
      <w:r>
        <w:rPr>
          <w:rFonts w:hint="eastAsia"/>
        </w:rPr>
        <w:t>检波器自然频率；</w:t>
      </w:r>
    </w:p>
    <w:p>
      <w:pPr>
        <w:jc w:val="left"/>
        <w:rPr>
          <w:color w:val="000000" w:themeColor="text1"/>
          <w14:textFill>
            <w14:solidFill>
              <w14:schemeClr w14:val="tx1"/>
            </w14:solidFill>
          </w14:textFill>
        </w:rPr>
      </w:pPr>
      <w:r>
        <w:rPr>
          <w:i/>
          <w:iCs/>
          <w:color w:val="000000" w:themeColor="text1"/>
          <w14:textFill>
            <w14:solidFill>
              <w14:schemeClr w14:val="tx1"/>
            </w14:solidFill>
          </w14:textFill>
        </w:rPr>
        <w:t>H</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最大要求探测深度；</w:t>
      </w:r>
    </w:p>
    <w:p>
      <w:pPr>
        <w:jc w:val="left"/>
        <w:rPr>
          <w:color w:val="000000" w:themeColor="text1"/>
          <w14:textFill>
            <w14:solidFill>
              <w14:schemeClr w14:val="tx1"/>
            </w14:solidFill>
          </w14:textFill>
        </w:rPr>
      </w:pPr>
      <m:oMath>
        <m:r>
          <m:rPr/>
          <w:rPr>
            <w:rFonts w:ascii="Cambria Math" w:hAnsi="Cambria Math"/>
            <w:color w:val="000000" w:themeColor="text1"/>
            <w14:textFill>
              <w14:solidFill>
                <w14:schemeClr w14:val="tx1"/>
              </w14:solidFill>
            </w14:textFill>
          </w:rPr>
          <m:t>ℎ</m:t>
        </m:r>
      </m:oMath>
      <w:r>
        <w:rPr>
          <w:color w:val="000000" w:themeColor="text1"/>
          <w14:textFill>
            <w14:solidFill>
              <w14:schemeClr w14:val="tx1"/>
            </w14:solidFill>
          </w14:textFill>
        </w:rPr>
        <w:t>——目标体顶部埋深</w:t>
      </w:r>
      <w:r>
        <w:rPr>
          <w:rFonts w:hint="eastAsia"/>
          <w:color w:val="000000" w:themeColor="text1"/>
          <w14:textFill>
            <w14:solidFill>
              <w14:schemeClr w14:val="tx1"/>
            </w14:solidFill>
          </w14:textFill>
        </w:rPr>
        <w:t>；</w:t>
      </w:r>
    </w:p>
    <w:p>
      <w:pPr>
        <w:pStyle w:val="80"/>
        <w:spacing w:line="360" w:lineRule="auto"/>
        <w:ind w:firstLine="0" w:firstLineChars="0"/>
        <w:jc w:val="left"/>
        <w:rPr>
          <w:rFonts w:ascii="Cambria Math" w:hAnsi="Cambria Math"/>
          <w:iCs/>
          <w:sz w:val="21"/>
          <w:szCs w:val="21"/>
        </w:rPr>
      </w:pPr>
      <m:oMath>
        <m:r>
          <m:rPr/>
          <w:rPr>
            <w:rFonts w:ascii="Cambria Math" w:hAnsi="Cambria Math"/>
            <w:sz w:val="21"/>
            <w:szCs w:val="21"/>
          </w:rPr>
          <m:t>I</m:t>
        </m:r>
      </m:oMath>
      <w:r>
        <w:rPr>
          <w:sz w:val="21"/>
          <w:szCs w:val="21"/>
        </w:rPr>
        <w:t>——</w:t>
      </w:r>
      <w:r>
        <w:rPr>
          <w:rFonts w:hint="eastAsia" w:ascii="Cambria Math" w:hAnsi="Cambria Math"/>
          <w:iCs/>
          <w:sz w:val="21"/>
          <w:szCs w:val="21"/>
        </w:rPr>
        <w:t>发射电流；</w:t>
      </w:r>
    </w:p>
    <w:p>
      <w:pPr>
        <w:pStyle w:val="80"/>
        <w:spacing w:line="360" w:lineRule="auto"/>
        <w:ind w:firstLine="0" w:firstLineChars="0"/>
        <w:jc w:val="left"/>
        <w:rPr>
          <w:rFonts w:ascii="Cambria Math" w:hAnsi="Cambria Math"/>
          <w:iCs/>
          <w:sz w:val="21"/>
          <w:szCs w:val="21"/>
        </w:rPr>
      </w:pPr>
      <w:r>
        <w:rPr>
          <w:rFonts w:ascii="Cambria Math" w:hAnsi="Cambria Math"/>
          <w:i/>
          <w:sz w:val="21"/>
          <w:szCs w:val="21"/>
        </w:rPr>
        <w:t>K</w:t>
      </w:r>
      <w:r>
        <w:rPr>
          <w:sz w:val="21"/>
          <w:szCs w:val="21"/>
        </w:rPr>
        <w:t>——</w:t>
      </w:r>
      <w:r>
        <w:rPr>
          <w:rFonts w:hint="eastAsia"/>
          <w:sz w:val="21"/>
          <w:szCs w:val="21"/>
        </w:rPr>
        <w:t>加权系数；</w:t>
      </w:r>
    </w:p>
    <w:p>
      <w:pPr>
        <w:pStyle w:val="80"/>
        <w:spacing w:line="360" w:lineRule="auto"/>
        <w:ind w:firstLine="0" w:firstLineChars="0"/>
        <w:jc w:val="left"/>
        <w:rPr>
          <w:rFonts w:ascii="Cambria Math" w:hAnsi="Cambria Math"/>
          <w:i/>
          <w:sz w:val="21"/>
          <w:szCs w:val="21"/>
        </w:rPr>
      </w:pPr>
      <m:oMath>
        <m:r>
          <m:rPr/>
          <w:rPr>
            <w:rFonts w:ascii="Cambria Math" w:hAnsi="Cambria Math"/>
            <w:sz w:val="21"/>
            <w:szCs w:val="21"/>
          </w:rPr>
          <m:t>L</m:t>
        </m:r>
      </m:oMath>
      <w:r>
        <w:rPr>
          <w:sz w:val="21"/>
          <w:szCs w:val="21"/>
        </w:rPr>
        <w:t>——</w:t>
      </w:r>
      <w:r>
        <w:rPr>
          <w:rFonts w:hint="eastAsia" w:ascii="Cambria Math" w:hAnsi="Cambria Math"/>
          <w:iCs/>
          <w:sz w:val="21"/>
          <w:szCs w:val="21"/>
        </w:rPr>
        <w:t>发射回线边长；</w:t>
      </w:r>
    </w:p>
    <w:p>
      <w:pPr>
        <w:pStyle w:val="80"/>
        <w:spacing w:line="360" w:lineRule="auto"/>
        <w:ind w:firstLine="0" w:firstLineChars="0"/>
        <w:jc w:val="left"/>
        <w:rPr>
          <w:rFonts w:ascii="Cambria Math" w:hAnsi="Cambria Math"/>
          <w:i/>
          <w:sz w:val="21"/>
          <w:szCs w:val="21"/>
        </w:rPr>
      </w:pPr>
      <m:oMath>
        <m:r>
          <m:rPr/>
          <w:rPr>
            <w:rFonts w:ascii="Cambria Math" w:hAnsi="Cambria Math"/>
            <w:sz w:val="21"/>
            <w:szCs w:val="21"/>
          </w:rPr>
          <m:t>M</m:t>
        </m:r>
      </m:oMath>
      <w:r>
        <w:rPr>
          <w:sz w:val="21"/>
          <w:szCs w:val="21"/>
        </w:rPr>
        <w:t>——</w:t>
      </w:r>
      <w:r>
        <w:rPr>
          <w:rFonts w:hint="eastAsia" w:ascii="Cambria Math" w:hAnsi="Cambria Math"/>
          <w:iCs/>
          <w:sz w:val="21"/>
          <w:szCs w:val="21"/>
        </w:rPr>
        <w:t>回线装置匝数；</w:t>
      </w:r>
    </w:p>
    <w:p>
      <w:pPr>
        <w:pStyle w:val="80"/>
        <w:spacing w:line="360" w:lineRule="auto"/>
        <w:ind w:firstLine="0" w:firstLineChars="0"/>
        <w:jc w:val="left"/>
        <w:rPr>
          <w:rFonts w:ascii="Cambria Math" w:hAnsi="Cambria Math"/>
          <w:i/>
          <w:sz w:val="21"/>
          <w:szCs w:val="21"/>
        </w:rPr>
      </w:pPr>
      <w:r>
        <w:rPr>
          <w:rFonts w:ascii="Cambria Math" w:hAnsi="Cambria Math"/>
          <w:i/>
          <w:sz w:val="21"/>
          <w:szCs w:val="21"/>
        </w:rPr>
        <w:t>N</w:t>
      </w:r>
      <w:r>
        <w:rPr>
          <w:sz w:val="21"/>
          <w:szCs w:val="21"/>
        </w:rPr>
        <w:t>——</w:t>
      </w:r>
      <w:r>
        <w:rPr>
          <w:rFonts w:hint="eastAsia" w:ascii="Cambria Math" w:hAnsi="Cambria Math"/>
          <w:iCs/>
          <w:sz w:val="21"/>
          <w:szCs w:val="21"/>
        </w:rPr>
        <w:t>噪声电平；</w:t>
      </w:r>
    </w:p>
    <w:p>
      <w:pPr>
        <w:jc w:val="left"/>
        <w:rPr>
          <w:rFonts w:ascii="宋体" w:hAnsi="宋体"/>
        </w:rPr>
      </w:pP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min</m:t>
            </m:r>
            <m:ctrlPr>
              <w:rPr>
                <w:rFonts w:ascii="Cambria Math" w:hAnsi="Cambria Math"/>
                <w:i/>
              </w:rPr>
            </m:ctrlPr>
          </m:sub>
        </m:sSub>
      </m:oMath>
      <w:r>
        <w:t>——</w:t>
      </w:r>
      <w:r>
        <w:rPr>
          <w:rFonts w:hint="eastAsia" w:ascii="宋体" w:hAnsi="宋体"/>
        </w:rPr>
        <w:t>最小测线束数；</w:t>
      </w:r>
    </w:p>
    <w:p>
      <w:pPr>
        <w:pStyle w:val="80"/>
        <w:spacing w:line="360" w:lineRule="auto"/>
        <w:ind w:firstLine="0" w:firstLineChars="0"/>
        <w:jc w:val="left"/>
        <w:rPr>
          <w:rFonts w:ascii="Cambria Math" w:hAnsi="Cambria Math"/>
          <w:i/>
          <w:sz w:val="21"/>
          <w:szCs w:val="21"/>
        </w:rPr>
      </w:pPr>
      <m:oMath>
        <m:sSub>
          <m:sSubPr>
            <m:ctrlPr>
              <w:rPr>
                <w:rFonts w:ascii="Cambria Math" w:hAnsi="Cambria Math"/>
                <w:i/>
                <w:sz w:val="21"/>
                <w:szCs w:val="21"/>
              </w:rPr>
            </m:ctrlPr>
          </m:sSubPr>
          <m:e>
            <m:r>
              <m:rPr/>
              <w:rPr>
                <w:rFonts w:ascii="Cambria Math" w:hAnsi="Cambria Math"/>
                <w:sz w:val="21"/>
                <w:szCs w:val="21"/>
              </w:rPr>
              <m:t>R</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oMath>
      <w:r>
        <w:rPr>
          <w:sz w:val="21"/>
          <w:szCs w:val="21"/>
        </w:rPr>
        <w:t>——</w:t>
      </w:r>
      <w:r>
        <w:rPr>
          <w:rFonts w:hint="eastAsia" w:ascii="Cambria Math" w:hAnsi="Cambria Math"/>
          <w:iCs/>
          <w:sz w:val="21"/>
          <w:szCs w:val="21"/>
        </w:rPr>
        <w:t>最低限度的信噪比；</w:t>
      </w:r>
    </w:p>
    <w:p>
      <w:pPr>
        <w:pStyle w:val="80"/>
        <w:spacing w:line="360" w:lineRule="auto"/>
        <w:ind w:firstLine="0" w:firstLineChars="0"/>
        <w:jc w:val="left"/>
        <w:rPr>
          <w:rFonts w:ascii="Cambria Math" w:hAnsi="Cambria Math"/>
          <w:i/>
          <w:sz w:val="21"/>
          <w:szCs w:val="21"/>
        </w:rPr>
      </w:pPr>
      <m:oMath>
        <m:r>
          <m:rPr/>
          <w:rPr>
            <w:rFonts w:ascii="Cambria Math" w:hAnsi="Cambria Math"/>
            <w:sz w:val="21"/>
            <w:szCs w:val="21"/>
          </w:rPr>
          <m:t>t</m:t>
        </m:r>
      </m:oMath>
      <w:r>
        <w:rPr>
          <w:sz w:val="21"/>
          <w:szCs w:val="21"/>
        </w:rPr>
        <w:t>——</w:t>
      </w:r>
      <w:r>
        <w:rPr>
          <w:rFonts w:hint="eastAsia" w:ascii="Cambria Math" w:hAnsi="Cambria Math"/>
          <w:iCs/>
          <w:sz w:val="21"/>
          <w:szCs w:val="21"/>
        </w:rPr>
        <w:t>衰减时间；</w:t>
      </w:r>
    </w:p>
    <w:p>
      <w:pPr>
        <w:jc w:val="left"/>
      </w:pPr>
      <w:r>
        <w:rPr>
          <w:i/>
        </w:rPr>
        <w:t>V</w:t>
      </w:r>
      <w:r>
        <w:rPr>
          <w:i/>
          <w:vertAlign w:val="subscript"/>
        </w:rPr>
        <w:t>Rmin</w:t>
      </w:r>
      <w:r>
        <w:t>——</w:t>
      </w:r>
      <w:r>
        <w:rPr>
          <w:rFonts w:hint="eastAsia"/>
        </w:rPr>
        <w:t>探测深度范围内预计平均面波相速度最小值；</w:t>
      </w:r>
    </w:p>
    <w:p>
      <w:pPr>
        <w:pStyle w:val="80"/>
        <w:spacing w:line="360" w:lineRule="auto"/>
        <w:ind w:firstLine="0" w:firstLineChars="0"/>
        <w:jc w:val="left"/>
        <w:rPr>
          <w:sz w:val="21"/>
          <w:szCs w:val="21"/>
        </w:rPr>
      </w:pPr>
      <m:oMath>
        <m:sSub>
          <m:sSubPr>
            <m:ctrlPr>
              <w:rPr>
                <w:rFonts w:ascii="Cambria Math" w:hAnsi="Cambria Math"/>
                <w:i/>
                <w:sz w:val="21"/>
                <w:szCs w:val="21"/>
              </w:rPr>
            </m:ctrlPr>
          </m:sSubPr>
          <m:e>
            <m:r>
              <m:rPr/>
              <w:rPr>
                <w:rFonts w:ascii="Cambria Math" w:hAnsi="Cambria Math"/>
                <w:sz w:val="21"/>
                <w:szCs w:val="21"/>
              </w:rPr>
              <m:t>W</m:t>
            </m:r>
            <m:ctrlPr>
              <w:rPr>
                <w:rFonts w:ascii="Cambria Math" w:hAnsi="Cambria Math"/>
                <w:i/>
                <w:sz w:val="21"/>
                <w:szCs w:val="21"/>
              </w:rPr>
            </m:ctrlPr>
          </m:e>
          <m:sub>
            <m:r>
              <m:rPr/>
              <w:rPr>
                <w:rFonts w:ascii="Cambria Math" w:hAnsi="Cambria Math"/>
                <w:sz w:val="21"/>
                <w:szCs w:val="21"/>
              </w:rPr>
              <m:t>area</m:t>
            </m:r>
            <m:ctrlPr>
              <w:rPr>
                <w:rFonts w:ascii="Cambria Math" w:hAnsi="Cambria Math"/>
                <w:i/>
                <w:sz w:val="21"/>
                <w:szCs w:val="21"/>
              </w:rPr>
            </m:ctrlPr>
          </m:sub>
        </m:sSub>
      </m:oMath>
      <w:r>
        <w:rPr>
          <w:sz w:val="21"/>
          <w:szCs w:val="21"/>
        </w:rPr>
        <w:t>——</w:t>
      </w:r>
      <w:r>
        <w:rPr>
          <w:rFonts w:hint="eastAsia" w:ascii="宋体" w:hAnsi="宋体"/>
          <w:sz w:val="21"/>
          <w:szCs w:val="21"/>
        </w:rPr>
        <w:t>测区宽</w:t>
      </w:r>
      <w:r>
        <w:rPr>
          <w:rFonts w:hint="eastAsia"/>
          <w:sz w:val="21"/>
          <w:szCs w:val="21"/>
        </w:rPr>
        <w:t>度；</w:t>
      </w:r>
    </w:p>
    <w:p>
      <w:pPr>
        <w:jc w:val="lef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radar</m:t>
            </m:r>
            <m:ctrlPr>
              <w:rPr>
                <w:rFonts w:ascii="Cambria Math" w:hAnsi="Cambria Math"/>
                <w:i/>
              </w:rPr>
            </m:ctrlPr>
          </m:sub>
        </m:sSub>
      </m:oMath>
      <w:r>
        <w:t>——</w:t>
      </w:r>
      <w:r>
        <w:rPr>
          <w:rFonts w:hint="eastAsia" w:ascii="宋体" w:hAnsi="宋体"/>
        </w:rPr>
        <w:t>三维探地雷达</w:t>
      </w:r>
      <w:r>
        <w:rPr>
          <w:rFonts w:hint="eastAsia"/>
        </w:rPr>
        <w:t>阵列天线宽度；</w:t>
      </w:r>
    </w:p>
    <w:p>
      <w:pPr>
        <w:pStyle w:val="10"/>
        <w:spacing w:after="0" w:line="360" w:lineRule="auto"/>
        <w:rPr>
          <w:color w:val="000000" w:themeColor="text1"/>
          <w:szCs w:val="21"/>
          <w14:textFill>
            <w14:solidFill>
              <w14:schemeClr w14:val="tx1"/>
            </w14:solidFill>
          </w14:textFill>
        </w:rPr>
      </w:pPr>
      <m:oMath>
        <m:sSup>
          <m:sSupPr>
            <m:ctrlPr>
              <w:rPr>
                <w:rFonts w:ascii="Cambria Math" w:hAnsi="Cambria Math"/>
                <w:i/>
                <w:color w:val="000000" w:themeColor="text1"/>
                <w:szCs w:val="21"/>
                <w14:textFill>
                  <w14:solidFill>
                    <w14:schemeClr w14:val="tx1"/>
                  </w14:solidFill>
                </w14:textFill>
              </w:rPr>
            </m:ctrlPr>
          </m:sSupPr>
          <m:e>
            <m:r>
              <m:rPr/>
              <w:rPr>
                <w:rFonts w:ascii="Cambria Math" w:hAnsi="Cambria Math"/>
                <w:color w:val="000000" w:themeColor="text1"/>
                <w:szCs w:val="21"/>
                <w14:textFill>
                  <w14:solidFill>
                    <w14:schemeClr w14:val="tx1"/>
                  </w14:solidFill>
                </w14:textFill>
              </w:rPr>
              <m:t>x</m:t>
            </m:r>
            <m:ctrlPr>
              <w:rPr>
                <w:rFonts w:ascii="Cambria Math" w:hAnsi="Cambria Math"/>
                <w:i/>
                <w:color w:val="000000" w:themeColor="text1"/>
                <w:szCs w:val="21"/>
                <w14:textFill>
                  <w14:solidFill>
                    <w14:schemeClr w14:val="tx1"/>
                  </w14:solidFill>
                </w14:textFill>
              </w:rPr>
            </m:ctrlPr>
          </m:e>
          <m:sup>
            <m:r>
              <m:rPr/>
              <w:rPr>
                <w:rFonts w:ascii="Cambria Math" w:hAnsi="Cambria Math"/>
                <w:color w:val="000000" w:themeColor="text1"/>
                <w:szCs w:val="21"/>
                <w14:textFill>
                  <w14:solidFill>
                    <w14:schemeClr w14:val="tx1"/>
                  </w14:solidFill>
                </w14:textFill>
              </w:rPr>
              <m:t>'</m:t>
            </m:r>
            <m:ctrlPr>
              <w:rPr>
                <w:rFonts w:ascii="Cambria Math" w:hAnsi="Cambria Math"/>
                <w:i/>
                <w:color w:val="000000" w:themeColor="text1"/>
                <w:szCs w:val="21"/>
                <w14:textFill>
                  <w14:solidFill>
                    <w14:schemeClr w14:val="tx1"/>
                  </w14:solidFill>
                </w14:textFill>
              </w:rPr>
            </m:ctrlPr>
          </m:sup>
        </m:sSup>
      </m:oMath>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横向分辨率</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w:t>
      </w:r>
    </w:p>
    <w:p>
      <w:pPr>
        <w:pStyle w:val="10"/>
        <w:spacing w:after="0" w:line="360" w:lineRule="auto"/>
        <w:rPr>
          <w:color w:val="000000" w:themeColor="text1"/>
          <w:szCs w:val="21"/>
          <w14:textFill>
            <w14:solidFill>
              <w14:schemeClr w14:val="tx1"/>
            </w14:solidFill>
          </w14:textFill>
        </w:rPr>
      </w:pPr>
      <m:oMath>
        <m:r>
          <m:rPr/>
          <w:rPr>
            <w:rFonts w:ascii="Cambria Math" w:hAnsi="Cambria Math"/>
            <w:color w:val="000000" w:themeColor="text1"/>
            <w:szCs w:val="21"/>
            <w14:textFill>
              <w14:solidFill>
                <w14:schemeClr w14:val="tx1"/>
              </w14:solidFill>
            </w14:textFill>
          </w:rPr>
          <m:t>λ</m:t>
        </m:r>
      </m:oMath>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电磁波在介质中的波长</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w:t>
      </w:r>
    </w:p>
    <w:p>
      <w:pPr>
        <w:jc w:val="left"/>
        <w:rPr>
          <w:color w:val="000000" w:themeColor="text1"/>
          <w14:textFill>
            <w14:solidFill>
              <w14:schemeClr w14:val="tx1"/>
            </w14:solidFill>
          </w14:textFill>
        </w:rPr>
      </w:pPr>
      <w:r>
        <w:rPr>
          <w:i/>
          <w:color w:val="000000" w:themeColor="text1"/>
          <w14:textFill>
            <w14:solidFill>
              <w14:schemeClr w14:val="tx1"/>
            </w14:solidFill>
          </w14:textFill>
        </w:rPr>
        <w:t>β</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波长深度转换系数；</w:t>
      </w:r>
    </w:p>
    <w:p>
      <w:pPr>
        <w:pStyle w:val="80"/>
        <w:spacing w:line="360" w:lineRule="auto"/>
        <w:ind w:firstLine="0" w:firstLineChars="0"/>
        <w:jc w:val="left"/>
        <w:rPr>
          <w:rFonts w:ascii="Cambria Math" w:hAnsi="Cambria Math"/>
          <w:i/>
          <w:color w:val="000000" w:themeColor="text1"/>
          <w:sz w:val="21"/>
          <w:szCs w:val="21"/>
          <w14:textFill>
            <w14:solidFill>
              <w14:schemeClr w14:val="tx1"/>
            </w14:solidFill>
          </w14:textFill>
        </w:rPr>
      </w:pPr>
      <m:oMath>
        <m:r>
          <m:rPr/>
          <w:rPr>
            <w:rFonts w:ascii="Cambria Math" w:hAnsi="Cambria Math"/>
            <w:color w:val="000000" w:themeColor="text1"/>
            <w:sz w:val="21"/>
            <w:szCs w:val="21"/>
            <w14:textFill>
              <w14:solidFill>
                <w14:schemeClr w14:val="tx1"/>
              </w14:solidFill>
            </w14:textFill>
          </w:rPr>
          <m:t>η</m:t>
        </m:r>
      </m:oMath>
      <w:r>
        <w:rPr>
          <w:color w:val="000000" w:themeColor="text1"/>
          <w:sz w:val="21"/>
          <w:szCs w:val="21"/>
          <w14:textFill>
            <w14:solidFill>
              <w14:schemeClr w14:val="tx1"/>
            </w14:solidFill>
          </w14:textFill>
        </w:rPr>
        <w:t>——</w:t>
      </w:r>
      <w:r>
        <w:rPr>
          <w:rFonts w:hint="eastAsia" w:ascii="Cambria Math" w:hAnsi="Cambria Math"/>
          <w:iCs/>
          <w:color w:val="000000" w:themeColor="text1"/>
          <w:sz w:val="21"/>
          <w:szCs w:val="21"/>
          <w14:textFill>
            <w14:solidFill>
              <w14:schemeClr w14:val="tx1"/>
            </w14:solidFill>
          </w14:textFill>
        </w:rPr>
        <w:t>最小可分辨电平；</w:t>
      </w:r>
    </w:p>
    <w:p>
      <w:pPr>
        <w:pStyle w:val="80"/>
        <w:spacing w:line="360" w:lineRule="auto"/>
        <w:ind w:firstLine="0" w:firstLineChars="0"/>
        <w:jc w:val="left"/>
        <w:rPr>
          <w:rFonts w:ascii="Cambria Math" w:hAnsi="Cambria Math"/>
          <w:iCs/>
          <w:color w:val="000000" w:themeColor="text1"/>
          <w:sz w:val="21"/>
          <w:szCs w:val="21"/>
          <w14:textFill>
            <w14:solidFill>
              <w14:schemeClr w14:val="tx1"/>
            </w14:solidFill>
          </w14:textFill>
        </w:rPr>
      </w:pPr>
      <m:oMath>
        <m:r>
          <m:rPr/>
          <w:rPr>
            <w:rFonts w:ascii="Cambria Math" w:hAnsi="Cambria Math"/>
            <w:color w:val="000000" w:themeColor="text1"/>
            <w:sz w:val="21"/>
            <w:szCs w:val="21"/>
            <w14:textFill>
              <w14:solidFill>
                <w14:schemeClr w14:val="tx1"/>
              </w14:solidFill>
            </w14:textFill>
          </w:rPr>
          <m:t>ρ</m:t>
        </m:r>
      </m:oMath>
      <w:r>
        <w:rPr>
          <w:color w:val="000000" w:themeColor="text1"/>
          <w:sz w:val="21"/>
          <w:szCs w:val="21"/>
          <w14:textFill>
            <w14:solidFill>
              <w14:schemeClr w14:val="tx1"/>
            </w14:solidFill>
          </w14:textFill>
        </w:rPr>
        <w:t>——</w:t>
      </w:r>
      <w:r>
        <w:rPr>
          <w:rFonts w:hint="eastAsia" w:ascii="Cambria Math" w:hAnsi="Cambria Math"/>
          <w:iCs/>
          <w:color w:val="000000" w:themeColor="text1"/>
          <w:sz w:val="21"/>
          <w:szCs w:val="21"/>
          <w14:textFill>
            <w14:solidFill>
              <w14:schemeClr w14:val="tx1"/>
            </w14:solidFill>
          </w14:textFill>
        </w:rPr>
        <w:t>地层电阻率；</w:t>
      </w:r>
    </w:p>
    <w:p>
      <w:pPr>
        <w:pStyle w:val="10"/>
        <w:spacing w:after="0" w:line="360" w:lineRule="auto"/>
        <w:rPr>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m:rPr/>
              <w:rPr>
                <w:rFonts w:ascii="Cambria Math" w:hAnsi="Cambria Math"/>
                <w:color w:val="000000" w:themeColor="text1"/>
                <w:szCs w:val="21"/>
                <w14:textFill>
                  <w14:solidFill>
                    <w14:schemeClr w14:val="tx1"/>
                  </w14:solidFill>
                </w14:textFill>
              </w:rPr>
              <m:t>ε</m:t>
            </m:r>
            <m:ctrlPr>
              <w:rPr>
                <w:rFonts w:ascii="Cambria Math" w:hAnsi="Cambria Math"/>
                <w:i/>
                <w:color w:val="000000" w:themeColor="text1"/>
                <w:szCs w:val="21"/>
                <w14:textFill>
                  <w14:solidFill>
                    <w14:schemeClr w14:val="tx1"/>
                  </w14:solidFill>
                </w14:textFill>
              </w:rPr>
            </m:ctrlPr>
          </m:e>
          <m:sub>
            <m:r>
              <m:rPr/>
              <w:rPr>
                <w:rFonts w:hint="eastAsia" w:ascii="Cambria Math" w:hAnsi="Cambria Math"/>
                <w:color w:val="000000" w:themeColor="text1"/>
                <w:szCs w:val="21"/>
                <w14:textFill>
                  <w14:solidFill>
                    <w14:schemeClr w14:val="tx1"/>
                  </w14:solidFill>
                </w14:textFill>
              </w:rPr>
              <m:t>r</m:t>
            </m:r>
            <m:r>
              <m:rPr/>
              <w:rPr>
                <w:rFonts w:ascii="Cambria Math" w:hAnsi="Cambria Math"/>
                <w:color w:val="000000" w:themeColor="text1"/>
                <w:szCs w:val="21"/>
                <w14:textFill>
                  <w14:solidFill>
                    <w14:schemeClr w14:val="tx1"/>
                  </w14:solidFill>
                </w14:textFill>
              </w:rPr>
              <m:t>1</m:t>
            </m:r>
            <m:ctrlPr>
              <w:rPr>
                <w:rFonts w:ascii="Cambria Math" w:hAnsi="Cambria Math"/>
                <w:i/>
                <w:color w:val="000000" w:themeColor="text1"/>
                <w:szCs w:val="21"/>
                <w14:textFill>
                  <w14:solidFill>
                    <w14:schemeClr w14:val="tx1"/>
                  </w14:solidFill>
                </w14:textFill>
              </w:rPr>
            </m:ctrlPr>
          </m:sub>
        </m:sSub>
      </m:oMath>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周边介质相对介电常数；</w:t>
      </w:r>
    </w:p>
    <w:p>
      <w:pPr>
        <w:pStyle w:val="10"/>
        <w:spacing w:after="0" w:line="360" w:lineRule="auto"/>
        <w:rPr>
          <w:color w:val="000000" w:themeColor="text1"/>
          <w:szCs w:val="21"/>
          <w14:textFill>
            <w14:solidFill>
              <w14:schemeClr w14:val="tx1"/>
            </w14:solidFill>
          </w14:textFill>
        </w:rPr>
      </w:pPr>
      <m:oMath>
        <m:sSub>
          <m:sSubPr>
            <m:ctrlPr>
              <w:rPr>
                <w:rFonts w:ascii="Cambria Math" w:hAnsi="Cambria Math"/>
                <w:i/>
                <w:color w:val="000000" w:themeColor="text1"/>
                <w:szCs w:val="21"/>
                <w14:textFill>
                  <w14:solidFill>
                    <w14:schemeClr w14:val="tx1"/>
                  </w14:solidFill>
                </w14:textFill>
              </w:rPr>
            </m:ctrlPr>
          </m:sSubPr>
          <m:e>
            <m:r>
              <m:rPr/>
              <w:rPr>
                <w:rFonts w:ascii="Cambria Math" w:hAnsi="Cambria Math"/>
                <w:color w:val="000000" w:themeColor="text1"/>
                <w:szCs w:val="21"/>
                <w14:textFill>
                  <w14:solidFill>
                    <w14:schemeClr w14:val="tx1"/>
                  </w14:solidFill>
                </w14:textFill>
              </w:rPr>
              <m:t>ε</m:t>
            </m:r>
            <m:ctrlPr>
              <w:rPr>
                <w:rFonts w:ascii="Cambria Math" w:hAnsi="Cambria Math"/>
                <w:i/>
                <w:color w:val="000000" w:themeColor="text1"/>
                <w:szCs w:val="21"/>
                <w14:textFill>
                  <w14:solidFill>
                    <w14:schemeClr w14:val="tx1"/>
                  </w14:solidFill>
                </w14:textFill>
              </w:rPr>
            </m:ctrlPr>
          </m:e>
          <m:sub>
            <m:r>
              <m:rPr/>
              <w:rPr>
                <w:rFonts w:hint="eastAsia" w:ascii="Cambria Math" w:hAnsi="Cambria Math"/>
                <w:color w:val="000000" w:themeColor="text1"/>
                <w:szCs w:val="21"/>
                <w14:textFill>
                  <w14:solidFill>
                    <w14:schemeClr w14:val="tx1"/>
                  </w14:solidFill>
                </w14:textFill>
              </w:rPr>
              <m:t>r</m:t>
            </m:r>
            <m:r>
              <m:rPr/>
              <w:rPr>
                <w:rFonts w:ascii="Cambria Math" w:hAnsi="Cambria Math"/>
                <w:color w:val="000000" w:themeColor="text1"/>
                <w:szCs w:val="21"/>
                <w14:textFill>
                  <w14:solidFill>
                    <w14:schemeClr w14:val="tx1"/>
                  </w14:solidFill>
                </w14:textFill>
              </w:rPr>
              <m:t>2</m:t>
            </m:r>
            <m:ctrlPr>
              <w:rPr>
                <w:rFonts w:ascii="Cambria Math" w:hAnsi="Cambria Math"/>
                <w:i/>
                <w:color w:val="000000" w:themeColor="text1"/>
                <w:szCs w:val="21"/>
                <w14:textFill>
                  <w14:solidFill>
                    <w14:schemeClr w14:val="tx1"/>
                  </w14:solidFill>
                </w14:textFill>
              </w:rPr>
            </m:ctrlPr>
          </m:sub>
        </m:sSub>
      </m:oMath>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被探测对象相对介电常数。</w:t>
      </w:r>
    </w:p>
    <w:p>
      <w:pPr>
        <w:sectPr>
          <w:pgSz w:w="11906" w:h="16838"/>
          <w:pgMar w:top="1440" w:right="1800" w:bottom="1440" w:left="2268" w:header="851" w:footer="992" w:gutter="0"/>
          <w:cols w:space="425" w:num="1"/>
          <w:docGrid w:type="lines" w:linePitch="312" w:charSpace="0"/>
        </w:sectPr>
      </w:pPr>
    </w:p>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11" w:name="_Toc148468225"/>
      <w:r>
        <w:rPr>
          <w:rFonts w:hint="eastAsia" w:ascii="Times New Roman" w:hAnsi="Times New Roman"/>
          <w:bCs w:val="0"/>
          <w:caps w:val="0"/>
          <w:kern w:val="0"/>
          <w:szCs w:val="24"/>
        </w:rPr>
        <w:t>基本规定</w:t>
      </w:r>
      <w:bookmarkEnd w:id="11"/>
    </w:p>
    <w:p>
      <w:pPr>
        <w:pStyle w:val="74"/>
        <w:spacing w:before="0" w:beforeAutospacing="0" w:after="0" w:afterAutospacing="0" w:line="360" w:lineRule="auto"/>
        <w:jc w:val="both"/>
        <w:rPr>
          <w:rFonts w:ascii="Times New Roman" w:hAnsi="Times New Roman" w:cs="Times New Roman"/>
          <w:sz w:val="21"/>
          <w:szCs w:val="21"/>
        </w:rPr>
      </w:pPr>
      <w:r>
        <w:rPr>
          <w:rFonts w:ascii="Times New Roman" w:hAnsi="Times New Roman" w:cs="Times New Roman"/>
          <w:sz w:val="21"/>
          <w:szCs w:val="21"/>
        </w:rPr>
        <w:t xml:space="preserve">3.0.1  </w:t>
      </w:r>
      <w:r>
        <w:rPr>
          <w:rFonts w:hint="eastAsia" w:ascii="Times New Roman" w:hAnsi="Times New Roman" w:cs="Times New Roman"/>
          <w:sz w:val="21"/>
          <w:szCs w:val="21"/>
        </w:rPr>
        <w:t>城市地下病害体探测与风险评估应结合工程地质、市政设施、水文气象、历史塌陷等资料，选用合理的探测方法，查明探测区域内地下病害体的属性特征，对其进行风险评估，并提出风险管控对策，且开展地下病害体的信息化管理。</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.0.2  </w:t>
      </w:r>
      <w:r>
        <w:rPr>
          <w:rFonts w:hint="eastAsia" w:ascii="Times New Roman" w:hAnsi="Times New Roman" w:cs="Times New Roman"/>
          <w:sz w:val="21"/>
          <w:szCs w:val="21"/>
        </w:rPr>
        <w:t>城市地下病害体探测可分为定期探测、专项探测和应急探测。</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.0.3  </w:t>
      </w:r>
      <w:r>
        <w:rPr>
          <w:rFonts w:hint="eastAsia" w:ascii="Times New Roman" w:hAnsi="Times New Roman" w:cs="Times New Roman"/>
          <w:sz w:val="21"/>
          <w:szCs w:val="21"/>
        </w:rPr>
        <w:t>城市地下病害体定期探测区域及定期探测时间应符合下列规定：</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 xml:space="preserve">  </w:t>
      </w:r>
      <w:r>
        <w:rPr>
          <w:rFonts w:hint="eastAsia" w:ascii="Times New Roman" w:hAnsi="Times New Roman" w:cs="Times New Roman"/>
          <w:sz w:val="21"/>
          <w:szCs w:val="21"/>
        </w:rPr>
        <w:t>城市快速路、城市主干路、城市次干道等重要道路探测周期不宜超过3年；</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埋设供（排）水主干管、箱涵、暗渠及其他地下管线等地下设施的道路探测周期不宜超过</w:t>
      </w:r>
      <w:r>
        <w:rPr>
          <w:rFonts w:ascii="Times New Roman" w:hAnsi="Times New Roman" w:cs="Times New Roman"/>
          <w:sz w:val="21"/>
          <w:szCs w:val="21"/>
        </w:rPr>
        <w:t>3</w:t>
      </w:r>
      <w:r>
        <w:rPr>
          <w:rFonts w:hint="eastAsia" w:ascii="Times New Roman" w:hAnsi="Times New Roman" w:cs="Times New Roman"/>
          <w:sz w:val="21"/>
          <w:szCs w:val="21"/>
        </w:rPr>
        <w:t>年，并结合地下管网市政设施的健康状况调整探测周期；</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3  </w:t>
      </w:r>
      <w:r>
        <w:rPr>
          <w:rFonts w:hint="eastAsia" w:ascii="Times New Roman" w:hAnsi="Times New Roman" w:cs="Times New Roman"/>
          <w:sz w:val="21"/>
          <w:szCs w:val="21"/>
        </w:rPr>
        <w:t>人口密集商业区或广场探测周期不宜超过5年；</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4  </w:t>
      </w:r>
      <w:r>
        <w:rPr>
          <w:rFonts w:hint="eastAsia" w:ascii="Times New Roman" w:hAnsi="Times New Roman" w:cs="Times New Roman"/>
          <w:sz w:val="21"/>
          <w:szCs w:val="21"/>
        </w:rPr>
        <w:t>历史上多次发生过地面塌陷的道路或区域探测周期不宜超过2年。</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.0.4  </w:t>
      </w:r>
      <w:r>
        <w:rPr>
          <w:rFonts w:hint="eastAsia" w:ascii="Times New Roman" w:hAnsi="Times New Roman" w:cs="Times New Roman"/>
          <w:sz w:val="21"/>
          <w:szCs w:val="21"/>
        </w:rPr>
        <w:t>城市地下病害体专项探测区域及专项探测时间应符合下列规定：</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 xml:space="preserve">  </w:t>
      </w:r>
      <w:r>
        <w:rPr>
          <w:rFonts w:hint="eastAsia" w:ascii="Times New Roman" w:hAnsi="Times New Roman" w:cs="Times New Roman"/>
          <w:sz w:val="21"/>
          <w:szCs w:val="21"/>
        </w:rPr>
        <w:t>城市重大活动举行前3个月内，宜对活动场馆周边的道路、广场、地下管线周边区域进行专项探测；</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2  </w:t>
      </w:r>
      <w:r>
        <w:rPr>
          <w:rFonts w:hint="eastAsia" w:ascii="Times New Roman" w:hAnsi="Times New Roman" w:cs="Times New Roman"/>
          <w:sz w:val="21"/>
          <w:szCs w:val="21"/>
        </w:rPr>
        <w:t>洪涝灾害发生后2个月内，宜对积水路段、广场等区域进行专项探测；</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3  </w:t>
      </w:r>
      <w:r>
        <w:rPr>
          <w:rFonts w:hint="eastAsia" w:ascii="Times New Roman" w:hAnsi="Times New Roman" w:cs="Times New Roman"/>
          <w:sz w:val="21"/>
          <w:szCs w:val="21"/>
        </w:rPr>
        <w:t>新建地下工程，施工过程中及竣工后</w:t>
      </w:r>
      <w:bookmarkStart w:id="12" w:name="_Hlk119419392"/>
      <w:r>
        <w:rPr>
          <w:rFonts w:hint="eastAsia" w:ascii="Times New Roman" w:hAnsi="Times New Roman" w:cs="Times New Roman"/>
          <w:sz w:val="21"/>
          <w:szCs w:val="21"/>
        </w:rPr>
        <w:t>一定时间内宜对影响范围内的道路进行专项探测</w:t>
      </w:r>
      <w:bookmarkEnd w:id="12"/>
      <w:r>
        <w:rPr>
          <w:rFonts w:hint="eastAsia" w:ascii="Times New Roman" w:hAnsi="Times New Roman" w:cs="Times New Roman"/>
          <w:sz w:val="21"/>
          <w:szCs w:val="21"/>
        </w:rPr>
        <w:t>；</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4  </w:t>
      </w:r>
      <w:r>
        <w:rPr>
          <w:rFonts w:hint="eastAsia" w:ascii="Times New Roman" w:hAnsi="Times New Roman" w:cs="Times New Roman"/>
          <w:sz w:val="21"/>
          <w:szCs w:val="21"/>
        </w:rPr>
        <w:t>新建、改扩建道路移交给管理单位前宜进行专项探测；</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5  </w:t>
      </w:r>
      <w:r>
        <w:rPr>
          <w:rFonts w:hint="eastAsia" w:ascii="Times New Roman" w:hAnsi="Times New Roman" w:cs="Times New Roman"/>
          <w:sz w:val="21"/>
          <w:szCs w:val="21"/>
        </w:rPr>
        <w:t>排水、供水等管线敷设施工后一定时间内宜对影响范围内的道路进行专项探测；</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 xml:space="preserve">6  </w:t>
      </w:r>
      <w:r>
        <w:rPr>
          <w:rFonts w:hint="eastAsia" w:ascii="Times New Roman" w:hAnsi="Times New Roman" w:cs="Times New Roman"/>
          <w:sz w:val="21"/>
          <w:szCs w:val="21"/>
        </w:rPr>
        <w:t>专项检测道路末次探测后宜按照本标准</w:t>
      </w:r>
      <w:r>
        <w:rPr>
          <w:rFonts w:ascii="Times New Roman" w:hAnsi="Times New Roman" w:cs="Times New Roman"/>
          <w:sz w:val="21"/>
          <w:szCs w:val="21"/>
        </w:rPr>
        <w:t>3.0.3</w:t>
      </w:r>
      <w:r>
        <w:rPr>
          <w:rFonts w:hint="eastAsia" w:ascii="Times New Roman" w:hAnsi="Times New Roman" w:cs="Times New Roman"/>
          <w:sz w:val="21"/>
          <w:szCs w:val="21"/>
        </w:rPr>
        <w:t>规定，纳入相应定期探测范围。</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.0.5  </w:t>
      </w:r>
      <w:r>
        <w:rPr>
          <w:rFonts w:hint="eastAsia" w:ascii="Times New Roman" w:hAnsi="Times New Roman" w:cs="Times New Roman"/>
          <w:sz w:val="21"/>
          <w:szCs w:val="21"/>
        </w:rPr>
        <w:t>不在定期探测、专项探测范围内的区域，宜择机进行检测。</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.0.6  </w:t>
      </w:r>
      <w:r>
        <w:rPr>
          <w:rFonts w:hint="eastAsia" w:ascii="Times New Roman" w:hAnsi="Times New Roman" w:cs="Times New Roman"/>
          <w:sz w:val="21"/>
          <w:szCs w:val="21"/>
        </w:rPr>
        <w:t>对发生以下突发事件的影响区域，应开展城市地下病害体的应急探测。</w:t>
      </w:r>
    </w:p>
    <w:p>
      <w:pPr>
        <w:tabs>
          <w:tab w:val="left" w:pos="900"/>
        </w:tabs>
        <w:ind w:firstLine="420" w:firstLineChars="200"/>
      </w:pPr>
      <w:r>
        <w:t xml:space="preserve">1  </w:t>
      </w:r>
      <w:r>
        <w:rPr>
          <w:rFonts w:hint="eastAsia"/>
        </w:rPr>
        <w:t>当发生滑坡、崩塌、泥石流、塌陷、断层活动等地质灾害险兆前或事故后；</w:t>
      </w:r>
    </w:p>
    <w:p>
      <w:pPr>
        <w:tabs>
          <w:tab w:val="left" w:pos="900"/>
        </w:tabs>
        <w:ind w:firstLine="420" w:firstLineChars="200"/>
      </w:pPr>
      <w:r>
        <w:rPr>
          <w:rFonts w:hint="eastAsia"/>
        </w:rPr>
        <w:t>2</w:t>
      </w:r>
      <w:r>
        <w:t xml:space="preserve">  </w:t>
      </w:r>
      <w:r>
        <w:rPr>
          <w:rFonts w:hint="eastAsia"/>
        </w:rPr>
        <w:t>当地面发生下沉、严重变形或塌陷事故时；</w:t>
      </w:r>
    </w:p>
    <w:p>
      <w:pPr>
        <w:tabs>
          <w:tab w:val="left" w:pos="900"/>
        </w:tabs>
        <w:ind w:firstLine="420" w:firstLineChars="200"/>
      </w:pPr>
      <w:r>
        <w:t xml:space="preserve">3  </w:t>
      </w:r>
      <w:r>
        <w:rPr>
          <w:rFonts w:hint="eastAsia"/>
        </w:rPr>
        <w:t>当地下管线发生泄露、爆炸等事故时；</w:t>
      </w:r>
    </w:p>
    <w:p>
      <w:pPr>
        <w:tabs>
          <w:tab w:val="left" w:pos="900"/>
        </w:tabs>
        <w:ind w:firstLine="420" w:firstLineChars="200"/>
      </w:pPr>
      <w:r>
        <w:t xml:space="preserve">4  </w:t>
      </w:r>
      <w:r>
        <w:rPr>
          <w:rFonts w:hint="eastAsia"/>
        </w:rPr>
        <w:t>当地铁站点、隧道、深基坑、地下盾构作业点等结构监测发生超限报警或发生大量水土流失时；</w:t>
      </w:r>
    </w:p>
    <w:p>
      <w:pPr>
        <w:tabs>
          <w:tab w:val="left" w:pos="900"/>
        </w:tabs>
        <w:ind w:firstLine="420" w:firstLineChars="200"/>
      </w:pPr>
      <w:r>
        <w:t xml:space="preserve">5  </w:t>
      </w:r>
      <w:r>
        <w:rPr>
          <w:rFonts w:hint="eastAsia"/>
        </w:rPr>
        <w:t>当发生强烈地震、爆破作业、拆除作业等情况时，可开展相关探测。</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.0.7  </w:t>
      </w:r>
      <w:r>
        <w:rPr>
          <w:rFonts w:hint="eastAsia" w:ascii="Times New Roman" w:hAnsi="Times New Roman" w:cs="Times New Roman"/>
          <w:sz w:val="21"/>
          <w:szCs w:val="21"/>
        </w:rPr>
        <w:t>城市地下病害体探测可采用普查和详查相结合的方式开展地下病害体探测，并应符合下列规定：</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hint="eastAsia" w:ascii="Times New Roman" w:hAnsi="Times New Roman" w:cs="Times New Roman"/>
          <w:sz w:val="21"/>
          <w:szCs w:val="21"/>
        </w:rPr>
        <w:t>1  普查应对测区进行全面探测，并确定重点检测区；</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hint="eastAsia" w:ascii="Times New Roman" w:hAnsi="Times New Roman" w:cs="Times New Roman"/>
          <w:sz w:val="21"/>
          <w:szCs w:val="21"/>
        </w:rPr>
        <w:t>2  详查应对重点检测区进行探测，并应查明地下病害体的属性。</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.0.8  </w:t>
      </w:r>
      <w:r>
        <w:rPr>
          <w:rFonts w:hint="eastAsia" w:ascii="Times New Roman" w:hAnsi="Times New Roman" w:cs="Times New Roman"/>
          <w:sz w:val="21"/>
          <w:szCs w:val="21"/>
        </w:rPr>
        <w:t>城市地下病害体的探测方法和技术参数应根据病害体的物性、埋藏深度、潜在规模、场地环境等因素综合选择，并应根据有效性试验最终确定。</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.0.9  </w:t>
      </w:r>
      <w:r>
        <w:rPr>
          <w:rFonts w:hint="eastAsia" w:ascii="Times New Roman" w:hAnsi="Times New Roman" w:cs="Times New Roman"/>
          <w:sz w:val="21"/>
          <w:szCs w:val="21"/>
        </w:rPr>
        <w:t>宜积极采用和推广经实践检验有效的新技术、新方法，并应符合下列规定：</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hint="eastAsia" w:ascii="Times New Roman" w:hAnsi="Times New Roman" w:cs="Times New Roman"/>
          <w:sz w:val="21"/>
          <w:szCs w:val="21"/>
        </w:rPr>
        <w:t>1  采用的新技术新方法应能满足探测目的和要求，并经工程实践检验有效；</w:t>
      </w:r>
    </w:p>
    <w:p>
      <w:pPr>
        <w:pStyle w:val="74"/>
        <w:spacing w:before="0" w:beforeAutospacing="0" w:after="0" w:afterAutospacing="0" w:line="360" w:lineRule="auto"/>
        <w:ind w:firstLine="420" w:firstLineChars="200"/>
        <w:jc w:val="both"/>
        <w:rPr>
          <w:rFonts w:ascii="Times New Roman" w:hAnsi="Times New Roman" w:cs="Times New Roman"/>
          <w:sz w:val="21"/>
          <w:szCs w:val="21"/>
        </w:rPr>
      </w:pPr>
      <w:r>
        <w:rPr>
          <w:rFonts w:hint="eastAsia" w:ascii="Times New Roman" w:hAnsi="Times New Roman" w:cs="Times New Roman"/>
          <w:sz w:val="21"/>
          <w:szCs w:val="21"/>
        </w:rPr>
        <w:t>2  在检测工作方案中应予以说明，必要时应向委托方提供探测细则和检验标准。</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.0.10  </w:t>
      </w:r>
      <w:r>
        <w:rPr>
          <w:rFonts w:hint="eastAsia" w:ascii="Times New Roman" w:hAnsi="Times New Roman" w:cs="Times New Roman"/>
          <w:sz w:val="21"/>
          <w:szCs w:val="21"/>
        </w:rPr>
        <w:t>探测前应对仪器进行校验，探测过程中应定期检查或校对仪器工作状态，确保探测仪器设备性能稳定、状态良好。</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.0.11  </w:t>
      </w:r>
      <w:r>
        <w:rPr>
          <w:rFonts w:hint="eastAsia" w:ascii="Times New Roman" w:hAnsi="Times New Roman" w:cs="Times New Roman"/>
          <w:sz w:val="21"/>
          <w:szCs w:val="21"/>
        </w:rPr>
        <w:t>城市地下病害体探测机构，应依法取得相应资质，探测作业人员应经技术、安全培训合格后方可上岗。</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.0.12  </w:t>
      </w:r>
      <w:r>
        <w:rPr>
          <w:rFonts w:hint="eastAsia" w:ascii="Times New Roman" w:hAnsi="Times New Roman" w:cs="Times New Roman"/>
          <w:sz w:val="21"/>
          <w:szCs w:val="21"/>
        </w:rPr>
        <w:t>数据质量检查不合格，应分析原因，对相关区域调整工作方案后重新进行探测。</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.0.13  </w:t>
      </w:r>
      <w:r>
        <w:rPr>
          <w:rFonts w:hint="eastAsia" w:ascii="Times New Roman" w:hAnsi="Times New Roman" w:cs="Times New Roman"/>
          <w:sz w:val="21"/>
          <w:szCs w:val="21"/>
        </w:rPr>
        <w:t>在探测过程中，当发现危险性较大的地下病害体时，应及时报告相关管理单位。</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.0.14  </w:t>
      </w:r>
      <w:r>
        <w:rPr>
          <w:rFonts w:hint="eastAsia" w:ascii="Times New Roman" w:hAnsi="Times New Roman" w:cs="Times New Roman"/>
          <w:sz w:val="21"/>
          <w:szCs w:val="21"/>
        </w:rPr>
        <w:t>探测发现的地下病害体应进行复核或验证。</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.0.15  </w:t>
      </w:r>
      <w:r>
        <w:rPr>
          <w:rFonts w:hint="eastAsia" w:ascii="Times New Roman" w:hAnsi="Times New Roman" w:cs="Times New Roman"/>
          <w:sz w:val="21"/>
          <w:szCs w:val="21"/>
        </w:rPr>
        <w:t>现场探测与复核验证作业应按照道路交通安全管理要求设置警示标志，保障现场工作秩序和人员安全。</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.0.16  </w:t>
      </w:r>
      <w:r>
        <w:rPr>
          <w:rFonts w:hint="eastAsia" w:ascii="Times New Roman" w:hAnsi="Times New Roman" w:cs="Times New Roman"/>
          <w:sz w:val="21"/>
          <w:szCs w:val="21"/>
        </w:rPr>
        <w:t>城市地下病害体探测与风险评估完成后，应编制成果报告并绘制成果图表。</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.0.17  </w:t>
      </w:r>
      <w:r>
        <w:rPr>
          <w:rFonts w:hint="eastAsia" w:ascii="Times New Roman" w:hAnsi="Times New Roman" w:cs="Times New Roman"/>
          <w:sz w:val="21"/>
          <w:szCs w:val="21"/>
        </w:rPr>
        <w:t>对探测数据涉及的地下空间信息，应按照国家和广东省保密要求管理。</w:t>
      </w:r>
    </w:p>
    <w:p>
      <w:pPr>
        <w:pStyle w:val="74"/>
        <w:spacing w:before="0" w:beforeAutospacing="0" w:after="0" w:afterAutospacing="0" w:line="360" w:lineRule="auto"/>
        <w:jc w:val="both"/>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 xml:space="preserve">.0.18  </w:t>
      </w:r>
      <w:r>
        <w:rPr>
          <w:rFonts w:hint="eastAsia" w:ascii="Times New Roman" w:hAnsi="Times New Roman" w:cs="Times New Roman"/>
          <w:sz w:val="21"/>
          <w:szCs w:val="21"/>
        </w:rPr>
        <w:t>城市地下病害体探测工作可按照现场踏勘、方案编制、现场探测、数据处理、隐患识别、数据复核、验证、等级评定、成果编制和数据管理等程序开展。</w:t>
      </w:r>
    </w:p>
    <w:p>
      <w:pPr>
        <w:pStyle w:val="74"/>
        <w:spacing w:before="0" w:beforeAutospacing="0" w:after="0" w:afterAutospacing="0" w:line="360" w:lineRule="auto"/>
        <w:jc w:val="both"/>
        <w:rPr>
          <w:rFonts w:ascii="Times New Roman" w:hAnsi="Times New Roman" w:cs="Times New Roman"/>
          <w:sz w:val="21"/>
          <w:szCs w:val="21"/>
        </w:rPr>
      </w:pPr>
    </w:p>
    <w:p>
      <w:pPr>
        <w:pStyle w:val="74"/>
        <w:spacing w:before="0" w:beforeAutospacing="0" w:after="0" w:afterAutospacing="0" w:line="360" w:lineRule="auto"/>
        <w:jc w:val="both"/>
        <w:rPr>
          <w:rFonts w:ascii="Times New Roman" w:hAnsi="Times New Roman" w:cs="Times New Roman"/>
          <w:sz w:val="21"/>
          <w:szCs w:val="21"/>
        </w:rPr>
        <w:sectPr>
          <w:pgSz w:w="11906" w:h="16838"/>
          <w:pgMar w:top="1440" w:right="1800" w:bottom="1440" w:left="2268" w:header="851" w:footer="992" w:gutter="0"/>
          <w:cols w:space="425" w:num="1"/>
          <w:docGrid w:type="lines" w:linePitch="312" w:charSpace="0"/>
        </w:sectPr>
      </w:pPr>
    </w:p>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13" w:name="_Toc148468226"/>
      <w:bookmarkStart w:id="14" w:name="_Toc25828251"/>
      <w:bookmarkStart w:id="15" w:name="_Toc25829175"/>
      <w:r>
        <w:rPr>
          <w:rFonts w:hint="eastAsia" w:ascii="Times New Roman" w:hAnsi="Times New Roman"/>
          <w:bCs w:val="0"/>
          <w:caps w:val="0"/>
          <w:kern w:val="0"/>
          <w:szCs w:val="24"/>
        </w:rPr>
        <w:t>地下病害体分类</w:t>
      </w:r>
      <w:bookmarkEnd w:id="13"/>
    </w:p>
    <w:p>
      <w:pPr>
        <w:pStyle w:val="74"/>
        <w:spacing w:before="0" w:beforeAutospacing="0" w:after="0" w:afterAutospacing="0" w:line="360" w:lineRule="auto"/>
        <w:jc w:val="both"/>
        <w:rPr>
          <w:rFonts w:ascii="Times New Roman" w:hAnsi="Times New Roman" w:cs="Times New Roman"/>
        </w:rPr>
      </w:pPr>
      <w:r>
        <w:rPr>
          <w:rFonts w:ascii="Times New Roman" w:hAnsi="Times New Roman" w:cs="Times New Roman"/>
          <w:sz w:val="21"/>
          <w:szCs w:val="21"/>
        </w:rPr>
        <w:t>4.0.1  地下病害体可分为脱空、空洞、疏松体和富水体4类。</w:t>
      </w:r>
    </w:p>
    <w:p>
      <w:pPr>
        <w:pStyle w:val="74"/>
        <w:spacing w:before="0" w:beforeAutospacing="0" w:after="0" w:afterAutospacing="0" w:line="360" w:lineRule="auto"/>
        <w:jc w:val="both"/>
        <w:rPr>
          <w:rFonts w:ascii="Times New Roman" w:hAnsi="Times New Roman" w:cs="Times New Roman"/>
          <w:sz w:val="21"/>
          <w:szCs w:val="21"/>
        </w:rPr>
      </w:pPr>
      <w:r>
        <w:rPr>
          <w:rFonts w:ascii="Times New Roman" w:hAnsi="Times New Roman" w:cs="Times New Roman"/>
          <w:sz w:val="21"/>
          <w:szCs w:val="21"/>
        </w:rPr>
        <w:t>4.0.2  根据物性和形态特征划分的地下病害体类型宜按表4.0.2确定。</w:t>
      </w:r>
    </w:p>
    <w:p>
      <w:pPr>
        <w:pStyle w:val="74"/>
        <w:spacing w:before="0" w:beforeAutospacing="0" w:after="0" w:afterAutospacing="0" w:line="360" w:lineRule="auto"/>
        <w:jc w:val="center"/>
        <w:rPr>
          <w:rFonts w:ascii="Times New Roman" w:hAnsi="Times New Roman" w:cs="Times New Roman"/>
          <w:b/>
          <w:sz w:val="21"/>
          <w:szCs w:val="21"/>
        </w:rPr>
      </w:pPr>
      <w:r>
        <w:rPr>
          <w:rFonts w:hint="eastAsia" w:ascii="Times" w:hAnsi="Times"/>
          <w:b/>
          <w:sz w:val="21"/>
          <w:szCs w:val="21"/>
        </w:rPr>
        <w:t>表</w:t>
      </w:r>
      <w:r>
        <w:rPr>
          <w:rFonts w:ascii="Times" w:hAnsi="Times"/>
          <w:b/>
          <w:sz w:val="21"/>
          <w:szCs w:val="21"/>
        </w:rPr>
        <w:t>4.0.2</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地下病害体按物性和形态特征分类</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62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地下病害体类型</w:t>
            </w:r>
          </w:p>
        </w:tc>
        <w:tc>
          <w:tcPr>
            <w:tcW w:w="6263"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物性和形态特征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脱空</w:t>
            </w:r>
          </w:p>
        </w:tc>
        <w:tc>
          <w:tcPr>
            <w:tcW w:w="6263"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1  </w:t>
            </w:r>
            <w:r>
              <w:rPr>
                <w:rFonts w:hint="eastAsia" w:ascii="Times New Roman" w:hAnsi="Times New Roman" w:cs="Times New Roman"/>
                <w:sz w:val="18"/>
                <w:szCs w:val="18"/>
              </w:rPr>
              <w:t>位于地面硬壳层与地基土之间，两者不</w:t>
            </w:r>
            <w:r>
              <w:rPr>
                <w:rFonts w:ascii="Times New Roman" w:hAnsi="Times New Roman" w:cs="Times New Roman"/>
                <w:sz w:val="18"/>
                <w:szCs w:val="18"/>
              </w:rPr>
              <w:t>连续接触</w:t>
            </w:r>
            <w:r>
              <w:rPr>
                <w:rFonts w:hint="eastAsia" w:ascii="Times New Roman" w:hAnsi="Times New Roman" w:cs="Times New Roman"/>
                <w:sz w:val="18"/>
                <w:szCs w:val="18"/>
              </w:rPr>
              <w:t>，埋置深度浅；</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一般表现为平面尺寸大于垂向高度、层状空隙的特点，常见于水泥混凝土路面、半刚性基层沥青路面以及白改黑路面等刚性面层下。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空洞</w:t>
            </w:r>
          </w:p>
        </w:tc>
        <w:tc>
          <w:tcPr>
            <w:tcW w:w="6263"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1  </w:t>
            </w:r>
            <w:r>
              <w:rPr>
                <w:rFonts w:hint="eastAsia" w:ascii="Times New Roman" w:hAnsi="Times New Roman" w:cs="Times New Roman"/>
                <w:sz w:val="18"/>
                <w:szCs w:val="18"/>
              </w:rPr>
              <w:t>净空高度大于0.3米的地面硬壳层与土基之间的洞体以及地下土体中的洞穴；</w:t>
            </w:r>
          </w:p>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 xml:space="preserve">  位于地基岩土中，形态不规则</w:t>
            </w:r>
            <w:r>
              <w:rPr>
                <w:rFonts w:hint="eastAsia" w:ascii="Times New Roman" w:hAnsi="Times New Roman" w:cs="Times New Roman"/>
                <w:sz w:val="18"/>
                <w:szCs w:val="18"/>
              </w:rPr>
              <w:t>，规模大小不一，其上下界面一般均不平整，对上部土体或结构具有失稳风险；</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3  在浅覆盖层岩溶发育</w:t>
            </w:r>
            <w:r>
              <w:rPr>
                <w:rFonts w:hint="eastAsia" w:ascii="Times New Roman" w:hAnsi="Times New Roman" w:cs="Times New Roman"/>
                <w:sz w:val="18"/>
                <w:szCs w:val="18"/>
              </w:rPr>
              <w:t>区</w:t>
            </w:r>
            <w:r>
              <w:rPr>
                <w:rFonts w:ascii="Times New Roman" w:hAnsi="Times New Roman" w:cs="Times New Roman"/>
                <w:sz w:val="18"/>
                <w:szCs w:val="18"/>
              </w:rPr>
              <w:t>，常见土洞和溶洞，底部</w:t>
            </w:r>
            <w:r>
              <w:rPr>
                <w:rFonts w:hint="eastAsia" w:ascii="Times New Roman" w:hAnsi="Times New Roman" w:cs="Times New Roman"/>
                <w:sz w:val="18"/>
                <w:szCs w:val="18"/>
              </w:rPr>
              <w:t>大部分充填</w:t>
            </w:r>
            <w:r>
              <w:rPr>
                <w:rFonts w:ascii="Times New Roman" w:hAnsi="Times New Roman" w:cs="Times New Roman"/>
                <w:sz w:val="18"/>
                <w:szCs w:val="18"/>
              </w:rPr>
              <w:t>流</w:t>
            </w:r>
            <w:r>
              <w:rPr>
                <w:rFonts w:hint="eastAsia" w:ascii="Times New Roman" w:hAnsi="Times New Roman" w:cs="Times New Roman"/>
                <w:sz w:val="18"/>
                <w:szCs w:val="18"/>
              </w:rPr>
              <w:t>塑状</w:t>
            </w:r>
            <w:r>
              <w:rPr>
                <w:rFonts w:ascii="Times New Roman" w:hAnsi="Times New Roman" w:cs="Times New Roman"/>
                <w:sz w:val="18"/>
                <w:szCs w:val="18"/>
              </w:rPr>
              <w:t>黏性土</w:t>
            </w:r>
            <w:r>
              <w:rPr>
                <w:rFonts w:hint="eastAsia"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4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疏松体</w:t>
            </w:r>
          </w:p>
        </w:tc>
        <w:tc>
          <w:tcPr>
            <w:tcW w:w="6263"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1  </w:t>
            </w:r>
            <w:r>
              <w:rPr>
                <w:rFonts w:hint="eastAsia" w:ascii="Times New Roman" w:hAnsi="Times New Roman" w:cs="Times New Roman"/>
                <w:sz w:val="18"/>
                <w:szCs w:val="18"/>
              </w:rPr>
              <w:t>相对周边土体，具有结构不均匀、松散、密实度低、强度低、压缩性高等特点；</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2  </w:t>
            </w:r>
            <w:r>
              <w:rPr>
                <w:rFonts w:hint="eastAsia" w:ascii="Times New Roman" w:hAnsi="Times New Roman" w:cs="Times New Roman"/>
                <w:sz w:val="18"/>
                <w:szCs w:val="18"/>
              </w:rPr>
              <w:t>强度随疏松体的松散程度增大而降低；</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3  </w:t>
            </w:r>
            <w:r>
              <w:rPr>
                <w:rFonts w:hint="eastAsia" w:ascii="Times New Roman" w:hAnsi="Times New Roman" w:cs="Times New Roman"/>
                <w:sz w:val="18"/>
                <w:szCs w:val="18"/>
              </w:rPr>
              <w:t>疏松体范围逐渐扩大到一定程度，其自身承载力降低，内部土体发生坍塌，疏松体上部发展为空洞，在路基与基层之间、基层和面层之间会出现脱空。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富水体</w:t>
            </w:r>
          </w:p>
        </w:tc>
        <w:tc>
          <w:tcPr>
            <w:tcW w:w="6263"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1  </w:t>
            </w:r>
            <w:r>
              <w:rPr>
                <w:rFonts w:hint="eastAsia" w:ascii="Times New Roman" w:hAnsi="Times New Roman" w:cs="Times New Roman"/>
                <w:sz w:val="18"/>
                <w:szCs w:val="18"/>
              </w:rPr>
              <w:t>相对周边土体具有含水量高、强度很低、孔隙比较大、压缩性高、均匀性较差、灵敏度较高等特点；呈流塑或</w:t>
            </w:r>
            <w:r>
              <w:rPr>
                <w:rFonts w:ascii="Times New Roman" w:hAnsi="Times New Roman" w:cs="Times New Roman"/>
                <w:sz w:val="18"/>
                <w:szCs w:val="18"/>
              </w:rPr>
              <w:t>松散</w:t>
            </w:r>
            <w:r>
              <w:rPr>
                <w:rFonts w:hint="eastAsia" w:ascii="Times New Roman" w:hAnsi="Times New Roman" w:cs="Times New Roman"/>
                <w:sz w:val="18"/>
                <w:szCs w:val="18"/>
              </w:rPr>
              <w:t>状态；</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2  </w:t>
            </w:r>
            <w:r>
              <w:rPr>
                <w:rFonts w:hint="eastAsia" w:ascii="Times New Roman" w:hAnsi="Times New Roman" w:cs="Times New Roman"/>
                <w:sz w:val="18"/>
                <w:szCs w:val="18"/>
              </w:rPr>
              <w:t>富水体区域因局部水力作用，土体结构弱化，强度降低，工程性质变差，危及周边工程安全，其上部发展为空洞。</w:t>
            </w:r>
          </w:p>
        </w:tc>
      </w:tr>
    </w:tbl>
    <w:p>
      <w:pPr>
        <w:pStyle w:val="74"/>
        <w:spacing w:before="240" w:beforeAutospacing="0" w:after="0" w:afterAutospacing="0" w:line="360" w:lineRule="auto"/>
        <w:jc w:val="both"/>
        <w:rPr>
          <w:rFonts w:ascii="Times New Roman" w:hAnsi="Times New Roman" w:cs="Times New Roman"/>
          <w:sz w:val="21"/>
          <w:szCs w:val="21"/>
        </w:rPr>
      </w:pPr>
      <w:r>
        <w:rPr>
          <w:rFonts w:ascii="Times New Roman" w:hAnsi="Times New Roman" w:cs="Times New Roman"/>
          <w:sz w:val="21"/>
          <w:szCs w:val="21"/>
        </w:rPr>
        <w:t>4.0.3  根据地球物理特征划分的地下病害体类型宜按表4.0.3确定。</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4.0.3</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地下病害体按地球物理特征分类</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126"/>
        <w:gridCol w:w="1417"/>
        <w:gridCol w:w="2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tcPr>
          <w:p>
            <w:pPr>
              <w:pStyle w:val="74"/>
              <w:spacing w:before="0" w:beforeAutospacing="0" w:after="0" w:afterAutospacing="0" w:line="360" w:lineRule="auto"/>
              <w:jc w:val="center"/>
              <w:rPr>
                <w:rFonts w:ascii="Times New Roman" w:hAnsi="Times New Roman" w:cs="Times New Roman"/>
                <w:sz w:val="18"/>
                <w:szCs w:val="18"/>
              </w:rPr>
            </w:pPr>
            <w:bookmarkStart w:id="16" w:name="_Hlk148469236"/>
            <w:r>
              <w:rPr>
                <w:rFonts w:hint="eastAsia" w:ascii="Times New Roman" w:hAnsi="Times New Roman" w:cs="Times New Roman"/>
                <w:sz w:val="18"/>
                <w:szCs w:val="18"/>
              </w:rPr>
              <w:t>地下病害体类型</w:t>
            </w:r>
          </w:p>
        </w:tc>
        <w:tc>
          <w:tcPr>
            <w:tcW w:w="2126"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介电特征</w:t>
            </w:r>
          </w:p>
        </w:tc>
        <w:tc>
          <w:tcPr>
            <w:tcW w:w="1417"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弹性特征</w:t>
            </w:r>
          </w:p>
        </w:tc>
        <w:tc>
          <w:tcPr>
            <w:tcW w:w="2720"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电阻率特征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4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脱空</w:t>
            </w:r>
          </w:p>
        </w:tc>
        <w:tc>
          <w:tcPr>
            <w:tcW w:w="2126" w:type="dxa"/>
            <w:vMerge w:val="restart"/>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 xml:space="preserve">1 </w:t>
            </w:r>
            <w:r>
              <w:rPr>
                <w:rFonts w:ascii="Times New Roman" w:hAnsi="Times New Roman" w:cs="Times New Roman"/>
                <w:sz w:val="18"/>
                <w:szCs w:val="18"/>
              </w:rPr>
              <w:t xml:space="preserve"> </w:t>
            </w:r>
            <w:r>
              <w:rPr>
                <w:rFonts w:hint="eastAsia" w:ascii="Times New Roman" w:hAnsi="Times New Roman" w:cs="Times New Roman"/>
                <w:sz w:val="18"/>
                <w:szCs w:val="18"/>
              </w:rPr>
              <w:t>无水填充时，相对介电常数为1；</w:t>
            </w:r>
          </w:p>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 xml:space="preserve">2 </w:t>
            </w:r>
            <w:r>
              <w:rPr>
                <w:rFonts w:ascii="Times New Roman" w:hAnsi="Times New Roman" w:cs="Times New Roman"/>
                <w:sz w:val="18"/>
                <w:szCs w:val="18"/>
              </w:rPr>
              <w:t xml:space="preserve"> </w:t>
            </w:r>
            <w:r>
              <w:rPr>
                <w:rFonts w:hint="eastAsia" w:ascii="Times New Roman" w:hAnsi="Times New Roman" w:cs="Times New Roman"/>
                <w:sz w:val="18"/>
                <w:szCs w:val="18"/>
              </w:rPr>
              <w:t>有水填充时，相对介电常数为81。</w:t>
            </w:r>
          </w:p>
        </w:tc>
        <w:tc>
          <w:tcPr>
            <w:tcW w:w="1417" w:type="dxa"/>
            <w:vMerge w:val="restart"/>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1  </w:t>
            </w:r>
            <w:r>
              <w:rPr>
                <w:rFonts w:hint="eastAsia" w:ascii="Times New Roman" w:hAnsi="Times New Roman" w:cs="Times New Roman"/>
                <w:sz w:val="18"/>
                <w:szCs w:val="18"/>
              </w:rPr>
              <w:t>弹性波速度低</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2  </w:t>
            </w:r>
            <w:r>
              <w:rPr>
                <w:rFonts w:hint="eastAsia" w:ascii="Times New Roman" w:hAnsi="Times New Roman" w:cs="Times New Roman"/>
                <w:sz w:val="18"/>
                <w:szCs w:val="18"/>
              </w:rPr>
              <w:t>波阻抗低</w:t>
            </w:r>
          </w:p>
        </w:tc>
        <w:tc>
          <w:tcPr>
            <w:tcW w:w="2720" w:type="dxa"/>
            <w:vMerge w:val="restart"/>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 xml:space="preserve">1 </w:t>
            </w:r>
            <w:r>
              <w:rPr>
                <w:rFonts w:ascii="Times New Roman" w:hAnsi="Times New Roman" w:cs="Times New Roman"/>
                <w:sz w:val="18"/>
                <w:szCs w:val="18"/>
              </w:rPr>
              <w:t xml:space="preserve"> </w:t>
            </w:r>
            <w:r>
              <w:rPr>
                <w:rFonts w:hint="eastAsia" w:ascii="Times New Roman" w:hAnsi="Times New Roman" w:cs="Times New Roman"/>
                <w:sz w:val="18"/>
                <w:szCs w:val="18"/>
              </w:rPr>
              <w:t>无水填充时，电阻率大于周边土体，明显高阻异常；</w:t>
            </w:r>
          </w:p>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有水填充时，电阻率小于周边土体，明显低阻异常。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4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空洞</w:t>
            </w:r>
          </w:p>
        </w:tc>
        <w:tc>
          <w:tcPr>
            <w:tcW w:w="2126" w:type="dxa"/>
            <w:vMerge w:val="continue"/>
            <w:vAlign w:val="center"/>
          </w:tcPr>
          <w:p>
            <w:pPr>
              <w:pStyle w:val="74"/>
              <w:spacing w:before="0" w:beforeAutospacing="0" w:after="0" w:afterAutospacing="0" w:line="360" w:lineRule="auto"/>
              <w:rPr>
                <w:rFonts w:ascii="Times New Roman" w:hAnsi="Times New Roman" w:cs="Times New Roman"/>
                <w:sz w:val="18"/>
                <w:szCs w:val="18"/>
              </w:rPr>
            </w:pPr>
          </w:p>
        </w:tc>
        <w:tc>
          <w:tcPr>
            <w:tcW w:w="1417" w:type="dxa"/>
            <w:vMerge w:val="continue"/>
            <w:vAlign w:val="center"/>
          </w:tcPr>
          <w:p>
            <w:pPr>
              <w:pStyle w:val="74"/>
              <w:spacing w:before="0" w:beforeAutospacing="0" w:after="0" w:afterAutospacing="0" w:line="360" w:lineRule="auto"/>
              <w:rPr>
                <w:rFonts w:ascii="Times New Roman" w:hAnsi="Times New Roman" w:cs="Times New Roman"/>
                <w:sz w:val="18"/>
                <w:szCs w:val="18"/>
              </w:rPr>
            </w:pPr>
          </w:p>
        </w:tc>
        <w:tc>
          <w:tcPr>
            <w:tcW w:w="2720" w:type="dxa"/>
            <w:vMerge w:val="continue"/>
            <w:vAlign w:val="center"/>
          </w:tcPr>
          <w:p>
            <w:pPr>
              <w:pStyle w:val="74"/>
              <w:spacing w:before="0" w:beforeAutospacing="0" w:after="0" w:afterAutospacing="0" w:line="360" w:lineRule="auto"/>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疏松体</w:t>
            </w:r>
          </w:p>
        </w:tc>
        <w:tc>
          <w:tcPr>
            <w:tcW w:w="2126" w:type="dxa"/>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地下水位以上，相对介电常数小于周边土体，疏松程度越高，相对介电常数越小；</w:t>
            </w:r>
          </w:p>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 xml:space="preserve"> </w:t>
            </w:r>
            <w:r>
              <w:rPr>
                <w:rFonts w:hint="eastAsia" w:ascii="Times New Roman" w:hAnsi="Times New Roman" w:cs="Times New Roman"/>
                <w:sz w:val="18"/>
                <w:szCs w:val="18"/>
              </w:rPr>
              <w:t xml:space="preserve"> 地下水位以下，相对介电常数大于周边土体，疏松程度越高，相对介电常数越大。</w:t>
            </w:r>
          </w:p>
        </w:tc>
        <w:tc>
          <w:tcPr>
            <w:tcW w:w="1417"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1  </w:t>
            </w:r>
            <w:r>
              <w:rPr>
                <w:rFonts w:hint="eastAsia" w:ascii="Times New Roman" w:hAnsi="Times New Roman" w:cs="Times New Roman"/>
                <w:sz w:val="18"/>
                <w:szCs w:val="18"/>
              </w:rPr>
              <w:t>弹性波速低；</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2  </w:t>
            </w:r>
            <w:r>
              <w:rPr>
                <w:rFonts w:hint="eastAsia" w:ascii="Times New Roman" w:hAnsi="Times New Roman" w:cs="Times New Roman"/>
                <w:sz w:val="18"/>
                <w:szCs w:val="18"/>
              </w:rPr>
              <w:t>疏松程度越高，速度越低。</w:t>
            </w:r>
          </w:p>
        </w:tc>
        <w:tc>
          <w:tcPr>
            <w:tcW w:w="2720" w:type="dxa"/>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 xml:space="preserve">1 </w:t>
            </w:r>
            <w:r>
              <w:rPr>
                <w:rFonts w:ascii="Times New Roman" w:hAnsi="Times New Roman" w:cs="Times New Roman"/>
                <w:sz w:val="18"/>
                <w:szCs w:val="18"/>
              </w:rPr>
              <w:t xml:space="preserve"> </w:t>
            </w:r>
            <w:r>
              <w:rPr>
                <w:rFonts w:hint="eastAsia" w:ascii="Times New Roman" w:hAnsi="Times New Roman" w:cs="Times New Roman"/>
                <w:sz w:val="18"/>
                <w:szCs w:val="18"/>
              </w:rPr>
              <w:t>地下水位以上，电阻率较大于周边土体，疏松程度越高，电阻率差异越明显，电阻率等值线形态不规则；</w:t>
            </w:r>
          </w:p>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 xml:space="preserve">2 </w:t>
            </w:r>
            <w:r>
              <w:rPr>
                <w:rFonts w:ascii="Times New Roman" w:hAnsi="Times New Roman" w:cs="Times New Roman"/>
                <w:sz w:val="18"/>
                <w:szCs w:val="18"/>
              </w:rPr>
              <w:t xml:space="preserve"> </w:t>
            </w:r>
            <w:r>
              <w:rPr>
                <w:rFonts w:hint="eastAsia" w:ascii="Times New Roman" w:hAnsi="Times New Roman" w:cs="Times New Roman"/>
                <w:sz w:val="18"/>
                <w:szCs w:val="18"/>
              </w:rPr>
              <w:t>地下水位以下，电阻率较小于周边土体，疏松程度越高，电阻率差异越明显，电阻率等值线形态不规则。</w:t>
            </w:r>
          </w:p>
        </w:tc>
      </w:tr>
      <w:bookmarkEnd w:id="16"/>
    </w:tbl>
    <w:p>
      <w:pPr>
        <w:pStyle w:val="74"/>
        <w:spacing w:before="0" w:beforeAutospacing="0" w:after="0" w:afterAutospacing="0" w:line="360" w:lineRule="auto"/>
        <w:jc w:val="center"/>
        <w:rPr>
          <w:rFonts w:ascii="Times" w:hAnsi="Times"/>
          <w:bCs/>
          <w:sz w:val="21"/>
          <w:szCs w:val="21"/>
        </w:rPr>
      </w:pPr>
      <w:r>
        <w:rPr>
          <w:rFonts w:hint="eastAsia" w:ascii="Times" w:hAnsi="Times"/>
          <w:bCs/>
          <w:sz w:val="21"/>
          <w:szCs w:val="21"/>
        </w:rPr>
        <w:t>续表</w:t>
      </w:r>
      <w:r>
        <w:rPr>
          <w:rFonts w:ascii="Times" w:hAnsi="Times"/>
          <w:bCs/>
          <w:sz w:val="21"/>
          <w:szCs w:val="21"/>
        </w:rPr>
        <w:t>4.0.3</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126"/>
        <w:gridCol w:w="1417"/>
        <w:gridCol w:w="2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地下病害体类型</w:t>
            </w:r>
          </w:p>
        </w:tc>
        <w:tc>
          <w:tcPr>
            <w:tcW w:w="2126"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介电特征</w:t>
            </w:r>
          </w:p>
        </w:tc>
        <w:tc>
          <w:tcPr>
            <w:tcW w:w="1417"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弹性特征</w:t>
            </w:r>
          </w:p>
        </w:tc>
        <w:tc>
          <w:tcPr>
            <w:tcW w:w="2720"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电阻率特征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富水体</w:t>
            </w:r>
          </w:p>
        </w:tc>
        <w:tc>
          <w:tcPr>
            <w:tcW w:w="2126"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1  </w:t>
            </w:r>
            <w:r>
              <w:rPr>
                <w:rFonts w:hint="eastAsia" w:ascii="Times New Roman" w:hAnsi="Times New Roman" w:cs="Times New Roman"/>
                <w:sz w:val="18"/>
                <w:szCs w:val="18"/>
              </w:rPr>
              <w:t>相对介电常数大于周边土体；</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 xml:space="preserve">2  </w:t>
            </w:r>
            <w:r>
              <w:rPr>
                <w:rFonts w:hint="eastAsia" w:ascii="Times New Roman" w:hAnsi="Times New Roman" w:cs="Times New Roman"/>
                <w:sz w:val="18"/>
                <w:szCs w:val="18"/>
              </w:rPr>
              <w:t>含水量越高，相对介电常数越大。</w:t>
            </w:r>
          </w:p>
        </w:tc>
        <w:tc>
          <w:tcPr>
            <w:tcW w:w="1417" w:type="dxa"/>
            <w:vAlign w:val="center"/>
          </w:tcPr>
          <w:p>
            <w:pPr>
              <w:pStyle w:val="74"/>
              <w:spacing w:before="0" w:beforeAutospacing="0" w:after="0" w:afterAutospacing="0"/>
              <w:ind w:firstLine="180" w:firstLineChars="100"/>
              <w:rPr>
                <w:rFonts w:ascii="Times New Roman" w:hAnsi="Times New Roman" w:cs="Times New Roman"/>
                <w:sz w:val="18"/>
                <w:szCs w:val="18"/>
              </w:rPr>
            </w:pPr>
            <w:r>
              <w:rPr>
                <w:rFonts w:hint="eastAsia" w:ascii="Times New Roman" w:hAnsi="Times New Roman" w:cs="Times New Roman"/>
                <w:sz w:val="18"/>
                <w:szCs w:val="18"/>
              </w:rPr>
              <w:t>弹性波速度低</w:t>
            </w:r>
          </w:p>
        </w:tc>
        <w:tc>
          <w:tcPr>
            <w:tcW w:w="2720" w:type="dxa"/>
            <w:vAlign w:val="center"/>
          </w:tcPr>
          <w:p>
            <w:pPr>
              <w:pStyle w:val="74"/>
              <w:spacing w:before="0" w:beforeAutospacing="0" w:after="0" w:afterAutospacing="0"/>
              <w:ind w:firstLine="180" w:firstLineChars="100"/>
              <w:rPr>
                <w:rFonts w:ascii="Times New Roman" w:hAnsi="Times New Roman" w:cs="Times New Roman"/>
                <w:sz w:val="18"/>
                <w:szCs w:val="18"/>
              </w:rPr>
            </w:pPr>
            <w:r>
              <w:rPr>
                <w:rFonts w:hint="eastAsia" w:ascii="Times New Roman" w:hAnsi="Times New Roman" w:cs="Times New Roman"/>
                <w:sz w:val="18"/>
                <w:szCs w:val="18"/>
              </w:rPr>
              <w:t>电阻率小于周边土体；明显低阻异常。</w:t>
            </w:r>
          </w:p>
        </w:tc>
      </w:tr>
    </w:tbl>
    <w:p>
      <w:pPr>
        <w:pStyle w:val="74"/>
        <w:spacing w:before="240" w:beforeAutospacing="0" w:after="0" w:afterAutospacing="0" w:line="360" w:lineRule="auto"/>
        <w:jc w:val="both"/>
        <w:rPr>
          <w:rFonts w:ascii="Times New Roman" w:hAnsi="Times New Roman" w:cs="Times New Roman"/>
          <w:sz w:val="21"/>
          <w:szCs w:val="21"/>
        </w:rPr>
      </w:pPr>
      <w:r>
        <w:rPr>
          <w:rFonts w:ascii="Times New Roman" w:hAnsi="Times New Roman" w:cs="Times New Roman"/>
          <w:sz w:val="21"/>
          <w:szCs w:val="21"/>
        </w:rPr>
        <w:t xml:space="preserve">4.0.4  </w:t>
      </w:r>
      <w:r>
        <w:rPr>
          <w:rFonts w:hint="eastAsia" w:ascii="Times New Roman" w:hAnsi="Times New Roman" w:cs="Times New Roman"/>
          <w:sz w:val="21"/>
          <w:szCs w:val="21"/>
        </w:rPr>
        <w:t>根据岩土性质、工程特性和可钻性，参照《城市地下病害体综合探测与风险评估技术标准》JGJ/T437规定，将疏松体分为一般疏松体和严重疏松体。</w:t>
      </w:r>
    </w:p>
    <w:p>
      <w:pPr>
        <w:pStyle w:val="74"/>
        <w:spacing w:before="240" w:beforeAutospacing="0" w:after="0" w:afterAutospacing="0" w:line="360" w:lineRule="auto"/>
        <w:jc w:val="both"/>
        <w:rPr>
          <w:rFonts w:ascii="Times New Roman" w:hAnsi="Times New Roman" w:cs="Times New Roman"/>
          <w:sz w:val="21"/>
          <w:szCs w:val="21"/>
        </w:rPr>
      </w:pPr>
    </w:p>
    <w:p>
      <w:pPr>
        <w:pStyle w:val="74"/>
        <w:spacing w:before="0" w:beforeAutospacing="0" w:after="0" w:afterAutospacing="0" w:line="360" w:lineRule="auto"/>
        <w:jc w:val="both"/>
        <w:rPr>
          <w:rFonts w:ascii="Times New Roman" w:hAnsi="Times New Roman" w:cs="Times New Roman"/>
          <w:sz w:val="21"/>
          <w:szCs w:val="21"/>
        </w:rPr>
        <w:sectPr>
          <w:pgSz w:w="11906" w:h="16838"/>
          <w:pgMar w:top="1440" w:right="1800" w:bottom="1440" w:left="2268" w:header="851" w:footer="992" w:gutter="0"/>
          <w:cols w:space="425" w:num="1"/>
          <w:docGrid w:type="lines" w:linePitch="312" w:charSpace="0"/>
        </w:sectPr>
      </w:pPr>
    </w:p>
    <w:bookmarkEnd w:id="14"/>
    <w:bookmarkEnd w:id="15"/>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17" w:name="_Toc148468227"/>
      <w:r>
        <w:rPr>
          <w:rFonts w:hint="eastAsia" w:ascii="Times New Roman" w:hAnsi="Times New Roman"/>
          <w:bCs w:val="0"/>
          <w:caps w:val="0"/>
          <w:kern w:val="0"/>
          <w:szCs w:val="24"/>
        </w:rPr>
        <w:t>技术准备</w:t>
      </w:r>
      <w:bookmarkEnd w:id="17"/>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8" w:name="_Toc25829176"/>
      <w:bookmarkStart w:id="19" w:name="_Toc25828252"/>
      <w:bookmarkStart w:id="20" w:name="_Toc148468228"/>
      <w:r>
        <w:rPr>
          <w:rStyle w:val="32"/>
          <w:rFonts w:hint="eastAsia" w:ascii="Times New Roman" w:hAnsi="Times New Roman"/>
          <w:bCs w:val="0"/>
          <w:caps w:val="0"/>
          <w:kern w:val="0"/>
          <w:sz w:val="21"/>
          <w:szCs w:val="21"/>
        </w:rPr>
        <w:t>5.1  一般规定</w:t>
      </w:r>
      <w:bookmarkEnd w:id="18"/>
      <w:bookmarkEnd w:id="19"/>
      <w:bookmarkEnd w:id="20"/>
    </w:p>
    <w:p>
      <w:bookmarkStart w:id="21" w:name="_Toc25828253"/>
      <w:bookmarkStart w:id="22" w:name="_Toc25829177"/>
      <w:r>
        <w:t xml:space="preserve">5.1.1 </w:t>
      </w:r>
      <w:r>
        <w:rPr>
          <w:rFonts w:hint="eastAsia"/>
        </w:rPr>
        <w:t xml:space="preserve"> 技术准备工作应包括资料收集、现场踏勘、探测方案编写等内容。</w:t>
      </w:r>
    </w:p>
    <w:p>
      <w:r>
        <w:t xml:space="preserve">5.1.2 </w:t>
      </w:r>
      <w:r>
        <w:rPr>
          <w:rFonts w:hint="eastAsia"/>
        </w:rPr>
        <w:t xml:space="preserve"> 收集资料前需明确收集范围、对象、内容及成果要求。</w:t>
      </w:r>
    </w:p>
    <w:p>
      <w:r>
        <w:t xml:space="preserve">5.1.3 </w:t>
      </w:r>
      <w:r>
        <w:rPr>
          <w:rFonts w:hint="eastAsia"/>
        </w:rPr>
        <w:t xml:space="preserve"> 编写探测方案前应组织开展现场踏勘，了解测区工作环境和可能存在的影响因素，并核实已收集的资料。</w:t>
      </w:r>
    </w:p>
    <w:p>
      <w:r>
        <w:t xml:space="preserve">5.1.4 </w:t>
      </w:r>
      <w:r>
        <w:rPr>
          <w:rFonts w:hint="eastAsia"/>
        </w:rPr>
        <w:t xml:space="preserve"> 选择探测方法前应在现场踏勘及既有经验的基础上选择可能有效的物探方法开展有效性试验，为方法选择提供依据。</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23" w:name="_Toc148468229"/>
      <w:r>
        <w:rPr>
          <w:rStyle w:val="32"/>
          <w:rFonts w:hint="eastAsia" w:ascii="Times New Roman" w:hAnsi="Times New Roman"/>
          <w:bCs w:val="0"/>
          <w:caps w:val="0"/>
          <w:kern w:val="0"/>
          <w:sz w:val="21"/>
          <w:szCs w:val="21"/>
        </w:rPr>
        <w:t>5.2</w:t>
      </w:r>
      <w:r>
        <w:rPr>
          <w:rStyle w:val="32"/>
          <w:rFonts w:ascii="Times New Roman" w:hAnsi="Times New Roman"/>
          <w:bCs w:val="0"/>
          <w:caps w:val="0"/>
          <w:kern w:val="0"/>
          <w:sz w:val="21"/>
          <w:szCs w:val="21"/>
        </w:rPr>
        <w:t xml:space="preserve">  </w:t>
      </w:r>
      <w:bookmarkEnd w:id="21"/>
      <w:bookmarkEnd w:id="22"/>
      <w:r>
        <w:rPr>
          <w:rStyle w:val="32"/>
          <w:rFonts w:hint="eastAsia" w:ascii="Times New Roman" w:hAnsi="Times New Roman"/>
          <w:bCs w:val="0"/>
          <w:caps w:val="0"/>
          <w:kern w:val="0"/>
          <w:sz w:val="21"/>
          <w:szCs w:val="21"/>
        </w:rPr>
        <w:t>资料收集</w:t>
      </w:r>
      <w:bookmarkEnd w:id="23"/>
    </w:p>
    <w:p>
      <w:bookmarkStart w:id="24" w:name="_Toc25829178"/>
      <w:bookmarkStart w:id="25" w:name="_Toc25828254"/>
      <w:r>
        <w:rPr>
          <w:rFonts w:hint="eastAsia"/>
        </w:rPr>
        <w:t>5.2.1</w:t>
      </w:r>
      <w:r>
        <w:t xml:space="preserve">  </w:t>
      </w:r>
      <w:r>
        <w:rPr>
          <w:rFonts w:hint="eastAsia"/>
        </w:rPr>
        <w:t>收集的资料应包括下列内容：</w:t>
      </w:r>
    </w:p>
    <w:p>
      <w:pPr>
        <w:ind w:firstLine="420" w:firstLineChars="200"/>
      </w:pPr>
      <w:r>
        <w:rPr>
          <w:rFonts w:hint="eastAsia"/>
        </w:rPr>
        <w:t>1</w:t>
      </w:r>
      <w:r>
        <w:t xml:space="preserve">  </w:t>
      </w:r>
      <w:r>
        <w:rPr>
          <w:rFonts w:hint="eastAsia"/>
        </w:rPr>
        <w:t>地形图和测量控制资料；</w:t>
      </w:r>
    </w:p>
    <w:p>
      <w:pPr>
        <w:ind w:firstLine="420" w:firstLineChars="200"/>
      </w:pPr>
      <w:r>
        <w:rPr>
          <w:rFonts w:hint="eastAsia"/>
        </w:rPr>
        <w:t>2</w:t>
      </w:r>
      <w:r>
        <w:t xml:space="preserve">  </w:t>
      </w:r>
      <w:r>
        <w:rPr>
          <w:rFonts w:hint="eastAsia"/>
        </w:rPr>
        <w:t>工作区内既有相关的岩土工程、工程地质、水文地质、区域地质等地质资料及地球物理探测资料；</w:t>
      </w:r>
    </w:p>
    <w:p>
      <w:pPr>
        <w:ind w:firstLine="420" w:firstLineChars="200"/>
      </w:pPr>
      <w:r>
        <w:rPr>
          <w:rFonts w:hint="eastAsia"/>
        </w:rPr>
        <w:t>3</w:t>
      </w:r>
      <w:r>
        <w:t xml:space="preserve">  </w:t>
      </w:r>
      <w:r>
        <w:rPr>
          <w:rFonts w:hint="eastAsia"/>
        </w:rPr>
        <w:t>道路工程、地下工程等建（构）筑物的竣工资料或设计、施工资料；</w:t>
      </w:r>
    </w:p>
    <w:p>
      <w:pPr>
        <w:ind w:firstLine="420" w:firstLineChars="200"/>
      </w:pPr>
      <w:r>
        <w:rPr>
          <w:rFonts w:hint="eastAsia"/>
        </w:rPr>
        <w:t>4</w:t>
      </w:r>
      <w:r>
        <w:t xml:space="preserve">  </w:t>
      </w:r>
      <w:r>
        <w:rPr>
          <w:rFonts w:hint="eastAsia"/>
        </w:rPr>
        <w:t>地下管线现状资料、已有的排水管道内检测成果资料、给水管道漏水检测成果资料；</w:t>
      </w:r>
    </w:p>
    <w:p>
      <w:pPr>
        <w:ind w:firstLine="420" w:firstLineChars="200"/>
      </w:pPr>
      <w:r>
        <w:rPr>
          <w:rFonts w:hint="eastAsia"/>
        </w:rPr>
        <w:t>5</w:t>
      </w:r>
      <w:r>
        <w:t xml:space="preserve">  </w:t>
      </w:r>
      <w:r>
        <w:rPr>
          <w:rFonts w:hint="eastAsia"/>
        </w:rPr>
        <w:t>既有地下病害体修复设计施工或竣工资料。</w:t>
      </w:r>
    </w:p>
    <w:p>
      <w:r>
        <w:rPr>
          <w:rFonts w:hint="eastAsia"/>
        </w:rPr>
        <w:t>5</w:t>
      </w:r>
      <w:r>
        <w:t xml:space="preserve">.2.2  </w:t>
      </w:r>
      <w:r>
        <w:rPr>
          <w:rFonts w:hint="eastAsia"/>
        </w:rPr>
        <w:t>收集资料应提前了解待收集对象名称、所处位置等信息，联系建（构）筑物所在地的相关单位查询收集资料。</w:t>
      </w:r>
    </w:p>
    <w:p>
      <w:r>
        <w:rPr>
          <w:rFonts w:hint="eastAsia"/>
        </w:rPr>
        <w:t>5</w:t>
      </w:r>
      <w:r>
        <w:t xml:space="preserve">.2.3  </w:t>
      </w:r>
      <w:r>
        <w:rPr>
          <w:rFonts w:hint="eastAsia"/>
        </w:rPr>
        <w:t>资料收集过程中，必要时需实地走访建（构）筑物的建设单位、权属单位、管理单位、设计单位、施工单位和监理单位等单位以便收集资料和了解情况。</w:t>
      </w:r>
    </w:p>
    <w:p>
      <w:r>
        <w:rPr>
          <w:rFonts w:hint="eastAsia"/>
        </w:rPr>
        <w:t>5</w:t>
      </w:r>
      <w:r>
        <w:t xml:space="preserve">.2.4  </w:t>
      </w:r>
      <w:r>
        <w:rPr>
          <w:rFonts w:hint="eastAsia"/>
        </w:rPr>
        <w:t>宜收集相应比例尺的地形图、测区及其邻近测量控制点的坐标和高程等资料。</w:t>
      </w:r>
    </w:p>
    <w:p>
      <w:r>
        <w:t xml:space="preserve">5.2.5  </w:t>
      </w:r>
      <w:r>
        <w:rPr>
          <w:rFonts w:hint="eastAsia"/>
        </w:rPr>
        <w:t>对测区发生过塌陷或因地下病害体引起的地面变形等情况，应收集既往</w:t>
      </w:r>
      <w:r>
        <w:t>探测或修复</w:t>
      </w:r>
      <w:r>
        <w:rPr>
          <w:rFonts w:hint="eastAsia"/>
        </w:rPr>
        <w:t>、</w:t>
      </w:r>
      <w:r>
        <w:t>施工的相关资料</w:t>
      </w:r>
      <w:r>
        <w:rPr>
          <w:rFonts w:hint="eastAsia"/>
        </w:rPr>
        <w:t>，</w:t>
      </w:r>
      <w:r>
        <w:t>收集塌陷位置、时间、规模、成因、修补及其变形等数据</w:t>
      </w:r>
      <w:r>
        <w:rPr>
          <w:rFonts w:hint="eastAsia"/>
        </w:rPr>
        <w:t>。</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26" w:name="_Toc148468230"/>
      <w:r>
        <w:rPr>
          <w:rStyle w:val="32"/>
          <w:rFonts w:hint="eastAsia" w:ascii="Times New Roman" w:hAnsi="Times New Roman"/>
          <w:bCs w:val="0"/>
          <w:caps w:val="0"/>
          <w:kern w:val="0"/>
          <w:sz w:val="21"/>
          <w:szCs w:val="21"/>
        </w:rPr>
        <w:t>5.3</w:t>
      </w:r>
      <w:r>
        <w:rPr>
          <w:rStyle w:val="32"/>
          <w:rFonts w:ascii="Times New Roman" w:hAnsi="Times New Roman"/>
          <w:bCs w:val="0"/>
          <w:caps w:val="0"/>
          <w:kern w:val="0"/>
          <w:sz w:val="21"/>
          <w:szCs w:val="21"/>
        </w:rPr>
        <w:t xml:space="preserve">  </w:t>
      </w:r>
      <w:bookmarkEnd w:id="24"/>
      <w:bookmarkEnd w:id="25"/>
      <w:r>
        <w:rPr>
          <w:rStyle w:val="32"/>
          <w:rFonts w:hint="eastAsia" w:ascii="Times New Roman" w:hAnsi="Times New Roman"/>
          <w:bCs w:val="0"/>
          <w:caps w:val="0"/>
          <w:kern w:val="0"/>
          <w:sz w:val="21"/>
          <w:szCs w:val="21"/>
        </w:rPr>
        <w:t>现场踏勘</w:t>
      </w:r>
      <w:bookmarkEnd w:id="26"/>
    </w:p>
    <w:p>
      <w:r>
        <w:rPr>
          <w:rFonts w:hint="eastAsia"/>
        </w:rPr>
        <w:t>5.3.1</w:t>
      </w:r>
      <w:r>
        <w:t xml:space="preserve"> </w:t>
      </w:r>
      <w:r>
        <w:rPr>
          <w:rFonts w:hint="eastAsia"/>
        </w:rPr>
        <w:t xml:space="preserve"> 现场踏勘应在收集、整理和分析已有资料的基础上进行。</w:t>
      </w:r>
    </w:p>
    <w:p>
      <w:r>
        <w:rPr>
          <w:rFonts w:hint="eastAsia"/>
        </w:rPr>
        <w:t>5.3.2</w:t>
      </w:r>
      <w:r>
        <w:t xml:space="preserve">  </w:t>
      </w:r>
      <w:r>
        <w:rPr>
          <w:rFonts w:hint="eastAsia"/>
        </w:rPr>
        <w:t>现场踏勘宜包含以下内容：</w:t>
      </w:r>
    </w:p>
    <w:p>
      <w:pPr>
        <w:ind w:firstLine="420" w:firstLineChars="200"/>
      </w:pPr>
      <w:r>
        <w:t xml:space="preserve">1 </w:t>
      </w:r>
      <w:r>
        <w:rPr>
          <w:rFonts w:hint="eastAsia"/>
        </w:rPr>
        <w:t xml:space="preserve"> </w:t>
      </w:r>
      <w:r>
        <w:t>了解测区地形地貌及其变化情况</w:t>
      </w:r>
      <w:r>
        <w:rPr>
          <w:rFonts w:hint="eastAsia"/>
        </w:rPr>
        <w:t>；</w:t>
      </w:r>
    </w:p>
    <w:p>
      <w:pPr>
        <w:ind w:firstLine="420" w:firstLineChars="200"/>
      </w:pPr>
      <w:r>
        <w:rPr>
          <w:rFonts w:hint="eastAsia"/>
        </w:rPr>
        <w:t xml:space="preserve">2  </w:t>
      </w:r>
      <w:r>
        <w:t>调查测区道路分布、路面修补、明显的路面变形及管井现况等</w:t>
      </w:r>
      <w:r>
        <w:rPr>
          <w:rFonts w:hint="eastAsia"/>
        </w:rPr>
        <w:t>；</w:t>
      </w:r>
    </w:p>
    <w:p>
      <w:pPr>
        <w:ind w:firstLine="420" w:firstLineChars="200"/>
      </w:pPr>
      <w:r>
        <w:rPr>
          <w:rFonts w:hint="eastAsia"/>
        </w:rPr>
        <w:t>3</w:t>
      </w:r>
      <w:r>
        <w:t xml:space="preserve"> </w:t>
      </w:r>
      <w:r>
        <w:rPr>
          <w:rFonts w:hint="eastAsia"/>
        </w:rPr>
        <w:t xml:space="preserve"> </w:t>
      </w:r>
      <w:r>
        <w:t xml:space="preserve">调查测区内的干扰源类型和分布； </w:t>
      </w:r>
    </w:p>
    <w:p>
      <w:pPr>
        <w:ind w:firstLine="420" w:firstLineChars="200"/>
      </w:pPr>
      <w:r>
        <w:rPr>
          <w:rFonts w:hint="eastAsia"/>
        </w:rPr>
        <w:t>4</w:t>
      </w:r>
      <w:r>
        <w:t xml:space="preserve"> </w:t>
      </w:r>
      <w:r>
        <w:rPr>
          <w:rFonts w:hint="eastAsia"/>
        </w:rPr>
        <w:t xml:space="preserve"> </w:t>
      </w:r>
      <w:r>
        <w:t xml:space="preserve">核实地形图、地下管线和历史塌陷等资料的完备性及可利用程度； </w:t>
      </w:r>
    </w:p>
    <w:p>
      <w:pPr>
        <w:ind w:firstLine="420" w:firstLineChars="200"/>
      </w:pPr>
      <w:r>
        <w:rPr>
          <w:rFonts w:hint="eastAsia"/>
        </w:rPr>
        <w:t>5</w:t>
      </w:r>
      <w:r>
        <w:t xml:space="preserve"> </w:t>
      </w:r>
      <w:r>
        <w:rPr>
          <w:rFonts w:hint="eastAsia"/>
        </w:rPr>
        <w:t xml:space="preserve"> </w:t>
      </w:r>
      <w:r>
        <w:t>调查现场交通状况</w:t>
      </w:r>
      <w:r>
        <w:rPr>
          <w:rFonts w:hint="eastAsia"/>
        </w:rPr>
        <w:t>，</w:t>
      </w:r>
      <w:r>
        <w:t>分析对探测工作的影响；</w:t>
      </w:r>
    </w:p>
    <w:p>
      <w:pPr>
        <w:ind w:firstLine="420" w:firstLineChars="200"/>
      </w:pPr>
      <w:r>
        <w:rPr>
          <w:rFonts w:hint="eastAsia"/>
        </w:rPr>
        <w:t>6</w:t>
      </w:r>
      <w:r>
        <w:t xml:space="preserve"> </w:t>
      </w:r>
      <w:r>
        <w:rPr>
          <w:rFonts w:hint="eastAsia"/>
        </w:rPr>
        <w:t xml:space="preserve"> </w:t>
      </w:r>
      <w:r>
        <w:t>调查对探测工作有影响的其它资料。</w:t>
      </w:r>
    </w:p>
    <w:p>
      <w:r>
        <w:rPr>
          <w:rFonts w:hint="eastAsia"/>
        </w:rPr>
        <w:t xml:space="preserve">5.3.3 </w:t>
      </w:r>
      <w:r>
        <w:t xml:space="preserve"> </w:t>
      </w:r>
      <w:r>
        <w:rPr>
          <w:rFonts w:hint="eastAsia"/>
        </w:rPr>
        <w:t>现场踏勘后宜根据踏勘情况评估后续现场探测作业风险。</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27" w:name="_Toc25829179"/>
      <w:bookmarkStart w:id="28" w:name="_Toc25828255"/>
      <w:bookmarkStart w:id="29" w:name="_Toc148468231"/>
      <w:r>
        <w:rPr>
          <w:rStyle w:val="32"/>
          <w:rFonts w:hint="eastAsia" w:ascii="Times New Roman" w:hAnsi="Times New Roman"/>
          <w:bCs w:val="0"/>
          <w:caps w:val="0"/>
          <w:kern w:val="0"/>
          <w:sz w:val="21"/>
          <w:szCs w:val="21"/>
        </w:rPr>
        <w:t xml:space="preserve">5.4 </w:t>
      </w:r>
      <w:r>
        <w:rPr>
          <w:rStyle w:val="32"/>
          <w:rFonts w:ascii="Times New Roman" w:hAnsi="Times New Roman"/>
          <w:bCs w:val="0"/>
          <w:caps w:val="0"/>
          <w:kern w:val="0"/>
          <w:sz w:val="21"/>
          <w:szCs w:val="21"/>
        </w:rPr>
        <w:t xml:space="preserve"> </w:t>
      </w:r>
      <w:bookmarkEnd w:id="27"/>
      <w:bookmarkEnd w:id="28"/>
      <w:r>
        <w:rPr>
          <w:rStyle w:val="32"/>
          <w:rFonts w:hint="eastAsia" w:ascii="Times New Roman" w:hAnsi="Times New Roman"/>
          <w:bCs w:val="0"/>
          <w:caps w:val="0"/>
          <w:kern w:val="0"/>
          <w:sz w:val="21"/>
          <w:szCs w:val="21"/>
        </w:rPr>
        <w:t>方法选择</w:t>
      </w:r>
      <w:bookmarkEnd w:id="29"/>
    </w:p>
    <w:p>
      <w:bookmarkStart w:id="30" w:name="_Toc25828256"/>
      <w:bookmarkStart w:id="31" w:name="_Toc25829180"/>
      <w:r>
        <w:t xml:space="preserve">5.4.1  </w:t>
      </w:r>
      <w:r>
        <w:rPr>
          <w:rFonts w:hint="eastAsia"/>
        </w:rPr>
        <w:t>探测方法应根据工作要求、地下病害体属性、场地干扰因素和作业条件等选择。</w:t>
      </w:r>
    </w:p>
    <w:p>
      <w:r>
        <w:t xml:space="preserve">5.4.2  </w:t>
      </w:r>
      <w:r>
        <w:rPr>
          <w:rFonts w:hint="eastAsia"/>
        </w:rPr>
        <w:t>探测方法选择应通过方法试验确认有效性和适应性。</w:t>
      </w:r>
    </w:p>
    <w:p>
      <w:r>
        <w:t xml:space="preserve">5.4.3  </w:t>
      </w:r>
      <w:r>
        <w:rPr>
          <w:rFonts w:hint="eastAsia"/>
        </w:rPr>
        <w:t>试验工作应符合下列要求：</w:t>
      </w:r>
    </w:p>
    <w:p>
      <w:pPr>
        <w:ind w:firstLine="420" w:firstLineChars="200"/>
      </w:pPr>
      <w:r>
        <w:rPr>
          <w:rFonts w:hint="eastAsia"/>
        </w:rPr>
        <w:t>1  试验工作应遵循由已知到未知、由简单到复杂的原则；</w:t>
      </w:r>
    </w:p>
    <w:p>
      <w:pPr>
        <w:ind w:firstLine="420" w:firstLineChars="200"/>
      </w:pPr>
      <w:r>
        <w:rPr>
          <w:rFonts w:hint="eastAsia"/>
        </w:rPr>
        <w:t>2  试验地点应具有代表性，宜布置在有勘探孔或已知病害体位置或道路表面病害密集位置；</w:t>
      </w:r>
    </w:p>
    <w:p>
      <w:pPr>
        <w:ind w:firstLine="420" w:firstLineChars="200"/>
      </w:pPr>
      <w:r>
        <w:rPr>
          <w:rFonts w:hint="eastAsia"/>
        </w:rPr>
        <w:t>3  应根据试验结果选取仪器参数、物性参数和技术参数。</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32" w:name="_Toc148468232"/>
      <w:r>
        <w:rPr>
          <w:rStyle w:val="32"/>
          <w:rFonts w:hint="eastAsia" w:ascii="Times New Roman" w:hAnsi="Times New Roman"/>
          <w:bCs w:val="0"/>
          <w:caps w:val="0"/>
          <w:kern w:val="0"/>
          <w:sz w:val="21"/>
          <w:szCs w:val="21"/>
        </w:rPr>
        <w:t>5.5</w:t>
      </w:r>
      <w:r>
        <w:rPr>
          <w:rStyle w:val="32"/>
          <w:rFonts w:ascii="Times New Roman" w:hAnsi="Times New Roman"/>
          <w:bCs w:val="0"/>
          <w:caps w:val="0"/>
          <w:kern w:val="0"/>
          <w:sz w:val="21"/>
          <w:szCs w:val="21"/>
        </w:rPr>
        <w:t xml:space="preserve">  </w:t>
      </w:r>
      <w:bookmarkEnd w:id="30"/>
      <w:bookmarkEnd w:id="31"/>
      <w:r>
        <w:rPr>
          <w:rStyle w:val="32"/>
          <w:rFonts w:hint="eastAsia" w:ascii="Times New Roman" w:hAnsi="Times New Roman"/>
          <w:bCs w:val="0"/>
          <w:caps w:val="0"/>
          <w:kern w:val="0"/>
          <w:sz w:val="21"/>
          <w:szCs w:val="21"/>
        </w:rPr>
        <w:t>方案编制</w:t>
      </w:r>
      <w:bookmarkEnd w:id="32"/>
    </w:p>
    <w:p>
      <w:bookmarkStart w:id="33" w:name="_Toc25829181"/>
      <w:bookmarkStart w:id="34" w:name="_Toc25828257"/>
      <w:r>
        <w:t xml:space="preserve">5.5.1  </w:t>
      </w:r>
      <w:r>
        <w:rPr>
          <w:rFonts w:hint="eastAsia"/>
        </w:rPr>
        <w:t>探测方案应根据工作任务和要求，在资料收集、分析和现场踏勘及方法试验基础上编写。</w:t>
      </w:r>
    </w:p>
    <w:p>
      <w:r>
        <w:t xml:space="preserve">5.5.2  </w:t>
      </w:r>
      <w:r>
        <w:rPr>
          <w:rFonts w:hint="eastAsia"/>
        </w:rPr>
        <w:t>城市地下病害体探测方案应包括下列内容：</w:t>
      </w:r>
    </w:p>
    <w:p>
      <w:pPr>
        <w:ind w:firstLine="420" w:firstLineChars="200"/>
      </w:pPr>
      <w:r>
        <w:rPr>
          <w:rFonts w:hint="eastAsia"/>
        </w:rPr>
        <w:t>1</w:t>
      </w:r>
      <w:r>
        <w:t xml:space="preserve">  </w:t>
      </w:r>
      <w:r>
        <w:rPr>
          <w:rFonts w:hint="eastAsia"/>
        </w:rPr>
        <w:t>项目概况；</w:t>
      </w:r>
    </w:p>
    <w:p>
      <w:pPr>
        <w:ind w:firstLine="420" w:firstLineChars="200"/>
      </w:pPr>
      <w:r>
        <w:rPr>
          <w:rFonts w:hint="eastAsia"/>
        </w:rPr>
        <w:t>2</w:t>
      </w:r>
      <w:r>
        <w:t xml:space="preserve">  </w:t>
      </w:r>
      <w:r>
        <w:rPr>
          <w:rFonts w:hint="eastAsia"/>
        </w:rPr>
        <w:t>工作目的、任务、范围、期限和测区位置等；</w:t>
      </w:r>
    </w:p>
    <w:p>
      <w:pPr>
        <w:ind w:firstLine="420" w:firstLineChars="200"/>
      </w:pPr>
      <w:r>
        <w:t xml:space="preserve">3  </w:t>
      </w:r>
      <w:r>
        <w:rPr>
          <w:rFonts w:hint="eastAsia"/>
        </w:rPr>
        <w:t>工作重难点及对策；</w:t>
      </w:r>
    </w:p>
    <w:p>
      <w:pPr>
        <w:ind w:firstLine="420" w:firstLineChars="200"/>
      </w:pPr>
      <w:r>
        <w:rPr>
          <w:rFonts w:hint="eastAsia"/>
        </w:rPr>
        <w:t>4</w:t>
      </w:r>
      <w:r>
        <w:t xml:space="preserve">  </w:t>
      </w:r>
      <w:r>
        <w:rPr>
          <w:rFonts w:hint="eastAsia"/>
        </w:rPr>
        <w:t>工作依据及方法选择、技术要求、工作方法有效性分析；</w:t>
      </w:r>
    </w:p>
    <w:p>
      <w:pPr>
        <w:ind w:firstLine="420" w:firstLineChars="200"/>
      </w:pPr>
      <w:r>
        <w:t xml:space="preserve">5  </w:t>
      </w:r>
      <w:r>
        <w:rPr>
          <w:rFonts w:hint="eastAsia"/>
        </w:rPr>
        <w:t>现场工作布置及工作量估算，附探测工作布置图；</w:t>
      </w:r>
    </w:p>
    <w:p>
      <w:pPr>
        <w:ind w:firstLine="420" w:firstLineChars="200"/>
      </w:pPr>
      <w:r>
        <w:t xml:space="preserve">6  </w:t>
      </w:r>
      <w:r>
        <w:rPr>
          <w:rFonts w:hint="eastAsia"/>
        </w:rPr>
        <w:t>与地质、测量、设计、施工、管理等其他专业的配合；</w:t>
      </w:r>
    </w:p>
    <w:p>
      <w:pPr>
        <w:ind w:firstLine="420" w:firstLineChars="200"/>
      </w:pPr>
      <w:r>
        <w:t xml:space="preserve">7  </w:t>
      </w:r>
      <w:r>
        <w:rPr>
          <w:rFonts w:hint="eastAsia"/>
        </w:rPr>
        <w:t>仪器、设备、材料、车辆等资源配置；</w:t>
      </w:r>
    </w:p>
    <w:p>
      <w:pPr>
        <w:ind w:firstLine="420" w:firstLineChars="200"/>
      </w:pPr>
      <w:r>
        <w:rPr>
          <w:rFonts w:hint="eastAsia"/>
        </w:rPr>
        <w:t>8</w:t>
      </w:r>
      <w:r>
        <w:t xml:space="preserve">  </w:t>
      </w:r>
      <w:r>
        <w:rPr>
          <w:rFonts w:hint="eastAsia"/>
        </w:rPr>
        <w:t>施工组织及工作进度计划；</w:t>
      </w:r>
    </w:p>
    <w:p>
      <w:pPr>
        <w:ind w:firstLine="420" w:firstLineChars="200"/>
      </w:pPr>
      <w:r>
        <w:t xml:space="preserve">9  </w:t>
      </w:r>
      <w:r>
        <w:rPr>
          <w:rFonts w:hint="eastAsia"/>
        </w:rPr>
        <w:t>作业质量、安全及环境保证措施；</w:t>
      </w:r>
    </w:p>
    <w:p>
      <w:pPr>
        <w:ind w:firstLine="420" w:firstLineChars="200"/>
      </w:pPr>
      <w:r>
        <w:t xml:space="preserve">10  </w:t>
      </w:r>
      <w:r>
        <w:rPr>
          <w:rFonts w:hint="eastAsia"/>
        </w:rPr>
        <w:t>拟提交的成果资料。</w:t>
      </w:r>
    </w:p>
    <w:p/>
    <w:bookmarkEnd w:id="33"/>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highlight w:val="yellow"/>
        </w:rPr>
        <w:sectPr>
          <w:pgSz w:w="11906" w:h="16838"/>
          <w:pgMar w:top="1440" w:right="1800" w:bottom="1440" w:left="2268" w:header="851" w:footer="992" w:gutter="0"/>
          <w:cols w:space="425" w:num="1"/>
          <w:docGrid w:type="lines" w:linePitch="312" w:charSpace="0"/>
        </w:sectPr>
      </w:pPr>
      <w:bookmarkStart w:id="35" w:name="_Toc25829182"/>
    </w:p>
    <w:bookmarkEnd w:id="34"/>
    <w:bookmarkEnd w:id="35"/>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36" w:name="_Toc148468233"/>
      <w:r>
        <w:rPr>
          <w:rFonts w:hint="eastAsia" w:ascii="Times New Roman" w:hAnsi="Times New Roman"/>
          <w:bCs w:val="0"/>
          <w:caps w:val="0"/>
          <w:kern w:val="0"/>
          <w:szCs w:val="24"/>
        </w:rPr>
        <w:t>地下病害体探测</w:t>
      </w:r>
      <w:bookmarkEnd w:id="36"/>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37" w:name="_Toc148468234"/>
      <w:r>
        <w:rPr>
          <w:rStyle w:val="32"/>
          <w:rFonts w:hint="eastAsia" w:ascii="Times New Roman" w:hAnsi="Times New Roman"/>
          <w:bCs w:val="0"/>
          <w:caps w:val="0"/>
          <w:kern w:val="0"/>
          <w:sz w:val="21"/>
          <w:szCs w:val="21"/>
        </w:rPr>
        <w:t>6.1  一般规定</w:t>
      </w:r>
      <w:bookmarkEnd w:id="37"/>
    </w:p>
    <w:p>
      <w:r>
        <w:t xml:space="preserve">6.1.1  </w:t>
      </w:r>
      <w:r>
        <w:rPr>
          <w:rFonts w:hint="eastAsia"/>
        </w:rPr>
        <w:t>城市地下病害探测应符合下列基本条件：</w:t>
      </w:r>
    </w:p>
    <w:p>
      <w:pPr>
        <w:ind w:firstLine="420" w:firstLineChars="200"/>
      </w:pPr>
      <w:r>
        <w:rPr>
          <w:rFonts w:hint="eastAsia"/>
        </w:rPr>
        <w:t>1</w:t>
      </w:r>
      <w:r>
        <w:t xml:space="preserve">  </w:t>
      </w:r>
      <w:r>
        <w:rPr>
          <w:rFonts w:hint="eastAsia"/>
        </w:rPr>
        <w:t>地下病害体应与周围介质之间存在电性、磁性、弹性、密度等物理性质差异；</w:t>
      </w:r>
    </w:p>
    <w:p>
      <w:pPr>
        <w:ind w:firstLine="420" w:firstLineChars="200"/>
      </w:pPr>
      <w:r>
        <w:rPr>
          <w:rFonts w:hint="eastAsia"/>
        </w:rPr>
        <w:t>2</w:t>
      </w:r>
      <w:r>
        <w:t xml:space="preserve">  </w:t>
      </w:r>
      <w:r>
        <w:rPr>
          <w:rFonts w:hint="eastAsia"/>
        </w:rPr>
        <w:t>地下病害几何尺寸应可分辨，一般与其埋藏深度或探测距离之比不应小于1/10；</w:t>
      </w:r>
    </w:p>
    <w:p>
      <w:pPr>
        <w:ind w:firstLine="420" w:firstLineChars="200"/>
      </w:pPr>
      <w:r>
        <w:rPr>
          <w:rFonts w:hint="eastAsia"/>
        </w:rPr>
        <w:t>3</w:t>
      </w:r>
      <w:r>
        <w:t xml:space="preserve">  </w:t>
      </w:r>
      <w:r>
        <w:rPr>
          <w:rFonts w:hint="eastAsia"/>
        </w:rPr>
        <w:t>探测区域应具备探测实施条件。</w:t>
      </w:r>
    </w:p>
    <w:p>
      <w:r>
        <w:rPr>
          <w:rFonts w:hint="eastAsia"/>
        </w:rPr>
        <w:t>6.1.2  地下病害体探测方法或方法组合宜根据病害体类型及探测深度等因素参考《城市地下病害体综合探测与风险评估技术标准》JGJ/T437确定，在符合探测条件的管线分布区域可采用管道内窥摄像法配合探地雷达方法探测管线周边的地下病害体。</w:t>
      </w:r>
    </w:p>
    <w:p>
      <w:r>
        <w:rPr>
          <w:rFonts w:hint="eastAsia"/>
        </w:rPr>
        <w:t>6</w:t>
      </w:r>
      <w:r>
        <w:t xml:space="preserve">.1.3  </w:t>
      </w:r>
      <w:r>
        <w:rPr>
          <w:rFonts w:hint="eastAsia"/>
        </w:rPr>
        <w:t>探测工作应遵循从简单到复杂，从已知到未知的工作原则进行，复杂探测环境宜采用多种方法综合探测。</w:t>
      </w:r>
    </w:p>
    <w:p>
      <w:r>
        <w:rPr>
          <w:rFonts w:hint="eastAsia"/>
        </w:rPr>
        <w:t>6</w:t>
      </w:r>
      <w:r>
        <w:t xml:space="preserve">.1.4  </w:t>
      </w:r>
      <w:r>
        <w:rPr>
          <w:rFonts w:hint="eastAsia"/>
        </w:rPr>
        <w:t>在使用地球物理勘探方法时，</w:t>
      </w:r>
      <w:r>
        <w:t>测线布置应满足下列规定：</w:t>
      </w:r>
    </w:p>
    <w:p>
      <w:pPr>
        <w:ind w:firstLine="420" w:firstLineChars="200"/>
      </w:pPr>
      <w:r>
        <w:t>1  普查时宜沿道路方向布设测线，宜避开地形及其他干扰的影响，测线长度应保证探测目标的完整并具有足够的背景场；</w:t>
      </w:r>
    </w:p>
    <w:p>
      <w:pPr>
        <w:ind w:firstLine="420" w:firstLineChars="200"/>
      </w:pPr>
      <w:r>
        <w:t>2  详查时根据普查时确定的地下异常分布布设测线，宜垂直或大角度相交于地下异常；</w:t>
      </w:r>
    </w:p>
    <w:p>
      <w:pPr>
        <w:ind w:firstLine="420" w:firstLineChars="200"/>
      </w:pPr>
      <w:r>
        <w:t>3  当在测区边界附近发现重要异常时，应延长测线以追踪异常的分布范围；</w:t>
      </w:r>
    </w:p>
    <w:p>
      <w:pPr>
        <w:ind w:firstLine="420" w:firstLineChars="200"/>
      </w:pPr>
      <w:r>
        <w:t>4  对于历史塌陷区、大型交叉路口、建构筑物周边</w:t>
      </w:r>
      <w:r>
        <w:rPr>
          <w:rFonts w:hint="eastAsia"/>
        </w:rPr>
        <w:t>、</w:t>
      </w:r>
      <w:r>
        <w:t>地下工程施工区</w:t>
      </w:r>
      <w:r>
        <w:rPr>
          <w:rFonts w:hint="eastAsia"/>
        </w:rPr>
        <w:t>及附近区域</w:t>
      </w:r>
      <w:r>
        <w:t>等重点区域，测线宜适当加密，如具备探测条件宜呈网状布设。</w:t>
      </w:r>
    </w:p>
    <w:p>
      <w:r>
        <w:rPr>
          <w:rFonts w:hint="eastAsia"/>
        </w:rPr>
        <w:t>6.1</w:t>
      </w:r>
      <w:r>
        <w:t xml:space="preserve">.5  </w:t>
      </w:r>
      <w:r>
        <w:rPr>
          <w:rFonts w:hint="eastAsia"/>
        </w:rPr>
        <w:t>地下病害体探测的测量工作应结合实时差分定位法(RTK)确定病害体的经纬坐标，并标注附近地形及重要标记物，测量精度应符合现行《城市测量规范》GJJ/T 8的要求。</w:t>
      </w:r>
    </w:p>
    <w:p>
      <w:r>
        <w:rPr>
          <w:rFonts w:hint="eastAsia"/>
        </w:rPr>
        <w:t>6.1</w:t>
      </w:r>
      <w:r>
        <w:t>.6  地下病害体探测成果解释应结合探测区域的地质资料、地上和地下设施及周边工程环境等调查资料进行</w:t>
      </w:r>
      <w:r>
        <w:rPr>
          <w:rFonts w:hint="eastAsia"/>
        </w:rPr>
        <w:t>。</w:t>
      </w:r>
    </w:p>
    <w:p>
      <w:r>
        <w:rPr>
          <w:rFonts w:hint="eastAsia"/>
        </w:rPr>
        <w:t>6.1</w:t>
      </w:r>
      <w:r>
        <w:t xml:space="preserve">.7  </w:t>
      </w:r>
      <w:r>
        <w:rPr>
          <w:rFonts w:hint="eastAsia"/>
        </w:rPr>
        <w:t>对于在地下病害体探测中出现的新技术应采用传统方法加以详细验证，验证后可在类似探测中推广运用。</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38" w:name="_Toc148468235"/>
      <w:r>
        <w:rPr>
          <w:rStyle w:val="32"/>
          <w:rFonts w:hint="eastAsia" w:ascii="Times New Roman" w:hAnsi="Times New Roman"/>
          <w:bCs w:val="0"/>
          <w:caps w:val="0"/>
          <w:kern w:val="0"/>
          <w:sz w:val="21"/>
          <w:szCs w:val="21"/>
        </w:rPr>
        <w:t>6.2  探地雷达法</w:t>
      </w:r>
      <w:bookmarkEnd w:id="38"/>
    </w:p>
    <w:p>
      <w:r>
        <w:t>6.2.1</w:t>
      </w:r>
      <w:r>
        <w:rPr>
          <w:rFonts w:hint="eastAsia"/>
        </w:rPr>
        <w:t xml:space="preserve">  探地雷达法主要适用于探测地下5m深度范围内孕育的脱空、空洞、疏松体和富水体等地下病害。</w:t>
      </w:r>
    </w:p>
    <w:p>
      <w:r>
        <w:t xml:space="preserve">6.2.2  </w:t>
      </w:r>
      <w:r>
        <w:rPr>
          <w:rFonts w:hint="eastAsia"/>
        </w:rPr>
        <w:t>采用探地雷达法时应满足下列规定：</w:t>
      </w:r>
    </w:p>
    <w:p>
      <w:pPr>
        <w:ind w:firstLine="420" w:firstLineChars="200"/>
      </w:pPr>
      <w:r>
        <w:rPr>
          <w:rFonts w:hint="eastAsia"/>
        </w:rPr>
        <w:t>1</w:t>
      </w:r>
      <w:r>
        <w:t xml:space="preserve">  </w:t>
      </w:r>
      <w:r>
        <w:rPr>
          <w:rFonts w:hint="eastAsia"/>
        </w:rPr>
        <w:t>被探测对象与周围介质应存在较大的电性差异，功率反射系数应不小于0.01；</w:t>
      </w:r>
    </w:p>
    <w:p>
      <w:pPr>
        <w:ind w:firstLine="420" w:firstLineChars="200"/>
      </w:pPr>
      <w:r>
        <w:rPr>
          <w:rFonts w:hint="eastAsia"/>
        </w:rPr>
        <w:t>2  探测区域内不应存在大范围高导电屏蔽层或电磁干扰。</w:t>
      </w:r>
    </w:p>
    <w:p>
      <w:r>
        <w:rPr>
          <w:rFonts w:hint="eastAsia"/>
        </w:rPr>
        <w:t>6</w:t>
      </w:r>
      <w:r>
        <w:t xml:space="preserve">.2.3  </w:t>
      </w:r>
      <w:r>
        <w:rPr>
          <w:rFonts w:hint="eastAsia"/>
        </w:rPr>
        <w:t>采用探地雷达法探测地下病害时宜采用平面法和剖面法结合的观测方式；如需求取地下介质的电磁波传播速度时，可采用宽角法或已知点验证法；当深部数据的信噪比较低，不能满足探测需要时，可采用共深度点法。</w:t>
      </w:r>
    </w:p>
    <w:p>
      <w:r>
        <w:rPr>
          <w:rFonts w:hint="eastAsia"/>
        </w:rPr>
        <w:t>6</w:t>
      </w:r>
      <w:r>
        <w:t xml:space="preserve">.2.4  </w:t>
      </w:r>
      <w:r>
        <w:rPr>
          <w:rFonts w:hint="eastAsia"/>
        </w:rPr>
        <w:t>影响探地雷达探测的主要干扰源可按以下因素统计：</w:t>
      </w:r>
    </w:p>
    <w:p>
      <w:pPr>
        <w:ind w:firstLine="420" w:firstLineChars="200"/>
      </w:pPr>
      <w:r>
        <w:rPr>
          <w:rFonts w:hint="eastAsia"/>
        </w:rPr>
        <w:t>1</w:t>
      </w:r>
      <w:r>
        <w:t xml:space="preserve">  地上干扰</w:t>
      </w:r>
      <w:r>
        <w:rPr>
          <w:rFonts w:hint="eastAsia"/>
        </w:rPr>
        <w:t>源：</w:t>
      </w:r>
      <w:r>
        <w:t>临近建构筑物、过街天桥、高架桥、指示牌、井盖、钢板等临设、金属栅栏、车辆等；</w:t>
      </w:r>
    </w:p>
    <w:p>
      <w:pPr>
        <w:ind w:firstLine="420" w:firstLineChars="200"/>
      </w:pPr>
      <w:r>
        <w:rPr>
          <w:rFonts w:hint="eastAsia"/>
        </w:rPr>
        <w:t>2</w:t>
      </w:r>
      <w:r>
        <w:t xml:space="preserve">  地下干扰</w:t>
      </w:r>
      <w:r>
        <w:rPr>
          <w:rFonts w:hint="eastAsia"/>
        </w:rPr>
        <w:t>源：</w:t>
      </w:r>
      <w:r>
        <w:t>地下管线、管沟及井室、地下通道、地下防空洞、地下加固体、旧基础、树根等；</w:t>
      </w:r>
    </w:p>
    <w:p>
      <w:pPr>
        <w:ind w:firstLine="420" w:firstLineChars="200"/>
      </w:pPr>
      <w:r>
        <w:t>3  电磁干扰</w:t>
      </w:r>
      <w:r>
        <w:rPr>
          <w:rFonts w:hint="eastAsia"/>
        </w:rPr>
        <w:t>源：</w:t>
      </w:r>
      <w:r>
        <w:t>路灯、信号灯、变电室、架空输电线缆、发射塔等</w:t>
      </w:r>
      <w:r>
        <w:rPr>
          <w:rFonts w:hint="eastAsia"/>
        </w:rPr>
        <w:t>。</w:t>
      </w:r>
    </w:p>
    <w:p>
      <w:r>
        <w:rPr>
          <w:rFonts w:hint="eastAsia"/>
        </w:rPr>
        <w:t>6</w:t>
      </w:r>
      <w:r>
        <w:t xml:space="preserve">.2.5  </w:t>
      </w:r>
      <w:r>
        <w:rPr>
          <w:rFonts w:hint="eastAsia"/>
        </w:rPr>
        <w:t>探地雷达主要分为二维探地雷达、三维探地雷达、管中探地雷达；宜根据不同工作阶段组合使用，组合使用时应符合下列原则：</w:t>
      </w:r>
    </w:p>
    <w:p>
      <w:pPr>
        <w:ind w:firstLine="420" w:firstLineChars="200"/>
      </w:pPr>
      <w:r>
        <w:rPr>
          <w:rFonts w:hint="eastAsia"/>
        </w:rPr>
        <w:t>1</w:t>
      </w:r>
      <w:r>
        <w:t xml:space="preserve">  </w:t>
      </w:r>
      <w:r>
        <w:rPr>
          <w:rFonts w:hint="eastAsia"/>
        </w:rPr>
        <w:t>普查阶段应以三维雷达为主；</w:t>
      </w:r>
    </w:p>
    <w:p>
      <w:pPr>
        <w:ind w:firstLine="420" w:firstLineChars="200"/>
      </w:pPr>
      <w:r>
        <w:t xml:space="preserve">2  </w:t>
      </w:r>
      <w:r>
        <w:rPr>
          <w:rFonts w:hint="eastAsia"/>
        </w:rPr>
        <w:t>详查阶段宜以双频或多频二维雷达为主；</w:t>
      </w:r>
    </w:p>
    <w:p>
      <w:pPr>
        <w:ind w:firstLine="420" w:firstLineChars="200"/>
      </w:pPr>
      <w:r>
        <w:rPr>
          <w:rFonts w:hint="eastAsia"/>
        </w:rPr>
        <w:t>3</w:t>
      </w:r>
      <w:r>
        <w:t xml:space="preserve">  </w:t>
      </w:r>
      <w:r>
        <w:rPr>
          <w:rFonts w:hint="eastAsia"/>
        </w:rPr>
        <w:t>满足管中探地雷达工作的开放式管道，宜使用管中探地雷达作为辅助探测手段。</w:t>
      </w:r>
    </w:p>
    <w:p>
      <w:r>
        <w:t xml:space="preserve">6.2.6  </w:t>
      </w:r>
      <w:r>
        <w:rPr>
          <w:rFonts w:hint="eastAsia"/>
        </w:rPr>
        <w:t>在满足对检测范围全覆盖、无遗漏的原则下，宜将检测区域分为普通区域、重点检测区域。</w:t>
      </w:r>
    </w:p>
    <w:p>
      <w:r>
        <w:rPr>
          <w:rFonts w:hint="eastAsia"/>
        </w:rPr>
        <w:t>6</w:t>
      </w:r>
      <w:r>
        <w:t xml:space="preserve">.2.7  </w:t>
      </w:r>
      <w:r>
        <w:rPr>
          <w:rFonts w:hint="eastAsia"/>
          <w:color w:val="000000" w:themeColor="text1"/>
          <w14:textFill>
            <w14:solidFill>
              <w14:schemeClr w14:val="tx1"/>
            </w14:solidFill>
          </w14:textFill>
        </w:rPr>
        <w:t>普查阶段探地雷达测线布设应符合下列规定：</w:t>
      </w:r>
    </w:p>
    <w:p>
      <w:pPr>
        <w:ind w:firstLine="420" w:firstLineChars="200"/>
      </w:pPr>
      <w:r>
        <w:rPr>
          <w:rFonts w:hint="eastAsia"/>
        </w:rPr>
        <w:t>1</w:t>
      </w:r>
      <w:r>
        <w:t xml:space="preserve">  探测城镇道路时，测线宜沿车道行进方向布设</w:t>
      </w:r>
      <w:r>
        <w:rPr>
          <w:rFonts w:hint="eastAsia"/>
        </w:rPr>
        <w:t>；</w:t>
      </w:r>
    </w:p>
    <w:p>
      <w:pPr>
        <w:ind w:firstLine="420" w:firstLineChars="200"/>
      </w:pPr>
      <w:r>
        <w:t>2  探测广场及学校、医院、厂区等人口密集区时，测线宜交叉布设</w:t>
      </w:r>
      <w:r>
        <w:rPr>
          <w:rFonts w:hint="eastAsia"/>
        </w:rPr>
        <w:t>；</w:t>
      </w:r>
    </w:p>
    <w:p>
      <w:pPr>
        <w:ind w:firstLine="420" w:firstLineChars="200"/>
      </w:pPr>
      <w:r>
        <w:t>3  路口、管线密集区、历史塌陷区和明显变形区等重点区域及普查中确定的重点异常区宜采用网格状布设，不具备网格状布设条件时，可</w:t>
      </w:r>
      <w:r>
        <w:rPr>
          <w:rFonts w:hint="eastAsia"/>
        </w:rPr>
        <w:t>加密布设</w:t>
      </w:r>
      <w:r>
        <w:t>测线</w:t>
      </w:r>
      <w:r>
        <w:rPr>
          <w:rFonts w:hint="eastAsia"/>
        </w:rPr>
        <w:t>；</w:t>
      </w:r>
    </w:p>
    <w:p>
      <w:pPr>
        <w:ind w:firstLine="420" w:firstLineChars="200"/>
      </w:pPr>
      <w:r>
        <w:rPr>
          <w:rFonts w:hint="eastAsia"/>
        </w:rPr>
        <w:t>4</w:t>
      </w:r>
      <w:r>
        <w:t xml:space="preserve">  测线间距宜根据采用的天线主频确定</w:t>
      </w:r>
      <w:r>
        <w:rPr>
          <w:rFonts w:hint="eastAsia"/>
        </w:rPr>
        <w:t>；</w:t>
      </w:r>
    </w:p>
    <w:p>
      <w:pPr>
        <w:ind w:firstLine="420" w:firstLineChars="200"/>
      </w:pPr>
      <w:r>
        <w:t>5  测线布设边界应超过检测范围不小于5.0m</w:t>
      </w:r>
      <w:r>
        <w:rPr>
          <w:rFonts w:hint="eastAsia"/>
        </w:rPr>
        <w:t>；</w:t>
      </w:r>
    </w:p>
    <w:p>
      <w:pPr>
        <w:ind w:firstLine="420" w:firstLineChars="200"/>
      </w:pPr>
      <w:r>
        <w:t>6  在隧道、管道内部进行探测时</w:t>
      </w:r>
      <w:r>
        <w:rPr>
          <w:rFonts w:hint="eastAsia"/>
        </w:rPr>
        <w:t>，</w:t>
      </w:r>
      <w:r>
        <w:t>测线位置宜在隧道、管道正上和斜上部位，并沿轴线方向布设，测线间距根据作业空间适当调整</w:t>
      </w:r>
      <w:r>
        <w:rPr>
          <w:rFonts w:hint="eastAsia"/>
        </w:rPr>
        <w:t>；</w:t>
      </w:r>
    </w:p>
    <w:p>
      <w:pPr>
        <w:ind w:firstLine="420" w:firstLineChars="200"/>
      </w:pPr>
      <w:r>
        <w:t>7  车行道的地下病害体</w:t>
      </w:r>
      <w:r>
        <w:rPr>
          <w:rFonts w:hint="eastAsia"/>
        </w:rPr>
        <w:t>探测</w:t>
      </w:r>
      <w:r>
        <w:t>工作宜使用车载探地雷达设备，非车行道的地下病害体</w:t>
      </w:r>
      <w:r>
        <w:rPr>
          <w:rFonts w:hint="eastAsia"/>
        </w:rPr>
        <w:t>探测</w:t>
      </w:r>
      <w:r>
        <w:t>工作宜使用人工牵引的便携式探地雷达设备。</w:t>
      </w:r>
    </w:p>
    <w:p>
      <w:r>
        <w:t xml:space="preserve">6.2.8  </w:t>
      </w:r>
      <w:r>
        <w:rPr>
          <w:rFonts w:hint="eastAsia"/>
        </w:rPr>
        <w:t>详查阶段探地雷达测线布设除了满足6.1.4规定之外，还应符合下列规定：</w:t>
      </w:r>
    </w:p>
    <w:p>
      <w:pPr>
        <w:ind w:firstLine="420" w:firstLineChars="200"/>
      </w:pPr>
      <w:r>
        <w:rPr>
          <w:rFonts w:hint="eastAsia"/>
        </w:rPr>
        <w:t>1</w:t>
      </w:r>
      <w:r>
        <w:t xml:space="preserve">  </w:t>
      </w:r>
      <w:r>
        <w:rPr>
          <w:rFonts w:hint="eastAsia"/>
        </w:rPr>
        <w:t>对于已知病害体位置的测区，宜采用正交形网格探测，网格间距应以</w:t>
      </w:r>
      <w:r>
        <w:t>0.4m~1.0m</w:t>
      </w:r>
      <w:r>
        <w:rPr>
          <w:rFonts w:hint="eastAsia"/>
        </w:rPr>
        <w:t>为宜；</w:t>
      </w:r>
    </w:p>
    <w:p>
      <w:pPr>
        <w:ind w:firstLine="420" w:firstLineChars="200"/>
      </w:pPr>
      <w:r>
        <w:t xml:space="preserve">2  </w:t>
      </w:r>
      <w:r>
        <w:rPr>
          <w:rFonts w:hint="eastAsia"/>
        </w:rPr>
        <w:t>对于正交形网格难以确定地下病害体位置的区域，可以正交形网格中心为原点增设直径不小于正交形网格区域的径向测线，径向测线夹角根据实际情况确定。</w:t>
      </w:r>
    </w:p>
    <w:p>
      <w:r>
        <w:rPr>
          <w:rFonts w:hint="eastAsia"/>
        </w:rPr>
        <w:t>6</w:t>
      </w:r>
      <w:r>
        <w:t xml:space="preserve">.2.9  </w:t>
      </w:r>
      <w:r>
        <w:rPr>
          <w:rFonts w:hint="eastAsia"/>
        </w:rPr>
        <w:t>宜在探测开始前进行有效性试验，确定下列工作内容：</w:t>
      </w:r>
    </w:p>
    <w:p>
      <w:pPr>
        <w:ind w:firstLine="420" w:firstLineChars="200"/>
      </w:pPr>
      <w:r>
        <w:t xml:space="preserve">1  </w:t>
      </w:r>
      <w:r>
        <w:rPr>
          <w:rFonts w:hint="eastAsia"/>
        </w:rPr>
        <w:t>调整雷达参数适应该测区地质条件；</w:t>
      </w:r>
    </w:p>
    <w:p>
      <w:pPr>
        <w:ind w:firstLine="420" w:firstLineChars="200"/>
      </w:pPr>
      <w:r>
        <w:rPr>
          <w:rFonts w:hint="eastAsia"/>
        </w:rPr>
        <w:t>2</w:t>
      </w:r>
      <w:r>
        <w:t xml:space="preserve">  </w:t>
      </w:r>
      <w:r>
        <w:rPr>
          <w:rFonts w:hint="eastAsia"/>
        </w:rPr>
        <w:t>开展多次测量的一致性或不同频率天线探测的对比试验。</w:t>
      </w:r>
    </w:p>
    <w:p>
      <w:pPr>
        <w:ind w:firstLine="420" w:firstLineChars="200"/>
      </w:pPr>
      <w:r>
        <w:rPr>
          <w:rFonts w:hint="eastAsia"/>
        </w:rPr>
        <w:t>3</w:t>
      </w:r>
      <w:r>
        <w:t xml:space="preserve">  </w:t>
      </w:r>
      <w:r>
        <w:rPr>
          <w:rFonts w:hint="eastAsia"/>
        </w:rPr>
        <w:t>利用测区内已知位置的井盖、路灯或管线等的雷达回波对测线进行校核。</w:t>
      </w:r>
    </w:p>
    <w:p>
      <w:r>
        <w:rPr>
          <w:rFonts w:hint="eastAsia"/>
        </w:rPr>
        <w:t>6</w:t>
      </w:r>
      <w:r>
        <w:t xml:space="preserve">.2.10  </w:t>
      </w:r>
      <w:r>
        <w:rPr>
          <w:rFonts w:hint="eastAsia"/>
        </w:rPr>
        <w:t>探地雷达天线主频选择应符合检测深度的要求，并应符合下列规定：</w:t>
      </w:r>
    </w:p>
    <w:p>
      <w:pPr>
        <w:ind w:firstLine="420" w:firstLineChars="200"/>
      </w:pPr>
      <w:r>
        <w:rPr>
          <w:rFonts w:hint="eastAsia"/>
        </w:rPr>
        <w:t>1</w:t>
      </w:r>
      <w:r>
        <w:t xml:space="preserve">  </w:t>
      </w:r>
      <w:r>
        <w:rPr>
          <w:rFonts w:hint="eastAsia"/>
        </w:rPr>
        <w:t>当多种频率的天线均能满足探测深度要求时，宜选择频率相对较高的天线；</w:t>
      </w:r>
    </w:p>
    <w:p>
      <w:pPr>
        <w:ind w:firstLine="420" w:firstLineChars="200"/>
      </w:pPr>
      <w:r>
        <w:rPr>
          <w:rFonts w:hint="eastAsia"/>
        </w:rPr>
        <w:t>2</w:t>
      </w:r>
      <w:r>
        <w:t xml:space="preserve">  </w:t>
      </w:r>
      <w:r>
        <w:rPr>
          <w:rFonts w:hint="eastAsia"/>
        </w:rPr>
        <w:t>重点区域及普查中确定的重点异常区探测应选用多种频率天线；</w:t>
      </w:r>
    </w:p>
    <w:p>
      <w:pPr>
        <w:ind w:firstLine="420" w:firstLineChars="200"/>
      </w:pPr>
      <w:r>
        <w:rPr>
          <w:rFonts w:hint="eastAsia"/>
        </w:rPr>
        <w:t>3</w:t>
      </w:r>
      <w:r>
        <w:t xml:space="preserve">  </w:t>
      </w:r>
      <w:r>
        <w:rPr>
          <w:rFonts w:hint="eastAsia"/>
        </w:rPr>
        <w:t>地下病害体探测中，探地雷达的设计探测深度应由天线中心频率确定，并宜符合表6.2.10的规定。</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6.2.10</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探地雷达天线频率确定表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02"/>
        <w:gridCol w:w="2603"/>
        <w:gridCol w:w="26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中心频率（MHz）</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推荐最大探测深度（m）</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推荐深度分辨率（m）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600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450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0.056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6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400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200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0.130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170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2.8</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0.150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6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2603" w:type="dxa"/>
            <w:vAlign w:val="center"/>
          </w:tcPr>
          <w:p>
            <w:pPr>
              <w:pStyle w:val="74"/>
              <w:spacing w:before="0" w:beforeAutospacing="0" w:after="0" w:afterAutospacing="0" w:line="360" w:lineRule="auto"/>
              <w:ind w:firstLine="180" w:firstLineChars="100"/>
              <w:jc w:val="center"/>
              <w:rPr>
                <w:rFonts w:ascii="Times New Roman" w:hAnsi="Times New Roman" w:cs="Times New Roman"/>
                <w:sz w:val="18"/>
                <w:szCs w:val="18"/>
              </w:rPr>
            </w:pPr>
            <w:r>
              <w:rPr>
                <w:rFonts w:ascii="Times New Roman" w:hAnsi="Times New Roman" w:cs="Times New Roman"/>
                <w:sz w:val="18"/>
                <w:szCs w:val="18"/>
              </w:rPr>
              <w:t>4.0</w:t>
            </w:r>
          </w:p>
        </w:tc>
        <w:tc>
          <w:tcPr>
            <w:tcW w:w="2603"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0.250</w:t>
            </w:r>
          </w:p>
        </w:tc>
      </w:tr>
    </w:tbl>
    <w:p>
      <w:pPr>
        <w:spacing w:before="240"/>
      </w:pPr>
      <w:r>
        <w:rPr>
          <w:rFonts w:hint="eastAsia"/>
        </w:rPr>
        <w:t>6</w:t>
      </w:r>
      <w:r>
        <w:t xml:space="preserve">.2.11  </w:t>
      </w:r>
      <w:r>
        <w:rPr>
          <w:rFonts w:hint="eastAsia"/>
        </w:rPr>
        <w:t>当地下水位较浅，或城市道路开挖修复的路段存在回填疏松、含铁磁性土等因素，探测深度大于3.0m时，不宜使用探地雷达法。</w:t>
      </w:r>
    </w:p>
    <w:p>
      <w:r>
        <w:rPr>
          <w:rFonts w:hint="eastAsia"/>
        </w:rPr>
        <w:t>6</w:t>
      </w:r>
      <w:r>
        <w:t xml:space="preserve">.2.12  </w:t>
      </w:r>
      <w:r>
        <w:rPr>
          <w:rFonts w:hint="eastAsia"/>
        </w:rPr>
        <w:t>现场记录宜包含工程名称、工程地点、天气、仪器型号/编号、测试方式、天线主频、时窗、道间距、标记等内容，记录宜符合附录A的规定。</w:t>
      </w:r>
    </w:p>
    <w:p>
      <w:r>
        <w:rPr>
          <w:rFonts w:hint="eastAsia"/>
        </w:rPr>
        <w:t>6</w:t>
      </w:r>
      <w:r>
        <w:t xml:space="preserve">.2.13  </w:t>
      </w:r>
      <w:r>
        <w:rPr>
          <w:rFonts w:hint="eastAsia"/>
        </w:rPr>
        <w:t>探地雷达法数据采集在满足《城市地下病害体综合探测与风险评估技术标准》JGJ/T437的要求下，尚应符合下列规定：</w:t>
      </w:r>
    </w:p>
    <w:p>
      <w:pPr>
        <w:ind w:firstLine="420" w:firstLineChars="200"/>
      </w:pPr>
      <w:r>
        <w:rPr>
          <w:rFonts w:hint="eastAsia"/>
        </w:rPr>
        <w:t>1</w:t>
      </w:r>
      <w:r>
        <w:t xml:space="preserve">  当采用测量轮测距时，采集前应对</w:t>
      </w:r>
      <w:r>
        <w:rPr>
          <w:rFonts w:hint="eastAsia"/>
        </w:rPr>
        <w:t>测距精度</w:t>
      </w:r>
      <w:r>
        <w:t>进行标定；采用手动标记定位时，应等间距标记，间距不宜大于2.0m；</w:t>
      </w:r>
    </w:p>
    <w:p>
      <w:pPr>
        <w:ind w:firstLine="420" w:firstLineChars="200"/>
      </w:pPr>
      <w:r>
        <w:t>2  点测时，应在天线静止时采集，道间距应保证至少有三</w:t>
      </w:r>
      <w:r>
        <w:rPr>
          <w:rFonts w:hint="eastAsia"/>
        </w:rPr>
        <w:t>道数据</w:t>
      </w:r>
      <w:r>
        <w:t>落在目标体上；连续测量时，天线移动速度应均匀，并应与雷达的扫描率相匹配</w:t>
      </w:r>
      <w:r>
        <w:rPr>
          <w:rFonts w:hint="eastAsia"/>
        </w:rPr>
        <w:t>；测距轮时，普查</w:t>
      </w:r>
      <w:r>
        <w:t>时道间距不宜大于5.0cm，</w:t>
      </w:r>
      <w:r>
        <w:rPr>
          <w:rFonts w:hint="eastAsia"/>
        </w:rPr>
        <w:t>详查</w:t>
      </w:r>
      <w:r>
        <w:t>时道间距不宜大于2.0cm；</w:t>
      </w:r>
    </w:p>
    <w:p>
      <w:pPr>
        <w:ind w:firstLine="420" w:firstLineChars="200"/>
      </w:pPr>
      <w:r>
        <w:rPr>
          <w:rFonts w:hint="eastAsia"/>
        </w:rPr>
        <w:t>3</w:t>
      </w:r>
      <w:r>
        <w:t xml:space="preserve">  </w:t>
      </w:r>
      <w:r>
        <w:rPr>
          <w:rFonts w:hint="eastAsia"/>
        </w:rPr>
        <w:t>普查阶段若采用车辆驱动天线，则车辆行驶速度不宜高于30km/h；</w:t>
      </w:r>
    </w:p>
    <w:p>
      <w:pPr>
        <w:ind w:firstLine="420" w:firstLineChars="200"/>
      </w:pPr>
      <w:r>
        <w:t>4  当采用北斗系统或GPS进行测线轨迹定位时，应合理设置基准点，并进行定点测量验证。</w:t>
      </w:r>
    </w:p>
    <w:p>
      <w:r>
        <w:rPr>
          <w:rFonts w:hint="eastAsia"/>
        </w:rPr>
        <w:t>6</w:t>
      </w:r>
      <w:r>
        <w:t xml:space="preserve">.2.14  </w:t>
      </w:r>
      <w:r>
        <w:rPr>
          <w:rFonts w:hint="eastAsia"/>
        </w:rPr>
        <w:t>二维探地雷达数据质量检查和评价应符合下列规定：</w:t>
      </w:r>
    </w:p>
    <w:p>
      <w:pPr>
        <w:ind w:firstLine="420" w:firstLineChars="200"/>
      </w:pPr>
      <w:r>
        <w:rPr>
          <w:rFonts w:hint="eastAsia"/>
        </w:rPr>
        <w:t>1</w:t>
      </w:r>
      <w:r>
        <w:t xml:space="preserve">  探测数据的信噪比应满足数据处理、解释的需要；</w:t>
      </w:r>
    </w:p>
    <w:p>
      <w:pPr>
        <w:ind w:firstLine="420" w:firstLineChars="200"/>
      </w:pPr>
      <w:r>
        <w:t>2  重复观测的数据应与原数据一致性良好；</w:t>
      </w:r>
    </w:p>
    <w:p>
      <w:pPr>
        <w:ind w:firstLine="420" w:firstLineChars="200"/>
      </w:pPr>
      <w:r>
        <w:t>3  现场记录信息应完整，且与探测数据保持一致；</w:t>
      </w:r>
    </w:p>
    <w:p>
      <w:pPr>
        <w:ind w:firstLine="420" w:firstLineChars="200"/>
      </w:pPr>
      <w:r>
        <w:t>4  数据信号削波部分不宜超过全剖面的5%；</w:t>
      </w:r>
    </w:p>
    <w:p>
      <w:pPr>
        <w:ind w:firstLine="420" w:firstLineChars="200"/>
      </w:pPr>
      <w:r>
        <w:rPr>
          <w:rFonts w:hint="eastAsia"/>
        </w:rPr>
        <w:t>5</w:t>
      </w:r>
      <w:r>
        <w:t xml:space="preserve">  数据剖面上不应出现连续的坏道。</w:t>
      </w:r>
    </w:p>
    <w:p>
      <w:r>
        <w:rPr>
          <w:rFonts w:hint="eastAsia"/>
        </w:rPr>
        <w:t>6</w:t>
      </w:r>
      <w:r>
        <w:t xml:space="preserve">.2.15  </w:t>
      </w:r>
      <w:r>
        <w:rPr>
          <w:rFonts w:hint="eastAsia"/>
        </w:rPr>
        <w:t>二维探地雷达数据可参照图</w:t>
      </w:r>
      <w:r>
        <w:t>6.2.15</w:t>
      </w:r>
      <w:r>
        <w:rPr>
          <w:rFonts w:hint="eastAsia"/>
        </w:rPr>
        <w:t>进行处理和解释，并应符合下列规定：</w:t>
      </w:r>
    </w:p>
    <w:p>
      <w:pPr>
        <w:ind w:firstLine="420" w:firstLineChars="200"/>
      </w:pPr>
      <w:r>
        <w:t xml:space="preserve">1  </w:t>
      </w:r>
      <w:r>
        <w:rPr>
          <w:rFonts w:hint="eastAsia"/>
        </w:rPr>
        <w:t>应进行零点校正，明确地面反射点的位置；</w:t>
      </w:r>
    </w:p>
    <w:p>
      <w:pPr>
        <w:ind w:firstLine="420" w:firstLineChars="200"/>
      </w:pPr>
      <w:r>
        <w:t xml:space="preserve">2  </w:t>
      </w:r>
      <w:r>
        <w:rPr>
          <w:rFonts w:hint="eastAsia"/>
        </w:rPr>
        <w:t>非测距轮模式下采集的数据，应进行水平距离归一化处理；</w:t>
      </w:r>
    </w:p>
    <w:p>
      <w:pPr>
        <w:ind w:firstLine="420" w:firstLineChars="200"/>
      </w:pPr>
      <w:r>
        <w:t xml:space="preserve">3  </w:t>
      </w:r>
      <w:r>
        <w:rPr>
          <w:rFonts w:hint="eastAsia"/>
        </w:rPr>
        <w:t>可根据数据处理目的选取增益调整，频率滤波、反褶积、偏移处理；</w:t>
      </w:r>
    </w:p>
    <w:p>
      <w:pPr>
        <w:ind w:firstLine="420" w:firstLineChars="200"/>
      </w:pPr>
      <w:r>
        <w:t xml:space="preserve">4  </w:t>
      </w:r>
      <w:r>
        <w:rPr>
          <w:rFonts w:hint="eastAsia"/>
        </w:rPr>
        <w:t>在数据处理各阶段均可选择频率滤波，消除某一段的干扰波；</w:t>
      </w:r>
    </w:p>
    <w:p>
      <w:pPr>
        <w:ind w:firstLine="420" w:firstLineChars="200"/>
      </w:pPr>
      <w:r>
        <w:t xml:space="preserve">5  </w:t>
      </w:r>
      <w:r>
        <w:rPr>
          <w:rFonts w:hint="eastAsia"/>
        </w:rPr>
        <w:t>当信噪比低时不宜对数据记录进行反褶积、偏移处理；</w:t>
      </w:r>
    </w:p>
    <w:p>
      <w:pPr>
        <w:ind w:firstLine="420" w:firstLineChars="200"/>
      </w:pPr>
      <w:r>
        <w:rPr>
          <w:rFonts w:hint="eastAsia"/>
        </w:rPr>
        <w:t>6</w:t>
      </w:r>
      <w:r>
        <w:t xml:space="preserve">  </w:t>
      </w:r>
      <w:r>
        <w:rPr>
          <w:rFonts w:hint="eastAsia"/>
        </w:rPr>
        <w:t>可用反褶积压制多次反射波干扰，且反射子波宜选择最小相位子波；</w:t>
      </w:r>
    </w:p>
    <w:p>
      <w:pPr>
        <w:ind w:firstLine="420" w:firstLineChars="200"/>
      </w:pPr>
      <w:r>
        <w:t xml:space="preserve">7  </w:t>
      </w:r>
      <w:r>
        <w:rPr>
          <w:rFonts w:hint="eastAsia"/>
        </w:rPr>
        <w:t>可采用空间滤波的有效道叠加或道间差方法，提高目标信号的连续性；</w:t>
      </w:r>
    </w:p>
    <w:p>
      <w:pPr>
        <w:ind w:firstLine="420" w:firstLineChars="200"/>
      </w:pPr>
      <w:r>
        <w:t xml:space="preserve">8  </w:t>
      </w:r>
      <w:r>
        <w:rPr>
          <w:rFonts w:hint="eastAsia"/>
        </w:rPr>
        <w:t>宜根据现场调查，剔除探地雷达干扰目标；</w:t>
      </w:r>
    </w:p>
    <w:p>
      <w:pPr>
        <w:ind w:firstLine="420" w:firstLineChars="200"/>
      </w:pPr>
      <w:r>
        <w:t xml:space="preserve">9  </w:t>
      </w:r>
      <w:r>
        <w:rPr>
          <w:rFonts w:hint="eastAsia"/>
        </w:rPr>
        <w:t>应根据信号的能量、同相轴、相位和频率等特征提取地下目标并进行解释；</w:t>
      </w:r>
    </w:p>
    <w:p>
      <w:pPr>
        <w:ind w:firstLine="420" w:firstLineChars="200"/>
      </w:pPr>
      <w:r>
        <w:t xml:space="preserve">10  </w:t>
      </w:r>
      <w:r>
        <w:rPr>
          <w:rFonts w:hint="eastAsia"/>
        </w:rPr>
        <w:t>宜结合地下管线类型和运行状况、路面裂缝、沉陷、历史塌陷等资料进行解释；</w:t>
      </w:r>
    </w:p>
    <w:p>
      <w:pPr>
        <w:ind w:firstLine="420" w:firstLineChars="200"/>
      </w:pPr>
      <w:r>
        <w:t xml:space="preserve">11  </w:t>
      </w:r>
      <w:r>
        <w:rPr>
          <w:rFonts w:hint="eastAsia"/>
        </w:rPr>
        <w:t>应在雷达剖面上标出目标反射波的位置或反射波组；</w:t>
      </w:r>
    </w:p>
    <w:p>
      <w:pPr>
        <w:ind w:firstLine="420" w:firstLineChars="200"/>
      </w:pPr>
      <w:r>
        <w:t xml:space="preserve">12  </w:t>
      </w:r>
      <w:r>
        <w:rPr>
          <w:rFonts w:hint="eastAsia"/>
        </w:rPr>
        <w:t>宜结合相邻测线探测结果确定地下病害的位置和范围。</w:t>
      </w:r>
    </w:p>
    <w:p/>
    <w:p>
      <w:pPr>
        <w:jc w:val="center"/>
      </w:pPr>
      <w:r>
        <w:drawing>
          <wp:inline distT="0" distB="0" distL="0" distR="0">
            <wp:extent cx="3959860" cy="3637915"/>
            <wp:effectExtent l="0" t="0" r="2540" b="635"/>
            <wp:docPr id="204094454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40944546" name="图片 1"/>
                    <pic:cNvPicPr>
                      <a:picLocks noChangeAspect="true"/>
                    </pic:cNvPicPr>
                  </pic:nvPicPr>
                  <pic:blipFill>
                    <a:blip r:embed="rId14"/>
                    <a:stretch>
                      <a:fillRect/>
                    </a:stretch>
                  </pic:blipFill>
                  <pic:spPr>
                    <a:xfrm>
                      <a:off x="0" y="0"/>
                      <a:ext cx="3960000" cy="3638184"/>
                    </a:xfrm>
                    <a:prstGeom prst="rect">
                      <a:avLst/>
                    </a:prstGeom>
                  </pic:spPr>
                </pic:pic>
              </a:graphicData>
            </a:graphic>
          </wp:inline>
        </w:drawing>
      </w:r>
    </w:p>
    <w:p>
      <w:pPr>
        <w:pStyle w:val="74"/>
        <w:spacing w:before="0" w:beforeAutospacing="0" w:after="0" w:afterAutospacing="0" w:line="360" w:lineRule="auto"/>
        <w:jc w:val="center"/>
        <w:rPr>
          <w:rFonts w:ascii="Times" w:hAnsi="Times"/>
          <w:b/>
          <w:sz w:val="18"/>
          <w:szCs w:val="18"/>
        </w:rPr>
      </w:pPr>
      <w:r>
        <w:rPr>
          <w:rFonts w:ascii="Times" w:hAnsi="Times"/>
          <w:b/>
          <w:sz w:val="18"/>
          <w:szCs w:val="18"/>
        </w:rPr>
        <w:t xml:space="preserve">图6.2.15  </w:t>
      </w:r>
      <w:r>
        <w:rPr>
          <w:rFonts w:hint="eastAsia" w:ascii="Times" w:hAnsi="Times"/>
          <w:b/>
          <w:sz w:val="18"/>
          <w:szCs w:val="18"/>
        </w:rPr>
        <w:t>二维</w:t>
      </w:r>
      <w:r>
        <w:rPr>
          <w:rFonts w:ascii="Times" w:hAnsi="Times"/>
          <w:b/>
          <w:sz w:val="18"/>
          <w:szCs w:val="18"/>
        </w:rPr>
        <w:t>探地雷达数据处理和解释流程</w:t>
      </w:r>
    </w:p>
    <w:p>
      <w:r>
        <w:rPr>
          <w:rFonts w:hint="eastAsia"/>
        </w:rPr>
        <w:t>6</w:t>
      </w:r>
      <w:r>
        <w:t xml:space="preserve">.2.16  </w:t>
      </w:r>
      <w:r>
        <w:rPr>
          <w:rFonts w:hint="eastAsia"/>
        </w:rPr>
        <w:t>地下病害体类型应根据探地雷达图像的波组形态、振幅强度、相位和频谱等特征区分，具体表征特征见附录B。</w:t>
      </w:r>
    </w:p>
    <w:p>
      <w:r>
        <w:rPr>
          <w:rFonts w:hint="eastAsia"/>
        </w:rPr>
        <w:t>6</w:t>
      </w:r>
      <w:r>
        <w:t xml:space="preserve">.2.17  </w:t>
      </w:r>
      <w:r>
        <w:rPr>
          <w:rFonts w:hint="eastAsia"/>
        </w:rPr>
        <w:t>二维探地雷达法探测成果图件宜包括测线平面布置图、病害体分布图、病害体信息卡、病害体统计表格及解释性成果图，病害体信息卡样例见附录C。</w:t>
      </w:r>
    </w:p>
    <w:p>
      <w:r>
        <w:rPr>
          <w:rFonts w:hint="eastAsia"/>
        </w:rPr>
        <w:t>6</w:t>
      </w:r>
      <w:r>
        <w:t xml:space="preserve">.2.18  </w:t>
      </w:r>
      <w:r>
        <w:rPr>
          <w:rFonts w:hint="eastAsia"/>
        </w:rPr>
        <w:t>当采用三维探地雷达进行探测时，应根据探测深度和精度要求，通过有效性试验确定通道数、天线主频和定位装置精度。</w:t>
      </w:r>
    </w:p>
    <w:p>
      <w:r>
        <w:t xml:space="preserve">6.2.19  </w:t>
      </w:r>
      <w:r>
        <w:rPr>
          <w:rFonts w:hint="eastAsia"/>
        </w:rPr>
        <w:t>三维探地雷达应满足通道间距小于被测介质中雷达主频对应波长的</w:t>
      </w:r>
      <w:r>
        <w:t>1/4</w:t>
      </w:r>
      <w:r>
        <w:rPr>
          <w:rFonts w:hint="eastAsia"/>
        </w:rPr>
        <w:t>。</w:t>
      </w:r>
    </w:p>
    <w:p>
      <w:r>
        <w:t xml:space="preserve">6.2.20  </w:t>
      </w:r>
      <w:r>
        <w:rPr>
          <w:rFonts w:hint="eastAsia"/>
        </w:rPr>
        <w:t>三维探地雷达应采用距离触发模式采集数据，且触发间距不应大于</w:t>
      </w:r>
      <w:r>
        <w:t>5cm</w:t>
      </w:r>
      <w:r>
        <w:rPr>
          <w:rFonts w:hint="eastAsia"/>
        </w:rPr>
        <w:t>。</w:t>
      </w:r>
    </w:p>
    <w:p>
      <w:r>
        <w:rPr>
          <w:rFonts w:hint="eastAsia"/>
        </w:rPr>
        <w:t>6</w:t>
      </w:r>
      <w:r>
        <w:t xml:space="preserve">.2.21  </w:t>
      </w:r>
      <w:r>
        <w:rPr>
          <w:rFonts w:hint="eastAsia"/>
        </w:rPr>
        <w:t>三维探地雷达数据质量除应符合6</w:t>
      </w:r>
      <w:r>
        <w:t>.2.14</w:t>
      </w:r>
      <w:r>
        <w:rPr>
          <w:rFonts w:hint="eastAsia"/>
        </w:rPr>
        <w:t>的规定外，尚应满足下列要求：</w:t>
      </w:r>
    </w:p>
    <w:p>
      <w:pPr>
        <w:ind w:firstLine="420" w:firstLineChars="200"/>
      </w:pPr>
      <w:r>
        <w:t xml:space="preserve">1  </w:t>
      </w:r>
      <w:r>
        <w:rPr>
          <w:rFonts w:hint="eastAsia"/>
        </w:rPr>
        <w:t>测区数据覆盖率达到</w:t>
      </w:r>
      <w:r>
        <w:t>100%</w:t>
      </w:r>
      <w:r>
        <w:rPr>
          <w:rFonts w:hint="eastAsia"/>
        </w:rPr>
        <w:t>；</w:t>
      </w:r>
    </w:p>
    <w:p>
      <w:pPr>
        <w:ind w:firstLine="420" w:firstLineChars="200"/>
      </w:pPr>
      <w:r>
        <w:rPr>
          <w:rFonts w:hint="eastAsia"/>
        </w:rPr>
        <w:t>2</w:t>
      </w:r>
      <w:r>
        <w:t xml:space="preserve">  </w:t>
      </w:r>
      <w:r>
        <w:rPr>
          <w:rFonts w:hint="eastAsia"/>
        </w:rPr>
        <w:t>深度方向上目标信号跟直达波重叠时，应使用更高频率天线重新采集；</w:t>
      </w:r>
    </w:p>
    <w:p>
      <w:pPr>
        <w:ind w:firstLine="420" w:firstLineChars="200"/>
      </w:pPr>
      <w:r>
        <w:t xml:space="preserve">3  </w:t>
      </w:r>
      <w:r>
        <w:rPr>
          <w:rFonts w:hint="eastAsia"/>
        </w:rPr>
        <w:t>数据丢道超过</w:t>
      </w:r>
      <w:r>
        <w:t>10%</w:t>
      </w:r>
      <w:r>
        <w:rPr>
          <w:rFonts w:hint="eastAsia"/>
        </w:rPr>
        <w:t>时，应降低移动速度，对该区域重新进行数据采集；</w:t>
      </w:r>
    </w:p>
    <w:p>
      <w:pPr>
        <w:ind w:firstLine="420" w:firstLineChars="200"/>
      </w:pPr>
      <w:r>
        <w:rPr>
          <w:rFonts w:hint="eastAsia"/>
        </w:rPr>
        <w:t>4</w:t>
      </w:r>
      <w:r>
        <w:t xml:space="preserve">  </w:t>
      </w:r>
      <w:r>
        <w:rPr>
          <w:rFonts w:hint="eastAsia"/>
        </w:rPr>
        <w:t>定位信息偏离道路，造成测线轨迹混叠时，应重新采集混叠区域数据。</w:t>
      </w:r>
    </w:p>
    <w:p>
      <w:r>
        <w:t xml:space="preserve">6.2.22  </w:t>
      </w:r>
      <w:r>
        <w:rPr>
          <w:rFonts w:hint="eastAsia"/>
        </w:rPr>
        <w:t>三维探地雷达数据处理步骤应符合下列规定：</w:t>
      </w:r>
    </w:p>
    <w:p>
      <w:pPr>
        <w:ind w:firstLine="420" w:firstLineChars="200"/>
      </w:pPr>
      <w:r>
        <w:rPr>
          <w:rFonts w:hint="eastAsia"/>
        </w:rPr>
        <w:t>1</w:t>
      </w:r>
      <w:r>
        <w:t xml:space="preserve">  </w:t>
      </w:r>
      <w:r>
        <w:rPr>
          <w:rFonts w:hint="eastAsia"/>
        </w:rPr>
        <w:t>应按6.2.15的规定对各通道数据进行单独处理；</w:t>
      </w:r>
    </w:p>
    <w:p>
      <w:pPr>
        <w:ind w:firstLine="420" w:firstLineChars="200"/>
      </w:pPr>
      <w:r>
        <w:rPr>
          <w:rFonts w:hint="eastAsia"/>
        </w:rPr>
        <w:t>2</w:t>
      </w:r>
      <w:r>
        <w:t xml:space="preserve">  </w:t>
      </w:r>
      <w:r>
        <w:rPr>
          <w:rFonts w:hint="eastAsia"/>
        </w:rPr>
        <w:t>三维成像处理前应进行测线轨迹校正；</w:t>
      </w:r>
    </w:p>
    <w:p>
      <w:pPr>
        <w:ind w:firstLine="420" w:firstLineChars="200"/>
      </w:pPr>
      <w:r>
        <w:rPr>
          <w:rFonts w:hint="eastAsia"/>
        </w:rPr>
        <w:t>3</w:t>
      </w:r>
      <w:r>
        <w:t xml:space="preserve">  </w:t>
      </w:r>
      <w:r>
        <w:rPr>
          <w:rFonts w:hint="eastAsia"/>
        </w:rPr>
        <w:t>应进行三维偏移处理以提高成像准确性。</w:t>
      </w:r>
    </w:p>
    <w:p>
      <w:r>
        <w:rPr>
          <w:rFonts w:hint="eastAsia"/>
        </w:rPr>
        <w:t>6</w:t>
      </w:r>
      <w:r>
        <w:t xml:space="preserve">.2.23  </w:t>
      </w:r>
      <w:r>
        <w:rPr>
          <w:rFonts w:hint="eastAsia"/>
        </w:rPr>
        <w:t>三维探地雷达水平轨迹切片发生异常扭曲时，应对扭曲偏离点采用手动纠偏处理，扭曲长度超过测线长度10%时，应放弃处理，重新采集该测线数据。</w:t>
      </w:r>
    </w:p>
    <w:p>
      <w:r>
        <w:rPr>
          <w:rFonts w:hint="eastAsia"/>
        </w:rPr>
        <w:t>6.2.24</w:t>
      </w:r>
      <w:r>
        <w:t xml:space="preserve">  </w:t>
      </w:r>
      <w:r>
        <w:rPr>
          <w:rFonts w:hint="eastAsia"/>
        </w:rPr>
        <w:t>三维探地雷达对重点或复杂区域除按切片显示处理外，还宜做旋转、透视、开挖等三维显示处理。</w:t>
      </w:r>
    </w:p>
    <w:p>
      <w:r>
        <w:rPr>
          <w:rFonts w:hint="eastAsia"/>
        </w:rPr>
        <w:t>6.2.25</w:t>
      </w:r>
      <w:r>
        <w:t xml:space="preserve">  </w:t>
      </w:r>
      <w:r>
        <w:rPr>
          <w:rFonts w:hint="eastAsia"/>
        </w:rPr>
        <w:t>三维探地雷达数据解释应根据顺延切片上的相位、幅度、同相轴连续性，以及横向切片和水平切片上的轮廓形态特征来综合分析判定。</w:t>
      </w:r>
    </w:p>
    <w:p>
      <w:r>
        <w:rPr>
          <w:rFonts w:hint="eastAsia"/>
        </w:rPr>
        <w:t>6.2.26</w:t>
      </w:r>
      <w:r>
        <w:t xml:space="preserve">  </w:t>
      </w:r>
      <w:r>
        <w:rPr>
          <w:rFonts w:hint="eastAsia"/>
        </w:rPr>
        <w:t>三维探地雷达数据解释结果应结合视频记录信息、现场调查信息，排除地上干扰源、地下干扰源和电磁干扰源后综合确定。</w:t>
      </w:r>
    </w:p>
    <w:p>
      <w:r>
        <w:rPr>
          <w:rFonts w:hint="eastAsia"/>
        </w:rPr>
        <w:t>6.2.27</w:t>
      </w:r>
      <w:r>
        <w:t xml:space="preserve">  </w:t>
      </w:r>
      <w:r>
        <w:rPr>
          <w:rFonts w:hint="eastAsia"/>
        </w:rPr>
        <w:t>三维探地雷达数据解释结果应包括地下病害体的平面坐标、平面面积、埋藏深度、垂向尺寸和严重程度等信息。</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39" w:name="_Toc148468236"/>
      <w:r>
        <w:rPr>
          <w:rStyle w:val="32"/>
          <w:rFonts w:hint="eastAsia" w:ascii="Times New Roman" w:hAnsi="Times New Roman"/>
          <w:bCs w:val="0"/>
          <w:caps w:val="0"/>
          <w:kern w:val="0"/>
          <w:sz w:val="21"/>
          <w:szCs w:val="21"/>
        </w:rPr>
        <w:t>6.3  高密度电阻率法</w:t>
      </w:r>
      <w:bookmarkEnd w:id="39"/>
    </w:p>
    <w:p>
      <w:r>
        <w:t xml:space="preserve">6.3.1  </w:t>
      </w:r>
      <w:r>
        <w:rPr>
          <w:rFonts w:hint="eastAsia"/>
        </w:rPr>
        <w:t>高密度电阻率法主要探测30m深度范围内的空洞、疏松体和富水体等地下病害。</w:t>
      </w:r>
    </w:p>
    <w:p>
      <w:r>
        <w:rPr>
          <w:rFonts w:hint="eastAsia"/>
        </w:rPr>
        <w:t>6</w:t>
      </w:r>
      <w:r>
        <w:t xml:space="preserve">.3.2  </w:t>
      </w:r>
      <w:r>
        <w:rPr>
          <w:rFonts w:hint="eastAsia"/>
        </w:rPr>
        <w:t>高密度电阻率法进行地下病害体探测时应用条件应符合下列规定：</w:t>
      </w:r>
    </w:p>
    <w:p>
      <w:pPr>
        <w:ind w:firstLine="420" w:firstLineChars="200"/>
      </w:pPr>
      <w:r>
        <w:t xml:space="preserve">1  </w:t>
      </w:r>
      <w:r>
        <w:rPr>
          <w:rFonts w:hint="eastAsia"/>
        </w:rPr>
        <w:t>地下病害体应具有一定的规模，且与周边介质之间应存在较大的电性差异；</w:t>
      </w:r>
    </w:p>
    <w:p>
      <w:pPr>
        <w:ind w:firstLine="420" w:firstLineChars="200"/>
      </w:pPr>
      <w:r>
        <w:t xml:space="preserve">2  </w:t>
      </w:r>
      <w:r>
        <w:rPr>
          <w:rFonts w:hint="eastAsia"/>
        </w:rPr>
        <w:t>地形起伏不大，场地接地条件良好或能通过采取并联电极、浇盐水等措施加以改善；</w:t>
      </w:r>
    </w:p>
    <w:p>
      <w:pPr>
        <w:ind w:firstLine="420" w:firstLineChars="200"/>
      </w:pPr>
      <w:r>
        <w:t xml:space="preserve">3  </w:t>
      </w:r>
      <w:r>
        <w:rPr>
          <w:rFonts w:hint="eastAsia"/>
        </w:rPr>
        <w:t>地下浅层没有屏蔽地下深层信息的电阻屏蔽层；</w:t>
      </w:r>
    </w:p>
    <w:p>
      <w:pPr>
        <w:ind w:firstLine="420" w:firstLineChars="200"/>
      </w:pPr>
      <w:r>
        <w:t xml:space="preserve">4  </w:t>
      </w:r>
      <w:r>
        <w:rPr>
          <w:rFonts w:hint="eastAsia"/>
        </w:rPr>
        <w:t>测区内没有变电站、高压电缆等产生较强的工业游散电流、大地电流或电磁干扰存在。</w:t>
      </w:r>
    </w:p>
    <w:p>
      <w:r>
        <w:rPr>
          <w:rFonts w:hint="eastAsia"/>
        </w:rPr>
        <w:t>6</w:t>
      </w:r>
      <w:r>
        <w:t xml:space="preserve">.3.3  </w:t>
      </w:r>
      <w:r>
        <w:rPr>
          <w:rFonts w:hint="eastAsia"/>
        </w:rPr>
        <w:t>高密度电阻率法宜使用不锈钢电极或铜电极，多芯电缆芯线电阻应小于</w:t>
      </w:r>
      <w:r>
        <w:t>10Ω/km</w:t>
      </w:r>
      <w:r>
        <w:rPr>
          <w:rFonts w:hint="eastAsia"/>
        </w:rPr>
        <w:t>，芯间绝缘电阻应大于</w:t>
      </w:r>
      <w:r>
        <w:t>5MΩ/km</w:t>
      </w:r>
      <w:r>
        <w:rPr>
          <w:rFonts w:hint="eastAsia"/>
        </w:rPr>
        <w:t>。</w:t>
      </w:r>
    </w:p>
    <w:p>
      <w:r>
        <w:rPr>
          <w:rFonts w:hint="eastAsia"/>
        </w:rPr>
        <w:t>6</w:t>
      </w:r>
      <w:r>
        <w:t xml:space="preserve">.3.4  </w:t>
      </w:r>
      <w:r>
        <w:rPr>
          <w:rFonts w:hint="eastAsia"/>
        </w:rPr>
        <w:t>高密度电阻率法的测线、测点布置除了应满足</w:t>
      </w:r>
      <w:r>
        <w:t>6.1.4</w:t>
      </w:r>
      <w:r>
        <w:rPr>
          <w:rFonts w:hint="eastAsia"/>
        </w:rPr>
        <w:t>的通用要求外，还应符合下列规定：</w:t>
      </w:r>
    </w:p>
    <w:p>
      <w:pPr>
        <w:ind w:firstLine="420" w:firstLineChars="200"/>
      </w:pPr>
      <w:r>
        <w:rPr>
          <w:rFonts w:hint="eastAsia"/>
        </w:rPr>
        <w:t>1</w:t>
      </w:r>
      <w:r>
        <w:t xml:space="preserve">  </w:t>
      </w:r>
      <w:r>
        <w:rPr>
          <w:rFonts w:hint="eastAsia"/>
        </w:rPr>
        <w:t>正式探测前应进行有效性试验，确定观测装置、排列长度及电极距；</w:t>
      </w:r>
      <w:r>
        <w:t xml:space="preserve"> </w:t>
      </w:r>
    </w:p>
    <w:p>
      <w:pPr>
        <w:ind w:firstLine="420" w:firstLineChars="200"/>
      </w:pPr>
      <w:r>
        <w:t xml:space="preserve">2  </w:t>
      </w:r>
      <w:r>
        <w:rPr>
          <w:rFonts w:hint="eastAsia"/>
        </w:rPr>
        <w:t>应根据分辨率要求，选定点距、线距，异常部位应加密；测线上目标体的测点不应少于3个；局部异常地段的测线不应少于</w:t>
      </w:r>
      <w:r>
        <w:t>3</w:t>
      </w:r>
      <w:r>
        <w:rPr>
          <w:rFonts w:hint="eastAsia"/>
        </w:rPr>
        <w:t>条；每条测线上反映同一目标体的异常点位不应少于</w:t>
      </w:r>
      <w:r>
        <w:t>5</w:t>
      </w:r>
      <w:r>
        <w:rPr>
          <w:rFonts w:hint="eastAsia"/>
        </w:rPr>
        <w:t>个；</w:t>
      </w:r>
    </w:p>
    <w:p>
      <w:pPr>
        <w:ind w:firstLine="420" w:firstLineChars="200"/>
      </w:pPr>
      <w:r>
        <w:rPr>
          <w:rFonts w:hint="eastAsia"/>
        </w:rPr>
        <w:t>3</w:t>
      </w:r>
      <w:r>
        <w:t xml:space="preserve">  </w:t>
      </w:r>
      <w:r>
        <w:rPr>
          <w:rFonts w:hint="eastAsia"/>
        </w:rPr>
        <w:t>在城市道路上探测时，宜沿道路延伸方向布设测线，在非道路区域探测时，宜沿场地长边方向布设测线，应布置在相对平坦的路面，尽可能减小地形和其它干扰因素的影响；</w:t>
      </w:r>
    </w:p>
    <w:p>
      <w:pPr>
        <w:ind w:firstLine="420" w:firstLineChars="200"/>
      </w:pPr>
      <w:r>
        <w:rPr>
          <w:rFonts w:hint="eastAsia"/>
        </w:rPr>
        <w:t>4</w:t>
      </w:r>
      <w:r>
        <w:t xml:space="preserve">  </w:t>
      </w:r>
      <w:r>
        <w:rPr>
          <w:rFonts w:hint="eastAsia"/>
        </w:rPr>
        <w:t>电极距宜等于测点距，且不宜大于</w:t>
      </w:r>
      <w:r>
        <w:t>2m</w:t>
      </w:r>
      <w:r>
        <w:rPr>
          <w:rFonts w:hint="eastAsia"/>
        </w:rPr>
        <w:t>；</w:t>
      </w:r>
    </w:p>
    <w:p>
      <w:pPr>
        <w:ind w:firstLine="420" w:firstLineChars="200"/>
      </w:pPr>
      <w:r>
        <w:rPr>
          <w:rFonts w:hint="eastAsia"/>
        </w:rPr>
        <w:t>5</w:t>
      </w:r>
      <w:r>
        <w:t xml:space="preserve">  </w:t>
      </w:r>
      <w:r>
        <w:rPr>
          <w:rFonts w:hint="eastAsia"/>
        </w:rPr>
        <w:t>测线或剖面还应尽量与测区中的地质勘探线、典型地质剖面相结合；</w:t>
      </w:r>
    </w:p>
    <w:p>
      <w:pPr>
        <w:ind w:firstLine="420" w:firstLineChars="200"/>
      </w:pPr>
      <w:r>
        <w:t xml:space="preserve">6  </w:t>
      </w:r>
      <w:r>
        <w:rPr>
          <w:rFonts w:hint="eastAsia"/>
        </w:rPr>
        <w:t>同一排列的电极应呈直线布置，电极接地位置在沿排列方向上的偏差不宜大于极距的</w:t>
      </w:r>
      <w:r>
        <w:t>1/10</w:t>
      </w:r>
      <w:r>
        <w:rPr>
          <w:rFonts w:hint="eastAsia"/>
        </w:rPr>
        <w:t>；在垂直排列方向上的偏差不宜大于极距的</w:t>
      </w:r>
      <w:r>
        <w:t>1/5</w:t>
      </w:r>
      <w:r>
        <w:rPr>
          <w:rFonts w:hint="eastAsia"/>
        </w:rPr>
        <w:t>。</w:t>
      </w:r>
    </w:p>
    <w:p>
      <w:r>
        <w:rPr>
          <w:rFonts w:hint="eastAsia"/>
        </w:rPr>
        <w:t>6</w:t>
      </w:r>
      <w:r>
        <w:t xml:space="preserve">.3.5  </w:t>
      </w:r>
      <w:r>
        <w:rPr>
          <w:rFonts w:hint="eastAsia"/>
        </w:rPr>
        <w:t>使用高密度电阻率法探测地下病害体前，应结合广东省区域特点开展有效性试验，宜包括下列工作内容：</w:t>
      </w:r>
    </w:p>
    <w:p>
      <w:pPr>
        <w:ind w:firstLine="420" w:firstLineChars="200"/>
      </w:pPr>
      <w:r>
        <w:rPr>
          <w:rFonts w:hint="eastAsia"/>
        </w:rPr>
        <w:t>1</w:t>
      </w:r>
      <w:r>
        <w:t xml:space="preserve">  </w:t>
      </w:r>
      <w:r>
        <w:rPr>
          <w:rFonts w:hint="eastAsia"/>
        </w:rPr>
        <w:t>场地的地电条件、干扰背景等，确定合适的工作方法；</w:t>
      </w:r>
    </w:p>
    <w:p>
      <w:pPr>
        <w:ind w:firstLine="420" w:firstLineChars="200"/>
      </w:pPr>
      <w:r>
        <w:t xml:space="preserve">2  </w:t>
      </w:r>
      <w:r>
        <w:rPr>
          <w:rFonts w:hint="eastAsia"/>
        </w:rPr>
        <w:t>了解场地地质勘探线、典型地质剖面、已知勘察钻孔资料；</w:t>
      </w:r>
    </w:p>
    <w:p>
      <w:pPr>
        <w:ind w:firstLine="420" w:firstLineChars="200"/>
      </w:pPr>
      <w:r>
        <w:t xml:space="preserve">3  </w:t>
      </w:r>
      <w:r>
        <w:rPr>
          <w:rFonts w:hint="eastAsia"/>
        </w:rPr>
        <w:t>确定采集装置及各类指标参数；</w:t>
      </w:r>
    </w:p>
    <w:p>
      <w:pPr>
        <w:ind w:firstLine="420" w:firstLineChars="200"/>
      </w:pPr>
      <w:r>
        <w:t xml:space="preserve">4  </w:t>
      </w:r>
      <w:r>
        <w:rPr>
          <w:rFonts w:hint="eastAsia"/>
        </w:rPr>
        <w:t>开展多次测量的一致性或多台仪器的一致性对比试验。</w:t>
      </w:r>
    </w:p>
    <w:p>
      <w:bookmarkStart w:id="40" w:name="_Hlk148361873"/>
      <w:r>
        <w:rPr>
          <w:rFonts w:hint="eastAsia"/>
        </w:rPr>
        <w:t>6</w:t>
      </w:r>
      <w:r>
        <w:t xml:space="preserve">.3.6  </w:t>
      </w:r>
      <w:r>
        <w:rPr>
          <w:rFonts w:hint="eastAsia"/>
        </w:rPr>
        <w:t>高密度电法的电极排列布置应符合下列规定：</w:t>
      </w:r>
    </w:p>
    <w:bookmarkEnd w:id="40"/>
    <w:p>
      <w:pPr>
        <w:ind w:firstLine="420" w:firstLineChars="200"/>
      </w:pPr>
      <w:bookmarkStart w:id="41" w:name="_Hlk148361878"/>
      <w:r>
        <w:t xml:space="preserve">1  </w:t>
      </w:r>
      <w:r>
        <w:rPr>
          <w:rFonts w:hint="eastAsia"/>
        </w:rPr>
        <w:t>应根据探测深度、规模和预期探测精度设置最小电极距、排列长度和隔离系数；</w:t>
      </w:r>
    </w:p>
    <w:p>
      <w:pPr>
        <w:ind w:firstLine="420" w:firstLineChars="200"/>
      </w:pPr>
      <w:r>
        <w:rPr>
          <w:rFonts w:hint="eastAsia"/>
        </w:rPr>
        <w:t>2</w:t>
      </w:r>
      <w:r>
        <w:t xml:space="preserve">  </w:t>
      </w:r>
      <w:r>
        <w:rPr>
          <w:rFonts w:hint="eastAsia"/>
        </w:rPr>
        <w:t>电极应安置在规定的位置上，最小电极距一般取</w:t>
      </w:r>
      <w:r>
        <w:t>1.0m~2.0m</w:t>
      </w:r>
      <w:r>
        <w:rPr>
          <w:rFonts w:hint="eastAsia"/>
        </w:rPr>
        <w:t>；</w:t>
      </w:r>
    </w:p>
    <w:p>
      <w:pPr>
        <w:ind w:firstLine="420" w:firstLineChars="200"/>
      </w:pPr>
      <w:r>
        <w:t xml:space="preserve">3  </w:t>
      </w:r>
      <w:r>
        <w:rPr>
          <w:rFonts w:hint="eastAsia"/>
        </w:rPr>
        <w:t>排列长度应大于探测深度的</w:t>
      </w:r>
      <w:r>
        <w:t>3</w:t>
      </w:r>
      <w:r>
        <w:rPr>
          <w:rFonts w:hint="eastAsia"/>
        </w:rPr>
        <w:t>倍；</w:t>
      </w:r>
    </w:p>
    <w:p>
      <w:pPr>
        <w:ind w:firstLine="420" w:firstLineChars="200"/>
      </w:pPr>
      <w:r>
        <w:t xml:space="preserve">4  </w:t>
      </w:r>
      <w:r>
        <w:rPr>
          <w:rFonts w:hint="eastAsia"/>
        </w:rPr>
        <w:t>隔离系数的最大值应保证有效探测深度超过要求探测深度的</w:t>
      </w:r>
      <w:r>
        <w:t>20%</w:t>
      </w:r>
      <w:r>
        <w:rPr>
          <w:rFonts w:hint="eastAsia"/>
        </w:rPr>
        <w:t>以上。</w:t>
      </w:r>
    </w:p>
    <w:bookmarkEnd w:id="41"/>
    <w:p>
      <w:r>
        <w:t xml:space="preserve">6.3.7  </w:t>
      </w:r>
      <w:r>
        <w:rPr>
          <w:rFonts w:hint="eastAsia"/>
        </w:rPr>
        <w:t>电极接地应符合下列规定：</w:t>
      </w:r>
    </w:p>
    <w:p>
      <w:pPr>
        <w:ind w:firstLine="420" w:firstLineChars="200"/>
      </w:pPr>
      <w:r>
        <w:t xml:space="preserve">1  </w:t>
      </w:r>
      <w:r>
        <w:rPr>
          <w:rFonts w:hint="eastAsia"/>
        </w:rPr>
        <w:t>供电电极接地电阻应小于</w:t>
      </w:r>
      <w:r>
        <w:t>10kΩ</w:t>
      </w:r>
      <w:r>
        <w:rPr>
          <w:rFonts w:hint="eastAsia"/>
        </w:rPr>
        <w:t>；</w:t>
      </w:r>
    </w:p>
    <w:p>
      <w:pPr>
        <w:ind w:firstLine="420" w:firstLineChars="200"/>
      </w:pPr>
      <w:r>
        <w:t xml:space="preserve">2  </w:t>
      </w:r>
      <w:r>
        <w:rPr>
          <w:rFonts w:hint="eastAsia"/>
        </w:rPr>
        <w:t>测量电极接地电阻应小于仪器输入电阻抗的</w:t>
      </w:r>
      <w:r>
        <w:t>1%</w:t>
      </w:r>
      <w:r>
        <w:rPr>
          <w:rFonts w:hint="eastAsia"/>
        </w:rPr>
        <w:t>。</w:t>
      </w:r>
    </w:p>
    <w:p>
      <w:r>
        <w:rPr>
          <w:rFonts w:hint="eastAsia"/>
        </w:rPr>
        <w:t>6</w:t>
      </w:r>
      <w:r>
        <w:t xml:space="preserve">.3.8  </w:t>
      </w:r>
      <w:r>
        <w:rPr>
          <w:rFonts w:hint="eastAsia"/>
          <w:color w:val="000000"/>
        </w:rPr>
        <w:t>高密度电阻率法的数据采集应符合下列规定：</w:t>
      </w:r>
    </w:p>
    <w:p>
      <w:pPr>
        <w:ind w:firstLine="420" w:firstLineChars="200"/>
      </w:pPr>
      <w:r>
        <w:rPr>
          <w:rFonts w:hint="eastAsia"/>
        </w:rPr>
        <w:t>1</w:t>
      </w:r>
      <w:r>
        <w:t xml:space="preserve">  </w:t>
      </w:r>
      <w:r>
        <w:rPr>
          <w:rFonts w:hint="eastAsia"/>
        </w:rPr>
        <w:t>复杂条件下，应采用不少于两种观测装置进行探测；</w:t>
      </w:r>
    </w:p>
    <w:p>
      <w:pPr>
        <w:ind w:firstLine="420" w:firstLineChars="200"/>
      </w:pPr>
      <w:r>
        <w:t xml:space="preserve">2  </w:t>
      </w:r>
      <w:r>
        <w:rPr>
          <w:rFonts w:hint="eastAsia"/>
        </w:rPr>
        <w:t>对于每个排列的观测，坏点总数不应超过测量总点数的</w:t>
      </w:r>
      <w:r>
        <w:t>1%</w:t>
      </w:r>
      <w:r>
        <w:rPr>
          <w:rFonts w:hint="eastAsia"/>
        </w:rPr>
        <w:t>，对意外中断后的续测，应有不少于</w:t>
      </w:r>
      <w:r>
        <w:t>2</w:t>
      </w:r>
      <w:r>
        <w:rPr>
          <w:rFonts w:hint="eastAsia"/>
        </w:rPr>
        <w:t>个深度层的重测值；</w:t>
      </w:r>
    </w:p>
    <w:p>
      <w:pPr>
        <w:ind w:firstLine="420" w:firstLineChars="200"/>
      </w:pPr>
      <w:r>
        <w:rPr>
          <w:rFonts w:hint="eastAsia"/>
        </w:rPr>
        <w:t>3</w:t>
      </w:r>
      <w:r>
        <w:t xml:space="preserve">  </w:t>
      </w:r>
      <w:r>
        <w:rPr>
          <w:rFonts w:hint="eastAsia"/>
        </w:rPr>
        <w:t>及时记录排列的位置，测量排列的关键定位点，确保测线位置的准确性；</w:t>
      </w:r>
    </w:p>
    <w:p>
      <w:pPr>
        <w:ind w:firstLine="420" w:firstLineChars="200"/>
      </w:pPr>
      <w:r>
        <w:t xml:space="preserve">4  </w:t>
      </w:r>
      <w:r>
        <w:rPr>
          <w:rFonts w:hint="eastAsia"/>
        </w:rPr>
        <w:t>当场地坡度大于</w:t>
      </w:r>
      <w:r>
        <w:t>15°</w:t>
      </w:r>
      <w:r>
        <w:rPr>
          <w:rFonts w:hint="eastAsia"/>
        </w:rPr>
        <w:t>或局部地形起伏大时，应测量各电极点的坐标和高程；</w:t>
      </w:r>
    </w:p>
    <w:p>
      <w:pPr>
        <w:ind w:firstLine="420" w:firstLineChars="200"/>
      </w:pPr>
      <w:r>
        <w:t xml:space="preserve">5  </w:t>
      </w:r>
      <w:r>
        <w:rPr>
          <w:rFonts w:hint="eastAsia"/>
        </w:rPr>
        <w:t>实施滚动观测时，每个排列的伪剖面底边的数据应衔接重复测点不少于1个；</w:t>
      </w:r>
    </w:p>
    <w:p>
      <w:pPr>
        <w:ind w:firstLine="420" w:firstLineChars="200"/>
        <w:rPr>
          <w:color w:val="000000"/>
        </w:rPr>
      </w:pPr>
      <w:r>
        <w:t xml:space="preserve">6  </w:t>
      </w:r>
      <w:r>
        <w:rPr>
          <w:rFonts w:hint="eastAsia"/>
        </w:rPr>
        <w:t>测线两端的探测范围应处于选用装置的有效范围之内，测线两端超出测区的长</w:t>
      </w:r>
      <w:r>
        <w:rPr>
          <w:rFonts w:hint="eastAsia"/>
          <w:color w:val="000000"/>
        </w:rPr>
        <w:t>度不宜小于装置长度的</w:t>
      </w:r>
      <w:r>
        <w:rPr>
          <w:color w:val="000000"/>
        </w:rPr>
        <w:t>1/3</w:t>
      </w:r>
      <w:r>
        <w:rPr>
          <w:rFonts w:hint="eastAsia"/>
          <w:color w:val="000000"/>
        </w:rPr>
        <w:t>。</w:t>
      </w:r>
    </w:p>
    <w:p>
      <w:r>
        <w:rPr>
          <w:rFonts w:hint="eastAsia"/>
        </w:rPr>
        <w:t>6</w:t>
      </w:r>
      <w:r>
        <w:t xml:space="preserve">.3.9  </w:t>
      </w:r>
      <w:r>
        <w:rPr>
          <w:rFonts w:hint="eastAsia"/>
        </w:rPr>
        <w:t>现场记录宜包含工程名称、工程地点、测试参数、测线编号、文件名、测线位置、地面异常环境等内容，记录宜符合附录D的规定。</w:t>
      </w:r>
    </w:p>
    <w:p>
      <w:r>
        <w:rPr>
          <w:rFonts w:hint="eastAsia"/>
        </w:rPr>
        <w:t>6</w:t>
      </w:r>
      <w:r>
        <w:t xml:space="preserve">.3.10  </w:t>
      </w:r>
      <w:r>
        <w:rPr>
          <w:rFonts w:hint="eastAsia"/>
        </w:rPr>
        <w:t>高密度电阻率法的质量检查及评价应符合下列规定：</w:t>
      </w:r>
    </w:p>
    <w:p>
      <w:pPr>
        <w:ind w:firstLine="420" w:firstLineChars="200"/>
      </w:pPr>
      <w:r>
        <w:rPr>
          <w:rFonts w:hint="eastAsia"/>
        </w:rPr>
        <w:t>1</w:t>
      </w:r>
      <w:r>
        <w:t xml:space="preserve">  </w:t>
      </w:r>
      <w:r>
        <w:rPr>
          <w:rFonts w:hint="eastAsia"/>
        </w:rPr>
        <w:t>外业质量检查点应随机抽取、分布均衡，异常点或有疑问点应重点检查；检查量不应少于总工作量的</w:t>
      </w:r>
      <w:r>
        <w:t>5%</w:t>
      </w:r>
      <w:r>
        <w:rPr>
          <w:rFonts w:hint="eastAsia"/>
        </w:rPr>
        <w:t>，且不应少于</w:t>
      </w:r>
      <w:r>
        <w:t>1</w:t>
      </w:r>
      <w:r>
        <w:rPr>
          <w:rFonts w:hint="eastAsia"/>
        </w:rPr>
        <w:t>个排列；</w:t>
      </w:r>
    </w:p>
    <w:p>
      <w:pPr>
        <w:ind w:firstLine="420" w:firstLineChars="200"/>
      </w:pPr>
      <w:r>
        <w:t xml:space="preserve">2  </w:t>
      </w:r>
      <w:r>
        <w:rPr>
          <w:rFonts w:hint="eastAsia"/>
        </w:rPr>
        <w:t>质量检查统计的均方相对误差不得超过</w:t>
      </w:r>
      <w:r>
        <w:t>5%</w:t>
      </w:r>
      <w:r>
        <w:rPr>
          <w:rFonts w:hint="eastAsia"/>
        </w:rPr>
        <w:t>；</w:t>
      </w:r>
    </w:p>
    <w:p>
      <w:pPr>
        <w:ind w:firstLine="420" w:firstLineChars="200"/>
      </w:pPr>
      <w:r>
        <w:t xml:space="preserve">3  </w:t>
      </w:r>
      <w:r>
        <w:rPr>
          <w:rFonts w:hint="eastAsia"/>
        </w:rPr>
        <w:t>当抽查的外业数据质量不满足要求时，应增加检查量；当检查量达到工作总量的</w:t>
      </w:r>
      <w:r>
        <w:t>20%</w:t>
      </w:r>
      <w:r>
        <w:rPr>
          <w:rFonts w:hint="eastAsia"/>
        </w:rPr>
        <w:t>，质量仍不满足要求时，应重新探测。</w:t>
      </w:r>
    </w:p>
    <w:p>
      <w:r>
        <w:rPr>
          <w:rFonts w:hint="eastAsia"/>
        </w:rPr>
        <w:t>6</w:t>
      </w:r>
      <w:r>
        <w:t xml:space="preserve">.3.11  </w:t>
      </w:r>
      <w:r>
        <w:rPr>
          <w:rFonts w:hint="eastAsia"/>
        </w:rPr>
        <w:t>高密度电阻率法资料解释可按《城市地下病害体综合探测与风险评估技术标准》JGJ/T437规定执行，并按照表6.3.11进行病害体识别。</w:t>
      </w:r>
    </w:p>
    <w:p>
      <w:pPr>
        <w:pStyle w:val="74"/>
        <w:spacing w:before="0" w:beforeAutospacing="0" w:after="0" w:afterAutospacing="0" w:line="360" w:lineRule="auto"/>
        <w:jc w:val="center"/>
        <w:rPr>
          <w:rFonts w:ascii="Times New Roman" w:hAnsi="Times New Roman" w:cs="Times New Roman"/>
          <w:b/>
          <w:sz w:val="21"/>
          <w:szCs w:val="21"/>
        </w:rPr>
      </w:pPr>
      <w:r>
        <w:rPr>
          <w:rFonts w:hint="eastAsia" w:ascii="Times" w:hAnsi="Times"/>
          <w:b/>
          <w:sz w:val="21"/>
          <w:szCs w:val="21"/>
        </w:rPr>
        <w:t>表</w:t>
      </w:r>
      <w:r>
        <w:rPr>
          <w:rFonts w:ascii="Times" w:hAnsi="Times"/>
          <w:b/>
          <w:sz w:val="21"/>
          <w:szCs w:val="21"/>
        </w:rPr>
        <w:t>6.3.11</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地下病害体的高密度电阻率法电性特征</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61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隐患类型</w:t>
            </w:r>
          </w:p>
        </w:tc>
        <w:tc>
          <w:tcPr>
            <w:tcW w:w="612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电性特征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疏松体</w:t>
            </w:r>
          </w:p>
        </w:tc>
        <w:tc>
          <w:tcPr>
            <w:tcW w:w="612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地下水位以上的疏松体的电阻率特征表现为相对高阻异常。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富水体</w:t>
            </w:r>
          </w:p>
        </w:tc>
        <w:tc>
          <w:tcPr>
            <w:tcW w:w="612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富水体的电阻率特征表现为相对低阻异常。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86"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空洞</w:t>
            </w:r>
          </w:p>
        </w:tc>
        <w:tc>
          <w:tcPr>
            <w:tcW w:w="612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 xml:space="preserve">1  </w:t>
            </w:r>
            <w:r>
              <w:rPr>
                <w:rFonts w:hint="eastAsia" w:ascii="Times New Roman" w:hAnsi="Times New Roman" w:cs="Times New Roman"/>
                <w:sz w:val="18"/>
                <w:szCs w:val="18"/>
              </w:rPr>
              <w:t>空洞有水充填时，其电阻率特征表现为相对低阻异常；</w:t>
            </w:r>
          </w:p>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 xml:space="preserve">2  </w:t>
            </w:r>
            <w:r>
              <w:rPr>
                <w:rFonts w:hint="eastAsia" w:ascii="Times New Roman" w:hAnsi="Times New Roman" w:cs="Times New Roman"/>
                <w:sz w:val="18"/>
                <w:szCs w:val="18"/>
              </w:rPr>
              <w:t>空洞无水充填时，其电阻率特征表现为相对高阻异常。</w:t>
            </w:r>
          </w:p>
        </w:tc>
      </w:tr>
    </w:tbl>
    <w:p>
      <w:pPr>
        <w:spacing w:before="240"/>
      </w:pPr>
      <w:r>
        <w:rPr>
          <w:rFonts w:hint="eastAsia"/>
        </w:rPr>
        <w:t>6</w:t>
      </w:r>
      <w:r>
        <w:t xml:space="preserve">.3.12  </w:t>
      </w:r>
      <w:r>
        <w:rPr>
          <w:rFonts w:hint="eastAsia"/>
        </w:rPr>
        <w:t>高密度电阻率法成果图件应符合下列规定：</w:t>
      </w:r>
    </w:p>
    <w:p>
      <w:pPr>
        <w:ind w:firstLine="420" w:firstLineChars="200"/>
      </w:pPr>
      <w:r>
        <w:t xml:space="preserve">1  </w:t>
      </w:r>
      <w:r>
        <w:rPr>
          <w:rFonts w:hint="eastAsia"/>
        </w:rPr>
        <w:t>成果图宜包括测线平面布置图、断面电阻率等值线图或反演电阻率剖面成果图、隐患平面分布图；</w:t>
      </w:r>
    </w:p>
    <w:p>
      <w:pPr>
        <w:ind w:firstLine="420" w:firstLineChars="200"/>
      </w:pPr>
      <w:r>
        <w:t xml:space="preserve">2  </w:t>
      </w:r>
      <w:r>
        <w:rPr>
          <w:rFonts w:hint="eastAsia"/>
        </w:rPr>
        <w:t>同一场地的电阻率等值线图应设置合理、统一的色标。</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42" w:name="_Toc148468237"/>
      <w:r>
        <w:rPr>
          <w:rStyle w:val="32"/>
          <w:rFonts w:hint="eastAsia" w:ascii="Times New Roman" w:hAnsi="Times New Roman"/>
          <w:bCs w:val="0"/>
          <w:caps w:val="0"/>
          <w:kern w:val="0"/>
          <w:sz w:val="21"/>
          <w:szCs w:val="21"/>
        </w:rPr>
        <w:t>6.</w:t>
      </w:r>
      <w:r>
        <w:rPr>
          <w:rStyle w:val="32"/>
          <w:rFonts w:ascii="Times New Roman" w:hAnsi="Times New Roman"/>
          <w:bCs w:val="0"/>
          <w:caps w:val="0"/>
          <w:kern w:val="0"/>
          <w:sz w:val="21"/>
          <w:szCs w:val="21"/>
        </w:rPr>
        <w:t>4</w:t>
      </w:r>
      <w:r>
        <w:rPr>
          <w:rStyle w:val="32"/>
          <w:rFonts w:hint="eastAsia" w:ascii="Times New Roman" w:hAnsi="Times New Roman"/>
          <w:bCs w:val="0"/>
          <w:caps w:val="0"/>
          <w:kern w:val="0"/>
          <w:sz w:val="21"/>
          <w:szCs w:val="21"/>
        </w:rPr>
        <w:t xml:space="preserve">  瞬态面波法</w:t>
      </w:r>
      <w:bookmarkEnd w:id="42"/>
    </w:p>
    <w:p>
      <w:r>
        <w:t xml:space="preserve">6.4.1  </w:t>
      </w:r>
      <w:r>
        <w:rPr>
          <w:rFonts w:hint="eastAsia"/>
        </w:rPr>
        <w:t>瞬态面波法主要探测20m深度范围内的空洞、疏松体等地下病害。</w:t>
      </w:r>
    </w:p>
    <w:p>
      <w:r>
        <w:rPr>
          <w:rFonts w:hint="eastAsia"/>
        </w:rPr>
        <w:t>6</w:t>
      </w:r>
      <w:r>
        <w:t xml:space="preserve">.4.2  </w:t>
      </w:r>
      <w:r>
        <w:rPr>
          <w:rFonts w:hint="eastAsia"/>
        </w:rPr>
        <w:t>瞬态面波法进行地下病害体探测时应具备下列条件：</w:t>
      </w:r>
    </w:p>
    <w:p>
      <w:pPr>
        <w:ind w:firstLine="420" w:firstLineChars="200"/>
      </w:pPr>
      <w:r>
        <w:t xml:space="preserve">1  </w:t>
      </w:r>
      <w:r>
        <w:rPr>
          <w:rFonts w:hint="eastAsia"/>
        </w:rPr>
        <w:t>隐患与其周边介质之间应存在速度或波阻抗差异；</w:t>
      </w:r>
    </w:p>
    <w:p>
      <w:pPr>
        <w:ind w:firstLine="420" w:firstLineChars="200"/>
      </w:pPr>
      <w:r>
        <w:rPr>
          <w:rFonts w:hint="eastAsia"/>
        </w:rPr>
        <w:t>2</w:t>
      </w:r>
      <w:r>
        <w:t xml:space="preserve">  </w:t>
      </w:r>
      <w:r>
        <w:rPr>
          <w:rFonts w:hint="eastAsia"/>
        </w:rPr>
        <w:t>测区地表相对平坦，无临空面、陡立面，相邻检波器之间的高差应小于1/2道间距；</w:t>
      </w:r>
    </w:p>
    <w:p>
      <w:pPr>
        <w:ind w:firstLine="420" w:firstLineChars="200"/>
      </w:pPr>
      <w:r>
        <w:rPr>
          <w:rFonts w:hint="eastAsia"/>
        </w:rPr>
        <w:t>3</w:t>
      </w:r>
      <w:r>
        <w:t xml:space="preserve">  </w:t>
      </w:r>
      <w:r>
        <w:rPr>
          <w:rFonts w:hint="eastAsia"/>
        </w:rPr>
        <w:t>测区内不应存在较强的震动干扰。</w:t>
      </w:r>
    </w:p>
    <w:p>
      <w:r>
        <w:rPr>
          <w:rFonts w:hint="eastAsia"/>
        </w:rPr>
        <w:t>6</w:t>
      </w:r>
      <w:r>
        <w:t xml:space="preserve">.4.3  </w:t>
      </w:r>
      <w:r>
        <w:rPr>
          <w:rFonts w:hint="eastAsia"/>
        </w:rPr>
        <w:t>瞬态面波法的震源应能激发出频率成分丰富的地震波，宜采用机械落重式、人工锤击式或电磁式震源。</w:t>
      </w:r>
    </w:p>
    <w:p>
      <w:r>
        <w:rPr>
          <w:rFonts w:hint="eastAsia"/>
        </w:rPr>
        <w:t>6.4.4</w:t>
      </w:r>
      <w:r>
        <w:t xml:space="preserve">  </w:t>
      </w:r>
      <w:r>
        <w:rPr>
          <w:rFonts w:hint="eastAsia"/>
        </w:rPr>
        <w:t>瞬态面波法探测的仪器设备、检波器选型、数据采集、病害解释及异常特征识别等相关规定应符合《城市地下病害体综合探测与风险评估技术标准》JGJ/T437有关规定。</w:t>
      </w:r>
    </w:p>
    <w:p>
      <w:r>
        <w:rPr>
          <w:rFonts w:hint="eastAsia"/>
        </w:rPr>
        <w:t>6.4.5</w:t>
      </w:r>
      <w:r>
        <w:t xml:space="preserve">  </w:t>
      </w:r>
      <w:r>
        <w:rPr>
          <w:rFonts w:hint="eastAsia"/>
        </w:rPr>
        <w:t>瞬态面波法测线、测点布设除了应满足6.1.4的通用要求外，还应符合下列规定：</w:t>
      </w:r>
    </w:p>
    <w:p>
      <w:pPr>
        <w:ind w:firstLine="420" w:firstLineChars="200"/>
      </w:pPr>
      <w:r>
        <w:rPr>
          <w:rFonts w:hint="eastAsia"/>
        </w:rPr>
        <w:t>1</w:t>
      </w:r>
      <w:r>
        <w:t xml:space="preserve">  </w:t>
      </w:r>
      <w:r>
        <w:rPr>
          <w:rFonts w:hint="eastAsia"/>
        </w:rPr>
        <w:t>观测方式宜采用单端激发方式或CMP的激发方式，同一测线的观测排列方向应一致；</w:t>
      </w:r>
    </w:p>
    <w:p>
      <w:pPr>
        <w:ind w:firstLine="420" w:firstLineChars="200"/>
      </w:pPr>
      <w:r>
        <w:t xml:space="preserve">2  </w:t>
      </w:r>
      <w:r>
        <w:rPr>
          <w:rFonts w:hint="eastAsia"/>
        </w:rPr>
        <w:t>测点间距应根据探测任务和场地条件确定，不应小于最小目标体地面投影等效直径的</w:t>
      </w:r>
      <w:r>
        <w:t>1/3</w:t>
      </w:r>
      <w:r>
        <w:rPr>
          <w:rFonts w:hint="eastAsia"/>
        </w:rPr>
        <w:t>；每条测线或每个探测目标测点不得少于</w:t>
      </w:r>
      <w:r>
        <w:t>3</w:t>
      </w:r>
      <w:r>
        <w:rPr>
          <w:rFonts w:hint="eastAsia"/>
        </w:rPr>
        <w:t>个，且满足分辨率的要求；</w:t>
      </w:r>
    </w:p>
    <w:p>
      <w:pPr>
        <w:ind w:firstLine="420" w:firstLineChars="200"/>
      </w:pPr>
      <w:r>
        <w:rPr>
          <w:rFonts w:hint="eastAsia"/>
        </w:rPr>
        <w:t>3</w:t>
      </w:r>
      <w:r>
        <w:t xml:space="preserve">  </w:t>
      </w:r>
      <w:r>
        <w:rPr>
          <w:rFonts w:hint="eastAsia"/>
        </w:rPr>
        <w:t>应根据场地地形条件确定测线位置和检波器排列方式；</w:t>
      </w:r>
    </w:p>
    <w:p>
      <w:pPr>
        <w:ind w:firstLine="420" w:firstLineChars="200"/>
      </w:pPr>
      <w:r>
        <w:t xml:space="preserve">4  </w:t>
      </w:r>
      <w:r>
        <w:rPr>
          <w:rFonts w:hint="eastAsia"/>
        </w:rPr>
        <w:t>在满足测点间距要求的前提下，宜采用全排列移动、半排列移动或部分道移动的滚动排列方式追踪地下隐患的分布。</w:t>
      </w:r>
    </w:p>
    <w:p>
      <w:r>
        <w:rPr>
          <w:rFonts w:hint="eastAsia"/>
        </w:rPr>
        <w:t>6</w:t>
      </w:r>
      <w:r>
        <w:t xml:space="preserve">.4.6  </w:t>
      </w:r>
      <w:r>
        <w:rPr>
          <w:rFonts w:hint="eastAsia"/>
        </w:rPr>
        <w:t>瞬态面波法数据采集除应符合现行行业标准《多道瞬态面波勘察技术规程》JGJ/T 143的规定外，还应符合下列规定：</w:t>
      </w:r>
    </w:p>
    <w:p>
      <w:pPr>
        <w:ind w:firstLine="420" w:firstLineChars="200"/>
      </w:pPr>
      <w:r>
        <w:t xml:space="preserve">1  </w:t>
      </w:r>
      <w:r>
        <w:rPr>
          <w:rFonts w:hint="eastAsia"/>
        </w:rPr>
        <w:t>检波器应垂直插入地面，与地表耦合良好；</w:t>
      </w:r>
    </w:p>
    <w:p>
      <w:pPr>
        <w:ind w:firstLine="420" w:firstLineChars="200"/>
      </w:pPr>
      <w:r>
        <w:rPr>
          <w:rFonts w:hint="eastAsia"/>
        </w:rPr>
        <w:t>2</w:t>
      </w:r>
      <w:r>
        <w:t xml:space="preserve">  </w:t>
      </w:r>
      <w:r>
        <w:rPr>
          <w:rFonts w:hint="eastAsia"/>
        </w:rPr>
        <w:t>记录的近震源道不应出现削波，不应出现相邻坏道，非相邻坏道不应超过3道；</w:t>
      </w:r>
    </w:p>
    <w:p>
      <w:pPr>
        <w:ind w:firstLine="420" w:firstLineChars="200"/>
      </w:pPr>
      <w:r>
        <w:rPr>
          <w:rFonts w:hint="eastAsia"/>
        </w:rPr>
        <w:t>3</w:t>
      </w:r>
      <w:r>
        <w:t xml:space="preserve">  </w:t>
      </w:r>
      <w:r>
        <w:rPr>
          <w:rFonts w:hint="eastAsia"/>
        </w:rPr>
        <w:t>排列的道间距应小于最小探测深度所需波长的1/2，最小偏移距应大于检波点距或道间距；</w:t>
      </w:r>
    </w:p>
    <w:p>
      <w:pPr>
        <w:ind w:firstLine="420" w:firstLineChars="200"/>
      </w:pPr>
      <w:r>
        <w:rPr>
          <w:rFonts w:hint="eastAsia"/>
        </w:rPr>
        <w:t>4</w:t>
      </w:r>
      <w:r>
        <w:t xml:space="preserve">  </w:t>
      </w:r>
      <w:r>
        <w:rPr>
          <w:rFonts w:hint="eastAsia"/>
        </w:rPr>
        <w:t>当波形有重要异常、畸变曲线时，应重复观测；</w:t>
      </w:r>
    </w:p>
    <w:p>
      <w:pPr>
        <w:ind w:firstLine="420" w:firstLineChars="200"/>
      </w:pPr>
      <w:r>
        <w:rPr>
          <w:rFonts w:hint="eastAsia"/>
        </w:rPr>
        <w:t>5</w:t>
      </w:r>
      <w:r>
        <w:t xml:space="preserve">  </w:t>
      </w:r>
      <w:r>
        <w:rPr>
          <w:rFonts w:hint="eastAsia"/>
        </w:rPr>
        <w:t>采样记录长度应满足最大源检距基阶面波的采集需要。</w:t>
      </w:r>
    </w:p>
    <w:p>
      <w:r>
        <w:rPr>
          <w:rFonts w:hint="eastAsia"/>
        </w:rPr>
        <w:t>6</w:t>
      </w:r>
      <w:r>
        <w:t xml:space="preserve">.4.7  </w:t>
      </w:r>
      <w:r>
        <w:rPr>
          <w:rFonts w:hint="eastAsia"/>
        </w:rPr>
        <w:t>现场记录宜包含工程名称、工程地点、测试参数、测线编号、文件名、测线位置、环境干扰状况等内容，记录宜符合附录E的规定。</w:t>
      </w:r>
    </w:p>
    <w:p>
      <w:r>
        <w:rPr>
          <w:rFonts w:hint="eastAsia"/>
        </w:rPr>
        <w:t>6.4.8</w:t>
      </w:r>
      <w:r>
        <w:t xml:space="preserve">  </w:t>
      </w:r>
      <w:r>
        <w:rPr>
          <w:rFonts w:hint="eastAsia"/>
        </w:rPr>
        <w:t>瞬态面波法数据处理及异常特征识别等相关规定应符合《城市地下病害体综合探测与风险评估技术标准》JGJ/T437有关规定。</w:t>
      </w:r>
    </w:p>
    <w:p>
      <w:r>
        <w:rPr>
          <w:rFonts w:hint="eastAsia"/>
        </w:rPr>
        <w:t>6.4.9</w:t>
      </w:r>
      <w:r>
        <w:t xml:space="preserve">  </w:t>
      </w:r>
      <w:r>
        <w:rPr>
          <w:rFonts w:hint="eastAsia"/>
        </w:rPr>
        <w:t>瞬态面波法探测成果图件宜包括测线测点平面布置图、典型时间记录、频散曲线图、面波相速度或视横波速度剖面图及地质解释成果图。</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43" w:name="_Toc148468238"/>
      <w:r>
        <w:rPr>
          <w:rStyle w:val="32"/>
          <w:rFonts w:hint="eastAsia" w:ascii="Times New Roman" w:hAnsi="Times New Roman"/>
          <w:bCs w:val="0"/>
          <w:caps w:val="0"/>
          <w:kern w:val="0"/>
          <w:sz w:val="21"/>
          <w:szCs w:val="21"/>
        </w:rPr>
        <w:t>6.</w:t>
      </w:r>
      <w:r>
        <w:rPr>
          <w:rStyle w:val="32"/>
          <w:rFonts w:ascii="Times New Roman" w:hAnsi="Times New Roman"/>
          <w:bCs w:val="0"/>
          <w:caps w:val="0"/>
          <w:kern w:val="0"/>
          <w:sz w:val="21"/>
          <w:szCs w:val="21"/>
        </w:rPr>
        <w:t>5</w:t>
      </w:r>
      <w:r>
        <w:rPr>
          <w:rStyle w:val="32"/>
          <w:rFonts w:hint="eastAsia" w:ascii="Times New Roman" w:hAnsi="Times New Roman"/>
          <w:bCs w:val="0"/>
          <w:caps w:val="0"/>
          <w:kern w:val="0"/>
          <w:sz w:val="21"/>
          <w:szCs w:val="21"/>
        </w:rPr>
        <w:t xml:space="preserve">  地震映像法</w:t>
      </w:r>
      <w:bookmarkEnd w:id="43"/>
    </w:p>
    <w:p>
      <w:r>
        <w:t xml:space="preserve">6.5.1  </w:t>
      </w:r>
      <w:r>
        <w:rPr>
          <w:rFonts w:hint="eastAsia"/>
        </w:rPr>
        <w:t>地震映像法应结合高密度电阻率法等其它方法对20m深度范围内的地下病害体进行复核。</w:t>
      </w:r>
    </w:p>
    <w:p>
      <w:r>
        <w:rPr>
          <w:rFonts w:hint="eastAsia"/>
        </w:rPr>
        <w:t>6.5.2</w:t>
      </w:r>
      <w:r>
        <w:t xml:space="preserve">  </w:t>
      </w:r>
      <w:r>
        <w:rPr>
          <w:rFonts w:hint="eastAsia"/>
        </w:rPr>
        <w:t>地震映像法应根据探测目的、场地条件等因素选择多次覆盖观测系统或单次覆盖观测系统进行探测。</w:t>
      </w:r>
    </w:p>
    <w:p>
      <w:r>
        <w:rPr>
          <w:rFonts w:hint="eastAsia"/>
        </w:rPr>
        <w:t>6.5.3</w:t>
      </w:r>
      <w:r>
        <w:t xml:space="preserve">  </w:t>
      </w:r>
      <w:r>
        <w:rPr>
          <w:rFonts w:hint="eastAsia"/>
        </w:rPr>
        <w:t>地震映像法进行地下病害体探测时应具备下列条件：</w:t>
      </w:r>
    </w:p>
    <w:p>
      <w:pPr>
        <w:ind w:firstLine="420" w:firstLineChars="200"/>
      </w:pPr>
      <w:r>
        <w:t xml:space="preserve">1  </w:t>
      </w:r>
      <w:r>
        <w:rPr>
          <w:rFonts w:hint="eastAsia"/>
        </w:rPr>
        <w:t>隐患与周边介质之间存在明显波阻抗差异，反射系数大于0.01；</w:t>
      </w:r>
    </w:p>
    <w:p>
      <w:pPr>
        <w:ind w:firstLine="420" w:firstLineChars="200"/>
      </w:pPr>
      <w:r>
        <w:rPr>
          <w:rFonts w:hint="eastAsia"/>
        </w:rPr>
        <w:t>2</w:t>
      </w:r>
      <w:r>
        <w:t xml:space="preserve">  </w:t>
      </w:r>
      <w:r>
        <w:rPr>
          <w:rFonts w:hint="eastAsia"/>
        </w:rPr>
        <w:t>探测对象的厚度不宜小于有效波长的1/4，宽度不宜小于地震波的第一菲涅尔带半径；</w:t>
      </w:r>
    </w:p>
    <w:p>
      <w:pPr>
        <w:ind w:firstLine="420" w:firstLineChars="200"/>
      </w:pPr>
      <w:r>
        <w:rPr>
          <w:rFonts w:hint="eastAsia"/>
        </w:rPr>
        <w:t>3</w:t>
      </w:r>
      <w:r>
        <w:t xml:space="preserve">  </w:t>
      </w:r>
      <w:r>
        <w:rPr>
          <w:rFonts w:hint="eastAsia"/>
        </w:rPr>
        <w:t>隐患的几何尺寸与其埋藏深度或探测距离之比不小于0.1；</w:t>
      </w:r>
    </w:p>
    <w:p>
      <w:pPr>
        <w:ind w:firstLine="420" w:firstLineChars="200"/>
      </w:pPr>
      <w:r>
        <w:rPr>
          <w:rFonts w:hint="eastAsia"/>
        </w:rPr>
        <w:t>4</w:t>
      </w:r>
      <w:r>
        <w:t xml:space="preserve">  </w:t>
      </w:r>
      <w:r>
        <w:rPr>
          <w:rFonts w:hint="eastAsia"/>
        </w:rPr>
        <w:t>测区内地表相对平坦，无陡立面。</w:t>
      </w:r>
    </w:p>
    <w:p>
      <w:r>
        <w:rPr>
          <w:rFonts w:hint="eastAsia"/>
        </w:rPr>
        <w:t>6</w:t>
      </w:r>
      <w:r>
        <w:t xml:space="preserve">.5.4  </w:t>
      </w:r>
      <w:r>
        <w:rPr>
          <w:rFonts w:hint="eastAsia"/>
        </w:rPr>
        <w:t>地震映像法仪器设备的主要技术指标应符合下列规定：</w:t>
      </w:r>
    </w:p>
    <w:p>
      <w:pPr>
        <w:ind w:firstLine="420" w:firstLineChars="200"/>
      </w:pPr>
      <w:r>
        <w:rPr>
          <w:rFonts w:hint="eastAsia"/>
        </w:rPr>
        <w:t>1</w:t>
      </w:r>
      <w:r>
        <w:t xml:space="preserve">  </w:t>
      </w:r>
      <w:r>
        <w:rPr>
          <w:rFonts w:hint="eastAsia"/>
        </w:rPr>
        <w:t>最高采样频率不应低于40kHz；</w:t>
      </w:r>
    </w:p>
    <w:p>
      <w:pPr>
        <w:ind w:firstLine="420" w:firstLineChars="200"/>
      </w:pPr>
      <w:r>
        <w:rPr>
          <w:rFonts w:hint="eastAsia"/>
        </w:rPr>
        <w:t>2</w:t>
      </w:r>
      <w:r>
        <w:t xml:space="preserve">  </w:t>
      </w:r>
      <w:r>
        <w:rPr>
          <w:rFonts w:hint="eastAsia"/>
        </w:rPr>
        <w:t>检波器的频带宽度应满足10Hz~1000Hz的范围内；</w:t>
      </w:r>
    </w:p>
    <w:p>
      <w:pPr>
        <w:ind w:firstLine="420" w:firstLineChars="200"/>
      </w:pPr>
      <w:r>
        <w:rPr>
          <w:rFonts w:hint="eastAsia"/>
        </w:rPr>
        <w:t>3</w:t>
      </w:r>
      <w:r>
        <w:t xml:space="preserve">  </w:t>
      </w:r>
      <w:r>
        <w:rPr>
          <w:rFonts w:hint="eastAsia"/>
        </w:rPr>
        <w:t>检波器的动态范围不应低于60dB。</w:t>
      </w:r>
    </w:p>
    <w:p>
      <w:r>
        <w:rPr>
          <w:rFonts w:hint="eastAsia"/>
        </w:rPr>
        <w:t>6</w:t>
      </w:r>
      <w:r>
        <w:t xml:space="preserve">.5.5  </w:t>
      </w:r>
      <w:r>
        <w:rPr>
          <w:rFonts w:hint="eastAsia"/>
        </w:rPr>
        <w:t>探测前进行的有效性试验，应符合下列规定：</w:t>
      </w:r>
    </w:p>
    <w:p>
      <w:pPr>
        <w:ind w:firstLine="420" w:firstLineChars="200"/>
      </w:pPr>
      <w:r>
        <w:rPr>
          <w:rFonts w:hint="eastAsia"/>
        </w:rPr>
        <w:t>1</w:t>
      </w:r>
      <w:r>
        <w:t xml:space="preserve">  </w:t>
      </w:r>
      <w:r>
        <w:rPr>
          <w:rFonts w:hint="eastAsia"/>
        </w:rPr>
        <w:t>调查测区内不同时间段的干扰波和环境噪声类型、强度等，分析其对探测的影响；</w:t>
      </w:r>
    </w:p>
    <w:p>
      <w:pPr>
        <w:ind w:firstLine="420" w:firstLineChars="200"/>
      </w:pPr>
      <w:r>
        <w:rPr>
          <w:rFonts w:hint="eastAsia"/>
        </w:rPr>
        <w:t>2</w:t>
      </w:r>
      <w:r>
        <w:t xml:space="preserve">  </w:t>
      </w:r>
      <w:r>
        <w:rPr>
          <w:rFonts w:hint="eastAsia"/>
        </w:rPr>
        <w:t>确定合适的观测系统和采集参数，采集参数包括激振能量、炮检距、道间距、采样参数等；</w:t>
      </w:r>
    </w:p>
    <w:p>
      <w:pPr>
        <w:ind w:firstLine="420" w:firstLineChars="200"/>
      </w:pPr>
      <w:r>
        <w:rPr>
          <w:rFonts w:hint="eastAsia"/>
        </w:rPr>
        <w:t>3</w:t>
      </w:r>
      <w:r>
        <w:t xml:space="preserve">  </w:t>
      </w:r>
      <w:r>
        <w:rPr>
          <w:rFonts w:hint="eastAsia"/>
        </w:rPr>
        <w:t>试验位置宜选择在测区内地下目标体信息明确的区域。</w:t>
      </w:r>
    </w:p>
    <w:p>
      <w:r>
        <w:rPr>
          <w:rFonts w:hint="eastAsia"/>
        </w:rPr>
        <w:t>6</w:t>
      </w:r>
      <w:r>
        <w:t xml:space="preserve">.5.6  </w:t>
      </w:r>
      <w:r>
        <w:rPr>
          <w:rFonts w:hint="eastAsia"/>
        </w:rPr>
        <w:t>地震映像法测线、测点布设除了应满足6.1.4的通用要求外，还应符合下列规定：</w:t>
      </w:r>
    </w:p>
    <w:p>
      <w:pPr>
        <w:ind w:firstLine="420" w:firstLineChars="200"/>
      </w:pPr>
      <w:r>
        <w:rPr>
          <w:rFonts w:hint="eastAsia"/>
        </w:rPr>
        <w:t>1</w:t>
      </w:r>
      <w:r>
        <w:t xml:space="preserve">  </w:t>
      </w:r>
      <w:r>
        <w:rPr>
          <w:rFonts w:hint="eastAsia"/>
        </w:rPr>
        <w:t>测线宜选择地形起伏较小，表层介质较为均匀的地段布设；</w:t>
      </w:r>
    </w:p>
    <w:p>
      <w:pPr>
        <w:ind w:firstLine="420" w:firstLineChars="200"/>
      </w:pPr>
      <w:r>
        <w:rPr>
          <w:rFonts w:hint="eastAsia"/>
        </w:rPr>
        <w:t>2</w:t>
      </w:r>
      <w:r>
        <w:t xml:space="preserve">  </w:t>
      </w:r>
      <w:r>
        <w:rPr>
          <w:rFonts w:hint="eastAsia"/>
        </w:rPr>
        <w:t>测线宜布设成直线，受场地条件限制时，测线可布设成折线，当遇到陡坎时，应另起新测线；</w:t>
      </w:r>
    </w:p>
    <w:p>
      <w:pPr>
        <w:ind w:firstLine="420" w:firstLineChars="200"/>
      </w:pPr>
      <w:r>
        <w:rPr>
          <w:rFonts w:hint="eastAsia"/>
        </w:rPr>
        <w:t>3</w:t>
      </w:r>
      <w:r>
        <w:t xml:space="preserve">  </w:t>
      </w:r>
      <w:r>
        <w:rPr>
          <w:rFonts w:hint="eastAsia"/>
        </w:rPr>
        <w:t>重点区域宜布设加密测线；</w:t>
      </w:r>
    </w:p>
    <w:p>
      <w:pPr>
        <w:ind w:firstLine="420" w:firstLineChars="200"/>
      </w:pPr>
      <w:r>
        <w:rPr>
          <w:rFonts w:hint="eastAsia"/>
        </w:rPr>
        <w:t>4</w:t>
      </w:r>
      <w:r>
        <w:t xml:space="preserve">  </w:t>
      </w:r>
      <w:r>
        <w:rPr>
          <w:rFonts w:hint="eastAsia"/>
        </w:rPr>
        <w:t>测线宜与其它探测方法测线一致。</w:t>
      </w:r>
    </w:p>
    <w:p>
      <w:r>
        <w:rPr>
          <w:rFonts w:hint="eastAsia"/>
        </w:rPr>
        <w:t>6</w:t>
      </w:r>
      <w:r>
        <w:t xml:space="preserve">.5.7  </w:t>
      </w:r>
      <w:r>
        <w:rPr>
          <w:rFonts w:hint="eastAsia"/>
        </w:rPr>
        <w:t>地震映像法现场数据采集应符合下列规定：</w:t>
      </w:r>
    </w:p>
    <w:p>
      <w:pPr>
        <w:ind w:firstLine="420" w:firstLineChars="200"/>
      </w:pPr>
      <w:r>
        <w:rPr>
          <w:rFonts w:hint="eastAsia"/>
        </w:rPr>
        <w:t>1</w:t>
      </w:r>
      <w:r>
        <w:t xml:space="preserve">  </w:t>
      </w:r>
      <w:r>
        <w:rPr>
          <w:rFonts w:hint="eastAsia"/>
        </w:rPr>
        <w:t>同一条测线探测时应使用相同型号和参数的检波器，并进行道一致性检查和检波器一致性检查；</w:t>
      </w:r>
    </w:p>
    <w:p>
      <w:pPr>
        <w:ind w:firstLine="420" w:firstLineChars="200"/>
      </w:pPr>
      <w:r>
        <w:rPr>
          <w:rFonts w:hint="eastAsia"/>
        </w:rPr>
        <w:t>2</w:t>
      </w:r>
      <w:r>
        <w:t xml:space="preserve">  </w:t>
      </w:r>
      <w:r>
        <w:rPr>
          <w:rFonts w:hint="eastAsia"/>
        </w:rPr>
        <w:t>各点激发能量宜一致；</w:t>
      </w:r>
    </w:p>
    <w:p>
      <w:pPr>
        <w:ind w:firstLine="420" w:firstLineChars="200"/>
      </w:pPr>
      <w:r>
        <w:rPr>
          <w:rFonts w:hint="eastAsia"/>
        </w:rPr>
        <w:t>3</w:t>
      </w:r>
      <w:r>
        <w:t xml:space="preserve">  </w:t>
      </w:r>
      <w:r>
        <w:rPr>
          <w:rFonts w:hint="eastAsia"/>
        </w:rPr>
        <w:t>宜选择振动干扰较小的时段进行现场工作；</w:t>
      </w:r>
    </w:p>
    <w:p>
      <w:pPr>
        <w:ind w:firstLine="420" w:firstLineChars="200"/>
      </w:pPr>
      <w:r>
        <w:rPr>
          <w:rFonts w:hint="eastAsia"/>
        </w:rPr>
        <w:t>4</w:t>
      </w:r>
      <w:r>
        <w:t xml:space="preserve">  </w:t>
      </w:r>
      <w:r>
        <w:rPr>
          <w:rFonts w:hint="eastAsia"/>
        </w:rPr>
        <w:t>当采用多次覆盖观测系统时，最大炮间距应小于地下异常的埋深；当单次覆盖观测系统时，偏移距应小于地下异常的埋深；</w:t>
      </w:r>
    </w:p>
    <w:p>
      <w:pPr>
        <w:ind w:firstLine="420" w:firstLineChars="200"/>
      </w:pPr>
      <w:r>
        <w:rPr>
          <w:rFonts w:hint="eastAsia"/>
        </w:rPr>
        <w:t>5</w:t>
      </w:r>
      <w:r>
        <w:t xml:space="preserve">  </w:t>
      </w:r>
      <w:r>
        <w:rPr>
          <w:rFonts w:hint="eastAsia"/>
        </w:rPr>
        <w:t>采样频率应大于40KHz，采样时间长度不得小于20ms；</w:t>
      </w:r>
    </w:p>
    <w:p>
      <w:pPr>
        <w:ind w:firstLine="420" w:firstLineChars="200"/>
      </w:pPr>
      <w:r>
        <w:rPr>
          <w:rFonts w:hint="eastAsia"/>
        </w:rPr>
        <w:t>6</w:t>
      </w:r>
      <w:r>
        <w:t xml:space="preserve">  </w:t>
      </w:r>
      <w:r>
        <w:rPr>
          <w:rFonts w:hint="eastAsia"/>
        </w:rPr>
        <w:t>当发现疑似地下病害体时，应记录位置，并复核。</w:t>
      </w:r>
    </w:p>
    <w:p>
      <w:r>
        <w:rPr>
          <w:rFonts w:hint="eastAsia"/>
        </w:rPr>
        <w:t>6</w:t>
      </w:r>
      <w:r>
        <w:t xml:space="preserve">.5.8  </w:t>
      </w:r>
      <w:r>
        <w:rPr>
          <w:rFonts w:hint="eastAsia"/>
        </w:rPr>
        <w:t>现场记录宜包含工程名称、工程地点、检波器数量、测试参数、文件名、测线编号、测线位置和环境干扰状况等内容，记录宜符合附录F的规定。</w:t>
      </w:r>
    </w:p>
    <w:p>
      <w:r>
        <w:rPr>
          <w:rFonts w:hint="eastAsia"/>
        </w:rPr>
        <w:t>6.5.9</w:t>
      </w:r>
      <w:r>
        <w:t xml:space="preserve">  </w:t>
      </w:r>
      <w:r>
        <w:rPr>
          <w:rFonts w:hint="eastAsia"/>
        </w:rPr>
        <w:t>采集数据剖面应记录清晰，信噪比应符合数据处理、解释的要求。</w:t>
      </w:r>
    </w:p>
    <w:p>
      <w:r>
        <w:rPr>
          <w:rFonts w:hint="eastAsia"/>
        </w:rPr>
        <w:t>6.5.10</w:t>
      </w:r>
      <w:r>
        <w:t xml:space="preserve">  </w:t>
      </w:r>
      <w:r>
        <w:rPr>
          <w:rFonts w:hint="eastAsia"/>
        </w:rPr>
        <w:t>地震映像法数据处理及异常特征识别等相关规定应符合《城市地下病害体综合探测与风险评估技术标准》（JGJ/T437）有关规定。</w:t>
      </w:r>
    </w:p>
    <w:p>
      <w:r>
        <w:rPr>
          <w:rFonts w:hint="eastAsia"/>
        </w:rPr>
        <w:t>6.5.11</w:t>
      </w:r>
      <w:r>
        <w:t xml:space="preserve">  </w:t>
      </w:r>
      <w:r>
        <w:rPr>
          <w:rFonts w:hint="eastAsia"/>
        </w:rPr>
        <w:t>地震映像法探测成果图件宜包括：</w:t>
      </w:r>
    </w:p>
    <w:p>
      <w:pPr>
        <w:ind w:firstLine="420" w:firstLineChars="200"/>
      </w:pPr>
      <w:r>
        <w:rPr>
          <w:rFonts w:hint="eastAsia"/>
        </w:rPr>
        <w:t>1</w:t>
      </w:r>
      <w:r>
        <w:t xml:space="preserve">  </w:t>
      </w:r>
      <w:r>
        <w:rPr>
          <w:rFonts w:hint="eastAsia"/>
        </w:rPr>
        <w:t>地震映像测线平面布置图、地震映像剖面图、隐患平面分布图；</w:t>
      </w:r>
    </w:p>
    <w:p>
      <w:pPr>
        <w:ind w:firstLine="420" w:firstLineChars="200"/>
      </w:pPr>
      <w:r>
        <w:rPr>
          <w:rFonts w:hint="eastAsia"/>
        </w:rPr>
        <w:t>2</w:t>
      </w:r>
      <w:r>
        <w:t xml:space="preserve">  </w:t>
      </w:r>
      <w:r>
        <w:rPr>
          <w:rFonts w:hint="eastAsia"/>
        </w:rPr>
        <w:t>地下病害平面分布图、解释成果图等。</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44" w:name="_Toc148468239"/>
      <w:r>
        <w:rPr>
          <w:rStyle w:val="32"/>
          <w:rFonts w:hint="eastAsia" w:ascii="Times New Roman" w:hAnsi="Times New Roman"/>
          <w:bCs w:val="0"/>
          <w:caps w:val="0"/>
          <w:kern w:val="0"/>
          <w:sz w:val="21"/>
          <w:szCs w:val="21"/>
        </w:rPr>
        <w:t>6.</w:t>
      </w:r>
      <w:r>
        <w:rPr>
          <w:rStyle w:val="32"/>
          <w:rFonts w:ascii="Times New Roman" w:hAnsi="Times New Roman"/>
          <w:bCs w:val="0"/>
          <w:caps w:val="0"/>
          <w:kern w:val="0"/>
          <w:sz w:val="21"/>
          <w:szCs w:val="21"/>
        </w:rPr>
        <w:t>6</w:t>
      </w:r>
      <w:r>
        <w:rPr>
          <w:rStyle w:val="32"/>
          <w:rFonts w:hint="eastAsia" w:ascii="Times New Roman" w:hAnsi="Times New Roman"/>
          <w:bCs w:val="0"/>
          <w:caps w:val="0"/>
          <w:kern w:val="0"/>
          <w:sz w:val="21"/>
          <w:szCs w:val="21"/>
        </w:rPr>
        <w:t xml:space="preserve">  微动勘探法</w:t>
      </w:r>
      <w:bookmarkEnd w:id="44"/>
    </w:p>
    <w:p>
      <w:r>
        <w:t xml:space="preserve">6.6.1  </w:t>
      </w:r>
      <w:r>
        <w:rPr>
          <w:rFonts w:hint="eastAsia"/>
        </w:rPr>
        <w:t>微动勘探法主要探测30m深度范围内的空洞、疏松体等地下病害。</w:t>
      </w:r>
    </w:p>
    <w:p>
      <w:r>
        <w:rPr>
          <w:rFonts w:hint="eastAsia"/>
        </w:rPr>
        <w:t>6.6.2</w:t>
      </w:r>
      <w:r>
        <w:t xml:space="preserve">  </w:t>
      </w:r>
      <w:r>
        <w:rPr>
          <w:rFonts w:hint="eastAsia"/>
        </w:rPr>
        <w:t>微动勘探法进行地下病害体探测时应具备下列条件：</w:t>
      </w:r>
    </w:p>
    <w:p>
      <w:pPr>
        <w:ind w:firstLine="420" w:firstLineChars="200"/>
      </w:pPr>
      <w:r>
        <w:rPr>
          <w:rFonts w:hint="eastAsia"/>
        </w:rPr>
        <w:t>1</w:t>
      </w:r>
      <w:r>
        <w:t xml:space="preserve">  </w:t>
      </w:r>
      <w:r>
        <w:rPr>
          <w:rFonts w:hint="eastAsia"/>
        </w:rPr>
        <w:t>隐患与其周边介质之间存在波阻抗差异；</w:t>
      </w:r>
    </w:p>
    <w:p>
      <w:pPr>
        <w:ind w:firstLine="420" w:firstLineChars="200"/>
      </w:pPr>
      <w:r>
        <w:rPr>
          <w:rFonts w:hint="eastAsia"/>
        </w:rPr>
        <w:t>2</w:t>
      </w:r>
      <w:r>
        <w:t xml:space="preserve">  </w:t>
      </w:r>
      <w:r>
        <w:rPr>
          <w:rFonts w:hint="eastAsia"/>
        </w:rPr>
        <w:t>隐患的尺寸与其埋藏深度之比应大于1/10；</w:t>
      </w:r>
    </w:p>
    <w:p>
      <w:pPr>
        <w:ind w:firstLine="420" w:firstLineChars="200"/>
      </w:pPr>
      <w:r>
        <w:rPr>
          <w:rFonts w:hint="eastAsia"/>
        </w:rPr>
        <w:t>3</w:t>
      </w:r>
      <w:r>
        <w:t xml:space="preserve">  </w:t>
      </w:r>
      <w:r>
        <w:rPr>
          <w:rFonts w:hint="eastAsia"/>
        </w:rPr>
        <w:t>测区内地表应相对平坦。</w:t>
      </w:r>
    </w:p>
    <w:p>
      <w:r>
        <w:rPr>
          <w:rFonts w:hint="eastAsia"/>
        </w:rPr>
        <w:t>6</w:t>
      </w:r>
      <w:r>
        <w:t xml:space="preserve">.6.3  </w:t>
      </w:r>
      <w:r>
        <w:rPr>
          <w:rFonts w:hint="eastAsia"/>
        </w:rPr>
        <w:t>微动勘探法的仪器设备、拾振器选型和布置、数据采集及成果解释等相关规定应符合《城市地下病害体综合探测与风险评估技术标准》JGJ/T437有关规定。</w:t>
      </w:r>
    </w:p>
    <w:p>
      <w:r>
        <w:rPr>
          <w:rFonts w:hint="eastAsia"/>
        </w:rPr>
        <w:t>6.6.4</w:t>
      </w:r>
      <w:r>
        <w:t xml:space="preserve">  </w:t>
      </w:r>
      <w:r>
        <w:rPr>
          <w:rFonts w:hint="eastAsia"/>
        </w:rPr>
        <w:t>宜根据探测目标体的深度、现场工作条件等因素，选择采用圆形、内嵌三角形、T形、L形、十字形或密集台阵等观测方式。</w:t>
      </w:r>
    </w:p>
    <w:p>
      <w:r>
        <w:rPr>
          <w:rFonts w:hint="eastAsia"/>
        </w:rPr>
        <w:t>6.6.5</w:t>
      </w:r>
      <w:r>
        <w:t xml:space="preserve">  </w:t>
      </w:r>
      <w:r>
        <w:rPr>
          <w:rFonts w:hint="eastAsia"/>
        </w:rPr>
        <w:t>现场记录宜包含工程名称、工程地点、台阵形式、测试参数、文件名、测线编号、测点编号、测试时间和环境干扰状况等内容，记录宜符合附录G的规定。</w:t>
      </w:r>
    </w:p>
    <w:p>
      <w:r>
        <w:rPr>
          <w:rFonts w:hint="eastAsia"/>
        </w:rPr>
        <w:t>6.6.6</w:t>
      </w:r>
      <w:r>
        <w:t xml:space="preserve">  </w:t>
      </w:r>
      <w:r>
        <w:rPr>
          <w:rFonts w:hint="eastAsia"/>
        </w:rPr>
        <w:t>当采用微动勘探法探测时，地下病害体的微动勘探法异常特征可参考表6.6.6进行识别。</w:t>
      </w:r>
    </w:p>
    <w:p>
      <w:pPr>
        <w:pStyle w:val="74"/>
        <w:spacing w:before="0" w:beforeAutospacing="0" w:after="0" w:afterAutospacing="0" w:line="360" w:lineRule="auto"/>
        <w:jc w:val="center"/>
        <w:rPr>
          <w:rFonts w:ascii="Times New Roman" w:hAnsi="Times New Roman" w:cs="Times New Roman"/>
          <w:b/>
          <w:sz w:val="21"/>
          <w:szCs w:val="21"/>
        </w:rPr>
      </w:pPr>
      <w:r>
        <w:rPr>
          <w:rFonts w:hint="eastAsia" w:ascii="Times" w:hAnsi="Times"/>
          <w:b/>
          <w:sz w:val="21"/>
          <w:szCs w:val="21"/>
        </w:rPr>
        <w:t>表</w:t>
      </w:r>
      <w:r>
        <w:rPr>
          <w:rFonts w:ascii="Times" w:hAnsi="Times"/>
          <w:b/>
          <w:sz w:val="21"/>
          <w:szCs w:val="21"/>
        </w:rPr>
        <w:t>6.6.6</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地下病害体的微动勘探法特征</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42"/>
        <w:gridCol w:w="1843"/>
        <w:gridCol w:w="1204"/>
        <w:gridCol w:w="1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隐患类型</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面波相速度特征</w:t>
            </w:r>
          </w:p>
        </w:tc>
        <w:tc>
          <w:tcPr>
            <w:tcW w:w="1843"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视横波速度剖面特征</w:t>
            </w:r>
          </w:p>
        </w:tc>
        <w:tc>
          <w:tcPr>
            <w:tcW w:w="1204"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时间域特征</w:t>
            </w:r>
          </w:p>
        </w:tc>
        <w:tc>
          <w:tcPr>
            <w:tcW w:w="194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频率域特征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978"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疏松体</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与周边正常地层相比，速度降低较明显。</w:t>
            </w:r>
          </w:p>
        </w:tc>
        <w:tc>
          <w:tcPr>
            <w:tcW w:w="1843"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与周边正常地层相比，表现为较明显的低速异常。</w:t>
            </w:r>
          </w:p>
        </w:tc>
        <w:tc>
          <w:tcPr>
            <w:tcW w:w="1204"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波组杂乱，分布不规则。</w:t>
            </w:r>
          </w:p>
        </w:tc>
        <w:tc>
          <w:tcPr>
            <w:tcW w:w="194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高频段表现量值较大，能量团较分散，频散曲线存在</w:t>
            </w:r>
            <w:r>
              <w:rPr>
                <w:rFonts w:ascii="Times New Roman" w:hAnsi="Times New Roman" w:cs="Times New Roman"/>
                <w:sz w:val="18"/>
                <w:szCs w:val="18"/>
              </w:rPr>
              <w:t>“</w:t>
            </w:r>
            <w:r>
              <w:rPr>
                <w:rFonts w:hint="eastAsia" w:ascii="Times New Roman" w:hAnsi="Times New Roman" w:cs="Times New Roman"/>
                <w:sz w:val="18"/>
                <w:szCs w:val="18"/>
              </w:rPr>
              <w:t>之</w:t>
            </w:r>
            <w:r>
              <w:rPr>
                <w:rFonts w:ascii="Times New Roman" w:hAnsi="Times New Roman" w:cs="Times New Roman"/>
                <w:sz w:val="18"/>
                <w:szCs w:val="18"/>
              </w:rPr>
              <w:t>”</w:t>
            </w:r>
            <w:r>
              <w:rPr>
                <w:rFonts w:hint="eastAsia" w:ascii="Times New Roman" w:hAnsi="Times New Roman" w:cs="Times New Roman"/>
                <w:sz w:val="18"/>
                <w:szCs w:val="18"/>
              </w:rPr>
              <w:t>字形拐点，不易提取完整的频散曲线。</w:t>
            </w:r>
          </w:p>
        </w:tc>
      </w:tr>
    </w:tbl>
    <w:p>
      <w:pPr>
        <w:pStyle w:val="74"/>
        <w:spacing w:before="0" w:beforeAutospacing="0" w:after="0" w:afterAutospacing="0" w:line="360" w:lineRule="auto"/>
        <w:jc w:val="center"/>
        <w:rPr>
          <w:rFonts w:ascii="Times" w:hAnsi="Times"/>
          <w:b/>
          <w:sz w:val="21"/>
          <w:szCs w:val="21"/>
        </w:rPr>
      </w:pPr>
    </w:p>
    <w:p>
      <w:pPr>
        <w:pStyle w:val="74"/>
        <w:spacing w:before="0" w:beforeAutospacing="0" w:after="0" w:afterAutospacing="0" w:line="360" w:lineRule="auto"/>
        <w:jc w:val="center"/>
        <w:rPr>
          <w:rFonts w:ascii="Times New Roman" w:hAnsi="Times New Roman" w:cs="Times New Roman"/>
          <w:bCs/>
          <w:sz w:val="21"/>
          <w:szCs w:val="21"/>
        </w:rPr>
      </w:pPr>
      <w:r>
        <w:rPr>
          <w:rFonts w:hint="eastAsia" w:ascii="Times" w:hAnsi="Times"/>
          <w:bCs/>
          <w:sz w:val="21"/>
          <w:szCs w:val="21"/>
        </w:rPr>
        <w:t>续表</w:t>
      </w:r>
      <w:r>
        <w:rPr>
          <w:rFonts w:ascii="Times" w:hAnsi="Times"/>
          <w:bCs/>
          <w:sz w:val="21"/>
          <w:szCs w:val="21"/>
        </w:rPr>
        <w:t>6.6.6</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842"/>
        <w:gridCol w:w="1843"/>
        <w:gridCol w:w="1204"/>
        <w:gridCol w:w="1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隐患类型</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面波相速度特征</w:t>
            </w:r>
          </w:p>
        </w:tc>
        <w:tc>
          <w:tcPr>
            <w:tcW w:w="1843"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视横波速度剖面特征</w:t>
            </w:r>
          </w:p>
        </w:tc>
        <w:tc>
          <w:tcPr>
            <w:tcW w:w="1204"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时间域特征</w:t>
            </w:r>
          </w:p>
        </w:tc>
        <w:tc>
          <w:tcPr>
            <w:tcW w:w="194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频率域特征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空洞或脱空</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与周边正常地层相比，速度降低明显。</w:t>
            </w:r>
          </w:p>
        </w:tc>
        <w:tc>
          <w:tcPr>
            <w:tcW w:w="1843"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与周边正常地层相比，表现为明显的低速异常，圈闭特征明显。</w:t>
            </w:r>
          </w:p>
        </w:tc>
        <w:tc>
          <w:tcPr>
            <w:tcW w:w="1204"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边界波组杂乱，局部存在镜像波。</w:t>
            </w:r>
          </w:p>
        </w:tc>
        <w:tc>
          <w:tcPr>
            <w:tcW w:w="194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高频段表现量值大，频散曲线变化剧烈，</w:t>
            </w:r>
            <w:r>
              <w:rPr>
                <w:rFonts w:ascii="Times New Roman" w:hAnsi="Times New Roman" w:cs="Times New Roman"/>
                <w:sz w:val="18"/>
                <w:szCs w:val="18"/>
              </w:rPr>
              <w:t>“</w:t>
            </w:r>
            <w:r>
              <w:rPr>
                <w:rFonts w:hint="eastAsia" w:ascii="Times New Roman" w:hAnsi="Times New Roman" w:cs="Times New Roman"/>
                <w:sz w:val="18"/>
                <w:szCs w:val="18"/>
              </w:rPr>
              <w:t>之</w:t>
            </w:r>
            <w:r>
              <w:rPr>
                <w:rFonts w:ascii="Times New Roman" w:hAnsi="Times New Roman" w:cs="Times New Roman"/>
                <w:sz w:val="18"/>
                <w:szCs w:val="18"/>
              </w:rPr>
              <w:t>”</w:t>
            </w:r>
            <w:r>
              <w:rPr>
                <w:rFonts w:hint="eastAsia" w:ascii="Times New Roman" w:hAnsi="Times New Roman" w:cs="Times New Roman"/>
                <w:sz w:val="18"/>
                <w:szCs w:val="18"/>
              </w:rPr>
              <w:t>字形拐点明显。</w:t>
            </w:r>
          </w:p>
        </w:tc>
      </w:tr>
    </w:tbl>
    <w:p>
      <w:pPr>
        <w:spacing w:before="240"/>
      </w:pPr>
      <w:r>
        <w:rPr>
          <w:rFonts w:hint="eastAsia"/>
        </w:rPr>
        <w:t>6</w:t>
      </w:r>
      <w:r>
        <w:t xml:space="preserve">.6.7  </w:t>
      </w:r>
      <w:r>
        <w:rPr>
          <w:rFonts w:hint="eastAsia"/>
        </w:rPr>
        <w:t>微动勘探法成果图件宜包括测线测点平面布置图、典型时间记录、频散曲线、H/V曲线及视横波速度剖面或相速度剖面、地质解释成果图等。</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45" w:name="_Toc148468240"/>
      <w:r>
        <w:rPr>
          <w:rStyle w:val="32"/>
          <w:rFonts w:hint="eastAsia" w:ascii="Times New Roman" w:hAnsi="Times New Roman"/>
          <w:bCs w:val="0"/>
          <w:caps w:val="0"/>
          <w:kern w:val="0"/>
          <w:sz w:val="21"/>
          <w:szCs w:val="21"/>
        </w:rPr>
        <w:t>6.</w:t>
      </w:r>
      <w:r>
        <w:rPr>
          <w:rStyle w:val="32"/>
          <w:rFonts w:ascii="Times New Roman" w:hAnsi="Times New Roman"/>
          <w:bCs w:val="0"/>
          <w:caps w:val="0"/>
          <w:kern w:val="0"/>
          <w:sz w:val="21"/>
          <w:szCs w:val="21"/>
        </w:rPr>
        <w:t>7</w:t>
      </w:r>
      <w:r>
        <w:rPr>
          <w:rStyle w:val="32"/>
          <w:rFonts w:hint="eastAsia" w:ascii="Times New Roman" w:hAnsi="Times New Roman"/>
          <w:bCs w:val="0"/>
          <w:caps w:val="0"/>
          <w:kern w:val="0"/>
          <w:sz w:val="21"/>
          <w:szCs w:val="21"/>
        </w:rPr>
        <w:t xml:space="preserve">  瞬变电磁法</w:t>
      </w:r>
      <w:bookmarkEnd w:id="45"/>
    </w:p>
    <w:p>
      <w:r>
        <w:t xml:space="preserve">6.7.1  </w:t>
      </w:r>
      <w:r>
        <w:rPr>
          <w:rFonts w:hint="eastAsia"/>
        </w:rPr>
        <w:t>瞬变电磁法主要探测30m深度范围内的空洞、疏松体和富水体等地下病害。</w:t>
      </w:r>
    </w:p>
    <w:p>
      <w:r>
        <w:rPr>
          <w:rFonts w:hint="eastAsia"/>
        </w:rPr>
        <w:t>6.7.2</w:t>
      </w:r>
      <w:r>
        <w:t xml:space="preserve">  </w:t>
      </w:r>
      <w:r>
        <w:rPr>
          <w:rFonts w:hint="eastAsia"/>
        </w:rPr>
        <w:t>瞬变电磁法探测地下病害体应具备下列条件：</w:t>
      </w:r>
    </w:p>
    <w:p>
      <w:pPr>
        <w:ind w:firstLine="420" w:firstLineChars="200"/>
      </w:pPr>
      <w:r>
        <w:rPr>
          <w:rFonts w:hint="eastAsia"/>
        </w:rPr>
        <w:t>1</w:t>
      </w:r>
      <w:r>
        <w:t xml:space="preserve">  </w:t>
      </w:r>
      <w:r>
        <w:rPr>
          <w:rFonts w:hint="eastAsia"/>
        </w:rPr>
        <w:t>地下病害体与周边介质之间存在电性差异；</w:t>
      </w:r>
    </w:p>
    <w:p>
      <w:pPr>
        <w:ind w:firstLine="420" w:firstLineChars="200"/>
      </w:pPr>
      <w:r>
        <w:rPr>
          <w:rFonts w:hint="eastAsia"/>
        </w:rPr>
        <w:t>2</w:t>
      </w:r>
      <w:r>
        <w:t xml:space="preserve">  </w:t>
      </w:r>
      <w:r>
        <w:rPr>
          <w:rFonts w:hint="eastAsia"/>
        </w:rPr>
        <w:t>测区内地表相对平坦；</w:t>
      </w:r>
    </w:p>
    <w:p>
      <w:pPr>
        <w:ind w:firstLine="420" w:firstLineChars="200"/>
      </w:pPr>
      <w:r>
        <w:rPr>
          <w:rFonts w:hint="eastAsia"/>
        </w:rPr>
        <w:t>3</w:t>
      </w:r>
      <w:r>
        <w:t xml:space="preserve">  </w:t>
      </w:r>
      <w:r>
        <w:rPr>
          <w:rFonts w:hint="eastAsia"/>
        </w:rPr>
        <w:t>测区内没有强电磁干扰。</w:t>
      </w:r>
    </w:p>
    <w:p>
      <w:r>
        <w:rPr>
          <w:rFonts w:hint="eastAsia"/>
        </w:rPr>
        <w:t>6.7.3</w:t>
      </w:r>
      <w:r>
        <w:t xml:space="preserve">  </w:t>
      </w:r>
      <w:r>
        <w:rPr>
          <w:rFonts w:hint="eastAsia"/>
        </w:rPr>
        <w:t>瞬变电磁法的仪器设备、中心回线装置和等值反磁通装置选型、数据采集及数据处理等相关规定应符合《城市地下病害体综合探测与风险评估技术标准》JGJ/T437有关规定。</w:t>
      </w:r>
    </w:p>
    <w:p>
      <w:r>
        <w:rPr>
          <w:rFonts w:hint="eastAsia"/>
        </w:rPr>
        <w:t>6.7.4</w:t>
      </w:r>
      <w:r>
        <w:t xml:space="preserve">  </w:t>
      </w:r>
      <w:r>
        <w:rPr>
          <w:rFonts w:hint="eastAsia"/>
        </w:rPr>
        <w:t>瞬变电磁法的测线、测点布置除了应符合6.1.4的通用要求外，还应符合以下规定：</w:t>
      </w:r>
    </w:p>
    <w:p>
      <w:pPr>
        <w:ind w:firstLine="420" w:firstLineChars="200"/>
      </w:pPr>
      <w:r>
        <w:rPr>
          <w:rFonts w:hint="eastAsia"/>
        </w:rPr>
        <w:t>1</w:t>
      </w:r>
      <w:r>
        <w:t xml:space="preserve">  </w:t>
      </w:r>
      <w:r>
        <w:rPr>
          <w:rFonts w:hint="eastAsia"/>
        </w:rPr>
        <w:t>点距与线距应能完整反映探测目标的分布；</w:t>
      </w:r>
    </w:p>
    <w:p>
      <w:pPr>
        <w:ind w:firstLine="420" w:firstLineChars="200"/>
      </w:pPr>
      <w:r>
        <w:rPr>
          <w:rFonts w:hint="eastAsia"/>
        </w:rPr>
        <w:t>2</w:t>
      </w:r>
      <w:r>
        <w:t xml:space="preserve">  </w:t>
      </w:r>
      <w:r>
        <w:rPr>
          <w:rFonts w:hint="eastAsia"/>
        </w:rPr>
        <w:t>测线宜按直线布置。</w:t>
      </w:r>
    </w:p>
    <w:p>
      <w:r>
        <w:rPr>
          <w:rFonts w:hint="eastAsia"/>
        </w:rPr>
        <w:t>6.7.5</w:t>
      </w:r>
      <w:r>
        <w:t xml:space="preserve">  </w:t>
      </w:r>
      <w:r>
        <w:rPr>
          <w:rFonts w:hint="eastAsia"/>
        </w:rPr>
        <w:t>现场记录宜包含探测地点、装置参数、测试参数、文件名、测线号、测点号和环境干扰状况等内容，记录宜符合附录H的规定。</w:t>
      </w:r>
    </w:p>
    <w:p>
      <w:r>
        <w:rPr>
          <w:rFonts w:hint="eastAsia"/>
        </w:rPr>
        <w:t>6.7.6</w:t>
      </w:r>
      <w:r>
        <w:t xml:space="preserve">  </w:t>
      </w:r>
      <w:r>
        <w:rPr>
          <w:rFonts w:hint="eastAsia"/>
        </w:rPr>
        <w:t>瞬变电磁法资料解释可按现行行业标准《城市地下病害体综合探测与风险评估技术标准》JGJ/T437规定执行，并按照表6.7.6进行病害体识别。</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6.7.6</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地下病害体的瞬变电磁法识别特征</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3261"/>
        <w:gridCol w:w="3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地下病害体</w:t>
            </w:r>
          </w:p>
        </w:tc>
        <w:tc>
          <w:tcPr>
            <w:tcW w:w="3261"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二次场衰减</w:t>
            </w:r>
          </w:p>
        </w:tc>
        <w:tc>
          <w:tcPr>
            <w:tcW w:w="3428"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视电阻率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11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空洞或脱空</w:t>
            </w:r>
          </w:p>
        </w:tc>
        <w:tc>
          <w:tcPr>
            <w:tcW w:w="3261"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1</w:t>
            </w:r>
            <w:r>
              <w:rPr>
                <w:rFonts w:ascii="Times New Roman" w:hAnsi="Times New Roman" w:cs="Times New Roman"/>
                <w:kern w:val="2"/>
                <w:sz w:val="18"/>
                <w:szCs w:val="18"/>
              </w:rPr>
              <w:t xml:space="preserve">  </w:t>
            </w:r>
            <w:r>
              <w:rPr>
                <w:rFonts w:hint="eastAsia" w:ascii="Times New Roman" w:hAnsi="Times New Roman" w:cs="Times New Roman"/>
                <w:kern w:val="2"/>
                <w:sz w:val="18"/>
                <w:szCs w:val="18"/>
              </w:rPr>
              <w:t>当空洞有水填充时，二次场幅值大，衰减慢；</w:t>
            </w:r>
          </w:p>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2</w:t>
            </w:r>
            <w:r>
              <w:rPr>
                <w:rFonts w:ascii="Times New Roman" w:hAnsi="Times New Roman" w:cs="Times New Roman"/>
                <w:kern w:val="2"/>
                <w:sz w:val="18"/>
                <w:szCs w:val="18"/>
              </w:rPr>
              <w:t xml:space="preserve">  </w:t>
            </w:r>
            <w:r>
              <w:rPr>
                <w:rFonts w:hint="eastAsia" w:ascii="Times New Roman" w:hAnsi="Times New Roman" w:cs="Times New Roman"/>
                <w:kern w:val="2"/>
                <w:sz w:val="18"/>
                <w:szCs w:val="18"/>
              </w:rPr>
              <w:t>当空洞无水填充时，二次场幅值小，衰减快</w:t>
            </w:r>
          </w:p>
        </w:tc>
        <w:tc>
          <w:tcPr>
            <w:tcW w:w="3428"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1</w:t>
            </w:r>
            <w:r>
              <w:rPr>
                <w:rFonts w:ascii="Times New Roman" w:hAnsi="Times New Roman" w:cs="Times New Roman"/>
                <w:kern w:val="2"/>
                <w:sz w:val="18"/>
                <w:szCs w:val="18"/>
              </w:rPr>
              <w:t xml:space="preserve">  </w:t>
            </w:r>
            <w:r>
              <w:rPr>
                <w:rFonts w:hint="eastAsia" w:ascii="Times New Roman" w:hAnsi="Times New Roman" w:cs="Times New Roman"/>
                <w:kern w:val="2"/>
                <w:sz w:val="18"/>
                <w:szCs w:val="18"/>
              </w:rPr>
              <w:t>当空洞有水填充时，表现为相对低阻异常；</w:t>
            </w:r>
          </w:p>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2</w:t>
            </w:r>
            <w:r>
              <w:rPr>
                <w:rFonts w:ascii="Times New Roman" w:hAnsi="Times New Roman" w:cs="Times New Roman"/>
                <w:kern w:val="2"/>
                <w:sz w:val="18"/>
                <w:szCs w:val="18"/>
              </w:rPr>
              <w:t xml:space="preserve">  </w:t>
            </w:r>
            <w:r>
              <w:rPr>
                <w:rFonts w:hint="eastAsia" w:ascii="Times New Roman" w:hAnsi="Times New Roman" w:cs="Times New Roman"/>
                <w:kern w:val="2"/>
                <w:sz w:val="18"/>
                <w:szCs w:val="18"/>
              </w:rPr>
              <w:t>当空洞无水填充时，表现为相对高阻异常</w:t>
            </w:r>
          </w:p>
        </w:tc>
      </w:tr>
    </w:tbl>
    <w:p>
      <w:pPr>
        <w:spacing w:before="240"/>
        <w:jc w:val="center"/>
        <w:rPr>
          <w:bCs/>
        </w:rPr>
      </w:pPr>
      <w:r>
        <w:rPr>
          <w:rFonts w:hint="eastAsia" w:ascii="Times" w:hAnsi="Times"/>
          <w:bCs/>
        </w:rPr>
        <w:t>续表</w:t>
      </w:r>
      <w:r>
        <w:rPr>
          <w:rFonts w:ascii="Times" w:hAnsi="Times"/>
          <w:bCs/>
        </w:rPr>
        <w:t>6.7.6</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3261"/>
        <w:gridCol w:w="3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地下病害体</w:t>
            </w:r>
          </w:p>
        </w:tc>
        <w:tc>
          <w:tcPr>
            <w:tcW w:w="3261"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二次场衰减</w:t>
            </w:r>
          </w:p>
        </w:tc>
        <w:tc>
          <w:tcPr>
            <w:tcW w:w="3428"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视电阻率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疏松体</w:t>
            </w:r>
          </w:p>
        </w:tc>
        <w:tc>
          <w:tcPr>
            <w:tcW w:w="3261"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二次场幅值较小，衰减较快</w:t>
            </w:r>
          </w:p>
        </w:tc>
        <w:tc>
          <w:tcPr>
            <w:tcW w:w="3428"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表现为相对高阻异常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富水体</w:t>
            </w:r>
          </w:p>
        </w:tc>
        <w:tc>
          <w:tcPr>
            <w:tcW w:w="3261"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二次场幅值较大，衰减较慢</w:t>
            </w:r>
          </w:p>
        </w:tc>
        <w:tc>
          <w:tcPr>
            <w:tcW w:w="3428"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表现为相对低阻异常</w:t>
            </w:r>
          </w:p>
        </w:tc>
      </w:tr>
    </w:tbl>
    <w:p>
      <w:pPr>
        <w:spacing w:before="240"/>
      </w:pPr>
      <w:r>
        <w:rPr>
          <w:rFonts w:hint="eastAsia"/>
        </w:rPr>
        <w:t>6</w:t>
      </w:r>
      <w:r>
        <w:t xml:space="preserve">.7.7  </w:t>
      </w:r>
      <w:r>
        <w:rPr>
          <w:rFonts w:hint="eastAsia"/>
        </w:rPr>
        <w:t>瞬变电磁法成果图宜包括瞬变电磁测线平面布置图、多测道剖面曲线图、视电阻率拟断面图和地下病害体平面分布图。</w:t>
      </w:r>
    </w:p>
    <w:p>
      <w:pPr>
        <w:rPr>
          <w:highlight w:val="yellow"/>
        </w:rPr>
        <w:sectPr>
          <w:pgSz w:w="11906" w:h="16838"/>
          <w:pgMar w:top="1440" w:right="1800" w:bottom="1440" w:left="2268" w:header="851" w:footer="992" w:gutter="0"/>
          <w:cols w:space="425" w:num="1"/>
          <w:docGrid w:type="lines" w:linePitch="312" w:charSpace="0"/>
        </w:sectPr>
      </w:pPr>
    </w:p>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46" w:name="_Toc148468241"/>
      <w:r>
        <w:rPr>
          <w:rFonts w:hint="eastAsia" w:ascii="Times New Roman" w:hAnsi="Times New Roman"/>
          <w:bCs w:val="0"/>
          <w:caps w:val="0"/>
          <w:kern w:val="0"/>
          <w:szCs w:val="24"/>
        </w:rPr>
        <w:t>地下病害体验证与成因分析</w:t>
      </w:r>
      <w:bookmarkEnd w:id="46"/>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47" w:name="_Toc148468242"/>
      <w:bookmarkStart w:id="48" w:name="_Toc25828265"/>
      <w:bookmarkStart w:id="49" w:name="_Toc25829190"/>
      <w:r>
        <w:rPr>
          <w:rStyle w:val="32"/>
          <w:rFonts w:hint="eastAsia" w:ascii="Times New Roman" w:hAnsi="Times New Roman"/>
          <w:bCs w:val="0"/>
          <w:caps w:val="0"/>
          <w:kern w:val="0"/>
          <w:sz w:val="21"/>
          <w:szCs w:val="21"/>
        </w:rPr>
        <w:t>7.1  地下病害体验证</w:t>
      </w:r>
      <w:bookmarkEnd w:id="47"/>
    </w:p>
    <w:p>
      <w:r>
        <w:rPr>
          <w:rFonts w:hint="eastAsia"/>
        </w:rPr>
        <w:t>7.1.1  地下病害体验证范围应符合下列规定：</w:t>
      </w:r>
    </w:p>
    <w:p>
      <w:pPr>
        <w:ind w:firstLine="420" w:firstLineChars="200"/>
      </w:pPr>
      <w:r>
        <w:rPr>
          <w:rFonts w:hint="eastAsia"/>
        </w:rPr>
        <w:t>1  地下病害体探测成果的验证应明确地下病害体的类型、埋深、范围等属性；</w:t>
      </w:r>
    </w:p>
    <w:p>
      <w:pPr>
        <w:ind w:firstLine="420" w:firstLineChars="200"/>
      </w:pPr>
      <w:r>
        <w:rPr>
          <w:rFonts w:hint="eastAsia"/>
        </w:rPr>
        <w:t>2  成果验证点宜根据地下病害体类型、场地条件和危险对象的重要性等因素进行选择。</w:t>
      </w:r>
    </w:p>
    <w:p>
      <w:r>
        <w:rPr>
          <w:rFonts w:hint="eastAsia"/>
        </w:rPr>
        <w:t>7</w:t>
      </w:r>
      <w:r>
        <w:t xml:space="preserve">.1.2  </w:t>
      </w:r>
      <w:r>
        <w:rPr>
          <w:rFonts w:hint="eastAsia"/>
        </w:rPr>
        <w:t>地下病害体验证点的数量应符合下列规定：</w:t>
      </w:r>
    </w:p>
    <w:p>
      <w:pPr>
        <w:ind w:firstLine="420" w:firstLineChars="200"/>
      </w:pPr>
      <w:r>
        <w:rPr>
          <w:rFonts w:hint="eastAsia"/>
        </w:rPr>
        <w:t>1</w:t>
      </w:r>
      <w:r>
        <w:t xml:space="preserve">  </w:t>
      </w:r>
      <w:r>
        <w:rPr>
          <w:rFonts w:hint="eastAsia"/>
        </w:rPr>
        <w:t>空洞、脱空、严重疏松体应全部验证；</w:t>
      </w:r>
    </w:p>
    <w:p>
      <w:pPr>
        <w:ind w:firstLine="420" w:firstLineChars="200"/>
      </w:pPr>
      <w:r>
        <w:rPr>
          <w:rFonts w:hint="eastAsia"/>
        </w:rPr>
        <w:t>2</w:t>
      </w:r>
      <w:r>
        <w:t xml:space="preserve">  </w:t>
      </w:r>
      <w:r>
        <w:rPr>
          <w:rFonts w:hint="eastAsia"/>
        </w:rPr>
        <w:t>其他地下病害体的验证数量不宜少于总数的20%，少于3处时应全部验证。</w:t>
      </w:r>
    </w:p>
    <w:p>
      <w:r>
        <w:rPr>
          <w:rFonts w:hint="eastAsia"/>
        </w:rPr>
        <w:t>7</w:t>
      </w:r>
      <w:r>
        <w:t xml:space="preserve">.1.3  </w:t>
      </w:r>
      <w:r>
        <w:rPr>
          <w:rFonts w:hint="eastAsia"/>
        </w:rPr>
        <w:t>采用钻探法验证时法应符合下列规定：</w:t>
      </w:r>
    </w:p>
    <w:p>
      <w:pPr>
        <w:ind w:firstLine="420" w:firstLineChars="200"/>
      </w:pPr>
      <w:r>
        <w:rPr>
          <w:rFonts w:hint="eastAsia"/>
        </w:rPr>
        <w:t>1</w:t>
      </w:r>
      <w:r>
        <w:t xml:space="preserve">  </w:t>
      </w:r>
      <w:r>
        <w:rPr>
          <w:rFonts w:hint="eastAsia"/>
        </w:rPr>
        <w:t>钻探时宜进行现场标准贯入试验，动力触探试验或取样与室内试验；根据试验结果指示，参考《建筑地基基础设计规范》DBJ 15-31的规定对土体密实程度进行判别；</w:t>
      </w:r>
    </w:p>
    <w:p>
      <w:pPr>
        <w:ind w:firstLine="420" w:firstLineChars="200"/>
      </w:pPr>
      <w:r>
        <w:rPr>
          <w:rFonts w:hint="eastAsia"/>
        </w:rPr>
        <w:t>2</w:t>
      </w:r>
      <w:r>
        <w:t xml:space="preserve">  </w:t>
      </w:r>
      <w:r>
        <w:rPr>
          <w:rFonts w:hint="eastAsia"/>
        </w:rPr>
        <w:t>钻探宜布设在地下病害的中心部位；</w:t>
      </w:r>
    </w:p>
    <w:p>
      <w:pPr>
        <w:ind w:firstLine="420" w:firstLineChars="200"/>
      </w:pPr>
      <w:r>
        <w:rPr>
          <w:rFonts w:hint="eastAsia"/>
        </w:rPr>
        <w:t>3</w:t>
      </w:r>
      <w:r>
        <w:t xml:space="preserve">  </w:t>
      </w:r>
      <w:r>
        <w:rPr>
          <w:rFonts w:hint="eastAsia"/>
        </w:rPr>
        <w:t>宜结合场地条件在地下病害体周边布设对照孔。</w:t>
      </w:r>
    </w:p>
    <w:p>
      <w:r>
        <w:rPr>
          <w:rFonts w:hint="eastAsia"/>
        </w:rPr>
        <w:t>7.1.4</w:t>
      </w:r>
      <w:r>
        <w:t xml:space="preserve">  </w:t>
      </w:r>
      <w:r>
        <w:rPr>
          <w:rFonts w:hint="eastAsia"/>
        </w:rPr>
        <w:t>现场不具备钻探实施条件时，可采用其它地球物理方法对探测结果进行验证。</w:t>
      </w:r>
    </w:p>
    <w:p>
      <w:r>
        <w:rPr>
          <w:rFonts w:hint="eastAsia"/>
        </w:rPr>
        <w:t>7.1.5</w:t>
      </w:r>
      <w:r>
        <w:t xml:space="preserve">  </w:t>
      </w:r>
      <w:r>
        <w:rPr>
          <w:rFonts w:hint="eastAsia"/>
        </w:rPr>
        <w:t>钻探验证结果为空洞的病害体宜采用开挖方式进一步验证，并在寻找成因后采用回填方式处理。</w:t>
      </w:r>
    </w:p>
    <w:p>
      <w:r>
        <w:rPr>
          <w:rFonts w:hint="eastAsia"/>
        </w:rPr>
        <w:t>7.1.6</w:t>
      </w:r>
      <w:r>
        <w:t xml:space="preserve">  </w:t>
      </w:r>
      <w:r>
        <w:rPr>
          <w:rFonts w:hint="eastAsia"/>
        </w:rPr>
        <w:t>钻孔验证后不再进行开挖验证的病害体应采用注浆和封孔方式处理。</w:t>
      </w:r>
    </w:p>
    <w:p>
      <w:r>
        <w:rPr>
          <w:rFonts w:hint="eastAsia"/>
        </w:rPr>
        <w:t>7.1.7</w:t>
      </w:r>
      <w:r>
        <w:t xml:space="preserve">  </w:t>
      </w:r>
      <w:r>
        <w:rPr>
          <w:rFonts w:hint="eastAsia"/>
        </w:rPr>
        <w:t>地下病害体验证结果应包括现场文字记录、照片或视频等数字化资料、及验证结论。</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50" w:name="_Toc148468243"/>
      <w:r>
        <w:rPr>
          <w:rStyle w:val="32"/>
          <w:rFonts w:hint="eastAsia" w:ascii="Times New Roman" w:hAnsi="Times New Roman"/>
          <w:bCs w:val="0"/>
          <w:caps w:val="0"/>
          <w:kern w:val="0"/>
          <w:sz w:val="21"/>
          <w:szCs w:val="21"/>
        </w:rPr>
        <w:t>7.2  地下病害体成因分析</w:t>
      </w:r>
      <w:bookmarkEnd w:id="50"/>
    </w:p>
    <w:p>
      <w:r>
        <w:t xml:space="preserve">7.2.1  </w:t>
      </w:r>
      <w:r>
        <w:rPr>
          <w:rFonts w:hint="eastAsia"/>
        </w:rPr>
        <w:t>对于频繁出现地下病害体的道路，应综合调查地下病害体形成原因，为后续修复治理提供科学依据。</w:t>
      </w:r>
    </w:p>
    <w:p>
      <w:r>
        <w:rPr>
          <w:rFonts w:hint="eastAsia"/>
        </w:rPr>
        <w:t>7.2.2</w:t>
      </w:r>
      <w:r>
        <w:t xml:space="preserve">  </w:t>
      </w:r>
      <w:r>
        <w:rPr>
          <w:rFonts w:hint="eastAsia"/>
        </w:rPr>
        <w:t>应查明病害体与地下管线、地下井室、地下工程等的直接关系。</w:t>
      </w:r>
    </w:p>
    <w:p>
      <w:r>
        <w:rPr>
          <w:rFonts w:hint="eastAsia"/>
        </w:rPr>
        <w:t>7.2.3</w:t>
      </w:r>
      <w:r>
        <w:t xml:space="preserve">  </w:t>
      </w:r>
      <w:r>
        <w:rPr>
          <w:rFonts w:hint="eastAsia"/>
        </w:rPr>
        <w:t>宜将钻探结果、开挖结果与管道内窥摄像法、三维激光扫描法的探测结果相结合，对地下病害体成因进行综合判定。</w:t>
      </w:r>
    </w:p>
    <w:p>
      <w:r>
        <w:rPr>
          <w:rFonts w:hint="eastAsia"/>
        </w:rPr>
        <w:t>7.2.4</w:t>
      </w:r>
      <w:r>
        <w:t xml:space="preserve">  </w:t>
      </w:r>
      <w:r>
        <w:rPr>
          <w:rFonts w:hint="eastAsia"/>
        </w:rPr>
        <w:t>地下管网密集区域的地下病害体可使用管道内窥摄像法检测周围管道的缺陷情况。</w:t>
      </w:r>
    </w:p>
    <w:p>
      <w:r>
        <w:rPr>
          <w:rFonts w:hint="eastAsia"/>
        </w:rPr>
        <w:t>7.2.5</w:t>
      </w:r>
      <w:r>
        <w:t xml:space="preserve">  </w:t>
      </w:r>
      <w:r>
        <w:rPr>
          <w:rFonts w:hint="eastAsia"/>
        </w:rPr>
        <w:t>管道内窥摄像法检测地下病害体周围管道缺陷的具体操作应符合《城镇排水管道检测与评估技术规程》CJJ181的相关规定。</w:t>
      </w:r>
    </w:p>
    <w:p>
      <w:r>
        <w:rPr>
          <w:rFonts w:hint="eastAsia"/>
        </w:rPr>
        <w:t>7.2.6</w:t>
      </w:r>
      <w:r>
        <w:t xml:space="preserve">  </w:t>
      </w:r>
      <w:r>
        <w:rPr>
          <w:rFonts w:hint="eastAsia"/>
        </w:rPr>
        <w:t>验证结果为空洞的地下病害体成因分析宜使用三维激光扫描法对空洞内部结构进行数字化扫描。</w:t>
      </w:r>
    </w:p>
    <w:p>
      <w:r>
        <w:rPr>
          <w:rFonts w:hint="eastAsia"/>
        </w:rPr>
        <w:t>7.2.7</w:t>
      </w:r>
      <w:r>
        <w:t xml:space="preserve">  </w:t>
      </w:r>
      <w:r>
        <w:rPr>
          <w:rFonts w:hint="eastAsia"/>
        </w:rPr>
        <w:t>采用三维激光扫描法对地下空洞内部结构进行扫描的具体操作应符合《地面三维激光扫描法作业技术规程》CH/Z 2017的相关规定。</w:t>
      </w:r>
    </w:p>
    <w:p>
      <w:r>
        <w:rPr>
          <w:rFonts w:hint="eastAsia"/>
        </w:rPr>
        <w:t>7.2.8</w:t>
      </w:r>
      <w:r>
        <w:t xml:space="preserve">  </w:t>
      </w:r>
      <w:r>
        <w:rPr>
          <w:rFonts w:hint="eastAsia"/>
        </w:rPr>
        <w:t>地下病害体成因分析结果宜包含地球物理探测结果、钻孔或开挖结果、影像或三维激光扫描结果及成因分析结论。</w:t>
      </w:r>
    </w:p>
    <w:p>
      <w:pPr>
        <w:rPr>
          <w:rFonts w:ascii="Times" w:hAnsi="宋体"/>
        </w:rPr>
      </w:pPr>
    </w:p>
    <w:p>
      <w:pPr>
        <w:rPr>
          <w:highlight w:val="yellow"/>
        </w:rPr>
        <w:sectPr>
          <w:pgSz w:w="11906" w:h="16838"/>
          <w:pgMar w:top="1440" w:right="1800" w:bottom="1440" w:left="2268" w:header="851" w:footer="992" w:gutter="0"/>
          <w:cols w:space="425" w:num="1"/>
          <w:docGrid w:type="lines" w:linePitch="312" w:charSpace="0"/>
        </w:sectPr>
      </w:pPr>
    </w:p>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51" w:name="_Toc148468244"/>
      <w:r>
        <w:rPr>
          <w:rFonts w:hint="eastAsia" w:ascii="Times New Roman" w:hAnsi="Times New Roman"/>
          <w:bCs w:val="0"/>
          <w:caps w:val="0"/>
          <w:kern w:val="0"/>
          <w:szCs w:val="24"/>
        </w:rPr>
        <w:t>地下病害体风险评估</w:t>
      </w:r>
      <w:bookmarkEnd w:id="51"/>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52" w:name="_Toc148468245"/>
      <w:r>
        <w:rPr>
          <w:rStyle w:val="32"/>
          <w:rFonts w:ascii="Times New Roman" w:hAnsi="Times New Roman"/>
          <w:bCs w:val="0"/>
          <w:caps w:val="0"/>
          <w:kern w:val="0"/>
          <w:sz w:val="21"/>
          <w:szCs w:val="21"/>
        </w:rPr>
        <w:t>8</w:t>
      </w:r>
      <w:r>
        <w:rPr>
          <w:rStyle w:val="32"/>
          <w:rFonts w:hint="eastAsia" w:ascii="Times New Roman" w:hAnsi="Times New Roman"/>
          <w:bCs w:val="0"/>
          <w:caps w:val="0"/>
          <w:kern w:val="0"/>
          <w:sz w:val="21"/>
          <w:szCs w:val="21"/>
        </w:rPr>
        <w:t>.1  一般规定</w:t>
      </w:r>
      <w:bookmarkEnd w:id="52"/>
    </w:p>
    <w:p>
      <w:r>
        <w:t>8</w:t>
      </w:r>
      <w:r>
        <w:rPr>
          <w:rFonts w:hint="eastAsia"/>
        </w:rPr>
        <w:t>.1.1  地下病害体风险评估应在地下病害体综合探测的基础上，开展风险影响因素调查、风险发生可能性评价、风险后果评价。</w:t>
      </w:r>
    </w:p>
    <w:p>
      <w:r>
        <w:t xml:space="preserve">8.1.2  </w:t>
      </w:r>
      <w:r>
        <w:rPr>
          <w:rFonts w:hint="eastAsia"/>
        </w:rPr>
        <w:t>地下病害体点评估应采用单个地下病害体为评价对象，地下病害体单元风险评估应以评估单元为对象开展面评估。在点评估基础上开展面评估，确定单元风险发生可能性等级及后果等级，评价其综合等级，提出风险控制对策建议。</w:t>
      </w:r>
    </w:p>
    <w:p>
      <w:r>
        <w:rPr>
          <w:rFonts w:hint="eastAsia"/>
        </w:rPr>
        <w:t>8.1.3</w:t>
      </w:r>
      <w:r>
        <w:t xml:space="preserve">  </w:t>
      </w:r>
      <w:r>
        <w:rPr>
          <w:rFonts w:hint="eastAsia"/>
        </w:rPr>
        <w:t>评估单元划分应综合考虑评估区域的范围、周边设施、管网、地质、病害体密度等要素。城市道路的评估单元宜沿走向的交通路口位置处划分，评估单元长度宜为20~300m，广场等开阔区域可根据实际情况进行评估单元区域划分。</w:t>
      </w:r>
    </w:p>
    <w:p>
      <w:r>
        <w:rPr>
          <w:rFonts w:hint="eastAsia"/>
        </w:rPr>
        <w:t>8.1.4</w:t>
      </w:r>
      <w:r>
        <w:t xml:space="preserve">  </w:t>
      </w:r>
      <w:r>
        <w:rPr>
          <w:rFonts w:hint="eastAsia"/>
        </w:rPr>
        <w:t>风险发生可能性和风险后果评价宜采用指标体系法计算，宜在风险发生可能性等级和风险后果等级的基础上，根据风险矩阵计算并确定地下病害体风险等级。</w:t>
      </w:r>
    </w:p>
    <w:p>
      <w:r>
        <w:rPr>
          <w:rFonts w:hint="eastAsia"/>
        </w:rPr>
        <w:t>8.1.5</w:t>
      </w:r>
      <w:r>
        <w:t xml:space="preserve">  </w:t>
      </w:r>
      <w:r>
        <w:rPr>
          <w:rFonts w:hint="eastAsia"/>
        </w:rPr>
        <w:t>风险评估指标及权重应根据地下病害体特征、地质环境、周边施工、地下管网、周边建（构）筑物分布、人员分布、社会影响等因素确定，指标应具有代表性、针对性和全面性。</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53" w:name="_Toc148468246"/>
      <w:r>
        <w:rPr>
          <w:rStyle w:val="32"/>
          <w:rFonts w:ascii="Times New Roman" w:hAnsi="Times New Roman"/>
          <w:bCs w:val="0"/>
          <w:caps w:val="0"/>
          <w:kern w:val="0"/>
          <w:sz w:val="21"/>
          <w:szCs w:val="21"/>
        </w:rPr>
        <w:t>8</w:t>
      </w:r>
      <w:r>
        <w:rPr>
          <w:rStyle w:val="32"/>
          <w:rFonts w:hint="eastAsia" w:ascii="Times New Roman" w:hAnsi="Times New Roman"/>
          <w:bCs w:val="0"/>
          <w:caps w:val="0"/>
          <w:kern w:val="0"/>
          <w:sz w:val="21"/>
          <w:szCs w:val="21"/>
        </w:rPr>
        <w:t>.</w:t>
      </w:r>
      <w:r>
        <w:rPr>
          <w:rStyle w:val="32"/>
          <w:rFonts w:ascii="Times New Roman" w:hAnsi="Times New Roman"/>
          <w:bCs w:val="0"/>
          <w:caps w:val="0"/>
          <w:kern w:val="0"/>
          <w:sz w:val="21"/>
          <w:szCs w:val="21"/>
        </w:rPr>
        <w:t>2</w:t>
      </w:r>
      <w:r>
        <w:rPr>
          <w:rStyle w:val="32"/>
          <w:rFonts w:hint="eastAsia" w:ascii="Times New Roman" w:hAnsi="Times New Roman"/>
          <w:bCs w:val="0"/>
          <w:caps w:val="0"/>
          <w:kern w:val="0"/>
          <w:sz w:val="21"/>
          <w:szCs w:val="21"/>
        </w:rPr>
        <w:t xml:space="preserve">  风险因素调查</w:t>
      </w:r>
      <w:bookmarkEnd w:id="53"/>
    </w:p>
    <w:p>
      <w:r>
        <w:t>8</w:t>
      </w:r>
      <w:r>
        <w:rPr>
          <w:rFonts w:hint="eastAsia"/>
        </w:rPr>
        <w:t>.</w:t>
      </w:r>
      <w:r>
        <w:t>2</w:t>
      </w:r>
      <w:r>
        <w:rPr>
          <w:rFonts w:hint="eastAsia"/>
        </w:rPr>
        <w:t>.1  根据风险评估的要求，城市快速路、主干路、居民和公共场所密集人群区建（构）筑物，应定期进行风险因素甄别调查。</w:t>
      </w:r>
    </w:p>
    <w:p>
      <w:r>
        <w:rPr>
          <w:rFonts w:hint="eastAsia"/>
        </w:rPr>
        <w:t>8.2.2</w:t>
      </w:r>
      <w:r>
        <w:t xml:space="preserve">  </w:t>
      </w:r>
      <w:r>
        <w:rPr>
          <w:rFonts w:hint="eastAsia"/>
        </w:rPr>
        <w:t>风险影响因素调查可根据不同因素的特点，通过资料收集、现场调查等方式进行。</w:t>
      </w:r>
    </w:p>
    <w:p>
      <w:pPr>
        <w:rPr>
          <w:highlight w:val="yellow"/>
        </w:rPr>
      </w:pPr>
      <w:r>
        <w:rPr>
          <w:rFonts w:hint="eastAsia"/>
        </w:rPr>
        <w:t>8.2.3</w:t>
      </w:r>
      <w:r>
        <w:t xml:space="preserve">  </w:t>
      </w:r>
      <w:r>
        <w:rPr>
          <w:rFonts w:hint="eastAsia"/>
        </w:rPr>
        <w:t>调查对象应包括但不限于以下方面：管线破损、人防坍塌、地下工程施工、井壁破损、地表水下渗、地下水作用、土体自然沉降。</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54" w:name="_Toc148468247"/>
      <w:r>
        <w:rPr>
          <w:rStyle w:val="32"/>
          <w:rFonts w:ascii="Times New Roman" w:hAnsi="Times New Roman"/>
          <w:bCs w:val="0"/>
          <w:caps w:val="0"/>
          <w:kern w:val="0"/>
          <w:sz w:val="21"/>
          <w:szCs w:val="21"/>
        </w:rPr>
        <w:t>8</w:t>
      </w:r>
      <w:r>
        <w:rPr>
          <w:rStyle w:val="32"/>
          <w:rFonts w:hint="eastAsia" w:ascii="Times New Roman" w:hAnsi="Times New Roman"/>
          <w:bCs w:val="0"/>
          <w:caps w:val="0"/>
          <w:kern w:val="0"/>
          <w:sz w:val="21"/>
          <w:szCs w:val="21"/>
        </w:rPr>
        <w:t>.</w:t>
      </w:r>
      <w:r>
        <w:rPr>
          <w:rStyle w:val="32"/>
          <w:rFonts w:ascii="Times New Roman" w:hAnsi="Times New Roman"/>
          <w:bCs w:val="0"/>
          <w:caps w:val="0"/>
          <w:kern w:val="0"/>
          <w:sz w:val="21"/>
          <w:szCs w:val="21"/>
        </w:rPr>
        <w:t>3</w:t>
      </w:r>
      <w:r>
        <w:rPr>
          <w:rStyle w:val="32"/>
          <w:rFonts w:hint="eastAsia" w:ascii="Times New Roman" w:hAnsi="Times New Roman"/>
          <w:bCs w:val="0"/>
          <w:caps w:val="0"/>
          <w:kern w:val="0"/>
          <w:sz w:val="21"/>
          <w:szCs w:val="21"/>
        </w:rPr>
        <w:t xml:space="preserve">  风险发生可能性评价</w:t>
      </w:r>
      <w:bookmarkEnd w:id="54"/>
    </w:p>
    <w:p>
      <w:pPr>
        <w:rPr>
          <w:highlight w:val="yellow"/>
        </w:rPr>
      </w:pPr>
      <w:r>
        <w:t>8</w:t>
      </w:r>
      <w:r>
        <w:rPr>
          <w:rFonts w:hint="eastAsia"/>
        </w:rPr>
        <w:t>.</w:t>
      </w:r>
      <w:r>
        <w:t>3</w:t>
      </w:r>
      <w:r>
        <w:rPr>
          <w:rFonts w:hint="eastAsia"/>
        </w:rPr>
        <w:t>.1  单一地下病害体的风险发生可能性评价指标宜按表8.3.1选取及取值。</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8.3.1</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单一地下病害体风险发生可能性评价指标</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928"/>
        <w:gridCol w:w="3742"/>
        <w:gridCol w:w="10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一级指标</w:t>
            </w:r>
          </w:p>
        </w:tc>
        <w:tc>
          <w:tcPr>
            <w:tcW w:w="192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二级指标</w:t>
            </w:r>
          </w:p>
        </w:tc>
        <w:tc>
          <w:tcPr>
            <w:tcW w:w="4761" w:type="dxa"/>
            <w:gridSpan w:val="2"/>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评价指标取值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92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评价依据</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取值范围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地下病害</w:t>
            </w:r>
            <w:r>
              <w:rPr>
                <w:rFonts w:hint="eastAsia" w:ascii="Times New Roman" w:hAnsi="Times New Roman" w:cs="Times New Roman"/>
                <w:kern w:val="2"/>
                <w:sz w:val="18"/>
                <w:szCs w:val="18"/>
              </w:rPr>
              <w:t>体规模P</w:t>
            </w:r>
            <w:r>
              <w:rPr>
                <w:rFonts w:ascii="Times New Roman" w:hAnsi="Times New Roman" w:cs="Times New Roman"/>
                <w:kern w:val="2"/>
                <w:sz w:val="18"/>
                <w:szCs w:val="18"/>
                <w:vertAlign w:val="subscript"/>
              </w:rPr>
              <w:t>A</w:t>
            </w:r>
          </w:p>
        </w:tc>
        <w:tc>
          <w:tcPr>
            <w:tcW w:w="192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地下病害体面积P</w:t>
            </w:r>
            <w:r>
              <w:rPr>
                <w:rFonts w:ascii="Times New Roman" w:hAnsi="Times New Roman" w:cs="Times New Roman"/>
                <w:kern w:val="2"/>
                <w:sz w:val="18"/>
                <w:szCs w:val="18"/>
                <w:vertAlign w:val="subscript"/>
              </w:rPr>
              <w:t>A1</w:t>
            </w: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i/>
                <w:iCs/>
                <w:sz w:val="18"/>
                <w:szCs w:val="18"/>
              </w:rPr>
              <w:t>S</w:t>
            </w:r>
            <w:r>
              <w:rPr>
                <w:rFonts w:hint="eastAsia"/>
                <w:sz w:val="18"/>
                <w:szCs w:val="18"/>
              </w:rPr>
              <w:t>≥</w:t>
            </w:r>
            <w:r>
              <w:rPr>
                <w:rFonts w:ascii="Times New Roman" w:hAnsi="Times New Roman" w:cs="Times New Roman"/>
                <w:sz w:val="18"/>
                <w:szCs w:val="18"/>
              </w:rPr>
              <w:t>15m</w:t>
            </w:r>
            <w:r>
              <w:rPr>
                <w:rFonts w:ascii="Times New Roman" w:hAnsi="Times New Roman" w:cs="Times New Roman"/>
                <w:sz w:val="18"/>
                <w:szCs w:val="18"/>
                <w:vertAlign w:val="superscript"/>
              </w:rPr>
              <w:t>2</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92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sz w:val="18"/>
                <w:szCs w:val="18"/>
              </w:rPr>
              <w:t>10m</w:t>
            </w:r>
            <w:r>
              <w:rPr>
                <w:rFonts w:ascii="Times New Roman" w:hAnsi="Times New Roman" w:cs="Times New Roman"/>
                <w:sz w:val="18"/>
                <w:szCs w:val="18"/>
                <w:vertAlign w:val="superscript"/>
              </w:rPr>
              <w:t>2</w:t>
            </w:r>
            <w:r>
              <w:rPr>
                <w:rFonts w:hint="eastAsia"/>
                <w:sz w:val="18"/>
                <w:szCs w:val="18"/>
              </w:rPr>
              <w:t>≤</w:t>
            </w:r>
            <w:r>
              <w:rPr>
                <w:rFonts w:ascii="Times New Roman" w:hAnsi="Times New Roman" w:cs="Times New Roman"/>
                <w:i/>
                <w:iCs/>
                <w:sz w:val="18"/>
                <w:szCs w:val="18"/>
              </w:rPr>
              <w:t>S</w:t>
            </w:r>
            <w:r>
              <w:rPr>
                <w:rFonts w:ascii="Times New Roman" w:hAnsi="Times New Roman" w:cs="Times New Roman"/>
                <w:sz w:val="18"/>
                <w:szCs w:val="18"/>
              </w:rPr>
              <w:t>＜15m</w:t>
            </w:r>
            <w:r>
              <w:rPr>
                <w:rFonts w:ascii="Times New Roman" w:hAnsi="Times New Roman" w:cs="Times New Roman"/>
                <w:sz w:val="18"/>
                <w:szCs w:val="18"/>
                <w:vertAlign w:val="superscript"/>
              </w:rPr>
              <w:t>2</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70~90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92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t>3m</w:t>
            </w:r>
            <w:r>
              <w:rPr>
                <w:rFonts w:ascii="Times New Roman" w:hAnsi="Times New Roman" w:cs="Times New Roman"/>
                <w:sz w:val="18"/>
                <w:szCs w:val="18"/>
                <w:vertAlign w:val="superscript"/>
              </w:rPr>
              <w:t>2</w:t>
            </w:r>
            <w:r>
              <w:rPr>
                <w:rFonts w:hint="eastAsia"/>
                <w:sz w:val="18"/>
                <w:szCs w:val="18"/>
              </w:rPr>
              <w:t>≤</w:t>
            </w:r>
            <w:r>
              <w:rPr>
                <w:rFonts w:ascii="Times New Roman" w:hAnsi="Times New Roman" w:cs="Times New Roman"/>
                <w:i/>
                <w:iCs/>
                <w:sz w:val="18"/>
                <w:szCs w:val="18"/>
              </w:rPr>
              <w:t>S</w:t>
            </w:r>
            <w:r>
              <w:rPr>
                <w:rFonts w:ascii="Times New Roman" w:hAnsi="Times New Roman" w:cs="Times New Roman"/>
                <w:sz w:val="18"/>
                <w:szCs w:val="18"/>
              </w:rPr>
              <w:t>＜10m</w:t>
            </w:r>
            <w:r>
              <w:rPr>
                <w:rFonts w:ascii="Times New Roman" w:hAnsi="Times New Roman" w:cs="Times New Roman"/>
                <w:sz w:val="18"/>
                <w:szCs w:val="18"/>
                <w:vertAlign w:val="superscript"/>
              </w:rPr>
              <w:t>2</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50~70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92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i/>
                <w:iCs/>
                <w:sz w:val="18"/>
                <w:szCs w:val="18"/>
              </w:rPr>
              <w:t>S</w:t>
            </w:r>
            <w:r>
              <w:rPr>
                <w:rFonts w:ascii="Times New Roman" w:hAnsi="Times New Roman" w:cs="Times New Roman"/>
                <w:sz w:val="18"/>
                <w:szCs w:val="18"/>
              </w:rPr>
              <w:t>＜3m</w:t>
            </w:r>
            <w:r>
              <w:rPr>
                <w:rFonts w:ascii="Times New Roman" w:hAnsi="Times New Roman" w:cs="Times New Roman"/>
                <w:sz w:val="18"/>
                <w:szCs w:val="18"/>
                <w:vertAlign w:val="superscript"/>
              </w:rPr>
              <w:t>2</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20~50</w:t>
            </w:r>
          </w:p>
        </w:tc>
      </w:tr>
    </w:tbl>
    <w:p>
      <w:pPr>
        <w:spacing w:before="240"/>
        <w:jc w:val="center"/>
        <w:rPr>
          <w:bCs/>
        </w:rPr>
      </w:pPr>
      <w:r>
        <w:rPr>
          <w:rFonts w:hint="eastAsia" w:ascii="Times" w:hAnsi="Times"/>
          <w:bCs/>
        </w:rPr>
        <w:t>续表</w:t>
      </w:r>
      <w:r>
        <w:rPr>
          <w:rFonts w:ascii="Times" w:hAnsi="Times"/>
          <w:bCs/>
        </w:rPr>
        <w:t>8.3.1</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069"/>
        <w:gridCol w:w="3742"/>
        <w:gridCol w:w="10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一级指标</w:t>
            </w: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二级指标</w:t>
            </w:r>
          </w:p>
        </w:tc>
        <w:tc>
          <w:tcPr>
            <w:tcW w:w="4761" w:type="dxa"/>
            <w:gridSpan w:val="2"/>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评价指标取值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评价依据</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取值范围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地下病害</w:t>
            </w:r>
            <w:r>
              <w:rPr>
                <w:rFonts w:hint="eastAsia" w:ascii="Times New Roman" w:hAnsi="Times New Roman" w:cs="Times New Roman"/>
                <w:kern w:val="2"/>
                <w:sz w:val="18"/>
                <w:szCs w:val="18"/>
              </w:rPr>
              <w:t>体规模P</w:t>
            </w:r>
            <w:r>
              <w:rPr>
                <w:rFonts w:ascii="Times New Roman" w:hAnsi="Times New Roman" w:cs="Times New Roman"/>
                <w:kern w:val="2"/>
                <w:sz w:val="18"/>
                <w:szCs w:val="18"/>
                <w:vertAlign w:val="subscript"/>
              </w:rPr>
              <w:t>A</w:t>
            </w: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地下病害体</w:t>
            </w:r>
            <w:r>
              <w:rPr>
                <w:rFonts w:hint="eastAsia" w:ascii="Times New Roman" w:hAnsi="Times New Roman" w:cs="Times New Roman"/>
                <w:kern w:val="2"/>
                <w:sz w:val="18"/>
                <w:szCs w:val="18"/>
              </w:rPr>
              <w:t>高度</w:t>
            </w:r>
            <w:r>
              <w:rPr>
                <w:rFonts w:ascii="Times New Roman" w:hAnsi="Times New Roman" w:cs="Times New Roman"/>
                <w:kern w:val="2"/>
                <w:sz w:val="18"/>
                <w:szCs w:val="18"/>
              </w:rPr>
              <w:t>P</w:t>
            </w:r>
            <w:r>
              <w:rPr>
                <w:rFonts w:ascii="Times New Roman" w:hAnsi="Times New Roman" w:cs="Times New Roman"/>
                <w:kern w:val="2"/>
                <w:sz w:val="18"/>
                <w:szCs w:val="18"/>
                <w:vertAlign w:val="subscript"/>
              </w:rPr>
              <w:t>A2</w:t>
            </w: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
                <w:iCs/>
                <w:sz w:val="18"/>
                <w:szCs w:val="18"/>
              </w:rPr>
              <w:t>d</w:t>
            </w:r>
            <w:r>
              <w:rPr>
                <w:rFonts w:hint="eastAsia" w:ascii="Times New Roman" w:hAnsi="Times New Roman" w:cs="Times New Roman"/>
                <w:iCs/>
                <w:sz w:val="18"/>
                <w:szCs w:val="18"/>
              </w:rPr>
              <w:t>＞</w:t>
            </w:r>
            <w:r>
              <w:rPr>
                <w:rFonts w:ascii="Times New Roman" w:hAnsi="Times New Roman" w:cs="Times New Roman"/>
                <w:iCs/>
                <w:sz w:val="18"/>
                <w:szCs w:val="18"/>
              </w:rPr>
              <w:t>4m</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2m</w:t>
            </w:r>
            <w:r>
              <w:rPr>
                <w:rFonts w:hint="eastAsia" w:ascii="Times New Roman" w:hAnsi="Times New Roman" w:cs="Times New Roman"/>
                <w:iCs/>
                <w:sz w:val="18"/>
                <w:szCs w:val="18"/>
              </w:rPr>
              <w:t>＜</w:t>
            </w:r>
            <w:r>
              <w:rPr>
                <w:rFonts w:ascii="Times New Roman" w:hAnsi="Times New Roman" w:cs="Times New Roman"/>
                <w:i/>
                <w:iCs/>
                <w:sz w:val="18"/>
                <w:szCs w:val="18"/>
              </w:rPr>
              <w:t>d</w:t>
            </w:r>
            <w:r>
              <w:rPr>
                <w:rFonts w:hint="eastAsia" w:ascii="Times New Roman" w:hAnsi="Times New Roman" w:cs="Times New Roman"/>
                <w:iCs/>
                <w:sz w:val="18"/>
                <w:szCs w:val="18"/>
              </w:rPr>
              <w:t>≤</w:t>
            </w:r>
            <w:r>
              <w:rPr>
                <w:rFonts w:ascii="Times New Roman" w:hAnsi="Times New Roman" w:cs="Times New Roman"/>
                <w:iCs/>
                <w:sz w:val="18"/>
                <w:szCs w:val="18"/>
              </w:rPr>
              <w:t>4m</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1m</w:t>
            </w:r>
            <w:r>
              <w:rPr>
                <w:rFonts w:hint="eastAsia" w:ascii="Times New Roman" w:hAnsi="Times New Roman" w:cs="Times New Roman"/>
                <w:iCs/>
                <w:sz w:val="18"/>
                <w:szCs w:val="18"/>
              </w:rPr>
              <w:t>＜</w:t>
            </w:r>
            <w:r>
              <w:rPr>
                <w:rFonts w:ascii="Times New Roman" w:hAnsi="Times New Roman" w:cs="Times New Roman"/>
                <w:i/>
                <w:iCs/>
                <w:sz w:val="18"/>
                <w:szCs w:val="18"/>
              </w:rPr>
              <w:t>d</w:t>
            </w:r>
            <w:r>
              <w:rPr>
                <w:rFonts w:hint="eastAsia" w:ascii="Times New Roman" w:hAnsi="Times New Roman" w:cs="Times New Roman"/>
                <w:iCs/>
                <w:sz w:val="18"/>
                <w:szCs w:val="18"/>
              </w:rPr>
              <w:t>≤</w:t>
            </w:r>
            <w:r>
              <w:rPr>
                <w:rFonts w:ascii="Times New Roman" w:hAnsi="Times New Roman" w:cs="Times New Roman"/>
                <w:iCs/>
                <w:sz w:val="18"/>
                <w:szCs w:val="18"/>
              </w:rPr>
              <w:t>2m</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70~80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
                <w:iCs/>
                <w:sz w:val="18"/>
                <w:szCs w:val="18"/>
              </w:rPr>
              <w:t>d</w:t>
            </w:r>
            <w:r>
              <w:rPr>
                <w:rFonts w:hint="eastAsia" w:ascii="Times New Roman" w:hAnsi="Times New Roman" w:cs="Times New Roman"/>
                <w:iCs/>
                <w:sz w:val="18"/>
                <w:szCs w:val="18"/>
              </w:rPr>
              <w:t>≤</w:t>
            </w:r>
            <w:r>
              <w:rPr>
                <w:rFonts w:ascii="Times New Roman" w:hAnsi="Times New Roman" w:cs="Times New Roman"/>
                <w:iCs/>
                <w:sz w:val="18"/>
                <w:szCs w:val="18"/>
              </w:rPr>
              <w:t>1m</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60~70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地下病害体</w:t>
            </w:r>
            <w:r>
              <w:rPr>
                <w:rFonts w:hint="eastAsia" w:ascii="Times New Roman" w:hAnsi="Times New Roman" w:cs="Times New Roman"/>
                <w:kern w:val="2"/>
                <w:sz w:val="18"/>
                <w:szCs w:val="18"/>
              </w:rPr>
              <w:t>处理情况</w:t>
            </w:r>
            <w:r>
              <w:rPr>
                <w:rFonts w:ascii="Times New Roman" w:hAnsi="Times New Roman" w:cs="Times New Roman"/>
                <w:kern w:val="2"/>
                <w:sz w:val="18"/>
                <w:szCs w:val="18"/>
              </w:rPr>
              <w:t>P</w:t>
            </w:r>
            <w:r>
              <w:rPr>
                <w:rFonts w:ascii="Times New Roman" w:hAnsi="Times New Roman" w:cs="Times New Roman"/>
                <w:kern w:val="2"/>
                <w:sz w:val="18"/>
                <w:szCs w:val="18"/>
                <w:vertAlign w:val="subscript"/>
              </w:rPr>
              <w:t>A3</w:t>
            </w: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探测到病害体未处理</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70~100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探测到病害体已处理</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地质条件P</w:t>
            </w:r>
            <w:r>
              <w:rPr>
                <w:rFonts w:ascii="Times New Roman" w:hAnsi="Times New Roman" w:cs="Times New Roman"/>
                <w:kern w:val="2"/>
                <w:sz w:val="18"/>
                <w:szCs w:val="18"/>
                <w:vertAlign w:val="subscript"/>
              </w:rPr>
              <w:t>B</w:t>
            </w: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病害体所处地层P</w:t>
            </w:r>
            <w:r>
              <w:rPr>
                <w:rFonts w:ascii="Times New Roman" w:hAnsi="Times New Roman" w:cs="Times New Roman"/>
                <w:kern w:val="2"/>
                <w:sz w:val="18"/>
                <w:szCs w:val="18"/>
                <w:vertAlign w:val="subscript"/>
              </w:rPr>
              <w:t>B1</w:t>
            </w: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松散填土、粉土和砂土</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中密填土、粉土和砂土，松散卵（碎）砾石，黏性土</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密实填土、粉土和砂土</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30~60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中密</w:t>
            </w:r>
            <w:r>
              <w:rPr>
                <w:rFonts w:ascii="Times New Roman" w:hAnsi="Times New Roman" w:cs="Times New Roman"/>
                <w:kern w:val="2"/>
                <w:sz w:val="18"/>
                <w:szCs w:val="18"/>
              </w:rPr>
              <w:t>~</w:t>
            </w:r>
            <w:r>
              <w:rPr>
                <w:rFonts w:hint="eastAsia" w:ascii="Times New Roman" w:hAnsi="Times New Roman" w:cs="Times New Roman"/>
                <w:kern w:val="2"/>
                <w:sz w:val="18"/>
                <w:szCs w:val="18"/>
              </w:rPr>
              <w:t>密实碎石土</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病害体所处地层渗透性P</w:t>
            </w:r>
            <w:r>
              <w:rPr>
                <w:rFonts w:ascii="Times New Roman" w:hAnsi="Times New Roman" w:cs="Times New Roman"/>
                <w:kern w:val="2"/>
                <w:sz w:val="18"/>
                <w:szCs w:val="18"/>
                <w:vertAlign w:val="subscript"/>
              </w:rPr>
              <w:t>B2</w:t>
            </w:r>
          </w:p>
        </w:tc>
        <w:tc>
          <w:tcPr>
            <w:tcW w:w="3742" w:type="dxa"/>
            <w:vAlign w:val="center"/>
          </w:tcPr>
          <w:p>
            <w:pPr>
              <w:pStyle w:val="74"/>
              <w:spacing w:before="0" w:beforeAutospacing="0" w:after="0" w:afterAutospacing="0"/>
              <w:jc w:val="center"/>
              <w:rPr>
                <w:rFonts w:ascii="Times New Roman" w:hAnsi="Times New Roman" w:cs="Times New Roman"/>
                <w:i/>
                <w:iCs/>
                <w:sz w:val="18"/>
                <w:szCs w:val="18"/>
              </w:rPr>
            </w:pPr>
            <w:r>
              <w:rPr>
                <w:rFonts w:hint="eastAsia" w:ascii="Times New Roman" w:hAnsi="Times New Roman" w:cs="Times New Roman"/>
                <w:iCs/>
                <w:sz w:val="18"/>
                <w:szCs w:val="18"/>
              </w:rPr>
              <w:t>2</w:t>
            </w:r>
            <w:r>
              <w:rPr>
                <w:rFonts w:ascii="Times New Roman" w:hAnsi="Times New Roman" w:cs="Times New Roman"/>
                <w:iCs/>
                <w:sz w:val="18"/>
                <w:szCs w:val="18"/>
              </w:rPr>
              <w:t>00m/d</w:t>
            </w:r>
            <w:r>
              <w:rPr>
                <w:rFonts w:hint="eastAsia" w:ascii="Times New Roman" w:hAnsi="Times New Roman" w:cs="Times New Roman"/>
                <w:iCs/>
                <w:sz w:val="18"/>
                <w:szCs w:val="18"/>
              </w:rPr>
              <w:t>≤K</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iCs/>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
                <w:iCs/>
                <w:sz w:val="18"/>
                <w:szCs w:val="18"/>
              </w:rPr>
            </w:pPr>
            <w:r>
              <w:rPr>
                <w:rFonts w:hint="eastAsia" w:ascii="Times New Roman" w:hAnsi="Times New Roman" w:cs="Times New Roman"/>
                <w:iCs/>
                <w:sz w:val="18"/>
                <w:szCs w:val="18"/>
              </w:rPr>
              <w:t>1</w:t>
            </w:r>
            <w:r>
              <w:rPr>
                <w:rFonts w:ascii="Times New Roman" w:hAnsi="Times New Roman" w:cs="Times New Roman"/>
                <w:iCs/>
                <w:sz w:val="18"/>
                <w:szCs w:val="18"/>
              </w:rPr>
              <w:t>0m/d</w:t>
            </w:r>
            <w:r>
              <w:rPr>
                <w:rFonts w:hint="eastAsia" w:ascii="Times New Roman" w:hAnsi="Times New Roman" w:cs="Times New Roman"/>
                <w:iCs/>
                <w:sz w:val="18"/>
                <w:szCs w:val="18"/>
              </w:rPr>
              <w:t>≤K</w:t>
            </w:r>
            <w:r>
              <w:rPr>
                <w:rFonts w:ascii="Times New Roman" w:hAnsi="Times New Roman" w:cs="Times New Roman"/>
                <w:iCs/>
                <w:sz w:val="18"/>
                <w:szCs w:val="18"/>
              </w:rPr>
              <w:t>&lt;200m/d</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iCs/>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
                <w:iCs/>
                <w:sz w:val="18"/>
                <w:szCs w:val="18"/>
              </w:rPr>
            </w:pPr>
            <w:r>
              <w:rPr>
                <w:rFonts w:hint="eastAsia" w:ascii="Times New Roman" w:hAnsi="Times New Roman" w:cs="Times New Roman"/>
                <w:iCs/>
                <w:sz w:val="18"/>
                <w:szCs w:val="18"/>
              </w:rPr>
              <w:t>1</w:t>
            </w:r>
            <w:r>
              <w:rPr>
                <w:rFonts w:ascii="Times New Roman" w:hAnsi="Times New Roman" w:cs="Times New Roman"/>
                <w:iCs/>
                <w:sz w:val="18"/>
                <w:szCs w:val="18"/>
              </w:rPr>
              <w:t>m/d</w:t>
            </w:r>
            <w:r>
              <w:rPr>
                <w:rFonts w:hint="eastAsia" w:ascii="Times New Roman" w:hAnsi="Times New Roman" w:cs="Times New Roman"/>
                <w:iCs/>
                <w:sz w:val="18"/>
                <w:szCs w:val="18"/>
              </w:rPr>
              <w:t>≤K</w:t>
            </w:r>
            <w:r>
              <w:rPr>
                <w:rFonts w:ascii="Times New Roman" w:hAnsi="Times New Roman" w:cs="Times New Roman"/>
                <w:iCs/>
                <w:sz w:val="18"/>
                <w:szCs w:val="18"/>
              </w:rPr>
              <w:t>&lt;10m/d</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iCs/>
                <w:sz w:val="18"/>
                <w:szCs w:val="18"/>
              </w:rPr>
              <w:t>30~60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
                <w:iCs/>
                <w:sz w:val="18"/>
                <w:szCs w:val="18"/>
              </w:rPr>
            </w:pPr>
            <w:r>
              <w:rPr>
                <w:rFonts w:hint="eastAsia" w:ascii="Times New Roman" w:hAnsi="Times New Roman" w:cs="Times New Roman"/>
                <w:iCs/>
                <w:sz w:val="18"/>
                <w:szCs w:val="18"/>
              </w:rPr>
              <w:t>K≤1</w:t>
            </w:r>
            <w:r>
              <w:rPr>
                <w:rFonts w:ascii="Times New Roman" w:hAnsi="Times New Roman" w:cs="Times New Roman"/>
                <w:iCs/>
                <w:sz w:val="18"/>
                <w:szCs w:val="18"/>
              </w:rPr>
              <w:t>m/d</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iCs/>
                <w:sz w:val="18"/>
                <w:szCs w:val="18"/>
              </w:rPr>
              <w:t>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不利地质条件（岩溶地质）</w:t>
            </w:r>
            <w:r>
              <w:rPr>
                <w:rFonts w:ascii="Times New Roman" w:hAnsi="Times New Roman" w:cs="Times New Roman"/>
                <w:kern w:val="2"/>
                <w:sz w:val="18"/>
                <w:szCs w:val="18"/>
              </w:rPr>
              <w:t>P</w:t>
            </w:r>
            <w:r>
              <w:rPr>
                <w:rFonts w:ascii="Times New Roman" w:hAnsi="Times New Roman" w:cs="Times New Roman"/>
                <w:kern w:val="2"/>
                <w:sz w:val="18"/>
                <w:szCs w:val="18"/>
                <w:vertAlign w:val="subscript"/>
              </w:rPr>
              <w:t>B3</w:t>
            </w: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3</w:t>
            </w:r>
            <w:r>
              <w:rPr>
                <w:rFonts w:ascii="Times New Roman" w:hAnsi="Times New Roman" w:cs="Times New Roman"/>
                <w:iCs/>
                <w:sz w:val="18"/>
                <w:szCs w:val="18"/>
              </w:rPr>
              <w:t>0%&lt;</w:t>
            </w:r>
            <w:r>
              <w:rPr>
                <w:rFonts w:hint="eastAsia" w:ascii="Times New Roman" w:hAnsi="Times New Roman" w:cs="Times New Roman"/>
                <w:iCs/>
                <w:sz w:val="18"/>
                <w:szCs w:val="18"/>
              </w:rPr>
              <w:t>见洞率</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1</w:t>
            </w:r>
            <w:r>
              <w:rPr>
                <w:rFonts w:ascii="Times New Roman" w:hAnsi="Times New Roman" w:cs="Times New Roman"/>
                <w:iCs/>
                <w:sz w:val="18"/>
                <w:szCs w:val="18"/>
              </w:rPr>
              <w:t>0%</w:t>
            </w:r>
            <w:r>
              <w:rPr>
                <w:rFonts w:hint="eastAsia" w:ascii="Times New Roman" w:hAnsi="Times New Roman" w:cs="Times New Roman"/>
                <w:iCs/>
                <w:sz w:val="18"/>
                <w:szCs w:val="18"/>
              </w:rPr>
              <w:t>≤见洞率≤3</w:t>
            </w:r>
            <w:r>
              <w:rPr>
                <w:rFonts w:ascii="Times New Roman" w:hAnsi="Times New Roman" w:cs="Times New Roman"/>
                <w:iCs/>
                <w:sz w:val="18"/>
                <w:szCs w:val="18"/>
              </w:rPr>
              <w:t>0%</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40~80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见洞率&lt;</w:t>
            </w:r>
            <w:r>
              <w:rPr>
                <w:rFonts w:ascii="Times New Roman" w:hAnsi="Times New Roman" w:cs="Times New Roman"/>
                <w:iCs/>
                <w:sz w:val="18"/>
                <w:szCs w:val="18"/>
              </w:rPr>
              <w:t>10%</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不利地质条件（易压缩地层）</w:t>
            </w:r>
            <w:r>
              <w:rPr>
                <w:rFonts w:ascii="Times New Roman" w:hAnsi="Times New Roman" w:cs="Times New Roman"/>
                <w:kern w:val="2"/>
                <w:sz w:val="18"/>
                <w:szCs w:val="18"/>
              </w:rPr>
              <w:t>P</w:t>
            </w:r>
            <w:r>
              <w:rPr>
                <w:rFonts w:ascii="Times New Roman" w:hAnsi="Times New Roman" w:cs="Times New Roman"/>
                <w:kern w:val="2"/>
                <w:sz w:val="18"/>
                <w:szCs w:val="18"/>
                <w:vertAlign w:val="subscript"/>
              </w:rPr>
              <w:t>B4</w:t>
            </w: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0.5MPa≤压缩系数S</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0.1MPa≤压缩系数S＜0.5MPa</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60~90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压缩系数S＜0.1MPa</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不利地质条件（易流失地层）</w:t>
            </w:r>
            <w:r>
              <w:rPr>
                <w:rFonts w:ascii="Times New Roman" w:hAnsi="Times New Roman" w:cs="Times New Roman"/>
                <w:kern w:val="2"/>
                <w:sz w:val="18"/>
                <w:szCs w:val="18"/>
              </w:rPr>
              <w:t>P</w:t>
            </w:r>
            <w:r>
              <w:rPr>
                <w:rFonts w:ascii="Times New Roman" w:hAnsi="Times New Roman" w:cs="Times New Roman"/>
                <w:kern w:val="2"/>
                <w:sz w:val="18"/>
                <w:szCs w:val="18"/>
                <w:vertAlign w:val="subscript"/>
              </w:rPr>
              <w:t>B5</w:t>
            </w: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级配不良</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40~100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级配良好</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w:t>
            </w:r>
            <w:r>
              <w:rPr>
                <w:rFonts w:hint="eastAsia" w:ascii="Times New Roman" w:hAnsi="Times New Roman" w:cs="Times New Roman"/>
                <w:iCs/>
                <w:sz w:val="18"/>
                <w:szCs w:val="18"/>
              </w:rPr>
              <w:t>~</w:t>
            </w:r>
            <w:r>
              <w:rPr>
                <w:rFonts w:ascii="Times New Roman" w:hAnsi="Times New Roman" w:cs="Times New Roman"/>
                <w:iCs/>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不利地质条件（断裂带）</w:t>
            </w:r>
            <w:r>
              <w:rPr>
                <w:rFonts w:ascii="Times New Roman" w:hAnsi="Times New Roman" w:cs="Times New Roman"/>
                <w:kern w:val="2"/>
                <w:sz w:val="18"/>
                <w:szCs w:val="18"/>
              </w:rPr>
              <w:t>P</w:t>
            </w:r>
            <w:r>
              <w:rPr>
                <w:rFonts w:ascii="Times New Roman" w:hAnsi="Times New Roman" w:cs="Times New Roman"/>
                <w:kern w:val="2"/>
                <w:sz w:val="18"/>
                <w:szCs w:val="18"/>
                <w:vertAlign w:val="subscript"/>
              </w:rPr>
              <w:t>B6</w:t>
            </w: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L＜100m</w:t>
            </w:r>
          </w:p>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（L代表评估单元与断裂带最小水平距离）</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100m≤L＜200m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200≤L＜400m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4</w:t>
            </w:r>
            <w:r>
              <w:rPr>
                <w:rFonts w:ascii="Times New Roman" w:hAnsi="Times New Roman" w:cs="Times New Roman"/>
                <w:iCs/>
                <w:sz w:val="18"/>
                <w:szCs w:val="18"/>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400≤L＜1000m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20~40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1</w:t>
            </w:r>
            <w:r>
              <w:rPr>
                <w:rFonts w:ascii="Times New Roman" w:hAnsi="Times New Roman" w:cs="Times New Roman"/>
                <w:iCs/>
                <w:sz w:val="18"/>
                <w:szCs w:val="18"/>
              </w:rPr>
              <w:t>000</w:t>
            </w:r>
            <w:r>
              <w:rPr>
                <w:rFonts w:hint="eastAsia" w:ascii="Times New Roman" w:hAnsi="Times New Roman" w:cs="Times New Roman"/>
                <w:iCs/>
                <w:sz w:val="18"/>
                <w:szCs w:val="18"/>
              </w:rPr>
              <w:t>≤L</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邻近设施</w:t>
            </w:r>
            <w:r>
              <w:rPr>
                <w:rFonts w:hint="eastAsia" w:ascii="Times New Roman" w:hAnsi="Times New Roman" w:cs="Times New Roman"/>
                <w:i/>
                <w:kern w:val="2"/>
                <w:sz w:val="18"/>
                <w:szCs w:val="18"/>
              </w:rPr>
              <w:t>P</w:t>
            </w:r>
            <w:r>
              <w:rPr>
                <w:rFonts w:ascii="Times New Roman" w:hAnsi="Times New Roman" w:cs="Times New Roman"/>
                <w:i/>
                <w:kern w:val="2"/>
                <w:sz w:val="18"/>
                <w:szCs w:val="18"/>
                <w:vertAlign w:val="subscript"/>
              </w:rPr>
              <w:t>C</w:t>
            </w: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地下管线管龄</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P</m:t>
                  </m:r>
                  <m:ctrlPr>
                    <w:rPr>
                      <w:rFonts w:ascii="Cambria Math" w:hAnsi="Cambria Math" w:cs="Times New Roman"/>
                      <w:kern w:val="2"/>
                      <w:sz w:val="18"/>
                      <w:szCs w:val="18"/>
                    </w:rPr>
                  </m:ctrlPr>
                </m:e>
                <m:sub>
                  <m:r>
                    <m:rPr/>
                    <w:rPr>
                      <w:rFonts w:hint="eastAsia" w:ascii="Cambria Math" w:hAnsi="Cambria Math" w:cs="Times New Roman"/>
                      <w:kern w:val="2"/>
                      <w:sz w:val="18"/>
                      <w:szCs w:val="18"/>
                    </w:rPr>
                    <m:t>C</m:t>
                  </m:r>
                  <m:r>
                    <m:rPr>
                      <m:sty m:val="p"/>
                    </m:rPr>
                    <w:rPr>
                      <w:rFonts w:ascii="Cambria Math" w:hAnsi="Cambria Math" w:cs="Times New Roman"/>
                      <w:kern w:val="2"/>
                      <w:sz w:val="18"/>
                      <w:szCs w:val="18"/>
                    </w:rPr>
                    <m:t>1</m:t>
                  </m:r>
                  <m:ctrlPr>
                    <w:rPr>
                      <w:rFonts w:ascii="Cambria Math" w:hAnsi="Cambria Math" w:cs="Times New Roman"/>
                      <w:kern w:val="2"/>
                      <w:sz w:val="18"/>
                      <w:szCs w:val="18"/>
                    </w:rPr>
                  </m:ctrlPr>
                </m:sub>
              </m:sSub>
            </m:oMath>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30</w:t>
            </w:r>
            <w:r>
              <w:rPr>
                <w:rFonts w:hint="eastAsia" w:ascii="Times New Roman" w:hAnsi="Times New Roman" w:cs="Times New Roman"/>
                <w:iCs/>
                <w:sz w:val="18"/>
                <w:szCs w:val="18"/>
              </w:rPr>
              <w:t>年≤管龄</w:t>
            </w:r>
            <w:r>
              <w:rPr>
                <w:rFonts w:ascii="Times New Roman" w:hAnsi="Times New Roman" w:cs="Times New Roman"/>
                <w:iCs/>
                <w:sz w:val="18"/>
                <w:szCs w:val="18"/>
              </w:rPr>
              <w:t>Y</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5</w:t>
            </w:r>
            <w:r>
              <w:rPr>
                <w:rFonts w:hint="eastAsia" w:ascii="Times New Roman" w:hAnsi="Times New Roman" w:cs="Times New Roman"/>
                <w:iCs/>
                <w:sz w:val="18"/>
                <w:szCs w:val="18"/>
              </w:rPr>
              <w:t>年≤管龄</w:t>
            </w:r>
            <w:r>
              <w:rPr>
                <w:rFonts w:ascii="Times New Roman" w:hAnsi="Times New Roman" w:cs="Times New Roman"/>
                <w:iCs/>
                <w:sz w:val="18"/>
                <w:szCs w:val="18"/>
              </w:rPr>
              <w:t>Y</w:t>
            </w:r>
            <w:r>
              <w:rPr>
                <w:rFonts w:hint="eastAsia" w:ascii="Times New Roman" w:hAnsi="Times New Roman" w:cs="Times New Roman"/>
                <w:iCs/>
                <w:sz w:val="18"/>
                <w:szCs w:val="18"/>
              </w:rPr>
              <w:t>＜</w:t>
            </w:r>
            <w:r>
              <w:rPr>
                <w:rFonts w:ascii="Times New Roman" w:hAnsi="Times New Roman" w:cs="Times New Roman"/>
                <w:iCs/>
                <w:sz w:val="18"/>
                <w:szCs w:val="18"/>
              </w:rPr>
              <w:t>30</w:t>
            </w:r>
            <w:r>
              <w:rPr>
                <w:rFonts w:hint="eastAsia" w:ascii="Times New Roman" w:hAnsi="Times New Roman" w:cs="Times New Roman"/>
                <w:iCs/>
                <w:sz w:val="18"/>
                <w:szCs w:val="18"/>
              </w:rPr>
              <w:t>年</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40~80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Y</w:t>
            </w:r>
            <w:r>
              <w:rPr>
                <w:rFonts w:hint="eastAsia" w:ascii="Times New Roman" w:hAnsi="Times New Roman" w:cs="Times New Roman"/>
                <w:iCs/>
                <w:sz w:val="18"/>
                <w:szCs w:val="18"/>
              </w:rPr>
              <w:t>＜</w:t>
            </w:r>
            <w:r>
              <w:rPr>
                <w:rFonts w:ascii="Times New Roman" w:hAnsi="Times New Roman" w:cs="Times New Roman"/>
                <w:iCs/>
                <w:sz w:val="18"/>
                <w:szCs w:val="18"/>
              </w:rPr>
              <w:t>5</w:t>
            </w:r>
            <w:r>
              <w:rPr>
                <w:rFonts w:hint="eastAsia" w:ascii="Times New Roman" w:hAnsi="Times New Roman" w:cs="Times New Roman"/>
                <w:iCs/>
                <w:sz w:val="18"/>
                <w:szCs w:val="18"/>
              </w:rPr>
              <w:t>年</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地下管线管径</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P</m:t>
                  </m:r>
                  <m:ctrlPr>
                    <w:rPr>
                      <w:rFonts w:ascii="Cambria Math" w:hAnsi="Cambria Math" w:cs="Times New Roman"/>
                      <w:kern w:val="2"/>
                      <w:sz w:val="18"/>
                      <w:szCs w:val="18"/>
                    </w:rPr>
                  </m:ctrlPr>
                </m:e>
                <m:sub>
                  <m:r>
                    <m:rPr/>
                    <w:rPr>
                      <w:rFonts w:hint="eastAsia" w:ascii="Cambria Math" w:hAnsi="Cambria Math" w:cs="Times New Roman"/>
                      <w:kern w:val="2"/>
                      <w:sz w:val="18"/>
                      <w:szCs w:val="18"/>
                    </w:rPr>
                    <m:t>C</m:t>
                  </m:r>
                  <m:r>
                    <m:rPr>
                      <m:sty m:val="p"/>
                    </m:rPr>
                    <w:rPr>
                      <w:rFonts w:ascii="Cambria Math" w:hAnsi="Cambria Math" w:cs="Times New Roman"/>
                      <w:kern w:val="2"/>
                      <w:sz w:val="18"/>
                      <w:szCs w:val="18"/>
                    </w:rPr>
                    <m:t>2</m:t>
                  </m:r>
                  <m:ctrlPr>
                    <w:rPr>
                      <w:rFonts w:ascii="Cambria Math" w:hAnsi="Cambria Math" w:cs="Times New Roman"/>
                      <w:kern w:val="2"/>
                      <w:sz w:val="18"/>
                      <w:szCs w:val="18"/>
                    </w:rPr>
                  </m:ctrlPr>
                </m:sub>
              </m:sSub>
            </m:oMath>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800mm</w:t>
            </w:r>
            <w:r>
              <w:rPr>
                <w:rFonts w:hint="eastAsia" w:ascii="Times New Roman" w:hAnsi="Times New Roman" w:cs="Times New Roman"/>
                <w:iCs/>
                <w:sz w:val="18"/>
                <w:szCs w:val="18"/>
              </w:rPr>
              <w:t>≤管线直径</w:t>
            </w:r>
            <w:r>
              <w:rPr>
                <w:rFonts w:ascii="Times New Roman" w:hAnsi="Times New Roman" w:cs="Times New Roman"/>
                <w:iCs/>
                <w:sz w:val="18"/>
                <w:szCs w:val="18"/>
              </w:rPr>
              <w:t>D</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400mm</w:t>
            </w:r>
            <w:r>
              <w:rPr>
                <w:rFonts w:hint="eastAsia" w:ascii="Times New Roman" w:hAnsi="Times New Roman" w:cs="Times New Roman"/>
                <w:iCs/>
                <w:sz w:val="18"/>
                <w:szCs w:val="18"/>
              </w:rPr>
              <w:t>≤</w:t>
            </w:r>
            <w:r>
              <w:rPr>
                <w:rFonts w:ascii="Times New Roman" w:hAnsi="Times New Roman" w:cs="Times New Roman"/>
                <w:iCs/>
                <w:sz w:val="18"/>
                <w:szCs w:val="18"/>
              </w:rPr>
              <w:t>D</w:t>
            </w:r>
            <w:r>
              <w:rPr>
                <w:rFonts w:hint="eastAsia" w:ascii="Times New Roman" w:hAnsi="Times New Roman" w:cs="Times New Roman"/>
                <w:iCs/>
                <w:sz w:val="18"/>
                <w:szCs w:val="18"/>
              </w:rPr>
              <w:t>＜</w:t>
            </w:r>
            <w:r>
              <w:rPr>
                <w:rFonts w:ascii="Times New Roman" w:hAnsi="Times New Roman" w:cs="Times New Roman"/>
                <w:iCs/>
                <w:sz w:val="18"/>
                <w:szCs w:val="18"/>
              </w:rPr>
              <w:t>800mm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70~90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100mm</w:t>
            </w:r>
            <w:r>
              <w:rPr>
                <w:rFonts w:hint="eastAsia" w:ascii="Times New Roman" w:hAnsi="Times New Roman" w:cs="Times New Roman"/>
                <w:iCs/>
                <w:sz w:val="18"/>
                <w:szCs w:val="18"/>
              </w:rPr>
              <w:t>≤</w:t>
            </w:r>
            <w:r>
              <w:rPr>
                <w:rFonts w:ascii="Times New Roman" w:hAnsi="Times New Roman" w:cs="Times New Roman"/>
                <w:iCs/>
                <w:sz w:val="18"/>
                <w:szCs w:val="18"/>
              </w:rPr>
              <w:t>D</w:t>
            </w:r>
            <w:r>
              <w:rPr>
                <w:rFonts w:hint="eastAsia" w:ascii="Times New Roman" w:hAnsi="Times New Roman" w:cs="Times New Roman"/>
                <w:iCs/>
                <w:sz w:val="18"/>
                <w:szCs w:val="18"/>
              </w:rPr>
              <w:t>＜</w:t>
            </w:r>
            <w:r>
              <w:rPr>
                <w:rFonts w:ascii="Times New Roman" w:hAnsi="Times New Roman" w:cs="Times New Roman"/>
                <w:iCs/>
                <w:sz w:val="18"/>
                <w:szCs w:val="18"/>
              </w:rPr>
              <w:t>400mm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40~70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0mm</w:t>
            </w:r>
            <w:r>
              <w:rPr>
                <w:rFonts w:hint="eastAsia" w:ascii="Times New Roman" w:hAnsi="Times New Roman" w:cs="Times New Roman"/>
                <w:iCs/>
                <w:sz w:val="18"/>
                <w:szCs w:val="18"/>
              </w:rPr>
              <w:t>＜</w:t>
            </w:r>
            <w:r>
              <w:rPr>
                <w:rFonts w:ascii="Times New Roman" w:hAnsi="Times New Roman" w:cs="Times New Roman"/>
                <w:iCs/>
                <w:sz w:val="18"/>
                <w:szCs w:val="18"/>
              </w:rPr>
              <w:t>D</w:t>
            </w:r>
            <w:r>
              <w:rPr>
                <w:rFonts w:hint="eastAsia" w:ascii="Times New Roman" w:hAnsi="Times New Roman" w:cs="Times New Roman"/>
                <w:iCs/>
                <w:sz w:val="18"/>
                <w:szCs w:val="18"/>
              </w:rPr>
              <w:t>＜</w:t>
            </w:r>
            <w:r>
              <w:rPr>
                <w:rFonts w:ascii="Times New Roman" w:hAnsi="Times New Roman" w:cs="Times New Roman"/>
                <w:iCs/>
                <w:sz w:val="18"/>
                <w:szCs w:val="18"/>
              </w:rPr>
              <w:t>100mm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0~40</w:t>
            </w:r>
          </w:p>
        </w:tc>
      </w:tr>
    </w:tbl>
    <w:p>
      <w:pPr>
        <w:spacing w:before="240"/>
        <w:jc w:val="center"/>
        <w:rPr>
          <w:rFonts w:ascii="Times" w:hAnsi="Times"/>
        </w:rPr>
      </w:pPr>
    </w:p>
    <w:p>
      <w:pPr>
        <w:spacing w:before="240"/>
        <w:jc w:val="center"/>
      </w:pPr>
      <w:r>
        <w:rPr>
          <w:rFonts w:hint="eastAsia" w:ascii="Times" w:hAnsi="Times"/>
        </w:rPr>
        <w:t>续表</w:t>
      </w:r>
      <w:r>
        <w:rPr>
          <w:rFonts w:ascii="Times" w:hAnsi="Times"/>
        </w:rPr>
        <w:t>8.3.1</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069"/>
        <w:gridCol w:w="3742"/>
        <w:gridCol w:w="10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一级指标</w:t>
            </w: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二级指标</w:t>
            </w:r>
          </w:p>
        </w:tc>
        <w:tc>
          <w:tcPr>
            <w:tcW w:w="4761" w:type="dxa"/>
            <w:gridSpan w:val="2"/>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评价指标取值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评价依据</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取值范围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邻近设施</w:t>
            </w:r>
            <w:r>
              <w:rPr>
                <w:rFonts w:hint="eastAsia" w:ascii="Times New Roman" w:hAnsi="Times New Roman" w:cs="Times New Roman"/>
                <w:i/>
                <w:kern w:val="2"/>
                <w:sz w:val="18"/>
                <w:szCs w:val="18"/>
              </w:rPr>
              <w:t>P</w:t>
            </w:r>
            <w:r>
              <w:rPr>
                <w:rFonts w:ascii="Times New Roman" w:hAnsi="Times New Roman" w:cs="Times New Roman"/>
                <w:i/>
                <w:kern w:val="2"/>
                <w:sz w:val="18"/>
                <w:szCs w:val="18"/>
                <w:vertAlign w:val="subscript"/>
              </w:rPr>
              <w:t>C</w:t>
            </w: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地下管线材质</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P</m:t>
                  </m:r>
                  <m:ctrlPr>
                    <w:rPr>
                      <w:rFonts w:ascii="Cambria Math" w:hAnsi="Cambria Math" w:cs="Times New Roman"/>
                      <w:kern w:val="2"/>
                      <w:sz w:val="18"/>
                      <w:szCs w:val="18"/>
                    </w:rPr>
                  </m:ctrlPr>
                </m:e>
                <m:sub>
                  <m:r>
                    <m:rPr/>
                    <w:rPr>
                      <w:rFonts w:hint="eastAsia" w:ascii="Cambria Math" w:hAnsi="Cambria Math" w:cs="Times New Roman"/>
                      <w:kern w:val="2"/>
                      <w:sz w:val="18"/>
                      <w:szCs w:val="18"/>
                    </w:rPr>
                    <m:t>C</m:t>
                  </m:r>
                  <m:r>
                    <m:rPr>
                      <m:sty m:val="p"/>
                    </m:rPr>
                    <w:rPr>
                      <w:rFonts w:ascii="Cambria Math" w:hAnsi="Cambria Math" w:cs="Times New Roman"/>
                      <w:kern w:val="2"/>
                      <w:sz w:val="18"/>
                      <w:szCs w:val="18"/>
                    </w:rPr>
                    <m:t>3</m:t>
                  </m:r>
                  <m:ctrlPr>
                    <w:rPr>
                      <w:rFonts w:ascii="Cambria Math" w:hAnsi="Cambria Math" w:cs="Times New Roman"/>
                      <w:kern w:val="2"/>
                      <w:sz w:val="18"/>
                      <w:szCs w:val="18"/>
                    </w:rPr>
                  </m:ctrlPr>
                </m:sub>
              </m:sSub>
            </m:oMath>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石棉水泥、陶罐</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砌体方沟、球墨铸铁</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混凝土</w:t>
            </w:r>
            <w:r>
              <w:rPr>
                <w:rFonts w:ascii="Times New Roman" w:hAnsi="Times New Roman" w:cs="Times New Roman"/>
                <w:iCs/>
                <w:sz w:val="18"/>
                <w:szCs w:val="18"/>
              </w:rPr>
              <w:t>(</w:t>
            </w:r>
            <w:r>
              <w:rPr>
                <w:rFonts w:hint="eastAsia" w:ascii="Times New Roman" w:hAnsi="Times New Roman" w:cs="Times New Roman"/>
                <w:iCs/>
                <w:sz w:val="18"/>
                <w:szCs w:val="18"/>
              </w:rPr>
              <w:t>硂）、塑料</w:t>
            </w:r>
            <w:r>
              <w:rPr>
                <w:rFonts w:ascii="Times New Roman" w:hAnsi="Times New Roman" w:cs="Times New Roman"/>
                <w:iCs/>
                <w:sz w:val="18"/>
                <w:szCs w:val="18"/>
              </w:rPr>
              <w:t>(</w:t>
            </w:r>
            <w:r>
              <w:rPr>
                <w:rFonts w:hint="eastAsia" w:ascii="Times New Roman" w:hAnsi="Times New Roman" w:cs="Times New Roman"/>
                <w:iCs/>
                <w:sz w:val="18"/>
                <w:szCs w:val="18"/>
              </w:rPr>
              <w:t>硂）</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40~60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钢筋混凝土</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20~40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钢、镀锌管、普通铸铁</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10~20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其他</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地下管线类别</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P</m:t>
                  </m:r>
                  <m:ctrlPr>
                    <w:rPr>
                      <w:rFonts w:ascii="Cambria Math" w:hAnsi="Cambria Math" w:cs="Times New Roman"/>
                      <w:kern w:val="2"/>
                      <w:sz w:val="18"/>
                      <w:szCs w:val="18"/>
                    </w:rPr>
                  </m:ctrlPr>
                </m:e>
                <m:sub>
                  <m:r>
                    <m:rPr/>
                    <w:rPr>
                      <w:rFonts w:hint="eastAsia" w:ascii="Cambria Math" w:hAnsi="Cambria Math" w:cs="Times New Roman"/>
                      <w:kern w:val="2"/>
                      <w:sz w:val="18"/>
                      <w:szCs w:val="18"/>
                    </w:rPr>
                    <m:t>C</m:t>
                  </m:r>
                  <m:r>
                    <m:rPr>
                      <m:sty m:val="p"/>
                    </m:rPr>
                    <w:rPr>
                      <w:rFonts w:ascii="Cambria Math" w:hAnsi="Cambria Math" w:cs="Times New Roman"/>
                      <w:kern w:val="2"/>
                      <w:sz w:val="18"/>
                      <w:szCs w:val="18"/>
                    </w:rPr>
                    <m:t>4</m:t>
                  </m:r>
                  <m:ctrlPr>
                    <w:rPr>
                      <w:rFonts w:ascii="Cambria Math" w:hAnsi="Cambria Math" w:cs="Times New Roman"/>
                      <w:kern w:val="2"/>
                      <w:sz w:val="18"/>
                      <w:szCs w:val="18"/>
                    </w:rPr>
                  </m:ctrlPr>
                </m:sub>
              </m:sSub>
            </m:oMath>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排水管线</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供水管线</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70~90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其他有压管线</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40~70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hint="eastAsia" w:ascii="Times New Roman" w:hAnsi="Times New Roman" w:cs="Times New Roman"/>
                <w:iCs/>
                <w:sz w:val="18"/>
                <w:szCs w:val="18"/>
              </w:rPr>
              <w:t>其他管线</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地下管线埋深</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P</m:t>
                  </m:r>
                  <m:ctrlPr>
                    <w:rPr>
                      <w:rFonts w:ascii="Cambria Math" w:hAnsi="Cambria Math" w:cs="Times New Roman"/>
                      <w:kern w:val="2"/>
                      <w:sz w:val="18"/>
                      <w:szCs w:val="18"/>
                    </w:rPr>
                  </m:ctrlPr>
                </m:e>
                <m:sub>
                  <m:r>
                    <m:rPr/>
                    <w:rPr>
                      <w:rFonts w:hint="eastAsia" w:ascii="Cambria Math" w:hAnsi="Cambria Math" w:cs="Times New Roman"/>
                      <w:kern w:val="2"/>
                      <w:sz w:val="18"/>
                      <w:szCs w:val="18"/>
                    </w:rPr>
                    <m:t>C</m:t>
                  </m:r>
                  <m:r>
                    <m:rPr>
                      <m:sty m:val="p"/>
                    </m:rPr>
                    <w:rPr>
                      <w:rFonts w:ascii="Cambria Math" w:hAnsi="Cambria Math" w:cs="Times New Roman"/>
                      <w:kern w:val="2"/>
                      <w:sz w:val="18"/>
                      <w:szCs w:val="18"/>
                    </w:rPr>
                    <m:t>5</m:t>
                  </m:r>
                  <m:ctrlPr>
                    <w:rPr>
                      <w:rFonts w:ascii="Cambria Math" w:hAnsi="Cambria Math" w:cs="Times New Roman"/>
                      <w:kern w:val="2"/>
                      <w:sz w:val="18"/>
                      <w:szCs w:val="18"/>
                    </w:rPr>
                  </m:ctrlPr>
                </m:sub>
              </m:sSub>
            </m:oMath>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0m</w:t>
            </w:r>
            <w:r>
              <w:rPr>
                <w:rFonts w:hint="eastAsia" w:ascii="Times New Roman" w:hAnsi="Times New Roman" w:cs="Times New Roman"/>
                <w:iCs/>
                <w:sz w:val="18"/>
                <w:szCs w:val="18"/>
              </w:rPr>
              <w:t>＜管线埋深R＜1m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1m</w:t>
            </w:r>
            <w:r>
              <w:rPr>
                <w:rFonts w:hint="eastAsia" w:ascii="Times New Roman" w:hAnsi="Times New Roman" w:cs="Times New Roman"/>
                <w:iCs/>
                <w:sz w:val="18"/>
                <w:szCs w:val="18"/>
              </w:rPr>
              <w:t>≤管线埋深R＜2m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70~90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2m</w:t>
            </w:r>
            <w:r>
              <w:rPr>
                <w:rFonts w:hint="eastAsia" w:ascii="Times New Roman" w:hAnsi="Times New Roman" w:cs="Times New Roman"/>
                <w:iCs/>
                <w:sz w:val="18"/>
                <w:szCs w:val="18"/>
              </w:rPr>
              <w:t>≤管线埋深R＜3m</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40~70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206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3742"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3m</w:t>
            </w:r>
            <w:r>
              <w:rPr>
                <w:rFonts w:hint="eastAsia" w:ascii="Times New Roman" w:hAnsi="Times New Roman" w:cs="Times New Roman"/>
                <w:iCs/>
                <w:sz w:val="18"/>
                <w:szCs w:val="18"/>
              </w:rPr>
              <w:t>≤管线埋深R</w:t>
            </w:r>
          </w:p>
        </w:tc>
        <w:tc>
          <w:tcPr>
            <w:tcW w:w="1019" w:type="dxa"/>
            <w:vAlign w:val="center"/>
          </w:tcPr>
          <w:p>
            <w:pPr>
              <w:pStyle w:val="74"/>
              <w:spacing w:before="0" w:beforeAutospacing="0" w:after="0" w:afterAutospacing="0"/>
              <w:jc w:val="center"/>
              <w:rPr>
                <w:rFonts w:ascii="Times New Roman" w:hAnsi="Times New Roman" w:cs="Times New Roman"/>
                <w:iCs/>
                <w:sz w:val="18"/>
                <w:szCs w:val="18"/>
              </w:rPr>
            </w:pPr>
            <w:r>
              <w:rPr>
                <w:rFonts w:ascii="Times New Roman" w:hAnsi="Times New Roman" w:cs="Times New Roman"/>
                <w:iCs/>
                <w:sz w:val="18"/>
                <w:szCs w:val="18"/>
              </w:rPr>
              <w:t>0~40</w:t>
            </w:r>
          </w:p>
        </w:tc>
      </w:tr>
    </w:tbl>
    <w:p>
      <w:pPr>
        <w:spacing w:before="240"/>
      </w:pPr>
      <w:r>
        <w:rPr>
          <w:rFonts w:hint="eastAsia"/>
        </w:rPr>
        <w:t>8</w:t>
      </w:r>
      <w:r>
        <w:t xml:space="preserve">.3.2  </w:t>
      </w:r>
      <w:r>
        <w:rPr>
          <w:rFonts w:hint="eastAsia"/>
        </w:rPr>
        <w:t>单一地下病害体的风险发生可能性分值按下列公式进行计算：</w:t>
      </w:r>
    </w:p>
    <w:p>
      <w:pPr>
        <w:ind w:firstLine="420" w:firstLineChars="200"/>
        <w:jc w:val="right"/>
      </w:pP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hint="eastAsia" w:ascii="Cambria Math" w:hAnsi="Cambria Math"/>
              </w:rPr>
              <m:t>T</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m:t>
            </m:r>
            <m:ctrlPr>
              <w:rPr>
                <w:rFonts w:ascii="Cambria Math" w:hAnsi="Cambria Math"/>
                <w:i/>
              </w:rPr>
            </m:ctrlPr>
          </m:sub>
        </m:sSub>
      </m:oMath>
      <w:r>
        <w:rPr>
          <w:rFonts w:hint="eastAsia"/>
        </w:rPr>
        <w:t xml:space="preserve"> </w:t>
      </w:r>
      <w:r>
        <w:t xml:space="preserve">               </w:t>
      </w:r>
      <w:r>
        <w:rPr>
          <w:rFonts w:hint="eastAsia"/>
        </w:rPr>
        <w:t>（</w:t>
      </w:r>
      <w:r>
        <w:t>8.3.2-1</w:t>
      </w:r>
      <w:r>
        <w:rPr>
          <w:rFonts w:hint="eastAsia"/>
        </w:rPr>
        <w:t>）</w:t>
      </w:r>
    </w:p>
    <w:p>
      <w:pPr>
        <w:ind w:firstLine="420" w:firstLineChars="20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=1</m:t>
        </m:r>
      </m:oMath>
      <w:r>
        <w:rPr>
          <w:rFonts w:hint="eastAsia"/>
        </w:rPr>
        <w:t xml:space="preserve"> </w:t>
      </w:r>
      <w:r>
        <w:t xml:space="preserve">                  </w:t>
      </w:r>
      <w:r>
        <w:rPr>
          <w:rFonts w:hint="eastAsia"/>
        </w:rPr>
        <w:t>（</w:t>
      </w:r>
      <w:r>
        <w:t>8.3.2-2</w:t>
      </w:r>
      <w:r>
        <w:rPr>
          <w:rFonts w:hint="eastAsia"/>
        </w:rPr>
        <w:t>）</w:t>
      </w:r>
    </w:p>
    <w:p>
      <w:pPr>
        <w:rPr>
          <w:color w:val="000000"/>
        </w:rPr>
      </w:pPr>
      <w:r>
        <w:rPr>
          <w:rFonts w:hint="eastAsia"/>
        </w:rPr>
        <w:t>式中：</w:t>
      </w:r>
      <m:oMath>
        <m:sSub>
          <m:sSubPr>
            <m:ctrlPr>
              <w:rPr>
                <w:rFonts w:ascii="Cambria Math" w:hAnsi="Cambria Math"/>
                <w:color w:val="000000"/>
              </w:rPr>
            </m:ctrlPr>
          </m:sSubPr>
          <m:e>
            <m:r>
              <m:rPr/>
              <w:rPr>
                <w:rFonts w:ascii="Cambria Math" w:hAnsi="Cambria Math"/>
                <w:color w:val="000000"/>
              </w:rPr>
              <m:t>S</m:t>
            </m:r>
            <m:ctrlPr>
              <w:rPr>
                <w:rFonts w:ascii="Cambria Math" w:hAnsi="Cambria Math"/>
                <w:color w:val="000000"/>
              </w:rPr>
            </m:ctrlPr>
          </m:e>
          <m:sub>
            <m:r>
              <m:rPr/>
              <w:rPr>
                <w:rFonts w:hint="eastAsia" w:ascii="Cambria Math" w:hAnsi="Cambria Math"/>
                <w:color w:val="000000"/>
              </w:rPr>
              <m:t>T</m:t>
            </m:r>
            <m:ctrlPr>
              <w:rPr>
                <w:rFonts w:ascii="Cambria Math" w:hAnsi="Cambria Math"/>
                <w:color w:val="000000"/>
              </w:rPr>
            </m:ctrlPr>
          </m:sub>
        </m:sSub>
      </m:oMath>
      <w:r>
        <w:t>—</w:t>
      </w:r>
      <w:r>
        <w:rPr>
          <w:rFonts w:hint="eastAsia"/>
          <w:color w:val="000000"/>
        </w:rPr>
        <w:t>地下病害体风险发生可能性分值；</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m:t>
            </m:r>
            <m:ctrlPr>
              <w:rPr>
                <w:rFonts w:ascii="Cambria Math" w:hAnsi="Cambria Math"/>
                <w:i/>
              </w:rPr>
            </m:ctrlPr>
          </m:sub>
        </m:sSub>
      </m:oMath>
      <w:r>
        <w:t>—</w:t>
      </w:r>
      <w:r>
        <w:rPr>
          <w:rFonts w:hint="eastAsia"/>
        </w:rPr>
        <w:t>地下病害体规模指标；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m:t>
            </m:r>
            <m:ctrlPr>
              <w:rPr>
                <w:rFonts w:ascii="Cambria Math" w:hAnsi="Cambria Math"/>
                <w:i/>
              </w:rPr>
            </m:ctrlPr>
          </m:sub>
        </m:sSub>
      </m:oMath>
      <w:r>
        <w:t>—</w:t>
      </w:r>
      <w:r>
        <w:rPr>
          <w:rFonts w:hint="eastAsia"/>
        </w:rPr>
        <w:t>地质条件指标；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m:t>
            </m:r>
            <m:ctrlPr>
              <w:rPr>
                <w:rFonts w:ascii="Cambria Math" w:hAnsi="Cambria Math"/>
                <w:i/>
              </w:rPr>
            </m:ctrlPr>
          </m:sub>
        </m:sSub>
      </m:oMath>
      <w:r>
        <w:t>—</w:t>
      </w:r>
      <w:r>
        <w:rPr>
          <w:rFonts w:hint="eastAsia"/>
        </w:rPr>
        <w:t>邻近设施指标；</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m:t>
            </m:r>
            <m:ctrlPr>
              <w:rPr>
                <w:rFonts w:ascii="Cambria Math" w:hAnsi="Cambria Math"/>
                <w:i/>
              </w:rPr>
            </m:ctrlPr>
          </m:sub>
        </m:sSub>
      </m:oMath>
      <w:r>
        <w:t>—</w:t>
      </w:r>
      <w:r>
        <w:rPr>
          <w:rFonts w:hint="eastAsia"/>
          <w:color w:val="000000"/>
        </w:rPr>
        <w:t>地下病害体规模指标权重，取值宜在0</w:t>
      </w:r>
      <w:r>
        <w:rPr>
          <w:color w:val="000000"/>
        </w:rPr>
        <w:t>.3~0.4</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m:t>
            </m:r>
            <m:ctrlPr>
              <w:rPr>
                <w:rFonts w:ascii="Cambria Math" w:hAnsi="Cambria Math"/>
                <w:i/>
              </w:rPr>
            </m:ctrlPr>
          </m:sub>
        </m:sSub>
      </m:oMath>
      <w:r>
        <w:t>—</w:t>
      </w:r>
      <w:r>
        <w:rPr>
          <w:rFonts w:hint="eastAsia"/>
          <w:color w:val="000000"/>
        </w:rPr>
        <w:t>地质条件指标权重，取值宜在0</w:t>
      </w:r>
      <w:r>
        <w:rPr>
          <w:color w:val="000000"/>
        </w:rPr>
        <w:t>.2~0.4</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m:t>
            </m:r>
            <m:ctrlPr>
              <w:rPr>
                <w:rFonts w:ascii="Cambria Math" w:hAnsi="Cambria Math"/>
                <w:i/>
              </w:rPr>
            </m:ctrlPr>
          </m:sub>
        </m:sSub>
      </m:oMath>
      <w:r>
        <w:t>—</w:t>
      </w:r>
      <w:r>
        <w:rPr>
          <w:rFonts w:hint="eastAsia"/>
          <w:color w:val="000000"/>
        </w:rPr>
        <w:t>邻近设施指标权重，取值宜在0</w:t>
      </w:r>
      <w:r>
        <w:rPr>
          <w:color w:val="000000"/>
        </w:rPr>
        <w:t>.3~0.4</w:t>
      </w:r>
      <w:r>
        <w:rPr>
          <w:rFonts w:hint="eastAsia"/>
          <w:color w:val="000000"/>
        </w:rPr>
        <w:t>之间。</w:t>
      </w:r>
    </w:p>
    <w:p>
      <w:r>
        <w:rPr>
          <w:rFonts w:hint="eastAsia"/>
        </w:rPr>
        <w:t>8</w:t>
      </w:r>
      <w:r>
        <w:t xml:space="preserve">.3.3  </w:t>
      </w:r>
      <w:r>
        <w:rPr>
          <w:rFonts w:hint="eastAsia"/>
        </w:rPr>
        <w:t>单一地下病害体的规模指标宜按下列公式计算：</w:t>
      </w:r>
    </w:p>
    <w:p>
      <w:pPr>
        <w:pStyle w:val="70"/>
        <w:ind w:firstLine="0" w:firstLineChars="0"/>
        <w:jc w:val="right"/>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A1</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A2</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A3</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A3</m:t>
            </m:r>
            <m:ctrlPr>
              <w:rPr>
                <w:rFonts w:ascii="Cambria Math" w:hAnsi="Cambria Math"/>
                <w:i/>
              </w:rPr>
            </m:ctrlPr>
          </m:sub>
        </m:sSub>
      </m:oMath>
      <w:r>
        <w:t xml:space="preserve">               </w:t>
      </w:r>
      <w:r>
        <w:rPr>
          <w:rFonts w:hint="eastAsia"/>
        </w:rPr>
        <w:t>（</w:t>
      </w:r>
      <w:r>
        <w:t>8.3.3-1</w:t>
      </w:r>
      <w:r>
        <w:rPr>
          <w:rFonts w:hint="eastAsia"/>
        </w:rPr>
        <w:t>）</w:t>
      </w:r>
    </w:p>
    <w:p>
      <w:pPr>
        <w:pStyle w:val="70"/>
        <w:ind w:firstLine="630" w:firstLineChars="30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A2</m:t>
            </m:r>
            <m:ctrlPr>
              <w:rPr>
                <w:rFonts w:ascii="Cambria Math" w:hAnsi="Cambria Math"/>
                <w:i/>
              </w:rPr>
            </m:ctrlPr>
          </m:sub>
        </m:sSub>
        <m:r>
          <m:rPr/>
          <w:rPr>
            <w:rFonts w:ascii="Cambria Math" w:hAnsi="Cambria Math"/>
          </w:rPr>
          <m:t>=1</m:t>
        </m:r>
      </m:oMath>
      <w:r>
        <w:t xml:space="preserve">                    </w:t>
      </w:r>
      <w:r>
        <w:rPr>
          <w:rFonts w:hint="eastAsia"/>
        </w:rPr>
        <w:t>（</w:t>
      </w:r>
      <w:r>
        <w:t>8.3.3-2</w:t>
      </w:r>
      <w:r>
        <w:rPr>
          <w:rFonts w:hint="eastAsia"/>
        </w:rPr>
        <w:t>）</w:t>
      </w:r>
    </w:p>
    <w:p>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m:t>
            </m:r>
            <m:ctrlPr>
              <w:rPr>
                <w:rFonts w:ascii="Cambria Math" w:hAnsi="Cambria Math"/>
                <w:i/>
              </w:rPr>
            </m:ctrlPr>
          </m:sub>
        </m:sSub>
      </m:oMath>
      <w:r>
        <w:t>—</w:t>
      </w:r>
      <w:r>
        <w:rPr>
          <w:rFonts w:hint="eastAsia"/>
        </w:rPr>
        <w:t>地下病害体规模指标；</w:t>
      </w:r>
    </w:p>
    <w:p>
      <w:pPr>
        <w:pStyle w:val="70"/>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A1</m:t>
            </m:r>
            <m:ctrlPr>
              <w:rPr>
                <w:rFonts w:ascii="Cambria Math" w:hAnsi="Cambria Math"/>
                <w:i/>
              </w:rPr>
            </m:ctrlPr>
          </m:sub>
        </m:sSub>
      </m:oMath>
      <w:r>
        <w:t>—</w:t>
      </w:r>
      <w:r>
        <w:rPr>
          <w:rFonts w:hint="eastAsia"/>
        </w:rPr>
        <w:t>地下病害体面积指标；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A2</m:t>
            </m:r>
            <m:ctrlPr>
              <w:rPr>
                <w:rFonts w:ascii="Cambria Math" w:hAnsi="Cambria Math"/>
                <w:i/>
              </w:rPr>
            </m:ctrlPr>
          </m:sub>
        </m:sSub>
      </m:oMath>
      <w:r>
        <w:t>—</w:t>
      </w:r>
      <w:r>
        <w:rPr>
          <w:rFonts w:hint="eastAsia"/>
        </w:rPr>
        <w:t>地下病害体高度指标；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A3</m:t>
            </m:r>
            <m:ctrlPr>
              <w:rPr>
                <w:rFonts w:ascii="Cambria Math" w:hAnsi="Cambria Math"/>
                <w:i/>
              </w:rPr>
            </m:ctrlPr>
          </m:sub>
        </m:sSub>
      </m:oMath>
      <w:r>
        <w:t>—</w:t>
      </w:r>
      <w:r>
        <w:rPr>
          <w:rFonts w:hint="eastAsia"/>
        </w:rPr>
        <w:t>地下病害体处理情况指标；</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A1</m:t>
            </m:r>
            <m:ctrlPr>
              <w:rPr>
                <w:rFonts w:ascii="Cambria Math" w:hAnsi="Cambria Math"/>
                <w:i/>
              </w:rPr>
            </m:ctrlPr>
          </m:sub>
        </m:sSub>
      </m:oMath>
      <w:r>
        <w:t>—</w:t>
      </w:r>
      <w:r>
        <w:rPr>
          <w:rFonts w:hint="eastAsia"/>
        </w:rPr>
        <w:t>地下病害体面积指标</w:t>
      </w:r>
      <w:r>
        <w:rPr>
          <w:rFonts w:hint="eastAsia"/>
          <w:color w:val="000000"/>
        </w:rPr>
        <w:t>权重，取值宜在0</w:t>
      </w:r>
      <w:r>
        <w:rPr>
          <w:color w:val="000000"/>
        </w:rPr>
        <w:t>.3~0.4</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A2</m:t>
            </m:r>
            <m:ctrlPr>
              <w:rPr>
                <w:rFonts w:ascii="Cambria Math" w:hAnsi="Cambria Math"/>
                <w:i/>
              </w:rPr>
            </m:ctrlPr>
          </m:sub>
        </m:sSub>
      </m:oMath>
      <w:r>
        <w:t>—</w:t>
      </w:r>
      <w:r>
        <w:rPr>
          <w:rFonts w:hint="eastAsia"/>
        </w:rPr>
        <w:t>地下病害体高度</w:t>
      </w:r>
      <w:r>
        <w:rPr>
          <w:rFonts w:hint="eastAsia"/>
          <w:color w:val="000000"/>
        </w:rPr>
        <w:t>指标权重，取值宜在0</w:t>
      </w:r>
      <w:r>
        <w:rPr>
          <w:color w:val="000000"/>
        </w:rPr>
        <w:t>.2~0.3</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A3</m:t>
            </m:r>
            <m:ctrlPr>
              <w:rPr>
                <w:rFonts w:ascii="Cambria Math" w:hAnsi="Cambria Math"/>
                <w:i/>
              </w:rPr>
            </m:ctrlPr>
          </m:sub>
        </m:sSub>
      </m:oMath>
      <w:r>
        <w:t>—</w:t>
      </w:r>
      <w:r>
        <w:rPr>
          <w:rFonts w:hint="eastAsia"/>
        </w:rPr>
        <w:t>地下病害体处理情况</w:t>
      </w:r>
      <w:r>
        <w:rPr>
          <w:rFonts w:hint="eastAsia"/>
          <w:color w:val="000000"/>
        </w:rPr>
        <w:t>指标权重，取值宜在0</w:t>
      </w:r>
      <w:r>
        <w:rPr>
          <w:color w:val="000000"/>
        </w:rPr>
        <w:t>.35~0.5</w:t>
      </w:r>
      <w:r>
        <w:rPr>
          <w:rFonts w:hint="eastAsia"/>
          <w:color w:val="000000"/>
        </w:rPr>
        <w:t>之间。</w:t>
      </w:r>
    </w:p>
    <w:p>
      <w:r>
        <w:rPr>
          <w:rFonts w:hint="eastAsia"/>
        </w:rPr>
        <w:t>8</w:t>
      </w:r>
      <w:r>
        <w:t xml:space="preserve">.3.4  </w:t>
      </w:r>
      <w:r>
        <w:rPr>
          <w:rFonts w:hint="eastAsia"/>
        </w:rPr>
        <w:t>单一地下病害体的地质条件指标宜按下列公式计算：</w:t>
      </w:r>
    </w:p>
    <w:p>
      <w:pPr>
        <w:pStyle w:val="70"/>
        <w:ind w:left="360" w:firstLine="0" w:firstLineChars="0"/>
        <w:jc w:val="right"/>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B1</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B2</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B3</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B4</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B4</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B5</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B5</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B6</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B6</m:t>
            </m:r>
            <m:ctrlPr>
              <w:rPr>
                <w:rFonts w:ascii="Cambria Math" w:hAnsi="Cambria Math"/>
                <w:i/>
              </w:rPr>
            </m:ctrlPr>
          </m:sub>
        </m:sSub>
      </m:oMath>
      <w:r>
        <w:t xml:space="preserve">   </w:t>
      </w:r>
      <w:r>
        <w:rPr>
          <w:rFonts w:hint="eastAsia"/>
        </w:rPr>
        <w:t>（</w:t>
      </w:r>
      <w:r>
        <w:t>8.3.4-1</w:t>
      </w:r>
      <w:r>
        <w:rPr>
          <w:rFonts w:hint="eastAsia"/>
        </w:rPr>
        <w:t>）</w:t>
      </w:r>
    </w:p>
    <w:p>
      <w:pPr>
        <w:pStyle w:val="70"/>
        <w:ind w:firstLine="630" w:firstLineChars="30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B4</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B5</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B6</m:t>
            </m:r>
            <m:ctrlPr>
              <w:rPr>
                <w:rFonts w:ascii="Cambria Math" w:hAnsi="Cambria Math"/>
                <w:i/>
              </w:rPr>
            </m:ctrlPr>
          </m:sub>
        </m:sSub>
        <m:r>
          <m:rPr/>
          <w:rPr>
            <w:rFonts w:ascii="Cambria Math" w:hAnsi="Cambria Math"/>
          </w:rPr>
          <m:t>=1</m:t>
        </m:r>
      </m:oMath>
      <w:r>
        <w:t xml:space="preserve">          </w:t>
      </w:r>
      <w:r>
        <w:rPr>
          <w:rFonts w:hint="eastAsia"/>
        </w:rPr>
        <w:t>（</w:t>
      </w:r>
      <w:r>
        <w:t>8.3.4-2</w:t>
      </w:r>
      <w:r>
        <w:rPr>
          <w:rFonts w:hint="eastAsia"/>
        </w:rPr>
        <w:t>）</w:t>
      </w:r>
    </w:p>
    <w:p>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m:t>
            </m:r>
            <m:ctrlPr>
              <w:rPr>
                <w:rFonts w:ascii="Cambria Math" w:hAnsi="Cambria Math"/>
                <w:i/>
              </w:rPr>
            </m:ctrlPr>
          </m:sub>
        </m:sSub>
      </m:oMath>
      <w:r>
        <w:t>—</w:t>
      </w:r>
      <w:r>
        <w:rPr>
          <w:rFonts w:hint="eastAsia"/>
        </w:rPr>
        <w:t>地质条件指标；</w:t>
      </w:r>
    </w:p>
    <w:p>
      <w:pPr>
        <w:pStyle w:val="70"/>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B1</m:t>
            </m:r>
            <m:ctrlPr>
              <w:rPr>
                <w:rFonts w:ascii="Cambria Math" w:hAnsi="Cambria Math"/>
                <w:i/>
              </w:rPr>
            </m:ctrlPr>
          </m:sub>
        </m:sSub>
      </m:oMath>
      <w:r>
        <w:t>—</w:t>
      </w:r>
      <w:r>
        <w:rPr>
          <w:rFonts w:hint="eastAsia"/>
          <w:bCs/>
        </w:rPr>
        <w:t>病害体所处地层</w:t>
      </w:r>
      <w:r>
        <w:rPr>
          <w:rFonts w:hint="eastAsia"/>
        </w:rPr>
        <w:t>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B2</m:t>
            </m:r>
            <m:ctrlPr>
              <w:rPr>
                <w:rFonts w:ascii="Cambria Math" w:hAnsi="Cambria Math"/>
                <w:i/>
              </w:rPr>
            </m:ctrlPr>
          </m:sub>
        </m:sSub>
      </m:oMath>
      <w:r>
        <w:t>—</w:t>
      </w:r>
      <w:r>
        <w:rPr>
          <w:rFonts w:hint="eastAsia"/>
          <w:bCs/>
        </w:rPr>
        <w:t>病害体所处地层渗透性</w:t>
      </w:r>
      <w:r>
        <w:rPr>
          <w:rFonts w:hint="eastAsia"/>
        </w:rPr>
        <w:t>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B3</m:t>
            </m:r>
            <m:ctrlPr>
              <w:rPr>
                <w:rFonts w:ascii="Cambria Math" w:hAnsi="Cambria Math"/>
                <w:i/>
              </w:rPr>
            </m:ctrlPr>
          </m:sub>
        </m:sSub>
      </m:oMath>
      <w:r>
        <w:t>—</w:t>
      </w:r>
      <w:r>
        <w:rPr>
          <w:rFonts w:hint="eastAsia"/>
          <w:bCs/>
        </w:rPr>
        <w:t>不利地质条件(岩溶地质)</w:t>
      </w:r>
      <w:r>
        <w:rPr>
          <w:rFonts w:hint="eastAsia"/>
        </w:rPr>
        <w:t>指标；</w:t>
      </w:r>
    </w:p>
    <w:p>
      <w:pPr>
        <w:pStyle w:val="70"/>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B4</m:t>
            </m:r>
            <m:ctrlPr>
              <w:rPr>
                <w:rFonts w:ascii="Cambria Math" w:hAnsi="Cambria Math"/>
                <w:i/>
              </w:rPr>
            </m:ctrlPr>
          </m:sub>
        </m:sSub>
      </m:oMath>
      <w:r>
        <w:t>—</w:t>
      </w:r>
      <w:r>
        <w:rPr>
          <w:rFonts w:hint="eastAsia"/>
          <w:bCs/>
        </w:rPr>
        <w:t>不利地质条件(易压缩地层)</w:t>
      </w:r>
      <w:r>
        <w:rPr>
          <w:rFonts w:hint="eastAsia"/>
        </w:rPr>
        <w:t>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B5</m:t>
            </m:r>
            <m:ctrlPr>
              <w:rPr>
                <w:rFonts w:ascii="Cambria Math" w:hAnsi="Cambria Math"/>
                <w:i/>
              </w:rPr>
            </m:ctrlPr>
          </m:sub>
        </m:sSub>
      </m:oMath>
      <w:r>
        <w:t>—</w:t>
      </w:r>
      <w:r>
        <w:rPr>
          <w:rFonts w:hint="eastAsia"/>
          <w:bCs/>
        </w:rPr>
        <w:t>不利地质条件(易流失地层)</w:t>
      </w:r>
      <w:r>
        <w:rPr>
          <w:rFonts w:hint="eastAsia"/>
        </w:rPr>
        <w:t>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B6</m:t>
            </m:r>
            <m:ctrlPr>
              <w:rPr>
                <w:rFonts w:ascii="Cambria Math" w:hAnsi="Cambria Math"/>
                <w:i/>
              </w:rPr>
            </m:ctrlPr>
          </m:sub>
        </m:sSub>
      </m:oMath>
      <w:r>
        <w:t>—</w:t>
      </w:r>
      <w:r>
        <w:rPr>
          <w:rFonts w:hint="eastAsia"/>
          <w:bCs/>
        </w:rPr>
        <w:t>不利地质条件(断裂带)</w:t>
      </w:r>
      <w:r>
        <w:rPr>
          <w:rFonts w:hint="eastAsia"/>
        </w:rPr>
        <w:t>指标；</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B1</m:t>
            </m:r>
            <m:ctrlPr>
              <w:rPr>
                <w:rFonts w:ascii="Cambria Math" w:hAnsi="Cambria Math"/>
                <w:i/>
              </w:rPr>
            </m:ctrlPr>
          </m:sub>
        </m:sSub>
      </m:oMath>
      <w:r>
        <w:t>—</w:t>
      </w:r>
      <w:r>
        <w:rPr>
          <w:rFonts w:hint="eastAsia"/>
          <w:bCs/>
        </w:rPr>
        <w:t>病害体所处地层</w:t>
      </w:r>
      <w:r>
        <w:rPr>
          <w:rFonts w:hint="eastAsia"/>
        </w:rPr>
        <w:t>指标</w:t>
      </w:r>
      <w:r>
        <w:rPr>
          <w:rFonts w:hint="eastAsia"/>
          <w:color w:val="000000"/>
        </w:rPr>
        <w:t>权重，取值宜在0</w:t>
      </w:r>
      <w:r>
        <w:rPr>
          <w:color w:val="000000"/>
        </w:rPr>
        <w:t>.15~0.25</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B2</m:t>
            </m:r>
            <m:ctrlPr>
              <w:rPr>
                <w:rFonts w:ascii="Cambria Math" w:hAnsi="Cambria Math"/>
                <w:i/>
              </w:rPr>
            </m:ctrlPr>
          </m:sub>
        </m:sSub>
      </m:oMath>
      <w:r>
        <w:t>—</w:t>
      </w:r>
      <w:r>
        <w:rPr>
          <w:rFonts w:hint="eastAsia"/>
          <w:bCs/>
        </w:rPr>
        <w:t>病害体所处地层渗透性</w:t>
      </w:r>
      <w:r>
        <w:rPr>
          <w:rFonts w:hint="eastAsia"/>
          <w:color w:val="000000"/>
        </w:rPr>
        <w:t>指标权重，取值宜在0</w:t>
      </w:r>
      <w:r>
        <w:rPr>
          <w:color w:val="000000"/>
        </w:rPr>
        <w:t>.15~0.25</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B3</m:t>
            </m:r>
            <m:ctrlPr>
              <w:rPr>
                <w:rFonts w:ascii="Cambria Math" w:hAnsi="Cambria Math"/>
                <w:i/>
              </w:rPr>
            </m:ctrlPr>
          </m:sub>
        </m:sSub>
      </m:oMath>
      <w:r>
        <w:t>—</w:t>
      </w:r>
      <w:r>
        <w:rPr>
          <w:rFonts w:hint="eastAsia"/>
          <w:bCs/>
        </w:rPr>
        <w:t>不利地质条件(岩溶地质)</w:t>
      </w:r>
      <w:r>
        <w:rPr>
          <w:rFonts w:hint="eastAsia"/>
          <w:color w:val="000000"/>
        </w:rPr>
        <w:t>指标权重，取值宜在0</w:t>
      </w:r>
      <w:r>
        <w:rPr>
          <w:color w:val="000000"/>
        </w:rPr>
        <w:t>.15~0.25</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B4</m:t>
            </m:r>
            <m:ctrlPr>
              <w:rPr>
                <w:rFonts w:ascii="Cambria Math" w:hAnsi="Cambria Math"/>
                <w:i/>
              </w:rPr>
            </m:ctrlPr>
          </m:sub>
        </m:sSub>
      </m:oMath>
      <w:r>
        <w:t>—</w:t>
      </w:r>
      <w:r>
        <w:rPr>
          <w:rFonts w:hint="eastAsia"/>
          <w:bCs/>
        </w:rPr>
        <w:t>不利地质条件(易压缩地层)</w:t>
      </w:r>
      <w:r>
        <w:rPr>
          <w:rFonts w:hint="eastAsia"/>
        </w:rPr>
        <w:t>指标</w:t>
      </w:r>
      <w:r>
        <w:rPr>
          <w:rFonts w:hint="eastAsia"/>
          <w:color w:val="000000"/>
        </w:rPr>
        <w:t>权重，取值宜在0</w:t>
      </w:r>
      <w:r>
        <w:rPr>
          <w:color w:val="000000"/>
        </w:rPr>
        <w:t>~0.1</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B5</m:t>
            </m:r>
            <m:ctrlPr>
              <w:rPr>
                <w:rFonts w:ascii="Cambria Math" w:hAnsi="Cambria Math"/>
                <w:i/>
              </w:rPr>
            </m:ctrlPr>
          </m:sub>
        </m:sSub>
      </m:oMath>
      <w:r>
        <w:t>—</w:t>
      </w:r>
      <w:r>
        <w:rPr>
          <w:rFonts w:hint="eastAsia"/>
          <w:bCs/>
        </w:rPr>
        <w:t>不利地质条件(易流失地层)</w:t>
      </w:r>
      <w:r>
        <w:rPr>
          <w:rFonts w:hint="eastAsia"/>
          <w:color w:val="000000"/>
        </w:rPr>
        <w:t>指标权重，取值宜在0</w:t>
      </w:r>
      <w:r>
        <w:rPr>
          <w:color w:val="000000"/>
        </w:rPr>
        <w:t>.2~0.4</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B6</m:t>
            </m:r>
            <m:ctrlPr>
              <w:rPr>
                <w:rFonts w:ascii="Cambria Math" w:hAnsi="Cambria Math"/>
                <w:i/>
              </w:rPr>
            </m:ctrlPr>
          </m:sub>
        </m:sSub>
      </m:oMath>
      <w:r>
        <w:t>—</w:t>
      </w:r>
      <w:r>
        <w:rPr>
          <w:rFonts w:hint="eastAsia"/>
          <w:bCs/>
        </w:rPr>
        <w:t>不利地质条件(断裂带)</w:t>
      </w:r>
      <w:r>
        <w:rPr>
          <w:rFonts w:hint="eastAsia"/>
          <w:color w:val="000000"/>
        </w:rPr>
        <w:t>指标权重，取值宜在0</w:t>
      </w:r>
      <w:r>
        <w:rPr>
          <w:color w:val="000000"/>
        </w:rPr>
        <w:t>~0.1</w:t>
      </w:r>
      <w:r>
        <w:rPr>
          <w:rFonts w:hint="eastAsia"/>
          <w:color w:val="000000"/>
        </w:rPr>
        <w:t>之间。</w:t>
      </w:r>
    </w:p>
    <w:p>
      <w:r>
        <w:rPr>
          <w:rFonts w:hint="eastAsia"/>
        </w:rPr>
        <w:t>8</w:t>
      </w:r>
      <w:r>
        <w:t xml:space="preserve">.3.5  </w:t>
      </w:r>
      <w:r>
        <w:rPr>
          <w:rFonts w:hint="eastAsia"/>
        </w:rPr>
        <w:t>单一地下病害体的临近设施指标宜按下列公式计算：</w:t>
      </w:r>
    </w:p>
    <w:p>
      <w:pPr>
        <w:pStyle w:val="70"/>
        <w:ind w:left="360" w:firstLine="0" w:firstLineChars="0"/>
        <w:jc w:val="right"/>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C1</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C2</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C3</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C4</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C4</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C5</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C5</m:t>
            </m:r>
            <m:ctrlPr>
              <w:rPr>
                <w:rFonts w:ascii="Cambria Math" w:hAnsi="Cambria Math"/>
                <w:i/>
              </w:rPr>
            </m:ctrlPr>
          </m:sub>
        </m:sSub>
      </m:oMath>
      <w:r>
        <w:t xml:space="preserve">      </w:t>
      </w:r>
      <w:r>
        <w:rPr>
          <w:rFonts w:hint="eastAsia"/>
        </w:rPr>
        <w:t>（</w:t>
      </w:r>
      <w:r>
        <w:t>8.3.5-1</w:t>
      </w:r>
      <w:r>
        <w:rPr>
          <w:rFonts w:hint="eastAsia"/>
        </w:rPr>
        <w:t>）</w:t>
      </w:r>
    </w:p>
    <w:p>
      <w:pPr>
        <w:pStyle w:val="70"/>
        <w:ind w:firstLine="630" w:firstLineChars="30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C4</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C5</m:t>
            </m:r>
            <m:ctrlPr>
              <w:rPr>
                <w:rFonts w:ascii="Cambria Math" w:hAnsi="Cambria Math"/>
                <w:i/>
              </w:rPr>
            </m:ctrlPr>
          </m:sub>
        </m:sSub>
        <m:r>
          <m:rPr/>
          <w:rPr>
            <w:rFonts w:ascii="Cambria Math" w:hAnsi="Cambria Math"/>
          </w:rPr>
          <m:t>=1</m:t>
        </m:r>
      </m:oMath>
      <w:r>
        <w:t xml:space="preserve">            </w:t>
      </w:r>
      <w:r>
        <w:rPr>
          <w:rFonts w:hint="eastAsia"/>
        </w:rPr>
        <w:t>（</w:t>
      </w:r>
      <w:r>
        <w:t>8.3.5-2</w:t>
      </w:r>
      <w:r>
        <w:rPr>
          <w:rFonts w:hint="eastAsia"/>
        </w:rPr>
        <w:t>）</w:t>
      </w:r>
    </w:p>
    <w:p>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m:t>
            </m:r>
            <m:ctrlPr>
              <w:rPr>
                <w:rFonts w:ascii="Cambria Math" w:hAnsi="Cambria Math"/>
                <w:i/>
              </w:rPr>
            </m:ctrlPr>
          </m:sub>
        </m:sSub>
      </m:oMath>
      <w:r>
        <w:t>—</w:t>
      </w:r>
      <w:r>
        <w:rPr>
          <w:rFonts w:hint="eastAsia"/>
        </w:rPr>
        <w:t>邻近设施指标；</w:t>
      </w:r>
    </w:p>
    <w:p>
      <w:pPr>
        <w:pStyle w:val="70"/>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C1</m:t>
            </m:r>
            <m:ctrlPr>
              <w:rPr>
                <w:rFonts w:ascii="Cambria Math" w:hAnsi="Cambria Math"/>
                <w:i/>
              </w:rPr>
            </m:ctrlPr>
          </m:sub>
        </m:sSub>
      </m:oMath>
      <w:r>
        <w:t>—</w:t>
      </w:r>
      <w:r>
        <w:rPr>
          <w:rFonts w:hint="eastAsia"/>
          <w:bCs/>
        </w:rPr>
        <w:t>地下管线管龄</w:t>
      </w:r>
      <w:r>
        <w:rPr>
          <w:rFonts w:hint="eastAsia"/>
        </w:rPr>
        <w:t>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C2</m:t>
            </m:r>
            <m:ctrlPr>
              <w:rPr>
                <w:rFonts w:ascii="Cambria Math" w:hAnsi="Cambria Math"/>
                <w:i/>
              </w:rPr>
            </m:ctrlPr>
          </m:sub>
        </m:sSub>
      </m:oMath>
      <w:r>
        <w:t>—</w:t>
      </w:r>
      <w:r>
        <w:rPr>
          <w:rFonts w:hint="eastAsia"/>
          <w:bCs/>
        </w:rPr>
        <w:t>地下管线管径</w:t>
      </w:r>
      <w:r>
        <w:rPr>
          <w:rFonts w:hint="eastAsia"/>
        </w:rPr>
        <w:t>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C3</m:t>
            </m:r>
            <m:ctrlPr>
              <w:rPr>
                <w:rFonts w:ascii="Cambria Math" w:hAnsi="Cambria Math"/>
                <w:i/>
              </w:rPr>
            </m:ctrlPr>
          </m:sub>
        </m:sSub>
      </m:oMath>
      <w:r>
        <w:t>—</w:t>
      </w:r>
      <w:r>
        <w:rPr>
          <w:rFonts w:hint="eastAsia"/>
          <w:bCs/>
        </w:rPr>
        <w:t>地下管线材质</w:t>
      </w:r>
      <w:r>
        <w:rPr>
          <w:rFonts w:hint="eastAsia"/>
        </w:rPr>
        <w:t>指标；</w:t>
      </w:r>
    </w:p>
    <w:p>
      <w:pPr>
        <w:pStyle w:val="70"/>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C4</m:t>
            </m:r>
            <m:ctrlPr>
              <w:rPr>
                <w:rFonts w:ascii="Cambria Math" w:hAnsi="Cambria Math"/>
                <w:i/>
              </w:rPr>
            </m:ctrlPr>
          </m:sub>
        </m:sSub>
      </m:oMath>
      <w:r>
        <w:t>—</w:t>
      </w:r>
      <w:r>
        <w:rPr>
          <w:rFonts w:hint="eastAsia"/>
          <w:bCs/>
        </w:rPr>
        <w:t>地下管线类别</w:t>
      </w:r>
      <w:r>
        <w:rPr>
          <w:rFonts w:hint="eastAsia"/>
        </w:rPr>
        <w:t>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C5</m:t>
            </m:r>
            <m:ctrlPr>
              <w:rPr>
                <w:rFonts w:ascii="Cambria Math" w:hAnsi="Cambria Math"/>
                <w:i/>
              </w:rPr>
            </m:ctrlPr>
          </m:sub>
        </m:sSub>
      </m:oMath>
      <w:r>
        <w:t>—</w:t>
      </w:r>
      <w:r>
        <w:rPr>
          <w:rFonts w:hint="eastAsia"/>
          <w:bCs/>
        </w:rPr>
        <w:t>地下管线埋深</w:t>
      </w:r>
      <w:r>
        <w:rPr>
          <w:rFonts w:hint="eastAsia"/>
        </w:rPr>
        <w:t>指标；</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C1</m:t>
            </m:r>
            <m:ctrlPr>
              <w:rPr>
                <w:rFonts w:ascii="Cambria Math" w:hAnsi="Cambria Math"/>
                <w:i/>
              </w:rPr>
            </m:ctrlPr>
          </m:sub>
        </m:sSub>
      </m:oMath>
      <w:r>
        <w:t>—</w:t>
      </w:r>
      <w:r>
        <w:rPr>
          <w:rFonts w:hint="eastAsia"/>
          <w:bCs/>
        </w:rPr>
        <w:t>地下管线管龄</w:t>
      </w:r>
      <w:r>
        <w:rPr>
          <w:rFonts w:hint="eastAsia"/>
        </w:rPr>
        <w:t>指标</w:t>
      </w:r>
      <w:r>
        <w:rPr>
          <w:rFonts w:hint="eastAsia"/>
          <w:color w:val="000000"/>
        </w:rPr>
        <w:t>权重，取值宜在0</w:t>
      </w:r>
      <w:r>
        <w:rPr>
          <w:color w:val="000000"/>
        </w:rPr>
        <w:t>.15~0.25</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C2</m:t>
            </m:r>
            <m:ctrlPr>
              <w:rPr>
                <w:rFonts w:ascii="Cambria Math" w:hAnsi="Cambria Math"/>
                <w:i/>
              </w:rPr>
            </m:ctrlPr>
          </m:sub>
        </m:sSub>
      </m:oMath>
      <w:r>
        <w:t>—</w:t>
      </w:r>
      <w:r>
        <w:rPr>
          <w:rFonts w:hint="eastAsia"/>
          <w:bCs/>
        </w:rPr>
        <w:t>地下管线管径</w:t>
      </w:r>
      <w:r>
        <w:rPr>
          <w:rFonts w:hint="eastAsia"/>
          <w:color w:val="000000"/>
        </w:rPr>
        <w:t>指标权重，取值宜在0</w:t>
      </w:r>
      <w:r>
        <w:rPr>
          <w:color w:val="000000"/>
        </w:rPr>
        <w:t>.05~0.15</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C3</m:t>
            </m:r>
            <m:ctrlPr>
              <w:rPr>
                <w:rFonts w:ascii="Cambria Math" w:hAnsi="Cambria Math"/>
                <w:i/>
              </w:rPr>
            </m:ctrlPr>
          </m:sub>
        </m:sSub>
      </m:oMath>
      <w:r>
        <w:t>—</w:t>
      </w:r>
      <w:r>
        <w:rPr>
          <w:rFonts w:hint="eastAsia"/>
          <w:bCs/>
        </w:rPr>
        <w:t>地下管线材质</w:t>
      </w:r>
      <w:r>
        <w:rPr>
          <w:rFonts w:hint="eastAsia"/>
          <w:color w:val="000000"/>
        </w:rPr>
        <w:t>指标权重，取值宜在0</w:t>
      </w:r>
      <w:r>
        <w:rPr>
          <w:color w:val="000000"/>
        </w:rPr>
        <w:t>.25~0.35</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C4</m:t>
            </m:r>
            <m:ctrlPr>
              <w:rPr>
                <w:rFonts w:ascii="Cambria Math" w:hAnsi="Cambria Math"/>
                <w:i/>
              </w:rPr>
            </m:ctrlPr>
          </m:sub>
        </m:sSub>
      </m:oMath>
      <w:r>
        <w:t>—</w:t>
      </w:r>
      <w:r>
        <w:rPr>
          <w:rFonts w:hint="eastAsia"/>
          <w:bCs/>
        </w:rPr>
        <w:t>地下管线类别</w:t>
      </w:r>
      <w:r>
        <w:rPr>
          <w:rFonts w:hint="eastAsia"/>
        </w:rPr>
        <w:t>指标</w:t>
      </w:r>
      <w:r>
        <w:rPr>
          <w:rFonts w:hint="eastAsia"/>
          <w:color w:val="000000"/>
        </w:rPr>
        <w:t>权重，取值宜在0</w:t>
      </w:r>
      <w:r>
        <w:rPr>
          <w:color w:val="000000"/>
        </w:rPr>
        <w:t>.2~0.3</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C5</m:t>
            </m:r>
            <m:ctrlPr>
              <w:rPr>
                <w:rFonts w:ascii="Cambria Math" w:hAnsi="Cambria Math"/>
                <w:i/>
              </w:rPr>
            </m:ctrlPr>
          </m:sub>
        </m:sSub>
      </m:oMath>
      <w:r>
        <w:t>—</w:t>
      </w:r>
      <w:r>
        <w:rPr>
          <w:rFonts w:hint="eastAsia"/>
          <w:bCs/>
        </w:rPr>
        <w:t>地下管线埋深</w:t>
      </w:r>
      <w:r>
        <w:rPr>
          <w:rFonts w:hint="eastAsia"/>
          <w:color w:val="000000"/>
        </w:rPr>
        <w:t>指标权重，取值宜在0</w:t>
      </w:r>
      <w:r>
        <w:rPr>
          <w:color w:val="000000"/>
        </w:rPr>
        <w:t>.1~0.2</w:t>
      </w:r>
      <w:r>
        <w:rPr>
          <w:rFonts w:hint="eastAsia"/>
          <w:color w:val="000000"/>
        </w:rPr>
        <w:t>之间。</w:t>
      </w:r>
    </w:p>
    <w:p>
      <w:r>
        <w:rPr>
          <w:rFonts w:hint="eastAsia"/>
        </w:rPr>
        <w:t>8</w:t>
      </w:r>
      <w:r>
        <w:t xml:space="preserve">.3.6  </w:t>
      </w:r>
      <w:r>
        <w:rPr>
          <w:rFonts w:hint="eastAsia"/>
        </w:rPr>
        <w:t>单一地下病害体风险发生可能性等级如表8.3.6。</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8.3.6</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单一地下病害体风险发生可能性等级划分</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907"/>
        <w:gridCol w:w="39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风险可能性等级</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可能性分值</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文字描述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A</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90=&lt;</w:t>
            </w:r>
            <m:oMath>
              <m:sSub>
                <m:sSubPr>
                  <m:ctrlPr>
                    <w:rPr>
                      <w:rFonts w:ascii="Cambria Math" w:hAnsi="Cambria Math" w:cs="Times New Roman"/>
                      <w:kern w:val="2"/>
                      <w:sz w:val="18"/>
                      <w:szCs w:val="18"/>
                    </w:rPr>
                  </m:ctrlPr>
                </m:sSubPr>
                <m:e>
                  <m:r>
                    <m:rPr/>
                    <w:rPr>
                      <w:rFonts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T</m:t>
                  </m:r>
                  <m:ctrlPr>
                    <w:rPr>
                      <w:rFonts w:ascii="Cambria Math" w:hAnsi="Cambria Math" w:cs="Times New Roman"/>
                      <w:kern w:val="2"/>
                      <w:sz w:val="18"/>
                      <w:szCs w:val="18"/>
                    </w:rPr>
                  </m:ctrlPr>
                </m:sub>
              </m:sSub>
            </m:oMath>
            <w:r>
              <w:rPr>
                <w:rFonts w:ascii="Times New Roman" w:hAnsi="Times New Roman" w:cs="Times New Roman"/>
                <w:kern w:val="2"/>
                <w:sz w:val="18"/>
                <w:szCs w:val="18"/>
              </w:rPr>
              <w:t>&lt;100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近期发生可能性极大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B</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70=&lt;</w:t>
            </w:r>
            <m:oMath>
              <m:sSub>
                <m:sSubPr>
                  <m:ctrlPr>
                    <w:rPr>
                      <w:rFonts w:ascii="Cambria Math" w:hAnsi="Cambria Math" w:cs="Times New Roman"/>
                      <w:kern w:val="2"/>
                      <w:sz w:val="18"/>
                      <w:szCs w:val="18"/>
                    </w:rPr>
                  </m:ctrlPr>
                </m:sSubPr>
                <m:e>
                  <m:r>
                    <m:rPr/>
                    <w:rPr>
                      <w:rFonts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T</m:t>
                  </m:r>
                  <m:ctrlPr>
                    <w:rPr>
                      <w:rFonts w:ascii="Cambria Math" w:hAnsi="Cambria Math" w:cs="Times New Roman"/>
                      <w:kern w:val="2"/>
                      <w:sz w:val="18"/>
                      <w:szCs w:val="18"/>
                    </w:rPr>
                  </m:ctrlPr>
                </m:sub>
              </m:sSub>
            </m:oMath>
            <w:r>
              <w:rPr>
                <w:rFonts w:ascii="Times New Roman" w:hAnsi="Times New Roman" w:cs="Times New Roman"/>
                <w:kern w:val="2"/>
                <w:sz w:val="18"/>
                <w:szCs w:val="18"/>
              </w:rPr>
              <w:t>&lt;90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近期发生可能性较大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C</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50=&lt;</w:t>
            </w:r>
            <m:oMath>
              <m:sSub>
                <m:sSubPr>
                  <m:ctrlPr>
                    <w:rPr>
                      <w:rFonts w:ascii="Cambria Math" w:hAnsi="Cambria Math" w:cs="Times New Roman"/>
                      <w:kern w:val="2"/>
                      <w:sz w:val="18"/>
                      <w:szCs w:val="18"/>
                    </w:rPr>
                  </m:ctrlPr>
                </m:sSubPr>
                <m:e>
                  <m:r>
                    <m:rPr/>
                    <w:rPr>
                      <w:rFonts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T</m:t>
                  </m:r>
                  <m:ctrlPr>
                    <w:rPr>
                      <w:rFonts w:ascii="Cambria Math" w:hAnsi="Cambria Math" w:cs="Times New Roman"/>
                      <w:kern w:val="2"/>
                      <w:sz w:val="18"/>
                      <w:szCs w:val="18"/>
                    </w:rPr>
                  </m:ctrlPr>
                </m:sub>
              </m:sSub>
            </m:oMath>
            <w:r>
              <w:rPr>
                <w:rFonts w:ascii="Times New Roman" w:hAnsi="Times New Roman" w:cs="Times New Roman"/>
                <w:kern w:val="2"/>
                <w:sz w:val="18"/>
                <w:szCs w:val="18"/>
              </w:rPr>
              <w:t>&lt;70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近期发生可能性较小，远期发生可能性较大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D</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30=&lt;</w:t>
            </w:r>
            <m:oMath>
              <m:sSub>
                <m:sSubPr>
                  <m:ctrlPr>
                    <w:rPr>
                      <w:rFonts w:ascii="Cambria Math" w:hAnsi="Cambria Math" w:cs="Times New Roman"/>
                      <w:kern w:val="2"/>
                      <w:sz w:val="18"/>
                      <w:szCs w:val="18"/>
                    </w:rPr>
                  </m:ctrlPr>
                </m:sSubPr>
                <m:e>
                  <m:r>
                    <m:rPr/>
                    <w:rPr>
                      <w:rFonts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T</m:t>
                  </m:r>
                  <m:ctrlPr>
                    <w:rPr>
                      <w:rFonts w:ascii="Cambria Math" w:hAnsi="Cambria Math" w:cs="Times New Roman"/>
                      <w:kern w:val="2"/>
                      <w:sz w:val="18"/>
                      <w:szCs w:val="18"/>
                    </w:rPr>
                  </m:ctrlPr>
                </m:sub>
              </m:sSub>
            </m:oMath>
            <w:r>
              <w:rPr>
                <w:rFonts w:ascii="Times New Roman" w:hAnsi="Times New Roman" w:cs="Times New Roman"/>
                <w:kern w:val="2"/>
                <w:sz w:val="18"/>
                <w:szCs w:val="18"/>
              </w:rPr>
              <w:t>&lt;50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近期发生可能性较小，远期可能会发生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E</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0&lt;</w:t>
            </w:r>
            <m:oMath>
              <m:sSub>
                <m:sSubPr>
                  <m:ctrlPr>
                    <w:rPr>
                      <w:rFonts w:ascii="Cambria Math" w:hAnsi="Cambria Math" w:cs="Times New Roman"/>
                      <w:kern w:val="2"/>
                      <w:sz w:val="18"/>
                      <w:szCs w:val="18"/>
                    </w:rPr>
                  </m:ctrlPr>
                </m:sSubPr>
                <m:e>
                  <m:r>
                    <m:rPr/>
                    <w:rPr>
                      <w:rFonts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T</m:t>
                  </m:r>
                  <m:ctrlPr>
                    <w:rPr>
                      <w:rFonts w:ascii="Cambria Math" w:hAnsi="Cambria Math" w:cs="Times New Roman"/>
                      <w:kern w:val="2"/>
                      <w:sz w:val="18"/>
                      <w:szCs w:val="18"/>
                    </w:rPr>
                  </m:ctrlPr>
                </m:sub>
              </m:sSub>
            </m:oMath>
            <w:r>
              <w:rPr>
                <w:rFonts w:ascii="Times New Roman" w:hAnsi="Times New Roman" w:cs="Times New Roman"/>
                <w:kern w:val="2"/>
                <w:sz w:val="18"/>
                <w:szCs w:val="18"/>
              </w:rPr>
              <w:t>&lt;30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近期不可能发生，远期发生可能性很小</w:t>
            </w:r>
          </w:p>
        </w:tc>
      </w:tr>
    </w:tbl>
    <w:p>
      <w:pPr>
        <w:spacing w:before="240"/>
      </w:pPr>
      <w:r>
        <w:rPr>
          <w:rFonts w:hint="eastAsia"/>
        </w:rPr>
        <w:t>8</w:t>
      </w:r>
      <w:r>
        <w:t xml:space="preserve">.3.7  </w:t>
      </w:r>
      <w:r>
        <w:rPr>
          <w:rFonts w:hint="eastAsia"/>
        </w:rPr>
        <w:t>地下病害体单元的风险发生可能性评价指标宜按表8.3.7取值。</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8.3.7</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地下病害体风险评估单元风险发生可能性评价指标</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34"/>
        <w:gridCol w:w="4395"/>
        <w:gridCol w:w="1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1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一级指标</w:t>
            </w:r>
          </w:p>
        </w:tc>
        <w:tc>
          <w:tcPr>
            <w:tcW w:w="1134"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二级指标</w:t>
            </w:r>
          </w:p>
        </w:tc>
        <w:tc>
          <w:tcPr>
            <w:tcW w:w="4395" w:type="dxa"/>
            <w:vAlign w:val="center"/>
          </w:tcPr>
          <w:p>
            <w:pPr>
              <w:pStyle w:val="74"/>
              <w:spacing w:before="0" w:after="0"/>
              <w:jc w:val="center"/>
              <w:rPr>
                <w:rFonts w:ascii="Times New Roman" w:hAnsi="Times New Roman" w:cs="Times New Roman"/>
                <w:kern w:val="2"/>
                <w:sz w:val="18"/>
                <w:szCs w:val="18"/>
              </w:rPr>
            </w:pPr>
            <w:r>
              <w:rPr>
                <w:rFonts w:ascii="Times New Roman" w:hAnsi="Times New Roman" w:cs="Times New Roman"/>
                <w:kern w:val="2"/>
                <w:sz w:val="18"/>
                <w:szCs w:val="18"/>
              </w:rPr>
              <w:t>评价依据</w:t>
            </w:r>
          </w:p>
        </w:tc>
        <w:tc>
          <w:tcPr>
            <w:tcW w:w="1160" w:type="dxa"/>
            <w:vAlign w:val="center"/>
          </w:tcPr>
          <w:p>
            <w:pPr>
              <w:pStyle w:val="74"/>
              <w:spacing w:before="0" w:after="0"/>
              <w:jc w:val="center"/>
              <w:rPr>
                <w:rFonts w:ascii="Times New Roman" w:hAnsi="Times New Roman" w:cs="Times New Roman"/>
                <w:kern w:val="2"/>
                <w:sz w:val="18"/>
                <w:szCs w:val="18"/>
              </w:rPr>
            </w:pPr>
            <w:r>
              <w:rPr>
                <w:rFonts w:ascii="Times New Roman" w:hAnsi="Times New Roman" w:cs="Times New Roman"/>
                <w:kern w:val="2"/>
                <w:sz w:val="18"/>
                <w:szCs w:val="18"/>
              </w:rPr>
              <w:t>取值范围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风险评估单元内病害体情况</w:t>
            </w:r>
            <m:oMath>
              <m:sSub>
                <m:sSubPr>
                  <m:ctrlPr>
                    <w:rPr>
                      <w:rFonts w:ascii="Cambria Math" w:hAnsi="Cambria Math"/>
                      <w:i/>
                      <w:sz w:val="18"/>
                      <w:szCs w:val="18"/>
                    </w:rPr>
                  </m:ctrlPr>
                </m:sSubPr>
                <m:e>
                  <m:r>
                    <m:rPr/>
                    <w:rPr>
                      <w:rFonts w:ascii="Cambria Math" w:hAnsi="Cambria Math"/>
                      <w:sz w:val="18"/>
                      <w:szCs w:val="18"/>
                    </w:rPr>
                    <m:t>P</m:t>
                  </m:r>
                  <m:ctrlPr>
                    <w:rPr>
                      <w:rFonts w:ascii="Cambria Math" w:hAnsi="Cambria Math"/>
                      <w:i/>
                      <w:sz w:val="18"/>
                      <w:szCs w:val="18"/>
                    </w:rPr>
                  </m:ctrlPr>
                </m:e>
                <m:sub>
                  <m:r>
                    <m:rPr/>
                    <w:rPr>
                      <w:rFonts w:ascii="Cambria Math" w:hAnsi="Cambria Math"/>
                      <w:sz w:val="18"/>
                      <w:szCs w:val="18"/>
                    </w:rPr>
                    <m:t>AE</m:t>
                  </m:r>
                  <m:ctrlPr>
                    <w:rPr>
                      <w:rFonts w:ascii="Cambria Math" w:hAnsi="Cambria Math"/>
                      <w:i/>
                      <w:sz w:val="18"/>
                      <w:szCs w:val="18"/>
                    </w:rPr>
                  </m:ctrlPr>
                </m:sub>
              </m:sSub>
            </m:oMath>
          </w:p>
        </w:tc>
        <w:tc>
          <w:tcPr>
            <w:tcW w:w="1134"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风险评估单元内病害体风险等级情况</w:t>
            </w:r>
            <m:oMath>
              <m:sSub>
                <m:sSubPr>
                  <m:ctrlPr>
                    <w:rPr>
                      <w:rFonts w:ascii="Cambria Math" w:hAnsi="Cambria Math" w:cs="Times New Roman"/>
                      <w:sz w:val="18"/>
                      <w:szCs w:val="18"/>
                    </w:rPr>
                  </m:ctrlPr>
                </m:sSubPr>
                <m:e>
                  <m:r>
                    <m:rPr/>
                    <w:rPr>
                      <w:rFonts w:ascii="Cambria Math" w:hAnsi="Cambria Math" w:cs="Times New Roman"/>
                      <w:sz w:val="18"/>
                      <w:szCs w:val="18"/>
                    </w:rPr>
                    <m:t>P</m:t>
                  </m:r>
                  <m:ctrlPr>
                    <w:rPr>
                      <w:rFonts w:ascii="Cambria Math" w:hAnsi="Cambria Math" w:cs="Times New Roman"/>
                      <w:sz w:val="18"/>
                      <w:szCs w:val="18"/>
                    </w:rPr>
                  </m:ctrlPr>
                </m:e>
                <m:sub>
                  <m:r>
                    <m:rPr/>
                    <w:rPr>
                      <w:rFonts w:ascii="Cambria Math" w:hAnsi="Cambria Math" w:cs="Times New Roman"/>
                      <w:sz w:val="18"/>
                      <w:szCs w:val="18"/>
                    </w:rPr>
                    <m:t>AE</m:t>
                  </m:r>
                  <m:r>
                    <m:rPr>
                      <m:sty m:val="p"/>
                    </m:rPr>
                    <w:rPr>
                      <w:rFonts w:ascii="Cambria Math" w:hAnsi="Cambria Math" w:cs="Times New Roman"/>
                      <w:sz w:val="18"/>
                      <w:szCs w:val="18"/>
                    </w:rPr>
                    <m:t>1</m:t>
                  </m:r>
                  <m:ctrlPr>
                    <w:rPr>
                      <w:rFonts w:ascii="Cambria Math" w:hAnsi="Cambria Math" w:cs="Times New Roman"/>
                      <w:sz w:val="18"/>
                      <w:szCs w:val="18"/>
                    </w:rPr>
                  </m:ctrlPr>
                </m:sub>
              </m:sSub>
            </m:oMath>
          </w:p>
        </w:tc>
        <w:tc>
          <w:tcPr>
            <w:tcW w:w="4395" w:type="dxa"/>
            <w:vAlign w:val="center"/>
          </w:tcPr>
          <w:p>
            <w:pPr>
              <w:pStyle w:val="84"/>
              <w:jc w:val="left"/>
              <w:rPr>
                <w:rFonts w:ascii="Calibri" w:hAnsi="Calibri" w:cs="Times New Roman"/>
                <w:szCs w:val="18"/>
              </w:rPr>
            </w:pPr>
            <w:r>
              <w:rPr>
                <w:rFonts w:hint="eastAsia" w:ascii="Calibri" w:hAnsi="Calibri" w:cs="Times New Roman"/>
                <w:szCs w:val="18"/>
              </w:rPr>
              <w:t>评估单元内满足下列条件之一：</w:t>
            </w:r>
          </w:p>
          <w:p>
            <w:pPr>
              <w:pStyle w:val="84"/>
              <w:jc w:val="left"/>
              <w:rPr>
                <w:rFonts w:ascii="Calibri" w:hAnsi="Calibri" w:cs="Times New Roman"/>
                <w:szCs w:val="18"/>
              </w:rPr>
            </w:pPr>
            <w:r>
              <w:rPr>
                <w:rFonts w:hint="eastAsia" w:ascii="Calibri" w:hAnsi="Calibri" w:cs="Times New Roman"/>
                <w:szCs w:val="18"/>
              </w:rPr>
              <w:t>1</w:t>
            </w:r>
            <w:r>
              <w:rPr>
                <w:rFonts w:ascii="Calibri" w:hAnsi="Calibri" w:cs="Times New Roman"/>
                <w:szCs w:val="18"/>
              </w:rPr>
              <w:t xml:space="preserve">  </w:t>
            </w:r>
            <w:r>
              <w:rPr>
                <w:rFonts w:hint="eastAsia" w:ascii="Calibri" w:hAnsi="Calibri" w:cs="Times New Roman"/>
                <w:szCs w:val="18"/>
              </w:rPr>
              <w:t>存在单一病害体发生可能性等级为</w:t>
            </w:r>
            <w:r>
              <w:rPr>
                <w:rFonts w:ascii="Calibri" w:hAnsi="Calibri" w:cs="Times New Roman"/>
                <w:szCs w:val="18"/>
              </w:rPr>
              <w:t>A</w:t>
            </w:r>
            <w:r>
              <w:rPr>
                <w:rFonts w:hint="eastAsia" w:ascii="Calibri" w:hAnsi="Calibri" w:cs="Times New Roman"/>
                <w:szCs w:val="18"/>
              </w:rPr>
              <w:t>等级的病害体；</w:t>
            </w:r>
          </w:p>
          <w:p>
            <w:pPr>
              <w:pStyle w:val="84"/>
              <w:jc w:val="left"/>
              <w:rPr>
                <w:rFonts w:ascii="Calibri" w:hAnsi="Calibri" w:cs="Times New Roman"/>
                <w:szCs w:val="18"/>
              </w:rPr>
            </w:pPr>
            <w:r>
              <w:rPr>
                <w:rFonts w:ascii="Calibri" w:hAnsi="Calibri" w:cs="Times New Roman"/>
                <w:szCs w:val="18"/>
              </w:rPr>
              <w:t xml:space="preserve">2  </w:t>
            </w:r>
            <w:r>
              <w:rPr>
                <w:rFonts w:hint="eastAsia" w:ascii="Calibri" w:hAnsi="Calibri" w:cs="Times New Roman"/>
                <w:szCs w:val="18"/>
              </w:rPr>
              <w:t>无</w:t>
            </w:r>
            <w:r>
              <w:rPr>
                <w:rFonts w:ascii="Calibri" w:hAnsi="Calibri" w:cs="Times New Roman"/>
                <w:szCs w:val="18"/>
              </w:rPr>
              <w:t>A</w:t>
            </w:r>
            <w:r>
              <w:rPr>
                <w:rFonts w:hint="eastAsia" w:ascii="Calibri" w:hAnsi="Calibri" w:cs="Times New Roman"/>
                <w:szCs w:val="18"/>
              </w:rPr>
              <w:t>等级病害体但存在不少于</w:t>
            </w:r>
            <w:r>
              <w:rPr>
                <w:rFonts w:ascii="Calibri" w:hAnsi="Calibri" w:cs="Times New Roman"/>
                <w:szCs w:val="18"/>
              </w:rPr>
              <w:t>2</w:t>
            </w:r>
            <w:r>
              <w:rPr>
                <w:rFonts w:hint="eastAsia" w:ascii="Calibri" w:hAnsi="Calibri" w:cs="Times New Roman"/>
                <w:szCs w:val="18"/>
              </w:rPr>
              <w:t>个</w:t>
            </w:r>
            <w:r>
              <w:rPr>
                <w:rFonts w:ascii="Calibri" w:hAnsi="Calibri" w:cs="Times New Roman"/>
                <w:szCs w:val="18"/>
              </w:rPr>
              <w:t>B</w:t>
            </w:r>
            <w:r>
              <w:rPr>
                <w:rFonts w:hint="eastAsia" w:ascii="Calibri" w:hAnsi="Calibri" w:cs="Times New Roman"/>
                <w:szCs w:val="18"/>
              </w:rPr>
              <w:t>等级病害体；</w:t>
            </w:r>
          </w:p>
          <w:p>
            <w:pPr>
              <w:pStyle w:val="74"/>
              <w:spacing w:before="0" w:beforeAutospacing="0" w:after="0" w:afterAutospacing="0"/>
              <w:rPr>
                <w:rFonts w:ascii="Times New Roman" w:hAnsi="Times New Roman" w:cs="Times New Roman"/>
                <w:kern w:val="2"/>
                <w:sz w:val="18"/>
                <w:szCs w:val="18"/>
              </w:rPr>
            </w:pPr>
            <w:r>
              <w:rPr>
                <w:rFonts w:ascii="Times New Roman" w:hAnsi="Times New Roman" w:cs="Times New Roman"/>
                <w:kern w:val="2"/>
                <w:sz w:val="18"/>
                <w:szCs w:val="18"/>
              </w:rPr>
              <w:t xml:space="preserve">3  </w:t>
            </w:r>
            <w:r>
              <w:rPr>
                <w:rFonts w:hint="eastAsia" w:ascii="Times New Roman" w:hAnsi="Times New Roman" w:cs="Times New Roman"/>
                <w:kern w:val="2"/>
                <w:sz w:val="18"/>
                <w:szCs w:val="18"/>
              </w:rPr>
              <w:t>病害体密度大于</w:t>
            </w:r>
            <w:r>
              <w:rPr>
                <w:rFonts w:ascii="Times New Roman" w:hAnsi="Times New Roman" w:cs="Times New Roman"/>
                <w:kern w:val="2"/>
                <w:sz w:val="18"/>
                <w:szCs w:val="18"/>
              </w:rPr>
              <w:t>6/300m.</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风险评估单元中无</w:t>
            </w:r>
            <w:r>
              <w:rPr>
                <w:rFonts w:ascii="Times New Roman" w:hAnsi="Times New Roman" w:cs="Times New Roman"/>
                <w:kern w:val="2"/>
                <w:sz w:val="18"/>
                <w:szCs w:val="18"/>
              </w:rPr>
              <w:t>A</w:t>
            </w:r>
            <w:r>
              <w:rPr>
                <w:rFonts w:hint="eastAsia" w:ascii="Times New Roman" w:hAnsi="Times New Roman" w:cs="Times New Roman"/>
                <w:kern w:val="2"/>
                <w:sz w:val="18"/>
                <w:szCs w:val="18"/>
              </w:rPr>
              <w:t>等级病害体但存在</w:t>
            </w:r>
            <w:r>
              <w:rPr>
                <w:rFonts w:ascii="Times New Roman" w:hAnsi="Times New Roman" w:cs="Times New Roman"/>
                <w:kern w:val="2"/>
                <w:sz w:val="18"/>
                <w:szCs w:val="18"/>
              </w:rPr>
              <w:t>1</w:t>
            </w:r>
            <w:r>
              <w:rPr>
                <w:rFonts w:hint="eastAsia" w:ascii="Times New Roman" w:hAnsi="Times New Roman" w:cs="Times New Roman"/>
                <w:kern w:val="2"/>
                <w:sz w:val="18"/>
                <w:szCs w:val="18"/>
              </w:rPr>
              <w:t>个</w:t>
            </w:r>
            <w:r>
              <w:rPr>
                <w:rFonts w:ascii="Times New Roman" w:hAnsi="Times New Roman" w:cs="Times New Roman"/>
                <w:kern w:val="2"/>
                <w:sz w:val="18"/>
                <w:szCs w:val="18"/>
              </w:rPr>
              <w:t>B</w:t>
            </w:r>
            <w:r>
              <w:rPr>
                <w:rFonts w:hint="eastAsia" w:ascii="Times New Roman" w:hAnsi="Times New Roman" w:cs="Times New Roman"/>
                <w:kern w:val="2"/>
                <w:sz w:val="18"/>
                <w:szCs w:val="18"/>
              </w:rPr>
              <w:t>等级病害体</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风险评估单元中无</w:t>
            </w:r>
            <w:r>
              <w:rPr>
                <w:rFonts w:ascii="Times New Roman" w:hAnsi="Times New Roman" w:cs="Times New Roman"/>
                <w:kern w:val="2"/>
                <w:sz w:val="18"/>
                <w:szCs w:val="18"/>
              </w:rPr>
              <w:t>A</w:t>
            </w:r>
            <w:r>
              <w:rPr>
                <w:rFonts w:hint="eastAsia" w:ascii="Times New Roman" w:hAnsi="Times New Roman" w:cs="Times New Roman"/>
                <w:kern w:val="2"/>
                <w:sz w:val="18"/>
                <w:szCs w:val="18"/>
              </w:rPr>
              <w:t>、</w:t>
            </w:r>
            <w:r>
              <w:rPr>
                <w:rFonts w:ascii="Times New Roman" w:hAnsi="Times New Roman" w:cs="Times New Roman"/>
                <w:kern w:val="2"/>
                <w:sz w:val="18"/>
                <w:szCs w:val="18"/>
              </w:rPr>
              <w:t>B</w:t>
            </w:r>
            <w:r>
              <w:rPr>
                <w:rFonts w:hint="eastAsia" w:ascii="Times New Roman" w:hAnsi="Times New Roman" w:cs="Times New Roman"/>
                <w:kern w:val="2"/>
                <w:sz w:val="18"/>
                <w:szCs w:val="18"/>
              </w:rPr>
              <w:t>等级病害体但存在</w:t>
            </w:r>
            <w:r>
              <w:rPr>
                <w:rFonts w:ascii="Times New Roman" w:hAnsi="Times New Roman" w:cs="Times New Roman"/>
                <w:kern w:val="2"/>
                <w:sz w:val="18"/>
                <w:szCs w:val="18"/>
              </w:rPr>
              <w:t>C</w:t>
            </w:r>
            <w:r>
              <w:rPr>
                <w:rFonts w:hint="eastAsia" w:ascii="Times New Roman" w:hAnsi="Times New Roman" w:cs="Times New Roman"/>
                <w:kern w:val="2"/>
                <w:sz w:val="18"/>
                <w:szCs w:val="18"/>
              </w:rPr>
              <w:t>等级病害体</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50~60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风险评估单元中只存在</w:t>
            </w:r>
            <w:r>
              <w:rPr>
                <w:rFonts w:ascii="Times New Roman" w:hAnsi="Times New Roman" w:cs="Times New Roman"/>
                <w:kern w:val="2"/>
                <w:sz w:val="18"/>
                <w:szCs w:val="18"/>
              </w:rPr>
              <w:t>D</w:t>
            </w:r>
            <w:r>
              <w:rPr>
                <w:rFonts w:hint="eastAsia" w:ascii="Times New Roman" w:hAnsi="Times New Roman" w:cs="Times New Roman"/>
                <w:kern w:val="2"/>
                <w:sz w:val="18"/>
                <w:szCs w:val="18"/>
              </w:rPr>
              <w:t>或</w:t>
            </w:r>
            <w:r>
              <w:rPr>
                <w:rFonts w:ascii="Times New Roman" w:hAnsi="Times New Roman" w:cs="Times New Roman"/>
                <w:kern w:val="2"/>
                <w:sz w:val="18"/>
                <w:szCs w:val="18"/>
              </w:rPr>
              <w:t>E</w:t>
            </w:r>
            <w:r>
              <w:rPr>
                <w:rFonts w:hint="eastAsia" w:ascii="Times New Roman" w:hAnsi="Times New Roman" w:cs="Times New Roman"/>
                <w:kern w:val="2"/>
                <w:sz w:val="18"/>
                <w:szCs w:val="18"/>
              </w:rPr>
              <w:t>等级病害体</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0~50</w:t>
            </w:r>
            <w:r>
              <w:rPr>
                <w:rFonts w:hint="eastAsia" w:ascii="Times New Roman" w:hAnsi="Times New Roman" w:cs="Times New Roman"/>
                <w:kern w:val="2"/>
                <w:sz w:val="18"/>
                <w:szCs w:val="18"/>
              </w:rPr>
              <w:t>（按病害体得分加权获得）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restart"/>
            <w:vAlign w:val="center"/>
          </w:tcPr>
          <w:p>
            <w:pPr>
              <w:pStyle w:val="84"/>
              <w:rPr>
                <w:rFonts w:ascii="Calibri" w:hAnsi="Calibri" w:cs="Times New Roman"/>
                <w:szCs w:val="18"/>
              </w:rPr>
            </w:pPr>
            <w:r>
              <w:rPr>
                <w:rFonts w:hint="eastAsia" w:ascii="Calibri" w:hAnsi="Calibri" w:cs="Times New Roman"/>
                <w:szCs w:val="18"/>
              </w:rPr>
              <w:t>风险评估单元内病害体范围</w:t>
            </w:r>
            <m:oMath>
              <m:sSub>
                <m:sSubPr>
                  <m:ctrlPr>
                    <w:rPr>
                      <w:rFonts w:ascii="Cambria Math" w:hAnsi="Cambria Math" w:cs="Times New Roman"/>
                      <w:szCs w:val="18"/>
                    </w:rPr>
                  </m:ctrlPr>
                </m:sSubPr>
                <m:e>
                  <m:r>
                    <m:rPr/>
                    <w:rPr>
                      <w:rFonts w:ascii="Cambria Math" w:hAnsi="Cambria Math" w:cs="Times New Roman"/>
                      <w:szCs w:val="18"/>
                    </w:rPr>
                    <m:t>P</m:t>
                  </m:r>
                  <m:ctrlPr>
                    <w:rPr>
                      <w:rFonts w:ascii="Cambria Math" w:hAnsi="Cambria Math" w:cs="Times New Roman"/>
                      <w:szCs w:val="18"/>
                    </w:rPr>
                  </m:ctrlPr>
                </m:e>
                <m:sub>
                  <m:r>
                    <m:rPr/>
                    <w:rPr>
                      <w:rFonts w:ascii="Cambria Math" w:hAnsi="Cambria Math" w:cs="Times New Roman"/>
                      <w:szCs w:val="18"/>
                    </w:rPr>
                    <m:t>AE</m:t>
                  </m:r>
                  <m:r>
                    <m:rPr>
                      <m:sty m:val="p"/>
                    </m:rPr>
                    <w:rPr>
                      <w:rFonts w:ascii="Cambria Math" w:hAnsi="Cambria Math" w:cs="Times New Roman"/>
                      <w:szCs w:val="18"/>
                    </w:rPr>
                    <m:t>2</m:t>
                  </m:r>
                  <m:ctrlPr>
                    <w:rPr>
                      <w:rFonts w:ascii="Cambria Math" w:hAnsi="Cambria Math" w:cs="Times New Roman"/>
                      <w:szCs w:val="18"/>
                    </w:rPr>
                  </m:ctrlPr>
                </m:sub>
              </m:sSub>
            </m:oMath>
          </w:p>
        </w:tc>
        <w:tc>
          <w:tcPr>
            <w:tcW w:w="4395"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地下病害体总面积与风险评估单元面积比大于等于</w:t>
            </w:r>
            <w:r>
              <w:rPr>
                <w:rFonts w:ascii="Times New Roman" w:hAnsi="Times New Roman" w:cs="Times New Roman"/>
                <w:kern w:val="2"/>
                <w:sz w:val="18"/>
                <w:szCs w:val="18"/>
              </w:rPr>
              <w:t>2%</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地下病害体总面积与风险评估单元面积比大于等于1</w:t>
            </w:r>
            <w:r>
              <w:rPr>
                <w:rFonts w:ascii="Times New Roman" w:hAnsi="Times New Roman" w:cs="Times New Roman"/>
                <w:kern w:val="2"/>
                <w:sz w:val="18"/>
                <w:szCs w:val="18"/>
              </w:rPr>
              <w:t>%</w:t>
            </w:r>
            <w:r>
              <w:rPr>
                <w:rFonts w:hint="eastAsia" w:ascii="Times New Roman" w:hAnsi="Times New Roman" w:cs="Times New Roman"/>
                <w:kern w:val="2"/>
                <w:sz w:val="18"/>
                <w:szCs w:val="18"/>
              </w:rPr>
              <w:t>小于</w:t>
            </w:r>
            <w:r>
              <w:rPr>
                <w:rFonts w:ascii="Times New Roman" w:hAnsi="Times New Roman" w:cs="Times New Roman"/>
                <w:kern w:val="2"/>
                <w:sz w:val="18"/>
                <w:szCs w:val="18"/>
              </w:rPr>
              <w:t>2%</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地下病害体总面积与风险评估单元面积比大于等于0</w:t>
            </w:r>
            <w:r>
              <w:rPr>
                <w:rFonts w:ascii="Times New Roman" w:hAnsi="Times New Roman" w:cs="Times New Roman"/>
                <w:kern w:val="2"/>
                <w:sz w:val="18"/>
                <w:szCs w:val="18"/>
              </w:rPr>
              <w:t>.5%</w:t>
            </w:r>
            <w:r>
              <w:rPr>
                <w:rFonts w:hint="eastAsia" w:ascii="Times New Roman" w:hAnsi="Times New Roman" w:cs="Times New Roman"/>
                <w:kern w:val="2"/>
                <w:sz w:val="18"/>
                <w:szCs w:val="18"/>
              </w:rPr>
              <w:t>小于1</w:t>
            </w:r>
            <w:r>
              <w:rPr>
                <w:rFonts w:ascii="Times New Roman" w:hAnsi="Times New Roman" w:cs="Times New Roman"/>
                <w:kern w:val="2"/>
                <w:sz w:val="18"/>
                <w:szCs w:val="18"/>
              </w:rPr>
              <w:t>%</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地下病害体总面积与风险评估单元面积比大于等于0</w:t>
            </w:r>
            <w:r>
              <w:rPr>
                <w:rFonts w:ascii="Times New Roman" w:hAnsi="Times New Roman" w:cs="Times New Roman"/>
                <w:kern w:val="2"/>
                <w:sz w:val="18"/>
                <w:szCs w:val="18"/>
              </w:rPr>
              <w:t>.2%</w:t>
            </w:r>
            <w:r>
              <w:rPr>
                <w:rFonts w:hint="eastAsia" w:ascii="Times New Roman" w:hAnsi="Times New Roman" w:cs="Times New Roman"/>
                <w:kern w:val="2"/>
                <w:sz w:val="18"/>
                <w:szCs w:val="18"/>
              </w:rPr>
              <w:t>小于0</w:t>
            </w:r>
            <w:r>
              <w:rPr>
                <w:rFonts w:ascii="Times New Roman" w:hAnsi="Times New Roman" w:cs="Times New Roman"/>
                <w:kern w:val="2"/>
                <w:sz w:val="18"/>
                <w:szCs w:val="18"/>
              </w:rPr>
              <w:t>.5%</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40~60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地下病害体总面积与风险评估单元面积比小于0</w:t>
            </w:r>
            <w:r>
              <w:rPr>
                <w:rFonts w:ascii="Times New Roman" w:hAnsi="Times New Roman" w:cs="Times New Roman"/>
                <w:kern w:val="2"/>
                <w:sz w:val="18"/>
                <w:szCs w:val="18"/>
              </w:rPr>
              <w:t>.2%</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0</w:t>
            </w:r>
            <w:r>
              <w:rPr>
                <w:rFonts w:ascii="Times New Roman" w:hAnsi="Times New Roman" w:cs="Times New Roman"/>
                <w:kern w:val="2"/>
                <w:sz w:val="18"/>
                <w:szCs w:val="18"/>
              </w:rPr>
              <w:t>~40</w:t>
            </w:r>
          </w:p>
        </w:tc>
      </w:tr>
    </w:tbl>
    <w:p>
      <w:pPr>
        <w:spacing w:line="240" w:lineRule="auto"/>
        <w:jc w:val="center"/>
        <w:rPr>
          <w:bCs/>
          <w:sz w:val="18"/>
          <w:szCs w:val="18"/>
        </w:rPr>
      </w:pPr>
      <w:r>
        <w:rPr>
          <w:rFonts w:hint="eastAsia" w:ascii="Times" w:hAnsi="Times"/>
          <w:bCs/>
        </w:rPr>
        <w:t>续表</w:t>
      </w:r>
      <w:r>
        <w:rPr>
          <w:rFonts w:ascii="Times" w:hAnsi="Times"/>
          <w:bCs/>
        </w:rPr>
        <w:t>8.3.7</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34"/>
        <w:gridCol w:w="4395"/>
        <w:gridCol w:w="1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1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一级指标</w:t>
            </w:r>
          </w:p>
        </w:tc>
        <w:tc>
          <w:tcPr>
            <w:tcW w:w="1134"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二级指标</w:t>
            </w:r>
          </w:p>
        </w:tc>
        <w:tc>
          <w:tcPr>
            <w:tcW w:w="4395" w:type="dxa"/>
            <w:vAlign w:val="center"/>
          </w:tcPr>
          <w:p>
            <w:pPr>
              <w:pStyle w:val="74"/>
              <w:spacing w:before="0" w:after="0"/>
              <w:jc w:val="center"/>
              <w:rPr>
                <w:rFonts w:ascii="Times New Roman" w:hAnsi="Times New Roman" w:cs="Times New Roman"/>
                <w:kern w:val="2"/>
                <w:sz w:val="18"/>
                <w:szCs w:val="18"/>
              </w:rPr>
            </w:pPr>
            <w:r>
              <w:rPr>
                <w:rFonts w:ascii="Times New Roman" w:hAnsi="Times New Roman" w:cs="Times New Roman"/>
                <w:kern w:val="2"/>
                <w:sz w:val="18"/>
                <w:szCs w:val="18"/>
              </w:rPr>
              <w:t>评价依据</w:t>
            </w:r>
          </w:p>
        </w:tc>
        <w:tc>
          <w:tcPr>
            <w:tcW w:w="1160" w:type="dxa"/>
            <w:vAlign w:val="center"/>
          </w:tcPr>
          <w:p>
            <w:pPr>
              <w:pStyle w:val="74"/>
              <w:spacing w:before="0" w:after="0"/>
              <w:jc w:val="center"/>
              <w:rPr>
                <w:rFonts w:ascii="Times New Roman" w:hAnsi="Times New Roman" w:cs="Times New Roman"/>
                <w:kern w:val="2"/>
                <w:sz w:val="18"/>
                <w:szCs w:val="18"/>
              </w:rPr>
            </w:pPr>
            <w:r>
              <w:rPr>
                <w:rFonts w:ascii="Times New Roman" w:hAnsi="Times New Roman" w:cs="Times New Roman"/>
                <w:kern w:val="2"/>
                <w:sz w:val="18"/>
                <w:szCs w:val="18"/>
              </w:rPr>
              <w:t>取值范围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1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风险评估单元内病害体情况</w:t>
            </w:r>
            <m:oMath>
              <m:sSub>
                <m:sSubPr>
                  <m:ctrlPr>
                    <w:rPr>
                      <w:rFonts w:ascii="Cambria Math" w:hAnsi="Cambria Math"/>
                      <w:i/>
                      <w:sz w:val="18"/>
                      <w:szCs w:val="18"/>
                    </w:rPr>
                  </m:ctrlPr>
                </m:sSubPr>
                <m:e>
                  <m:r>
                    <m:rPr/>
                    <w:rPr>
                      <w:rFonts w:ascii="Cambria Math" w:hAnsi="Cambria Math"/>
                      <w:sz w:val="18"/>
                      <w:szCs w:val="18"/>
                    </w:rPr>
                    <m:t>P</m:t>
                  </m:r>
                  <m:ctrlPr>
                    <w:rPr>
                      <w:rFonts w:ascii="Cambria Math" w:hAnsi="Cambria Math"/>
                      <w:i/>
                      <w:sz w:val="18"/>
                      <w:szCs w:val="18"/>
                    </w:rPr>
                  </m:ctrlPr>
                </m:e>
                <m:sub>
                  <m:r>
                    <m:rPr/>
                    <w:rPr>
                      <w:rFonts w:ascii="Cambria Math" w:hAnsi="Cambria Math"/>
                      <w:sz w:val="18"/>
                      <w:szCs w:val="18"/>
                    </w:rPr>
                    <m:t>AE</m:t>
                  </m:r>
                  <m:ctrlPr>
                    <w:rPr>
                      <w:rFonts w:ascii="Cambria Math" w:hAnsi="Cambria Math"/>
                      <w:i/>
                      <w:sz w:val="18"/>
                      <w:szCs w:val="18"/>
                    </w:rPr>
                  </m:ctrlPr>
                </m:sub>
              </m:sSub>
            </m:oMath>
          </w:p>
        </w:tc>
        <w:tc>
          <w:tcPr>
            <w:tcW w:w="1134" w:type="dxa"/>
            <w:vMerge w:val="restart"/>
            <w:vAlign w:val="center"/>
          </w:tcPr>
          <w:p>
            <w:pPr>
              <w:pStyle w:val="84"/>
              <w:rPr>
                <w:rFonts w:ascii="Calibri" w:hAnsi="Calibri" w:cs="Times New Roman"/>
                <w:szCs w:val="18"/>
              </w:rPr>
            </w:pPr>
            <w:r>
              <w:rPr>
                <w:rFonts w:hint="eastAsia" w:ascii="Calibri" w:hAnsi="Calibri" w:cs="Times New Roman"/>
                <w:szCs w:val="18"/>
              </w:rPr>
              <w:t>风险评估单元位置情况</w:t>
            </w:r>
            <m:oMath>
              <m:sSub>
                <m:sSubPr>
                  <m:ctrlPr>
                    <w:rPr>
                      <w:rFonts w:ascii="Cambria Math" w:hAnsi="Cambria Math" w:cs="Times New Roman"/>
                      <w:szCs w:val="18"/>
                    </w:rPr>
                  </m:ctrlPr>
                </m:sSubPr>
                <m:e>
                  <m:r>
                    <m:rPr/>
                    <w:rPr>
                      <w:rFonts w:ascii="Cambria Math" w:hAnsi="Cambria Math" w:cs="Times New Roman"/>
                      <w:szCs w:val="18"/>
                    </w:rPr>
                    <m:t>P</m:t>
                  </m:r>
                  <m:ctrlPr>
                    <w:rPr>
                      <w:rFonts w:ascii="Cambria Math" w:hAnsi="Cambria Math" w:cs="Times New Roman"/>
                      <w:szCs w:val="18"/>
                    </w:rPr>
                  </m:ctrlPr>
                </m:e>
                <m:sub>
                  <m:r>
                    <m:rPr/>
                    <w:rPr>
                      <w:rFonts w:ascii="Cambria Math" w:hAnsi="Cambria Math" w:cs="Times New Roman"/>
                      <w:szCs w:val="18"/>
                    </w:rPr>
                    <m:t>AE</m:t>
                  </m:r>
                  <m:r>
                    <m:rPr>
                      <m:sty m:val="p"/>
                    </m:rPr>
                    <w:rPr>
                      <w:rFonts w:ascii="Cambria Math" w:hAnsi="Cambria Math" w:cs="Times New Roman"/>
                      <w:szCs w:val="18"/>
                    </w:rPr>
                    <m:t>3</m:t>
                  </m:r>
                  <m:ctrlPr>
                    <w:rPr>
                      <w:rFonts w:ascii="Cambria Math" w:hAnsi="Cambria Math" w:cs="Times New Roman"/>
                      <w:szCs w:val="18"/>
                    </w:rPr>
                  </m:ctrlPr>
                </m:sub>
              </m:sSub>
            </m:oMath>
          </w:p>
        </w:tc>
        <w:tc>
          <w:tcPr>
            <w:tcW w:w="43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主机动车道</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70~100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辅路</w:t>
            </w:r>
          </w:p>
        </w:tc>
        <w:tc>
          <w:tcPr>
            <w:tcW w:w="1160" w:type="dxa"/>
            <w:vAlign w:val="center"/>
          </w:tcPr>
          <w:p>
            <w:pPr>
              <w:pStyle w:val="84"/>
              <w:rPr>
                <w:rFonts w:ascii="Calibri" w:hAnsi="Calibri" w:cs="Times New Roman"/>
                <w:szCs w:val="18"/>
              </w:rPr>
            </w:pPr>
            <w:r>
              <w:rPr>
                <w:rFonts w:ascii="Calibri" w:hAnsi="Calibri" w:cs="Times New Roman"/>
                <w:szCs w:val="18"/>
              </w:rPr>
              <w:t>40~70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非机动车道</w:t>
            </w:r>
          </w:p>
        </w:tc>
        <w:tc>
          <w:tcPr>
            <w:tcW w:w="1160" w:type="dxa"/>
            <w:vAlign w:val="center"/>
          </w:tcPr>
          <w:p>
            <w:pPr>
              <w:pStyle w:val="84"/>
              <w:rPr>
                <w:rFonts w:ascii="Calibri" w:hAnsi="Calibri" w:cs="Times New Roman"/>
                <w:szCs w:val="18"/>
              </w:rPr>
            </w:pPr>
            <w:r>
              <w:rPr>
                <w:rFonts w:ascii="Calibri" w:hAnsi="Calibri" w:cs="Times New Roman"/>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人行步道</w:t>
            </w:r>
          </w:p>
        </w:tc>
        <w:tc>
          <w:tcPr>
            <w:tcW w:w="1160" w:type="dxa"/>
            <w:vAlign w:val="center"/>
          </w:tcPr>
          <w:p>
            <w:pPr>
              <w:pStyle w:val="84"/>
              <w:rPr>
                <w:rFonts w:ascii="Calibri" w:hAnsi="Calibri" w:cs="Times New Roman"/>
                <w:szCs w:val="18"/>
              </w:rPr>
            </w:pPr>
            <w:r>
              <w:rPr>
                <w:rFonts w:hint="eastAsia" w:ascii="Calibri" w:hAnsi="Calibri" w:cs="Times New Roman"/>
                <w:szCs w:val="18"/>
              </w:rPr>
              <w:t>2</w:t>
            </w:r>
            <w:r>
              <w:rPr>
                <w:rFonts w:ascii="Calibri" w:hAnsi="Calibri" w:cs="Times New Roman"/>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绿化带</w:t>
            </w:r>
          </w:p>
        </w:tc>
        <w:tc>
          <w:tcPr>
            <w:tcW w:w="1160" w:type="dxa"/>
            <w:vAlign w:val="center"/>
          </w:tcPr>
          <w:p>
            <w:pPr>
              <w:pStyle w:val="84"/>
              <w:rPr>
                <w:rFonts w:ascii="Calibri" w:hAnsi="Calibri" w:cs="Times New Roman"/>
                <w:szCs w:val="18"/>
              </w:rPr>
            </w:pPr>
            <w:r>
              <w:rPr>
                <w:rFonts w:hint="eastAsia" w:ascii="Calibri" w:hAnsi="Calibri" w:cs="Times New Roman"/>
                <w:szCs w:val="18"/>
              </w:rPr>
              <w:t>0</w:t>
            </w:r>
            <w:r>
              <w:rPr>
                <w:rFonts w:ascii="Calibri" w:hAnsi="Calibri" w:cs="Times New Roman"/>
                <w:szCs w:val="18"/>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评估单元内病害体潜在风险</w:t>
            </w:r>
            <m:oMath>
              <m:sSub>
                <m:sSubPr>
                  <m:ctrlPr>
                    <w:rPr>
                      <w:rFonts w:ascii="Cambria Math" w:hAnsi="Cambria Math"/>
                      <w:i/>
                      <w:sz w:val="18"/>
                      <w:szCs w:val="18"/>
                    </w:rPr>
                  </m:ctrlPr>
                </m:sSubPr>
                <m:e>
                  <m:r>
                    <m:rPr/>
                    <w:rPr>
                      <w:rFonts w:hint="eastAsia" w:ascii="Cambria Math" w:hAnsi="Cambria Math"/>
                      <w:sz w:val="18"/>
                      <w:szCs w:val="18"/>
                    </w:rPr>
                    <m:t>P</m:t>
                  </m:r>
                  <m:ctrlPr>
                    <w:rPr>
                      <w:rFonts w:ascii="Cambria Math" w:hAnsi="Cambria Math"/>
                      <w:i/>
                      <w:sz w:val="18"/>
                      <w:szCs w:val="18"/>
                    </w:rPr>
                  </m:ctrlPr>
                </m:e>
                <m:sub>
                  <m:r>
                    <m:rPr/>
                    <w:rPr>
                      <w:rFonts w:hint="eastAsia" w:ascii="Cambria Math" w:hAnsi="Cambria Math"/>
                      <w:sz w:val="18"/>
                      <w:szCs w:val="18"/>
                    </w:rPr>
                    <m:t>B</m:t>
                  </m:r>
                  <m:r>
                    <m:rPr/>
                    <w:rPr>
                      <w:rFonts w:ascii="Cambria Math" w:hAnsi="Cambria Math"/>
                      <w:sz w:val="18"/>
                      <w:szCs w:val="18"/>
                    </w:rPr>
                    <m:t>E</m:t>
                  </m:r>
                  <m:ctrlPr>
                    <w:rPr>
                      <w:rFonts w:ascii="Cambria Math" w:hAnsi="Cambria Math"/>
                      <w:i/>
                      <w:sz w:val="18"/>
                      <w:szCs w:val="18"/>
                    </w:rPr>
                  </m:ctrlPr>
                </m:sub>
              </m:sSub>
            </m:oMath>
          </w:p>
        </w:tc>
        <w:tc>
          <w:tcPr>
            <w:tcW w:w="1134" w:type="dxa"/>
            <w:vMerge w:val="restart"/>
            <w:vAlign w:val="center"/>
          </w:tcPr>
          <w:p>
            <w:pPr>
              <w:pStyle w:val="84"/>
              <w:rPr>
                <w:rFonts w:ascii="Calibri" w:hAnsi="Calibri" w:cs="Times New Roman"/>
                <w:szCs w:val="18"/>
              </w:rPr>
            </w:pPr>
            <w:r>
              <w:rPr>
                <w:rFonts w:hint="eastAsia" w:ascii="Calibri" w:hAnsi="Calibri" w:cs="Times New Roman"/>
                <w:szCs w:val="18"/>
              </w:rPr>
              <w:t>覆跨风险系数</w:t>
            </w:r>
            <m:oMath>
              <m:sSub>
                <m:sSubPr>
                  <m:ctrlPr>
                    <w:rPr>
                      <w:rFonts w:ascii="Cambria Math" w:hAnsi="Cambria Math" w:cs="Times New Roman"/>
                      <w:szCs w:val="18"/>
                    </w:rPr>
                  </m:ctrlPr>
                </m:sSubPr>
                <m:e>
                  <m:r>
                    <m:rPr/>
                    <w:rPr>
                      <w:rFonts w:ascii="Cambria Math" w:hAnsi="Cambria Math" w:cs="Times New Roman"/>
                      <w:szCs w:val="18"/>
                    </w:rPr>
                    <m:t>P</m:t>
                  </m:r>
                  <m:ctrlPr>
                    <w:rPr>
                      <w:rFonts w:ascii="Cambria Math" w:hAnsi="Cambria Math" w:cs="Times New Roman"/>
                      <w:szCs w:val="18"/>
                    </w:rPr>
                  </m:ctrlPr>
                </m:e>
                <m:sub>
                  <m:r>
                    <m:rPr/>
                    <w:rPr>
                      <w:rFonts w:hint="eastAsia" w:ascii="Cambria Math" w:hAnsi="Cambria Math" w:cs="Times New Roman"/>
                      <w:szCs w:val="18"/>
                    </w:rPr>
                    <m:t>B</m:t>
                  </m:r>
                  <m:r>
                    <m:rPr/>
                    <w:rPr>
                      <w:rFonts w:ascii="Cambria Math" w:hAnsi="Cambria Math" w:cs="Times New Roman"/>
                      <w:szCs w:val="18"/>
                    </w:rPr>
                    <m:t>E</m:t>
                  </m:r>
                  <m:r>
                    <m:rPr>
                      <m:sty m:val="p"/>
                    </m:rPr>
                    <w:rPr>
                      <w:rFonts w:ascii="Cambria Math" w:hAnsi="Cambria Math" w:cs="Times New Roman"/>
                      <w:szCs w:val="18"/>
                    </w:rPr>
                    <m:t>1</m:t>
                  </m:r>
                  <m:ctrlPr>
                    <w:rPr>
                      <w:rFonts w:ascii="Cambria Math" w:hAnsi="Cambria Math" w:cs="Times New Roman"/>
                      <w:szCs w:val="18"/>
                    </w:rPr>
                  </m:ctrlPr>
                </m:sub>
              </m:sSub>
            </m:oMath>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w:rPr>
                        <w:rFonts w:hint="eastAsia" w:ascii="Cambria Math" w:hAnsi="Cambria Math" w:cs="Times New Roman"/>
                        <w:szCs w:val="18"/>
                      </w:rPr>
                      <m:t>K</m:t>
                    </m:r>
                    <m:ctrlPr>
                      <w:rPr>
                        <w:rFonts w:ascii="Cambria Math" w:hAnsi="Cambria Math" w:cs="Times New Roman"/>
                        <w:szCs w:val="18"/>
                      </w:rPr>
                    </m:ctrlPr>
                  </m:e>
                  <m:sub>
                    <m:r>
                      <m:rPr/>
                      <w:rPr>
                        <w:rFonts w:hint="eastAsia" w:ascii="Cambria Math" w:hAnsi="Cambria Math" w:cs="Times New Roman"/>
                        <w:szCs w:val="18"/>
                      </w:rPr>
                      <m:t>max</m:t>
                    </m:r>
                    <m:ctrlPr>
                      <w:rPr>
                        <w:rFonts w:ascii="Cambria Math" w:hAnsi="Cambria Math" w:cs="Times New Roman"/>
                        <w:szCs w:val="18"/>
                      </w:rPr>
                    </m:ctrlPr>
                  </m:sub>
                </m:sSub>
                <m:r>
                  <m:rPr>
                    <m:sty m:val="p"/>
                  </m:rPr>
                  <w:rPr>
                    <w:rFonts w:ascii="Cambria Math" w:hAnsi="Cambria Math" w:cs="Times New Roman"/>
                    <w:szCs w:val="18"/>
                  </w:rPr>
                  <m:t>&lt;0.5</m:t>
                </m:r>
              </m:oMath>
            </m:oMathPara>
          </w:p>
        </w:tc>
        <w:tc>
          <w:tcPr>
            <w:tcW w:w="1160" w:type="dxa"/>
            <w:vAlign w:val="center"/>
          </w:tcPr>
          <w:p>
            <w:pPr>
              <w:pStyle w:val="84"/>
              <w:rPr>
                <w:rFonts w:ascii="Calibri" w:hAnsi="Calibri" w:cs="Times New Roman"/>
                <w:szCs w:val="18"/>
              </w:rPr>
            </w:pPr>
            <w:r>
              <w:rPr>
                <w:rFonts w:hint="eastAsia" w:ascii="Calibri" w:hAnsi="Calibri" w:cs="Times New Roman"/>
                <w:szCs w:val="18"/>
              </w:rPr>
              <w:t>8</w:t>
            </w:r>
            <w:r>
              <w:rPr>
                <w:rFonts w:ascii="Calibri" w:hAnsi="Calibri" w:cs="Times New Roman"/>
                <w:szCs w:val="18"/>
              </w:rPr>
              <w:t>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m:sty m:val="p"/>
                      </m:rPr>
                      <w:rPr>
                        <w:rFonts w:ascii="Cambria Math" w:hAnsi="Cambria Math" w:cs="Times New Roman"/>
                        <w:szCs w:val="18"/>
                      </w:rPr>
                      <m:t>0.5</m:t>
                    </m:r>
                    <m:r>
                      <m:rPr>
                        <m:sty m:val="p"/>
                      </m:rPr>
                      <w:rPr>
                        <w:rFonts w:hint="eastAsia" w:ascii="Cambria Math" w:hAnsi="Cambria Math" w:cs="Times New Roman"/>
                        <w:szCs w:val="18"/>
                      </w:rPr>
                      <m:t>≤</m:t>
                    </m:r>
                    <m:r>
                      <m:rPr/>
                      <w:rPr>
                        <w:rFonts w:hint="eastAsia" w:ascii="Cambria Math" w:hAnsi="Cambria Math" w:cs="Times New Roman"/>
                        <w:szCs w:val="18"/>
                      </w:rPr>
                      <m:t>K</m:t>
                    </m:r>
                    <m:ctrlPr>
                      <w:rPr>
                        <w:rFonts w:ascii="Cambria Math" w:hAnsi="Cambria Math" w:cs="Times New Roman"/>
                        <w:szCs w:val="18"/>
                      </w:rPr>
                    </m:ctrlPr>
                  </m:e>
                  <m:sub>
                    <m:r>
                      <m:rPr/>
                      <w:rPr>
                        <w:rFonts w:hint="eastAsia" w:ascii="Cambria Math" w:hAnsi="Cambria Math" w:cs="Times New Roman"/>
                        <w:szCs w:val="18"/>
                      </w:rPr>
                      <m:t>max</m:t>
                    </m:r>
                    <m:ctrlPr>
                      <w:rPr>
                        <w:rFonts w:ascii="Cambria Math" w:hAnsi="Cambria Math" w:cs="Times New Roman"/>
                        <w:szCs w:val="18"/>
                      </w:rPr>
                    </m:ctrlPr>
                  </m:sub>
                </m:sSub>
                <m:r>
                  <m:rPr>
                    <m:sty m:val="p"/>
                  </m:rPr>
                  <w:rPr>
                    <w:rFonts w:ascii="Cambria Math" w:hAnsi="Cambria Math" w:cs="Times New Roman"/>
                    <w:szCs w:val="18"/>
                  </w:rPr>
                  <m:t>&lt;1</m:t>
                </m:r>
              </m:oMath>
            </m:oMathPara>
          </w:p>
        </w:tc>
        <w:tc>
          <w:tcPr>
            <w:tcW w:w="1160" w:type="dxa"/>
            <w:vAlign w:val="center"/>
          </w:tcPr>
          <w:p>
            <w:pPr>
              <w:pStyle w:val="84"/>
              <w:rPr>
                <w:rFonts w:ascii="Calibri" w:hAnsi="Calibri" w:cs="Times New Roman"/>
                <w:szCs w:val="18"/>
              </w:rPr>
            </w:pPr>
            <w:r>
              <w:rPr>
                <w:rFonts w:hint="eastAsia" w:ascii="Calibri" w:hAnsi="Calibri" w:cs="Times New Roman"/>
                <w:szCs w:val="18"/>
              </w:rPr>
              <w:t>6</w:t>
            </w:r>
            <w:r>
              <w:rPr>
                <w:rFonts w:ascii="Calibri" w:hAnsi="Calibri" w:cs="Times New Roman"/>
                <w:szCs w:val="18"/>
              </w:rPr>
              <w:t>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m:sty m:val="p"/>
                      </m:rPr>
                      <w:rPr>
                        <w:rFonts w:ascii="Cambria Math" w:hAnsi="Cambria Math" w:cs="Times New Roman"/>
                        <w:szCs w:val="18"/>
                      </w:rPr>
                      <m:t>1</m:t>
                    </m:r>
                    <m:r>
                      <m:rPr>
                        <m:sty m:val="p"/>
                      </m:rPr>
                      <w:rPr>
                        <w:rFonts w:hint="eastAsia" w:ascii="Cambria Math" w:hAnsi="Cambria Math" w:cs="Times New Roman"/>
                        <w:szCs w:val="18"/>
                      </w:rPr>
                      <m:t>≤</m:t>
                    </m:r>
                    <m:r>
                      <m:rPr/>
                      <w:rPr>
                        <w:rFonts w:hint="eastAsia" w:ascii="Cambria Math" w:hAnsi="Cambria Math" w:cs="Times New Roman"/>
                        <w:szCs w:val="18"/>
                      </w:rPr>
                      <m:t>K</m:t>
                    </m:r>
                    <m:ctrlPr>
                      <w:rPr>
                        <w:rFonts w:ascii="Cambria Math" w:hAnsi="Cambria Math" w:cs="Times New Roman"/>
                        <w:szCs w:val="18"/>
                      </w:rPr>
                    </m:ctrlPr>
                  </m:e>
                  <m:sub>
                    <m:r>
                      <m:rPr/>
                      <w:rPr>
                        <w:rFonts w:hint="eastAsia" w:ascii="Cambria Math" w:hAnsi="Cambria Math" w:cs="Times New Roman"/>
                        <w:szCs w:val="18"/>
                      </w:rPr>
                      <m:t>max</m:t>
                    </m:r>
                    <m:ctrlPr>
                      <w:rPr>
                        <w:rFonts w:ascii="Cambria Math" w:hAnsi="Cambria Math" w:cs="Times New Roman"/>
                        <w:szCs w:val="18"/>
                      </w:rPr>
                    </m:ctrlPr>
                  </m:sub>
                </m:sSub>
                <m:r>
                  <m:rPr>
                    <m:sty m:val="p"/>
                  </m:rPr>
                  <w:rPr>
                    <w:rFonts w:ascii="Cambria Math" w:hAnsi="Cambria Math" w:cs="Times New Roman"/>
                    <w:szCs w:val="18"/>
                  </w:rPr>
                  <m:t>&lt;1.5</m:t>
                </m:r>
              </m:oMath>
            </m:oMathPara>
          </w:p>
        </w:tc>
        <w:tc>
          <w:tcPr>
            <w:tcW w:w="1160" w:type="dxa"/>
            <w:vAlign w:val="center"/>
          </w:tcPr>
          <w:p>
            <w:pPr>
              <w:pStyle w:val="84"/>
              <w:rPr>
                <w:rFonts w:ascii="Calibri" w:hAnsi="Calibri" w:cs="Times New Roman"/>
                <w:szCs w:val="18"/>
              </w:rPr>
            </w:pPr>
            <w:r>
              <w:rPr>
                <w:rFonts w:hint="eastAsia" w:ascii="Calibri" w:hAnsi="Calibri" w:cs="Times New Roman"/>
                <w:szCs w:val="18"/>
              </w:rPr>
              <w:t>4</w:t>
            </w:r>
            <w:r>
              <w:rPr>
                <w:rFonts w:ascii="Calibri" w:hAnsi="Calibri" w:cs="Times New Roman"/>
                <w:szCs w:val="18"/>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m:sty m:val="p"/>
                      </m:rPr>
                      <w:rPr>
                        <w:rFonts w:ascii="Cambria Math" w:hAnsi="Cambria Math" w:cs="Times New Roman"/>
                        <w:szCs w:val="18"/>
                      </w:rPr>
                      <m:t>1.5≤</m:t>
                    </m:r>
                    <m:r>
                      <m:rPr/>
                      <w:rPr>
                        <w:rFonts w:hint="eastAsia" w:ascii="Cambria Math" w:hAnsi="Cambria Math" w:cs="Times New Roman"/>
                        <w:szCs w:val="18"/>
                      </w:rPr>
                      <m:t>K</m:t>
                    </m:r>
                    <m:ctrlPr>
                      <w:rPr>
                        <w:rFonts w:ascii="Cambria Math" w:hAnsi="Cambria Math" w:cs="Times New Roman"/>
                        <w:szCs w:val="18"/>
                      </w:rPr>
                    </m:ctrlPr>
                  </m:e>
                  <m:sub>
                    <m:r>
                      <m:rPr/>
                      <w:rPr>
                        <w:rFonts w:hint="eastAsia" w:ascii="Cambria Math" w:hAnsi="Cambria Math" w:cs="Times New Roman"/>
                        <w:szCs w:val="18"/>
                      </w:rPr>
                      <m:t>max</m:t>
                    </m:r>
                    <m:ctrlPr>
                      <w:rPr>
                        <w:rFonts w:ascii="Cambria Math" w:hAnsi="Cambria Math" w:cs="Times New Roman"/>
                        <w:szCs w:val="18"/>
                      </w:rPr>
                    </m:ctrlPr>
                  </m:sub>
                </m:sSub>
              </m:oMath>
            </m:oMathPara>
          </w:p>
        </w:tc>
        <w:tc>
          <w:tcPr>
            <w:tcW w:w="1160" w:type="dxa"/>
            <w:vAlign w:val="center"/>
          </w:tcPr>
          <w:p>
            <w:pPr>
              <w:pStyle w:val="84"/>
              <w:rPr>
                <w:rFonts w:ascii="Calibri" w:hAnsi="Calibri" w:cs="Times New Roman"/>
                <w:szCs w:val="18"/>
              </w:rPr>
            </w:pPr>
            <w:r>
              <w:rPr>
                <w:rFonts w:hint="eastAsia" w:ascii="Calibri" w:hAnsi="Calibri" w:cs="Times New Roman"/>
                <w:szCs w:val="18"/>
              </w:rPr>
              <w:t>0</w:t>
            </w:r>
            <w:r>
              <w:rPr>
                <w:rFonts w:ascii="Calibri" w:hAnsi="Calibri" w:cs="Times New Roman"/>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restart"/>
            <w:vAlign w:val="center"/>
          </w:tcPr>
          <w:p>
            <w:pPr>
              <w:pStyle w:val="84"/>
              <w:rPr>
                <w:rFonts w:ascii="Calibri" w:hAnsi="Calibri" w:cs="Times New Roman"/>
                <w:szCs w:val="18"/>
              </w:rPr>
            </w:pPr>
            <w:r>
              <w:rPr>
                <w:rFonts w:hint="eastAsia" w:ascii="Calibri" w:hAnsi="Calibri" w:cs="Times New Roman"/>
                <w:szCs w:val="18"/>
              </w:rPr>
              <w:t>病害体发展趋势风险</w:t>
            </w:r>
            <m:oMath>
              <m:sSub>
                <m:sSubPr>
                  <m:ctrlPr>
                    <w:rPr>
                      <w:rFonts w:ascii="Cambria Math" w:hAnsi="Cambria Math" w:cs="Times New Roman"/>
                      <w:szCs w:val="18"/>
                    </w:rPr>
                  </m:ctrlPr>
                </m:sSubPr>
                <m:e>
                  <m:r>
                    <m:rPr/>
                    <w:rPr>
                      <w:rFonts w:ascii="Cambria Math" w:hAnsi="Cambria Math" w:cs="Times New Roman"/>
                      <w:szCs w:val="18"/>
                    </w:rPr>
                    <m:t>P</m:t>
                  </m:r>
                  <m:ctrlPr>
                    <w:rPr>
                      <w:rFonts w:ascii="Cambria Math" w:hAnsi="Cambria Math" w:cs="Times New Roman"/>
                      <w:szCs w:val="18"/>
                    </w:rPr>
                  </m:ctrlPr>
                </m:e>
                <m:sub>
                  <m:r>
                    <m:rPr/>
                    <w:rPr>
                      <w:rFonts w:hint="eastAsia" w:ascii="Cambria Math" w:hAnsi="Cambria Math" w:cs="Times New Roman"/>
                      <w:szCs w:val="18"/>
                    </w:rPr>
                    <m:t>B</m:t>
                  </m:r>
                  <m:r>
                    <m:rPr/>
                    <w:rPr>
                      <w:rFonts w:ascii="Cambria Math" w:hAnsi="Cambria Math" w:cs="Times New Roman"/>
                      <w:szCs w:val="18"/>
                    </w:rPr>
                    <m:t>E</m:t>
                  </m:r>
                  <m:r>
                    <m:rPr>
                      <m:sty m:val="p"/>
                    </m:rPr>
                    <w:rPr>
                      <w:rFonts w:ascii="Cambria Math" w:hAnsi="Cambria Math" w:cs="Times New Roman"/>
                      <w:szCs w:val="18"/>
                    </w:rPr>
                    <m:t>2</m:t>
                  </m:r>
                  <m:ctrlPr>
                    <w:rPr>
                      <w:rFonts w:ascii="Cambria Math" w:hAnsi="Cambria Math" w:cs="Times New Roman"/>
                      <w:szCs w:val="18"/>
                    </w:rPr>
                  </m:ctrlPr>
                </m:sub>
              </m:sSub>
            </m:oMath>
          </w:p>
        </w:tc>
        <w:tc>
          <w:tcPr>
            <w:tcW w:w="4395" w:type="dxa"/>
            <w:vAlign w:val="center"/>
          </w:tcPr>
          <w:p>
            <w:pPr>
              <w:pStyle w:val="84"/>
              <w:rPr>
                <w:rFonts w:ascii="Calibri" w:hAnsi="Calibri" w:cs="Times New Roman"/>
                <w:szCs w:val="18"/>
              </w:rPr>
            </w:pPr>
            <w:r>
              <w:rPr>
                <w:rFonts w:ascii="Calibri" w:hAnsi="Calibri" w:cs="Times New Roman"/>
                <w:szCs w:val="18"/>
              </w:rPr>
              <w:t>90</w:t>
            </w:r>
            <w:r>
              <w:rPr>
                <w:rFonts w:hint="eastAsia" w:ascii="Calibri" w:hAnsi="Calibri" w:cs="Times New Roman"/>
                <w:szCs w:val="18"/>
              </w:rPr>
              <w:t>≤X</w:t>
            </w:r>
          </w:p>
        </w:tc>
        <w:tc>
          <w:tcPr>
            <w:tcW w:w="1160" w:type="dxa"/>
            <w:vAlign w:val="center"/>
          </w:tcPr>
          <w:p>
            <w:pPr>
              <w:pStyle w:val="84"/>
              <w:rPr>
                <w:rFonts w:ascii="Calibri" w:hAnsi="Calibri" w:cs="Times New Roman"/>
                <w:szCs w:val="18"/>
              </w:rPr>
            </w:pPr>
            <w:r>
              <w:rPr>
                <w:rFonts w:hint="eastAsia" w:ascii="Calibri" w:hAnsi="Calibri" w:cs="Times New Roman"/>
                <w:szCs w:val="18"/>
              </w:rPr>
              <w:t>9</w:t>
            </w:r>
            <w:r>
              <w:rPr>
                <w:rFonts w:ascii="Calibri" w:hAnsi="Calibri" w:cs="Times New Roman"/>
                <w:szCs w:val="18"/>
              </w:rPr>
              <w:t>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w:r>
              <w:rPr>
                <w:rFonts w:ascii="Calibri" w:hAnsi="Calibri" w:cs="Times New Roman"/>
                <w:szCs w:val="18"/>
              </w:rPr>
              <w:t>60</w:t>
            </w:r>
            <w:r>
              <w:rPr>
                <w:rFonts w:hint="eastAsia" w:ascii="Calibri" w:hAnsi="Calibri" w:cs="Times New Roman"/>
                <w:szCs w:val="18"/>
              </w:rPr>
              <w:t>≤X＜9</w:t>
            </w:r>
            <w:r>
              <w:rPr>
                <w:rFonts w:ascii="Calibri" w:hAnsi="Calibri" w:cs="Times New Roman"/>
                <w:szCs w:val="18"/>
              </w:rPr>
              <w:t>0</w:t>
            </w:r>
          </w:p>
        </w:tc>
        <w:tc>
          <w:tcPr>
            <w:tcW w:w="1160" w:type="dxa"/>
            <w:vAlign w:val="center"/>
          </w:tcPr>
          <w:p>
            <w:pPr>
              <w:pStyle w:val="84"/>
              <w:rPr>
                <w:rFonts w:ascii="Calibri" w:hAnsi="Calibri" w:cs="Times New Roman"/>
                <w:szCs w:val="18"/>
              </w:rPr>
            </w:pPr>
            <w:r>
              <w:rPr>
                <w:rFonts w:hint="eastAsia" w:ascii="Calibri" w:hAnsi="Calibri" w:cs="Times New Roman"/>
                <w:szCs w:val="18"/>
              </w:rPr>
              <w:t>6</w:t>
            </w:r>
            <w:r>
              <w:rPr>
                <w:rFonts w:ascii="Calibri" w:hAnsi="Calibri" w:cs="Times New Roman"/>
                <w:szCs w:val="18"/>
              </w:rPr>
              <w:t>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w:r>
              <w:rPr>
                <w:rFonts w:ascii="Calibri" w:hAnsi="Calibri" w:cs="Times New Roman"/>
                <w:szCs w:val="18"/>
              </w:rPr>
              <w:t>30</w:t>
            </w:r>
            <w:r>
              <w:rPr>
                <w:rFonts w:hint="eastAsia" w:ascii="Calibri" w:hAnsi="Calibri" w:cs="Times New Roman"/>
                <w:szCs w:val="18"/>
              </w:rPr>
              <w:t>≤X＜</w:t>
            </w:r>
            <w:r>
              <w:rPr>
                <w:rFonts w:ascii="Calibri" w:hAnsi="Calibri" w:cs="Times New Roman"/>
                <w:szCs w:val="18"/>
              </w:rPr>
              <w:t>60</w:t>
            </w:r>
          </w:p>
        </w:tc>
        <w:tc>
          <w:tcPr>
            <w:tcW w:w="1160" w:type="dxa"/>
            <w:vAlign w:val="center"/>
          </w:tcPr>
          <w:p>
            <w:pPr>
              <w:pStyle w:val="84"/>
              <w:rPr>
                <w:rFonts w:ascii="Calibri" w:hAnsi="Calibri" w:cs="Times New Roman"/>
                <w:szCs w:val="18"/>
              </w:rPr>
            </w:pPr>
            <w:r>
              <w:rPr>
                <w:rFonts w:hint="eastAsia" w:ascii="Calibri" w:hAnsi="Calibri" w:cs="Times New Roman"/>
                <w:szCs w:val="18"/>
              </w:rPr>
              <w:t>4</w:t>
            </w:r>
            <w:r>
              <w:rPr>
                <w:rFonts w:ascii="Calibri" w:hAnsi="Calibri" w:cs="Times New Roman"/>
                <w:szCs w:val="18"/>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84"/>
              <w:rPr>
                <w:rFonts w:ascii="Calibri" w:hAnsi="Calibri" w:cs="Times New Roman"/>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X＜3</w:t>
            </w:r>
            <w:r>
              <w:rPr>
                <w:rFonts w:ascii="Calibri" w:hAnsi="Calibri" w:cs="Times New Roman"/>
                <w:szCs w:val="18"/>
              </w:rPr>
              <w:t>0</w:t>
            </w:r>
          </w:p>
        </w:tc>
        <w:tc>
          <w:tcPr>
            <w:tcW w:w="1160" w:type="dxa"/>
            <w:vAlign w:val="center"/>
          </w:tcPr>
          <w:p>
            <w:pPr>
              <w:pStyle w:val="84"/>
              <w:rPr>
                <w:rFonts w:ascii="Calibri" w:hAnsi="Calibri" w:cs="Times New Roman"/>
                <w:szCs w:val="18"/>
              </w:rPr>
            </w:pPr>
            <w:r>
              <w:rPr>
                <w:rFonts w:hint="eastAsia" w:ascii="Calibri" w:hAnsi="Calibri" w:cs="Times New Roman"/>
                <w:szCs w:val="18"/>
              </w:rPr>
              <w:t>0</w:t>
            </w:r>
            <w:r>
              <w:rPr>
                <w:rFonts w:ascii="Calibri" w:hAnsi="Calibri" w:cs="Times New Roman"/>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restart"/>
            <w:vAlign w:val="center"/>
          </w:tcPr>
          <w:p>
            <w:pPr>
              <w:pStyle w:val="74"/>
              <w:spacing w:before="0" w:beforeAutospacing="0" w:after="0" w:afterAutospacing="0"/>
              <w:jc w:val="center"/>
              <w:rPr>
                <w:sz w:val="18"/>
                <w:szCs w:val="18"/>
              </w:rPr>
            </w:pPr>
            <w:r>
              <w:rPr>
                <w:rFonts w:hint="eastAsia"/>
                <w:bCs/>
                <w:sz w:val="18"/>
                <w:szCs w:val="18"/>
              </w:rPr>
              <w:t>设施扰动</w:t>
            </w:r>
            <m:oMath>
              <m:sSub>
                <m:sSubPr>
                  <m:ctrlPr>
                    <w:rPr>
                      <w:rFonts w:ascii="Cambria Math" w:hAnsi="Cambria Math"/>
                      <w:i/>
                      <w:sz w:val="18"/>
                      <w:szCs w:val="18"/>
                    </w:rPr>
                  </m:ctrlPr>
                </m:sSubPr>
                <m:e>
                  <m:r>
                    <m:rPr/>
                    <w:rPr>
                      <w:rFonts w:hint="eastAsia" w:ascii="Cambria Math" w:hAnsi="Cambria Math"/>
                      <w:sz w:val="18"/>
                      <w:szCs w:val="18"/>
                    </w:rPr>
                    <m:t>P</m:t>
                  </m:r>
                  <m:ctrlPr>
                    <w:rPr>
                      <w:rFonts w:ascii="Cambria Math" w:hAnsi="Cambria Math"/>
                      <w:i/>
                      <w:sz w:val="18"/>
                      <w:szCs w:val="18"/>
                    </w:rPr>
                  </m:ctrlPr>
                </m:e>
                <m:sub>
                  <m:r>
                    <m:rPr/>
                    <w:rPr>
                      <w:rFonts w:ascii="Cambria Math" w:hAnsi="Cambria Math"/>
                      <w:sz w:val="18"/>
                      <w:szCs w:val="18"/>
                    </w:rPr>
                    <m:t>CE</m:t>
                  </m:r>
                  <m:ctrlPr>
                    <w:rPr>
                      <w:rFonts w:ascii="Cambria Math" w:hAnsi="Cambria Math"/>
                      <w:i/>
                      <w:sz w:val="18"/>
                      <w:szCs w:val="18"/>
                    </w:rPr>
                  </m:ctrlPr>
                </m:sub>
              </m:sSub>
            </m:oMath>
          </w:p>
        </w:tc>
        <w:tc>
          <w:tcPr>
            <w:tcW w:w="1134" w:type="dxa"/>
            <w:vMerge w:val="restart"/>
            <w:vAlign w:val="center"/>
          </w:tcPr>
          <w:p>
            <w:pPr>
              <w:pStyle w:val="74"/>
              <w:spacing w:before="0" w:beforeAutospacing="0" w:after="0" w:afterAutospacing="0"/>
              <w:jc w:val="center"/>
              <w:rPr>
                <w:sz w:val="18"/>
                <w:szCs w:val="18"/>
              </w:rPr>
            </w:pPr>
            <w:r>
              <w:rPr>
                <w:rFonts w:hint="eastAsia"/>
                <w:sz w:val="18"/>
                <w:szCs w:val="18"/>
              </w:rPr>
              <w:t>施工干扰</w:t>
            </w:r>
            <m:oMath>
              <m:sSub>
                <m:sSubPr>
                  <m:ctrlPr>
                    <w:rPr>
                      <w:rFonts w:ascii="Cambria Math" w:hAnsi="Cambria Math"/>
                      <w:sz w:val="18"/>
                      <w:szCs w:val="18"/>
                    </w:rPr>
                  </m:ctrlPr>
                </m:sSubPr>
                <m:e>
                  <m:r>
                    <m:rPr/>
                    <w:rPr>
                      <w:rFonts w:hint="eastAsia" w:ascii="Cambria Math" w:hAnsi="Cambria Math"/>
                      <w:sz w:val="18"/>
                      <w:szCs w:val="18"/>
                    </w:rPr>
                    <m:t>P</m:t>
                  </m:r>
                  <m:ctrlPr>
                    <w:rPr>
                      <w:rFonts w:ascii="Cambria Math" w:hAnsi="Cambria Math"/>
                      <w:sz w:val="18"/>
                      <w:szCs w:val="18"/>
                    </w:rPr>
                  </m:ctrlPr>
                </m:e>
                <m:sub>
                  <m:r>
                    <m:rPr/>
                    <w:rPr>
                      <w:rFonts w:ascii="Cambria Math" w:hAnsi="Cambria Math"/>
                      <w:sz w:val="18"/>
                      <w:szCs w:val="18"/>
                    </w:rPr>
                    <m:t>CE</m:t>
                  </m:r>
                  <m:r>
                    <m:rPr>
                      <m:sty m:val="p"/>
                    </m:rPr>
                    <w:rPr>
                      <w:rFonts w:ascii="Cambria Math" w:hAnsi="Cambria Math"/>
                      <w:sz w:val="18"/>
                      <w:szCs w:val="18"/>
                    </w:rPr>
                    <m:t>1</m:t>
                  </m:r>
                  <m:ctrlPr>
                    <w:rPr>
                      <w:rFonts w:ascii="Cambria Math" w:hAnsi="Cambria Math"/>
                      <w:sz w:val="18"/>
                      <w:szCs w:val="18"/>
                    </w:rPr>
                  </m:ctrlPr>
                </m:sub>
              </m:sSub>
            </m:oMath>
          </w:p>
        </w:tc>
        <w:tc>
          <w:tcPr>
            <w:tcW w:w="4395" w:type="dxa"/>
            <w:vAlign w:val="center"/>
          </w:tcPr>
          <w:p>
            <w:pPr>
              <w:pStyle w:val="84"/>
              <w:rPr>
                <w:rFonts w:ascii="Calibri" w:hAnsi="Calibri" w:cs="Times New Roman"/>
                <w:szCs w:val="18"/>
              </w:rPr>
            </w:pPr>
            <m:oMathPara>
              <m:oMath>
                <m:r>
                  <m:rPr/>
                  <w:rPr>
                    <w:rFonts w:hint="eastAsia" w:ascii="Cambria Math" w:hAnsi="Cambria Math" w:cs="Times New Roman"/>
                    <w:szCs w:val="18"/>
                  </w:rPr>
                  <m:t>l</m:t>
                </m:r>
                <m:r>
                  <m:rPr>
                    <m:sty m:val="p"/>
                  </m:rPr>
                  <w:rPr>
                    <w:rFonts w:ascii="Cambria Math" w:hAnsi="Cambria Math" w:cs="Times New Roman"/>
                    <w:szCs w:val="18"/>
                  </w:rPr>
                  <m:t>≤5</m:t>
                </m:r>
                <m:r>
                  <m:rPr/>
                  <w:rPr>
                    <w:rFonts w:ascii="Cambria Math" w:hAnsi="Cambria Math" w:cs="Times New Roman"/>
                    <w:szCs w:val="18"/>
                  </w:rPr>
                  <m:t>m</m:t>
                </m:r>
              </m:oMath>
            </m:oMathPara>
          </w:p>
        </w:tc>
        <w:tc>
          <w:tcPr>
            <w:tcW w:w="1160" w:type="dxa"/>
            <w:vAlign w:val="center"/>
          </w:tcPr>
          <w:p>
            <w:pPr>
              <w:pStyle w:val="84"/>
              <w:rPr>
                <w:rFonts w:ascii="Calibri" w:hAnsi="Calibri" w:cs="Times New Roman"/>
                <w:szCs w:val="18"/>
              </w:rPr>
            </w:pPr>
            <w:r>
              <w:rPr>
                <w:rFonts w:ascii="Calibri" w:hAnsi="Calibri" w:cs="Times New Roman"/>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continue"/>
            <w:vAlign w:val="center"/>
          </w:tcPr>
          <w:p>
            <w:pPr>
              <w:pStyle w:val="74"/>
              <w:spacing w:before="0" w:beforeAutospacing="0" w:after="0" w:afterAutospacing="0"/>
              <w:jc w:val="center"/>
              <w:rPr>
                <w:sz w:val="18"/>
                <w:szCs w:val="18"/>
              </w:rPr>
            </w:pPr>
          </w:p>
        </w:tc>
        <w:tc>
          <w:tcPr>
            <w:tcW w:w="4395" w:type="dxa"/>
            <w:vAlign w:val="center"/>
          </w:tcPr>
          <w:p>
            <w:pPr>
              <w:pStyle w:val="84"/>
              <w:rPr>
                <w:rFonts w:ascii="Calibri" w:hAnsi="Calibri" w:cs="Times New Roman"/>
                <w:szCs w:val="18"/>
              </w:rPr>
            </w:pPr>
            <m:oMathPara>
              <m:oMath>
                <m:r>
                  <m:rPr>
                    <m:sty m:val="p"/>
                  </m:rPr>
                  <w:rPr>
                    <w:rFonts w:ascii="Cambria Math" w:hAnsi="Cambria Math" w:cs="Times New Roman"/>
                    <w:szCs w:val="18"/>
                  </w:rPr>
                  <m:t>5</m:t>
                </m:r>
                <m:r>
                  <m:rPr/>
                  <w:rPr>
                    <w:rFonts w:ascii="Cambria Math" w:hAnsi="Cambria Math" w:cs="Times New Roman"/>
                    <w:szCs w:val="18"/>
                  </w:rPr>
                  <m:t>m</m:t>
                </m:r>
                <m:r>
                  <m:rPr>
                    <m:sty m:val="p"/>
                  </m:rPr>
                  <w:rPr>
                    <w:rFonts w:ascii="Cambria Math" w:hAnsi="Cambria Math" w:cs="Times New Roman"/>
                    <w:szCs w:val="18"/>
                  </w:rPr>
                  <m:t>&lt;</m:t>
                </m:r>
                <m:r>
                  <m:rPr/>
                  <w:rPr>
                    <w:rFonts w:hint="eastAsia" w:ascii="Cambria Math" w:hAnsi="Cambria Math" w:cs="Times New Roman"/>
                    <w:szCs w:val="18"/>
                  </w:rPr>
                  <m:t>l</m:t>
                </m:r>
                <m:r>
                  <m:rPr>
                    <m:sty m:val="p"/>
                  </m:rPr>
                  <w:rPr>
                    <w:rFonts w:ascii="Cambria Math" w:hAnsi="Cambria Math" w:cs="Times New Roman"/>
                    <w:szCs w:val="18"/>
                  </w:rPr>
                  <m:t>≤10</m:t>
                </m:r>
                <m:r>
                  <m:rPr/>
                  <w:rPr>
                    <w:rFonts w:ascii="Cambria Math" w:hAnsi="Cambria Math" w:cs="Times New Roman"/>
                    <w:szCs w:val="18"/>
                  </w:rPr>
                  <m:t>m</m:t>
                </m:r>
              </m:oMath>
            </m:oMathPara>
          </w:p>
        </w:tc>
        <w:tc>
          <w:tcPr>
            <w:tcW w:w="1160" w:type="dxa"/>
            <w:vAlign w:val="center"/>
          </w:tcPr>
          <w:p>
            <w:pPr>
              <w:pStyle w:val="84"/>
              <w:rPr>
                <w:rFonts w:ascii="Calibri" w:hAnsi="Calibri" w:cs="Times New Roman"/>
                <w:szCs w:val="18"/>
              </w:rPr>
            </w:pPr>
            <w:r>
              <w:rPr>
                <w:rFonts w:ascii="Calibri" w:hAnsi="Calibri" w:cs="Times New Roman"/>
                <w:szCs w:val="18"/>
              </w:rPr>
              <w:t>50~80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continue"/>
            <w:vAlign w:val="center"/>
          </w:tcPr>
          <w:p>
            <w:pPr>
              <w:pStyle w:val="74"/>
              <w:spacing w:before="0" w:beforeAutospacing="0" w:after="0" w:afterAutospacing="0"/>
              <w:jc w:val="center"/>
              <w:rPr>
                <w:sz w:val="18"/>
                <w:szCs w:val="18"/>
              </w:rPr>
            </w:pPr>
          </w:p>
        </w:tc>
        <w:tc>
          <w:tcPr>
            <w:tcW w:w="4395" w:type="dxa"/>
            <w:vAlign w:val="center"/>
          </w:tcPr>
          <w:p>
            <w:pPr>
              <w:pStyle w:val="84"/>
              <w:rPr>
                <w:rFonts w:ascii="Calibri" w:hAnsi="Calibri" w:cs="Times New Roman"/>
                <w:szCs w:val="18"/>
              </w:rPr>
            </w:pPr>
            <m:oMathPara>
              <m:oMath>
                <m:r>
                  <m:rPr>
                    <m:sty m:val="p"/>
                  </m:rPr>
                  <w:rPr>
                    <w:rFonts w:ascii="Cambria Math" w:hAnsi="Cambria Math" w:cs="Times New Roman"/>
                    <w:szCs w:val="18"/>
                  </w:rPr>
                  <m:t>10</m:t>
                </m:r>
                <m:r>
                  <m:rPr/>
                  <w:rPr>
                    <w:rFonts w:ascii="Cambria Math" w:hAnsi="Cambria Math" w:cs="Times New Roman"/>
                    <w:szCs w:val="18"/>
                  </w:rPr>
                  <m:t>m</m:t>
                </m:r>
                <m:r>
                  <m:rPr>
                    <m:sty m:val="p"/>
                  </m:rPr>
                  <w:rPr>
                    <w:rFonts w:ascii="Cambria Math" w:hAnsi="Cambria Math" w:cs="Times New Roman"/>
                    <w:szCs w:val="18"/>
                  </w:rPr>
                  <m:t>&lt;</m:t>
                </m:r>
                <m:r>
                  <m:rPr/>
                  <w:rPr>
                    <w:rFonts w:hint="eastAsia" w:ascii="Cambria Math" w:hAnsi="Cambria Math" w:cs="Times New Roman"/>
                    <w:szCs w:val="18"/>
                  </w:rPr>
                  <m:t>l</m:t>
                </m:r>
              </m:oMath>
            </m:oMathPara>
          </w:p>
        </w:tc>
        <w:tc>
          <w:tcPr>
            <w:tcW w:w="1160" w:type="dxa"/>
            <w:vAlign w:val="center"/>
          </w:tcPr>
          <w:p>
            <w:pPr>
              <w:pStyle w:val="84"/>
              <w:rPr>
                <w:rFonts w:ascii="Calibri" w:hAnsi="Calibri" w:cs="Times New Roman"/>
                <w:szCs w:val="18"/>
              </w:rPr>
            </w:pPr>
            <w:r>
              <w:rPr>
                <w:rFonts w:ascii="Calibri" w:hAnsi="Calibri" w:cs="Times New Roman"/>
                <w:szCs w:val="18"/>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restart"/>
            <w:vAlign w:val="center"/>
          </w:tcPr>
          <w:p>
            <w:pPr>
              <w:pStyle w:val="74"/>
              <w:spacing w:before="0" w:beforeAutospacing="0" w:after="0" w:afterAutospacing="0"/>
              <w:jc w:val="center"/>
              <w:rPr>
                <w:sz w:val="18"/>
                <w:szCs w:val="18"/>
              </w:rPr>
            </w:pPr>
            <w:r>
              <w:rPr>
                <w:rFonts w:hint="eastAsia"/>
                <w:sz w:val="18"/>
                <w:szCs w:val="18"/>
              </w:rPr>
              <w:t>地面设施</w:t>
            </w:r>
            <m:oMath>
              <m:sSub>
                <m:sSubPr>
                  <m:ctrlPr>
                    <w:rPr>
                      <w:rFonts w:ascii="Cambria Math" w:hAnsi="Cambria Math"/>
                      <w:sz w:val="18"/>
                      <w:szCs w:val="18"/>
                    </w:rPr>
                  </m:ctrlPr>
                </m:sSubPr>
                <m:e>
                  <m:r>
                    <m:rPr/>
                    <w:rPr>
                      <w:rFonts w:hint="eastAsia" w:ascii="Cambria Math" w:hAnsi="Cambria Math"/>
                      <w:sz w:val="18"/>
                      <w:szCs w:val="18"/>
                    </w:rPr>
                    <m:t>P</m:t>
                  </m:r>
                  <m:ctrlPr>
                    <w:rPr>
                      <w:rFonts w:ascii="Cambria Math" w:hAnsi="Cambria Math"/>
                      <w:sz w:val="18"/>
                      <w:szCs w:val="18"/>
                    </w:rPr>
                  </m:ctrlPr>
                </m:e>
                <m:sub>
                  <m:r>
                    <m:rPr/>
                    <w:rPr>
                      <w:rFonts w:ascii="Cambria Math" w:hAnsi="Cambria Math"/>
                      <w:sz w:val="18"/>
                      <w:szCs w:val="18"/>
                    </w:rPr>
                    <m:t>CE</m:t>
                  </m:r>
                  <m:r>
                    <m:rPr>
                      <m:sty m:val="p"/>
                    </m:rPr>
                    <w:rPr>
                      <w:rFonts w:ascii="Cambria Math" w:hAnsi="Cambria Math"/>
                      <w:sz w:val="18"/>
                      <w:szCs w:val="18"/>
                    </w:rPr>
                    <m:t>2</m:t>
                  </m:r>
                  <m:ctrlPr>
                    <w:rPr>
                      <w:rFonts w:ascii="Cambria Math" w:hAnsi="Cambria Math"/>
                      <w:sz w:val="18"/>
                      <w:szCs w:val="18"/>
                    </w:rPr>
                  </m:ctrlPr>
                </m:sub>
              </m:sSub>
            </m:oMath>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w:rPr>
                        <w:rFonts w:hint="eastAsia" w:ascii="Cambria Math" w:hAnsi="Cambria Math" w:cs="Times New Roman"/>
                        <w:szCs w:val="18"/>
                      </w:rPr>
                      <m:t>R</m:t>
                    </m:r>
                    <m:ctrlPr>
                      <w:rPr>
                        <w:rFonts w:ascii="Cambria Math" w:hAnsi="Cambria Math" w:cs="Times New Roman"/>
                        <w:szCs w:val="18"/>
                      </w:rPr>
                    </m:ctrlPr>
                  </m:e>
                  <m:sub>
                    <m:r>
                      <m:rPr/>
                      <w:rPr>
                        <w:rFonts w:hint="eastAsia" w:ascii="Cambria Math" w:hAnsi="Cambria Math" w:cs="Times New Roman"/>
                        <w:szCs w:val="18"/>
                      </w:rPr>
                      <m:t>dm</m:t>
                    </m:r>
                    <m:ctrlPr>
                      <w:rPr>
                        <w:rFonts w:ascii="Cambria Math" w:hAnsi="Cambria Math" w:cs="Times New Roman"/>
                        <w:szCs w:val="18"/>
                      </w:rPr>
                    </m:ctrlPr>
                  </m:sub>
                </m:sSub>
                <m:r>
                  <m:rPr>
                    <m:sty m:val="p"/>
                  </m:rPr>
                  <w:rPr>
                    <w:rFonts w:ascii="Cambria Math" w:hAnsi="Cambria Math" w:cs="Times New Roman"/>
                    <w:szCs w:val="18"/>
                  </w:rPr>
                  <m:t>≤1</m:t>
                </m:r>
              </m:oMath>
            </m:oMathPara>
          </w:p>
        </w:tc>
        <w:tc>
          <w:tcPr>
            <w:tcW w:w="1160" w:type="dxa"/>
            <w:vAlign w:val="center"/>
          </w:tcPr>
          <w:p>
            <w:pPr>
              <w:pStyle w:val="84"/>
              <w:rPr>
                <w:rFonts w:ascii="Calibri" w:hAnsi="Calibri" w:cs="Times New Roman"/>
                <w:szCs w:val="18"/>
              </w:rPr>
            </w:pPr>
            <w:r>
              <w:rPr>
                <w:rFonts w:ascii="Calibri" w:hAnsi="Calibri" w:cs="Times New Roman"/>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continue"/>
            <w:vAlign w:val="center"/>
          </w:tcPr>
          <w:p>
            <w:pPr>
              <w:pStyle w:val="74"/>
              <w:spacing w:before="0" w:beforeAutospacing="0" w:after="0" w:afterAutospacing="0"/>
              <w:jc w:val="center"/>
              <w:rPr>
                <w:sz w:val="18"/>
                <w:szCs w:val="18"/>
              </w:rPr>
            </w:pPr>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m:sty m:val="p"/>
                      </m:rPr>
                      <w:rPr>
                        <w:rFonts w:ascii="Cambria Math" w:hAnsi="Cambria Math" w:cs="Times New Roman"/>
                        <w:szCs w:val="18"/>
                      </w:rPr>
                      <m:t>1&lt;</m:t>
                    </m:r>
                    <m:r>
                      <m:rPr/>
                      <w:rPr>
                        <w:rFonts w:hint="eastAsia" w:ascii="Cambria Math" w:hAnsi="Cambria Math" w:cs="Times New Roman"/>
                        <w:szCs w:val="18"/>
                      </w:rPr>
                      <m:t>R</m:t>
                    </m:r>
                    <m:ctrlPr>
                      <w:rPr>
                        <w:rFonts w:ascii="Cambria Math" w:hAnsi="Cambria Math" w:cs="Times New Roman"/>
                        <w:szCs w:val="18"/>
                      </w:rPr>
                    </m:ctrlPr>
                  </m:e>
                  <m:sub>
                    <m:r>
                      <m:rPr/>
                      <w:rPr>
                        <w:rFonts w:hint="eastAsia" w:ascii="Cambria Math" w:hAnsi="Cambria Math" w:cs="Times New Roman"/>
                        <w:szCs w:val="18"/>
                      </w:rPr>
                      <m:t>dm</m:t>
                    </m:r>
                    <m:ctrlPr>
                      <w:rPr>
                        <w:rFonts w:ascii="Cambria Math" w:hAnsi="Cambria Math" w:cs="Times New Roman"/>
                        <w:szCs w:val="18"/>
                      </w:rPr>
                    </m:ctrlPr>
                  </m:sub>
                </m:sSub>
                <m:r>
                  <m:rPr>
                    <m:sty m:val="p"/>
                  </m:rPr>
                  <w:rPr>
                    <w:rFonts w:ascii="Cambria Math" w:hAnsi="Cambria Math" w:cs="Times New Roman"/>
                    <w:szCs w:val="18"/>
                  </w:rPr>
                  <m:t>≤2</m:t>
                </m:r>
              </m:oMath>
            </m:oMathPara>
          </w:p>
        </w:tc>
        <w:tc>
          <w:tcPr>
            <w:tcW w:w="1160" w:type="dxa"/>
            <w:vAlign w:val="center"/>
          </w:tcPr>
          <w:p>
            <w:pPr>
              <w:pStyle w:val="84"/>
              <w:rPr>
                <w:rFonts w:ascii="Calibri" w:hAnsi="Calibri" w:cs="Times New Roman"/>
                <w:szCs w:val="18"/>
              </w:rPr>
            </w:pPr>
            <w:r>
              <w:rPr>
                <w:rFonts w:ascii="Calibri" w:hAnsi="Calibri" w:cs="Times New Roman"/>
                <w:szCs w:val="18"/>
              </w:rPr>
              <w:t>70~90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continue"/>
            <w:vAlign w:val="center"/>
          </w:tcPr>
          <w:p>
            <w:pPr>
              <w:pStyle w:val="74"/>
              <w:spacing w:before="0" w:beforeAutospacing="0" w:after="0" w:afterAutospacing="0"/>
              <w:jc w:val="center"/>
              <w:rPr>
                <w:sz w:val="18"/>
                <w:szCs w:val="18"/>
              </w:rPr>
            </w:pPr>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m:sty m:val="p"/>
                      </m:rPr>
                      <w:rPr>
                        <w:rFonts w:ascii="Cambria Math" w:hAnsi="Cambria Math" w:cs="Times New Roman"/>
                        <w:szCs w:val="18"/>
                      </w:rPr>
                      <m:t>2&lt;</m:t>
                    </m:r>
                    <m:r>
                      <m:rPr/>
                      <w:rPr>
                        <w:rFonts w:hint="eastAsia" w:ascii="Cambria Math" w:hAnsi="Cambria Math" w:cs="Times New Roman"/>
                        <w:szCs w:val="18"/>
                      </w:rPr>
                      <m:t>R</m:t>
                    </m:r>
                    <m:ctrlPr>
                      <w:rPr>
                        <w:rFonts w:ascii="Cambria Math" w:hAnsi="Cambria Math" w:cs="Times New Roman"/>
                        <w:szCs w:val="18"/>
                      </w:rPr>
                    </m:ctrlPr>
                  </m:e>
                  <m:sub>
                    <m:r>
                      <m:rPr/>
                      <w:rPr>
                        <w:rFonts w:hint="eastAsia" w:ascii="Cambria Math" w:hAnsi="Cambria Math" w:cs="Times New Roman"/>
                        <w:szCs w:val="18"/>
                      </w:rPr>
                      <m:t>dm</m:t>
                    </m:r>
                    <m:ctrlPr>
                      <w:rPr>
                        <w:rFonts w:ascii="Cambria Math" w:hAnsi="Cambria Math" w:cs="Times New Roman"/>
                        <w:szCs w:val="18"/>
                      </w:rPr>
                    </m:ctrlPr>
                  </m:sub>
                </m:sSub>
                <m:r>
                  <m:rPr>
                    <m:sty m:val="p"/>
                  </m:rPr>
                  <w:rPr>
                    <w:rFonts w:ascii="Cambria Math" w:hAnsi="Cambria Math" w:cs="Times New Roman"/>
                    <w:szCs w:val="18"/>
                  </w:rPr>
                  <m:t>≤3</m:t>
                </m:r>
              </m:oMath>
            </m:oMathPara>
          </w:p>
        </w:tc>
        <w:tc>
          <w:tcPr>
            <w:tcW w:w="1160" w:type="dxa"/>
            <w:vAlign w:val="center"/>
          </w:tcPr>
          <w:p>
            <w:pPr>
              <w:pStyle w:val="84"/>
              <w:rPr>
                <w:rFonts w:ascii="Calibri" w:hAnsi="Calibri" w:cs="Times New Roman"/>
                <w:szCs w:val="18"/>
              </w:rPr>
            </w:pPr>
            <w:r>
              <w:rPr>
                <w:rFonts w:ascii="Calibri" w:hAnsi="Calibri" w:cs="Times New Roman"/>
                <w:szCs w:val="18"/>
              </w:rPr>
              <w:t>40~70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continue"/>
            <w:vAlign w:val="center"/>
          </w:tcPr>
          <w:p>
            <w:pPr>
              <w:pStyle w:val="74"/>
              <w:spacing w:before="0" w:beforeAutospacing="0" w:after="0" w:afterAutospacing="0"/>
              <w:jc w:val="center"/>
              <w:rPr>
                <w:sz w:val="18"/>
                <w:szCs w:val="18"/>
              </w:rPr>
            </w:pPr>
          </w:p>
        </w:tc>
        <w:tc>
          <w:tcPr>
            <w:tcW w:w="4395" w:type="dxa"/>
            <w:vAlign w:val="center"/>
          </w:tcPr>
          <w:p>
            <w:pPr>
              <w:pStyle w:val="84"/>
              <w:rPr>
                <w:rFonts w:ascii="Calibri" w:hAnsi="Calibri" w:cs="Times New Roman"/>
                <w:szCs w:val="18"/>
              </w:rPr>
            </w:pPr>
            <m:oMathPara>
              <m:oMath>
                <m:r>
                  <m:rPr>
                    <m:sty m:val="p"/>
                  </m:rPr>
                  <w:rPr>
                    <w:rFonts w:ascii="Cambria Math" w:hAnsi="Cambria Math" w:cs="Times New Roman"/>
                    <w:szCs w:val="18"/>
                  </w:rPr>
                  <m:t>3</m:t>
                </m:r>
                <m:sSub>
                  <m:sSubPr>
                    <m:ctrlPr>
                      <w:rPr>
                        <w:rFonts w:ascii="Cambria Math" w:hAnsi="Cambria Math" w:cs="Times New Roman"/>
                        <w:szCs w:val="18"/>
                      </w:rPr>
                    </m:ctrlPr>
                  </m:sSubPr>
                  <m:e>
                    <m:r>
                      <m:rPr>
                        <m:sty m:val="p"/>
                      </m:rPr>
                      <w:rPr>
                        <w:rFonts w:ascii="Cambria Math" w:hAnsi="Cambria Math" w:cs="Times New Roman"/>
                        <w:szCs w:val="18"/>
                      </w:rPr>
                      <m:t>&lt;</m:t>
                    </m:r>
                    <m:r>
                      <m:rPr/>
                      <w:rPr>
                        <w:rFonts w:hint="eastAsia" w:ascii="Cambria Math" w:hAnsi="Cambria Math" w:cs="Times New Roman"/>
                        <w:szCs w:val="18"/>
                      </w:rPr>
                      <m:t>R</m:t>
                    </m:r>
                    <m:ctrlPr>
                      <w:rPr>
                        <w:rFonts w:ascii="Cambria Math" w:hAnsi="Cambria Math" w:cs="Times New Roman"/>
                        <w:szCs w:val="18"/>
                      </w:rPr>
                    </m:ctrlPr>
                  </m:e>
                  <m:sub>
                    <m:r>
                      <m:rPr/>
                      <w:rPr>
                        <w:rFonts w:hint="eastAsia" w:ascii="Cambria Math" w:hAnsi="Cambria Math" w:cs="Times New Roman"/>
                        <w:szCs w:val="18"/>
                      </w:rPr>
                      <m:t>dm</m:t>
                    </m:r>
                    <m:ctrlPr>
                      <w:rPr>
                        <w:rFonts w:ascii="Cambria Math" w:hAnsi="Cambria Math" w:cs="Times New Roman"/>
                        <w:szCs w:val="18"/>
                      </w:rPr>
                    </m:ctrlPr>
                  </m:sub>
                </m:sSub>
              </m:oMath>
            </m:oMathPara>
          </w:p>
        </w:tc>
        <w:tc>
          <w:tcPr>
            <w:tcW w:w="1160" w:type="dxa"/>
            <w:vAlign w:val="center"/>
          </w:tcPr>
          <w:p>
            <w:pPr>
              <w:pStyle w:val="84"/>
              <w:rPr>
                <w:rFonts w:ascii="Calibri" w:hAnsi="Calibri" w:cs="Times New Roman"/>
                <w:szCs w:val="18"/>
              </w:rPr>
            </w:pPr>
            <w:r>
              <w:rPr>
                <w:rFonts w:hint="eastAsia" w:ascii="Calibri" w:hAnsi="Calibri" w:cs="Times New Roman"/>
                <w:szCs w:val="18"/>
              </w:rPr>
              <w:t>0</w:t>
            </w:r>
            <w:r>
              <w:rPr>
                <w:rFonts w:ascii="Calibri" w:hAnsi="Calibri" w:cs="Times New Roman"/>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restart"/>
            <w:vAlign w:val="center"/>
          </w:tcPr>
          <w:p>
            <w:pPr>
              <w:pStyle w:val="74"/>
              <w:spacing w:before="0" w:beforeAutospacing="0" w:after="0" w:afterAutospacing="0"/>
              <w:jc w:val="center"/>
              <w:rPr>
                <w:sz w:val="18"/>
                <w:szCs w:val="18"/>
              </w:rPr>
            </w:pPr>
            <w:r>
              <w:rPr>
                <w:rFonts w:hint="eastAsia"/>
                <w:sz w:val="18"/>
                <w:szCs w:val="18"/>
              </w:rPr>
              <w:t>地下工程</w:t>
            </w:r>
            <m:oMath>
              <m:sSub>
                <m:sSubPr>
                  <m:ctrlPr>
                    <w:rPr>
                      <w:rFonts w:ascii="Cambria Math" w:hAnsi="Cambria Math"/>
                      <w:sz w:val="18"/>
                      <w:szCs w:val="18"/>
                    </w:rPr>
                  </m:ctrlPr>
                </m:sSubPr>
                <m:e>
                  <m:r>
                    <m:rPr/>
                    <w:rPr>
                      <w:rFonts w:hint="eastAsia" w:ascii="Cambria Math" w:hAnsi="Cambria Math"/>
                      <w:sz w:val="18"/>
                      <w:szCs w:val="18"/>
                    </w:rPr>
                    <m:t>P</m:t>
                  </m:r>
                  <m:ctrlPr>
                    <w:rPr>
                      <w:rFonts w:ascii="Cambria Math" w:hAnsi="Cambria Math"/>
                      <w:sz w:val="18"/>
                      <w:szCs w:val="18"/>
                    </w:rPr>
                  </m:ctrlPr>
                </m:e>
                <m:sub>
                  <m:r>
                    <m:rPr/>
                    <w:rPr>
                      <w:rFonts w:ascii="Cambria Math" w:hAnsi="Cambria Math"/>
                      <w:sz w:val="18"/>
                      <w:szCs w:val="18"/>
                    </w:rPr>
                    <m:t>CE</m:t>
                  </m:r>
                  <m:r>
                    <m:rPr>
                      <m:sty m:val="p"/>
                    </m:rPr>
                    <w:rPr>
                      <w:rFonts w:ascii="Cambria Math" w:hAnsi="Cambria Math"/>
                      <w:sz w:val="18"/>
                      <w:szCs w:val="18"/>
                    </w:rPr>
                    <m:t>3</m:t>
                  </m:r>
                  <m:ctrlPr>
                    <w:rPr>
                      <w:rFonts w:ascii="Cambria Math" w:hAnsi="Cambria Math"/>
                      <w:sz w:val="18"/>
                      <w:szCs w:val="18"/>
                    </w:rPr>
                  </m:ctrlPr>
                </m:sub>
              </m:sSub>
            </m:oMath>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w:rPr>
                        <w:rFonts w:hint="eastAsia" w:ascii="Cambria Math" w:hAnsi="Cambria Math" w:cs="Times New Roman"/>
                        <w:szCs w:val="18"/>
                      </w:rPr>
                      <m:t>R</m:t>
                    </m:r>
                    <m:ctrlPr>
                      <w:rPr>
                        <w:rFonts w:ascii="Cambria Math" w:hAnsi="Cambria Math" w:cs="Times New Roman"/>
                        <w:szCs w:val="18"/>
                      </w:rPr>
                    </m:ctrlPr>
                  </m:e>
                  <m:sub>
                    <m:r>
                      <m:rPr/>
                      <w:rPr>
                        <w:rFonts w:ascii="Cambria Math" w:hAnsi="Cambria Math" w:cs="Times New Roman"/>
                        <w:szCs w:val="18"/>
                      </w:rPr>
                      <m:t>gzw</m:t>
                    </m:r>
                    <m:ctrlPr>
                      <w:rPr>
                        <w:rFonts w:ascii="Cambria Math" w:hAnsi="Cambria Math" w:cs="Times New Roman"/>
                        <w:szCs w:val="18"/>
                      </w:rPr>
                    </m:ctrlPr>
                  </m:sub>
                </m:sSub>
                <m:r>
                  <m:rPr>
                    <m:sty m:val="p"/>
                  </m:rPr>
                  <w:rPr>
                    <w:rFonts w:ascii="Cambria Math" w:hAnsi="Cambria Math" w:cs="Times New Roman"/>
                    <w:szCs w:val="18"/>
                  </w:rPr>
                  <m:t>≤1</m:t>
                </m:r>
              </m:oMath>
            </m:oMathPara>
          </w:p>
        </w:tc>
        <w:tc>
          <w:tcPr>
            <w:tcW w:w="1160" w:type="dxa"/>
            <w:vAlign w:val="center"/>
          </w:tcPr>
          <w:p>
            <w:pPr>
              <w:pStyle w:val="84"/>
              <w:rPr>
                <w:rFonts w:ascii="Calibri" w:hAnsi="Calibri" w:cs="Times New Roman"/>
                <w:szCs w:val="18"/>
              </w:rPr>
            </w:pPr>
            <w:r>
              <w:rPr>
                <w:rFonts w:ascii="Calibri" w:hAnsi="Calibri" w:cs="Times New Roman"/>
                <w:szCs w:val="18"/>
              </w:rPr>
              <w:t>90~</w:t>
            </w:r>
            <w:r>
              <w:rPr>
                <w:rFonts w:hint="eastAsia" w:ascii="Calibri" w:hAnsi="Calibri" w:cs="Times New Roman"/>
                <w:szCs w:val="18"/>
              </w:rPr>
              <w:t>1</w:t>
            </w:r>
            <w:r>
              <w:rPr>
                <w:rFonts w:ascii="Calibri" w:hAnsi="Calibri" w:cs="Times New Roman"/>
                <w:szCs w:val="18"/>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continue"/>
            <w:vAlign w:val="center"/>
          </w:tcPr>
          <w:p>
            <w:pPr>
              <w:pStyle w:val="74"/>
              <w:spacing w:before="0" w:beforeAutospacing="0" w:after="0" w:afterAutospacing="0"/>
              <w:jc w:val="center"/>
              <w:rPr>
                <w:sz w:val="18"/>
                <w:szCs w:val="18"/>
              </w:rPr>
            </w:pPr>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m:sty m:val="p"/>
                      </m:rPr>
                      <w:rPr>
                        <w:rFonts w:ascii="Cambria Math" w:hAnsi="Cambria Math" w:cs="Times New Roman"/>
                        <w:szCs w:val="18"/>
                      </w:rPr>
                      <m:t>1&lt;</m:t>
                    </m:r>
                    <m:r>
                      <m:rPr/>
                      <w:rPr>
                        <w:rFonts w:hint="eastAsia" w:ascii="Cambria Math" w:hAnsi="Cambria Math" w:cs="Times New Roman"/>
                        <w:szCs w:val="18"/>
                      </w:rPr>
                      <m:t>R</m:t>
                    </m:r>
                    <m:ctrlPr>
                      <w:rPr>
                        <w:rFonts w:ascii="Cambria Math" w:hAnsi="Cambria Math" w:cs="Times New Roman"/>
                        <w:szCs w:val="18"/>
                      </w:rPr>
                    </m:ctrlPr>
                  </m:e>
                  <m:sub>
                    <m:r>
                      <m:rPr/>
                      <w:rPr>
                        <w:rFonts w:ascii="Cambria Math" w:hAnsi="Cambria Math" w:cs="Times New Roman"/>
                        <w:szCs w:val="18"/>
                      </w:rPr>
                      <m:t>gzw</m:t>
                    </m:r>
                    <m:ctrlPr>
                      <w:rPr>
                        <w:rFonts w:ascii="Cambria Math" w:hAnsi="Cambria Math" w:cs="Times New Roman"/>
                        <w:szCs w:val="18"/>
                      </w:rPr>
                    </m:ctrlPr>
                  </m:sub>
                </m:sSub>
                <m:r>
                  <m:rPr>
                    <m:sty m:val="p"/>
                  </m:rPr>
                  <w:rPr>
                    <w:rFonts w:ascii="Cambria Math" w:hAnsi="Cambria Math" w:cs="Times New Roman"/>
                    <w:szCs w:val="18"/>
                  </w:rPr>
                  <m:t>≤2</m:t>
                </m:r>
              </m:oMath>
            </m:oMathPara>
          </w:p>
        </w:tc>
        <w:tc>
          <w:tcPr>
            <w:tcW w:w="1160" w:type="dxa"/>
            <w:vAlign w:val="center"/>
          </w:tcPr>
          <w:p>
            <w:pPr>
              <w:pStyle w:val="84"/>
              <w:rPr>
                <w:rFonts w:ascii="Calibri" w:hAnsi="Calibri" w:cs="Times New Roman"/>
                <w:szCs w:val="18"/>
              </w:rPr>
            </w:pPr>
            <w:r>
              <w:rPr>
                <w:rFonts w:ascii="Calibri" w:hAnsi="Calibri" w:cs="Times New Roman"/>
                <w:szCs w:val="18"/>
              </w:rPr>
              <w:t>70~90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continue"/>
            <w:vAlign w:val="center"/>
          </w:tcPr>
          <w:p>
            <w:pPr>
              <w:pStyle w:val="74"/>
              <w:spacing w:before="0" w:beforeAutospacing="0" w:after="0" w:afterAutospacing="0"/>
              <w:jc w:val="center"/>
              <w:rPr>
                <w:sz w:val="18"/>
                <w:szCs w:val="18"/>
              </w:rPr>
            </w:pPr>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m:sty m:val="p"/>
                      </m:rPr>
                      <w:rPr>
                        <w:rFonts w:ascii="Cambria Math" w:hAnsi="Cambria Math" w:cs="Times New Roman"/>
                        <w:szCs w:val="18"/>
                      </w:rPr>
                      <m:t>2&lt;</m:t>
                    </m:r>
                    <m:r>
                      <m:rPr/>
                      <w:rPr>
                        <w:rFonts w:hint="eastAsia" w:ascii="Cambria Math" w:hAnsi="Cambria Math" w:cs="Times New Roman"/>
                        <w:szCs w:val="18"/>
                      </w:rPr>
                      <m:t>R</m:t>
                    </m:r>
                    <m:ctrlPr>
                      <w:rPr>
                        <w:rFonts w:ascii="Cambria Math" w:hAnsi="Cambria Math" w:cs="Times New Roman"/>
                        <w:szCs w:val="18"/>
                      </w:rPr>
                    </m:ctrlPr>
                  </m:e>
                  <m:sub>
                    <m:r>
                      <m:rPr/>
                      <w:rPr>
                        <w:rFonts w:ascii="Cambria Math" w:hAnsi="Cambria Math" w:cs="Times New Roman"/>
                        <w:szCs w:val="18"/>
                      </w:rPr>
                      <m:t>gzw</m:t>
                    </m:r>
                    <m:ctrlPr>
                      <w:rPr>
                        <w:rFonts w:ascii="Cambria Math" w:hAnsi="Cambria Math" w:cs="Times New Roman"/>
                        <w:szCs w:val="18"/>
                      </w:rPr>
                    </m:ctrlPr>
                  </m:sub>
                </m:sSub>
                <m:r>
                  <m:rPr>
                    <m:sty m:val="p"/>
                  </m:rPr>
                  <w:rPr>
                    <w:rFonts w:ascii="Cambria Math" w:hAnsi="Cambria Math" w:cs="Times New Roman"/>
                    <w:szCs w:val="18"/>
                  </w:rPr>
                  <m:t>≤3</m:t>
                </m:r>
              </m:oMath>
            </m:oMathPara>
          </w:p>
        </w:tc>
        <w:tc>
          <w:tcPr>
            <w:tcW w:w="1160" w:type="dxa"/>
            <w:vAlign w:val="center"/>
          </w:tcPr>
          <w:p>
            <w:pPr>
              <w:pStyle w:val="84"/>
              <w:rPr>
                <w:rFonts w:ascii="Calibri" w:hAnsi="Calibri" w:cs="Times New Roman"/>
                <w:szCs w:val="18"/>
              </w:rPr>
            </w:pPr>
            <w:r>
              <w:rPr>
                <w:rFonts w:ascii="Calibri" w:hAnsi="Calibri" w:cs="Times New Roman"/>
                <w:szCs w:val="18"/>
              </w:rPr>
              <w:t>40~70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sz w:val="18"/>
                <w:szCs w:val="18"/>
              </w:rPr>
            </w:pPr>
          </w:p>
        </w:tc>
        <w:tc>
          <w:tcPr>
            <w:tcW w:w="1134" w:type="dxa"/>
            <w:vMerge w:val="continue"/>
            <w:vAlign w:val="center"/>
          </w:tcPr>
          <w:p>
            <w:pPr>
              <w:pStyle w:val="74"/>
              <w:spacing w:before="0" w:beforeAutospacing="0" w:after="0" w:afterAutospacing="0"/>
              <w:jc w:val="center"/>
              <w:rPr>
                <w:sz w:val="18"/>
                <w:szCs w:val="18"/>
              </w:rPr>
            </w:pPr>
          </w:p>
        </w:tc>
        <w:tc>
          <w:tcPr>
            <w:tcW w:w="4395" w:type="dxa"/>
            <w:vAlign w:val="center"/>
          </w:tcPr>
          <w:p>
            <w:pPr>
              <w:pStyle w:val="84"/>
              <w:rPr>
                <w:rFonts w:ascii="Calibri" w:hAnsi="Calibri" w:cs="Times New Roman"/>
                <w:szCs w:val="18"/>
              </w:rPr>
            </w:pPr>
            <m:oMathPara>
              <m:oMath>
                <m:sSub>
                  <m:sSubPr>
                    <m:ctrlPr>
                      <w:rPr>
                        <w:rFonts w:ascii="Cambria Math" w:hAnsi="Cambria Math" w:cs="Times New Roman"/>
                        <w:szCs w:val="18"/>
                      </w:rPr>
                    </m:ctrlPr>
                  </m:sSubPr>
                  <m:e>
                    <m:r>
                      <m:rPr>
                        <m:sty m:val="p"/>
                      </m:rPr>
                      <w:rPr>
                        <w:rFonts w:ascii="Cambria Math" w:hAnsi="Cambria Math" w:cs="Times New Roman"/>
                        <w:szCs w:val="18"/>
                      </w:rPr>
                      <m:t>3&lt;</m:t>
                    </m:r>
                    <m:r>
                      <m:rPr/>
                      <w:rPr>
                        <w:rFonts w:hint="eastAsia" w:ascii="Cambria Math" w:hAnsi="Cambria Math" w:cs="Times New Roman"/>
                        <w:szCs w:val="18"/>
                      </w:rPr>
                      <m:t>R</m:t>
                    </m:r>
                    <m:ctrlPr>
                      <w:rPr>
                        <w:rFonts w:ascii="Cambria Math" w:hAnsi="Cambria Math" w:cs="Times New Roman"/>
                        <w:szCs w:val="18"/>
                      </w:rPr>
                    </m:ctrlPr>
                  </m:e>
                  <m:sub>
                    <m:r>
                      <m:rPr/>
                      <w:rPr>
                        <w:rFonts w:ascii="Cambria Math" w:hAnsi="Cambria Math" w:cs="Times New Roman"/>
                        <w:szCs w:val="18"/>
                      </w:rPr>
                      <m:t>gzw</m:t>
                    </m:r>
                    <m:ctrlPr>
                      <w:rPr>
                        <w:rFonts w:ascii="Cambria Math" w:hAnsi="Cambria Math" w:cs="Times New Roman"/>
                        <w:szCs w:val="18"/>
                      </w:rPr>
                    </m:ctrlPr>
                  </m:sub>
                </m:sSub>
              </m:oMath>
            </m:oMathPara>
          </w:p>
        </w:tc>
        <w:tc>
          <w:tcPr>
            <w:tcW w:w="1160" w:type="dxa"/>
            <w:vAlign w:val="center"/>
          </w:tcPr>
          <w:p>
            <w:pPr>
              <w:pStyle w:val="84"/>
              <w:rPr>
                <w:rFonts w:ascii="Calibri" w:hAnsi="Calibri" w:cs="Times New Roman"/>
                <w:szCs w:val="18"/>
              </w:rPr>
            </w:pPr>
            <w:r>
              <w:rPr>
                <w:rFonts w:ascii="Calibri" w:hAnsi="Calibri" w:cs="Times New Roman"/>
                <w:szCs w:val="18"/>
              </w:rPr>
              <w:t>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bCs/>
                <w:sz w:val="18"/>
                <w:szCs w:val="18"/>
              </w:rPr>
              <w:t>风险评估单元自身因素</w:t>
            </w:r>
            <m:oMath>
              <m:sSub>
                <m:sSubPr>
                  <m:ctrlPr>
                    <w:rPr>
                      <w:rFonts w:ascii="Cambria Math" w:hAnsi="Cambria Math"/>
                      <w:i/>
                      <w:sz w:val="18"/>
                      <w:szCs w:val="18"/>
                    </w:rPr>
                  </m:ctrlPr>
                </m:sSubPr>
                <m:e>
                  <m:r>
                    <m:rPr/>
                    <w:rPr>
                      <w:rFonts w:hint="eastAsia" w:ascii="Cambria Math" w:hAnsi="Cambria Math"/>
                      <w:sz w:val="18"/>
                      <w:szCs w:val="18"/>
                    </w:rPr>
                    <m:t>P</m:t>
                  </m:r>
                  <m:ctrlPr>
                    <w:rPr>
                      <w:rFonts w:ascii="Cambria Math" w:hAnsi="Cambria Math"/>
                      <w:i/>
                      <w:sz w:val="18"/>
                      <w:szCs w:val="18"/>
                    </w:rPr>
                  </m:ctrlPr>
                </m:e>
                <m:sub>
                  <m:r>
                    <m:rPr/>
                    <w:rPr>
                      <w:rFonts w:ascii="Cambria Math" w:hAnsi="Cambria Math"/>
                      <w:sz w:val="18"/>
                      <w:szCs w:val="18"/>
                    </w:rPr>
                    <m:t>DE</m:t>
                  </m:r>
                  <m:ctrlPr>
                    <w:rPr>
                      <w:rFonts w:ascii="Cambria Math" w:hAnsi="Cambria Math"/>
                      <w:i/>
                      <w:sz w:val="18"/>
                      <w:szCs w:val="18"/>
                    </w:rPr>
                  </m:ctrlPr>
                </m:sub>
              </m:sSub>
            </m:oMath>
          </w:p>
        </w:tc>
        <w:tc>
          <w:tcPr>
            <w:tcW w:w="1134"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bCs/>
                <w:sz w:val="18"/>
                <w:szCs w:val="18"/>
              </w:rPr>
              <w:t>道路现状</w:t>
            </w:r>
            <m:oMath>
              <m:sSub>
                <m:sSubPr>
                  <m:ctrlPr>
                    <w:rPr>
                      <w:rFonts w:ascii="Cambria Math" w:hAnsi="Cambria Math"/>
                      <w:i/>
                      <w:sz w:val="18"/>
                      <w:szCs w:val="18"/>
                    </w:rPr>
                  </m:ctrlPr>
                </m:sSubPr>
                <m:e>
                  <m:r>
                    <m:rPr/>
                    <w:rPr>
                      <w:rFonts w:hint="eastAsia" w:ascii="Cambria Math" w:hAnsi="Cambria Math"/>
                      <w:sz w:val="18"/>
                      <w:szCs w:val="18"/>
                    </w:rPr>
                    <m:t>P</m:t>
                  </m:r>
                  <m:ctrlPr>
                    <w:rPr>
                      <w:rFonts w:ascii="Cambria Math" w:hAnsi="Cambria Math"/>
                      <w:i/>
                      <w:sz w:val="18"/>
                      <w:szCs w:val="18"/>
                    </w:rPr>
                  </m:ctrlPr>
                </m:e>
                <m:sub>
                  <m:r>
                    <m:rPr/>
                    <w:rPr>
                      <w:rFonts w:ascii="Cambria Math" w:hAnsi="Cambria Math"/>
                      <w:sz w:val="18"/>
                      <w:szCs w:val="18"/>
                    </w:rPr>
                    <m:t>DE1</m:t>
                  </m:r>
                  <m:ctrlPr>
                    <w:rPr>
                      <w:rFonts w:ascii="Cambria Math" w:hAnsi="Cambria Math"/>
                      <w:i/>
                      <w:sz w:val="18"/>
                      <w:szCs w:val="18"/>
                    </w:rPr>
                  </m:ctrlPr>
                </m:sub>
              </m:sSub>
            </m:oMath>
          </w:p>
        </w:tc>
        <w:tc>
          <w:tcPr>
            <w:tcW w:w="4395" w:type="dxa"/>
            <w:vAlign w:val="center"/>
          </w:tcPr>
          <w:p>
            <w:pPr>
              <w:pStyle w:val="84"/>
              <w:rPr>
                <w:rFonts w:ascii="Calibri" w:hAnsi="Calibri" w:cs="Times New Roman"/>
                <w:szCs w:val="18"/>
              </w:rPr>
            </w:pPr>
            <w:r>
              <w:rPr>
                <w:rFonts w:hint="eastAsia" w:ascii="Calibri" w:hAnsi="Calibri" w:cs="Times New Roman"/>
                <w:szCs w:val="18"/>
              </w:rPr>
              <w:t>道路存在明显变形、沉陷等</w:t>
            </w:r>
          </w:p>
        </w:tc>
        <w:tc>
          <w:tcPr>
            <w:tcW w:w="1160" w:type="dxa"/>
            <w:vAlign w:val="center"/>
          </w:tcPr>
          <w:p>
            <w:pPr>
              <w:pStyle w:val="84"/>
              <w:rPr>
                <w:rFonts w:ascii="Calibri" w:hAnsi="Calibri" w:cs="Times New Roman"/>
                <w:szCs w:val="18"/>
              </w:rPr>
            </w:pPr>
            <w:r>
              <w:rPr>
                <w:rFonts w:ascii="Calibri" w:hAnsi="Calibri" w:cs="Times New Roman"/>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道路存在明显裂缝、坑槽等</w:t>
            </w:r>
          </w:p>
        </w:tc>
        <w:tc>
          <w:tcPr>
            <w:tcW w:w="1160" w:type="dxa"/>
            <w:vAlign w:val="center"/>
          </w:tcPr>
          <w:p>
            <w:pPr>
              <w:pStyle w:val="84"/>
              <w:rPr>
                <w:rFonts w:ascii="Calibri" w:hAnsi="Calibri" w:cs="Times New Roman"/>
                <w:szCs w:val="18"/>
              </w:rPr>
            </w:pPr>
            <w:r>
              <w:rPr>
                <w:rFonts w:ascii="Calibri" w:hAnsi="Calibri" w:cs="Times New Roman"/>
                <w:szCs w:val="18"/>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路面龟裂、轻微变形</w:t>
            </w:r>
          </w:p>
        </w:tc>
        <w:tc>
          <w:tcPr>
            <w:tcW w:w="1160" w:type="dxa"/>
            <w:vAlign w:val="center"/>
          </w:tcPr>
          <w:p>
            <w:pPr>
              <w:pStyle w:val="84"/>
              <w:rPr>
                <w:rFonts w:ascii="Calibri" w:hAnsi="Calibri" w:cs="Times New Roman"/>
                <w:szCs w:val="18"/>
              </w:rPr>
            </w:pPr>
            <w:r>
              <w:rPr>
                <w:rFonts w:ascii="Calibri" w:hAnsi="Calibri" w:cs="Times New Roman"/>
                <w:szCs w:val="18"/>
              </w:rPr>
              <w:t>70~80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路面完好</w:t>
            </w:r>
          </w:p>
        </w:tc>
        <w:tc>
          <w:tcPr>
            <w:tcW w:w="1160" w:type="dxa"/>
            <w:vAlign w:val="center"/>
          </w:tcPr>
          <w:p>
            <w:pPr>
              <w:pStyle w:val="84"/>
              <w:rPr>
                <w:rFonts w:ascii="Calibri" w:hAnsi="Calibri" w:cs="Times New Roman"/>
                <w:szCs w:val="18"/>
              </w:rPr>
            </w:pPr>
            <w:r>
              <w:rPr>
                <w:rFonts w:ascii="Calibri" w:hAnsi="Calibri" w:cs="Times New Roman"/>
                <w:szCs w:val="18"/>
              </w:rPr>
              <w:t>60~70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bCs/>
                <w:sz w:val="18"/>
                <w:szCs w:val="18"/>
              </w:rPr>
              <w:t>评估单元环境风险</w:t>
            </w:r>
            <m:oMath>
              <m:sSub>
                <m:sSubPr>
                  <m:ctrlPr>
                    <w:rPr>
                      <w:rFonts w:ascii="Cambria Math" w:hAnsi="Cambria Math"/>
                      <w:i/>
                      <w:sz w:val="18"/>
                      <w:szCs w:val="18"/>
                    </w:rPr>
                  </m:ctrlPr>
                </m:sSubPr>
                <m:e>
                  <m:r>
                    <m:rPr/>
                    <w:rPr>
                      <w:rFonts w:hint="eastAsia" w:ascii="Cambria Math" w:hAnsi="Cambria Math"/>
                      <w:sz w:val="18"/>
                      <w:szCs w:val="18"/>
                    </w:rPr>
                    <m:t>P</m:t>
                  </m:r>
                  <m:ctrlPr>
                    <w:rPr>
                      <w:rFonts w:ascii="Cambria Math" w:hAnsi="Cambria Math"/>
                      <w:i/>
                      <w:sz w:val="18"/>
                      <w:szCs w:val="18"/>
                    </w:rPr>
                  </m:ctrlPr>
                </m:e>
                <m:sub>
                  <m:r>
                    <m:rPr/>
                    <w:rPr>
                      <w:rFonts w:ascii="Cambria Math" w:hAnsi="Cambria Math"/>
                      <w:sz w:val="18"/>
                      <w:szCs w:val="18"/>
                    </w:rPr>
                    <m:t>DE2</m:t>
                  </m:r>
                  <m:ctrlPr>
                    <w:rPr>
                      <w:rFonts w:ascii="Cambria Math" w:hAnsi="Cambria Math"/>
                      <w:i/>
                      <w:sz w:val="18"/>
                      <w:szCs w:val="18"/>
                    </w:rPr>
                  </m:ctrlPr>
                </m:sub>
              </m:sSub>
            </m:oMath>
          </w:p>
        </w:tc>
        <w:tc>
          <w:tcPr>
            <w:tcW w:w="4395" w:type="dxa"/>
            <w:vAlign w:val="center"/>
          </w:tcPr>
          <w:p>
            <w:pPr>
              <w:pStyle w:val="84"/>
              <w:rPr>
                <w:rFonts w:ascii="Calibri" w:hAnsi="Calibri" w:cs="Times New Roman"/>
                <w:szCs w:val="18"/>
              </w:rPr>
            </w:pPr>
            <w:r>
              <w:rPr>
                <w:rFonts w:hint="eastAsia" w:ascii="Calibri" w:hAnsi="Calibri" w:cs="Times New Roman"/>
                <w:szCs w:val="18"/>
              </w:rPr>
              <w:t>风险评估单元内深基坑发生严重形变或大量水土流失</w:t>
            </w:r>
          </w:p>
        </w:tc>
        <w:tc>
          <w:tcPr>
            <w:tcW w:w="1160" w:type="dxa"/>
            <w:vAlign w:val="center"/>
          </w:tcPr>
          <w:p>
            <w:pPr>
              <w:pStyle w:val="84"/>
              <w:rPr>
                <w:rFonts w:ascii="Calibri" w:hAnsi="Calibri" w:cs="Times New Roman"/>
                <w:szCs w:val="18"/>
              </w:rPr>
            </w:pPr>
            <w:r>
              <w:rPr>
                <w:rFonts w:ascii="Calibri" w:hAnsi="Calibri" w:cs="Times New Roman"/>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风险评估单元边界外3</w:t>
            </w:r>
            <w:r>
              <w:rPr>
                <w:rFonts w:ascii="Calibri" w:hAnsi="Calibri" w:cs="Times New Roman"/>
                <w:szCs w:val="18"/>
              </w:rPr>
              <w:t>0</w:t>
            </w:r>
            <w:r>
              <w:rPr>
                <w:rFonts w:hint="eastAsia" w:ascii="Calibri" w:hAnsi="Calibri" w:cs="Times New Roman"/>
                <w:szCs w:val="18"/>
              </w:rPr>
              <w:t>m内深基坑发生严重形变或大量水土流失</w:t>
            </w:r>
          </w:p>
        </w:tc>
        <w:tc>
          <w:tcPr>
            <w:tcW w:w="1160" w:type="dxa"/>
            <w:vAlign w:val="center"/>
          </w:tcPr>
          <w:p>
            <w:pPr>
              <w:pStyle w:val="84"/>
              <w:rPr>
                <w:rFonts w:ascii="Calibri" w:hAnsi="Calibri" w:cs="Times New Roman"/>
                <w:szCs w:val="18"/>
              </w:rPr>
            </w:pPr>
            <w:r>
              <w:rPr>
                <w:rFonts w:hint="eastAsia" w:ascii="Calibri" w:hAnsi="Calibri" w:cs="Times New Roman"/>
                <w:szCs w:val="18"/>
              </w:rPr>
              <w:t>6</w:t>
            </w:r>
            <w:r>
              <w:rPr>
                <w:rFonts w:ascii="Calibri" w:hAnsi="Calibri" w:cs="Times New Roman"/>
                <w:szCs w:val="18"/>
              </w:rPr>
              <w:t>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风险评估单元内存在基坑</w:t>
            </w:r>
          </w:p>
        </w:tc>
        <w:tc>
          <w:tcPr>
            <w:tcW w:w="1160" w:type="dxa"/>
            <w:vAlign w:val="center"/>
          </w:tcPr>
          <w:p>
            <w:pPr>
              <w:pStyle w:val="84"/>
              <w:rPr>
                <w:rFonts w:ascii="Calibri" w:hAnsi="Calibri" w:cs="Times New Roman"/>
                <w:szCs w:val="18"/>
              </w:rPr>
            </w:pPr>
            <w:r>
              <w:rPr>
                <w:rFonts w:hint="eastAsia" w:ascii="Calibri" w:hAnsi="Calibri" w:cs="Times New Roman"/>
                <w:szCs w:val="18"/>
              </w:rPr>
              <w:t>4</w:t>
            </w:r>
            <w:r>
              <w:rPr>
                <w:rFonts w:ascii="Calibri" w:hAnsi="Calibri" w:cs="Times New Roman"/>
                <w:szCs w:val="18"/>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风险评估单元边界外3</w:t>
            </w:r>
            <w:r>
              <w:rPr>
                <w:rFonts w:ascii="Calibri" w:hAnsi="Calibri" w:cs="Times New Roman"/>
                <w:szCs w:val="18"/>
              </w:rPr>
              <w:t>0</w:t>
            </w:r>
            <w:r>
              <w:rPr>
                <w:rFonts w:hint="eastAsia" w:ascii="Calibri" w:hAnsi="Calibri" w:cs="Times New Roman"/>
                <w:szCs w:val="18"/>
              </w:rPr>
              <w:t>m内存在基坑</w:t>
            </w:r>
          </w:p>
        </w:tc>
        <w:tc>
          <w:tcPr>
            <w:tcW w:w="1160" w:type="dxa"/>
            <w:vAlign w:val="center"/>
          </w:tcPr>
          <w:p>
            <w:pPr>
              <w:pStyle w:val="84"/>
              <w:rPr>
                <w:rFonts w:ascii="Calibri" w:hAnsi="Calibri" w:cs="Times New Roman"/>
                <w:szCs w:val="18"/>
              </w:rPr>
            </w:pPr>
            <w:r>
              <w:rPr>
                <w:rFonts w:hint="eastAsia" w:ascii="Calibri" w:hAnsi="Calibri" w:cs="Times New Roman"/>
                <w:szCs w:val="18"/>
              </w:rPr>
              <w:t>0~</w:t>
            </w:r>
            <w:r>
              <w:rPr>
                <w:rFonts w:ascii="Calibri" w:hAnsi="Calibri" w:cs="Times New Roman"/>
                <w:szCs w:val="18"/>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bCs/>
                <w:sz w:val="18"/>
                <w:szCs w:val="18"/>
              </w:rPr>
              <w:t>路基平均沉降速率</w:t>
            </w:r>
            <m:oMath>
              <m:sSub>
                <m:sSubPr>
                  <m:ctrlPr>
                    <w:rPr>
                      <w:rFonts w:ascii="Cambria Math" w:hAnsi="Cambria Math"/>
                      <w:i/>
                      <w:sz w:val="18"/>
                      <w:szCs w:val="18"/>
                    </w:rPr>
                  </m:ctrlPr>
                </m:sSubPr>
                <m:e>
                  <m:r>
                    <m:rPr/>
                    <w:rPr>
                      <w:rFonts w:hint="eastAsia" w:ascii="Cambria Math" w:hAnsi="Cambria Math"/>
                      <w:sz w:val="18"/>
                      <w:szCs w:val="18"/>
                    </w:rPr>
                    <m:t>P</m:t>
                  </m:r>
                  <m:ctrlPr>
                    <w:rPr>
                      <w:rFonts w:ascii="Cambria Math" w:hAnsi="Cambria Math"/>
                      <w:i/>
                      <w:sz w:val="18"/>
                      <w:szCs w:val="18"/>
                    </w:rPr>
                  </m:ctrlPr>
                </m:e>
                <m:sub>
                  <m:r>
                    <m:rPr/>
                    <w:rPr>
                      <w:rFonts w:ascii="Cambria Math" w:hAnsi="Cambria Math"/>
                      <w:sz w:val="18"/>
                      <w:szCs w:val="18"/>
                    </w:rPr>
                    <m:t>DE3</m:t>
                  </m:r>
                  <m:ctrlPr>
                    <w:rPr>
                      <w:rFonts w:ascii="Cambria Math" w:hAnsi="Cambria Math"/>
                      <w:i/>
                      <w:sz w:val="18"/>
                      <w:szCs w:val="18"/>
                    </w:rPr>
                  </m:ctrlPr>
                </m:sub>
              </m:sSub>
            </m:oMath>
          </w:p>
        </w:tc>
        <w:tc>
          <w:tcPr>
            <w:tcW w:w="4395" w:type="dxa"/>
            <w:vAlign w:val="center"/>
          </w:tcPr>
          <w:p>
            <w:pPr>
              <w:pStyle w:val="84"/>
              <w:rPr>
                <w:rFonts w:ascii="Calibri" w:hAnsi="Calibri" w:cs="Times New Roman"/>
                <w:szCs w:val="18"/>
              </w:rPr>
            </w:pPr>
            <w:r>
              <w:rPr>
                <w:rFonts w:ascii="Calibri" w:hAnsi="Calibri" w:cs="Times New Roman"/>
                <w:szCs w:val="18"/>
              </w:rPr>
              <w:t>120mm/m</w:t>
            </w:r>
            <w:r>
              <w:rPr>
                <w:rFonts w:hint="eastAsia" w:ascii="Calibri" w:hAnsi="Calibri" w:cs="Times New Roman"/>
                <w:szCs w:val="18"/>
              </w:rPr>
              <w:t>≤</w:t>
            </w:r>
            <w:r>
              <w:rPr>
                <w:rFonts w:ascii="Calibri" w:hAnsi="Calibri" w:cs="Times New Roman"/>
                <w:szCs w:val="18"/>
              </w:rPr>
              <w:t>W</w:t>
            </w:r>
          </w:p>
        </w:tc>
        <w:tc>
          <w:tcPr>
            <w:tcW w:w="1160"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ascii="Calibri" w:hAnsi="Calibri" w:cs="Times New Roman"/>
                <w:szCs w:val="18"/>
              </w:rPr>
              <w:t>30mm/m</w:t>
            </w:r>
            <w:r>
              <w:rPr>
                <w:rFonts w:hint="eastAsia" w:ascii="Calibri" w:hAnsi="Calibri" w:cs="Times New Roman"/>
                <w:szCs w:val="18"/>
              </w:rPr>
              <w:t>≤</w:t>
            </w:r>
            <w:r>
              <w:rPr>
                <w:rFonts w:ascii="Calibri" w:hAnsi="Calibri" w:cs="Times New Roman"/>
                <w:szCs w:val="18"/>
              </w:rPr>
              <w:t>W</w:t>
            </w:r>
            <w:r>
              <w:rPr>
                <w:rFonts w:hint="eastAsia" w:ascii="Calibri" w:hAnsi="Calibri" w:cs="Times New Roman"/>
                <w:szCs w:val="18"/>
              </w:rPr>
              <w:t>＜</w:t>
            </w:r>
            <w:r>
              <w:rPr>
                <w:rFonts w:ascii="Calibri" w:hAnsi="Calibri" w:cs="Times New Roman"/>
                <w:szCs w:val="18"/>
              </w:rPr>
              <w:t>120mm/m</w:t>
            </w:r>
          </w:p>
        </w:tc>
        <w:tc>
          <w:tcPr>
            <w:tcW w:w="1160" w:type="dxa"/>
            <w:vAlign w:val="center"/>
          </w:tcPr>
          <w:p>
            <w:pPr>
              <w:pStyle w:val="84"/>
              <w:rPr>
                <w:rFonts w:ascii="Calibri" w:hAnsi="Calibri" w:cs="Times New Roman"/>
                <w:szCs w:val="18"/>
              </w:rPr>
            </w:pPr>
            <w:r>
              <w:rPr>
                <w:rFonts w:ascii="Calibri" w:hAnsi="Calibri" w:cs="Times New Roman"/>
                <w:szCs w:val="18"/>
              </w:rPr>
              <w:t>40~80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ascii="Calibri" w:hAnsi="Calibri" w:cs="Times New Roman"/>
                <w:szCs w:val="18"/>
              </w:rPr>
              <w:t>12mm/m</w:t>
            </w:r>
            <w:r>
              <w:rPr>
                <w:rFonts w:hint="eastAsia" w:ascii="Calibri" w:hAnsi="Calibri" w:cs="Times New Roman"/>
                <w:szCs w:val="18"/>
              </w:rPr>
              <w:t>≤</w:t>
            </w:r>
            <w:r>
              <w:rPr>
                <w:rFonts w:ascii="Calibri" w:hAnsi="Calibri" w:cs="Times New Roman"/>
                <w:szCs w:val="18"/>
              </w:rPr>
              <w:t>W</w:t>
            </w:r>
            <w:r>
              <w:rPr>
                <w:rFonts w:hint="eastAsia" w:ascii="Calibri" w:hAnsi="Calibri" w:cs="Times New Roman"/>
                <w:szCs w:val="18"/>
              </w:rPr>
              <w:t>＜</w:t>
            </w:r>
            <w:r>
              <w:rPr>
                <w:rFonts w:ascii="Calibri" w:hAnsi="Calibri" w:cs="Times New Roman"/>
                <w:szCs w:val="18"/>
              </w:rPr>
              <w:t>30mm/m</w:t>
            </w:r>
          </w:p>
        </w:tc>
        <w:tc>
          <w:tcPr>
            <w:tcW w:w="1160" w:type="dxa"/>
            <w:vAlign w:val="center"/>
          </w:tcPr>
          <w:p>
            <w:pPr>
              <w:pStyle w:val="84"/>
              <w:rPr>
                <w:rFonts w:ascii="Calibri" w:hAnsi="Calibri" w:cs="Times New Roman"/>
                <w:szCs w:val="18"/>
              </w:rPr>
            </w:pPr>
            <w:r>
              <w:rPr>
                <w:rFonts w:ascii="Calibri" w:hAnsi="Calibri" w:cs="Times New Roman"/>
                <w:szCs w:val="18"/>
              </w:rPr>
              <w:t>20~40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ascii="Calibri" w:hAnsi="Calibri" w:cs="Times New Roman"/>
                <w:szCs w:val="18"/>
              </w:rPr>
              <w:t>0.3mm/m</w:t>
            </w:r>
            <w:r>
              <w:rPr>
                <w:rFonts w:hint="eastAsia" w:ascii="Calibri" w:hAnsi="Calibri" w:cs="Times New Roman"/>
                <w:szCs w:val="18"/>
              </w:rPr>
              <w:t>≤</w:t>
            </w:r>
            <w:r>
              <w:rPr>
                <w:rFonts w:ascii="Calibri" w:hAnsi="Calibri" w:cs="Times New Roman"/>
                <w:szCs w:val="18"/>
              </w:rPr>
              <w:t>W</w:t>
            </w:r>
            <w:r>
              <w:rPr>
                <w:rFonts w:hint="eastAsia" w:ascii="Calibri" w:hAnsi="Calibri" w:cs="Times New Roman"/>
                <w:szCs w:val="18"/>
              </w:rPr>
              <w:t>＜</w:t>
            </w:r>
            <w:r>
              <w:rPr>
                <w:rFonts w:ascii="Calibri" w:hAnsi="Calibri" w:cs="Times New Roman"/>
                <w:szCs w:val="18"/>
              </w:rPr>
              <w:t>12mm/m</w:t>
            </w:r>
          </w:p>
        </w:tc>
        <w:tc>
          <w:tcPr>
            <w:tcW w:w="1160" w:type="dxa"/>
            <w:vAlign w:val="center"/>
          </w:tcPr>
          <w:p>
            <w:pPr>
              <w:pStyle w:val="84"/>
              <w:rPr>
                <w:rFonts w:ascii="Calibri" w:hAnsi="Calibri" w:cs="Times New Roman"/>
                <w:szCs w:val="18"/>
              </w:rPr>
            </w:pPr>
            <w:r>
              <w:rPr>
                <w:rFonts w:ascii="Calibri" w:hAnsi="Calibri" w:cs="Times New Roman"/>
                <w:szCs w:val="18"/>
              </w:rPr>
              <w:t>10~20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ascii="Calibri" w:hAnsi="Calibri" w:cs="Times New Roman"/>
                <w:szCs w:val="18"/>
              </w:rPr>
              <w:t>0mm/m</w:t>
            </w:r>
            <w:r>
              <w:rPr>
                <w:rFonts w:hint="eastAsia" w:ascii="Calibri" w:hAnsi="Calibri" w:cs="Times New Roman"/>
                <w:szCs w:val="18"/>
              </w:rPr>
              <w:t>≤</w:t>
            </w:r>
            <w:r>
              <w:rPr>
                <w:rFonts w:ascii="Calibri" w:hAnsi="Calibri" w:cs="Times New Roman"/>
                <w:szCs w:val="18"/>
              </w:rPr>
              <w:t>W</w:t>
            </w:r>
            <w:r>
              <w:rPr>
                <w:rFonts w:hint="eastAsia" w:ascii="Calibri" w:hAnsi="Calibri" w:cs="Times New Roman"/>
                <w:szCs w:val="18"/>
              </w:rPr>
              <w:t>＜</w:t>
            </w:r>
            <w:r>
              <w:rPr>
                <w:rFonts w:ascii="Calibri" w:hAnsi="Calibri" w:cs="Times New Roman"/>
                <w:szCs w:val="18"/>
              </w:rPr>
              <w:t>0.3mm/m</w:t>
            </w:r>
          </w:p>
        </w:tc>
        <w:tc>
          <w:tcPr>
            <w:tcW w:w="1160" w:type="dxa"/>
            <w:vAlign w:val="center"/>
          </w:tcPr>
          <w:p>
            <w:pPr>
              <w:pStyle w:val="84"/>
              <w:rPr>
                <w:rFonts w:ascii="Calibri" w:hAnsi="Calibri" w:cs="Times New Roman"/>
                <w:szCs w:val="18"/>
              </w:rPr>
            </w:pPr>
            <w:r>
              <w:rPr>
                <w:rFonts w:ascii="Calibri" w:hAnsi="Calibri" w:cs="Times New Roman"/>
                <w:szCs w:val="18"/>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bCs/>
                <w:sz w:val="18"/>
                <w:szCs w:val="18"/>
              </w:rPr>
              <w:t>道路平均载荷</w:t>
            </w:r>
            <m:oMath>
              <m:sSub>
                <m:sSubPr>
                  <m:ctrlPr>
                    <w:rPr>
                      <w:rFonts w:ascii="Cambria Math" w:hAnsi="Cambria Math"/>
                      <w:i/>
                      <w:sz w:val="18"/>
                      <w:szCs w:val="18"/>
                    </w:rPr>
                  </m:ctrlPr>
                </m:sSubPr>
                <m:e>
                  <m:r>
                    <m:rPr/>
                    <w:rPr>
                      <w:rFonts w:hint="eastAsia" w:ascii="Cambria Math" w:hAnsi="Cambria Math"/>
                      <w:sz w:val="18"/>
                      <w:szCs w:val="18"/>
                    </w:rPr>
                    <m:t>P</m:t>
                  </m:r>
                  <m:ctrlPr>
                    <w:rPr>
                      <w:rFonts w:ascii="Cambria Math" w:hAnsi="Cambria Math"/>
                      <w:i/>
                      <w:sz w:val="18"/>
                      <w:szCs w:val="18"/>
                    </w:rPr>
                  </m:ctrlPr>
                </m:e>
                <m:sub>
                  <m:r>
                    <m:rPr/>
                    <w:rPr>
                      <w:rFonts w:ascii="Cambria Math" w:hAnsi="Cambria Math"/>
                      <w:sz w:val="18"/>
                      <w:szCs w:val="18"/>
                    </w:rPr>
                    <m:t>DE4</m:t>
                  </m:r>
                  <m:ctrlPr>
                    <w:rPr>
                      <w:rFonts w:ascii="Cambria Math" w:hAnsi="Cambria Math"/>
                      <w:i/>
                      <w:sz w:val="18"/>
                      <w:szCs w:val="18"/>
                    </w:rPr>
                  </m:ctrlPr>
                </m:sub>
              </m:sSub>
            </m:oMath>
          </w:p>
        </w:tc>
        <w:tc>
          <w:tcPr>
            <w:tcW w:w="4395" w:type="dxa"/>
            <w:vAlign w:val="center"/>
          </w:tcPr>
          <w:p>
            <w:pPr>
              <w:pStyle w:val="84"/>
              <w:rPr>
                <w:rFonts w:ascii="Calibri" w:hAnsi="Calibri" w:cs="Times New Roman"/>
                <w:szCs w:val="18"/>
              </w:rPr>
            </w:pPr>
            <w:r>
              <w:rPr>
                <w:rFonts w:hint="eastAsia" w:ascii="Calibri" w:hAnsi="Calibri" w:cs="Times New Roman"/>
                <w:szCs w:val="18"/>
              </w:rPr>
              <w:t>机动车较频繁、重载车辆</w:t>
            </w:r>
          </w:p>
        </w:tc>
        <w:tc>
          <w:tcPr>
            <w:tcW w:w="1160" w:type="dxa"/>
            <w:vAlign w:val="center"/>
          </w:tcPr>
          <w:p>
            <w:pPr>
              <w:pStyle w:val="84"/>
              <w:rPr>
                <w:rFonts w:ascii="Calibri" w:hAnsi="Calibri" w:cs="Times New Roman"/>
                <w:szCs w:val="18"/>
              </w:rPr>
            </w:pPr>
            <w:r>
              <w:rPr>
                <w:rFonts w:ascii="Calibri" w:hAnsi="Calibri" w:cs="Times New Roman"/>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自行车道或机动车较少的车道</w:t>
            </w:r>
          </w:p>
        </w:tc>
        <w:tc>
          <w:tcPr>
            <w:tcW w:w="1160" w:type="dxa"/>
            <w:vAlign w:val="center"/>
          </w:tcPr>
          <w:p>
            <w:pPr>
              <w:pStyle w:val="84"/>
              <w:rPr>
                <w:rFonts w:ascii="Calibri" w:hAnsi="Calibri" w:cs="Times New Roman"/>
                <w:szCs w:val="18"/>
              </w:rPr>
            </w:pPr>
            <w:r>
              <w:rPr>
                <w:rFonts w:ascii="Calibri" w:hAnsi="Calibri" w:cs="Times New Roman"/>
                <w:szCs w:val="18"/>
              </w:rPr>
              <w:t>40~80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19"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1134"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4395" w:type="dxa"/>
            <w:vAlign w:val="center"/>
          </w:tcPr>
          <w:p>
            <w:pPr>
              <w:pStyle w:val="84"/>
              <w:rPr>
                <w:rFonts w:ascii="Calibri" w:hAnsi="Calibri" w:cs="Times New Roman"/>
                <w:szCs w:val="18"/>
              </w:rPr>
            </w:pPr>
            <w:r>
              <w:rPr>
                <w:rFonts w:hint="eastAsia" w:ascii="Calibri" w:hAnsi="Calibri" w:cs="Times New Roman"/>
                <w:szCs w:val="18"/>
              </w:rPr>
              <w:t>人行道</w:t>
            </w:r>
          </w:p>
        </w:tc>
        <w:tc>
          <w:tcPr>
            <w:tcW w:w="1160" w:type="dxa"/>
            <w:vAlign w:val="center"/>
          </w:tcPr>
          <w:p>
            <w:pPr>
              <w:pStyle w:val="84"/>
              <w:rPr>
                <w:rFonts w:ascii="Calibri" w:hAnsi="Calibri" w:cs="Times New Roman"/>
                <w:szCs w:val="18"/>
              </w:rPr>
            </w:pPr>
            <w:r>
              <w:rPr>
                <w:rFonts w:ascii="Calibri" w:hAnsi="Calibri" w:cs="Times New Roman"/>
                <w:szCs w:val="18"/>
              </w:rPr>
              <w:t>0~40</w:t>
            </w:r>
          </w:p>
        </w:tc>
      </w:tr>
    </w:tbl>
    <w:p>
      <w:pPr>
        <w:spacing w:line="240" w:lineRule="auto"/>
        <w:rPr>
          <w:sz w:val="18"/>
          <w:szCs w:val="18"/>
        </w:rPr>
      </w:pPr>
      <w:r>
        <w:rPr>
          <w:rFonts w:hint="eastAsia"/>
          <w:sz w:val="18"/>
          <w:szCs w:val="18"/>
        </w:rPr>
        <w:t>注：1</w:t>
      </w:r>
      <w:r>
        <w:rPr>
          <w:sz w:val="18"/>
          <w:szCs w:val="18"/>
        </w:rPr>
        <w:t xml:space="preserve">  </w:t>
      </w:r>
      <w:r>
        <w:rPr>
          <w:rFonts w:hint="eastAsia"/>
          <w:sz w:val="18"/>
          <w:szCs w:val="18"/>
        </w:rPr>
        <w:t>地下工程包括但不限于地铁、地下隧道、地下人防工程、地下停车场等；</w:t>
      </w:r>
    </w:p>
    <w:p>
      <w:pPr>
        <w:spacing w:line="240" w:lineRule="auto"/>
        <w:ind w:firstLine="360" w:firstLineChars="200"/>
        <w:rPr>
          <w:sz w:val="18"/>
          <w:szCs w:val="18"/>
        </w:rPr>
      </w:pPr>
      <w:r>
        <w:rPr>
          <w:rFonts w:hint="eastAsia"/>
          <w:sz w:val="18"/>
          <w:szCs w:val="18"/>
        </w:rPr>
        <w:t>2</w:t>
      </w:r>
      <w:r>
        <w:rPr>
          <w:sz w:val="18"/>
          <w:szCs w:val="18"/>
        </w:rPr>
        <w:t xml:space="preserve"> </w:t>
      </w:r>
      <w:r>
        <w:rPr>
          <w:rFonts w:hint="eastAsia"/>
          <w:sz w:val="18"/>
          <w:szCs w:val="18"/>
        </w:rPr>
        <w:t xml:space="preserve"> l为施工边界与病害体边界之间的距离；</w:t>
      </w:r>
      <w:r>
        <w:rPr>
          <w:rFonts w:hint="eastAsia"/>
          <w:i/>
          <w:sz w:val="18"/>
          <w:szCs w:val="18"/>
        </w:rPr>
        <w:t>R</w:t>
      </w:r>
      <w:r>
        <w:rPr>
          <w:rFonts w:hint="eastAsia"/>
          <w:i/>
          <w:sz w:val="18"/>
          <w:szCs w:val="18"/>
          <w:vertAlign w:val="subscript"/>
        </w:rPr>
        <w:t>gzw</w:t>
      </w:r>
      <w:r>
        <w:rPr>
          <w:rFonts w:hint="eastAsia"/>
          <w:sz w:val="18"/>
          <w:szCs w:val="18"/>
        </w:rPr>
        <w:t>为地下工程与地下病害体边界之间的距离与地下病害体跨度之间的比值；</w:t>
      </w:r>
      <w:r>
        <w:rPr>
          <w:rFonts w:hint="eastAsia"/>
          <w:i/>
          <w:sz w:val="18"/>
          <w:szCs w:val="18"/>
        </w:rPr>
        <w:t>R</w:t>
      </w:r>
      <w:r>
        <w:rPr>
          <w:rFonts w:hint="eastAsia"/>
          <w:i/>
          <w:sz w:val="18"/>
          <w:szCs w:val="18"/>
          <w:vertAlign w:val="subscript"/>
        </w:rPr>
        <w:t>dm</w:t>
      </w:r>
      <w:r>
        <w:rPr>
          <w:rFonts w:hint="eastAsia"/>
          <w:sz w:val="18"/>
          <w:szCs w:val="18"/>
        </w:rPr>
        <w:t>为地面设施与地下病害体边界之间的距离与地下病害体跨度之间的比值；</w:t>
      </w:r>
      <w:r>
        <w:rPr>
          <w:rFonts w:hint="eastAsia"/>
          <w:i/>
          <w:sz w:val="18"/>
          <w:szCs w:val="18"/>
        </w:rPr>
        <w:t>W</w:t>
      </w:r>
      <w:r>
        <w:rPr>
          <w:rFonts w:hint="eastAsia"/>
          <w:sz w:val="18"/>
          <w:szCs w:val="18"/>
        </w:rPr>
        <w:t>为每延米路基平均沉降速率；</w:t>
      </w:r>
      <w:r>
        <w:rPr>
          <w:rFonts w:hint="eastAsia"/>
          <w:i/>
          <w:sz w:val="18"/>
          <w:szCs w:val="18"/>
        </w:rPr>
        <w:t>X</w:t>
      </w:r>
      <w:r>
        <w:rPr>
          <w:rFonts w:hint="eastAsia"/>
          <w:sz w:val="18"/>
          <w:szCs w:val="18"/>
        </w:rPr>
        <w:t>为病害体潜在风险指标计算公式如条文说明所示，</w:t>
      </w:r>
      <w:r>
        <w:rPr>
          <w:rFonts w:hint="eastAsia"/>
          <w:i/>
          <w:sz w:val="18"/>
          <w:szCs w:val="18"/>
        </w:rPr>
        <w:t>K</w:t>
      </w:r>
      <w:r>
        <w:rPr>
          <w:rFonts w:hint="eastAsia"/>
          <w:i/>
          <w:sz w:val="18"/>
          <w:szCs w:val="18"/>
          <w:vertAlign w:val="subscript"/>
        </w:rPr>
        <w:t>max</w:t>
      </w:r>
      <w:r>
        <w:rPr>
          <w:rFonts w:hint="eastAsia"/>
          <w:sz w:val="18"/>
          <w:szCs w:val="18"/>
        </w:rPr>
        <w:t>为覆跨风险指标计算公式如条文说明所示；</w:t>
      </w:r>
    </w:p>
    <w:p>
      <w:pPr>
        <w:spacing w:line="240" w:lineRule="auto"/>
        <w:ind w:firstLine="360" w:firstLineChars="200"/>
        <w:rPr>
          <w:sz w:val="18"/>
          <w:szCs w:val="18"/>
        </w:rPr>
      </w:pPr>
      <w:r>
        <w:rPr>
          <w:rFonts w:hint="eastAsia"/>
          <w:sz w:val="18"/>
          <w:szCs w:val="18"/>
        </w:rPr>
        <w:t>3</w:t>
      </w:r>
      <w:r>
        <w:rPr>
          <w:sz w:val="18"/>
          <w:szCs w:val="18"/>
        </w:rPr>
        <w:t xml:space="preserve">  </w:t>
      </w:r>
      <w:r>
        <w:rPr>
          <w:rFonts w:hint="eastAsia"/>
          <w:sz w:val="18"/>
          <w:szCs w:val="18"/>
        </w:rPr>
        <w:t>其中风险评估单元内评价指标中存在多种不同风险值的评价对象时，宜选择风险值最高的对象为结果。</w:t>
      </w:r>
    </w:p>
    <w:p>
      <w:r>
        <w:rPr>
          <w:rFonts w:hint="eastAsia"/>
        </w:rPr>
        <w:t>8</w:t>
      </w:r>
      <w:r>
        <w:t xml:space="preserve">.3.8  </w:t>
      </w:r>
      <w:r>
        <w:rPr>
          <w:rFonts w:hint="eastAsia"/>
        </w:rPr>
        <w:t>地下病害体单元的风险发生可能性分值计算中具体的权重宜按照地区不同而变化，可能性分值按下列公式进行计算：</w:t>
      </w:r>
    </w:p>
    <w:p>
      <w:pPr>
        <w:ind w:firstLine="420" w:firstLineChars="200"/>
        <w:jc w:val="right"/>
      </w:pP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m:t>
            </m:r>
            <m:ctrlPr>
              <w:rPr>
                <w:rFonts w:ascii="Cambria Math" w:hAnsi="Cambria Math"/>
                <w:i/>
              </w:rPr>
            </m:ctrlPr>
          </m:sub>
        </m:sSub>
      </m:oMath>
      <w:r>
        <w:rPr>
          <w:rFonts w:hint="eastAsia"/>
        </w:rPr>
        <w:t xml:space="preserve"> </w:t>
      </w:r>
      <w:r>
        <w:t xml:space="preserve">        </w:t>
      </w:r>
      <w:r>
        <w:rPr>
          <w:rFonts w:hint="eastAsia"/>
        </w:rPr>
        <w:t>（</w:t>
      </w:r>
      <w:r>
        <w:t>8.3.8-1</w:t>
      </w:r>
      <w:r>
        <w:rPr>
          <w:rFonts w:hint="eastAsia"/>
        </w:rPr>
        <w:t>）</w:t>
      </w:r>
    </w:p>
    <w:p>
      <w:pPr>
        <w:ind w:firstLine="630" w:firstLineChars="30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m:t>
            </m:r>
            <m:ctrlPr>
              <w:rPr>
                <w:rFonts w:ascii="Cambria Math" w:hAnsi="Cambria Math"/>
                <w:i/>
              </w:rPr>
            </m:ctrlPr>
          </m:sub>
        </m:sSub>
        <m:r>
          <m:rPr/>
          <w:rPr>
            <w:rFonts w:ascii="Cambria Math" w:hAnsi="Cambria Math"/>
          </w:rPr>
          <m:t>=1</m:t>
        </m:r>
      </m:oMath>
      <w:r>
        <w:t xml:space="preserve">               </w:t>
      </w:r>
      <w:r>
        <w:rPr>
          <w:rFonts w:hint="eastAsia"/>
        </w:rPr>
        <w:t>（</w:t>
      </w:r>
      <w:r>
        <w:t>8.3.8-2</w:t>
      </w:r>
      <w:r>
        <w:rPr>
          <w:rFonts w:hint="eastAsia"/>
        </w:rPr>
        <w:t>）</w:t>
      </w:r>
    </w:p>
    <w:p>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m:t>
            </m:r>
            <m:ctrlPr>
              <w:rPr>
                <w:rFonts w:ascii="Cambria Math" w:hAnsi="Cambria Math"/>
                <w:i/>
              </w:rPr>
            </m:ctrlPr>
          </m:sub>
        </m:sSub>
      </m:oMath>
      <w:r>
        <w:t>—</w:t>
      </w:r>
      <w:r>
        <w:rPr>
          <w:rFonts w:hint="eastAsia"/>
        </w:rPr>
        <w:t>风险评估单元内病害体情况指标；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BE</m:t>
            </m:r>
            <m:ctrlPr>
              <w:rPr>
                <w:rFonts w:ascii="Cambria Math" w:hAnsi="Cambria Math"/>
                <w:i/>
              </w:rPr>
            </m:ctrlPr>
          </m:sub>
        </m:sSub>
      </m:oMath>
      <w:r>
        <w:t>—</w:t>
      </w:r>
      <w:r>
        <w:rPr>
          <w:rFonts w:hint="eastAsia"/>
        </w:rPr>
        <w:t>风险评估单元内病害体潜在风险指标；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m:t>
            </m:r>
            <m:ctrlPr>
              <w:rPr>
                <w:rFonts w:ascii="Cambria Math" w:hAnsi="Cambria Math"/>
                <w:i/>
              </w:rPr>
            </m:ctrlPr>
          </m:sub>
        </m:sSub>
      </m:oMath>
      <w:r>
        <w:t>—</w:t>
      </w:r>
      <w:r>
        <w:rPr>
          <w:rFonts w:hint="eastAsia"/>
        </w:rPr>
        <w:t>设施扰动指标；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m:t>
            </m:r>
            <m:ctrlPr>
              <w:rPr>
                <w:rFonts w:ascii="Cambria Math" w:hAnsi="Cambria Math"/>
                <w:i/>
              </w:rPr>
            </m:ctrlPr>
          </m:sub>
        </m:sSub>
      </m:oMath>
      <w:r>
        <w:t>—</w:t>
      </w:r>
      <w:r>
        <w:rPr>
          <w:rFonts w:hint="eastAsia"/>
        </w:rPr>
        <w:t>风险评估单元内自身因素指标；</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m:t>
            </m:r>
            <m:ctrlPr>
              <w:rPr>
                <w:rFonts w:ascii="Cambria Math" w:hAnsi="Cambria Math"/>
                <w:i/>
              </w:rPr>
            </m:ctrlPr>
          </m:sub>
        </m:sSub>
      </m:oMath>
      <w:r>
        <w:t>—</w:t>
      </w:r>
      <w:r>
        <w:rPr>
          <w:rFonts w:hint="eastAsia"/>
        </w:rPr>
        <w:t>风险评估单元内病害体情况</w:t>
      </w:r>
      <w:r>
        <w:rPr>
          <w:rFonts w:hint="eastAsia"/>
          <w:color w:val="000000"/>
        </w:rPr>
        <w:t>指标权重，取值宜在0</w:t>
      </w:r>
      <w:r>
        <w:rPr>
          <w:color w:val="000000"/>
        </w:rPr>
        <w:t>.3~0.4</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m:t>
            </m:r>
            <m:ctrlPr>
              <w:rPr>
                <w:rFonts w:ascii="Cambria Math" w:hAnsi="Cambria Math"/>
                <w:i/>
              </w:rPr>
            </m:ctrlPr>
          </m:sub>
        </m:sSub>
      </m:oMath>
      <w:r>
        <w:t>—</w:t>
      </w:r>
      <w:r>
        <w:rPr>
          <w:rFonts w:hint="eastAsia"/>
        </w:rPr>
        <w:t>风险评估单元内病害体潜在风险</w:t>
      </w:r>
      <w:r>
        <w:rPr>
          <w:rFonts w:hint="eastAsia"/>
          <w:color w:val="000000"/>
        </w:rPr>
        <w:t>指标权重，取值宜在0</w:t>
      </w:r>
      <w:r>
        <w:rPr>
          <w:color w:val="000000"/>
        </w:rPr>
        <w:t>.2~0.3</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m:t>
            </m:r>
            <m:ctrlPr>
              <w:rPr>
                <w:rFonts w:ascii="Cambria Math" w:hAnsi="Cambria Math"/>
                <w:i/>
              </w:rPr>
            </m:ctrlPr>
          </m:sub>
        </m:sSub>
      </m:oMath>
      <w:r>
        <w:t>—</w:t>
      </w:r>
      <w:r>
        <w:rPr>
          <w:rFonts w:hint="eastAsia"/>
        </w:rPr>
        <w:t>设施扰动</w:t>
      </w:r>
      <w:r>
        <w:rPr>
          <w:rFonts w:hint="eastAsia"/>
          <w:color w:val="000000"/>
        </w:rPr>
        <w:t>指标权重，取值宜在0</w:t>
      </w:r>
      <w:r>
        <w:rPr>
          <w:color w:val="000000"/>
        </w:rPr>
        <w:t>.2~0.4</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m:t>
            </m:r>
            <m:ctrlPr>
              <w:rPr>
                <w:rFonts w:ascii="Cambria Math" w:hAnsi="Cambria Math"/>
                <w:i/>
              </w:rPr>
            </m:ctrlPr>
          </m:sub>
        </m:sSub>
      </m:oMath>
      <w:r>
        <w:t>—</w:t>
      </w:r>
      <w:r>
        <w:rPr>
          <w:rFonts w:hint="eastAsia"/>
        </w:rPr>
        <w:t>风险评估单元内自身因素</w:t>
      </w:r>
      <w:r>
        <w:rPr>
          <w:rFonts w:hint="eastAsia"/>
          <w:color w:val="000000"/>
        </w:rPr>
        <w:t>指标权重，取值宜在0</w:t>
      </w:r>
      <w:r>
        <w:rPr>
          <w:color w:val="000000"/>
        </w:rPr>
        <w:t>.2~0.3</w:t>
      </w:r>
      <w:r>
        <w:rPr>
          <w:rFonts w:hint="eastAsia"/>
          <w:color w:val="000000"/>
        </w:rPr>
        <w:t>之间。</w:t>
      </w:r>
    </w:p>
    <w:p>
      <w:r>
        <w:rPr>
          <w:rFonts w:hint="eastAsia"/>
        </w:rPr>
        <w:t>8</w:t>
      </w:r>
      <w:r>
        <w:t xml:space="preserve">.3.9  </w:t>
      </w:r>
      <w:r>
        <w:rPr>
          <w:rFonts w:hint="eastAsia"/>
        </w:rPr>
        <w:t>地下病害体单元的病害体情况指标宜按下列公式计算：</w:t>
      </w:r>
    </w:p>
    <w:p>
      <w:pPr>
        <w:jc w:val="right"/>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AE1</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AE2</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AE3</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AE3</m:t>
            </m:r>
            <m:ctrlPr>
              <w:rPr>
                <w:rFonts w:ascii="Cambria Math" w:hAnsi="Cambria Math"/>
                <w:i/>
              </w:rPr>
            </m:ctrlPr>
          </m:sub>
        </m:sSub>
      </m:oMath>
      <w:r>
        <w:t xml:space="preserve">           </w:t>
      </w:r>
      <w:r>
        <w:rPr>
          <w:rFonts w:hint="eastAsia"/>
        </w:rPr>
        <w:t>（</w:t>
      </w:r>
      <w:r>
        <w:t>8.3.9-1</w:t>
      </w:r>
      <w:r>
        <w:rPr>
          <w:rFonts w:hint="eastAsia"/>
        </w:rPr>
        <w:t>）</w:t>
      </w:r>
    </w:p>
    <w:p>
      <w:pPr>
        <w:pStyle w:val="70"/>
        <w:ind w:left="360" w:firstLine="0" w:firstLineChars="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AE2</m:t>
            </m:r>
            <m:ctrlPr>
              <w:rPr>
                <w:rFonts w:ascii="Cambria Math" w:hAnsi="Cambria Math"/>
                <w:i/>
              </w:rPr>
            </m:ctrlPr>
          </m:sub>
        </m:sSub>
        <m:r>
          <m:rPr/>
          <w:rPr>
            <w:rFonts w:ascii="Cambria Math" w:hAnsi="Cambria Math"/>
          </w:rPr>
          <m:t>=1</m:t>
        </m:r>
      </m:oMath>
      <w:r>
        <w:t xml:space="preserve">                 </w:t>
      </w:r>
      <w:r>
        <w:rPr>
          <w:rFonts w:hint="eastAsia"/>
        </w:rPr>
        <w:t>（</w:t>
      </w:r>
      <w:r>
        <w:t>8.3.9-2</w:t>
      </w:r>
      <w:r>
        <w:rPr>
          <w:rFonts w:hint="eastAsia"/>
        </w:rPr>
        <w:t>）</w:t>
      </w:r>
    </w:p>
    <w:p>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m:t>
            </m:r>
            <m:ctrlPr>
              <w:rPr>
                <w:rFonts w:ascii="Cambria Math" w:hAnsi="Cambria Math"/>
                <w:i/>
              </w:rPr>
            </m:ctrlPr>
          </m:sub>
        </m:sSub>
      </m:oMath>
      <w:r>
        <w:t>—</w:t>
      </w:r>
      <w:r>
        <w:rPr>
          <w:rFonts w:hint="eastAsia"/>
        </w:rPr>
        <w:t>风险评估单元内病害体情况指标；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AE1</m:t>
            </m:r>
            <m:ctrlPr>
              <w:rPr>
                <w:rFonts w:ascii="Cambria Math" w:hAnsi="Cambria Math"/>
                <w:i/>
              </w:rPr>
            </m:ctrlPr>
          </m:sub>
        </m:sSub>
      </m:oMath>
      <w:r>
        <w:t>—</w:t>
      </w:r>
      <w:r>
        <w:rPr>
          <w:rFonts w:hint="eastAsia"/>
        </w:rPr>
        <w:t>风险评估单元内病害体风险等级情况指标；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AE2</m:t>
            </m:r>
            <m:ctrlPr>
              <w:rPr>
                <w:rFonts w:ascii="Cambria Math" w:hAnsi="Cambria Math"/>
                <w:i/>
              </w:rPr>
            </m:ctrlPr>
          </m:sub>
        </m:sSub>
      </m:oMath>
      <w:r>
        <w:t>—</w:t>
      </w:r>
      <w:r>
        <w:rPr>
          <w:rFonts w:hint="eastAsia"/>
        </w:rPr>
        <w:t>风险评估单元病害体范围指标；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AE3</m:t>
            </m:r>
            <m:ctrlPr>
              <w:rPr>
                <w:rFonts w:ascii="Cambria Math" w:hAnsi="Cambria Math"/>
                <w:i/>
              </w:rPr>
            </m:ctrlPr>
          </m:sub>
        </m:sSub>
      </m:oMath>
      <w:r>
        <w:rPr>
          <w:rFonts w:hint="eastAsia"/>
        </w:rPr>
        <w:t>—风险评估单元位置情况指标；</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AE1</m:t>
            </m:r>
            <m:ctrlPr>
              <w:rPr>
                <w:rFonts w:ascii="Cambria Math" w:hAnsi="Cambria Math"/>
                <w:i/>
              </w:rPr>
            </m:ctrlPr>
          </m:sub>
        </m:sSub>
      </m:oMath>
      <w:r>
        <w:t>—</w:t>
      </w:r>
      <w:r>
        <w:rPr>
          <w:rFonts w:hint="eastAsia"/>
        </w:rPr>
        <w:t>风险评估单元内病害体风险等级情指标况</w:t>
      </w:r>
      <w:r>
        <w:rPr>
          <w:rFonts w:hint="eastAsia"/>
          <w:color w:val="000000"/>
        </w:rPr>
        <w:t>权重，取值宜在0</w:t>
      </w:r>
      <w:r>
        <w:rPr>
          <w:color w:val="000000"/>
        </w:rPr>
        <w:t>.4~0.6</w:t>
      </w:r>
      <w:r>
        <w:rPr>
          <w:rFonts w:hint="eastAsia"/>
          <w:color w:val="000000"/>
        </w:rPr>
        <w:t>之间；</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AE2</m:t>
            </m:r>
            <m:ctrlPr>
              <w:rPr>
                <w:rFonts w:ascii="Cambria Math" w:hAnsi="Cambria Math"/>
                <w:i/>
              </w:rPr>
            </m:ctrlPr>
          </m:sub>
        </m:sSub>
      </m:oMath>
      <w:r>
        <w:t>—</w:t>
      </w:r>
      <w:r>
        <w:rPr>
          <w:rFonts w:hint="eastAsia"/>
        </w:rPr>
        <w:t>风险评估单元病害体范围</w:t>
      </w:r>
      <w:r>
        <w:rPr>
          <w:rFonts w:hint="eastAsia"/>
          <w:color w:val="000000"/>
        </w:rPr>
        <w:t>指标权重，取值宜在0</w:t>
      </w:r>
      <w:r>
        <w:rPr>
          <w:color w:val="000000"/>
        </w:rPr>
        <w:t>.2~0.4</w:t>
      </w:r>
      <w:r>
        <w:rPr>
          <w:rFonts w:hint="eastAsia"/>
          <w:color w:val="000000"/>
        </w:rPr>
        <w:t>之间；</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AE3</m:t>
            </m:r>
            <m:ctrlPr>
              <w:rPr>
                <w:rFonts w:ascii="Cambria Math" w:hAnsi="Cambria Math"/>
                <w:i/>
              </w:rPr>
            </m:ctrlPr>
          </m:sub>
        </m:sSub>
      </m:oMath>
      <w:r>
        <w:t>—</w:t>
      </w:r>
      <w:r>
        <w:rPr>
          <w:rFonts w:hint="eastAsia"/>
        </w:rPr>
        <w:t>风险评估单元位置情况</w:t>
      </w:r>
      <w:r>
        <w:rPr>
          <w:rFonts w:hint="eastAsia"/>
          <w:color w:val="000000"/>
        </w:rPr>
        <w:t>指标权重，取值宜在0</w:t>
      </w:r>
      <w:r>
        <w:rPr>
          <w:color w:val="000000"/>
        </w:rPr>
        <w:t>.1~0.3</w:t>
      </w:r>
      <w:r>
        <w:rPr>
          <w:rFonts w:hint="eastAsia"/>
          <w:color w:val="000000"/>
        </w:rPr>
        <w:t>之间。</w:t>
      </w:r>
    </w:p>
    <w:p>
      <w:r>
        <w:rPr>
          <w:rFonts w:hint="eastAsia"/>
        </w:rPr>
        <w:t>8</w:t>
      </w:r>
      <w:r>
        <w:t xml:space="preserve">.3.10  </w:t>
      </w:r>
      <w:r>
        <w:rPr>
          <w:rFonts w:hint="eastAsia"/>
        </w:rPr>
        <w:t>地下病害体单元的病害体潜在风险指标宜按下列公式计算：</w:t>
      </w:r>
    </w:p>
    <w:p>
      <w:pPr>
        <w:pStyle w:val="70"/>
        <w:ind w:left="360" w:firstLine="0" w:firstLineChars="0"/>
        <w:jc w:val="right"/>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BE1</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BE1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BE2</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BE2</m:t>
            </m:r>
            <m:ctrlPr>
              <w:rPr>
                <w:rFonts w:ascii="Cambria Math" w:hAnsi="Cambria Math"/>
                <w:i/>
              </w:rPr>
            </m:ctrlPr>
          </m:sub>
        </m:sSub>
      </m:oMath>
      <w:r>
        <w:t xml:space="preserve">               </w:t>
      </w:r>
      <w:r>
        <w:rPr>
          <w:rFonts w:hint="eastAsia"/>
        </w:rPr>
        <w:t>（</w:t>
      </w:r>
      <w:r>
        <w:t>8.3.10-1</w:t>
      </w:r>
      <w:r>
        <w:rPr>
          <w:rFonts w:hint="eastAsia"/>
        </w:rPr>
        <w:t>）</w:t>
      </w:r>
    </w:p>
    <w:p>
      <w:pPr>
        <w:pStyle w:val="70"/>
        <w:ind w:firstLine="630" w:firstLineChars="30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BE2</m:t>
            </m:r>
            <m:ctrlPr>
              <w:rPr>
                <w:rFonts w:ascii="Cambria Math" w:hAnsi="Cambria Math"/>
                <w:i/>
              </w:rPr>
            </m:ctrlPr>
          </m:sub>
        </m:sSub>
        <m:r>
          <m:rPr/>
          <w:rPr>
            <w:rFonts w:ascii="Cambria Math" w:hAnsi="Cambria Math"/>
          </w:rPr>
          <m:t>=1</m:t>
        </m:r>
      </m:oMath>
      <w:r>
        <w:t xml:space="preserve">                   </w:t>
      </w:r>
      <w:r>
        <w:rPr>
          <w:rFonts w:hint="eastAsia"/>
        </w:rPr>
        <w:t>（</w:t>
      </w:r>
      <w:r>
        <w:t>8.3.10-2</w:t>
      </w:r>
      <w:r>
        <w:rPr>
          <w:rFonts w:hint="eastAsia"/>
        </w:rPr>
        <w:t>）</w:t>
      </w:r>
    </w:p>
    <w:p>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BE</m:t>
            </m:r>
            <m:ctrlPr>
              <w:rPr>
                <w:rFonts w:ascii="Cambria Math" w:hAnsi="Cambria Math"/>
                <w:i/>
              </w:rPr>
            </m:ctrlPr>
          </m:sub>
        </m:sSub>
      </m:oMath>
      <w:r>
        <w:t>—</w:t>
      </w:r>
      <w:r>
        <w:rPr>
          <w:rFonts w:hint="eastAsia"/>
        </w:rPr>
        <w:t>风险评估单元内病害体潜在风险指标；</w:t>
      </w:r>
    </w:p>
    <w:p>
      <w:pPr>
        <w:pStyle w:val="70"/>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BE1</m:t>
            </m:r>
            <m:ctrlPr>
              <w:rPr>
                <w:rFonts w:ascii="Cambria Math" w:hAnsi="Cambria Math"/>
                <w:i/>
              </w:rPr>
            </m:ctrlPr>
          </m:sub>
        </m:sSub>
      </m:oMath>
      <w:r>
        <w:t>—</w:t>
      </w:r>
      <w:r>
        <w:rPr>
          <w:rFonts w:hint="eastAsia"/>
          <w:bCs/>
        </w:rPr>
        <w:t>覆跨风险系数指标</w:t>
      </w:r>
      <w:r>
        <w:rPr>
          <w:rFonts w:hint="eastAsia"/>
        </w:rPr>
        <w:t>；</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BE2</m:t>
            </m:r>
            <m:ctrlPr>
              <w:rPr>
                <w:rFonts w:ascii="Cambria Math" w:hAnsi="Cambria Math"/>
                <w:i/>
              </w:rPr>
            </m:ctrlPr>
          </m:sub>
        </m:sSub>
      </m:oMath>
      <w:r>
        <w:t>—</w:t>
      </w:r>
      <w:r>
        <w:rPr>
          <w:rFonts w:hint="eastAsia"/>
          <w:bCs/>
        </w:rPr>
        <w:t>病害体发展趋势风险情况；</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BE1</m:t>
            </m:r>
            <m:ctrlPr>
              <w:rPr>
                <w:rFonts w:ascii="Cambria Math" w:hAnsi="Cambria Math"/>
                <w:i/>
              </w:rPr>
            </m:ctrlPr>
          </m:sub>
        </m:sSub>
      </m:oMath>
      <w:r>
        <w:t>—</w:t>
      </w:r>
      <w:r>
        <w:rPr>
          <w:rFonts w:hint="eastAsia"/>
          <w:bCs/>
        </w:rPr>
        <w:t>覆跨风险系数</w:t>
      </w:r>
      <w:r>
        <w:rPr>
          <w:rFonts w:hint="eastAsia"/>
        </w:rPr>
        <w:t>指标</w:t>
      </w:r>
      <w:r>
        <w:rPr>
          <w:rFonts w:hint="eastAsia"/>
          <w:color w:val="000000"/>
        </w:rPr>
        <w:t>权重，取值宜在0</w:t>
      </w:r>
      <w:r>
        <w:rPr>
          <w:color w:val="000000"/>
        </w:rPr>
        <w:t>.5~0.7</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BE2</m:t>
            </m:r>
            <m:ctrlPr>
              <w:rPr>
                <w:rFonts w:ascii="Cambria Math" w:hAnsi="Cambria Math"/>
                <w:i/>
              </w:rPr>
            </m:ctrlPr>
          </m:sub>
        </m:sSub>
      </m:oMath>
      <w:r>
        <w:t>—</w:t>
      </w:r>
      <w:r>
        <w:rPr>
          <w:rFonts w:hint="eastAsia"/>
          <w:bCs/>
        </w:rPr>
        <w:t>病害体发展趋势风险</w:t>
      </w:r>
      <w:r>
        <w:rPr>
          <w:rFonts w:hint="eastAsia"/>
          <w:color w:val="000000"/>
        </w:rPr>
        <w:t>指标权重，取值宜在0</w:t>
      </w:r>
      <w:r>
        <w:rPr>
          <w:color w:val="000000"/>
        </w:rPr>
        <w:t>.2~0.4</w:t>
      </w:r>
      <w:r>
        <w:rPr>
          <w:rFonts w:hint="eastAsia"/>
          <w:color w:val="000000"/>
        </w:rPr>
        <w:t>之间。</w:t>
      </w:r>
    </w:p>
    <w:p>
      <w:r>
        <w:rPr>
          <w:rFonts w:hint="eastAsia"/>
        </w:rPr>
        <w:t>8</w:t>
      </w:r>
      <w:r>
        <w:t xml:space="preserve">.3.11  </w:t>
      </w:r>
      <w:r>
        <w:rPr>
          <w:rFonts w:hint="eastAsia"/>
        </w:rPr>
        <w:t>地下病害体单元的设施扰动指标宜按下列公式计算：</w:t>
      </w:r>
    </w:p>
    <w:p>
      <w:pPr>
        <w:jc w:val="right"/>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CE1</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CE2</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CE3</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CE3</m:t>
            </m:r>
            <m:ctrlPr>
              <w:rPr>
                <w:rFonts w:ascii="Cambria Math" w:hAnsi="Cambria Math"/>
                <w:i/>
              </w:rPr>
            </m:ctrlPr>
          </m:sub>
        </m:sSub>
      </m:oMath>
      <w:r>
        <w:t xml:space="preserve">        </w:t>
      </w:r>
      <w:r>
        <w:rPr>
          <w:rFonts w:hint="eastAsia"/>
        </w:rPr>
        <w:t>（</w:t>
      </w:r>
      <w:r>
        <w:t>8.3.11-1</w:t>
      </w:r>
      <w:r>
        <w:rPr>
          <w:rFonts w:hint="eastAsia"/>
        </w:rPr>
        <w:t>）</w:t>
      </w:r>
    </w:p>
    <w:p>
      <w:pPr>
        <w:pStyle w:val="70"/>
        <w:ind w:left="360" w:firstLine="0" w:firstLineChars="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CE3</m:t>
            </m:r>
            <m:ctrlPr>
              <w:rPr>
                <w:rFonts w:ascii="Cambria Math" w:hAnsi="Cambria Math"/>
                <w:i/>
              </w:rPr>
            </m:ctrlPr>
          </m:sub>
        </m:sSub>
        <m:r>
          <m:rPr/>
          <w:rPr>
            <w:rFonts w:ascii="Cambria Math" w:hAnsi="Cambria Math"/>
          </w:rPr>
          <m:t>=1</m:t>
        </m:r>
      </m:oMath>
      <w:r>
        <w:t xml:space="preserve">               </w:t>
      </w:r>
      <w:r>
        <w:rPr>
          <w:rFonts w:hint="eastAsia"/>
        </w:rPr>
        <w:t>（</w:t>
      </w:r>
      <w:r>
        <w:t>8.3.11-2</w:t>
      </w:r>
      <w:r>
        <w:rPr>
          <w:rFonts w:hint="eastAsia"/>
        </w:rPr>
        <w:t>）</w:t>
      </w:r>
    </w:p>
    <w:p>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m:t>
            </m:r>
            <m:ctrlPr>
              <w:rPr>
                <w:rFonts w:ascii="Cambria Math" w:hAnsi="Cambria Math"/>
                <w:i/>
              </w:rPr>
            </m:ctrlPr>
          </m:sub>
        </m:sSub>
      </m:oMath>
      <w:r>
        <w:t>—</w:t>
      </w:r>
      <w:r>
        <w:rPr>
          <w:rFonts w:hint="eastAsia"/>
        </w:rPr>
        <w:t>设施扰动指标；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CE1</m:t>
            </m:r>
            <m:ctrlPr>
              <w:rPr>
                <w:rFonts w:ascii="Cambria Math" w:hAnsi="Cambria Math"/>
                <w:i/>
              </w:rPr>
            </m:ctrlPr>
          </m:sub>
        </m:sSub>
      </m:oMath>
      <w:r>
        <w:t>—</w:t>
      </w:r>
      <w:r>
        <w:rPr>
          <w:rFonts w:hint="eastAsia"/>
        </w:rPr>
        <w:t>施工干扰指标；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CE2</m:t>
            </m:r>
            <m:ctrlPr>
              <w:rPr>
                <w:rFonts w:ascii="Cambria Math" w:hAnsi="Cambria Math"/>
                <w:i/>
              </w:rPr>
            </m:ctrlPr>
          </m:sub>
        </m:sSub>
      </m:oMath>
      <w:r>
        <w:t>—</w:t>
      </w:r>
      <w:r>
        <w:rPr>
          <w:rFonts w:hint="eastAsia"/>
        </w:rPr>
        <w:t>地面设施指标；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CE3</m:t>
            </m:r>
            <m:ctrlPr>
              <w:rPr>
                <w:rFonts w:ascii="Cambria Math" w:hAnsi="Cambria Math"/>
                <w:i/>
              </w:rPr>
            </m:ctrlPr>
          </m:sub>
        </m:sSub>
      </m:oMath>
      <w:r>
        <w:rPr>
          <w:rFonts w:hint="eastAsia"/>
        </w:rPr>
        <w:t>—地下工程指标；</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CE1</m:t>
            </m:r>
            <m:ctrlPr>
              <w:rPr>
                <w:rFonts w:ascii="Cambria Math" w:hAnsi="Cambria Math"/>
                <w:i/>
              </w:rPr>
            </m:ctrlPr>
          </m:sub>
        </m:sSub>
      </m:oMath>
      <w:r>
        <w:t>—</w:t>
      </w:r>
      <w:r>
        <w:rPr>
          <w:rFonts w:hint="eastAsia"/>
        </w:rPr>
        <w:t>施工干扰指标</w:t>
      </w:r>
      <w:r>
        <w:rPr>
          <w:rFonts w:hint="eastAsia"/>
          <w:color w:val="000000"/>
        </w:rPr>
        <w:t>权重，取值宜在0</w:t>
      </w:r>
      <w:r>
        <w:rPr>
          <w:color w:val="000000"/>
        </w:rPr>
        <w:t>.3~0.4</w:t>
      </w:r>
      <w:r>
        <w:rPr>
          <w:rFonts w:hint="eastAsia"/>
          <w:color w:val="000000"/>
        </w:rPr>
        <w:t>之间；</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CE2</m:t>
            </m:r>
            <m:ctrlPr>
              <w:rPr>
                <w:rFonts w:ascii="Cambria Math" w:hAnsi="Cambria Math"/>
                <w:i/>
              </w:rPr>
            </m:ctrlPr>
          </m:sub>
        </m:sSub>
      </m:oMath>
      <w:r>
        <w:t>—</w:t>
      </w:r>
      <w:r>
        <w:rPr>
          <w:rFonts w:hint="eastAsia"/>
        </w:rPr>
        <w:t>地面设施</w:t>
      </w:r>
      <w:r>
        <w:rPr>
          <w:rFonts w:hint="eastAsia"/>
          <w:color w:val="000000"/>
        </w:rPr>
        <w:t>指标权重，取值宜在0</w:t>
      </w:r>
      <w:r>
        <w:rPr>
          <w:color w:val="000000"/>
        </w:rPr>
        <w:t>.1~0.2</w:t>
      </w:r>
      <w:r>
        <w:rPr>
          <w:rFonts w:hint="eastAsia"/>
          <w:color w:val="000000"/>
        </w:rPr>
        <w:t>之间；</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CE3</m:t>
            </m:r>
            <m:ctrlPr>
              <w:rPr>
                <w:rFonts w:ascii="Cambria Math" w:hAnsi="Cambria Math"/>
                <w:i/>
              </w:rPr>
            </m:ctrlPr>
          </m:sub>
        </m:sSub>
      </m:oMath>
      <w:r>
        <w:t>—</w:t>
      </w:r>
      <w:r>
        <w:rPr>
          <w:rFonts w:hint="eastAsia"/>
        </w:rPr>
        <w:t>地下工程</w:t>
      </w:r>
      <w:r>
        <w:rPr>
          <w:rFonts w:hint="eastAsia"/>
          <w:color w:val="000000"/>
        </w:rPr>
        <w:t>指标权重，取值宜在0</w:t>
      </w:r>
      <w:r>
        <w:rPr>
          <w:color w:val="000000"/>
        </w:rPr>
        <w:t>.4~0.6</w:t>
      </w:r>
      <w:r>
        <w:rPr>
          <w:rFonts w:hint="eastAsia"/>
          <w:color w:val="000000"/>
        </w:rPr>
        <w:t>之间。</w:t>
      </w:r>
    </w:p>
    <w:p>
      <w:pPr>
        <w:rPr>
          <w:color w:val="000000"/>
        </w:rPr>
      </w:pPr>
      <w:r>
        <w:rPr>
          <w:rFonts w:hint="eastAsia"/>
          <w:color w:val="000000"/>
        </w:rPr>
        <w:t>8</w:t>
      </w:r>
      <w:r>
        <w:rPr>
          <w:color w:val="000000"/>
        </w:rPr>
        <w:t xml:space="preserve">.3.12  </w:t>
      </w:r>
      <w:r>
        <w:rPr>
          <w:rFonts w:hint="eastAsia"/>
          <w:color w:val="000000"/>
        </w:rPr>
        <w:t>地下病害体单元的自身因素指标宜按下列公式计算：</w:t>
      </w:r>
    </w:p>
    <w:p>
      <w:pPr>
        <w:jc w:val="right"/>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DE1</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DE2</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DE3</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DE4</m:t>
            </m:r>
            <m:ctrlPr>
              <w:rPr>
                <w:rFonts w:ascii="Cambria Math" w:hAnsi="Cambria Math"/>
                <w:i/>
              </w:rPr>
            </m:ctrlPr>
          </m:sub>
        </m:sSub>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DE4</m:t>
            </m:r>
            <m:ctrlPr>
              <w:rPr>
                <w:rFonts w:ascii="Cambria Math" w:hAnsi="Cambria Math"/>
                <w:i/>
              </w:rPr>
            </m:ctrlPr>
          </m:sub>
        </m:sSub>
      </m:oMath>
      <w:r>
        <w:t xml:space="preserve">     </w:t>
      </w:r>
      <w:r>
        <w:rPr>
          <w:rFonts w:hint="eastAsia"/>
        </w:rPr>
        <w:t>（</w:t>
      </w:r>
      <w:r>
        <w:t>8.3.12-1</w:t>
      </w:r>
      <w:r>
        <w:rPr>
          <w:rFonts w:hint="eastAsia"/>
        </w:rPr>
        <w:t>）</w:t>
      </w:r>
    </w:p>
    <w:p>
      <w:pPr>
        <w:pStyle w:val="70"/>
        <w:ind w:left="360" w:firstLine="0" w:firstLineChars="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DE4</m:t>
            </m:r>
            <m:ctrlPr>
              <w:rPr>
                <w:rFonts w:ascii="Cambria Math" w:hAnsi="Cambria Math"/>
                <w:i/>
              </w:rPr>
            </m:ctrlPr>
          </m:sub>
        </m:sSub>
        <m:r>
          <m:rPr/>
          <w:rPr>
            <w:rFonts w:ascii="Cambria Math" w:hAnsi="Cambria Math"/>
          </w:rPr>
          <m:t>=1</m:t>
        </m:r>
      </m:oMath>
      <w:r>
        <w:t xml:space="preserve">            </w:t>
      </w:r>
      <w:r>
        <w:rPr>
          <w:rFonts w:hint="eastAsia"/>
        </w:rPr>
        <w:t>（</w:t>
      </w:r>
      <w:r>
        <w:t>8.3.12-2</w:t>
      </w:r>
      <w:r>
        <w:rPr>
          <w:rFonts w:hint="eastAsia"/>
        </w:rPr>
        <w:t>）</w:t>
      </w:r>
    </w:p>
    <w:p>
      <w:r>
        <w:rPr>
          <w:rFonts w:hint="eastAsia"/>
        </w:rPr>
        <w:t>式中：</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m:t>
            </m:r>
            <m:ctrlPr>
              <w:rPr>
                <w:rFonts w:ascii="Cambria Math" w:hAnsi="Cambria Math"/>
                <w:i/>
              </w:rPr>
            </m:ctrlPr>
          </m:sub>
        </m:sSub>
      </m:oMath>
      <w:r>
        <w:t>—</w:t>
      </w:r>
      <w:r>
        <w:rPr>
          <w:rFonts w:hint="eastAsia"/>
        </w:rPr>
        <w:t>风险评估单元自身因素指标；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DE1</m:t>
            </m:r>
            <m:ctrlPr>
              <w:rPr>
                <w:rFonts w:ascii="Cambria Math" w:hAnsi="Cambria Math"/>
                <w:i/>
              </w:rPr>
            </m:ctrlPr>
          </m:sub>
        </m:sSub>
      </m:oMath>
      <w:r>
        <w:t>—</w:t>
      </w:r>
      <w:r>
        <w:rPr>
          <w:rFonts w:hint="eastAsia"/>
        </w:rPr>
        <w:t>道路现状指标；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DE2</m:t>
            </m:r>
            <m:ctrlPr>
              <w:rPr>
                <w:rFonts w:ascii="Cambria Math" w:hAnsi="Cambria Math"/>
                <w:i/>
              </w:rPr>
            </m:ctrlPr>
          </m:sub>
        </m:sSub>
      </m:oMath>
      <w:r>
        <w:t>—</w:t>
      </w:r>
      <w:r>
        <w:rPr>
          <w:rFonts w:hint="eastAsia"/>
        </w:rPr>
        <w:t>评估单元环境风险指标；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DE3</m:t>
            </m:r>
            <m:ctrlPr>
              <w:rPr>
                <w:rFonts w:ascii="Cambria Math" w:hAnsi="Cambria Math"/>
                <w:i/>
              </w:rPr>
            </m:ctrlPr>
          </m:sub>
        </m:sSub>
      </m:oMath>
      <w:r>
        <w:rPr>
          <w:rFonts w:hint="eastAsia"/>
        </w:rPr>
        <w:t>—路基平均沉降速率指标；</w:t>
      </w:r>
    </w:p>
    <w:p>
      <w:pPr>
        <w:pStyle w:val="70"/>
        <w:ind w:left="360" w:firstLine="210" w:firstLineChars="1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DE4</m:t>
            </m:r>
            <m:ctrlPr>
              <w:rPr>
                <w:rFonts w:ascii="Cambria Math" w:hAnsi="Cambria Math"/>
                <w:i/>
              </w:rPr>
            </m:ctrlPr>
          </m:sub>
        </m:sSub>
      </m:oMath>
      <w:r>
        <w:rPr>
          <w:rFonts w:hint="eastAsia"/>
        </w:rPr>
        <w:t>—道路平均载荷指标；</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DE1</m:t>
            </m:r>
            <m:ctrlPr>
              <w:rPr>
                <w:rFonts w:ascii="Cambria Math" w:hAnsi="Cambria Math"/>
                <w:i/>
              </w:rPr>
            </m:ctrlPr>
          </m:sub>
        </m:sSub>
      </m:oMath>
      <w:r>
        <w:t>—</w:t>
      </w:r>
      <w:r>
        <w:rPr>
          <w:rFonts w:hint="eastAsia"/>
        </w:rPr>
        <w:t>道路现状指标</w:t>
      </w:r>
      <w:r>
        <w:rPr>
          <w:rFonts w:hint="eastAsia"/>
          <w:color w:val="000000"/>
        </w:rPr>
        <w:t>权重，取值宜在0</w:t>
      </w:r>
      <w:r>
        <w:rPr>
          <w:color w:val="000000"/>
        </w:rPr>
        <w:t>.2~0.3</w:t>
      </w:r>
      <w:r>
        <w:rPr>
          <w:rFonts w:hint="eastAsia"/>
          <w:color w:val="000000"/>
        </w:rPr>
        <w:t>之间；</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DE2</m:t>
            </m:r>
            <m:ctrlPr>
              <w:rPr>
                <w:rFonts w:ascii="Cambria Math" w:hAnsi="Cambria Math"/>
                <w:i/>
              </w:rPr>
            </m:ctrlPr>
          </m:sub>
        </m:sSub>
      </m:oMath>
      <w:r>
        <w:t>—</w:t>
      </w:r>
      <w:r>
        <w:rPr>
          <w:rFonts w:hint="eastAsia"/>
        </w:rPr>
        <w:t>评估单元环境风险</w:t>
      </w:r>
      <w:r>
        <w:rPr>
          <w:rFonts w:hint="eastAsia"/>
          <w:color w:val="000000"/>
        </w:rPr>
        <w:t>指标权重，取值宜在0</w:t>
      </w:r>
      <w:r>
        <w:rPr>
          <w:color w:val="000000"/>
        </w:rPr>
        <w:t>.3~0.5</w:t>
      </w:r>
      <w:r>
        <w:rPr>
          <w:rFonts w:hint="eastAsia"/>
          <w:color w:val="000000"/>
        </w:rPr>
        <w:t>之间；</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DE3</m:t>
            </m:r>
            <m:ctrlPr>
              <w:rPr>
                <w:rFonts w:ascii="Cambria Math" w:hAnsi="Cambria Math"/>
                <w:i/>
              </w:rPr>
            </m:ctrlPr>
          </m:sub>
        </m:sSub>
      </m:oMath>
      <w:r>
        <w:t>—</w:t>
      </w:r>
      <w:r>
        <w:rPr>
          <w:rFonts w:hint="eastAsia"/>
        </w:rPr>
        <w:t>路基平均沉降速率</w:t>
      </w:r>
      <w:r>
        <w:rPr>
          <w:rFonts w:hint="eastAsia"/>
          <w:color w:val="000000"/>
        </w:rPr>
        <w:t>指标权重，取值宜在0</w:t>
      </w:r>
      <w:r>
        <w:rPr>
          <w:color w:val="000000"/>
        </w:rPr>
        <w:t>~0.2</w:t>
      </w:r>
      <w:r>
        <w:rPr>
          <w:rFonts w:hint="eastAsia"/>
          <w:color w:val="000000"/>
        </w:rPr>
        <w:t>之间；</w:t>
      </w:r>
    </w:p>
    <w:p>
      <w:pPr>
        <w:pStyle w:val="70"/>
        <w:ind w:left="360" w:firstLine="210" w:firstLineChars="1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DE4</m:t>
            </m:r>
            <m:ctrlPr>
              <w:rPr>
                <w:rFonts w:ascii="Cambria Math" w:hAnsi="Cambria Math"/>
                <w:i/>
              </w:rPr>
            </m:ctrlPr>
          </m:sub>
        </m:sSub>
      </m:oMath>
      <w:r>
        <w:t>—</w:t>
      </w:r>
      <w:r>
        <w:rPr>
          <w:rFonts w:hint="eastAsia"/>
        </w:rPr>
        <w:t>道路平均载荷</w:t>
      </w:r>
      <w:r>
        <w:rPr>
          <w:rFonts w:hint="eastAsia"/>
          <w:color w:val="000000"/>
        </w:rPr>
        <w:t>指标权重，取值宜在0</w:t>
      </w:r>
      <w:r>
        <w:rPr>
          <w:color w:val="000000"/>
        </w:rPr>
        <w:t>.2~0.3</w:t>
      </w:r>
      <w:r>
        <w:rPr>
          <w:rFonts w:hint="eastAsia"/>
          <w:color w:val="000000"/>
        </w:rPr>
        <w:t>之间。</w:t>
      </w:r>
    </w:p>
    <w:p>
      <w:r>
        <w:rPr>
          <w:rFonts w:hint="eastAsia"/>
        </w:rPr>
        <w:t>8</w:t>
      </w:r>
      <w:r>
        <w:t xml:space="preserve">.3.13  </w:t>
      </w:r>
      <w:r>
        <w:rPr>
          <w:rFonts w:hint="eastAsia"/>
        </w:rPr>
        <w:t>若风险评估单元中仅存在n个D级、E级病害体时，其指标按照表8.3.4取值，风险发生可能性得分加权计算，其计算公式如下：</w:t>
      </w:r>
    </w:p>
    <w:p>
      <w:pPr>
        <w:ind w:firstLine="420" w:firstLineChars="200"/>
        <w:jc w:val="right"/>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f>
          <m:fPr>
            <m:ctrlPr>
              <w:rPr>
                <w:rFonts w:ascii="Cambria Math" w:hAnsi="Cambria Math"/>
                <w:i/>
              </w:rPr>
            </m:ctrlPr>
          </m:fPr>
          <m:num>
            <m:sSup>
              <m:sSupPr>
                <m:ctrlPr>
                  <w:rPr>
                    <w:rFonts w:ascii="Cambria Math" w:hAnsi="Cambria Math"/>
                    <w:i/>
                  </w:rPr>
                </m:ctrlPr>
              </m:sSupPr>
              <m:e>
                <m:r>
                  <m:rPr/>
                  <w:rPr>
                    <w:rFonts w:ascii="Cambria Math" w:hAnsi="Cambria Math"/>
                  </w:rPr>
                  <m:t>e</m:t>
                </m:r>
                <m:ctrlPr>
                  <w:rPr>
                    <w:rFonts w:ascii="Cambria Math" w:hAnsi="Cambria Math"/>
                    <w:i/>
                  </w:rPr>
                </m:ctrlPr>
              </m:e>
              <m:sup>
                <m:sSub>
                  <m:sSubPr>
                    <m:ctrlPr>
                      <w:rPr>
                        <w:rFonts w:ascii="Cambria Math" w:hAnsi="Cambria Math"/>
                        <w:i/>
                      </w:rPr>
                    </m:ctrlPr>
                  </m:sSubPr>
                  <m:e>
                    <m:r>
                      <m:rPr/>
                      <w:rPr>
                        <w:rFonts w:ascii="Cambria Math" w:hAnsi="Cambria Math"/>
                      </w:rPr>
                      <m:t>S</m:t>
                    </m:r>
                    <m:ctrlPr>
                      <w:rPr>
                        <w:rFonts w:ascii="Cambria Math" w:hAnsi="Cambria Math"/>
                        <w:i/>
                      </w:rPr>
                    </m:ctrlPr>
                  </m:e>
                  <m:sub>
                    <m:r>
                      <m:rPr/>
                      <w:rPr>
                        <w:rFonts w:hint="eastAsia" w:ascii="Cambria Math" w:hAnsi="Cambria Math"/>
                      </w:rPr>
                      <m:t>T</m:t>
                    </m:r>
                    <m:r>
                      <m:rPr/>
                      <w:rPr>
                        <w:rFonts w:ascii="Cambria Math" w:hAnsi="Cambria Math"/>
                      </w:rPr>
                      <m:t>,i</m:t>
                    </m:r>
                    <m:ctrlPr>
                      <w:rPr>
                        <w:rFonts w:ascii="Cambria Math" w:hAnsi="Cambria Math"/>
                        <w:i/>
                      </w:rPr>
                    </m:ctrlPr>
                  </m:sub>
                </m:sSub>
                <m:ctrlPr>
                  <w:rPr>
                    <w:rFonts w:ascii="Cambria Math" w:hAnsi="Cambria Math"/>
                    <w:i/>
                  </w:rPr>
                </m:ctrlPr>
              </m:sup>
            </m:sSup>
            <m:ctrlPr>
              <w:rPr>
                <w:rFonts w:ascii="Cambria Math" w:hAnsi="Cambria Math"/>
                <w:i/>
              </w:rPr>
            </m:ctrlPr>
          </m:num>
          <m:den>
            <m:sSup>
              <m:sSupPr>
                <m:ctrlPr>
                  <w:rPr>
                    <w:rFonts w:ascii="Cambria Math" w:hAnsi="Cambria Math"/>
                    <w:i/>
                  </w:rPr>
                </m:ctrlPr>
              </m:sSupPr>
              <m:e>
                <m:r>
                  <m:rPr/>
                  <w:rPr>
                    <w:rFonts w:ascii="Cambria Math" w:hAnsi="Cambria Math"/>
                  </w:rPr>
                  <m:t>e</m:t>
                </m:r>
                <m:ctrlPr>
                  <w:rPr>
                    <w:rFonts w:ascii="Cambria Math" w:hAnsi="Cambria Math"/>
                    <w:i/>
                  </w:rPr>
                </m:ctrlPr>
              </m:e>
              <m:sup>
                <m:sSub>
                  <m:sSubPr>
                    <m:ctrlPr>
                      <w:rPr>
                        <w:rFonts w:ascii="Cambria Math" w:hAnsi="Cambria Math"/>
                        <w:i/>
                      </w:rPr>
                    </m:ctrlPr>
                  </m:sSubPr>
                  <m:e>
                    <m:r>
                      <m:rPr/>
                      <w:rPr>
                        <w:rFonts w:ascii="Cambria Math" w:hAnsi="Cambria Math"/>
                      </w:rPr>
                      <m:t>S</m:t>
                    </m:r>
                    <m:ctrlPr>
                      <w:rPr>
                        <w:rFonts w:ascii="Cambria Math" w:hAnsi="Cambria Math"/>
                        <w:i/>
                      </w:rPr>
                    </m:ctrlPr>
                  </m:e>
                  <m:sub>
                    <m:r>
                      <m:rPr/>
                      <w:rPr>
                        <w:rFonts w:hint="eastAsia" w:ascii="Cambria Math" w:hAnsi="Cambria Math"/>
                      </w:rPr>
                      <m:t>T</m:t>
                    </m:r>
                    <m:r>
                      <m:rPr/>
                      <w:rPr>
                        <w:rFonts w:ascii="Cambria Math" w:hAnsi="Cambria Math"/>
                      </w:rPr>
                      <m:t>,1</m:t>
                    </m:r>
                    <m:ctrlPr>
                      <w:rPr>
                        <w:rFonts w:ascii="Cambria Math" w:hAnsi="Cambria Math"/>
                        <w:i/>
                      </w:rPr>
                    </m:ctrlPr>
                  </m:sub>
                </m:sSub>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e</m:t>
                </m:r>
                <m:ctrlPr>
                  <w:rPr>
                    <w:rFonts w:ascii="Cambria Math" w:hAnsi="Cambria Math"/>
                    <w:i/>
                  </w:rPr>
                </m:ctrlPr>
              </m:e>
              <m:sup>
                <m:sSub>
                  <m:sSubPr>
                    <m:ctrlPr>
                      <w:rPr>
                        <w:rFonts w:ascii="Cambria Math" w:hAnsi="Cambria Math"/>
                        <w:i/>
                      </w:rPr>
                    </m:ctrlPr>
                  </m:sSubPr>
                  <m:e>
                    <m:r>
                      <m:rPr/>
                      <w:rPr>
                        <w:rFonts w:ascii="Cambria Math" w:hAnsi="Cambria Math"/>
                      </w:rPr>
                      <m:t>S</m:t>
                    </m:r>
                    <m:ctrlPr>
                      <w:rPr>
                        <w:rFonts w:ascii="Cambria Math" w:hAnsi="Cambria Math"/>
                        <w:i/>
                      </w:rPr>
                    </m:ctrlPr>
                  </m:e>
                  <m:sub>
                    <m:r>
                      <m:rPr/>
                      <w:rPr>
                        <w:rFonts w:hint="eastAsia" w:ascii="Cambria Math" w:hAnsi="Cambria Math"/>
                      </w:rPr>
                      <m:t>T</m:t>
                    </m:r>
                    <m:r>
                      <m:rPr/>
                      <w:rPr>
                        <w:rFonts w:ascii="Cambria Math" w:hAnsi="Cambria Math"/>
                      </w:rPr>
                      <m:t>,2</m:t>
                    </m:r>
                    <m:ctrlPr>
                      <w:rPr>
                        <w:rFonts w:ascii="Cambria Math" w:hAnsi="Cambria Math"/>
                        <w:i/>
                      </w:rPr>
                    </m:ctrlPr>
                  </m:sub>
                </m:sSub>
                <m:ctrlPr>
                  <w:rPr>
                    <w:rFonts w:ascii="Cambria Math" w:hAnsi="Cambria Math"/>
                    <w:i/>
                  </w:rPr>
                </m:ctrlPr>
              </m:sup>
            </m:sSup>
            <m:sSup>
              <m:sSupPr>
                <m:ctrlPr>
                  <w:rPr>
                    <w:rFonts w:ascii="Cambria Math" w:hAnsi="Cambria Math"/>
                    <w:i/>
                  </w:rPr>
                </m:ctrlPr>
              </m:sSupPr>
              <m:e>
                <m:r>
                  <m:rPr/>
                  <w:rPr>
                    <w:rFonts w:ascii="Cambria Math" w:hAnsi="Cambria Math"/>
                  </w:rPr>
                  <m:t>+</m:t>
                </m:r>
                <m:r>
                  <m:rPr/>
                  <w:rPr>
                    <w:rFonts w:hint="eastAsia" w:ascii="Cambria Math" w:hAnsi="Cambria Math"/>
                  </w:rPr>
                  <m:t>·····</m:t>
                </m:r>
                <m:r>
                  <m:rPr/>
                  <w:rPr>
                    <w:rFonts w:ascii="Cambria Math" w:hAnsi="Cambria Math"/>
                  </w:rPr>
                  <m:t>+e</m:t>
                </m:r>
                <m:ctrlPr>
                  <w:rPr>
                    <w:rFonts w:ascii="Cambria Math" w:hAnsi="Cambria Math"/>
                    <w:i/>
                  </w:rPr>
                </m:ctrlPr>
              </m:e>
              <m:sup>
                <m:sSub>
                  <m:sSubPr>
                    <m:ctrlPr>
                      <w:rPr>
                        <w:rFonts w:ascii="Cambria Math" w:hAnsi="Cambria Math"/>
                        <w:i/>
                      </w:rPr>
                    </m:ctrlPr>
                  </m:sSubPr>
                  <m:e>
                    <m:r>
                      <m:rPr/>
                      <w:rPr>
                        <w:rFonts w:ascii="Cambria Math" w:hAnsi="Cambria Math"/>
                      </w:rPr>
                      <m:t>S</m:t>
                    </m:r>
                    <m:ctrlPr>
                      <w:rPr>
                        <w:rFonts w:ascii="Cambria Math" w:hAnsi="Cambria Math"/>
                        <w:i/>
                      </w:rPr>
                    </m:ctrlPr>
                  </m:e>
                  <m:sub>
                    <m:r>
                      <m:rPr/>
                      <w:rPr>
                        <w:rFonts w:hint="eastAsia" w:ascii="Cambria Math" w:hAnsi="Cambria Math"/>
                      </w:rPr>
                      <m:t>T</m:t>
                    </m:r>
                    <m:r>
                      <m:rPr/>
                      <w:rPr>
                        <w:rFonts w:ascii="Cambria Math" w:hAnsi="Cambria Math"/>
                      </w:rPr>
                      <m:t>,n</m:t>
                    </m:r>
                    <m:ctrlPr>
                      <w:rPr>
                        <w:rFonts w:ascii="Cambria Math" w:hAnsi="Cambria Math"/>
                        <w:i/>
                      </w:rPr>
                    </m:ctrlPr>
                  </m:sub>
                </m:sSub>
                <m:ctrlPr>
                  <w:rPr>
                    <w:rFonts w:ascii="Cambria Math" w:hAnsi="Cambria Math"/>
                    <w:i/>
                  </w:rPr>
                </m:ctrlPr>
              </m:sup>
            </m:sSup>
            <m:ctrlPr>
              <w:rPr>
                <w:rFonts w:ascii="Cambria Math" w:hAnsi="Cambria Math"/>
                <w:i/>
              </w:rPr>
            </m:ctrlPr>
          </m:den>
        </m:f>
      </m:oMath>
      <w:r>
        <w:rPr>
          <w:rFonts w:hint="eastAsia"/>
        </w:rPr>
        <w:t xml:space="preserve"> </w:t>
      </w:r>
      <w:r>
        <w:t xml:space="preserve">              </w:t>
      </w:r>
      <w:r>
        <w:rPr>
          <w:rFonts w:hint="eastAsia"/>
        </w:rPr>
        <w:t>（</w:t>
      </w:r>
      <w:r>
        <w:t>8.3.13-1</w:t>
      </w:r>
      <w:r>
        <w:rPr>
          <w:rFonts w:hint="eastAsia"/>
        </w:rPr>
        <w:t>）</w:t>
      </w:r>
    </w:p>
    <w:p>
      <w:pPr>
        <w:jc w:val="right"/>
      </w:pPr>
      <m:oMath>
        <m:sSub>
          <m:sSubPr>
            <m:ctrlPr>
              <w:rPr>
                <w:rFonts w:ascii="Cambria Math" w:hAnsi="Cambria Math" w:eastAsia="仿宋_GB2312"/>
              </w:rPr>
            </m:ctrlPr>
          </m:sSubPr>
          <m:e>
            <m:r>
              <m:rPr/>
              <w:rPr>
                <w:rFonts w:ascii="Cambria Math" w:eastAsia="仿宋_GB2312"/>
              </w:rPr>
              <m:t>S</m:t>
            </m:r>
            <m:ctrlPr>
              <w:rPr>
                <w:rFonts w:ascii="Cambria Math" w:hAnsi="Cambria Math" w:eastAsia="仿宋_GB2312"/>
              </w:rPr>
            </m:ctrlPr>
          </m:e>
          <m:sub>
            <m:r>
              <m:rPr/>
              <w:rPr>
                <w:rFonts w:ascii="Cambria Math" w:eastAsia="仿宋_GB2312"/>
              </w:rPr>
              <m:t>E</m:t>
            </m:r>
            <m:ctrlPr>
              <w:rPr>
                <w:rFonts w:ascii="Cambria Math" w:hAnsi="Cambria Math" w:eastAsia="仿宋_GB2312"/>
              </w:rPr>
            </m:ctrlPr>
          </m:sub>
        </m:sSub>
        <m:r>
          <m:rPr>
            <m:sty m:val="p"/>
          </m:rPr>
          <w:rPr>
            <w:rFonts w:ascii="Cambria Math" w:eastAsia="仿宋_GB2312"/>
          </w:rPr>
          <m:t>=</m:t>
        </m:r>
        <m:sSub>
          <m:sSubPr>
            <m:ctrlPr>
              <w:rPr>
                <w:rFonts w:ascii="Cambria Math" w:hAnsi="Cambria Math" w:eastAsia="仿宋_GB2312"/>
              </w:rPr>
            </m:ctrlPr>
          </m:sSubPr>
          <m:e>
            <m:r>
              <m:rPr/>
              <w:rPr>
                <w:rFonts w:ascii="Cambria Math" w:eastAsia="仿宋_GB2312"/>
              </w:rPr>
              <m:t>W</m:t>
            </m:r>
            <m:ctrlPr>
              <w:rPr>
                <w:rFonts w:ascii="Cambria Math" w:hAnsi="Cambria Math" w:eastAsia="仿宋_GB2312"/>
              </w:rPr>
            </m:ctrlPr>
          </m:e>
          <m:sub>
            <m:r>
              <m:rPr>
                <m:sty m:val="p"/>
              </m:rPr>
              <w:rPr>
                <w:rFonts w:ascii="Cambria Math" w:eastAsia="仿宋_GB2312"/>
              </w:rPr>
              <m:t>1</m:t>
            </m:r>
            <m:ctrlPr>
              <w:rPr>
                <w:rFonts w:ascii="Cambria Math" w:hAnsi="Cambria Math" w:eastAsia="仿宋_GB2312"/>
              </w:rPr>
            </m:ctrlPr>
          </m:sub>
        </m:sSub>
        <m:r>
          <m:rPr>
            <m:sty m:val="p"/>
          </m:rPr>
          <w:rPr>
            <w:rFonts w:ascii="Cambria Math" w:eastAsia="仿宋_GB2312"/>
          </w:rPr>
          <m:t>×</m:t>
        </m:r>
        <m:sSub>
          <m:sSubPr>
            <m:ctrlPr>
              <w:rPr>
                <w:rFonts w:ascii="Cambria Math" w:hAnsi="Cambria Math" w:eastAsia="仿宋_GB2312"/>
              </w:rPr>
            </m:ctrlPr>
          </m:sSubPr>
          <m:e>
            <m:r>
              <m:rPr/>
              <w:rPr>
                <w:rFonts w:ascii="Cambria Math" w:eastAsia="仿宋_GB2312"/>
              </w:rPr>
              <m:t>S</m:t>
            </m:r>
            <m:ctrlPr>
              <w:rPr>
                <w:rFonts w:ascii="Cambria Math" w:hAnsi="Cambria Math" w:eastAsia="仿宋_GB2312"/>
              </w:rPr>
            </m:ctrlPr>
          </m:e>
          <m:sub>
            <m:r>
              <m:rPr/>
              <w:rPr>
                <w:rFonts w:ascii="Cambria Math" w:eastAsia="仿宋_GB2312"/>
              </w:rPr>
              <m:t>T</m:t>
            </m:r>
            <m:r>
              <m:rPr>
                <m:sty m:val="p"/>
              </m:rPr>
              <w:rPr>
                <w:rFonts w:ascii="Cambria Math" w:eastAsia="仿宋_GB2312"/>
              </w:rPr>
              <m:t>,1</m:t>
            </m:r>
            <m:ctrlPr>
              <w:rPr>
                <w:rFonts w:ascii="Cambria Math" w:hAnsi="Cambria Math" w:eastAsia="仿宋_GB2312"/>
              </w:rPr>
            </m:ctrlPr>
          </m:sub>
        </m:sSub>
        <m:r>
          <m:rPr>
            <m:sty m:val="p"/>
          </m:rPr>
          <w:rPr>
            <w:rFonts w:ascii="Cambria Math" w:eastAsia="仿宋_GB2312"/>
          </w:rPr>
          <m:t>+</m:t>
        </m:r>
        <m:sSub>
          <m:sSubPr>
            <m:ctrlPr>
              <w:rPr>
                <w:rFonts w:ascii="Cambria Math" w:hAnsi="Cambria Math" w:eastAsia="仿宋_GB2312"/>
              </w:rPr>
            </m:ctrlPr>
          </m:sSubPr>
          <m:e>
            <m:r>
              <m:rPr/>
              <w:rPr>
                <w:rFonts w:ascii="Cambria Math" w:eastAsia="仿宋_GB2312"/>
              </w:rPr>
              <m:t>W</m:t>
            </m:r>
            <m:ctrlPr>
              <w:rPr>
                <w:rFonts w:ascii="Cambria Math" w:hAnsi="Cambria Math" w:eastAsia="仿宋_GB2312"/>
              </w:rPr>
            </m:ctrlPr>
          </m:e>
          <m:sub>
            <m:r>
              <m:rPr>
                <m:sty m:val="p"/>
              </m:rPr>
              <w:rPr>
                <w:rFonts w:ascii="Cambria Math" w:eastAsia="仿宋_GB2312"/>
              </w:rPr>
              <m:t>2</m:t>
            </m:r>
            <m:ctrlPr>
              <w:rPr>
                <w:rFonts w:ascii="Cambria Math" w:hAnsi="Cambria Math" w:eastAsia="仿宋_GB2312"/>
              </w:rPr>
            </m:ctrlPr>
          </m:sub>
        </m:sSub>
        <m:r>
          <m:rPr>
            <m:sty m:val="p"/>
          </m:rPr>
          <w:rPr>
            <w:rFonts w:ascii="Cambria Math" w:eastAsia="仿宋_GB2312"/>
          </w:rPr>
          <m:t>×</m:t>
        </m:r>
        <m:sSub>
          <m:sSubPr>
            <m:ctrlPr>
              <w:rPr>
                <w:rFonts w:ascii="Cambria Math" w:hAnsi="Cambria Math" w:eastAsia="仿宋_GB2312"/>
              </w:rPr>
            </m:ctrlPr>
          </m:sSubPr>
          <m:e>
            <m:r>
              <m:rPr/>
              <w:rPr>
                <w:rFonts w:ascii="Cambria Math" w:eastAsia="仿宋_GB2312"/>
              </w:rPr>
              <m:t>S</m:t>
            </m:r>
            <m:ctrlPr>
              <w:rPr>
                <w:rFonts w:ascii="Cambria Math" w:hAnsi="Cambria Math" w:eastAsia="仿宋_GB2312"/>
              </w:rPr>
            </m:ctrlPr>
          </m:e>
          <m:sub>
            <m:r>
              <m:rPr/>
              <w:rPr>
                <w:rFonts w:ascii="Cambria Math" w:eastAsia="仿宋_GB2312"/>
              </w:rPr>
              <m:t>T</m:t>
            </m:r>
            <m:r>
              <m:rPr>
                <m:sty m:val="p"/>
              </m:rPr>
              <w:rPr>
                <w:rFonts w:ascii="Cambria Math" w:eastAsia="仿宋_GB2312"/>
              </w:rPr>
              <m:t>,2</m:t>
            </m:r>
            <m:ctrlPr>
              <w:rPr>
                <w:rFonts w:ascii="Cambria Math" w:hAnsi="Cambria Math" w:eastAsia="仿宋_GB2312"/>
              </w:rPr>
            </m:ctrlPr>
          </m:sub>
        </m:sSub>
        <m:r>
          <m:rPr>
            <m:sty m:val="p"/>
          </m:rPr>
          <w:rPr>
            <w:rFonts w:ascii="Cambria Math" w:eastAsia="仿宋_GB2312"/>
          </w:rPr>
          <m:t>+…+</m:t>
        </m:r>
        <m:sSub>
          <m:sSubPr>
            <m:ctrlPr>
              <w:rPr>
                <w:rFonts w:ascii="Cambria Math" w:hAnsi="Cambria Math" w:eastAsia="仿宋_GB2312"/>
              </w:rPr>
            </m:ctrlPr>
          </m:sSubPr>
          <m:e>
            <m:r>
              <m:rPr/>
              <w:rPr>
                <w:rFonts w:ascii="Cambria Math" w:eastAsia="仿宋_GB2312"/>
              </w:rPr>
              <m:t>W</m:t>
            </m:r>
            <m:ctrlPr>
              <w:rPr>
                <w:rFonts w:ascii="Cambria Math" w:hAnsi="Cambria Math" w:eastAsia="仿宋_GB2312"/>
              </w:rPr>
            </m:ctrlPr>
          </m:e>
          <m:sub>
            <m:r>
              <m:rPr/>
              <w:rPr>
                <w:rFonts w:ascii="Cambria Math" w:eastAsia="仿宋_GB2312"/>
              </w:rPr>
              <m:t>n</m:t>
            </m:r>
            <m:ctrlPr>
              <w:rPr>
                <w:rFonts w:ascii="Cambria Math" w:hAnsi="Cambria Math" w:eastAsia="仿宋_GB2312"/>
              </w:rPr>
            </m:ctrlPr>
          </m:sub>
        </m:sSub>
        <m:r>
          <m:rPr>
            <m:sty m:val="p"/>
          </m:rPr>
          <w:rPr>
            <w:rFonts w:ascii="Cambria Math" w:eastAsia="仿宋_GB2312"/>
          </w:rPr>
          <m:t>×</m:t>
        </m:r>
        <m:sSub>
          <m:sSubPr>
            <m:ctrlPr>
              <w:rPr>
                <w:rFonts w:ascii="Cambria Math" w:hAnsi="Cambria Math" w:eastAsia="仿宋_GB2312"/>
              </w:rPr>
            </m:ctrlPr>
          </m:sSubPr>
          <m:e>
            <m:r>
              <m:rPr/>
              <w:rPr>
                <w:rFonts w:ascii="Cambria Math" w:hAnsi="Cambria Math" w:eastAsia="仿宋_GB2312"/>
              </w:rPr>
              <m:t>S</m:t>
            </m:r>
            <m:ctrlPr>
              <w:rPr>
                <w:rFonts w:ascii="Cambria Math" w:hAnsi="Cambria Math" w:eastAsia="仿宋_GB2312"/>
              </w:rPr>
            </m:ctrlPr>
          </m:e>
          <m:sub>
            <m:r>
              <m:rPr/>
              <w:rPr>
                <w:rFonts w:ascii="Cambria Math" w:eastAsia="仿宋_GB2312"/>
              </w:rPr>
              <m:t>T</m:t>
            </m:r>
            <m:r>
              <m:rPr>
                <m:sty m:val="p"/>
              </m:rPr>
              <w:rPr>
                <w:rFonts w:ascii="Cambria Math" w:eastAsia="仿宋_GB2312"/>
              </w:rPr>
              <m:t>,</m:t>
            </m:r>
            <m:r>
              <m:rPr/>
              <w:rPr>
                <w:rFonts w:ascii="Cambria Math" w:eastAsia="仿宋_GB2312"/>
              </w:rPr>
              <m:t>n</m:t>
            </m:r>
            <m:ctrlPr>
              <w:rPr>
                <w:rFonts w:ascii="Cambria Math" w:hAnsi="Cambria Math" w:eastAsia="仿宋_GB2312"/>
              </w:rPr>
            </m:ctrlPr>
          </m:sub>
        </m:sSub>
      </m:oMath>
      <w:r>
        <w:t xml:space="preserve">         </w:t>
      </w:r>
      <w:r>
        <w:rPr>
          <w:rFonts w:hint="eastAsia"/>
        </w:rPr>
        <w:t>（</w:t>
      </w:r>
      <w:r>
        <w:t>8.3.13-2</w:t>
      </w:r>
      <w:r>
        <w:rPr>
          <w:rFonts w:hint="eastAsia"/>
        </w:rPr>
        <w:t>）</w:t>
      </w:r>
    </w:p>
    <w:p>
      <w:pPr>
        <w:rPr>
          <w:color w:val="000000"/>
        </w:rPr>
      </w:pPr>
      <w:r>
        <w:rPr>
          <w:rFonts w:hint="eastAsia"/>
        </w:rPr>
        <w:t>式中：</w:t>
      </w:r>
      <m:oMath>
        <m:sSub>
          <m:sSubPr>
            <m:ctrlPr>
              <w:rPr>
                <w:rFonts w:ascii="Cambria Math" w:hAnsi="Cambria Math"/>
                <w:color w:val="000000"/>
              </w:rPr>
            </m:ctrlPr>
          </m:sSubPr>
          <m:e>
            <m:r>
              <m:rPr/>
              <w:rPr>
                <w:rFonts w:ascii="Cambria Math" w:hAnsi="Cambria Math"/>
                <w:color w:val="000000"/>
              </w:rPr>
              <m:t>S</m:t>
            </m:r>
            <m:ctrlPr>
              <w:rPr>
                <w:rFonts w:ascii="Cambria Math" w:hAnsi="Cambria Math"/>
                <w:color w:val="000000"/>
              </w:rPr>
            </m:ctrlPr>
          </m:e>
          <m:sub>
            <m:r>
              <m:rPr/>
              <w:rPr>
                <w:rFonts w:ascii="Cambria Math" w:hAnsi="Cambria Math"/>
                <w:color w:val="000000"/>
              </w:rPr>
              <m:t>E</m:t>
            </m:r>
            <m:ctrlPr>
              <w:rPr>
                <w:rFonts w:ascii="Cambria Math" w:hAnsi="Cambria Math"/>
                <w:color w:val="000000"/>
              </w:rPr>
            </m:ctrlPr>
          </m:sub>
        </m:sSub>
      </m:oMath>
      <w:r>
        <w:t>—</w:t>
      </w:r>
      <w:r>
        <w:rPr>
          <w:rFonts w:hint="eastAsia"/>
          <w:color w:val="000000"/>
        </w:rPr>
        <w:t>风险评价单元病害体风险发生可能性分值；</w:t>
      </w:r>
    </w:p>
    <w:p>
      <w:pPr>
        <w:ind w:firstLine="630" w:firstLineChars="300"/>
        <w:rPr>
          <w:color w:val="000000"/>
        </w:rPr>
      </w:pPr>
      <m:oMath>
        <m:sSub>
          <m:sSubPr>
            <m:ctrlPr>
              <w:rPr>
                <w:rFonts w:ascii="Cambria Math" w:hAnsi="Cambria Math"/>
                <w:i/>
              </w:rPr>
            </m:ctrlPr>
          </m:sSubPr>
          <m:e>
            <m:r>
              <m:rPr/>
              <w:rPr>
                <w:rFonts w:hint="eastAsia" w:ascii="Cambria Math" w:hAnsi="Cambria Math"/>
              </w:rPr>
              <m:t>S</m:t>
            </m:r>
            <m:ctrlPr>
              <w:rPr>
                <w:rFonts w:ascii="Cambria Math" w:hAnsi="Cambria Math"/>
                <w:i/>
              </w:rPr>
            </m:ctrlPr>
          </m:e>
          <m:sub>
            <m:r>
              <m:rPr/>
              <w:rPr>
                <w:rFonts w:hint="eastAsia" w:ascii="Cambria Math" w:hAnsi="Cambria Math"/>
              </w:rPr>
              <m:t>T</m:t>
            </m:r>
            <m:r>
              <m:rPr/>
              <w:rPr>
                <w:rFonts w:ascii="Cambria Math" w:hAnsi="Cambria Math"/>
              </w:rPr>
              <m:t>,i</m:t>
            </m:r>
            <m:ctrlPr>
              <w:rPr>
                <w:rFonts w:ascii="Cambria Math" w:hAnsi="Cambria Math"/>
                <w:i/>
              </w:rPr>
            </m:ctrlPr>
          </m:sub>
        </m:sSub>
      </m:oMath>
      <w:r>
        <w:rPr>
          <w:rFonts w:hint="eastAsia"/>
        </w:rPr>
        <w:t>—</w:t>
      </w:r>
      <w:r>
        <w:rPr>
          <w:rFonts w:hint="eastAsia"/>
          <w:color w:val="000000"/>
        </w:rPr>
        <w:t>风险评价单元内</w:t>
      </w:r>
      <w:r>
        <w:rPr>
          <w:rFonts w:hint="eastAsia"/>
        </w:rPr>
        <w:t>单个</w:t>
      </w:r>
      <w:r>
        <w:rPr>
          <w:rFonts w:hint="eastAsia"/>
          <w:color w:val="000000"/>
        </w:rPr>
        <w:t>地下病害体风险发生可能性分值，i表示第i个病害体；</w:t>
      </w:r>
    </w:p>
    <w:p>
      <w:pPr>
        <w:ind w:firstLine="630" w:firstLineChars="300"/>
        <w:rPr>
          <w:color w:val="000000"/>
        </w:rPr>
      </w:pPr>
      <m:oMath>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i</m:t>
            </m:r>
            <m:ctrlPr>
              <w:rPr>
                <w:rFonts w:ascii="Cambria Math" w:hAnsi="Cambria Math"/>
                <w:color w:val="000000"/>
              </w:rPr>
            </m:ctrlPr>
          </m:sub>
        </m:sSub>
      </m:oMath>
      <w:r>
        <w:rPr>
          <w:rFonts w:hint="eastAsia"/>
          <w:color w:val="000000"/>
        </w:rPr>
        <w:t>—</w:t>
      </w:r>
      <w:r>
        <w:rPr>
          <w:rFonts w:hint="eastAsia"/>
        </w:rPr>
        <w:t>风险评估单元内</w:t>
      </w:r>
      <w:r>
        <w:rPr>
          <w:rFonts w:hint="eastAsia"/>
          <w:color w:val="000000"/>
        </w:rPr>
        <w:t>单个病害体风险发生可能性分值对应的权重值；</w:t>
      </w:r>
    </w:p>
    <w:p>
      <w:pPr>
        <w:ind w:firstLine="630" w:firstLineChars="300"/>
        <w:rPr>
          <w:color w:val="000000"/>
        </w:rPr>
      </w:pPr>
      <w:r>
        <w:rPr>
          <w:rFonts w:hint="eastAsia"/>
          <w:color w:val="000000"/>
        </w:rPr>
        <w:t>n—</w:t>
      </w:r>
      <w:r>
        <w:rPr>
          <w:rFonts w:hint="eastAsia"/>
        </w:rPr>
        <w:t>风险评估单元内</w:t>
      </w:r>
      <w:r>
        <w:rPr>
          <w:rFonts w:hint="eastAsia"/>
          <w:color w:val="000000"/>
        </w:rPr>
        <w:t>D级、E级病害体数量。</w:t>
      </w:r>
    </w:p>
    <w:p>
      <w:r>
        <w:rPr>
          <w:rFonts w:hint="eastAsia"/>
        </w:rPr>
        <w:t>8</w:t>
      </w:r>
      <w:r>
        <w:t xml:space="preserve">.3.14  </w:t>
      </w:r>
      <w:r>
        <w:rPr>
          <w:rFonts w:hint="eastAsia"/>
        </w:rPr>
        <w:t>地下病害体单元的风险发生可能性宜根据评估结果按表8.3.14划分为5个风险发生可能性等级。</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8.3.14</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地下病害体风险评估单元风险发生可能性等级划分</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907"/>
        <w:gridCol w:w="39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风险可能性等级</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可能性分值</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文字描述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A</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90=&lt;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E</m:t>
                  </m:r>
                  <m:ctrlPr>
                    <w:rPr>
                      <w:rFonts w:ascii="Cambria Math" w:hAnsi="Cambria Math" w:cs="Times New Roman"/>
                      <w:kern w:val="2"/>
                      <w:sz w:val="18"/>
                      <w:szCs w:val="18"/>
                    </w:rPr>
                  </m:ctrlPr>
                </m:sub>
              </m:sSub>
            </m:oMath>
            <w:r>
              <w:rPr>
                <w:rFonts w:ascii="Times New Roman" w:hAnsi="Times New Roman" w:cs="Times New Roman"/>
                <w:kern w:val="2"/>
                <w:sz w:val="18"/>
                <w:szCs w:val="18"/>
              </w:rPr>
              <w:t>&lt;100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color w:val="000000"/>
                <w:sz w:val="18"/>
                <w:szCs w:val="18"/>
              </w:rPr>
              <w:t>近期发生可能性极大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B</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70=&lt;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E</m:t>
                  </m:r>
                  <m:ctrlPr>
                    <w:rPr>
                      <w:rFonts w:ascii="Cambria Math" w:hAnsi="Cambria Math" w:cs="Times New Roman"/>
                      <w:kern w:val="2"/>
                      <w:sz w:val="18"/>
                      <w:szCs w:val="18"/>
                    </w:rPr>
                  </m:ctrlPr>
                </m:sub>
              </m:sSub>
            </m:oMath>
            <w:r>
              <w:rPr>
                <w:rFonts w:ascii="Times New Roman" w:hAnsi="Times New Roman" w:cs="Times New Roman"/>
                <w:kern w:val="2"/>
                <w:sz w:val="18"/>
                <w:szCs w:val="18"/>
              </w:rPr>
              <w:t>&lt;90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近期发生可能性较大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C</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50=&lt;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E</m:t>
                  </m:r>
                  <m:ctrlPr>
                    <w:rPr>
                      <w:rFonts w:ascii="Cambria Math" w:hAnsi="Cambria Math" w:cs="Times New Roman"/>
                      <w:kern w:val="2"/>
                      <w:sz w:val="18"/>
                      <w:szCs w:val="18"/>
                    </w:rPr>
                  </m:ctrlPr>
                </m:sub>
              </m:sSub>
            </m:oMath>
            <w:r>
              <w:rPr>
                <w:rFonts w:ascii="Times New Roman" w:hAnsi="Times New Roman" w:cs="Times New Roman"/>
                <w:kern w:val="2"/>
                <w:sz w:val="18"/>
                <w:szCs w:val="18"/>
              </w:rPr>
              <w:t>&lt;70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color w:val="000000"/>
                <w:sz w:val="18"/>
                <w:szCs w:val="18"/>
              </w:rPr>
              <w:t>近期发生可能性较小，远期发生可能性较大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D</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30=&lt;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E</m:t>
                  </m:r>
                  <m:ctrlPr>
                    <w:rPr>
                      <w:rFonts w:ascii="Cambria Math" w:hAnsi="Cambria Math" w:cs="Times New Roman"/>
                      <w:kern w:val="2"/>
                      <w:sz w:val="18"/>
                      <w:szCs w:val="18"/>
                    </w:rPr>
                  </m:ctrlPr>
                </m:sub>
              </m:sSub>
            </m:oMath>
            <w:r>
              <w:rPr>
                <w:rFonts w:ascii="Times New Roman" w:hAnsi="Times New Roman" w:cs="Times New Roman"/>
                <w:kern w:val="2"/>
                <w:sz w:val="18"/>
                <w:szCs w:val="18"/>
              </w:rPr>
              <w:t>&lt;50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color w:val="000000"/>
                <w:sz w:val="18"/>
                <w:szCs w:val="18"/>
              </w:rPr>
              <w:t>近期发生可能性较小，远期可能会发生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E</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0&lt;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E</m:t>
                  </m:r>
                  <m:ctrlPr>
                    <w:rPr>
                      <w:rFonts w:ascii="Cambria Math" w:hAnsi="Cambria Math" w:cs="Times New Roman"/>
                      <w:kern w:val="2"/>
                      <w:sz w:val="18"/>
                      <w:szCs w:val="18"/>
                    </w:rPr>
                  </m:ctrlPr>
                </m:sub>
              </m:sSub>
            </m:oMath>
            <w:r>
              <w:rPr>
                <w:rFonts w:ascii="Times New Roman" w:hAnsi="Times New Roman" w:cs="Times New Roman"/>
                <w:kern w:val="2"/>
                <w:sz w:val="18"/>
                <w:szCs w:val="18"/>
              </w:rPr>
              <w:t>&lt;30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近期不可能发生，远期发生可能性很小</w:t>
            </w:r>
          </w:p>
        </w:tc>
      </w:tr>
    </w:tbl>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55" w:name="_Toc148468248"/>
      <w:r>
        <w:rPr>
          <w:rStyle w:val="32"/>
          <w:rFonts w:ascii="Times New Roman" w:hAnsi="Times New Roman"/>
          <w:bCs w:val="0"/>
          <w:caps w:val="0"/>
          <w:kern w:val="0"/>
          <w:sz w:val="21"/>
          <w:szCs w:val="21"/>
        </w:rPr>
        <w:t>8</w:t>
      </w:r>
      <w:r>
        <w:rPr>
          <w:rStyle w:val="32"/>
          <w:rFonts w:hint="eastAsia" w:ascii="Times New Roman" w:hAnsi="Times New Roman"/>
          <w:bCs w:val="0"/>
          <w:caps w:val="0"/>
          <w:kern w:val="0"/>
          <w:sz w:val="21"/>
          <w:szCs w:val="21"/>
        </w:rPr>
        <w:t>.</w:t>
      </w:r>
      <w:r>
        <w:rPr>
          <w:rStyle w:val="32"/>
          <w:rFonts w:ascii="Times New Roman" w:hAnsi="Times New Roman"/>
          <w:bCs w:val="0"/>
          <w:caps w:val="0"/>
          <w:kern w:val="0"/>
          <w:sz w:val="21"/>
          <w:szCs w:val="21"/>
        </w:rPr>
        <w:t>4</w:t>
      </w:r>
      <w:r>
        <w:rPr>
          <w:rStyle w:val="32"/>
          <w:rFonts w:hint="eastAsia" w:ascii="Times New Roman" w:hAnsi="Times New Roman"/>
          <w:bCs w:val="0"/>
          <w:caps w:val="0"/>
          <w:kern w:val="0"/>
          <w:sz w:val="21"/>
          <w:szCs w:val="21"/>
        </w:rPr>
        <w:t xml:space="preserve">  风险后果评价</w:t>
      </w:r>
      <w:bookmarkEnd w:id="55"/>
    </w:p>
    <w:p>
      <w:pPr>
        <w:rPr>
          <w:highlight w:val="yellow"/>
        </w:rPr>
      </w:pPr>
      <w:r>
        <w:t>8</w:t>
      </w:r>
      <w:r>
        <w:rPr>
          <w:rFonts w:hint="eastAsia"/>
        </w:rPr>
        <w:t>.</w:t>
      </w:r>
      <w:r>
        <w:t>4</w:t>
      </w:r>
      <w:r>
        <w:rPr>
          <w:rFonts w:hint="eastAsia"/>
        </w:rPr>
        <w:t>.1  地下病害体风险评估单元风险发生后果评价应综合考虑不同影响因素，宜包括地下病害体范围、建（构）筑物分布情况、人员密集程度、财产密度和社会影响。</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8.4.1</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地下病害体风险评估单元风险发生后果评价指标</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5811"/>
        <w:gridCol w:w="10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评价指标</w:t>
            </w:r>
          </w:p>
        </w:tc>
        <w:tc>
          <w:tcPr>
            <w:tcW w:w="5811"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评价依据</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取值范围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978" w:type="dxa"/>
            <w:vMerge w:val="restart"/>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sz w:val="18"/>
                <w:szCs w:val="18"/>
              </w:rPr>
              <w:t>建（构）筑物分布情况</w:t>
            </w:r>
            <m:oMath>
              <m:sSub>
                <m:sSubPr>
                  <m:ctrlPr>
                    <w:rPr>
                      <w:rFonts w:ascii="Cambria Math" w:hAnsi="Cambria Math" w:cs="Times New Roman"/>
                      <w:i/>
                      <w:sz w:val="18"/>
                      <w:szCs w:val="18"/>
                    </w:rPr>
                  </m:ctrlPr>
                </m:sSubPr>
                <m:e>
                  <m:r>
                    <m:rPr/>
                    <w:rPr>
                      <w:rFonts w:ascii="Cambria Math" w:hAnsi="Cambria Math" w:cs="Times New Roman"/>
                      <w:sz w:val="18"/>
                      <w:szCs w:val="18"/>
                    </w:rPr>
                    <m:t>P</m:t>
                  </m:r>
                  <m:ctrlPr>
                    <w:rPr>
                      <w:rFonts w:ascii="Cambria Math" w:hAnsi="Cambria Math" w:cs="Times New Roman"/>
                      <w:i/>
                      <w:sz w:val="18"/>
                      <w:szCs w:val="18"/>
                    </w:rPr>
                  </m:ctrlPr>
                </m:e>
                <m:sub>
                  <m:r>
                    <m:rPr/>
                    <w:rPr>
                      <w:rFonts w:ascii="Cambria Math" w:hAnsi="Cambria Math" w:cs="Times New Roman"/>
                      <w:sz w:val="18"/>
                      <w:szCs w:val="18"/>
                    </w:rPr>
                    <m:t>r1</m:t>
                  </m:r>
                  <m:ctrlPr>
                    <w:rPr>
                      <w:rFonts w:ascii="Cambria Math" w:hAnsi="Cambria Math" w:cs="Times New Roman"/>
                      <w:i/>
                      <w:sz w:val="18"/>
                      <w:szCs w:val="18"/>
                    </w:rPr>
                  </m:ctrlPr>
                </m:sub>
              </m:sSub>
            </m:oMath>
          </w:p>
        </w:tc>
        <w:tc>
          <w:tcPr>
            <w:tcW w:w="5811" w:type="dxa"/>
            <w:vAlign w:val="center"/>
          </w:tcPr>
          <w:p>
            <w:pPr>
              <w:pStyle w:val="84"/>
              <w:jc w:val="left"/>
              <w:rPr>
                <w:rFonts w:ascii="Calibri" w:hAnsi="Calibri" w:cs="Times New Roman"/>
                <w:szCs w:val="18"/>
              </w:rPr>
            </w:pPr>
            <w:r>
              <w:rPr>
                <w:rFonts w:ascii="Calibri" w:hAnsi="Calibri" w:cs="Times New Roman"/>
                <w:szCs w:val="18"/>
              </w:rPr>
              <w:t>具有下列情况之一：</w:t>
            </w:r>
          </w:p>
          <w:p>
            <w:pPr>
              <w:pStyle w:val="84"/>
              <w:jc w:val="left"/>
              <w:rPr>
                <w:rFonts w:ascii="Calibri" w:hAnsi="Calibri" w:cs="Times New Roman"/>
                <w:szCs w:val="18"/>
              </w:rPr>
            </w:pPr>
            <w:r>
              <w:rPr>
                <w:rFonts w:ascii="Calibri" w:hAnsi="Calibri" w:cs="Times New Roman"/>
                <w:szCs w:val="18"/>
              </w:rPr>
              <w:t>1  风险评估单元内有燃气或危险性较大的工业管线；</w:t>
            </w:r>
          </w:p>
          <w:p>
            <w:pPr>
              <w:pStyle w:val="74"/>
              <w:spacing w:before="0" w:beforeAutospacing="0" w:after="0" w:afterAutospacing="0"/>
              <w:rPr>
                <w:rFonts w:ascii="Times New Roman" w:hAnsi="Times New Roman" w:cs="Times New Roman"/>
                <w:kern w:val="2"/>
                <w:sz w:val="18"/>
                <w:szCs w:val="18"/>
              </w:rPr>
            </w:pPr>
            <w:r>
              <w:rPr>
                <w:rFonts w:ascii="Times New Roman" w:hAnsi="Times New Roman" w:cs="Times New Roman"/>
                <w:sz w:val="18"/>
                <w:szCs w:val="18"/>
              </w:rPr>
              <w:t>2  风险评估单元内有高层建筑、地铁、地下建筑、政府机构、医院等重要设施或建筑</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sz w:val="18"/>
                <w:szCs w:val="18"/>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5811" w:type="dxa"/>
            <w:vAlign w:val="center"/>
          </w:tcPr>
          <w:p>
            <w:pPr>
              <w:pStyle w:val="84"/>
              <w:jc w:val="left"/>
              <w:rPr>
                <w:rFonts w:ascii="Calibri" w:hAnsi="Calibri" w:cs="Times New Roman"/>
                <w:szCs w:val="18"/>
              </w:rPr>
            </w:pPr>
            <w:r>
              <w:rPr>
                <w:rFonts w:ascii="Calibri" w:hAnsi="Calibri" w:cs="Times New Roman"/>
                <w:szCs w:val="18"/>
              </w:rPr>
              <w:t>具有下列情况之一：</w:t>
            </w:r>
          </w:p>
          <w:p>
            <w:pPr>
              <w:pStyle w:val="84"/>
              <w:jc w:val="left"/>
              <w:rPr>
                <w:rFonts w:ascii="Calibri" w:hAnsi="Calibri" w:cs="Times New Roman"/>
                <w:szCs w:val="18"/>
              </w:rPr>
            </w:pPr>
            <w:r>
              <w:rPr>
                <w:rFonts w:ascii="Calibri" w:hAnsi="Calibri" w:cs="Times New Roman"/>
                <w:szCs w:val="18"/>
              </w:rPr>
              <w:t>1</w:t>
            </w:r>
            <w:r>
              <w:rPr>
                <w:rFonts w:hint="eastAsia" w:ascii="Calibri" w:hAnsi="Calibri" w:cs="Times New Roman"/>
                <w:szCs w:val="18"/>
              </w:rPr>
              <w:t xml:space="preserve"> </w:t>
            </w:r>
            <w:r>
              <w:rPr>
                <w:rFonts w:ascii="Calibri" w:hAnsi="Calibri" w:cs="Times New Roman"/>
                <w:szCs w:val="18"/>
              </w:rPr>
              <w:t xml:space="preserve"> </w:t>
            </w:r>
            <w:r>
              <w:rPr>
                <w:rFonts w:hint="eastAsia" w:ascii="Calibri" w:hAnsi="Calibri" w:cs="Times New Roman"/>
                <w:szCs w:val="18"/>
              </w:rPr>
              <w:t>风险评估单元</w:t>
            </w:r>
            <w:r>
              <w:rPr>
                <w:rFonts w:ascii="Calibri" w:hAnsi="Calibri" w:cs="Times New Roman"/>
                <w:szCs w:val="18"/>
              </w:rPr>
              <w:t>内有热力或危险性较小的</w:t>
            </w:r>
            <w:r>
              <w:rPr>
                <w:rFonts w:hint="eastAsia" w:ascii="Calibri" w:hAnsi="Calibri" w:cs="Times New Roman"/>
                <w:szCs w:val="18"/>
              </w:rPr>
              <w:t>工业</w:t>
            </w:r>
            <w:r>
              <w:rPr>
                <w:rFonts w:ascii="Calibri" w:hAnsi="Calibri" w:cs="Times New Roman"/>
                <w:szCs w:val="18"/>
              </w:rPr>
              <w:t>管线；</w:t>
            </w:r>
          </w:p>
          <w:p>
            <w:pPr>
              <w:pStyle w:val="84"/>
              <w:jc w:val="left"/>
              <w:rPr>
                <w:rFonts w:ascii="Calibri" w:hAnsi="Calibri" w:cs="Times New Roman"/>
                <w:szCs w:val="18"/>
              </w:rPr>
            </w:pPr>
            <w:r>
              <w:rPr>
                <w:rFonts w:ascii="Calibri" w:hAnsi="Calibri" w:cs="Times New Roman"/>
                <w:szCs w:val="18"/>
              </w:rPr>
              <w:t>2</w:t>
            </w:r>
            <w:r>
              <w:rPr>
                <w:rFonts w:hint="eastAsia" w:ascii="Calibri" w:hAnsi="Calibri" w:cs="Times New Roman"/>
                <w:szCs w:val="18"/>
              </w:rPr>
              <w:t xml:space="preserve"> </w:t>
            </w:r>
            <w:r>
              <w:rPr>
                <w:rFonts w:ascii="Calibri" w:hAnsi="Calibri" w:cs="Times New Roman"/>
                <w:szCs w:val="18"/>
              </w:rPr>
              <w:t xml:space="preserve"> </w:t>
            </w:r>
            <w:r>
              <w:rPr>
                <w:rFonts w:hint="eastAsia" w:ascii="Calibri" w:hAnsi="Calibri" w:cs="Times New Roman"/>
                <w:szCs w:val="18"/>
              </w:rPr>
              <w:t>风险评估单元</w:t>
            </w:r>
            <w:r>
              <w:rPr>
                <w:rFonts w:ascii="Calibri" w:hAnsi="Calibri" w:cs="Times New Roman"/>
                <w:szCs w:val="18"/>
              </w:rPr>
              <w:t>内有军事管线等重要设施；</w:t>
            </w:r>
          </w:p>
          <w:p>
            <w:pPr>
              <w:pStyle w:val="74"/>
              <w:spacing w:before="0" w:beforeAutospacing="0" w:after="0" w:afterAutospacing="0"/>
              <w:rPr>
                <w:rFonts w:ascii="Times New Roman" w:hAnsi="Times New Roman" w:cs="Times New Roman"/>
                <w:kern w:val="2"/>
                <w:sz w:val="18"/>
                <w:szCs w:val="18"/>
              </w:rPr>
            </w:pPr>
            <w:r>
              <w:rPr>
                <w:rFonts w:ascii="Times New Roman" w:hAnsi="Times New Roman" w:cs="Times New Roman"/>
                <w:kern w:val="2"/>
                <w:sz w:val="18"/>
                <w:szCs w:val="18"/>
              </w:rPr>
              <w:t>3</w:t>
            </w:r>
            <w:r>
              <w:rPr>
                <w:rFonts w:hint="eastAsia" w:ascii="Times New Roman" w:hAnsi="Times New Roman" w:cs="Times New Roman"/>
                <w:kern w:val="2"/>
                <w:sz w:val="18"/>
                <w:szCs w:val="18"/>
              </w:rPr>
              <w:t xml:space="preserve"> </w:t>
            </w:r>
            <w:r>
              <w:rPr>
                <w:rFonts w:ascii="Times New Roman" w:hAnsi="Times New Roman" w:cs="Times New Roman"/>
                <w:kern w:val="2"/>
                <w:sz w:val="18"/>
                <w:szCs w:val="18"/>
              </w:rPr>
              <w:t xml:space="preserve"> </w:t>
            </w:r>
            <w:r>
              <w:rPr>
                <w:rFonts w:hint="eastAsia" w:ascii="Times New Roman" w:hAnsi="Times New Roman" w:cs="Times New Roman"/>
                <w:kern w:val="2"/>
                <w:sz w:val="18"/>
                <w:szCs w:val="18"/>
              </w:rPr>
              <w:t>风险评估单元</w:t>
            </w:r>
            <w:r>
              <w:rPr>
                <w:rFonts w:ascii="Times New Roman" w:hAnsi="Times New Roman" w:cs="Times New Roman"/>
                <w:kern w:val="2"/>
                <w:sz w:val="18"/>
                <w:szCs w:val="18"/>
              </w:rPr>
              <w:t>内</w:t>
            </w:r>
            <w:r>
              <w:rPr>
                <w:rFonts w:hint="eastAsia" w:ascii="Times New Roman" w:hAnsi="Times New Roman" w:cs="Times New Roman"/>
                <w:kern w:val="2"/>
                <w:sz w:val="18"/>
                <w:szCs w:val="18"/>
              </w:rPr>
              <w:t>有</w:t>
            </w:r>
            <w:r>
              <w:rPr>
                <w:rFonts w:ascii="Times New Roman" w:hAnsi="Times New Roman" w:cs="Times New Roman"/>
                <w:kern w:val="2"/>
                <w:sz w:val="18"/>
                <w:szCs w:val="18"/>
              </w:rPr>
              <w:t>多层建筑、防空洞等建筑</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70~90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5811" w:type="dxa"/>
            <w:vAlign w:val="center"/>
          </w:tcPr>
          <w:p>
            <w:pPr>
              <w:pStyle w:val="84"/>
              <w:jc w:val="left"/>
              <w:rPr>
                <w:rFonts w:ascii="Calibri" w:hAnsi="Calibri" w:cs="Times New Roman"/>
                <w:szCs w:val="18"/>
              </w:rPr>
            </w:pPr>
            <w:r>
              <w:rPr>
                <w:rFonts w:hint="eastAsia" w:ascii="Calibri" w:hAnsi="Calibri" w:cs="Times New Roman"/>
                <w:szCs w:val="18"/>
              </w:rPr>
              <w:t>风险评估单元</w:t>
            </w:r>
            <w:r>
              <w:rPr>
                <w:rFonts w:ascii="Calibri" w:hAnsi="Calibri" w:cs="Times New Roman"/>
                <w:szCs w:val="18"/>
              </w:rPr>
              <w:t>内有给水、排水或高压电力管线</w:t>
            </w:r>
          </w:p>
        </w:tc>
        <w:tc>
          <w:tcPr>
            <w:tcW w:w="1019" w:type="dxa"/>
            <w:vAlign w:val="center"/>
          </w:tcPr>
          <w:p>
            <w:pPr>
              <w:pStyle w:val="84"/>
              <w:rPr>
                <w:rFonts w:ascii="Calibri" w:hAnsi="Calibri" w:cs="Times New Roman"/>
                <w:szCs w:val="18"/>
              </w:rPr>
            </w:pPr>
            <w:r>
              <w:rPr>
                <w:rFonts w:hint="eastAsia" w:ascii="Calibri" w:hAnsi="Calibri" w:cs="Times New Roman"/>
                <w:szCs w:val="18"/>
              </w:rPr>
              <w:t>50~70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5811" w:type="dxa"/>
            <w:vAlign w:val="center"/>
          </w:tcPr>
          <w:p>
            <w:pPr>
              <w:pStyle w:val="84"/>
              <w:jc w:val="both"/>
              <w:rPr>
                <w:rFonts w:ascii="Calibri" w:hAnsi="Calibri" w:cs="Times New Roman"/>
                <w:szCs w:val="18"/>
              </w:rPr>
            </w:pPr>
            <w:r>
              <w:rPr>
                <w:rFonts w:hint="eastAsia" w:ascii="Calibri" w:hAnsi="Calibri" w:cs="Times New Roman"/>
                <w:szCs w:val="18"/>
              </w:rPr>
              <w:t>风险评估单元</w:t>
            </w:r>
            <w:r>
              <w:rPr>
                <w:rFonts w:ascii="Calibri" w:hAnsi="Calibri" w:cs="Times New Roman"/>
                <w:szCs w:val="18"/>
              </w:rPr>
              <w:t>内有电信管线或其他设施</w:t>
            </w:r>
          </w:p>
        </w:tc>
        <w:tc>
          <w:tcPr>
            <w:tcW w:w="1019" w:type="dxa"/>
            <w:vAlign w:val="center"/>
          </w:tcPr>
          <w:p>
            <w:pPr>
              <w:pStyle w:val="84"/>
              <w:rPr>
                <w:rFonts w:ascii="Calibri" w:hAnsi="Calibri" w:cs="Times New Roman"/>
                <w:szCs w:val="18"/>
              </w:rPr>
            </w:pPr>
            <w:r>
              <w:rPr>
                <w:rFonts w:hint="eastAsia" w:ascii="Calibri" w:hAnsi="Calibri" w:cs="Times New Roman"/>
                <w:szCs w:val="18"/>
              </w:rPr>
              <w:t>20~50</w:t>
            </w:r>
          </w:p>
        </w:tc>
      </w:tr>
    </w:tbl>
    <w:p>
      <w:pPr>
        <w:spacing w:before="240"/>
        <w:jc w:val="center"/>
        <w:rPr>
          <w:bCs/>
        </w:rPr>
      </w:pPr>
      <w:r>
        <w:rPr>
          <w:rFonts w:hint="eastAsia" w:ascii="Times" w:hAnsi="Times"/>
          <w:bCs/>
        </w:rPr>
        <w:t>续表</w:t>
      </w:r>
      <w:r>
        <w:rPr>
          <w:rFonts w:ascii="Times" w:hAnsi="Times"/>
          <w:bCs/>
        </w:rPr>
        <w:t>8.4.1</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5811"/>
        <w:gridCol w:w="10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评价指标</w:t>
            </w:r>
          </w:p>
        </w:tc>
        <w:tc>
          <w:tcPr>
            <w:tcW w:w="5811"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评价依据</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sz w:val="18"/>
                <w:szCs w:val="18"/>
              </w:rPr>
              <w:t>取值范围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人员密集程度</w:t>
            </w:r>
            <m:oMath>
              <m:sSub>
                <m:sSubPr>
                  <m:ctrlPr>
                    <w:rPr>
                      <w:rFonts w:ascii="Cambria Math" w:hAnsi="Cambria Math" w:cs="Times New Roman"/>
                      <w:sz w:val="18"/>
                      <w:szCs w:val="18"/>
                    </w:rPr>
                  </m:ctrlPr>
                </m:sSubPr>
                <m:e>
                  <m:r>
                    <m:rPr/>
                    <w:rPr>
                      <w:rFonts w:hint="eastAsia" w:ascii="Cambria Math" w:hAnsi="Cambria Math" w:cs="Times New Roman"/>
                      <w:sz w:val="18"/>
                      <w:szCs w:val="18"/>
                    </w:rPr>
                    <m:t>P</m:t>
                  </m:r>
                  <m:ctrlPr>
                    <w:rPr>
                      <w:rFonts w:ascii="Cambria Math" w:hAnsi="Cambria Math" w:cs="Times New Roman"/>
                      <w:sz w:val="18"/>
                      <w:szCs w:val="18"/>
                    </w:rPr>
                  </m:ctrlPr>
                </m:e>
                <m:sub>
                  <m:r>
                    <m:rPr/>
                    <w:rPr>
                      <w:rFonts w:hint="eastAsia" w:ascii="Cambria Math" w:hAnsi="Cambria Math" w:cs="Times New Roman"/>
                      <w:sz w:val="18"/>
                      <w:szCs w:val="18"/>
                    </w:rPr>
                    <m:t>r</m:t>
                  </m:r>
                  <m:r>
                    <m:rPr>
                      <m:sty m:val="p"/>
                    </m:rPr>
                    <w:rPr>
                      <w:rFonts w:ascii="Cambria Math" w:hAnsi="Cambria Math" w:cs="Times New Roman"/>
                      <w:sz w:val="18"/>
                      <w:szCs w:val="18"/>
                    </w:rPr>
                    <m:t>2</m:t>
                  </m:r>
                  <m:ctrlPr>
                    <w:rPr>
                      <w:rFonts w:ascii="Cambria Math" w:hAnsi="Cambria Math" w:cs="Times New Roman"/>
                      <w:sz w:val="18"/>
                      <w:szCs w:val="18"/>
                    </w:rPr>
                  </m:ctrlPr>
                </m:sub>
              </m:sSub>
            </m:oMath>
          </w:p>
        </w:tc>
        <w:tc>
          <w:tcPr>
            <w:tcW w:w="5811"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具有下列情况之一：</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1</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hint="eastAsia" w:ascii="Times New Roman" w:hAnsi="Times New Roman" w:cs="Times New Roman"/>
                <w:sz w:val="18"/>
                <w:szCs w:val="18"/>
              </w:rPr>
              <w:t>风险评估单元内有大型商场、体育场、演出场所、大型广场、学校等重要公共建筑物或人员聚集场所；</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2</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hint="eastAsia" w:ascii="Times New Roman" w:hAnsi="Times New Roman" w:cs="Times New Roman"/>
                <w:sz w:val="18"/>
                <w:szCs w:val="18"/>
              </w:rPr>
              <w:t>风险评估单元内有公交车站、地铁站等；</w:t>
            </w:r>
          </w:p>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3</w:t>
            </w:r>
            <w:r>
              <w:rPr>
                <w:rFonts w:hint="eastAsia" w:ascii="Times New Roman" w:hAnsi="Times New Roman" w:cs="Times New Roman"/>
                <w:sz w:val="18"/>
                <w:szCs w:val="18"/>
              </w:rPr>
              <w:t xml:space="preserve"> </w:t>
            </w:r>
            <w:r>
              <w:rPr>
                <w:rFonts w:ascii="Times New Roman" w:hAnsi="Times New Roman" w:cs="Times New Roman"/>
                <w:sz w:val="18"/>
                <w:szCs w:val="18"/>
              </w:rPr>
              <w:t xml:space="preserve"> </w:t>
            </w:r>
            <w:r>
              <w:rPr>
                <w:rFonts w:hint="eastAsia" w:ascii="Times New Roman" w:hAnsi="Times New Roman" w:cs="Times New Roman"/>
                <w:sz w:val="18"/>
                <w:szCs w:val="18"/>
              </w:rPr>
              <w:t>所在道路车流、人流量大</w:t>
            </w:r>
          </w:p>
        </w:tc>
        <w:tc>
          <w:tcPr>
            <w:tcW w:w="1019"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5811" w:type="dxa"/>
            <w:vAlign w:val="center"/>
          </w:tcPr>
          <w:p>
            <w:pPr>
              <w:pStyle w:val="84"/>
              <w:jc w:val="left"/>
              <w:rPr>
                <w:rFonts w:ascii="Calibri" w:hAnsi="Calibri" w:cs="Times New Roman"/>
                <w:szCs w:val="18"/>
              </w:rPr>
            </w:pPr>
            <w:r>
              <w:rPr>
                <w:rFonts w:ascii="Calibri" w:hAnsi="Calibri" w:cs="Times New Roman"/>
                <w:szCs w:val="18"/>
              </w:rPr>
              <w:t>具有下列情况之一：</w:t>
            </w:r>
          </w:p>
          <w:p>
            <w:pPr>
              <w:pStyle w:val="84"/>
              <w:jc w:val="left"/>
              <w:rPr>
                <w:rFonts w:ascii="Calibri" w:hAnsi="Calibri" w:cs="Times New Roman"/>
                <w:szCs w:val="18"/>
              </w:rPr>
            </w:pPr>
            <w:r>
              <w:rPr>
                <w:rFonts w:ascii="Calibri" w:hAnsi="Calibri" w:cs="Times New Roman"/>
                <w:szCs w:val="18"/>
              </w:rPr>
              <w:t>1</w:t>
            </w:r>
            <w:r>
              <w:rPr>
                <w:rFonts w:hint="eastAsia" w:ascii="Calibri" w:hAnsi="Calibri" w:cs="Times New Roman"/>
                <w:szCs w:val="18"/>
              </w:rPr>
              <w:t xml:space="preserve"> </w:t>
            </w:r>
            <w:r>
              <w:rPr>
                <w:rFonts w:ascii="Calibri" w:hAnsi="Calibri" w:cs="Times New Roman"/>
                <w:szCs w:val="18"/>
              </w:rPr>
              <w:t xml:space="preserve"> </w:t>
            </w:r>
            <w:r>
              <w:rPr>
                <w:rFonts w:hint="eastAsia" w:ascii="Calibri" w:hAnsi="Calibri" w:cs="Times New Roman"/>
                <w:szCs w:val="18"/>
              </w:rPr>
              <w:t>风险评估单元内有中小型商场、办公场所、居民楼等人员较多的场所；</w:t>
            </w:r>
          </w:p>
          <w:p>
            <w:pPr>
              <w:pStyle w:val="74"/>
              <w:spacing w:before="0" w:beforeAutospacing="0" w:after="0" w:afterAutospacing="0"/>
              <w:rPr>
                <w:rFonts w:ascii="Times New Roman" w:hAnsi="Times New Roman" w:cs="Times New Roman"/>
                <w:kern w:val="2"/>
                <w:sz w:val="18"/>
                <w:szCs w:val="18"/>
              </w:rPr>
            </w:pPr>
            <w:r>
              <w:rPr>
                <w:rFonts w:ascii="Times New Roman" w:hAnsi="Times New Roman" w:cs="Times New Roman"/>
                <w:kern w:val="2"/>
                <w:sz w:val="18"/>
                <w:szCs w:val="18"/>
              </w:rPr>
              <w:t>2</w:t>
            </w:r>
            <w:r>
              <w:rPr>
                <w:rFonts w:hint="eastAsia" w:ascii="Times New Roman" w:hAnsi="Times New Roman" w:cs="Times New Roman"/>
                <w:kern w:val="2"/>
                <w:sz w:val="18"/>
                <w:szCs w:val="18"/>
              </w:rPr>
              <w:t xml:space="preserve"> </w:t>
            </w:r>
            <w:r>
              <w:rPr>
                <w:rFonts w:ascii="Times New Roman" w:hAnsi="Times New Roman" w:cs="Times New Roman"/>
                <w:kern w:val="2"/>
                <w:sz w:val="18"/>
                <w:szCs w:val="18"/>
              </w:rPr>
              <w:t xml:space="preserve"> </w:t>
            </w:r>
            <w:r>
              <w:rPr>
                <w:rFonts w:hint="eastAsia" w:ascii="Times New Roman" w:hAnsi="Times New Roman" w:cs="Times New Roman"/>
                <w:kern w:val="2"/>
                <w:sz w:val="18"/>
                <w:szCs w:val="18"/>
              </w:rPr>
              <w:t>风险评估单元所在道路车流量、人流量较大</w:t>
            </w:r>
          </w:p>
        </w:tc>
        <w:tc>
          <w:tcPr>
            <w:tcW w:w="1019"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kern w:val="2"/>
                <w:sz w:val="18"/>
                <w:szCs w:val="18"/>
              </w:rPr>
            </w:pPr>
          </w:p>
        </w:tc>
        <w:tc>
          <w:tcPr>
            <w:tcW w:w="5811" w:type="dxa"/>
            <w:vAlign w:val="center"/>
          </w:tcPr>
          <w:p>
            <w:pPr>
              <w:pStyle w:val="84"/>
              <w:jc w:val="left"/>
              <w:rPr>
                <w:rFonts w:ascii="Calibri" w:hAnsi="Calibri" w:cs="Times New Roman"/>
                <w:szCs w:val="18"/>
              </w:rPr>
            </w:pPr>
            <w:r>
              <w:rPr>
                <w:rFonts w:hint="eastAsia" w:ascii="Calibri" w:hAnsi="Calibri" w:cs="Times New Roman"/>
                <w:szCs w:val="18"/>
              </w:rPr>
              <w:t>其他情况</w:t>
            </w:r>
          </w:p>
        </w:tc>
        <w:tc>
          <w:tcPr>
            <w:tcW w:w="1019" w:type="dxa"/>
          </w:tcPr>
          <w:p>
            <w:pPr>
              <w:pStyle w:val="84"/>
              <w:rPr>
                <w:rFonts w:ascii="Calibri" w:hAnsi="Calibri" w:cs="Times New Roman"/>
                <w:szCs w:val="18"/>
              </w:rPr>
            </w:pPr>
            <w:r>
              <w:rPr>
                <w:rFonts w:hint="eastAsia" w:ascii="Calibri" w:hAnsi="Calibri" w:cs="Times New Roman"/>
                <w:szCs w:val="18"/>
              </w:rPr>
              <w:t>30~60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财产及危化品设施分布</w:t>
            </w:r>
            <m:oMath>
              <m:sSub>
                <m:sSubPr>
                  <m:ctrlPr>
                    <w:rPr>
                      <w:rFonts w:ascii="Cambria Math" w:hAnsi="Cambria Math" w:cs="Times New Roman"/>
                      <w:sz w:val="18"/>
                      <w:szCs w:val="18"/>
                    </w:rPr>
                  </m:ctrlPr>
                </m:sSubPr>
                <m:e>
                  <m:r>
                    <m:rPr/>
                    <w:rPr>
                      <w:rFonts w:hint="eastAsia" w:ascii="Cambria Math" w:hAnsi="Cambria Math" w:cs="Times New Roman"/>
                      <w:sz w:val="18"/>
                      <w:szCs w:val="18"/>
                    </w:rPr>
                    <m:t>P</m:t>
                  </m:r>
                  <m:ctrlPr>
                    <w:rPr>
                      <w:rFonts w:ascii="Cambria Math" w:hAnsi="Cambria Math" w:cs="Times New Roman"/>
                      <w:sz w:val="18"/>
                      <w:szCs w:val="18"/>
                    </w:rPr>
                  </m:ctrlPr>
                </m:e>
                <m:sub>
                  <m:r>
                    <m:rPr/>
                    <w:rPr>
                      <w:rFonts w:hint="eastAsia" w:ascii="Cambria Math" w:hAnsi="Cambria Math" w:cs="Times New Roman"/>
                      <w:sz w:val="18"/>
                      <w:szCs w:val="18"/>
                    </w:rPr>
                    <m:t>r</m:t>
                  </m:r>
                  <m:r>
                    <m:rPr>
                      <m:sty m:val="p"/>
                    </m:rPr>
                    <w:rPr>
                      <w:rFonts w:ascii="Cambria Math" w:hAnsi="Cambria Math" w:cs="Times New Roman"/>
                      <w:sz w:val="18"/>
                      <w:szCs w:val="18"/>
                    </w:rPr>
                    <m:t>3</m:t>
                  </m:r>
                  <m:ctrlPr>
                    <w:rPr>
                      <w:rFonts w:ascii="Cambria Math" w:hAnsi="Cambria Math" w:cs="Times New Roman"/>
                      <w:sz w:val="18"/>
                      <w:szCs w:val="18"/>
                    </w:rPr>
                  </m:ctrlPr>
                </m:sub>
              </m:sSub>
            </m:oMath>
          </w:p>
        </w:tc>
        <w:tc>
          <w:tcPr>
            <w:tcW w:w="5811" w:type="dxa"/>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风险评估单元</w:t>
            </w:r>
            <w:r>
              <w:rPr>
                <w:rFonts w:ascii="Times New Roman" w:hAnsi="Times New Roman" w:cs="Times New Roman"/>
                <w:sz w:val="18"/>
                <w:szCs w:val="18"/>
              </w:rPr>
              <w:t>范围内有金融机构、大型商场、企业总部、危险化学品设施等财产密集或危险性极大的场所</w:t>
            </w:r>
          </w:p>
        </w:tc>
        <w:tc>
          <w:tcPr>
            <w:tcW w:w="1019"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5811" w:type="dxa"/>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不属于上述情况，但风险评估单元范围内有中小型商场、居民楼、办公场所、危险性较高设施等财产密度较高的场所</w:t>
            </w:r>
          </w:p>
        </w:tc>
        <w:tc>
          <w:tcPr>
            <w:tcW w:w="1019"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5811"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不属于上述两种情况，但</w:t>
            </w:r>
            <w:r>
              <w:rPr>
                <w:rFonts w:hint="eastAsia" w:ascii="Times New Roman" w:hAnsi="Times New Roman" w:cs="Times New Roman"/>
                <w:sz w:val="18"/>
                <w:szCs w:val="18"/>
              </w:rPr>
              <w:t>风险评估单元</w:t>
            </w:r>
            <w:r>
              <w:rPr>
                <w:rFonts w:ascii="Times New Roman" w:hAnsi="Times New Roman" w:cs="Times New Roman"/>
                <w:sz w:val="18"/>
                <w:szCs w:val="18"/>
              </w:rPr>
              <w:t>范围内有民房、危险性较低设施等，财产密度较低</w:t>
            </w:r>
          </w:p>
        </w:tc>
        <w:tc>
          <w:tcPr>
            <w:tcW w:w="1019" w:type="dxa"/>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30~60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5811" w:type="dxa"/>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风险评估单元</w:t>
            </w:r>
            <w:r>
              <w:rPr>
                <w:rFonts w:ascii="Times New Roman" w:hAnsi="Times New Roman" w:cs="Times New Roman"/>
                <w:sz w:val="18"/>
                <w:szCs w:val="18"/>
              </w:rPr>
              <w:t>范围内有较少的财产</w:t>
            </w:r>
          </w:p>
        </w:tc>
        <w:tc>
          <w:tcPr>
            <w:tcW w:w="1019" w:type="dxa"/>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10~30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5811" w:type="dxa"/>
            <w:vAlign w:val="center"/>
          </w:tcPr>
          <w:p>
            <w:pPr>
              <w:pStyle w:val="74"/>
              <w:spacing w:before="0" w:beforeAutospacing="0" w:after="0" w:afterAutospacing="0"/>
              <w:rPr>
                <w:rFonts w:ascii="Times New Roman" w:hAnsi="Times New Roman" w:cs="Times New Roman"/>
                <w:sz w:val="18"/>
                <w:szCs w:val="18"/>
              </w:rPr>
            </w:pPr>
            <w:r>
              <w:rPr>
                <w:rFonts w:ascii="Times New Roman" w:hAnsi="Times New Roman" w:cs="Times New Roman"/>
                <w:sz w:val="18"/>
                <w:szCs w:val="18"/>
              </w:rPr>
              <w:t>处于偏远区域，</w:t>
            </w:r>
            <w:r>
              <w:rPr>
                <w:rFonts w:hint="eastAsia" w:ascii="Times New Roman" w:hAnsi="Times New Roman" w:cs="Times New Roman"/>
                <w:sz w:val="18"/>
                <w:szCs w:val="18"/>
              </w:rPr>
              <w:t>风险评估单元</w:t>
            </w:r>
            <w:r>
              <w:rPr>
                <w:rFonts w:ascii="Times New Roman" w:hAnsi="Times New Roman" w:cs="Times New Roman"/>
                <w:sz w:val="18"/>
                <w:szCs w:val="18"/>
              </w:rPr>
              <w:t>范围内为草 地、农田、荒山等财产密度较低或极低的情况</w:t>
            </w:r>
          </w:p>
        </w:tc>
        <w:tc>
          <w:tcPr>
            <w:tcW w:w="1019"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社会影响</w:t>
            </w:r>
            <m:oMath>
              <m:sSub>
                <m:sSubPr>
                  <m:ctrlPr>
                    <w:rPr>
                      <w:rFonts w:ascii="Cambria Math" w:hAnsi="Cambria Math" w:cs="Times New Roman"/>
                      <w:sz w:val="18"/>
                      <w:szCs w:val="18"/>
                    </w:rPr>
                  </m:ctrlPr>
                </m:sSubPr>
                <m:e>
                  <m:r>
                    <m:rPr/>
                    <w:rPr>
                      <w:rFonts w:hint="eastAsia" w:ascii="Cambria Math" w:hAnsi="Cambria Math" w:cs="Times New Roman"/>
                      <w:sz w:val="18"/>
                      <w:szCs w:val="18"/>
                    </w:rPr>
                    <m:t>P</m:t>
                  </m:r>
                  <m:ctrlPr>
                    <w:rPr>
                      <w:rFonts w:ascii="Cambria Math" w:hAnsi="Cambria Math" w:cs="Times New Roman"/>
                      <w:sz w:val="18"/>
                      <w:szCs w:val="18"/>
                    </w:rPr>
                  </m:ctrlPr>
                </m:e>
                <m:sub>
                  <m:r>
                    <m:rPr/>
                    <w:rPr>
                      <w:rFonts w:hint="eastAsia" w:ascii="Cambria Math" w:hAnsi="Cambria Math" w:cs="Times New Roman"/>
                      <w:sz w:val="18"/>
                      <w:szCs w:val="18"/>
                    </w:rPr>
                    <m:t>r</m:t>
                  </m:r>
                  <m:r>
                    <m:rPr>
                      <m:sty m:val="p"/>
                    </m:rPr>
                    <w:rPr>
                      <w:rFonts w:ascii="Cambria Math" w:hAnsi="Cambria Math" w:cs="Times New Roman"/>
                      <w:sz w:val="18"/>
                      <w:szCs w:val="18"/>
                    </w:rPr>
                    <m:t>4</m:t>
                  </m:r>
                  <m:ctrlPr>
                    <w:rPr>
                      <w:rFonts w:ascii="Cambria Math" w:hAnsi="Cambria Math" w:cs="Times New Roman"/>
                      <w:sz w:val="18"/>
                      <w:szCs w:val="18"/>
                    </w:rPr>
                  </m:ctrlPr>
                </m:sub>
              </m:sSub>
            </m:oMath>
          </w:p>
        </w:tc>
        <w:tc>
          <w:tcPr>
            <w:tcW w:w="5811" w:type="dxa"/>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风险评估单元周边2</w:t>
            </w:r>
            <w:r>
              <w:rPr>
                <w:rFonts w:ascii="Times New Roman" w:hAnsi="Times New Roman" w:cs="Times New Roman"/>
                <w:sz w:val="18"/>
                <w:szCs w:val="18"/>
              </w:rPr>
              <w:t>00</w:t>
            </w:r>
            <w:r>
              <w:rPr>
                <w:rFonts w:hint="eastAsia" w:ascii="Times New Roman" w:hAnsi="Times New Roman" w:cs="Times New Roman"/>
                <w:sz w:val="18"/>
                <w:szCs w:val="18"/>
              </w:rPr>
              <w:t>m</w:t>
            </w:r>
            <w:r>
              <w:rPr>
                <w:rFonts w:ascii="Times New Roman" w:hAnsi="Times New Roman" w:cs="Times New Roman"/>
                <w:sz w:val="18"/>
                <w:szCs w:val="18"/>
              </w:rPr>
              <w:t>范围内</w:t>
            </w:r>
            <w:r>
              <w:rPr>
                <w:rFonts w:hint="eastAsia" w:ascii="Times New Roman" w:hAnsi="Times New Roman" w:cs="Times New Roman"/>
                <w:sz w:val="18"/>
                <w:szCs w:val="18"/>
              </w:rPr>
              <w:t>有重要</w:t>
            </w:r>
            <w:r>
              <w:rPr>
                <w:rFonts w:ascii="Times New Roman" w:hAnsi="Times New Roman" w:cs="Times New Roman"/>
                <w:sz w:val="18"/>
                <w:szCs w:val="18"/>
              </w:rPr>
              <w:t>场所</w:t>
            </w:r>
            <w:r>
              <w:rPr>
                <w:rFonts w:hint="eastAsia" w:ascii="Times New Roman" w:hAnsi="Times New Roman" w:cs="Times New Roman"/>
                <w:sz w:val="18"/>
                <w:szCs w:val="18"/>
              </w:rPr>
              <w:t>，</w:t>
            </w:r>
            <w:r>
              <w:rPr>
                <w:rFonts w:ascii="Times New Roman" w:hAnsi="Times New Roman" w:cs="Times New Roman"/>
                <w:sz w:val="18"/>
                <w:szCs w:val="18"/>
              </w:rPr>
              <w:t>包括但不限于国家、省市级标志性建筑领事馆</w:t>
            </w:r>
            <w:r>
              <w:rPr>
                <w:rFonts w:hint="eastAsia" w:ascii="Times New Roman" w:hAnsi="Times New Roman" w:cs="Times New Roman"/>
                <w:sz w:val="18"/>
                <w:szCs w:val="18"/>
              </w:rPr>
              <w:t>，</w:t>
            </w:r>
            <w:r>
              <w:rPr>
                <w:rFonts w:ascii="Times New Roman" w:hAnsi="Times New Roman" w:cs="Times New Roman"/>
                <w:sz w:val="18"/>
                <w:szCs w:val="18"/>
              </w:rPr>
              <w:t>国家党政军重要办公场所</w:t>
            </w:r>
            <w:r>
              <w:rPr>
                <w:rFonts w:hint="eastAsia" w:ascii="Times New Roman" w:hAnsi="Times New Roman" w:cs="Times New Roman"/>
                <w:sz w:val="18"/>
                <w:szCs w:val="18"/>
              </w:rPr>
              <w:t>，</w:t>
            </w:r>
            <w:r>
              <w:rPr>
                <w:rFonts w:ascii="Times New Roman" w:hAnsi="Times New Roman" w:cs="Times New Roman"/>
                <w:sz w:val="18"/>
                <w:szCs w:val="18"/>
              </w:rPr>
              <w:t>著名景点、商场等标志性场所</w:t>
            </w:r>
          </w:p>
        </w:tc>
        <w:tc>
          <w:tcPr>
            <w:tcW w:w="1019"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80~100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tcPr>
          <w:p>
            <w:pPr>
              <w:pStyle w:val="74"/>
              <w:spacing w:before="0" w:beforeAutospacing="0" w:after="0" w:afterAutospacing="0"/>
              <w:jc w:val="center"/>
              <w:rPr>
                <w:rFonts w:ascii="Times New Roman" w:hAnsi="Times New Roman" w:cs="Times New Roman"/>
                <w:sz w:val="18"/>
                <w:szCs w:val="18"/>
              </w:rPr>
            </w:pPr>
          </w:p>
        </w:tc>
        <w:tc>
          <w:tcPr>
            <w:tcW w:w="5811" w:type="dxa"/>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风险评估单元周边2</w:t>
            </w:r>
            <w:r>
              <w:rPr>
                <w:rFonts w:ascii="Times New Roman" w:hAnsi="Times New Roman" w:cs="Times New Roman"/>
                <w:sz w:val="18"/>
                <w:szCs w:val="18"/>
              </w:rPr>
              <w:t>00</w:t>
            </w:r>
            <w:r>
              <w:rPr>
                <w:rFonts w:hint="eastAsia" w:ascii="Times New Roman" w:hAnsi="Times New Roman" w:cs="Times New Roman"/>
                <w:sz w:val="18"/>
                <w:szCs w:val="18"/>
              </w:rPr>
              <w:t>m</w:t>
            </w:r>
            <w:r>
              <w:rPr>
                <w:rFonts w:ascii="Times New Roman" w:hAnsi="Times New Roman" w:cs="Times New Roman"/>
                <w:sz w:val="18"/>
                <w:szCs w:val="18"/>
              </w:rPr>
              <w:t>~</w:t>
            </w:r>
            <w:r>
              <w:rPr>
                <w:rFonts w:hint="eastAsia" w:ascii="Times New Roman" w:hAnsi="Times New Roman" w:cs="Times New Roman"/>
                <w:sz w:val="18"/>
                <w:szCs w:val="18"/>
              </w:rPr>
              <w:t>5</w:t>
            </w:r>
            <w:r>
              <w:rPr>
                <w:rFonts w:ascii="Times New Roman" w:hAnsi="Times New Roman" w:cs="Times New Roman"/>
                <w:sz w:val="18"/>
                <w:szCs w:val="18"/>
              </w:rPr>
              <w:t>00m范围内有重要场所，包括但不限于国家、省市级标志性建筑</w:t>
            </w:r>
            <w:r>
              <w:rPr>
                <w:rFonts w:hint="eastAsia" w:ascii="Times New Roman" w:hAnsi="Times New Roman" w:cs="Times New Roman"/>
                <w:sz w:val="18"/>
                <w:szCs w:val="18"/>
              </w:rPr>
              <w:t>，</w:t>
            </w:r>
            <w:r>
              <w:rPr>
                <w:rFonts w:ascii="Times New Roman" w:hAnsi="Times New Roman" w:cs="Times New Roman"/>
                <w:sz w:val="18"/>
                <w:szCs w:val="18"/>
              </w:rPr>
              <w:t>领事馆</w:t>
            </w:r>
            <w:r>
              <w:rPr>
                <w:rFonts w:hint="eastAsia" w:ascii="Times New Roman" w:hAnsi="Times New Roman" w:cs="Times New Roman"/>
                <w:sz w:val="18"/>
                <w:szCs w:val="18"/>
              </w:rPr>
              <w:t>，</w:t>
            </w:r>
            <w:r>
              <w:rPr>
                <w:rFonts w:ascii="Times New Roman" w:hAnsi="Times New Roman" w:cs="Times New Roman"/>
                <w:sz w:val="18"/>
                <w:szCs w:val="18"/>
              </w:rPr>
              <w:t>国家党政军重要办公场所</w:t>
            </w:r>
            <w:r>
              <w:rPr>
                <w:rFonts w:hint="eastAsia" w:ascii="Times New Roman" w:hAnsi="Times New Roman" w:cs="Times New Roman"/>
                <w:sz w:val="18"/>
                <w:szCs w:val="18"/>
              </w:rPr>
              <w:t>，</w:t>
            </w:r>
            <w:r>
              <w:rPr>
                <w:rFonts w:ascii="Times New Roman" w:hAnsi="Times New Roman" w:cs="Times New Roman"/>
                <w:sz w:val="18"/>
                <w:szCs w:val="18"/>
              </w:rPr>
              <w:t>著名景点、商场等标志性场所</w:t>
            </w:r>
          </w:p>
        </w:tc>
        <w:tc>
          <w:tcPr>
            <w:tcW w:w="1019"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60~80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978" w:type="dxa"/>
            <w:vMerge w:val="continue"/>
          </w:tcPr>
          <w:p>
            <w:pPr>
              <w:pStyle w:val="74"/>
              <w:spacing w:before="0" w:beforeAutospacing="0" w:after="0" w:afterAutospacing="0"/>
              <w:jc w:val="center"/>
              <w:rPr>
                <w:rFonts w:ascii="Times New Roman" w:hAnsi="Times New Roman" w:cs="Times New Roman"/>
                <w:sz w:val="18"/>
                <w:szCs w:val="18"/>
              </w:rPr>
            </w:pPr>
          </w:p>
        </w:tc>
        <w:tc>
          <w:tcPr>
            <w:tcW w:w="5811" w:type="dxa"/>
            <w:vAlign w:val="center"/>
          </w:tcPr>
          <w:p>
            <w:pPr>
              <w:pStyle w:val="74"/>
              <w:spacing w:before="0" w:beforeAutospacing="0" w:after="0" w:afterAutospacing="0"/>
              <w:rPr>
                <w:rFonts w:ascii="Times New Roman" w:hAnsi="Times New Roman" w:cs="Times New Roman"/>
                <w:sz w:val="18"/>
                <w:szCs w:val="18"/>
              </w:rPr>
            </w:pPr>
            <w:r>
              <w:rPr>
                <w:rFonts w:hint="eastAsia" w:ascii="Times New Roman" w:hAnsi="Times New Roman" w:cs="Times New Roman"/>
                <w:sz w:val="18"/>
                <w:szCs w:val="18"/>
              </w:rPr>
              <w:t>其他情况</w:t>
            </w:r>
          </w:p>
        </w:tc>
        <w:tc>
          <w:tcPr>
            <w:tcW w:w="1019"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30~60</w:t>
            </w:r>
          </w:p>
        </w:tc>
      </w:tr>
    </w:tbl>
    <w:p>
      <w:pPr>
        <w:spacing w:before="240"/>
      </w:pPr>
      <w:r>
        <w:rPr>
          <w:rFonts w:hint="eastAsia"/>
        </w:rPr>
        <w:t>8</w:t>
      </w:r>
      <w:r>
        <w:t xml:space="preserve">.4.2  </w:t>
      </w:r>
      <w:r>
        <w:rPr>
          <w:rFonts w:hint="eastAsia"/>
        </w:rPr>
        <w:t>地下病害体风险评估单元风险发生后果分值计算中具体的权重宜按照地区不同而变化，采取层次分析法，进行权重确认后评估单元风险发生后果分值宜按照下列公式计算：</w:t>
      </w:r>
    </w:p>
    <w:p>
      <w:pPr>
        <w:ind w:firstLine="420" w:firstLineChars="200"/>
        <w:jc w:val="right"/>
      </w:pPr>
      <m:oMath>
        <m:sSub>
          <m:sSubPr>
            <m:ctrlPr>
              <w:rPr>
                <w:rFonts w:ascii="Cambria Math" w:hAnsi="Cambria Math"/>
                <w:i/>
              </w:rPr>
            </m:ctrlPr>
          </m:sSubPr>
          <m:e>
            <m:r>
              <m:rPr/>
              <w:rPr>
                <w:rFonts w:hint="eastAsia" w:ascii="Cambria Math" w:hAnsi="Cambria Math"/>
              </w:rPr>
              <m:t>S</m:t>
            </m:r>
            <m:ctrlPr>
              <w:rPr>
                <w:rFonts w:ascii="Cambria Math" w:hAnsi="Cambria Math"/>
                <w:i/>
              </w:rPr>
            </m:ctrlPr>
          </m:e>
          <m:sub>
            <m:r>
              <m:rPr/>
              <w:rPr>
                <w:rFonts w:hint="eastAsia" w:ascii="Cambria Math" w:hAnsi="Cambria Math"/>
              </w:rPr>
              <m:t>G</m:t>
            </m:r>
            <m:ctrlPr>
              <w:rPr>
                <w:rFonts w:ascii="Cambria Math" w:hAnsi="Cambria Math"/>
                <w:i/>
              </w:rPr>
            </m:ctrlPr>
          </m:sub>
        </m:sSub>
        <m:r>
          <m:rPr/>
          <w:rPr>
            <w:rFonts w:ascii="Cambria Math" w:hAnsi="Cambria Math"/>
          </w:rPr>
          <m:t>=</m:t>
        </m:r>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r1</m:t>
            </m:r>
            <m:ctrlPr>
              <w:rPr>
                <w:rFonts w:ascii="Cambria Math" w:hAnsi="Cambria Math"/>
                <w:color w:val="000000"/>
              </w:rPr>
            </m:ctrlPr>
          </m:sub>
        </m:sSub>
        <m:sSub>
          <m:sSubPr>
            <m:ctrlPr>
              <w:rPr>
                <w:rFonts w:ascii="Cambria Math" w:hAnsi="Cambria Math"/>
                <w:color w:val="000000"/>
              </w:rPr>
            </m:ctrlPr>
          </m:sSubPr>
          <m:e>
            <m:r>
              <m:rPr/>
              <w:rPr>
                <w:rFonts w:ascii="Cambria Math" w:hAnsi="Cambria Math"/>
                <w:color w:val="000000"/>
              </w:rPr>
              <m:t>P</m:t>
            </m:r>
            <m:ctrlPr>
              <w:rPr>
                <w:rFonts w:ascii="Cambria Math" w:hAnsi="Cambria Math"/>
                <w:color w:val="000000"/>
              </w:rPr>
            </m:ctrlPr>
          </m:e>
          <m:sub>
            <m:r>
              <m:rPr/>
              <w:rPr>
                <w:rFonts w:ascii="Cambria Math" w:hAnsi="Cambria Math"/>
                <w:color w:val="000000"/>
              </w:rPr>
              <m:t>r1</m:t>
            </m:r>
            <m:ctrlPr>
              <w:rPr>
                <w:rFonts w:ascii="Cambria Math" w:hAnsi="Cambria Math"/>
                <w:color w:val="000000"/>
              </w:rPr>
            </m:ctrlPr>
          </m:sub>
        </m:sSub>
        <m:r>
          <m:rPr/>
          <w:rPr>
            <w:rFonts w:ascii="Cambria Math" w:hAnsi="Cambria Math"/>
            <w:color w:val="000000"/>
          </w:rPr>
          <m:t>+</m:t>
        </m:r>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r2</m:t>
            </m:r>
            <m:ctrlPr>
              <w:rPr>
                <w:rFonts w:ascii="Cambria Math" w:hAnsi="Cambria Math"/>
                <w:color w:val="000000"/>
              </w:rPr>
            </m:ctrlPr>
          </m:sub>
        </m:sSub>
        <m:sSub>
          <m:sSubPr>
            <m:ctrlPr>
              <w:rPr>
                <w:rFonts w:ascii="Cambria Math" w:hAnsi="Cambria Math"/>
                <w:color w:val="000000"/>
              </w:rPr>
            </m:ctrlPr>
          </m:sSubPr>
          <m:e>
            <m:r>
              <m:rPr/>
              <w:rPr>
                <w:rFonts w:ascii="Cambria Math" w:hAnsi="Cambria Math"/>
                <w:color w:val="000000"/>
              </w:rPr>
              <m:t>P</m:t>
            </m:r>
            <m:ctrlPr>
              <w:rPr>
                <w:rFonts w:ascii="Cambria Math" w:hAnsi="Cambria Math"/>
                <w:color w:val="000000"/>
              </w:rPr>
            </m:ctrlPr>
          </m:e>
          <m:sub>
            <m:r>
              <m:rPr/>
              <w:rPr>
                <w:rFonts w:ascii="Cambria Math" w:hAnsi="Cambria Math"/>
                <w:color w:val="000000"/>
              </w:rPr>
              <m:t>r2</m:t>
            </m:r>
            <m:ctrlPr>
              <w:rPr>
                <w:rFonts w:ascii="Cambria Math" w:hAnsi="Cambria Math"/>
                <w:color w:val="000000"/>
              </w:rPr>
            </m:ctrlPr>
          </m:sub>
        </m:sSub>
        <m:r>
          <m:rPr/>
          <w:rPr>
            <w:rFonts w:ascii="Cambria Math" w:hAnsi="Cambria Math"/>
            <w:color w:val="000000"/>
          </w:rPr>
          <m:t>+</m:t>
        </m:r>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r3</m:t>
            </m:r>
            <m:ctrlPr>
              <w:rPr>
                <w:rFonts w:ascii="Cambria Math" w:hAnsi="Cambria Math"/>
                <w:color w:val="000000"/>
              </w:rPr>
            </m:ctrlPr>
          </m:sub>
        </m:sSub>
        <m:sSub>
          <m:sSubPr>
            <m:ctrlPr>
              <w:rPr>
                <w:rFonts w:ascii="Cambria Math" w:hAnsi="Cambria Math"/>
                <w:color w:val="000000"/>
              </w:rPr>
            </m:ctrlPr>
          </m:sSubPr>
          <m:e>
            <m:r>
              <m:rPr/>
              <w:rPr>
                <w:rFonts w:ascii="Cambria Math" w:hAnsi="Cambria Math"/>
                <w:color w:val="000000"/>
              </w:rPr>
              <m:t>P</m:t>
            </m:r>
            <m:ctrlPr>
              <w:rPr>
                <w:rFonts w:ascii="Cambria Math" w:hAnsi="Cambria Math"/>
                <w:color w:val="000000"/>
              </w:rPr>
            </m:ctrlPr>
          </m:e>
          <m:sub>
            <m:r>
              <m:rPr/>
              <w:rPr>
                <w:rFonts w:ascii="Cambria Math" w:hAnsi="Cambria Math"/>
                <w:color w:val="000000"/>
              </w:rPr>
              <m:t>r3</m:t>
            </m:r>
            <m:ctrlPr>
              <w:rPr>
                <w:rFonts w:ascii="Cambria Math" w:hAnsi="Cambria Math"/>
                <w:color w:val="000000"/>
              </w:rPr>
            </m:ctrlPr>
          </m:sub>
        </m:sSub>
        <m:r>
          <m:rPr/>
          <w:rPr>
            <w:rFonts w:ascii="Cambria Math" w:hAnsi="Cambria Math"/>
            <w:color w:val="000000"/>
          </w:rPr>
          <m:t>+</m:t>
        </m:r>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r4</m:t>
            </m:r>
            <m:ctrlPr>
              <w:rPr>
                <w:rFonts w:ascii="Cambria Math" w:hAnsi="Cambria Math"/>
                <w:color w:val="000000"/>
              </w:rPr>
            </m:ctrlPr>
          </m:sub>
        </m:sSub>
        <m:sSub>
          <m:sSubPr>
            <m:ctrlPr>
              <w:rPr>
                <w:rFonts w:ascii="Cambria Math" w:hAnsi="Cambria Math"/>
                <w:color w:val="000000"/>
              </w:rPr>
            </m:ctrlPr>
          </m:sSubPr>
          <m:e>
            <m:r>
              <m:rPr/>
              <w:rPr>
                <w:rFonts w:ascii="Cambria Math" w:hAnsi="Cambria Math"/>
                <w:color w:val="000000"/>
              </w:rPr>
              <m:t>P</m:t>
            </m:r>
            <m:ctrlPr>
              <w:rPr>
                <w:rFonts w:ascii="Cambria Math" w:hAnsi="Cambria Math"/>
                <w:color w:val="000000"/>
              </w:rPr>
            </m:ctrlPr>
          </m:e>
          <m:sub>
            <m:r>
              <m:rPr/>
              <w:rPr>
                <w:rFonts w:ascii="Cambria Math" w:hAnsi="Cambria Math"/>
                <w:color w:val="000000"/>
              </w:rPr>
              <m:t>r4</m:t>
            </m:r>
            <m:ctrlPr>
              <w:rPr>
                <w:rFonts w:ascii="Cambria Math" w:hAnsi="Cambria Math"/>
                <w:color w:val="000000"/>
              </w:rPr>
            </m:ctrlPr>
          </m:sub>
        </m:sSub>
      </m:oMath>
      <w:r>
        <w:rPr>
          <w:rFonts w:hint="eastAsia"/>
        </w:rPr>
        <w:t xml:space="preserve"> </w:t>
      </w:r>
      <w:r>
        <w:t xml:space="preserve">        </w:t>
      </w:r>
      <w:r>
        <w:rPr>
          <w:rFonts w:hint="eastAsia"/>
        </w:rPr>
        <w:t>（</w:t>
      </w:r>
      <w:r>
        <w:t>8.4.2-1</w:t>
      </w:r>
      <w:r>
        <w:rPr>
          <w:rFonts w:hint="eastAsia"/>
        </w:rPr>
        <w:t>）</w:t>
      </w:r>
    </w:p>
    <w:p>
      <w:pPr>
        <w:ind w:firstLine="420" w:firstLineChars="200"/>
        <w:jc w:val="right"/>
      </w:pPr>
      <m:oMath>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r1</m:t>
            </m:r>
            <m:ctrlPr>
              <w:rPr>
                <w:rFonts w:ascii="Cambria Math" w:hAnsi="Cambria Math"/>
                <w:color w:val="000000"/>
              </w:rPr>
            </m:ctrlPr>
          </m:sub>
        </m:sSub>
        <m:r>
          <m:rPr/>
          <w:rPr>
            <w:rFonts w:ascii="Cambria Math" w:hAnsi="Cambria Math"/>
          </w:rPr>
          <m:t>+</m:t>
        </m:r>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r2</m:t>
            </m:r>
            <m:ctrlPr>
              <w:rPr>
                <w:rFonts w:ascii="Cambria Math" w:hAnsi="Cambria Math"/>
                <w:color w:val="000000"/>
              </w:rPr>
            </m:ctrlPr>
          </m:sub>
        </m:sSub>
        <m:r>
          <m:rPr/>
          <w:rPr>
            <w:rFonts w:ascii="Cambria Math" w:hAnsi="Cambria Math"/>
          </w:rPr>
          <m:t>+</m:t>
        </m:r>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r3</m:t>
            </m:r>
            <m:ctrlPr>
              <w:rPr>
                <w:rFonts w:ascii="Cambria Math" w:hAnsi="Cambria Math"/>
                <w:color w:val="000000"/>
              </w:rPr>
            </m:ctrlPr>
          </m:sub>
        </m:sSub>
        <m:r>
          <m:rPr/>
          <w:rPr>
            <w:rFonts w:ascii="Cambria Math" w:hAnsi="Cambria Math"/>
          </w:rPr>
          <m:t>+</m:t>
        </m:r>
        <m:sSub>
          <m:sSubPr>
            <m:ctrlPr>
              <w:rPr>
                <w:rFonts w:ascii="Cambria Math" w:hAnsi="Cambria Math"/>
                <w:color w:val="000000"/>
              </w:rPr>
            </m:ctrlPr>
          </m:sSubPr>
          <m:e>
            <m:r>
              <m:rPr/>
              <w:rPr>
                <w:rFonts w:ascii="Cambria Math" w:hAnsi="Cambria Math"/>
                <w:color w:val="000000"/>
              </w:rPr>
              <m:t>W</m:t>
            </m:r>
            <m:ctrlPr>
              <w:rPr>
                <w:rFonts w:ascii="Cambria Math" w:hAnsi="Cambria Math"/>
                <w:color w:val="000000"/>
              </w:rPr>
            </m:ctrlPr>
          </m:e>
          <m:sub>
            <m:r>
              <m:rPr/>
              <w:rPr>
                <w:rFonts w:ascii="Cambria Math" w:hAnsi="Cambria Math"/>
                <w:color w:val="000000"/>
              </w:rPr>
              <m:t>r4</m:t>
            </m:r>
            <m:ctrlPr>
              <w:rPr>
                <w:rFonts w:ascii="Cambria Math" w:hAnsi="Cambria Math"/>
                <w:color w:val="000000"/>
              </w:rPr>
            </m:ctrlPr>
          </m:sub>
        </m:sSub>
        <m:r>
          <m:rPr/>
          <w:rPr>
            <w:rFonts w:ascii="Cambria Math" w:hAnsi="Cambria Math"/>
          </w:rPr>
          <m:t>=1</m:t>
        </m:r>
      </m:oMath>
      <w:r>
        <w:rPr>
          <w:rFonts w:hint="eastAsia"/>
        </w:rPr>
        <w:t xml:space="preserve"> </w:t>
      </w:r>
      <w:r>
        <w:t xml:space="preserve">              </w:t>
      </w:r>
      <w:r>
        <w:rPr>
          <w:rFonts w:hint="eastAsia"/>
        </w:rPr>
        <w:t>（</w:t>
      </w:r>
      <w:r>
        <w:t>8.4.2-2</w:t>
      </w:r>
      <w:r>
        <w:rPr>
          <w:rFonts w:hint="eastAsia"/>
        </w:rPr>
        <w:t>）</w:t>
      </w:r>
    </w:p>
    <w:p>
      <w:pPr>
        <w:rPr>
          <w:color w:val="000000"/>
        </w:rPr>
      </w:pPr>
      <w:r>
        <w:rPr>
          <w:rFonts w:hint="eastAsia"/>
          <w:color w:val="000000"/>
        </w:rPr>
        <w:t>式中：</w:t>
      </w:r>
      <m:oMath>
        <m:sSub>
          <m:sSubPr>
            <m:ctrlPr>
              <w:rPr>
                <w:rFonts w:ascii="Cambria Math" w:hAnsi="Cambria Math"/>
                <w:color w:val="000000"/>
              </w:rPr>
            </m:ctrlPr>
          </m:sSubPr>
          <m:e>
            <m:r>
              <m:rPr/>
              <w:rPr>
                <w:rFonts w:ascii="Cambria Math" w:hAnsi="Cambria Math"/>
                <w:color w:val="000000"/>
              </w:rPr>
              <m:t>S</m:t>
            </m:r>
            <m:ctrlPr>
              <w:rPr>
                <w:rFonts w:ascii="Cambria Math" w:hAnsi="Cambria Math"/>
                <w:color w:val="000000"/>
              </w:rPr>
            </m:ctrlPr>
          </m:e>
          <m:sub>
            <m:r>
              <m:rPr/>
              <w:rPr>
                <w:rFonts w:hint="eastAsia" w:ascii="Cambria Math" w:hAnsi="Cambria Math"/>
                <w:color w:val="000000"/>
              </w:rPr>
              <m:t>G</m:t>
            </m:r>
            <m:ctrlPr>
              <w:rPr>
                <w:rFonts w:ascii="Cambria Math" w:hAnsi="Cambria Math"/>
                <w:color w:val="000000"/>
              </w:rPr>
            </m:ctrlPr>
          </m:sub>
        </m:sSub>
        <m:r>
          <m:rPr>
            <m:sty m:val="p"/>
          </m:rPr>
          <w:rPr>
            <w:rFonts w:ascii="Cambria Math" w:hAnsi="Cambria Math"/>
          </w:rPr>
          <m:t>—</m:t>
        </m:r>
      </m:oMath>
      <w:r>
        <w:rPr>
          <w:rFonts w:hint="eastAsia"/>
          <w:color w:val="000000"/>
        </w:rPr>
        <w:t>地下病害体风险评估单元风险发生后果分值；</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r1</m:t>
            </m:r>
            <m:ctrlPr>
              <w:rPr>
                <w:rFonts w:ascii="Cambria Math" w:hAnsi="Cambria Math"/>
                <w:i/>
              </w:rPr>
            </m:ctrlPr>
          </m:sub>
        </m:sSub>
      </m:oMath>
      <w:r>
        <w:t>—</w:t>
      </w:r>
      <w:r>
        <w:rPr>
          <w:rFonts w:hint="eastAsia"/>
        </w:rPr>
        <w:t>建（构）筑物分布情况指标；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r2</m:t>
            </m:r>
            <m:ctrlPr>
              <w:rPr>
                <w:rFonts w:ascii="Cambria Math" w:hAnsi="Cambria Math"/>
                <w:i/>
              </w:rPr>
            </m:ctrlPr>
          </m:sub>
        </m:sSub>
      </m:oMath>
      <w:r>
        <w:t>—</w:t>
      </w:r>
      <w:r>
        <w:rPr>
          <w:rFonts w:hint="eastAsia"/>
        </w:rPr>
        <w:t>人员密集程度指标；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r3</m:t>
            </m:r>
            <m:ctrlPr>
              <w:rPr>
                <w:rFonts w:ascii="Cambria Math" w:hAnsi="Cambria Math"/>
                <w:i/>
              </w:rPr>
            </m:ctrlPr>
          </m:sub>
        </m:sSub>
      </m:oMath>
      <w:r>
        <w:t>—</w:t>
      </w:r>
      <w:r>
        <w:rPr>
          <w:rFonts w:hint="eastAsia"/>
        </w:rPr>
        <w:t>财产及危化品设施分布指标；</w:t>
      </w:r>
    </w:p>
    <w:p>
      <w:pPr>
        <w:ind w:firstLine="630" w:firstLineChars="300"/>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r4</m:t>
            </m:r>
            <m:ctrlPr>
              <w:rPr>
                <w:rFonts w:ascii="Cambria Math" w:hAnsi="Cambria Math"/>
                <w:i/>
              </w:rPr>
            </m:ctrlPr>
          </m:sub>
        </m:sSub>
      </m:oMath>
      <w:r>
        <w:t>—</w:t>
      </w:r>
      <w:r>
        <w:rPr>
          <w:rFonts w:hint="eastAsia"/>
        </w:rPr>
        <w:t>社会影响指标；</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r1</m:t>
            </m:r>
            <m:ctrlPr>
              <w:rPr>
                <w:rFonts w:ascii="Cambria Math" w:hAnsi="Cambria Math"/>
                <w:i/>
              </w:rPr>
            </m:ctrlPr>
          </m:sub>
        </m:sSub>
      </m:oMath>
      <w:r>
        <w:t>—</w:t>
      </w:r>
      <w:r>
        <w:rPr>
          <w:rFonts w:hint="eastAsia"/>
        </w:rPr>
        <w:t>建（构）筑物分布情况</w:t>
      </w:r>
      <w:r>
        <w:rPr>
          <w:rFonts w:hint="eastAsia"/>
          <w:color w:val="000000"/>
        </w:rPr>
        <w:t>指标权重，取值宜在0</w:t>
      </w:r>
      <w:r>
        <w:rPr>
          <w:color w:val="000000"/>
        </w:rPr>
        <w:t>.1~0.3</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r2</m:t>
            </m:r>
            <m:ctrlPr>
              <w:rPr>
                <w:rFonts w:ascii="Cambria Math" w:hAnsi="Cambria Math"/>
                <w:i/>
              </w:rPr>
            </m:ctrlPr>
          </m:sub>
        </m:sSub>
      </m:oMath>
      <w:r>
        <w:t>—</w:t>
      </w:r>
      <w:r>
        <w:rPr>
          <w:rFonts w:hint="eastAsia"/>
        </w:rPr>
        <w:t>人员密集程度</w:t>
      </w:r>
      <w:r>
        <w:rPr>
          <w:rFonts w:hint="eastAsia"/>
          <w:color w:val="000000"/>
        </w:rPr>
        <w:t>指标权重，取值宜在0</w:t>
      </w:r>
      <w:r>
        <w:rPr>
          <w:color w:val="000000"/>
        </w:rPr>
        <w:t>.3~0.4</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r3</m:t>
            </m:r>
            <m:ctrlPr>
              <w:rPr>
                <w:rFonts w:ascii="Cambria Math" w:hAnsi="Cambria Math"/>
                <w:i/>
              </w:rPr>
            </m:ctrlPr>
          </m:sub>
        </m:sSub>
      </m:oMath>
      <w:r>
        <w:t>—</w:t>
      </w:r>
      <w:r>
        <w:rPr>
          <w:rFonts w:hint="eastAsia"/>
          <w:color w:val="000000"/>
        </w:rPr>
        <w:t>财产及危化品设施分布指标权重，取值宜在0</w:t>
      </w:r>
      <w:r>
        <w:rPr>
          <w:color w:val="000000"/>
        </w:rPr>
        <w:t>.2~0.4</w:t>
      </w:r>
      <w:r>
        <w:rPr>
          <w:rFonts w:hint="eastAsia"/>
          <w:color w:val="000000"/>
        </w:rPr>
        <w:t>之间。</w:t>
      </w:r>
    </w:p>
    <w:p>
      <w:pPr>
        <w:ind w:firstLine="630" w:firstLineChars="300"/>
        <w:rPr>
          <w:color w:val="000000"/>
        </w:rPr>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r4</m:t>
            </m:r>
            <m:ctrlPr>
              <w:rPr>
                <w:rFonts w:ascii="Cambria Math" w:hAnsi="Cambria Math"/>
                <w:i/>
              </w:rPr>
            </m:ctrlPr>
          </m:sub>
        </m:sSub>
      </m:oMath>
      <w:r>
        <w:t>—</w:t>
      </w:r>
      <w:r>
        <w:rPr>
          <w:rFonts w:hint="eastAsia"/>
          <w:color w:val="000000"/>
        </w:rPr>
        <w:t>社会影响指标权重，取值宜在0</w:t>
      </w:r>
      <w:r>
        <w:rPr>
          <w:color w:val="000000"/>
        </w:rPr>
        <w:t>.2~0.3</w:t>
      </w:r>
      <w:r>
        <w:rPr>
          <w:rFonts w:hint="eastAsia"/>
          <w:color w:val="000000"/>
        </w:rPr>
        <w:t>之间。</w:t>
      </w:r>
    </w:p>
    <w:p>
      <w:r>
        <w:rPr>
          <w:rFonts w:hint="eastAsia"/>
        </w:rPr>
        <w:t>8</w:t>
      </w:r>
      <w:r>
        <w:t xml:space="preserve">.4.3  </w:t>
      </w:r>
      <w:r>
        <w:rPr>
          <w:rFonts w:hint="eastAsia"/>
        </w:rPr>
        <w:t>地下病害体风险评估单元风险发生后果宜按表8.4.3划分为5个等级。</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8.4.3</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地下病害体风险评估单元风险发生后果等级划分</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907"/>
        <w:gridCol w:w="39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等级</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风险后果分值</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文字描述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1</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80</w:t>
            </w:r>
            <w:r>
              <w:rPr>
                <w:rFonts w:ascii="Times New Roman" w:hAnsi="Times New Roman" w:cs="Times New Roman"/>
                <w:kern w:val="2"/>
                <w:sz w:val="18"/>
                <w:szCs w:val="18"/>
              </w:rPr>
              <w:t>=&lt;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G</m:t>
                  </m:r>
                  <m:ctrlPr>
                    <w:rPr>
                      <w:rFonts w:ascii="Cambria Math" w:hAnsi="Cambria Math" w:cs="Times New Roman"/>
                      <w:kern w:val="2"/>
                      <w:sz w:val="18"/>
                      <w:szCs w:val="18"/>
                    </w:rPr>
                  </m:ctrlPr>
                </m:sub>
              </m:sSub>
            </m:oMath>
            <w:r>
              <w:rPr>
                <w:rFonts w:hint="eastAsia" w:ascii="Times New Roman" w:hAnsi="Times New Roman" w:cs="Times New Roman"/>
                <w:kern w:val="2"/>
                <w:sz w:val="18"/>
                <w:szCs w:val="18"/>
              </w:rPr>
              <w:t>&lt;100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后果影响很严重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2</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60</w:t>
            </w:r>
            <w:r>
              <w:rPr>
                <w:rFonts w:ascii="Times New Roman" w:hAnsi="Times New Roman" w:cs="Times New Roman"/>
                <w:kern w:val="2"/>
                <w:sz w:val="18"/>
                <w:szCs w:val="18"/>
              </w:rPr>
              <w:t>=&lt;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G</m:t>
                  </m:r>
                  <m:ctrlPr>
                    <w:rPr>
                      <w:rFonts w:ascii="Cambria Math" w:hAnsi="Cambria Math" w:cs="Times New Roman"/>
                      <w:kern w:val="2"/>
                      <w:sz w:val="18"/>
                      <w:szCs w:val="18"/>
                    </w:rPr>
                  </m:ctrlPr>
                </m:sub>
              </m:sSub>
            </m:oMath>
            <w:r>
              <w:rPr>
                <w:rFonts w:hint="eastAsia" w:ascii="Times New Roman" w:hAnsi="Times New Roman" w:cs="Times New Roman"/>
                <w:kern w:val="2"/>
                <w:sz w:val="18"/>
                <w:szCs w:val="18"/>
              </w:rPr>
              <w:t>＜80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后果影响较严重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3</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40</w:t>
            </w:r>
            <w:r>
              <w:rPr>
                <w:rFonts w:ascii="Times New Roman" w:hAnsi="Times New Roman" w:cs="Times New Roman"/>
                <w:kern w:val="2"/>
                <w:sz w:val="18"/>
                <w:szCs w:val="18"/>
              </w:rPr>
              <w:t>=&lt;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G</m:t>
                  </m:r>
                  <m:ctrlPr>
                    <w:rPr>
                      <w:rFonts w:ascii="Cambria Math" w:hAnsi="Cambria Math" w:cs="Times New Roman"/>
                      <w:kern w:val="2"/>
                      <w:sz w:val="18"/>
                      <w:szCs w:val="18"/>
                    </w:rPr>
                  </m:ctrlPr>
                </m:sub>
              </m:sSub>
            </m:oMath>
            <w:r>
              <w:rPr>
                <w:rFonts w:hint="eastAsia" w:ascii="Times New Roman" w:hAnsi="Times New Roman" w:cs="Times New Roman"/>
                <w:kern w:val="2"/>
                <w:sz w:val="18"/>
                <w:szCs w:val="18"/>
              </w:rPr>
              <w:t>＜60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后果影响一般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4</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20=&lt;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G</m:t>
                  </m:r>
                  <m:ctrlPr>
                    <w:rPr>
                      <w:rFonts w:ascii="Cambria Math" w:hAnsi="Cambria Math" w:cs="Times New Roman"/>
                      <w:kern w:val="2"/>
                      <w:sz w:val="18"/>
                      <w:szCs w:val="18"/>
                    </w:rPr>
                  </m:ctrlPr>
                </m:sub>
              </m:sSub>
            </m:oMath>
            <w:r>
              <w:rPr>
                <w:rFonts w:ascii="Times New Roman" w:hAnsi="Times New Roman" w:cs="Times New Roman"/>
                <w:kern w:val="2"/>
                <w:sz w:val="18"/>
                <w:szCs w:val="18"/>
              </w:rPr>
              <w:t>＜40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后果影响较小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90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5</w:t>
            </w:r>
          </w:p>
        </w:tc>
        <w:tc>
          <w:tcPr>
            <w:tcW w:w="190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0</w:t>
            </w:r>
            <w:r>
              <w:rPr>
                <w:rFonts w:ascii="Times New Roman" w:hAnsi="Times New Roman" w:cs="Times New Roman"/>
                <w:kern w:val="2"/>
                <w:sz w:val="18"/>
                <w:szCs w:val="18"/>
              </w:rPr>
              <w:t>=&lt;</w:t>
            </w:r>
            <m:oMath>
              <m:sSub>
                <m:sSubPr>
                  <m:ctrlPr>
                    <w:rPr>
                      <w:rFonts w:ascii="Cambria Math" w:hAnsi="Cambria Math" w:cs="Times New Roman"/>
                      <w:kern w:val="2"/>
                      <w:sz w:val="18"/>
                      <w:szCs w:val="18"/>
                    </w:rPr>
                  </m:ctrlPr>
                </m:sSubPr>
                <m:e>
                  <m:r>
                    <m:rPr/>
                    <w:rPr>
                      <w:rFonts w:hint="eastAsia" w:ascii="Cambria Math" w:hAnsi="Cambria Math" w:cs="Times New Roman"/>
                      <w:kern w:val="2"/>
                      <w:sz w:val="18"/>
                      <w:szCs w:val="18"/>
                    </w:rPr>
                    <m:t>S</m:t>
                  </m:r>
                  <m:ctrlPr>
                    <w:rPr>
                      <w:rFonts w:ascii="Cambria Math" w:hAnsi="Cambria Math" w:cs="Times New Roman"/>
                      <w:kern w:val="2"/>
                      <w:sz w:val="18"/>
                      <w:szCs w:val="18"/>
                    </w:rPr>
                  </m:ctrlPr>
                </m:e>
                <m:sub>
                  <m:r>
                    <m:rPr/>
                    <w:rPr>
                      <w:rFonts w:hint="eastAsia" w:ascii="Cambria Math" w:hAnsi="Cambria Math" w:cs="Times New Roman"/>
                      <w:kern w:val="2"/>
                      <w:sz w:val="18"/>
                      <w:szCs w:val="18"/>
                    </w:rPr>
                    <m:t>G</m:t>
                  </m:r>
                  <m:ctrlPr>
                    <w:rPr>
                      <w:rFonts w:ascii="Cambria Math" w:hAnsi="Cambria Math" w:cs="Times New Roman"/>
                      <w:kern w:val="2"/>
                      <w:sz w:val="18"/>
                      <w:szCs w:val="18"/>
                    </w:rPr>
                  </m:ctrlPr>
                </m:sub>
              </m:sSub>
            </m:oMath>
            <w:r>
              <w:rPr>
                <w:rFonts w:hint="eastAsia" w:ascii="Times New Roman" w:hAnsi="Times New Roman" w:cs="Times New Roman"/>
                <w:kern w:val="2"/>
                <w:sz w:val="18"/>
                <w:szCs w:val="18"/>
              </w:rPr>
              <w:t>＜20</w:t>
            </w:r>
          </w:p>
        </w:tc>
        <w:tc>
          <w:tcPr>
            <w:tcW w:w="3995"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后果影响可忽略</w:t>
            </w:r>
          </w:p>
        </w:tc>
      </w:tr>
    </w:tbl>
    <w:p>
      <w:pPr>
        <w:pStyle w:val="3"/>
        <w:widowControl/>
        <w:spacing w:after="0" w:line="360" w:lineRule="auto"/>
        <w:jc w:val="center"/>
        <w:outlineLvl w:val="1"/>
        <w:rPr>
          <w:rStyle w:val="32"/>
          <w:rFonts w:ascii="Times New Roman" w:hAnsi="Times New Roman"/>
          <w:bCs w:val="0"/>
          <w:caps w:val="0"/>
          <w:kern w:val="0"/>
          <w:sz w:val="21"/>
          <w:szCs w:val="21"/>
        </w:rPr>
      </w:pPr>
      <w:bookmarkStart w:id="56" w:name="_Toc148468249"/>
      <w:r>
        <w:rPr>
          <w:rStyle w:val="32"/>
          <w:rFonts w:ascii="Times New Roman" w:hAnsi="Times New Roman"/>
          <w:bCs w:val="0"/>
          <w:caps w:val="0"/>
          <w:kern w:val="0"/>
          <w:sz w:val="21"/>
          <w:szCs w:val="21"/>
        </w:rPr>
        <w:t>8</w:t>
      </w:r>
      <w:r>
        <w:rPr>
          <w:rStyle w:val="32"/>
          <w:rFonts w:hint="eastAsia" w:ascii="Times New Roman" w:hAnsi="Times New Roman"/>
          <w:bCs w:val="0"/>
          <w:caps w:val="0"/>
          <w:kern w:val="0"/>
          <w:sz w:val="21"/>
          <w:szCs w:val="21"/>
        </w:rPr>
        <w:t>.</w:t>
      </w:r>
      <w:r>
        <w:rPr>
          <w:rStyle w:val="32"/>
          <w:rFonts w:ascii="Times New Roman" w:hAnsi="Times New Roman"/>
          <w:bCs w:val="0"/>
          <w:caps w:val="0"/>
          <w:kern w:val="0"/>
          <w:sz w:val="21"/>
          <w:szCs w:val="21"/>
        </w:rPr>
        <w:t>5</w:t>
      </w:r>
      <w:r>
        <w:rPr>
          <w:rStyle w:val="32"/>
          <w:rFonts w:hint="eastAsia" w:ascii="Times New Roman" w:hAnsi="Times New Roman"/>
          <w:bCs w:val="0"/>
          <w:caps w:val="0"/>
          <w:kern w:val="0"/>
          <w:sz w:val="21"/>
          <w:szCs w:val="21"/>
        </w:rPr>
        <w:t xml:space="preserve">  风险等级划分与控制对策</w:t>
      </w:r>
      <w:bookmarkEnd w:id="56"/>
    </w:p>
    <w:p>
      <w:pPr>
        <w:rPr>
          <w:highlight w:val="yellow"/>
        </w:rPr>
      </w:pPr>
      <w:r>
        <w:t>8</w:t>
      </w:r>
      <w:r>
        <w:rPr>
          <w:rFonts w:hint="eastAsia"/>
        </w:rPr>
        <w:t>.</w:t>
      </w:r>
      <w:r>
        <w:t>5</w:t>
      </w:r>
      <w:r>
        <w:rPr>
          <w:rFonts w:hint="eastAsia"/>
        </w:rPr>
        <w:t>.1  地下病害体风险评价单元综合风险等级应根据风险发生可能性与风险后果评价结果，按表8.5.1划分为I、II、III、IV、V五个等级。</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8.5.1</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地下病害体风险评估单元风险综合等级划分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1211"/>
        <w:gridCol w:w="1214"/>
        <w:gridCol w:w="1214"/>
        <w:gridCol w:w="121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054" w:type="dxa"/>
            <w:tcBorders>
              <w:top w:val="single" w:color="auto" w:sz="12" w:space="0"/>
              <w:left w:val="single" w:color="auto" w:sz="12" w:space="0"/>
              <w:bottom w:val="single" w:color="auto" w:sz="8" w:space="0"/>
              <w:right w:val="single" w:color="auto" w:sz="8" w:space="0"/>
              <w:tl2br w:val="single" w:color="auto" w:sz="8" w:space="0"/>
            </w:tcBorders>
          </w:tcPr>
          <w:p>
            <w:pPr>
              <w:pStyle w:val="74"/>
              <w:spacing w:before="0" w:beforeAutospacing="0" w:after="0" w:afterAutospacing="0"/>
              <w:jc w:val="right"/>
              <w:rPr>
                <w:rFonts w:ascii="Times New Roman" w:hAnsi="Times New Roman" w:cs="Times New Roman"/>
                <w:kern w:val="2"/>
                <w:sz w:val="18"/>
                <w:szCs w:val="18"/>
              </w:rPr>
            </w:pPr>
            <w:r>
              <w:rPr>
                <w:rFonts w:hint="eastAsia" w:ascii="Times New Roman" w:hAnsi="Times New Roman" w:cs="Times New Roman"/>
                <w:kern w:val="2"/>
                <w:sz w:val="18"/>
                <w:szCs w:val="18"/>
              </w:rPr>
              <w:t>风险后果等级</w:t>
            </w:r>
          </w:p>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风险发生</w:t>
            </w:r>
          </w:p>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可能性等级</w:t>
            </w:r>
          </w:p>
        </w:tc>
        <w:tc>
          <w:tcPr>
            <w:tcW w:w="1246" w:type="dxa"/>
            <w:tcBorders>
              <w:top w:val="single" w:color="auto" w:sz="12" w:space="0"/>
              <w:left w:val="single" w:color="auto" w:sz="8" w:space="0"/>
              <w:bottom w:val="single" w:color="auto" w:sz="8" w:space="0"/>
              <w:right w:val="single" w:color="auto" w:sz="8" w:space="0"/>
            </w:tcBorders>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1</w:t>
            </w:r>
          </w:p>
        </w:tc>
        <w:tc>
          <w:tcPr>
            <w:tcW w:w="1249" w:type="dxa"/>
            <w:tcBorders>
              <w:top w:val="single" w:color="auto" w:sz="12" w:space="0"/>
              <w:left w:val="single" w:color="auto" w:sz="8" w:space="0"/>
              <w:bottom w:val="single" w:color="auto" w:sz="8" w:space="0"/>
              <w:right w:val="single" w:color="auto" w:sz="8" w:space="0"/>
            </w:tcBorders>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2</w:t>
            </w:r>
          </w:p>
        </w:tc>
        <w:tc>
          <w:tcPr>
            <w:tcW w:w="1249" w:type="dxa"/>
            <w:tcBorders>
              <w:top w:val="single" w:color="auto" w:sz="12" w:space="0"/>
              <w:left w:val="single" w:color="auto" w:sz="8" w:space="0"/>
              <w:bottom w:val="single" w:color="auto" w:sz="8" w:space="0"/>
              <w:right w:val="single" w:color="auto" w:sz="8" w:space="0"/>
            </w:tcBorders>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3</w:t>
            </w:r>
          </w:p>
        </w:tc>
        <w:tc>
          <w:tcPr>
            <w:tcW w:w="1249" w:type="dxa"/>
            <w:tcBorders>
              <w:top w:val="single" w:color="auto" w:sz="12" w:space="0"/>
              <w:left w:val="single" w:color="auto" w:sz="8" w:space="0"/>
              <w:bottom w:val="single" w:color="auto" w:sz="8" w:space="0"/>
              <w:right w:val="single" w:color="auto" w:sz="8" w:space="0"/>
            </w:tcBorders>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4</w:t>
            </w:r>
          </w:p>
        </w:tc>
        <w:tc>
          <w:tcPr>
            <w:tcW w:w="1249" w:type="dxa"/>
            <w:tcBorders>
              <w:top w:val="single" w:color="auto" w:sz="12" w:space="0"/>
              <w:left w:val="single" w:color="auto" w:sz="8" w:space="0"/>
              <w:bottom w:val="single" w:color="auto" w:sz="8" w:space="0"/>
              <w:right w:val="single" w:color="auto" w:sz="12" w:space="0"/>
            </w:tcBorders>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tcBorders>
              <w:top w:val="single" w:color="auto" w:sz="8" w:space="0"/>
              <w:left w:val="single" w:color="auto" w:sz="12" w:space="0"/>
              <w:bottom w:val="single" w:color="auto" w:sz="8" w:space="0"/>
              <w:right w:val="single" w:color="auto" w:sz="8" w:space="0"/>
            </w:tcBorders>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A</w:t>
            </w:r>
          </w:p>
        </w:tc>
        <w:tc>
          <w:tcPr>
            <w:tcW w:w="1246" w:type="dxa"/>
            <w:tcBorders>
              <w:top w:val="single" w:color="auto" w:sz="8" w:space="0"/>
              <w:left w:val="single" w:color="auto" w:sz="8" w:space="0"/>
              <w:bottom w:val="single" w:color="auto" w:sz="8" w:space="0"/>
              <w:right w:val="single" w:color="auto" w:sz="8" w:space="0"/>
            </w:tcBorders>
            <w:shd w:val="clear" w:color="auto" w:fill="D99594" w:themeFill="accent2"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w:t>
            </w:r>
          </w:p>
        </w:tc>
        <w:tc>
          <w:tcPr>
            <w:tcW w:w="1249" w:type="dxa"/>
            <w:tcBorders>
              <w:top w:val="single" w:color="auto" w:sz="8" w:space="0"/>
              <w:left w:val="single" w:color="auto" w:sz="8" w:space="0"/>
              <w:bottom w:val="single" w:color="auto" w:sz="8" w:space="0"/>
              <w:right w:val="single" w:color="auto" w:sz="8" w:space="0"/>
            </w:tcBorders>
            <w:shd w:val="clear" w:color="auto" w:fill="D99594" w:themeFill="accent2"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w:t>
            </w:r>
          </w:p>
        </w:tc>
        <w:tc>
          <w:tcPr>
            <w:tcW w:w="1249" w:type="dxa"/>
            <w:tcBorders>
              <w:top w:val="single" w:color="auto" w:sz="8" w:space="0"/>
              <w:left w:val="single" w:color="auto" w:sz="8" w:space="0"/>
              <w:bottom w:val="single" w:color="auto" w:sz="8" w:space="0"/>
              <w:right w:val="single" w:color="auto" w:sz="8" w:space="0"/>
            </w:tcBorders>
            <w:shd w:val="clear" w:color="auto" w:fill="D99594" w:themeFill="accent2"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w:t>
            </w:r>
          </w:p>
        </w:tc>
        <w:tc>
          <w:tcPr>
            <w:tcW w:w="1249" w:type="dxa"/>
            <w:tcBorders>
              <w:top w:val="single" w:color="auto" w:sz="8" w:space="0"/>
              <w:left w:val="single" w:color="auto" w:sz="8" w:space="0"/>
              <w:bottom w:val="single" w:color="auto" w:sz="8" w:space="0"/>
              <w:right w:val="single" w:color="auto" w:sz="8" w:space="0"/>
            </w:tcBorders>
            <w:shd w:val="clear" w:color="auto" w:fill="76923C" w:themeFill="accent3" w:themeFillShade="BF"/>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II</w:t>
            </w:r>
          </w:p>
        </w:tc>
        <w:tc>
          <w:tcPr>
            <w:tcW w:w="1249" w:type="dxa"/>
            <w:tcBorders>
              <w:top w:val="single" w:color="auto" w:sz="8" w:space="0"/>
              <w:left w:val="single" w:color="auto" w:sz="8" w:space="0"/>
              <w:bottom w:val="single" w:color="auto" w:sz="8" w:space="0"/>
              <w:right w:val="single" w:color="auto" w:sz="12" w:space="0"/>
            </w:tcBorders>
            <w:shd w:val="clear" w:color="auto" w:fill="76923C" w:themeFill="accent3" w:themeFillShade="BF"/>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tcBorders>
              <w:top w:val="single" w:color="auto" w:sz="8" w:space="0"/>
              <w:left w:val="single" w:color="auto" w:sz="12" w:space="0"/>
              <w:bottom w:val="single" w:color="auto" w:sz="8" w:space="0"/>
              <w:right w:val="single" w:color="auto" w:sz="8" w:space="0"/>
            </w:tcBorders>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 xml:space="preserve">B </w:t>
            </w:r>
          </w:p>
        </w:tc>
        <w:tc>
          <w:tcPr>
            <w:tcW w:w="1246" w:type="dxa"/>
            <w:tcBorders>
              <w:top w:val="single" w:color="auto" w:sz="8" w:space="0"/>
              <w:left w:val="single" w:color="auto" w:sz="8" w:space="0"/>
              <w:bottom w:val="single" w:color="auto" w:sz="8" w:space="0"/>
              <w:right w:val="single" w:color="auto" w:sz="8" w:space="0"/>
            </w:tcBorders>
            <w:shd w:val="clear" w:color="auto" w:fill="D99594" w:themeFill="accent2"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w:t>
            </w:r>
          </w:p>
        </w:tc>
        <w:tc>
          <w:tcPr>
            <w:tcW w:w="1249" w:type="dxa"/>
            <w:tcBorders>
              <w:top w:val="single" w:color="auto" w:sz="8" w:space="0"/>
              <w:left w:val="single" w:color="auto" w:sz="8" w:space="0"/>
              <w:bottom w:val="single" w:color="auto" w:sz="8" w:space="0"/>
              <w:right w:val="single" w:color="auto" w:sz="8" w:space="0"/>
            </w:tcBorders>
            <w:shd w:val="clear" w:color="auto" w:fill="D99594" w:themeFill="accent2"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w:t>
            </w:r>
          </w:p>
        </w:tc>
        <w:tc>
          <w:tcPr>
            <w:tcW w:w="1249" w:type="dxa"/>
            <w:tcBorders>
              <w:top w:val="single" w:color="auto" w:sz="8" w:space="0"/>
              <w:left w:val="single" w:color="auto" w:sz="8" w:space="0"/>
              <w:bottom w:val="single" w:color="auto" w:sz="8" w:space="0"/>
              <w:right w:val="single" w:color="auto" w:sz="8" w:space="0"/>
            </w:tcBorders>
            <w:shd w:val="clear" w:color="auto" w:fill="76923C" w:themeFill="accent3" w:themeFillShade="BF"/>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II</w:t>
            </w:r>
          </w:p>
        </w:tc>
        <w:tc>
          <w:tcPr>
            <w:tcW w:w="1249" w:type="dxa"/>
            <w:tcBorders>
              <w:top w:val="single" w:color="auto" w:sz="8" w:space="0"/>
              <w:left w:val="single" w:color="auto" w:sz="8" w:space="0"/>
              <w:bottom w:val="single" w:color="auto" w:sz="8" w:space="0"/>
              <w:right w:val="single" w:color="auto" w:sz="8" w:space="0"/>
            </w:tcBorders>
            <w:shd w:val="clear" w:color="auto" w:fill="76923C" w:themeFill="accent3" w:themeFillShade="BF"/>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II</w:t>
            </w:r>
            <w:r>
              <w:rPr>
                <w:rFonts w:ascii="Times New Roman" w:hAnsi="Times New Roman" w:cs="Times New Roman"/>
                <w:kern w:val="2"/>
                <w:sz w:val="18"/>
                <w:szCs w:val="18"/>
              </w:rPr>
              <w:t xml:space="preserve"> </w:t>
            </w:r>
          </w:p>
        </w:tc>
        <w:tc>
          <w:tcPr>
            <w:tcW w:w="1249" w:type="dxa"/>
            <w:tcBorders>
              <w:top w:val="single" w:color="auto" w:sz="8" w:space="0"/>
              <w:left w:val="single" w:color="auto" w:sz="8" w:space="0"/>
              <w:bottom w:val="single" w:color="auto" w:sz="8" w:space="0"/>
              <w:right w:val="single" w:color="auto" w:sz="12" w:space="0"/>
            </w:tcBorders>
            <w:shd w:val="clear" w:color="auto" w:fill="C2D69B" w:themeFill="accent3"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tcBorders>
              <w:top w:val="single" w:color="auto" w:sz="8" w:space="0"/>
              <w:left w:val="single" w:color="auto" w:sz="12" w:space="0"/>
              <w:bottom w:val="single" w:color="auto" w:sz="8" w:space="0"/>
              <w:right w:val="single" w:color="auto" w:sz="8" w:space="0"/>
            </w:tcBorders>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C</w:t>
            </w:r>
          </w:p>
        </w:tc>
        <w:tc>
          <w:tcPr>
            <w:tcW w:w="1246" w:type="dxa"/>
            <w:tcBorders>
              <w:top w:val="single" w:color="auto" w:sz="8" w:space="0"/>
              <w:left w:val="single" w:color="auto" w:sz="8" w:space="0"/>
              <w:bottom w:val="single" w:color="auto" w:sz="8" w:space="0"/>
              <w:right w:val="single" w:color="auto" w:sz="8" w:space="0"/>
            </w:tcBorders>
            <w:shd w:val="clear" w:color="auto" w:fill="D99594" w:themeFill="accent2"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w:t>
            </w:r>
          </w:p>
        </w:tc>
        <w:tc>
          <w:tcPr>
            <w:tcW w:w="1249" w:type="dxa"/>
            <w:tcBorders>
              <w:top w:val="single" w:color="auto" w:sz="8" w:space="0"/>
              <w:left w:val="single" w:color="auto" w:sz="8" w:space="0"/>
              <w:bottom w:val="single" w:color="auto" w:sz="8" w:space="0"/>
              <w:right w:val="single" w:color="auto" w:sz="8" w:space="0"/>
            </w:tcBorders>
            <w:shd w:val="clear" w:color="auto" w:fill="76923C" w:themeFill="accent3" w:themeFillShade="BF"/>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II</w:t>
            </w:r>
          </w:p>
        </w:tc>
        <w:tc>
          <w:tcPr>
            <w:tcW w:w="1249" w:type="dxa"/>
            <w:tcBorders>
              <w:top w:val="single" w:color="auto" w:sz="8" w:space="0"/>
              <w:left w:val="single" w:color="auto" w:sz="8" w:space="0"/>
              <w:bottom w:val="single" w:color="auto" w:sz="8" w:space="0"/>
              <w:right w:val="single" w:color="auto" w:sz="8" w:space="0"/>
            </w:tcBorders>
            <w:shd w:val="clear" w:color="auto" w:fill="C2D69B" w:themeFill="accent3"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III</w:t>
            </w:r>
          </w:p>
        </w:tc>
        <w:tc>
          <w:tcPr>
            <w:tcW w:w="1249" w:type="dxa"/>
            <w:tcBorders>
              <w:top w:val="single" w:color="auto" w:sz="8" w:space="0"/>
              <w:left w:val="single" w:color="auto" w:sz="8" w:space="0"/>
              <w:bottom w:val="single" w:color="auto" w:sz="8" w:space="0"/>
              <w:right w:val="single" w:color="auto" w:sz="8" w:space="0"/>
            </w:tcBorders>
            <w:shd w:val="clear" w:color="auto" w:fill="C2D69B" w:themeFill="accent3"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III</w:t>
            </w:r>
            <w:r>
              <w:rPr>
                <w:rFonts w:hint="eastAsia" w:ascii="Times New Roman" w:hAnsi="Times New Roman" w:cs="Times New Roman"/>
                <w:kern w:val="2"/>
                <w:sz w:val="18"/>
                <w:szCs w:val="18"/>
              </w:rPr>
              <w:t xml:space="preserve"> </w:t>
            </w:r>
          </w:p>
        </w:tc>
        <w:tc>
          <w:tcPr>
            <w:tcW w:w="1249" w:type="dxa"/>
            <w:tcBorders>
              <w:top w:val="single" w:color="auto" w:sz="8" w:space="0"/>
              <w:left w:val="single" w:color="auto" w:sz="8" w:space="0"/>
              <w:bottom w:val="single" w:color="auto" w:sz="8" w:space="0"/>
              <w:right w:val="single" w:color="auto" w:sz="12" w:space="0"/>
            </w:tcBorders>
            <w:shd w:val="clear" w:color="auto" w:fill="C6D9F0" w:themeFill="text2" w:themeFillTint="33"/>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tcBorders>
              <w:top w:val="single" w:color="auto" w:sz="8" w:space="0"/>
              <w:left w:val="single" w:color="auto" w:sz="12" w:space="0"/>
              <w:bottom w:val="single" w:color="auto" w:sz="8" w:space="0"/>
              <w:right w:val="single" w:color="auto" w:sz="8" w:space="0"/>
            </w:tcBorders>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D</w:t>
            </w:r>
          </w:p>
        </w:tc>
        <w:tc>
          <w:tcPr>
            <w:tcW w:w="1246" w:type="dxa"/>
            <w:tcBorders>
              <w:top w:val="single" w:color="auto" w:sz="8" w:space="0"/>
              <w:left w:val="single" w:color="auto" w:sz="8" w:space="0"/>
              <w:bottom w:val="single" w:color="auto" w:sz="8" w:space="0"/>
              <w:right w:val="single" w:color="auto" w:sz="8" w:space="0"/>
            </w:tcBorders>
            <w:shd w:val="clear" w:color="auto" w:fill="76923C" w:themeFill="accent3" w:themeFillShade="BF"/>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II</w:t>
            </w:r>
            <w:r>
              <w:rPr>
                <w:rFonts w:ascii="Times New Roman" w:hAnsi="Times New Roman" w:cs="Times New Roman"/>
                <w:kern w:val="2"/>
                <w:sz w:val="18"/>
                <w:szCs w:val="18"/>
              </w:rPr>
              <w:t xml:space="preserve"> </w:t>
            </w:r>
          </w:p>
        </w:tc>
        <w:tc>
          <w:tcPr>
            <w:tcW w:w="1249" w:type="dxa"/>
            <w:tcBorders>
              <w:top w:val="single" w:color="auto" w:sz="8" w:space="0"/>
              <w:left w:val="single" w:color="auto" w:sz="8" w:space="0"/>
              <w:bottom w:val="single" w:color="auto" w:sz="8" w:space="0"/>
              <w:right w:val="single" w:color="auto" w:sz="8" w:space="0"/>
            </w:tcBorders>
            <w:shd w:val="clear" w:color="auto" w:fill="C2D69B" w:themeFill="accent3"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III</w:t>
            </w:r>
          </w:p>
        </w:tc>
        <w:tc>
          <w:tcPr>
            <w:tcW w:w="1249" w:type="dxa"/>
            <w:tcBorders>
              <w:top w:val="single" w:color="auto" w:sz="8" w:space="0"/>
              <w:left w:val="single" w:color="auto" w:sz="8" w:space="0"/>
              <w:bottom w:val="single" w:color="auto" w:sz="8" w:space="0"/>
              <w:right w:val="single" w:color="auto" w:sz="8" w:space="0"/>
            </w:tcBorders>
            <w:shd w:val="clear" w:color="auto" w:fill="C6D9F0" w:themeFill="text2" w:themeFillTint="33"/>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IV</w:t>
            </w:r>
          </w:p>
        </w:tc>
        <w:tc>
          <w:tcPr>
            <w:tcW w:w="1249" w:type="dxa"/>
            <w:tcBorders>
              <w:top w:val="single" w:color="auto" w:sz="8" w:space="0"/>
              <w:left w:val="single" w:color="auto" w:sz="8" w:space="0"/>
              <w:bottom w:val="single" w:color="auto" w:sz="8" w:space="0"/>
              <w:right w:val="single" w:color="auto" w:sz="8" w:space="0"/>
            </w:tcBorders>
            <w:shd w:val="clear" w:color="auto" w:fill="C6D9F0" w:themeFill="text2" w:themeFillTint="33"/>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IV</w:t>
            </w:r>
          </w:p>
        </w:tc>
        <w:tc>
          <w:tcPr>
            <w:tcW w:w="1249" w:type="dxa"/>
            <w:tcBorders>
              <w:top w:val="single" w:color="auto" w:sz="8" w:space="0"/>
              <w:left w:val="single" w:color="auto" w:sz="8" w:space="0"/>
              <w:bottom w:val="single" w:color="auto" w:sz="8" w:space="0"/>
              <w:right w:val="single" w:color="auto" w:sz="12" w:space="0"/>
            </w:tcBorders>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tcBorders>
              <w:top w:val="single" w:color="auto" w:sz="8" w:space="0"/>
              <w:left w:val="single" w:color="auto" w:sz="12" w:space="0"/>
              <w:bottom w:val="single" w:color="auto" w:sz="12" w:space="0"/>
              <w:right w:val="single" w:color="auto" w:sz="8" w:space="0"/>
            </w:tcBorders>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E</w:t>
            </w:r>
          </w:p>
        </w:tc>
        <w:tc>
          <w:tcPr>
            <w:tcW w:w="1246" w:type="dxa"/>
            <w:tcBorders>
              <w:top w:val="single" w:color="auto" w:sz="8" w:space="0"/>
              <w:left w:val="single" w:color="auto" w:sz="8" w:space="0"/>
              <w:bottom w:val="single" w:color="auto" w:sz="12" w:space="0"/>
              <w:right w:val="single" w:color="auto" w:sz="8" w:space="0"/>
            </w:tcBorders>
            <w:shd w:val="clear" w:color="auto" w:fill="C2D69B" w:themeFill="accent3" w:themeFillTint="99"/>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III</w:t>
            </w:r>
          </w:p>
        </w:tc>
        <w:tc>
          <w:tcPr>
            <w:tcW w:w="1249" w:type="dxa"/>
            <w:tcBorders>
              <w:top w:val="single" w:color="auto" w:sz="8" w:space="0"/>
              <w:left w:val="single" w:color="auto" w:sz="8" w:space="0"/>
              <w:bottom w:val="single" w:color="auto" w:sz="12" w:space="0"/>
              <w:right w:val="single" w:color="auto" w:sz="8" w:space="0"/>
            </w:tcBorders>
            <w:shd w:val="clear" w:color="auto" w:fill="C6D9F0" w:themeFill="text2" w:themeFillTint="33"/>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IV</w:t>
            </w:r>
          </w:p>
        </w:tc>
        <w:tc>
          <w:tcPr>
            <w:tcW w:w="1249" w:type="dxa"/>
            <w:tcBorders>
              <w:top w:val="single" w:color="auto" w:sz="8" w:space="0"/>
              <w:left w:val="single" w:color="auto" w:sz="8" w:space="0"/>
              <w:bottom w:val="single" w:color="auto" w:sz="12" w:space="0"/>
              <w:right w:val="single" w:color="auto" w:sz="8" w:space="0"/>
            </w:tcBorders>
            <w:shd w:val="clear" w:color="auto" w:fill="C6D9F0" w:themeFill="text2" w:themeFillTint="33"/>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IV</w:t>
            </w:r>
          </w:p>
        </w:tc>
        <w:tc>
          <w:tcPr>
            <w:tcW w:w="1249" w:type="dxa"/>
            <w:tcBorders>
              <w:top w:val="single" w:color="auto" w:sz="8" w:space="0"/>
              <w:left w:val="single" w:color="auto" w:sz="8" w:space="0"/>
              <w:bottom w:val="single" w:color="auto" w:sz="12" w:space="0"/>
              <w:right w:val="single" w:color="auto" w:sz="8" w:space="0"/>
            </w:tcBorders>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V</w:t>
            </w:r>
          </w:p>
        </w:tc>
        <w:tc>
          <w:tcPr>
            <w:tcW w:w="1249" w:type="dxa"/>
            <w:tcBorders>
              <w:top w:val="single" w:color="auto" w:sz="8" w:space="0"/>
              <w:left w:val="single" w:color="auto" w:sz="8" w:space="0"/>
              <w:bottom w:val="single" w:color="auto" w:sz="12" w:space="0"/>
              <w:right w:val="single" w:color="auto" w:sz="12" w:space="0"/>
            </w:tcBorders>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V</w:t>
            </w:r>
          </w:p>
        </w:tc>
      </w:tr>
    </w:tbl>
    <w:p>
      <w:pPr>
        <w:spacing w:before="240"/>
      </w:pPr>
      <w:r>
        <w:rPr>
          <w:rFonts w:hint="eastAsia"/>
        </w:rPr>
        <w:t>8</w:t>
      </w:r>
      <w:r>
        <w:t xml:space="preserve">.5.2  </w:t>
      </w:r>
      <w:r>
        <w:rPr>
          <w:rFonts w:hint="eastAsia"/>
        </w:rPr>
        <w:t>地下病害体风险评估单元综合风险等级说明按表8.5.2确定。</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8.5.2</w:t>
      </w:r>
      <w:r>
        <w:rPr>
          <w:rFonts w:hint="eastAsia" w:ascii="Times" w:hAnsi="Times"/>
          <w:b/>
          <w:sz w:val="21"/>
          <w:szCs w:val="21"/>
        </w:rPr>
        <w:t xml:space="preserve"> </w:t>
      </w:r>
      <w:r>
        <w:rPr>
          <w:rFonts w:ascii="Times" w:hAnsi="Times"/>
          <w:b/>
          <w:sz w:val="21"/>
          <w:szCs w:val="21"/>
        </w:rPr>
        <w:t xml:space="preserve"> </w:t>
      </w:r>
      <w:r>
        <w:rPr>
          <w:rFonts w:hint="eastAsia" w:ascii="Times" w:hAnsi="Times"/>
          <w:b/>
          <w:sz w:val="21"/>
          <w:szCs w:val="21"/>
        </w:rPr>
        <w:t>地下病害体风险评估单元综合风险等级说明</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127"/>
        <w:gridCol w:w="2410"/>
        <w:gridCol w:w="3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2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风险等级</w:t>
            </w:r>
          </w:p>
        </w:tc>
        <w:tc>
          <w:tcPr>
            <w:tcW w:w="112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风险定义</w:t>
            </w:r>
          </w:p>
        </w:tc>
        <w:tc>
          <w:tcPr>
            <w:tcW w:w="2410"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风险发生可能性</w:t>
            </w:r>
          </w:p>
        </w:tc>
        <w:tc>
          <w:tcPr>
            <w:tcW w:w="3134"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风险发生后果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2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I级</w:t>
            </w:r>
          </w:p>
        </w:tc>
        <w:tc>
          <w:tcPr>
            <w:tcW w:w="112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重大风险</w:t>
            </w:r>
          </w:p>
        </w:tc>
        <w:tc>
          <w:tcPr>
            <w:tcW w:w="2410"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地下病害体有较大概率在短期内发生地面塌陷事故</w:t>
            </w:r>
          </w:p>
        </w:tc>
        <w:tc>
          <w:tcPr>
            <w:tcW w:w="3134"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发生区域在人员密度较大（如商业街区等）或存在重要建筑物（如学校、商场）的区域，对人员、经济、环境等损失程度非常高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2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II级</w:t>
            </w:r>
          </w:p>
        </w:tc>
        <w:tc>
          <w:tcPr>
            <w:tcW w:w="112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较大风险</w:t>
            </w:r>
          </w:p>
        </w:tc>
        <w:tc>
          <w:tcPr>
            <w:tcW w:w="2410"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地下病害体有较大概率近期发生地面塌陷事故</w:t>
            </w:r>
          </w:p>
        </w:tc>
        <w:tc>
          <w:tcPr>
            <w:tcW w:w="3134"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发生区域在人员密度较高、建筑物密集或存在重要建筑物（如学校、商场等）的区域，对人员、经济、环境等可能造成较大损失</w:t>
            </w:r>
          </w:p>
        </w:tc>
      </w:tr>
    </w:tbl>
    <w:p>
      <w:pPr>
        <w:spacing w:before="240"/>
        <w:jc w:val="center"/>
        <w:rPr>
          <w:bCs/>
          <w:color w:val="000000"/>
        </w:rPr>
      </w:pPr>
      <w:r>
        <w:rPr>
          <w:rFonts w:hint="eastAsia" w:ascii="Times" w:hAnsi="Times"/>
          <w:bCs/>
        </w:rPr>
        <w:t>续表</w:t>
      </w:r>
      <w:r>
        <w:rPr>
          <w:rFonts w:ascii="Times" w:hAnsi="Times"/>
          <w:bCs/>
        </w:rPr>
        <w:t>8.5.2</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127"/>
        <w:gridCol w:w="2410"/>
        <w:gridCol w:w="31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2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风险等级</w:t>
            </w:r>
          </w:p>
        </w:tc>
        <w:tc>
          <w:tcPr>
            <w:tcW w:w="112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风险定义</w:t>
            </w:r>
          </w:p>
        </w:tc>
        <w:tc>
          <w:tcPr>
            <w:tcW w:w="2410"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风险发生可能性</w:t>
            </w:r>
          </w:p>
        </w:tc>
        <w:tc>
          <w:tcPr>
            <w:tcW w:w="3134"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风险发生后果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2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III级</w:t>
            </w:r>
          </w:p>
        </w:tc>
        <w:tc>
          <w:tcPr>
            <w:tcW w:w="112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一般风险</w:t>
            </w:r>
          </w:p>
        </w:tc>
        <w:tc>
          <w:tcPr>
            <w:tcW w:w="2410"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地下病害体有一定概率发生地面塌陷事故</w:t>
            </w:r>
          </w:p>
        </w:tc>
        <w:tc>
          <w:tcPr>
            <w:tcW w:w="3134"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发生在人员密度较低、建筑密度较小且不存在重要建筑（如学校、商场等）的区域，但可能对人员、经济、环境等造成一定程度损失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2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I</w:t>
            </w:r>
            <w:r>
              <w:rPr>
                <w:rFonts w:ascii="Times New Roman" w:hAnsi="Times New Roman" w:cs="Times New Roman"/>
                <w:kern w:val="2"/>
                <w:sz w:val="18"/>
                <w:szCs w:val="18"/>
              </w:rPr>
              <w:t>V</w:t>
            </w:r>
            <w:r>
              <w:rPr>
                <w:rFonts w:hint="eastAsia" w:ascii="Times New Roman" w:hAnsi="Times New Roman" w:cs="Times New Roman"/>
                <w:kern w:val="2"/>
                <w:sz w:val="18"/>
                <w:szCs w:val="18"/>
              </w:rPr>
              <w:t>级</w:t>
            </w:r>
          </w:p>
        </w:tc>
        <w:tc>
          <w:tcPr>
            <w:tcW w:w="112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低风险</w:t>
            </w:r>
          </w:p>
        </w:tc>
        <w:tc>
          <w:tcPr>
            <w:tcW w:w="2410"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地下病害体基本不可能引起地面塌陷事故</w:t>
            </w:r>
          </w:p>
        </w:tc>
        <w:tc>
          <w:tcPr>
            <w:tcW w:w="3134"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发生在人烟稀少的区域，发生后基本无人员伤亡，经济、环境等损失很小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26"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V级</w:t>
            </w:r>
          </w:p>
        </w:tc>
        <w:tc>
          <w:tcPr>
            <w:tcW w:w="1127" w:type="dxa"/>
            <w:vAlign w:val="center"/>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极低风险</w:t>
            </w:r>
          </w:p>
        </w:tc>
        <w:tc>
          <w:tcPr>
            <w:tcW w:w="2410"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地下病害体基本不可能引起地面塌陷事故</w:t>
            </w:r>
          </w:p>
        </w:tc>
        <w:tc>
          <w:tcPr>
            <w:tcW w:w="3134" w:type="dxa"/>
            <w:vAlign w:val="center"/>
          </w:tcPr>
          <w:p>
            <w:pPr>
              <w:pStyle w:val="74"/>
              <w:spacing w:before="0" w:beforeAutospacing="0" w:after="0" w:afterAutospacing="0"/>
              <w:rPr>
                <w:rFonts w:ascii="Times New Roman" w:hAnsi="Times New Roman" w:cs="Times New Roman"/>
                <w:kern w:val="2"/>
                <w:sz w:val="18"/>
                <w:szCs w:val="18"/>
              </w:rPr>
            </w:pPr>
            <w:r>
              <w:rPr>
                <w:rFonts w:hint="eastAsia" w:ascii="Times New Roman" w:hAnsi="Times New Roman" w:cs="Times New Roman"/>
                <w:kern w:val="2"/>
                <w:sz w:val="18"/>
                <w:szCs w:val="18"/>
              </w:rPr>
              <w:t>发生在人烟稀少的区域，发生后基本无人员伤亡，无经济、环境等损失</w:t>
            </w:r>
          </w:p>
        </w:tc>
      </w:tr>
    </w:tbl>
    <w:p>
      <w:pPr>
        <w:spacing w:before="240"/>
        <w:rPr>
          <w:color w:val="000000"/>
        </w:rPr>
      </w:pPr>
      <w:r>
        <w:rPr>
          <w:rFonts w:hint="eastAsia"/>
          <w:color w:val="000000"/>
        </w:rPr>
        <w:t>8</w:t>
      </w:r>
      <w:r>
        <w:rPr>
          <w:color w:val="000000"/>
        </w:rPr>
        <w:t xml:space="preserve">.5.3  </w:t>
      </w:r>
      <w:r>
        <w:rPr>
          <w:rFonts w:hint="eastAsia"/>
          <w:color w:val="000000"/>
        </w:rPr>
        <w:t>针对不同风险等级，宜按表</w:t>
      </w:r>
      <w:r>
        <w:rPr>
          <w:color w:val="000000"/>
        </w:rPr>
        <w:t>8</w:t>
      </w:r>
      <w:r>
        <w:rPr>
          <w:rFonts w:hint="eastAsia"/>
          <w:color w:val="000000"/>
        </w:rPr>
        <w:t>.</w:t>
      </w:r>
      <w:r>
        <w:rPr>
          <w:color w:val="000000"/>
        </w:rPr>
        <w:t>5</w:t>
      </w:r>
      <w:r>
        <w:rPr>
          <w:rFonts w:hint="eastAsia"/>
          <w:color w:val="000000"/>
        </w:rPr>
        <w:t>.</w:t>
      </w:r>
      <w:r>
        <w:rPr>
          <w:color w:val="000000"/>
        </w:rPr>
        <w:t>3</w:t>
      </w:r>
      <w:r>
        <w:rPr>
          <w:rFonts w:hint="eastAsia"/>
          <w:color w:val="000000"/>
        </w:rPr>
        <w:t>确定控制对策。</w:t>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表</w:t>
      </w:r>
      <w:r>
        <w:rPr>
          <w:rFonts w:ascii="Times" w:hAnsi="Times"/>
          <w:b/>
          <w:sz w:val="21"/>
          <w:szCs w:val="21"/>
        </w:rPr>
        <w:t>8</w:t>
      </w:r>
      <w:r>
        <w:rPr>
          <w:rFonts w:hint="eastAsia" w:ascii="Times" w:hAnsi="Times"/>
          <w:b/>
          <w:sz w:val="21"/>
          <w:szCs w:val="21"/>
        </w:rPr>
        <w:t>.</w:t>
      </w:r>
      <w:r>
        <w:rPr>
          <w:rFonts w:ascii="Times" w:hAnsi="Times"/>
          <w:b/>
          <w:sz w:val="21"/>
          <w:szCs w:val="21"/>
        </w:rPr>
        <w:t>5</w:t>
      </w:r>
      <w:r>
        <w:rPr>
          <w:rFonts w:hint="eastAsia" w:ascii="Times" w:hAnsi="Times"/>
          <w:b/>
          <w:sz w:val="21"/>
          <w:szCs w:val="21"/>
        </w:rPr>
        <w:t>.</w:t>
      </w:r>
      <w:r>
        <w:rPr>
          <w:rFonts w:ascii="Times" w:hAnsi="Times"/>
          <w:b/>
          <w:sz w:val="21"/>
          <w:szCs w:val="21"/>
        </w:rPr>
        <w:t xml:space="preserve">3 </w:t>
      </w:r>
      <w:r>
        <w:rPr>
          <w:rFonts w:hint="eastAsia" w:ascii="Times" w:hAnsi="Times"/>
          <w:b/>
          <w:sz w:val="21"/>
          <w:szCs w:val="21"/>
        </w:rPr>
        <w:t>风险等级与对策</w:t>
      </w:r>
    </w:p>
    <w:tbl>
      <w:tblPr>
        <w:tblStyle w:val="26"/>
        <w:tblW w:w="77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709"/>
        <w:gridCol w:w="2844"/>
        <w:gridCol w:w="2570"/>
        <w:gridCol w:w="1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2" w:type="dxa"/>
            <w:vMerge w:val="restart"/>
            <w:vAlign w:val="center"/>
          </w:tcPr>
          <w:p>
            <w:pPr>
              <w:pStyle w:val="84"/>
              <w:rPr>
                <w:szCs w:val="18"/>
              </w:rPr>
            </w:pPr>
            <w:r>
              <w:rPr>
                <w:rFonts w:hint="eastAsia"/>
                <w:szCs w:val="18"/>
              </w:rPr>
              <w:t>风险等级</w:t>
            </w:r>
          </w:p>
        </w:tc>
        <w:tc>
          <w:tcPr>
            <w:tcW w:w="709" w:type="dxa"/>
            <w:vMerge w:val="restart"/>
            <w:vAlign w:val="center"/>
          </w:tcPr>
          <w:p>
            <w:pPr>
              <w:pStyle w:val="84"/>
              <w:rPr>
                <w:szCs w:val="18"/>
              </w:rPr>
            </w:pPr>
            <w:r>
              <w:rPr>
                <w:rFonts w:hint="eastAsia"/>
                <w:color w:val="000000"/>
                <w:szCs w:val="18"/>
              </w:rPr>
              <w:t>说明</w:t>
            </w:r>
          </w:p>
        </w:tc>
        <w:tc>
          <w:tcPr>
            <w:tcW w:w="6521" w:type="dxa"/>
            <w:gridSpan w:val="3"/>
            <w:vAlign w:val="center"/>
          </w:tcPr>
          <w:p>
            <w:pPr>
              <w:pStyle w:val="84"/>
              <w:rPr>
                <w:szCs w:val="18"/>
              </w:rPr>
            </w:pPr>
            <w:r>
              <w:rPr>
                <w:rFonts w:hint="eastAsia"/>
                <w:szCs w:val="18"/>
              </w:rPr>
              <w:t>对策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52" w:type="dxa"/>
            <w:vMerge w:val="continue"/>
            <w:vAlign w:val="center"/>
          </w:tcPr>
          <w:p>
            <w:pPr>
              <w:pStyle w:val="84"/>
              <w:rPr>
                <w:szCs w:val="18"/>
              </w:rPr>
            </w:pPr>
          </w:p>
        </w:tc>
        <w:tc>
          <w:tcPr>
            <w:tcW w:w="709" w:type="dxa"/>
            <w:vMerge w:val="continue"/>
            <w:vAlign w:val="center"/>
          </w:tcPr>
          <w:p>
            <w:pPr>
              <w:pStyle w:val="84"/>
              <w:rPr>
                <w:color w:val="000000"/>
                <w:szCs w:val="18"/>
              </w:rPr>
            </w:pPr>
          </w:p>
        </w:tc>
        <w:tc>
          <w:tcPr>
            <w:tcW w:w="2844" w:type="dxa"/>
            <w:vAlign w:val="center"/>
          </w:tcPr>
          <w:p>
            <w:pPr>
              <w:pStyle w:val="84"/>
              <w:rPr>
                <w:szCs w:val="18"/>
              </w:rPr>
            </w:pPr>
            <w:r>
              <w:rPr>
                <w:rFonts w:hint="eastAsia"/>
                <w:szCs w:val="18"/>
              </w:rPr>
              <w:t>处置方式</w:t>
            </w:r>
          </w:p>
        </w:tc>
        <w:tc>
          <w:tcPr>
            <w:tcW w:w="2570" w:type="dxa"/>
            <w:vAlign w:val="center"/>
          </w:tcPr>
          <w:p>
            <w:pPr>
              <w:pStyle w:val="84"/>
              <w:rPr>
                <w:szCs w:val="18"/>
              </w:rPr>
            </w:pPr>
            <w:r>
              <w:rPr>
                <w:rFonts w:hint="eastAsia"/>
                <w:szCs w:val="18"/>
              </w:rPr>
              <w:t>控制要求</w:t>
            </w:r>
          </w:p>
        </w:tc>
        <w:tc>
          <w:tcPr>
            <w:tcW w:w="1107" w:type="dxa"/>
            <w:vAlign w:val="center"/>
          </w:tcPr>
          <w:p>
            <w:pPr>
              <w:pStyle w:val="84"/>
              <w:rPr>
                <w:szCs w:val="18"/>
              </w:rPr>
            </w:pPr>
            <w:r>
              <w:rPr>
                <w:rFonts w:hint="eastAsia"/>
                <w:szCs w:val="18"/>
              </w:rPr>
              <w:t>评估要求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4" w:hRule="atLeast"/>
          <w:jc w:val="center"/>
        </w:trPr>
        <w:tc>
          <w:tcPr>
            <w:tcW w:w="552" w:type="dxa"/>
            <w:vAlign w:val="center"/>
          </w:tcPr>
          <w:p>
            <w:pPr>
              <w:pStyle w:val="84"/>
              <w:rPr>
                <w:szCs w:val="18"/>
              </w:rPr>
            </w:pPr>
            <w:r>
              <w:rPr>
                <w:rFonts w:hint="eastAsia"/>
                <w:szCs w:val="18"/>
              </w:rPr>
              <w:t>I级</w:t>
            </w:r>
          </w:p>
        </w:tc>
        <w:tc>
          <w:tcPr>
            <w:tcW w:w="709" w:type="dxa"/>
            <w:vAlign w:val="center"/>
          </w:tcPr>
          <w:p>
            <w:pPr>
              <w:pStyle w:val="84"/>
              <w:rPr>
                <w:szCs w:val="18"/>
              </w:rPr>
            </w:pPr>
            <w:r>
              <w:rPr>
                <w:rFonts w:hint="eastAsia"/>
                <w:color w:val="000000"/>
                <w:szCs w:val="18"/>
              </w:rPr>
              <w:t>风险极高</w:t>
            </w:r>
          </w:p>
        </w:tc>
        <w:tc>
          <w:tcPr>
            <w:tcW w:w="2844" w:type="dxa"/>
            <w:vAlign w:val="center"/>
          </w:tcPr>
          <w:p>
            <w:pPr>
              <w:pStyle w:val="84"/>
              <w:jc w:val="both"/>
              <w:rPr>
                <w:szCs w:val="18"/>
              </w:rPr>
            </w:pPr>
            <w:r>
              <w:rPr>
                <w:rFonts w:hint="eastAsia"/>
                <w:szCs w:val="18"/>
              </w:rPr>
              <w:t>在</w:t>
            </w:r>
            <w:r>
              <w:rPr>
                <w:szCs w:val="18"/>
              </w:rPr>
              <w:t>II</w:t>
            </w:r>
            <w:r>
              <w:rPr>
                <w:rFonts w:hint="eastAsia"/>
                <w:szCs w:val="18"/>
              </w:rPr>
              <w:t>级风险控制基础上，对区域内地下管线进行定期综合治理，及时对病害体进行治理和动态风险评估，对周边重要建筑物进行定期单独评估，对于部分重要场所生活和工作人员进行定期安全培训和应急演练，必要时可提前进行转移</w:t>
            </w:r>
          </w:p>
        </w:tc>
        <w:tc>
          <w:tcPr>
            <w:tcW w:w="2570" w:type="dxa"/>
            <w:vAlign w:val="center"/>
          </w:tcPr>
          <w:p>
            <w:pPr>
              <w:pStyle w:val="84"/>
              <w:jc w:val="both"/>
              <w:rPr>
                <w:szCs w:val="18"/>
              </w:rPr>
            </w:pPr>
            <w:r>
              <w:rPr>
                <w:rFonts w:hint="eastAsia"/>
                <w:szCs w:val="18"/>
              </w:rPr>
              <w:t>区域内严格管控新建工程的建设，对于特殊建筑物建设应当提前报备，经过专家论证后方可开工。严格控制病害体所在区域地下水的抽排，限制地面荷载的增加，规范私人建房的技术要求，最大限度降低引发地面塌陷地质灾害发生的外部风险</w:t>
            </w:r>
          </w:p>
        </w:tc>
        <w:tc>
          <w:tcPr>
            <w:tcW w:w="1107" w:type="dxa"/>
            <w:vAlign w:val="center"/>
          </w:tcPr>
          <w:p>
            <w:pPr>
              <w:pStyle w:val="84"/>
              <w:jc w:val="both"/>
              <w:rPr>
                <w:szCs w:val="18"/>
              </w:rPr>
            </w:pPr>
            <w:r>
              <w:rPr>
                <w:rFonts w:hint="eastAsia"/>
                <w:szCs w:val="18"/>
              </w:rPr>
              <w:t>根据监控、监测数据对区域内重要道路、广场以及地下基础设施沿线进行周期性动态评估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552" w:type="dxa"/>
            <w:vAlign w:val="center"/>
          </w:tcPr>
          <w:p>
            <w:pPr>
              <w:pStyle w:val="84"/>
              <w:rPr>
                <w:szCs w:val="18"/>
              </w:rPr>
            </w:pPr>
            <w:r>
              <w:rPr>
                <w:rFonts w:hint="eastAsia"/>
                <w:szCs w:val="18"/>
              </w:rPr>
              <w:t>II级</w:t>
            </w:r>
          </w:p>
        </w:tc>
        <w:tc>
          <w:tcPr>
            <w:tcW w:w="709" w:type="dxa"/>
            <w:vAlign w:val="center"/>
          </w:tcPr>
          <w:p>
            <w:pPr>
              <w:pStyle w:val="84"/>
              <w:rPr>
                <w:color w:val="000000"/>
                <w:szCs w:val="18"/>
              </w:rPr>
            </w:pPr>
            <w:r>
              <w:rPr>
                <w:rFonts w:hint="eastAsia"/>
                <w:color w:val="000000"/>
                <w:szCs w:val="18"/>
              </w:rPr>
              <w:t>风险较高</w:t>
            </w:r>
          </w:p>
        </w:tc>
        <w:tc>
          <w:tcPr>
            <w:tcW w:w="2844" w:type="dxa"/>
            <w:vAlign w:val="center"/>
          </w:tcPr>
          <w:p>
            <w:pPr>
              <w:pStyle w:val="84"/>
              <w:jc w:val="both"/>
              <w:rPr>
                <w:szCs w:val="18"/>
              </w:rPr>
            </w:pPr>
            <w:r>
              <w:rPr>
                <w:rFonts w:hint="eastAsia"/>
                <w:szCs w:val="18"/>
              </w:rPr>
              <w:t>在III级风险控制基础上，对区域内重点建筑物所在地进行重点检测，提前制订应急救援预案，做好周围学校、商场等重要场所的安全培训和应急演练</w:t>
            </w:r>
          </w:p>
        </w:tc>
        <w:tc>
          <w:tcPr>
            <w:tcW w:w="2570" w:type="dxa"/>
            <w:vAlign w:val="center"/>
          </w:tcPr>
          <w:p>
            <w:pPr>
              <w:pStyle w:val="84"/>
              <w:jc w:val="both"/>
              <w:rPr>
                <w:szCs w:val="18"/>
              </w:rPr>
            </w:pPr>
            <w:r>
              <w:rPr>
                <w:rFonts w:hint="eastAsia"/>
                <w:szCs w:val="18"/>
              </w:rPr>
              <w:t>对区域内地下管线状态进行安全监测和定期检查，区域内新建工程应该提前报备，经过专家论证后方可开工。区域内地下工程沿线状况应重点监控、定期检查</w:t>
            </w:r>
          </w:p>
        </w:tc>
        <w:tc>
          <w:tcPr>
            <w:tcW w:w="1107" w:type="dxa"/>
            <w:vAlign w:val="center"/>
          </w:tcPr>
          <w:p>
            <w:pPr>
              <w:pStyle w:val="84"/>
              <w:jc w:val="both"/>
              <w:rPr>
                <w:szCs w:val="18"/>
              </w:rPr>
            </w:pPr>
            <w:r>
              <w:rPr>
                <w:rFonts w:hint="eastAsia"/>
                <w:szCs w:val="18"/>
              </w:rPr>
              <w:t>根据实时监测、监控数据，对地下病害体风险等级进行周期性动态评估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552" w:type="dxa"/>
            <w:vAlign w:val="center"/>
          </w:tcPr>
          <w:p>
            <w:pPr>
              <w:pStyle w:val="84"/>
              <w:rPr>
                <w:szCs w:val="18"/>
              </w:rPr>
            </w:pPr>
            <w:r>
              <w:rPr>
                <w:rFonts w:hint="eastAsia"/>
                <w:szCs w:val="18"/>
              </w:rPr>
              <w:t>III级</w:t>
            </w:r>
          </w:p>
        </w:tc>
        <w:tc>
          <w:tcPr>
            <w:tcW w:w="709" w:type="dxa"/>
            <w:vAlign w:val="center"/>
          </w:tcPr>
          <w:p>
            <w:pPr>
              <w:pStyle w:val="84"/>
              <w:rPr>
                <w:color w:val="000000"/>
                <w:szCs w:val="18"/>
              </w:rPr>
            </w:pPr>
            <w:r>
              <w:rPr>
                <w:rFonts w:hint="eastAsia"/>
                <w:color w:val="000000"/>
                <w:szCs w:val="18"/>
              </w:rPr>
              <w:t>风险一般</w:t>
            </w:r>
          </w:p>
        </w:tc>
        <w:tc>
          <w:tcPr>
            <w:tcW w:w="2844" w:type="dxa"/>
            <w:vAlign w:val="center"/>
          </w:tcPr>
          <w:p>
            <w:pPr>
              <w:pStyle w:val="84"/>
              <w:jc w:val="both"/>
              <w:rPr>
                <w:szCs w:val="18"/>
              </w:rPr>
            </w:pPr>
            <w:r>
              <w:rPr>
                <w:rFonts w:hint="eastAsia"/>
                <w:szCs w:val="18"/>
              </w:rPr>
              <w:t>对于区域内存在的可能影响地下安全的相关问题需要及时处理，如管线破损、地基下沉、工程建设、降雨量过大等，以免造成风险升级，引发地面塌陷</w:t>
            </w:r>
          </w:p>
        </w:tc>
        <w:tc>
          <w:tcPr>
            <w:tcW w:w="2570" w:type="dxa"/>
            <w:vAlign w:val="center"/>
          </w:tcPr>
          <w:p>
            <w:pPr>
              <w:pStyle w:val="84"/>
              <w:jc w:val="both"/>
              <w:rPr>
                <w:szCs w:val="18"/>
              </w:rPr>
            </w:pPr>
            <w:r>
              <w:rPr>
                <w:rFonts w:hint="eastAsia"/>
                <w:szCs w:val="18"/>
              </w:rPr>
              <w:t>在周边区域内举行重大活动时需要报备，以免因人员车辆聚集造成因人为活动、地面载荷过大等引发地面塌陷事故</w:t>
            </w:r>
          </w:p>
        </w:tc>
        <w:tc>
          <w:tcPr>
            <w:tcW w:w="1107" w:type="dxa"/>
            <w:vAlign w:val="center"/>
          </w:tcPr>
          <w:p>
            <w:pPr>
              <w:pStyle w:val="84"/>
              <w:jc w:val="both"/>
              <w:rPr>
                <w:szCs w:val="18"/>
              </w:rPr>
            </w:pPr>
            <w:r>
              <w:rPr>
                <w:rFonts w:hint="eastAsia"/>
                <w:szCs w:val="18"/>
              </w:rPr>
              <w:t>根据定期监测数据，对病害体风险等级进行周期性评估</w:t>
            </w:r>
          </w:p>
        </w:tc>
      </w:tr>
    </w:tbl>
    <w:p>
      <w:pPr>
        <w:jc w:val="center"/>
        <w:rPr>
          <w:rFonts w:ascii="Times" w:hAnsi="Times"/>
          <w:bCs/>
        </w:rPr>
      </w:pPr>
    </w:p>
    <w:p>
      <w:pPr>
        <w:jc w:val="center"/>
        <w:rPr>
          <w:bCs/>
        </w:rPr>
      </w:pPr>
      <w:r>
        <w:rPr>
          <w:rFonts w:hint="eastAsia" w:ascii="Times" w:hAnsi="Times"/>
          <w:bCs/>
        </w:rPr>
        <w:t>续表</w:t>
      </w:r>
      <w:r>
        <w:rPr>
          <w:rFonts w:ascii="Times" w:hAnsi="Times"/>
          <w:bCs/>
        </w:rPr>
        <w:t>8</w:t>
      </w:r>
      <w:r>
        <w:rPr>
          <w:rFonts w:hint="eastAsia" w:ascii="Times" w:hAnsi="Times"/>
          <w:bCs/>
        </w:rPr>
        <w:t>.</w:t>
      </w:r>
      <w:r>
        <w:rPr>
          <w:rFonts w:ascii="Times" w:hAnsi="Times"/>
          <w:bCs/>
        </w:rPr>
        <w:t>5</w:t>
      </w:r>
      <w:r>
        <w:rPr>
          <w:rFonts w:hint="eastAsia" w:ascii="Times" w:hAnsi="Times"/>
          <w:bCs/>
        </w:rPr>
        <w:t>.</w:t>
      </w:r>
      <w:r>
        <w:rPr>
          <w:rFonts w:ascii="Times" w:hAnsi="Times"/>
          <w:bCs/>
        </w:rPr>
        <w:t>3</w:t>
      </w:r>
    </w:p>
    <w:tbl>
      <w:tblPr>
        <w:tblStyle w:val="26"/>
        <w:tblW w:w="77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709"/>
        <w:gridCol w:w="2844"/>
        <w:gridCol w:w="2570"/>
        <w:gridCol w:w="1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52" w:type="dxa"/>
            <w:vMerge w:val="restart"/>
            <w:vAlign w:val="center"/>
          </w:tcPr>
          <w:p>
            <w:pPr>
              <w:pStyle w:val="84"/>
              <w:rPr>
                <w:szCs w:val="18"/>
              </w:rPr>
            </w:pPr>
            <w:r>
              <w:rPr>
                <w:rFonts w:hint="eastAsia"/>
                <w:szCs w:val="18"/>
              </w:rPr>
              <w:t>风险等级</w:t>
            </w:r>
          </w:p>
        </w:tc>
        <w:tc>
          <w:tcPr>
            <w:tcW w:w="709" w:type="dxa"/>
            <w:vMerge w:val="restart"/>
            <w:vAlign w:val="center"/>
          </w:tcPr>
          <w:p>
            <w:pPr>
              <w:pStyle w:val="84"/>
              <w:rPr>
                <w:szCs w:val="18"/>
              </w:rPr>
            </w:pPr>
            <w:r>
              <w:rPr>
                <w:rFonts w:hint="eastAsia"/>
                <w:color w:val="000000"/>
                <w:szCs w:val="18"/>
              </w:rPr>
              <w:t>说明</w:t>
            </w:r>
          </w:p>
        </w:tc>
        <w:tc>
          <w:tcPr>
            <w:tcW w:w="6521" w:type="dxa"/>
            <w:gridSpan w:val="3"/>
            <w:vAlign w:val="center"/>
          </w:tcPr>
          <w:p>
            <w:pPr>
              <w:pStyle w:val="84"/>
              <w:rPr>
                <w:szCs w:val="18"/>
              </w:rPr>
            </w:pPr>
            <w:r>
              <w:rPr>
                <w:rFonts w:hint="eastAsia"/>
                <w:szCs w:val="18"/>
              </w:rPr>
              <w:t>对策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52" w:type="dxa"/>
            <w:vMerge w:val="continue"/>
            <w:vAlign w:val="center"/>
          </w:tcPr>
          <w:p>
            <w:pPr>
              <w:pStyle w:val="84"/>
              <w:rPr>
                <w:szCs w:val="18"/>
              </w:rPr>
            </w:pPr>
          </w:p>
        </w:tc>
        <w:tc>
          <w:tcPr>
            <w:tcW w:w="709" w:type="dxa"/>
            <w:vMerge w:val="continue"/>
            <w:vAlign w:val="center"/>
          </w:tcPr>
          <w:p>
            <w:pPr>
              <w:pStyle w:val="84"/>
              <w:rPr>
                <w:color w:val="000000"/>
                <w:szCs w:val="18"/>
              </w:rPr>
            </w:pPr>
          </w:p>
        </w:tc>
        <w:tc>
          <w:tcPr>
            <w:tcW w:w="2844" w:type="dxa"/>
            <w:vAlign w:val="center"/>
          </w:tcPr>
          <w:p>
            <w:pPr>
              <w:pStyle w:val="84"/>
              <w:rPr>
                <w:szCs w:val="18"/>
              </w:rPr>
            </w:pPr>
            <w:r>
              <w:rPr>
                <w:rFonts w:hint="eastAsia"/>
                <w:szCs w:val="18"/>
              </w:rPr>
              <w:t>处置方式</w:t>
            </w:r>
          </w:p>
        </w:tc>
        <w:tc>
          <w:tcPr>
            <w:tcW w:w="2570" w:type="dxa"/>
            <w:vAlign w:val="center"/>
          </w:tcPr>
          <w:p>
            <w:pPr>
              <w:pStyle w:val="84"/>
              <w:rPr>
                <w:szCs w:val="18"/>
              </w:rPr>
            </w:pPr>
            <w:r>
              <w:rPr>
                <w:rFonts w:hint="eastAsia"/>
                <w:szCs w:val="18"/>
              </w:rPr>
              <w:t>控制要求</w:t>
            </w:r>
          </w:p>
        </w:tc>
        <w:tc>
          <w:tcPr>
            <w:tcW w:w="1107" w:type="dxa"/>
            <w:vAlign w:val="center"/>
          </w:tcPr>
          <w:p>
            <w:pPr>
              <w:pStyle w:val="84"/>
              <w:rPr>
                <w:szCs w:val="18"/>
              </w:rPr>
            </w:pPr>
            <w:r>
              <w:rPr>
                <w:rFonts w:hint="eastAsia"/>
                <w:szCs w:val="18"/>
              </w:rPr>
              <w:t>评估要求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52" w:type="dxa"/>
            <w:tcBorders>
              <w:top w:val="single" w:color="auto" w:sz="8" w:space="0"/>
              <w:left w:val="single" w:color="auto" w:sz="12" w:space="0"/>
              <w:bottom w:val="single" w:color="auto" w:sz="8" w:space="0"/>
              <w:right w:val="single" w:color="auto" w:sz="8" w:space="0"/>
            </w:tcBorders>
            <w:vAlign w:val="center"/>
          </w:tcPr>
          <w:p>
            <w:pPr>
              <w:pStyle w:val="84"/>
              <w:rPr>
                <w:szCs w:val="18"/>
              </w:rPr>
            </w:pPr>
            <w:r>
              <w:rPr>
                <w:rFonts w:hint="eastAsia"/>
                <w:szCs w:val="18"/>
              </w:rPr>
              <w:t>IV级</w:t>
            </w:r>
          </w:p>
        </w:tc>
        <w:tc>
          <w:tcPr>
            <w:tcW w:w="709" w:type="dxa"/>
            <w:tcBorders>
              <w:top w:val="single" w:color="auto" w:sz="8" w:space="0"/>
              <w:left w:val="single" w:color="auto" w:sz="8" w:space="0"/>
              <w:bottom w:val="single" w:color="auto" w:sz="8" w:space="0"/>
              <w:right w:val="single" w:color="auto" w:sz="8" w:space="0"/>
            </w:tcBorders>
            <w:vAlign w:val="center"/>
          </w:tcPr>
          <w:p>
            <w:pPr>
              <w:pStyle w:val="84"/>
              <w:rPr>
                <w:color w:val="000000"/>
                <w:szCs w:val="18"/>
              </w:rPr>
            </w:pPr>
            <w:r>
              <w:rPr>
                <w:rFonts w:hint="eastAsia"/>
                <w:color w:val="000000"/>
                <w:szCs w:val="18"/>
              </w:rPr>
              <w:t>风险较低</w:t>
            </w:r>
          </w:p>
        </w:tc>
        <w:tc>
          <w:tcPr>
            <w:tcW w:w="2844" w:type="dxa"/>
            <w:vMerge w:val="restart"/>
            <w:tcBorders>
              <w:top w:val="single" w:color="auto" w:sz="8" w:space="0"/>
              <w:left w:val="single" w:color="auto" w:sz="8" w:space="0"/>
              <w:right w:val="single" w:color="auto" w:sz="8" w:space="0"/>
            </w:tcBorders>
            <w:vAlign w:val="center"/>
          </w:tcPr>
          <w:p>
            <w:pPr>
              <w:pStyle w:val="84"/>
              <w:jc w:val="both"/>
              <w:rPr>
                <w:szCs w:val="18"/>
              </w:rPr>
            </w:pPr>
            <w:r>
              <w:rPr>
                <w:rFonts w:hint="eastAsia"/>
                <w:szCs w:val="18"/>
              </w:rPr>
              <w:t>采用卫星监测地面沉降作为主要手段，对风险评估单元进行周期性监测</w:t>
            </w:r>
          </w:p>
        </w:tc>
        <w:tc>
          <w:tcPr>
            <w:tcW w:w="2570" w:type="dxa"/>
            <w:vMerge w:val="restart"/>
            <w:tcBorders>
              <w:top w:val="single" w:color="auto" w:sz="8" w:space="0"/>
              <w:left w:val="single" w:color="auto" w:sz="8" w:space="0"/>
              <w:right w:val="single" w:color="auto" w:sz="8" w:space="0"/>
            </w:tcBorders>
            <w:vAlign w:val="center"/>
          </w:tcPr>
          <w:p>
            <w:pPr>
              <w:pStyle w:val="84"/>
              <w:jc w:val="left"/>
              <w:rPr>
                <w:szCs w:val="18"/>
              </w:rPr>
            </w:pPr>
            <w:r>
              <w:rPr>
                <w:rFonts w:hint="eastAsia"/>
                <w:szCs w:val="18"/>
              </w:rPr>
              <w:t>对病害体进行定期巡查和监控</w:t>
            </w:r>
          </w:p>
        </w:tc>
        <w:tc>
          <w:tcPr>
            <w:tcW w:w="1107" w:type="dxa"/>
            <w:vMerge w:val="restart"/>
            <w:tcBorders>
              <w:top w:val="single" w:color="auto" w:sz="8" w:space="0"/>
              <w:left w:val="single" w:color="auto" w:sz="8" w:space="0"/>
              <w:right w:val="single" w:color="auto" w:sz="12" w:space="0"/>
            </w:tcBorders>
            <w:vAlign w:val="center"/>
          </w:tcPr>
          <w:p>
            <w:pPr>
              <w:pStyle w:val="84"/>
              <w:jc w:val="both"/>
              <w:rPr>
                <w:szCs w:val="18"/>
              </w:rPr>
            </w:pPr>
            <w:r>
              <w:rPr>
                <w:rFonts w:hint="eastAsia"/>
                <w:szCs w:val="18"/>
              </w:rPr>
              <w:t>设定相应的风险评估周期，定期重新对地下病害体进行风险评估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52" w:type="dxa"/>
            <w:tcBorders>
              <w:top w:val="single" w:color="auto" w:sz="8" w:space="0"/>
              <w:left w:val="single" w:color="auto" w:sz="12" w:space="0"/>
              <w:bottom w:val="single" w:color="auto" w:sz="12" w:space="0"/>
              <w:right w:val="single" w:color="auto" w:sz="8" w:space="0"/>
            </w:tcBorders>
            <w:vAlign w:val="center"/>
          </w:tcPr>
          <w:p>
            <w:pPr>
              <w:pStyle w:val="84"/>
              <w:rPr>
                <w:szCs w:val="18"/>
              </w:rPr>
            </w:pPr>
            <w:r>
              <w:rPr>
                <w:rFonts w:hint="eastAsia"/>
                <w:szCs w:val="18"/>
              </w:rPr>
              <w:t>V级</w:t>
            </w:r>
          </w:p>
        </w:tc>
        <w:tc>
          <w:tcPr>
            <w:tcW w:w="709" w:type="dxa"/>
            <w:tcBorders>
              <w:top w:val="single" w:color="auto" w:sz="8" w:space="0"/>
              <w:left w:val="single" w:color="auto" w:sz="8" w:space="0"/>
              <w:bottom w:val="single" w:color="auto" w:sz="12" w:space="0"/>
              <w:right w:val="single" w:color="auto" w:sz="8" w:space="0"/>
            </w:tcBorders>
            <w:vAlign w:val="center"/>
          </w:tcPr>
          <w:p>
            <w:pPr>
              <w:pStyle w:val="84"/>
              <w:rPr>
                <w:color w:val="000000"/>
                <w:szCs w:val="18"/>
              </w:rPr>
            </w:pPr>
            <w:r>
              <w:rPr>
                <w:rFonts w:hint="eastAsia"/>
                <w:color w:val="000000"/>
                <w:szCs w:val="18"/>
              </w:rPr>
              <w:t>风险很低</w:t>
            </w:r>
          </w:p>
        </w:tc>
        <w:tc>
          <w:tcPr>
            <w:tcW w:w="2844" w:type="dxa"/>
            <w:vMerge w:val="continue"/>
            <w:tcBorders>
              <w:left w:val="single" w:color="auto" w:sz="8" w:space="0"/>
              <w:bottom w:val="single" w:color="auto" w:sz="12" w:space="0"/>
              <w:right w:val="single" w:color="auto" w:sz="8" w:space="0"/>
            </w:tcBorders>
            <w:vAlign w:val="center"/>
          </w:tcPr>
          <w:p>
            <w:pPr>
              <w:pStyle w:val="84"/>
              <w:jc w:val="both"/>
              <w:rPr>
                <w:szCs w:val="18"/>
              </w:rPr>
            </w:pPr>
          </w:p>
        </w:tc>
        <w:tc>
          <w:tcPr>
            <w:tcW w:w="2570" w:type="dxa"/>
            <w:vMerge w:val="continue"/>
            <w:tcBorders>
              <w:left w:val="single" w:color="auto" w:sz="8" w:space="0"/>
              <w:bottom w:val="single" w:color="auto" w:sz="12" w:space="0"/>
              <w:right w:val="single" w:color="auto" w:sz="8" w:space="0"/>
            </w:tcBorders>
            <w:vAlign w:val="center"/>
          </w:tcPr>
          <w:p>
            <w:pPr>
              <w:pStyle w:val="84"/>
              <w:jc w:val="left"/>
              <w:rPr>
                <w:szCs w:val="18"/>
              </w:rPr>
            </w:pPr>
          </w:p>
        </w:tc>
        <w:tc>
          <w:tcPr>
            <w:tcW w:w="1107" w:type="dxa"/>
            <w:vMerge w:val="continue"/>
            <w:tcBorders>
              <w:left w:val="single" w:color="auto" w:sz="8" w:space="0"/>
              <w:bottom w:val="single" w:color="auto" w:sz="12" w:space="0"/>
              <w:right w:val="single" w:color="auto" w:sz="12" w:space="0"/>
            </w:tcBorders>
            <w:vAlign w:val="center"/>
          </w:tcPr>
          <w:p>
            <w:pPr>
              <w:pStyle w:val="84"/>
              <w:jc w:val="both"/>
              <w:rPr>
                <w:szCs w:val="18"/>
              </w:rPr>
            </w:pPr>
          </w:p>
        </w:tc>
      </w:tr>
    </w:tbl>
    <w:p/>
    <w:p/>
    <w:p>
      <w:pPr>
        <w:sectPr>
          <w:pgSz w:w="11906" w:h="16838"/>
          <w:pgMar w:top="1440" w:right="1800" w:bottom="1440" w:left="2268" w:header="851" w:footer="992" w:gutter="0"/>
          <w:cols w:space="425" w:num="1"/>
          <w:docGrid w:type="lines" w:linePitch="312" w:charSpace="0"/>
        </w:sectPr>
      </w:pPr>
    </w:p>
    <w:p>
      <w:pPr>
        <w:pStyle w:val="3"/>
        <w:widowControl/>
        <w:numPr>
          <w:ilvl w:val="0"/>
          <w:numId w:val="1"/>
        </w:numPr>
        <w:tabs>
          <w:tab w:val="left" w:pos="425"/>
          <w:tab w:val="clear" w:pos="2694"/>
        </w:tabs>
        <w:spacing w:before="0" w:after="0" w:line="360" w:lineRule="auto"/>
        <w:ind w:left="0" w:firstLine="0"/>
        <w:jc w:val="center"/>
        <w:outlineLvl w:val="0"/>
        <w:rPr>
          <w:rFonts w:ascii="Times New Roman" w:hAnsi="Times New Roman"/>
          <w:bCs w:val="0"/>
          <w:caps w:val="0"/>
          <w:kern w:val="0"/>
          <w:szCs w:val="24"/>
        </w:rPr>
      </w:pPr>
      <w:bookmarkStart w:id="57" w:name="_Toc148468250"/>
      <w:r>
        <w:rPr>
          <w:rFonts w:hint="eastAsia" w:ascii="Times New Roman" w:hAnsi="Times New Roman"/>
          <w:bCs w:val="0"/>
          <w:caps w:val="0"/>
          <w:kern w:val="0"/>
          <w:szCs w:val="24"/>
        </w:rPr>
        <w:t>成果编制与信息化管理</w:t>
      </w:r>
      <w:bookmarkEnd w:id="57"/>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58" w:name="_Toc148468251"/>
      <w:r>
        <w:rPr>
          <w:rStyle w:val="32"/>
          <w:rFonts w:ascii="Times New Roman" w:hAnsi="Times New Roman"/>
          <w:bCs w:val="0"/>
          <w:caps w:val="0"/>
          <w:kern w:val="0"/>
          <w:sz w:val="21"/>
          <w:szCs w:val="21"/>
        </w:rPr>
        <w:t>9</w:t>
      </w:r>
      <w:r>
        <w:rPr>
          <w:rStyle w:val="32"/>
          <w:rFonts w:hint="eastAsia" w:ascii="Times New Roman" w:hAnsi="Times New Roman"/>
          <w:bCs w:val="0"/>
          <w:caps w:val="0"/>
          <w:kern w:val="0"/>
          <w:sz w:val="21"/>
          <w:szCs w:val="21"/>
        </w:rPr>
        <w:t>.1  一般规定</w:t>
      </w:r>
      <w:bookmarkEnd w:id="58"/>
    </w:p>
    <w:p>
      <w:r>
        <w:t>9</w:t>
      </w:r>
      <w:r>
        <w:rPr>
          <w:rFonts w:hint="eastAsia"/>
        </w:rPr>
        <w:t>.1.1  地下病害体探测成果宜包括文字报告和图表。</w:t>
      </w:r>
    </w:p>
    <w:p>
      <w:r>
        <w:rPr>
          <w:rFonts w:hint="eastAsia"/>
        </w:rPr>
        <w:t>9.1.2</w:t>
      </w:r>
      <w:r>
        <w:t xml:space="preserve">  </w:t>
      </w:r>
      <w:r>
        <w:rPr>
          <w:rFonts w:hint="eastAsia"/>
        </w:rPr>
        <w:t>文字报告应内容全面、重点突出、结论明确、图表规范、数据齐全。</w:t>
      </w:r>
    </w:p>
    <w:p>
      <w:r>
        <w:rPr>
          <w:rFonts w:hint="eastAsia"/>
        </w:rPr>
        <w:t>9.1.3</w:t>
      </w:r>
      <w:r>
        <w:t xml:space="preserve">  </w:t>
      </w:r>
      <w:r>
        <w:rPr>
          <w:rFonts w:hint="eastAsia"/>
        </w:rPr>
        <w:t>成果图表应标识清楚，图式、图例、注记和比例尺等要素齐全。</w:t>
      </w:r>
    </w:p>
    <w:p>
      <w:r>
        <w:rPr>
          <w:rFonts w:hint="eastAsia"/>
        </w:rPr>
        <w:t>9.1.4</w:t>
      </w:r>
      <w:r>
        <w:t xml:space="preserve">  </w:t>
      </w:r>
      <w:r>
        <w:rPr>
          <w:rFonts w:hint="eastAsia"/>
        </w:rPr>
        <w:t>探测成果及相关资料宜纳入城市地下病害体信息管理系统及相关系统统一管理。</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59" w:name="_Toc148468252"/>
      <w:r>
        <w:rPr>
          <w:rStyle w:val="32"/>
          <w:rFonts w:ascii="Times New Roman" w:hAnsi="Times New Roman"/>
          <w:bCs w:val="0"/>
          <w:caps w:val="0"/>
          <w:kern w:val="0"/>
          <w:sz w:val="21"/>
          <w:szCs w:val="21"/>
        </w:rPr>
        <w:t>9</w:t>
      </w:r>
      <w:r>
        <w:rPr>
          <w:rStyle w:val="32"/>
          <w:rFonts w:hint="eastAsia" w:ascii="Times New Roman" w:hAnsi="Times New Roman"/>
          <w:bCs w:val="0"/>
          <w:caps w:val="0"/>
          <w:kern w:val="0"/>
          <w:sz w:val="21"/>
          <w:szCs w:val="21"/>
        </w:rPr>
        <w:t>.</w:t>
      </w:r>
      <w:r>
        <w:rPr>
          <w:rStyle w:val="32"/>
          <w:rFonts w:ascii="Times New Roman" w:hAnsi="Times New Roman"/>
          <w:bCs w:val="0"/>
          <w:caps w:val="0"/>
          <w:kern w:val="0"/>
          <w:sz w:val="21"/>
          <w:szCs w:val="21"/>
        </w:rPr>
        <w:t>2</w:t>
      </w:r>
      <w:r>
        <w:rPr>
          <w:rStyle w:val="32"/>
          <w:rFonts w:hint="eastAsia" w:ascii="Times New Roman" w:hAnsi="Times New Roman"/>
          <w:bCs w:val="0"/>
          <w:caps w:val="0"/>
          <w:kern w:val="0"/>
          <w:sz w:val="21"/>
          <w:szCs w:val="21"/>
        </w:rPr>
        <w:t xml:space="preserve">  成果编制</w:t>
      </w:r>
      <w:bookmarkEnd w:id="59"/>
    </w:p>
    <w:p>
      <w:r>
        <w:t>9</w:t>
      </w:r>
      <w:r>
        <w:rPr>
          <w:rFonts w:hint="eastAsia"/>
        </w:rPr>
        <w:t>.</w:t>
      </w:r>
      <w:r>
        <w:t>2</w:t>
      </w:r>
      <w:r>
        <w:rPr>
          <w:rFonts w:hint="eastAsia"/>
        </w:rPr>
        <w:t>.1  文字报告大纲宜包括下列内容：</w:t>
      </w:r>
    </w:p>
    <w:p>
      <w:pPr>
        <w:ind w:firstLine="420" w:firstLineChars="200"/>
      </w:pPr>
      <w:r>
        <w:rPr>
          <w:rFonts w:hint="eastAsia"/>
        </w:rPr>
        <w:t>1</w:t>
      </w:r>
      <w:r>
        <w:t xml:space="preserve">  </w:t>
      </w:r>
      <w:r>
        <w:rPr>
          <w:rFonts w:hint="eastAsia"/>
        </w:rPr>
        <w:t>工程概况；</w:t>
      </w:r>
    </w:p>
    <w:p>
      <w:pPr>
        <w:ind w:firstLine="420" w:firstLineChars="200"/>
      </w:pPr>
      <w:r>
        <w:rPr>
          <w:rFonts w:hint="eastAsia"/>
        </w:rPr>
        <w:t>2</w:t>
      </w:r>
      <w:r>
        <w:t xml:space="preserve">  </w:t>
      </w:r>
      <w:r>
        <w:rPr>
          <w:rFonts w:hint="eastAsia"/>
        </w:rPr>
        <w:t>技术依据；</w:t>
      </w:r>
    </w:p>
    <w:p>
      <w:pPr>
        <w:ind w:firstLine="420" w:firstLineChars="200"/>
      </w:pPr>
      <w:r>
        <w:rPr>
          <w:rFonts w:hint="eastAsia"/>
        </w:rPr>
        <w:t>3</w:t>
      </w:r>
      <w:r>
        <w:t xml:space="preserve">  </w:t>
      </w:r>
      <w:r>
        <w:rPr>
          <w:rFonts w:hint="eastAsia"/>
        </w:rPr>
        <w:t>场地工程环境分析；</w:t>
      </w:r>
    </w:p>
    <w:p>
      <w:pPr>
        <w:ind w:firstLine="420" w:firstLineChars="200"/>
      </w:pPr>
      <w:r>
        <w:rPr>
          <w:rFonts w:hint="eastAsia"/>
        </w:rPr>
        <w:t>4</w:t>
      </w:r>
      <w:r>
        <w:t xml:space="preserve">  </w:t>
      </w:r>
      <w:r>
        <w:rPr>
          <w:rFonts w:hint="eastAsia"/>
        </w:rPr>
        <w:t>工作方法及质量评价；</w:t>
      </w:r>
    </w:p>
    <w:p>
      <w:pPr>
        <w:ind w:firstLine="420" w:firstLineChars="200"/>
      </w:pPr>
      <w:r>
        <w:rPr>
          <w:rFonts w:hint="eastAsia"/>
        </w:rPr>
        <w:t>5</w:t>
      </w:r>
      <w:r>
        <w:t xml:space="preserve">  </w:t>
      </w:r>
      <w:r>
        <w:rPr>
          <w:rFonts w:hint="eastAsia"/>
        </w:rPr>
        <w:t>探测工作设计与采集；</w:t>
      </w:r>
    </w:p>
    <w:p>
      <w:pPr>
        <w:ind w:firstLine="420" w:firstLineChars="200"/>
      </w:pPr>
      <w:r>
        <w:rPr>
          <w:rFonts w:hint="eastAsia"/>
        </w:rPr>
        <w:t>6</w:t>
      </w:r>
      <w:r>
        <w:t xml:space="preserve">  </w:t>
      </w:r>
      <w:r>
        <w:rPr>
          <w:rFonts w:hint="eastAsia"/>
        </w:rPr>
        <w:t>数据处理和解释；</w:t>
      </w:r>
    </w:p>
    <w:p>
      <w:pPr>
        <w:ind w:firstLine="420" w:firstLineChars="200"/>
      </w:pPr>
      <w:r>
        <w:rPr>
          <w:rFonts w:hint="eastAsia"/>
        </w:rPr>
        <w:t>7</w:t>
      </w:r>
      <w:r>
        <w:t xml:space="preserve">  </w:t>
      </w:r>
      <w:r>
        <w:rPr>
          <w:rFonts w:hint="eastAsia"/>
        </w:rPr>
        <w:t>成果验证与病害解释修正；</w:t>
      </w:r>
    </w:p>
    <w:p>
      <w:pPr>
        <w:ind w:firstLine="420" w:firstLineChars="200"/>
      </w:pPr>
      <w:r>
        <w:rPr>
          <w:rFonts w:hint="eastAsia"/>
        </w:rPr>
        <w:t>8</w:t>
      </w:r>
      <w:r>
        <w:t xml:space="preserve">  </w:t>
      </w:r>
      <w:r>
        <w:rPr>
          <w:rFonts w:hint="eastAsia"/>
        </w:rPr>
        <w:t>地下病害体风险评估；</w:t>
      </w:r>
    </w:p>
    <w:p>
      <w:pPr>
        <w:ind w:firstLine="420" w:firstLineChars="200"/>
      </w:pPr>
      <w:r>
        <w:rPr>
          <w:rFonts w:hint="eastAsia"/>
        </w:rPr>
        <w:t>9</w:t>
      </w:r>
      <w:r>
        <w:t xml:space="preserve">  </w:t>
      </w:r>
      <w:r>
        <w:rPr>
          <w:rFonts w:hint="eastAsia"/>
        </w:rPr>
        <w:t>病害体特征信息统计；</w:t>
      </w:r>
    </w:p>
    <w:p>
      <w:pPr>
        <w:ind w:firstLine="420" w:firstLineChars="200"/>
      </w:pPr>
      <w:r>
        <w:rPr>
          <w:rFonts w:hint="eastAsia"/>
        </w:rPr>
        <w:t>10</w:t>
      </w:r>
      <w:r>
        <w:t xml:space="preserve">  </w:t>
      </w:r>
      <w:r>
        <w:rPr>
          <w:rFonts w:hint="eastAsia"/>
        </w:rPr>
        <w:t>结论与建议；</w:t>
      </w:r>
    </w:p>
    <w:p>
      <w:pPr>
        <w:ind w:firstLine="420" w:firstLineChars="200"/>
      </w:pPr>
      <w:r>
        <w:rPr>
          <w:rFonts w:hint="eastAsia"/>
        </w:rPr>
        <w:t>11</w:t>
      </w:r>
      <w:r>
        <w:t xml:space="preserve">  </w:t>
      </w:r>
      <w:r>
        <w:rPr>
          <w:rFonts w:hint="eastAsia"/>
        </w:rPr>
        <w:t>附图、附表。</w:t>
      </w:r>
    </w:p>
    <w:p>
      <w:r>
        <w:rPr>
          <w:rFonts w:hint="eastAsia"/>
        </w:rPr>
        <w:t>9</w:t>
      </w:r>
      <w:r>
        <w:t xml:space="preserve">.2.2  </w:t>
      </w:r>
      <w:r>
        <w:rPr>
          <w:rFonts w:hint="eastAsia"/>
        </w:rPr>
        <w:t>成果图件应包括探测工作布置图、地下病害体平面分布图、成果解释剖面图等。</w:t>
      </w:r>
    </w:p>
    <w:p>
      <w:r>
        <w:rPr>
          <w:rFonts w:hint="eastAsia"/>
        </w:rPr>
        <w:t>9.2.3</w:t>
      </w:r>
      <w:r>
        <w:t xml:space="preserve">  </w:t>
      </w:r>
      <w:r>
        <w:rPr>
          <w:rFonts w:hint="eastAsia"/>
        </w:rPr>
        <w:t>工作布置图应根据探测方法采用统一的代号和图例编制，探测方法代号和图例宜按JGJ/T437规定执行，并应符合下列规定：</w:t>
      </w:r>
    </w:p>
    <w:p>
      <w:pPr>
        <w:ind w:firstLine="420" w:firstLineChars="200"/>
      </w:pPr>
      <w:r>
        <w:rPr>
          <w:rFonts w:hint="eastAsia"/>
        </w:rPr>
        <w:t>1</w:t>
      </w:r>
      <w:r>
        <w:t xml:space="preserve">  </w:t>
      </w:r>
      <w:r>
        <w:rPr>
          <w:rFonts w:hint="eastAsia"/>
        </w:rPr>
        <w:t>工作布置图应标明测线、测点、验证点、剖面起讫点等的平面位置、编号；</w:t>
      </w:r>
    </w:p>
    <w:p>
      <w:pPr>
        <w:ind w:firstLine="420" w:firstLineChars="200"/>
      </w:pPr>
      <w:r>
        <w:rPr>
          <w:rFonts w:hint="eastAsia"/>
        </w:rPr>
        <w:t>2</w:t>
      </w:r>
      <w:r>
        <w:t xml:space="preserve">  </w:t>
      </w:r>
      <w:r>
        <w:rPr>
          <w:rFonts w:hint="eastAsia"/>
        </w:rPr>
        <w:t>测线特征点、测点等宜由探测方法代号和阿拉伯数字组成，且保证同一测区唯一；</w:t>
      </w:r>
    </w:p>
    <w:p>
      <w:pPr>
        <w:ind w:firstLine="420" w:firstLineChars="200"/>
      </w:pPr>
      <w:r>
        <w:rPr>
          <w:rFonts w:hint="eastAsia"/>
        </w:rPr>
        <w:t>3</w:t>
      </w:r>
      <w:r>
        <w:t xml:space="preserve">  </w:t>
      </w:r>
      <w:r>
        <w:rPr>
          <w:rFonts w:hint="eastAsia"/>
        </w:rPr>
        <w:t>验证工作布置应按规定的代号、颜色和图例统一编号绘制。</w:t>
      </w:r>
    </w:p>
    <w:p>
      <w:r>
        <w:rPr>
          <w:rFonts w:hint="eastAsia"/>
        </w:rPr>
        <w:t>9.2.4</w:t>
      </w:r>
      <w:r>
        <w:t xml:space="preserve">  </w:t>
      </w:r>
      <w:r>
        <w:rPr>
          <w:rFonts w:hint="eastAsia"/>
        </w:rPr>
        <w:t>地下病害体平面分布图应根据地下病害体类型采用统一的代号、颜色和图例编制，地下病害体在平面图的标注方法、代号和图例宜按《城市地下病害体综合探测与风险评估技术标准》JGJ/T437规定执行。</w:t>
      </w:r>
    </w:p>
    <w:p>
      <w:r>
        <w:rPr>
          <w:rFonts w:hint="eastAsia"/>
        </w:rPr>
        <w:t>9</w:t>
      </w:r>
      <w:r>
        <w:t xml:space="preserve">.2.5  </w:t>
      </w:r>
      <w:r>
        <w:rPr>
          <w:rFonts w:hint="eastAsia"/>
        </w:rPr>
        <w:t>成果解释剖面图绘制应符合下列规定：</w:t>
      </w:r>
    </w:p>
    <w:p>
      <w:pPr>
        <w:ind w:firstLine="420" w:firstLineChars="200"/>
      </w:pPr>
      <w:r>
        <w:rPr>
          <w:rFonts w:hint="eastAsia"/>
        </w:rPr>
        <w:t>1</w:t>
      </w:r>
      <w:r>
        <w:t xml:space="preserve">  </w:t>
      </w:r>
      <w:r>
        <w:rPr>
          <w:rFonts w:hint="eastAsia"/>
        </w:rPr>
        <w:t>剖面图编号宜沿用工作布置图中的测线编号，用“-”连接表示；</w:t>
      </w:r>
    </w:p>
    <w:p>
      <w:pPr>
        <w:ind w:firstLine="420" w:firstLineChars="200"/>
      </w:pPr>
      <w:r>
        <w:rPr>
          <w:rFonts w:hint="eastAsia"/>
        </w:rPr>
        <w:t>2</w:t>
      </w:r>
      <w:r>
        <w:t xml:space="preserve">  </w:t>
      </w:r>
      <w:r>
        <w:rPr>
          <w:rFonts w:hint="eastAsia"/>
        </w:rPr>
        <w:t>应清晰表示病害体的空间位置、形态及类型；</w:t>
      </w:r>
    </w:p>
    <w:p>
      <w:pPr>
        <w:ind w:firstLine="420" w:firstLineChars="200"/>
      </w:pPr>
      <w:r>
        <w:rPr>
          <w:rFonts w:hint="eastAsia"/>
        </w:rPr>
        <w:t>3</w:t>
      </w:r>
      <w:r>
        <w:t xml:space="preserve">  </w:t>
      </w:r>
      <w:r>
        <w:rPr>
          <w:rFonts w:hint="eastAsia"/>
        </w:rPr>
        <w:t>宜包括验证点（孔）的位置及编号。</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60" w:name="_Toc148468253"/>
      <w:r>
        <w:rPr>
          <w:rStyle w:val="32"/>
          <w:rFonts w:ascii="Times New Roman" w:hAnsi="Times New Roman"/>
          <w:bCs w:val="0"/>
          <w:caps w:val="0"/>
          <w:kern w:val="0"/>
          <w:sz w:val="21"/>
          <w:szCs w:val="21"/>
        </w:rPr>
        <w:t>9</w:t>
      </w:r>
      <w:r>
        <w:rPr>
          <w:rStyle w:val="32"/>
          <w:rFonts w:hint="eastAsia" w:ascii="Times New Roman" w:hAnsi="Times New Roman"/>
          <w:bCs w:val="0"/>
          <w:caps w:val="0"/>
          <w:kern w:val="0"/>
          <w:sz w:val="21"/>
          <w:szCs w:val="21"/>
        </w:rPr>
        <w:t>.</w:t>
      </w:r>
      <w:r>
        <w:rPr>
          <w:rStyle w:val="32"/>
          <w:rFonts w:ascii="Times New Roman" w:hAnsi="Times New Roman"/>
          <w:bCs w:val="0"/>
          <w:caps w:val="0"/>
          <w:kern w:val="0"/>
          <w:sz w:val="21"/>
          <w:szCs w:val="21"/>
        </w:rPr>
        <w:t>3</w:t>
      </w:r>
      <w:r>
        <w:rPr>
          <w:rStyle w:val="32"/>
          <w:rFonts w:hint="eastAsia" w:ascii="Times New Roman" w:hAnsi="Times New Roman"/>
          <w:bCs w:val="0"/>
          <w:caps w:val="0"/>
          <w:kern w:val="0"/>
          <w:sz w:val="21"/>
          <w:szCs w:val="21"/>
        </w:rPr>
        <w:t xml:space="preserve">  信息化管理</w:t>
      </w:r>
      <w:bookmarkEnd w:id="60"/>
    </w:p>
    <w:p>
      <w:r>
        <w:t>9</w:t>
      </w:r>
      <w:r>
        <w:rPr>
          <w:rFonts w:hint="eastAsia"/>
        </w:rPr>
        <w:t>.</w:t>
      </w:r>
      <w:r>
        <w:t>3</w:t>
      </w:r>
      <w:r>
        <w:rPr>
          <w:rFonts w:hint="eastAsia"/>
        </w:rPr>
        <w:t>.1  地下病害体探测与风险评估工作应通过地下病害体信息管理系统进行录入和数据采集，统一数据底座、实现数据共享,并与城市监测预警等信息化平台能够进行数据交换。</w:t>
      </w:r>
    </w:p>
    <w:p>
      <w:r>
        <w:rPr>
          <w:rFonts w:hint="eastAsia"/>
        </w:rPr>
        <w:t>9</w:t>
      </w:r>
      <w:r>
        <w:t xml:space="preserve">.3.2  </w:t>
      </w:r>
      <w:r>
        <w:rPr>
          <w:rFonts w:hint="eastAsia"/>
        </w:rPr>
        <w:t>通过构建地下病害体信息管理系统，实现地下病害体信息数据库管理、成果结构化分析和标准智能化应用，并为风险评估、辅助决策功能提供技术支撑。</w:t>
      </w:r>
    </w:p>
    <w:p>
      <w:r>
        <w:rPr>
          <w:rFonts w:hint="eastAsia"/>
        </w:rPr>
        <w:t>9.3.3</w:t>
      </w:r>
      <w:r>
        <w:t xml:space="preserve">  </w:t>
      </w:r>
      <w:r>
        <w:rPr>
          <w:rFonts w:hint="eastAsia"/>
        </w:rPr>
        <w:t>地下病害体信息数据库管理应包括病害体的空间数据、属性数据、成因分析、处置建议等，并在统一数据编码和数据标准的基础上，融合已搜集的城市运行基础数据，纳入信息化管理系统的数据管理子系统中，实现地下病害体风险相关数据的数字化管理。</w:t>
      </w:r>
    </w:p>
    <w:p>
      <w:r>
        <w:rPr>
          <w:rFonts w:hint="eastAsia"/>
        </w:rPr>
        <w:t>9.3.4</w:t>
      </w:r>
      <w:r>
        <w:t xml:space="preserve">  </w:t>
      </w:r>
      <w:r>
        <w:rPr>
          <w:rFonts w:hint="eastAsia"/>
        </w:rPr>
        <w:t>地下病害体数据库编码方式按照现行行业标准《城市运行管理服务平台数据标准》CJ/T545的规定执行。</w:t>
      </w:r>
    </w:p>
    <w:p>
      <w:r>
        <w:rPr>
          <w:rFonts w:hint="eastAsia"/>
        </w:rPr>
        <w:t>9.3.5</w:t>
      </w:r>
      <w:r>
        <w:t xml:space="preserve">  </w:t>
      </w:r>
      <w:r>
        <w:rPr>
          <w:rFonts w:hint="eastAsia"/>
        </w:rPr>
        <w:t>地下病害体成果结构化分析应在病害体风险信息数据库建立基础上，在信息管理系统内进行信息的查询、统计、分析、输出等操作，并通过信息系统的初步研判结果，实现病害体风险等级的可视化展示及地下病害体信息一图统管，为探测工作的高效开展提供指导。</w:t>
      </w:r>
    </w:p>
    <w:p>
      <w:r>
        <w:rPr>
          <w:rFonts w:hint="eastAsia"/>
        </w:rPr>
        <w:t>9.3.6</w:t>
      </w:r>
      <w:r>
        <w:t xml:space="preserve">  </w:t>
      </w:r>
      <w:r>
        <w:rPr>
          <w:rFonts w:hint="eastAsia"/>
        </w:rPr>
        <w:t>地下病害体风险相关数据信息化管理应是与信息管理系统实现信息共享服务的主要方式和过程。数据信息化管理服务应符合下列技术要求：</w:t>
      </w:r>
    </w:p>
    <w:p>
      <w:pPr>
        <w:ind w:firstLine="420" w:firstLineChars="200"/>
      </w:pPr>
      <w:r>
        <w:rPr>
          <w:rFonts w:hint="eastAsia"/>
        </w:rPr>
        <w:t>1</w:t>
      </w:r>
      <w:r>
        <w:t xml:space="preserve">  </w:t>
      </w:r>
      <w:r>
        <w:rPr>
          <w:rFonts w:hint="eastAsia"/>
        </w:rPr>
        <w:t>信息化系统应具有安全性、可靠性、海量数据储存能力及可扩充性；</w:t>
      </w:r>
    </w:p>
    <w:p>
      <w:pPr>
        <w:ind w:firstLine="420" w:firstLineChars="200"/>
      </w:pPr>
      <w:r>
        <w:rPr>
          <w:rFonts w:hint="eastAsia"/>
        </w:rPr>
        <w:t>2</w:t>
      </w:r>
      <w:r>
        <w:t xml:space="preserve">  </w:t>
      </w:r>
      <w:r>
        <w:rPr>
          <w:rFonts w:hint="eastAsia"/>
        </w:rPr>
        <w:t>应统一数据编码、数据标准格式；</w:t>
      </w:r>
    </w:p>
    <w:p>
      <w:pPr>
        <w:ind w:firstLine="420" w:firstLineChars="200"/>
      </w:pPr>
      <w:r>
        <w:rPr>
          <w:rFonts w:hint="eastAsia"/>
        </w:rPr>
        <w:t>3</w:t>
      </w:r>
      <w:r>
        <w:t xml:space="preserve">  </w:t>
      </w:r>
      <w:r>
        <w:rPr>
          <w:rFonts w:hint="eastAsia"/>
        </w:rPr>
        <w:t>应根据周期性探测和工程处理资料建立数据更新机制，确保数据信息化的完整及时、风险的提前识别和相关部门的主动响应。</w:t>
      </w:r>
    </w:p>
    <w:p>
      <w:r>
        <w:rPr>
          <w:rFonts w:hint="eastAsia"/>
        </w:rPr>
        <w:t>9.3.7</w:t>
      </w:r>
      <w:r>
        <w:t xml:space="preserve">  </w:t>
      </w:r>
      <w:r>
        <w:rPr>
          <w:rFonts w:hint="eastAsia"/>
        </w:rPr>
        <w:t>地下病害体信息管理系统宜结合CIM技术，对地下病害体进行精细化管理，CIM相关要求应参照现行行业标准《城市信息模型基础平台技术标准》CJJ/T315-2022。</w:t>
      </w:r>
    </w:p>
    <w:p>
      <w:r>
        <w:rPr>
          <w:rFonts w:hint="eastAsia"/>
        </w:rPr>
        <w:t>9.3.8</w:t>
      </w:r>
      <w:r>
        <w:t xml:space="preserve">  </w:t>
      </w:r>
      <w:r>
        <w:rPr>
          <w:rFonts w:hint="eastAsia"/>
        </w:rPr>
        <w:t>地下病害体信息管理系统应预留可供城市生命线信息系统、城市安全风险综合预警平台调用的数据接口。</w:t>
      </w:r>
    </w:p>
    <w:p>
      <w:r>
        <w:rPr>
          <w:rFonts w:hint="eastAsia"/>
        </w:rPr>
        <w:t>9.3.9</w:t>
      </w:r>
      <w:r>
        <w:t xml:space="preserve">  </w:t>
      </w:r>
      <w:r>
        <w:rPr>
          <w:rFonts w:hint="eastAsia"/>
        </w:rPr>
        <w:t>地下病害体信息管理系统的安全设计应符合现行国家标准《信息系统安全等级保护基本要求》GB/T 22239及《广东省计算机信息系统安全保护条例》的有关规定。</w:t>
      </w:r>
    </w:p>
    <w:p>
      <w:r>
        <w:rPr>
          <w:rFonts w:hint="eastAsia"/>
        </w:rPr>
        <w:t>9.3.10</w:t>
      </w:r>
      <w:r>
        <w:rPr>
          <w:rFonts w:hint="eastAsia"/>
        </w:rPr>
        <w:tab/>
      </w:r>
      <w:r>
        <w:rPr>
          <w:rFonts w:hint="eastAsia"/>
          <w:lang w:val="en-US" w:eastAsia="zh-CN"/>
        </w:rPr>
        <w:t xml:space="preserve">  </w:t>
      </w:r>
      <w:r>
        <w:rPr>
          <w:rFonts w:hint="eastAsia"/>
        </w:rPr>
        <w:t>其他关于地下病害信息化管理应符合《城市地下病害体综合探测与风险评估技术标准》JGJ/T437的相关规定。</w:t>
      </w:r>
    </w:p>
    <w:p>
      <w:pPr>
        <w:rPr>
          <w:highlight w:val="yellow"/>
        </w:rPr>
      </w:pPr>
    </w:p>
    <w:p>
      <w:pPr>
        <w:rPr>
          <w:highlight w:val="yellow"/>
        </w:rPr>
      </w:pPr>
    </w:p>
    <w:p>
      <w:pPr>
        <w:rPr>
          <w:highlight w:val="yellow"/>
        </w:rPr>
      </w:pPr>
    </w:p>
    <w:p>
      <w:pPr>
        <w:rPr>
          <w:highlight w:val="yellow"/>
        </w:rPr>
        <w:sectPr>
          <w:pgSz w:w="11906" w:h="16838"/>
          <w:pgMar w:top="1440" w:right="1800" w:bottom="1440" w:left="2268" w:header="851" w:footer="992" w:gutter="0"/>
          <w:cols w:space="425" w:num="1"/>
          <w:docGrid w:type="lines" w:linePitch="312" w:charSpace="0"/>
        </w:sectPr>
      </w:pPr>
    </w:p>
    <w:p>
      <w:pPr>
        <w:spacing w:after="312" w:afterLines="100"/>
        <w:jc w:val="center"/>
        <w:outlineLvl w:val="0"/>
        <w:rPr>
          <w:color w:val="000000" w:themeColor="text1"/>
          <w:sz w:val="36"/>
          <w:szCs w:val="36"/>
          <w14:textFill>
            <w14:solidFill>
              <w14:schemeClr w14:val="tx1"/>
            </w14:solidFill>
          </w14:textFill>
        </w:rPr>
      </w:pPr>
      <w:bookmarkStart w:id="61" w:name="_Toc148468254"/>
      <w:bookmarkStart w:id="62" w:name="_Toc148308928"/>
      <w:r>
        <w:rPr>
          <w:color w:val="000000" w:themeColor="text1"/>
          <w:sz w:val="36"/>
          <w:szCs w:val="36"/>
          <w14:textFill>
            <w14:solidFill>
              <w14:schemeClr w14:val="tx1"/>
            </w14:solidFill>
          </w14:textFill>
        </w:rPr>
        <w:t>附</w:t>
      </w:r>
      <w:r>
        <w:rPr>
          <w:rFonts w:hint="eastAsia"/>
          <w:color w:val="000000" w:themeColor="text1"/>
          <w:sz w:val="36"/>
          <w:szCs w:val="36"/>
          <w14:textFill>
            <w14:solidFill>
              <w14:schemeClr w14:val="tx1"/>
            </w14:solidFill>
          </w14:textFill>
        </w:rPr>
        <w:t>录</w:t>
      </w:r>
      <w:r>
        <w:rPr>
          <w:color w:val="000000" w:themeColor="text1"/>
          <w:sz w:val="36"/>
          <w:szCs w:val="36"/>
          <w14:textFill>
            <w14:solidFill>
              <w14:schemeClr w14:val="tx1"/>
            </w14:solidFill>
          </w14:textFill>
        </w:rPr>
        <w:t>A  探地雷达法现场探测记录单</w:t>
      </w:r>
      <w:bookmarkEnd w:id="61"/>
      <w:bookmarkEnd w:id="62"/>
    </w:p>
    <w:p>
      <w:pPr>
        <w:ind w:left="-630" w:leftChars="-300" w:firstLine="632" w:firstLineChars="300"/>
        <w:rPr>
          <w:b/>
          <w:bCs/>
          <w:szCs w:val="28"/>
          <w:u w:val="single"/>
        </w:rPr>
      </w:pPr>
      <w:r>
        <w:rPr>
          <w:b/>
          <w:bCs/>
          <w:szCs w:val="28"/>
        </w:rPr>
        <w:t>工程名称：</w:t>
      </w:r>
      <w:r>
        <w:rPr>
          <w:b/>
          <w:bCs/>
          <w:szCs w:val="28"/>
          <w:u w:val="single"/>
        </w:rPr>
        <w:t xml:space="preserve">                 </w:t>
      </w:r>
      <w:r>
        <w:rPr>
          <w:b/>
          <w:bCs/>
          <w:szCs w:val="28"/>
        </w:rPr>
        <w:t>工程地点：</w:t>
      </w:r>
      <w:r>
        <w:rPr>
          <w:b/>
          <w:bCs/>
          <w:szCs w:val="28"/>
          <w:u w:val="single"/>
        </w:rPr>
        <w:t xml:space="preserve">                       </w:t>
      </w:r>
      <w:r>
        <w:rPr>
          <w:b/>
          <w:bCs/>
          <w:szCs w:val="28"/>
        </w:rPr>
        <w:t>天气：</w:t>
      </w:r>
      <w:r>
        <w:rPr>
          <w:b/>
          <w:bCs/>
          <w:szCs w:val="28"/>
          <w:u w:val="single"/>
        </w:rPr>
        <w:t xml:space="preserve">             .</w:t>
      </w:r>
    </w:p>
    <w:p>
      <w:pPr>
        <w:ind w:left="-630" w:leftChars="-300" w:firstLine="632" w:firstLineChars="300"/>
        <w:rPr>
          <w:b/>
          <w:bCs/>
          <w:szCs w:val="28"/>
          <w:u w:val="single"/>
        </w:rPr>
      </w:pPr>
      <w:r>
        <w:rPr>
          <w:b/>
          <w:bCs/>
          <w:szCs w:val="28"/>
        </w:rPr>
        <w:t>仪器型号/编号：</w:t>
      </w:r>
      <w:r>
        <w:rPr>
          <w:b/>
          <w:bCs/>
          <w:szCs w:val="28"/>
          <w:u w:val="single"/>
        </w:rPr>
        <w:t xml:space="preserve">              </w:t>
      </w:r>
      <w:r>
        <w:rPr>
          <w:b/>
          <w:bCs/>
          <w:szCs w:val="28"/>
        </w:rPr>
        <w:t>测试方式：</w:t>
      </w:r>
      <w:r>
        <w:rPr>
          <w:b/>
          <w:bCs/>
          <w:szCs w:val="28"/>
          <w:u w:val="single"/>
        </w:rPr>
        <w:t xml:space="preserve">             </w:t>
      </w:r>
      <w:r>
        <w:rPr>
          <w:b/>
          <w:bCs/>
          <w:szCs w:val="28"/>
        </w:rPr>
        <w:t>天线主频</w:t>
      </w:r>
      <w:r>
        <w:rPr>
          <w:rFonts w:hint="eastAsia"/>
          <w:b/>
          <w:bCs/>
          <w:szCs w:val="28"/>
        </w:rPr>
        <w:t>(</w:t>
      </w:r>
      <w:r>
        <w:rPr>
          <w:b/>
          <w:bCs/>
          <w:szCs w:val="28"/>
        </w:rPr>
        <w:t>MHz):</w:t>
      </w:r>
      <w:r>
        <w:rPr>
          <w:b/>
          <w:bCs/>
          <w:szCs w:val="28"/>
          <w:u w:val="single"/>
        </w:rPr>
        <w:t xml:space="preserve">            </w:t>
      </w:r>
    </w:p>
    <w:p>
      <w:pPr>
        <w:ind w:left="-630" w:leftChars="-300" w:firstLine="632" w:firstLineChars="300"/>
        <w:rPr>
          <w:b/>
          <w:bCs/>
          <w:szCs w:val="28"/>
        </w:rPr>
      </w:pPr>
      <w:r>
        <w:rPr>
          <w:b/>
          <w:bCs/>
          <w:szCs w:val="28"/>
        </w:rPr>
        <w:t>时窗(ns)</w:t>
      </w:r>
      <w:r>
        <w:rPr>
          <w:b/>
          <w:bCs/>
          <w:szCs w:val="28"/>
          <w:u w:val="single"/>
        </w:rPr>
        <w:t xml:space="preserve">                    </w:t>
      </w:r>
      <w:r>
        <w:rPr>
          <w:b/>
          <w:bCs/>
          <w:szCs w:val="28"/>
        </w:rPr>
        <w:t>道间距(m)：</w:t>
      </w:r>
      <w:r>
        <w:rPr>
          <w:b/>
          <w:bCs/>
          <w:szCs w:val="28"/>
          <w:u w:val="single"/>
        </w:rPr>
        <w:t xml:space="preserve">               </w:t>
      </w:r>
      <w:r>
        <w:rPr>
          <w:b/>
          <w:bCs/>
          <w:szCs w:val="28"/>
        </w:rPr>
        <w:t>标记(m)：</w:t>
      </w:r>
      <w:r>
        <w:rPr>
          <w:b/>
          <w:bCs/>
          <w:szCs w:val="28"/>
          <w:u w:val="single"/>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Cs w:val="28"/>
              </w:rPr>
            </w:pPr>
            <w:r>
              <w:rPr>
                <w:rFonts w:ascii="Calibri" w:hAnsi="Calibri"/>
                <w:b/>
                <w:bCs/>
                <w:szCs w:val="28"/>
              </w:rPr>
              <w:t>文件名</w:t>
            </w:r>
          </w:p>
        </w:tc>
        <w:tc>
          <w:tcPr>
            <w:tcW w:w="1382" w:type="dxa"/>
            <w:vAlign w:val="center"/>
          </w:tcPr>
          <w:p>
            <w:pPr>
              <w:jc w:val="center"/>
              <w:rPr>
                <w:rFonts w:ascii="Calibri" w:hAnsi="Calibri"/>
                <w:b/>
                <w:bCs/>
                <w:szCs w:val="28"/>
              </w:rPr>
            </w:pPr>
            <w:r>
              <w:rPr>
                <w:rFonts w:ascii="Calibri" w:hAnsi="Calibri"/>
                <w:b/>
                <w:bCs/>
                <w:szCs w:val="28"/>
              </w:rPr>
              <w:t>测线方向</w:t>
            </w:r>
          </w:p>
        </w:tc>
        <w:tc>
          <w:tcPr>
            <w:tcW w:w="1383" w:type="dxa"/>
            <w:vAlign w:val="center"/>
          </w:tcPr>
          <w:p>
            <w:pPr>
              <w:jc w:val="center"/>
              <w:rPr>
                <w:rFonts w:ascii="Calibri" w:hAnsi="Calibri"/>
                <w:b/>
                <w:bCs/>
                <w:szCs w:val="28"/>
              </w:rPr>
            </w:pPr>
            <w:r>
              <w:rPr>
                <w:rFonts w:ascii="Calibri" w:hAnsi="Calibri"/>
                <w:b/>
                <w:bCs/>
                <w:szCs w:val="28"/>
              </w:rPr>
              <w:t>测线位置</w:t>
            </w:r>
          </w:p>
        </w:tc>
        <w:tc>
          <w:tcPr>
            <w:tcW w:w="1383" w:type="dxa"/>
            <w:vAlign w:val="center"/>
          </w:tcPr>
          <w:p>
            <w:pPr>
              <w:jc w:val="center"/>
              <w:rPr>
                <w:rFonts w:ascii="Calibri" w:hAnsi="Calibri"/>
                <w:b/>
                <w:bCs/>
                <w:szCs w:val="28"/>
              </w:rPr>
            </w:pPr>
            <w:r>
              <w:rPr>
                <w:rFonts w:ascii="Calibri" w:hAnsi="Calibri"/>
                <w:b/>
                <w:bCs/>
                <w:szCs w:val="28"/>
              </w:rPr>
              <w:t>测线起点/终点</w:t>
            </w:r>
          </w:p>
        </w:tc>
        <w:tc>
          <w:tcPr>
            <w:tcW w:w="1383" w:type="dxa"/>
            <w:vAlign w:val="center"/>
          </w:tcPr>
          <w:p>
            <w:pPr>
              <w:jc w:val="center"/>
              <w:rPr>
                <w:rFonts w:ascii="Calibri" w:hAnsi="Calibri"/>
                <w:b/>
                <w:bCs/>
                <w:szCs w:val="28"/>
              </w:rPr>
            </w:pPr>
            <w:r>
              <w:rPr>
                <w:rFonts w:ascii="Calibri" w:hAnsi="Calibri"/>
                <w:b/>
                <w:bCs/>
                <w:szCs w:val="28"/>
              </w:rPr>
              <w:t>测线长度</w:t>
            </w:r>
          </w:p>
        </w:tc>
        <w:tc>
          <w:tcPr>
            <w:tcW w:w="1383" w:type="dxa"/>
            <w:vAlign w:val="center"/>
          </w:tcPr>
          <w:p>
            <w:pPr>
              <w:jc w:val="center"/>
              <w:rPr>
                <w:rFonts w:ascii="Calibri" w:hAnsi="Calibri"/>
                <w:b/>
                <w:bCs/>
                <w:szCs w:val="28"/>
              </w:rPr>
            </w:pPr>
            <w:r>
              <w:rPr>
                <w:rFonts w:ascii="Calibri" w:hAnsi="Calibri"/>
                <w:b/>
                <w:bCs/>
                <w:szCs w:val="28"/>
              </w:rPr>
              <w:t>备注/异常情况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jc w:val="center"/>
              <w:rPr>
                <w:rFonts w:ascii="Calibri" w:hAnsi="Calibri"/>
                <w:b/>
                <w:bCs/>
                <w:sz w:val="28"/>
                <w:szCs w:val="32"/>
              </w:rPr>
            </w:pPr>
          </w:p>
        </w:tc>
        <w:tc>
          <w:tcPr>
            <w:tcW w:w="1382"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c>
          <w:tcPr>
            <w:tcW w:w="1383" w:type="dxa"/>
            <w:vAlign w:val="center"/>
          </w:tcPr>
          <w:p>
            <w:pPr>
              <w:jc w:val="center"/>
              <w:rPr>
                <w:rFonts w:ascii="Calibri" w:hAnsi="Calibri"/>
                <w:b/>
                <w:bCs/>
                <w:sz w:val="28"/>
                <w:szCs w:val="32"/>
              </w:rPr>
            </w:pPr>
          </w:p>
        </w:tc>
      </w:tr>
    </w:tbl>
    <w:p>
      <w:pPr>
        <w:jc w:val="left"/>
        <w:rPr>
          <w:b/>
          <w:bCs/>
        </w:rPr>
      </w:pPr>
      <w:r>
        <w:rPr>
          <w:b/>
          <w:bCs/>
        </w:rPr>
        <w:t>操作：          记录：         检查：          日期：         第    页/共    页</w:t>
      </w:r>
    </w:p>
    <w:p>
      <w:pPr>
        <w:widowControl/>
        <w:jc w:val="left"/>
        <w:rPr>
          <w:color w:val="4F81BD" w:themeColor="accent1"/>
          <w:sz w:val="24"/>
          <w14:textFill>
            <w14:solidFill>
              <w14:schemeClr w14:val="accent1"/>
            </w14:solidFill>
          </w14:textFill>
        </w:rPr>
        <w:sectPr>
          <w:pgSz w:w="11906" w:h="16838"/>
          <w:pgMar w:top="1440" w:right="1800" w:bottom="1440" w:left="1800" w:header="851" w:footer="992" w:gutter="0"/>
          <w:cols w:space="425" w:num="1"/>
          <w:docGrid w:type="lines" w:linePitch="312" w:charSpace="0"/>
        </w:sectPr>
      </w:pPr>
      <w:r>
        <w:rPr>
          <w:color w:val="4F81BD" w:themeColor="accent1"/>
          <w:sz w:val="24"/>
          <w14:textFill>
            <w14:solidFill>
              <w14:schemeClr w14:val="accent1"/>
            </w14:solidFill>
          </w14:textFill>
        </w:rPr>
        <w:br w:type="page"/>
      </w:r>
    </w:p>
    <w:p>
      <w:pPr>
        <w:spacing w:after="312" w:afterLines="100"/>
        <w:jc w:val="center"/>
        <w:outlineLvl w:val="0"/>
        <w:rPr>
          <w:color w:val="000000" w:themeColor="text1"/>
          <w:sz w:val="36"/>
          <w:szCs w:val="36"/>
          <w14:textFill>
            <w14:solidFill>
              <w14:schemeClr w14:val="tx1"/>
            </w14:solidFill>
          </w14:textFill>
        </w:rPr>
      </w:pPr>
      <w:bookmarkStart w:id="63" w:name="_Toc148308929"/>
      <w:bookmarkStart w:id="64" w:name="_Toc148468255"/>
      <w:r>
        <w:rPr>
          <w:rFonts w:hint="eastAsia"/>
          <w:color w:val="000000" w:themeColor="text1"/>
          <w:sz w:val="36"/>
          <w:szCs w:val="36"/>
          <w14:textFill>
            <w14:solidFill>
              <w14:schemeClr w14:val="tx1"/>
            </w14:solidFill>
          </w14:textFill>
        </w:rPr>
        <w:t>附录B</w:t>
      </w:r>
      <w:r>
        <w:rPr>
          <w:color w:val="000000" w:themeColor="text1"/>
          <w:sz w:val="36"/>
          <w:szCs w:val="36"/>
          <w14:textFill>
            <w14:solidFill>
              <w14:schemeClr w14:val="tx1"/>
            </w14:solidFill>
          </w14:textFill>
        </w:rPr>
        <w:t xml:space="preserve">  </w:t>
      </w:r>
      <w:r>
        <w:rPr>
          <w:rFonts w:hint="eastAsia"/>
          <w:color w:val="000000" w:themeColor="text1"/>
          <w:sz w:val="36"/>
          <w:szCs w:val="36"/>
          <w14:textFill>
            <w14:solidFill>
              <w14:schemeClr w14:val="tx1"/>
            </w14:solidFill>
          </w14:textFill>
        </w:rPr>
        <w:t>地下病害体特征波形</w:t>
      </w:r>
      <w:bookmarkEnd w:id="63"/>
      <w:bookmarkEnd w:id="64"/>
    </w:p>
    <w:tbl>
      <w:tblPr>
        <w:tblStyle w:val="2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6"/>
        <w:gridCol w:w="1843"/>
        <w:gridCol w:w="2845"/>
        <w:gridCol w:w="113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6" w:type="dxa"/>
            <w:tcBorders>
              <w:top w:val="single" w:color="auto" w:sz="12" w:space="0"/>
              <w:left w:val="single" w:color="auto" w:sz="12" w:space="0"/>
              <w:bottom w:val="single" w:color="auto" w:sz="8" w:space="0"/>
              <w:right w:val="single" w:color="auto" w:sz="8" w:space="0"/>
            </w:tcBorders>
            <w:vAlign w:val="center"/>
          </w:tcPr>
          <w:p>
            <w:pPr>
              <w:pStyle w:val="84"/>
              <w:rPr>
                <w:rFonts w:ascii="Calibri" w:hAnsi="Calibri"/>
              </w:rPr>
            </w:pPr>
            <w:r>
              <w:rPr>
                <w:rFonts w:ascii="Calibri" w:hAnsi="Calibri"/>
              </w:rPr>
              <w:t>地下病害</w:t>
            </w:r>
          </w:p>
        </w:tc>
        <w:tc>
          <w:tcPr>
            <w:tcW w:w="1843" w:type="dxa"/>
            <w:tcBorders>
              <w:top w:val="single" w:color="auto" w:sz="12" w:space="0"/>
              <w:left w:val="single" w:color="auto" w:sz="8" w:space="0"/>
              <w:bottom w:val="single" w:color="auto" w:sz="8" w:space="0"/>
              <w:right w:val="single" w:color="auto" w:sz="8" w:space="0"/>
            </w:tcBorders>
            <w:vAlign w:val="center"/>
          </w:tcPr>
          <w:p>
            <w:pPr>
              <w:pStyle w:val="84"/>
              <w:rPr>
                <w:rFonts w:ascii="Calibri" w:hAnsi="Calibri"/>
              </w:rPr>
            </w:pPr>
            <w:r>
              <w:rPr>
                <w:rFonts w:ascii="Calibri" w:hAnsi="Calibri"/>
              </w:rPr>
              <w:t>介电性能</w:t>
            </w:r>
          </w:p>
        </w:tc>
        <w:tc>
          <w:tcPr>
            <w:tcW w:w="2845" w:type="dxa"/>
            <w:tcBorders>
              <w:top w:val="single" w:color="auto" w:sz="12" w:space="0"/>
              <w:left w:val="single" w:color="auto" w:sz="8" w:space="0"/>
              <w:bottom w:val="single" w:color="auto" w:sz="8" w:space="0"/>
              <w:right w:val="single" w:color="auto" w:sz="8" w:space="0"/>
            </w:tcBorders>
            <w:vAlign w:val="center"/>
          </w:tcPr>
          <w:p>
            <w:pPr>
              <w:pStyle w:val="84"/>
              <w:rPr>
                <w:rFonts w:ascii="Calibri" w:hAnsi="Calibri"/>
              </w:rPr>
            </w:pPr>
            <w:r>
              <w:rPr>
                <w:rFonts w:ascii="Calibri" w:hAnsi="Calibri"/>
              </w:rPr>
              <w:t>波组形态</w:t>
            </w:r>
          </w:p>
        </w:tc>
        <w:tc>
          <w:tcPr>
            <w:tcW w:w="1134" w:type="dxa"/>
            <w:tcBorders>
              <w:top w:val="single" w:color="auto" w:sz="12" w:space="0"/>
              <w:left w:val="single" w:color="auto" w:sz="8" w:space="0"/>
              <w:bottom w:val="single" w:color="auto" w:sz="8" w:space="0"/>
              <w:right w:val="single" w:color="auto" w:sz="8" w:space="0"/>
            </w:tcBorders>
            <w:vAlign w:val="center"/>
          </w:tcPr>
          <w:p>
            <w:pPr>
              <w:pStyle w:val="84"/>
              <w:rPr>
                <w:rFonts w:ascii="Calibri" w:hAnsi="Calibri"/>
              </w:rPr>
            </w:pPr>
            <w:r>
              <w:rPr>
                <w:rFonts w:ascii="Calibri" w:hAnsi="Calibri"/>
              </w:rPr>
              <w:t>振幅</w:t>
            </w:r>
          </w:p>
        </w:tc>
        <w:tc>
          <w:tcPr>
            <w:tcW w:w="1559" w:type="dxa"/>
            <w:tcBorders>
              <w:top w:val="single" w:color="auto" w:sz="12" w:space="0"/>
              <w:left w:val="single" w:color="auto" w:sz="8" w:space="0"/>
              <w:bottom w:val="single" w:color="auto" w:sz="8" w:space="0"/>
              <w:right w:val="single" w:color="auto" w:sz="12" w:space="0"/>
            </w:tcBorders>
            <w:vAlign w:val="center"/>
          </w:tcPr>
          <w:p>
            <w:pPr>
              <w:pStyle w:val="84"/>
              <w:rPr>
                <w:rFonts w:ascii="Calibri" w:hAnsi="Calibri"/>
              </w:rPr>
            </w:pPr>
            <w:r>
              <w:rPr>
                <w:rFonts w:ascii="Calibri" w:hAnsi="Calibri"/>
              </w:rPr>
              <w:t>相位与频率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6" w:type="dxa"/>
            <w:tcBorders>
              <w:top w:val="single" w:color="auto" w:sz="8" w:space="0"/>
              <w:left w:val="single" w:color="auto" w:sz="12" w:space="0"/>
              <w:bottom w:val="single" w:color="auto" w:sz="8" w:space="0"/>
              <w:right w:val="single" w:color="auto" w:sz="8" w:space="0"/>
            </w:tcBorders>
            <w:vAlign w:val="center"/>
          </w:tcPr>
          <w:p>
            <w:pPr>
              <w:pStyle w:val="84"/>
              <w:rPr>
                <w:rFonts w:ascii="Calibri" w:hAnsi="Calibri"/>
              </w:rPr>
            </w:pPr>
            <w:r>
              <w:rPr>
                <w:rFonts w:ascii="Calibri" w:hAnsi="Calibri"/>
              </w:rPr>
              <w:t>脱空</w:t>
            </w:r>
          </w:p>
        </w:tc>
        <w:tc>
          <w:tcPr>
            <w:tcW w:w="1843"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电阻率极高，相对介电常数一般为1，电磁波速度为0.30m/ns</w:t>
            </w:r>
          </w:p>
        </w:tc>
        <w:tc>
          <w:tcPr>
            <w:tcW w:w="2845"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脱空顶部一般形成连续的同向反射波组，多次波发育，两侧绕射波发育明显</w:t>
            </w:r>
          </w:p>
        </w:tc>
        <w:tc>
          <w:tcPr>
            <w:tcW w:w="1134"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振幅强，雷达波衰减很</w:t>
            </w:r>
            <w:r>
              <w:rPr>
                <w:rFonts w:hint="eastAsia" w:ascii="Calibri" w:hAnsi="Calibri"/>
              </w:rPr>
              <w:t>慢</w:t>
            </w:r>
          </w:p>
        </w:tc>
        <w:tc>
          <w:tcPr>
            <w:tcW w:w="1559" w:type="dxa"/>
            <w:tcBorders>
              <w:top w:val="single" w:color="auto" w:sz="8" w:space="0"/>
              <w:left w:val="single" w:color="auto" w:sz="8" w:space="0"/>
              <w:bottom w:val="single" w:color="auto" w:sz="8" w:space="0"/>
              <w:right w:val="single" w:color="auto" w:sz="12" w:space="0"/>
            </w:tcBorders>
            <w:vAlign w:val="center"/>
          </w:tcPr>
          <w:p>
            <w:pPr>
              <w:pStyle w:val="84"/>
              <w:jc w:val="left"/>
              <w:rPr>
                <w:rFonts w:ascii="Calibri" w:hAnsi="Calibri"/>
              </w:rPr>
            </w:pPr>
            <w:r>
              <w:rPr>
                <w:rFonts w:ascii="Calibri" w:hAnsi="Calibri"/>
              </w:rPr>
              <w:t>顶部反射波与入射波同向，底部反射波与入射波反向；</w:t>
            </w:r>
          </w:p>
          <w:p>
            <w:pPr>
              <w:pStyle w:val="84"/>
              <w:jc w:val="left"/>
              <w:rPr>
                <w:rFonts w:ascii="Calibri" w:hAnsi="Calibri"/>
              </w:rPr>
            </w:pPr>
            <w:r>
              <w:rPr>
                <w:rFonts w:ascii="Calibri" w:hAnsi="Calibri"/>
              </w:rPr>
              <w:t>频率高于背景场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6" w:type="dxa"/>
            <w:tcBorders>
              <w:top w:val="single" w:color="auto" w:sz="8" w:space="0"/>
              <w:left w:val="single" w:color="auto" w:sz="12" w:space="0"/>
              <w:right w:val="single" w:color="auto" w:sz="8" w:space="0"/>
            </w:tcBorders>
            <w:vAlign w:val="center"/>
          </w:tcPr>
          <w:p>
            <w:pPr>
              <w:pStyle w:val="84"/>
              <w:rPr>
                <w:rFonts w:ascii="Calibri" w:hAnsi="Calibri"/>
              </w:rPr>
            </w:pPr>
            <w:r>
              <w:rPr>
                <w:rFonts w:ascii="Calibri" w:hAnsi="Calibri"/>
              </w:rPr>
              <w:t>空洞</w:t>
            </w:r>
          </w:p>
        </w:tc>
        <w:tc>
          <w:tcPr>
            <w:tcW w:w="1843" w:type="dxa"/>
            <w:tcBorders>
              <w:top w:val="single" w:color="auto" w:sz="8" w:space="0"/>
              <w:left w:val="single" w:color="auto" w:sz="8" w:space="0"/>
              <w:right w:val="single" w:color="auto" w:sz="8" w:space="0"/>
            </w:tcBorders>
            <w:vAlign w:val="center"/>
          </w:tcPr>
          <w:p>
            <w:pPr>
              <w:pStyle w:val="84"/>
              <w:jc w:val="left"/>
              <w:rPr>
                <w:rFonts w:ascii="Calibri" w:hAnsi="Calibri"/>
              </w:rPr>
            </w:pPr>
            <w:r>
              <w:rPr>
                <w:rFonts w:ascii="Calibri" w:hAnsi="Calibri"/>
              </w:rPr>
              <w:t>电阻率极高，相对介电常数一般为1，电磁波速度近似为0.30m/ns</w:t>
            </w:r>
          </w:p>
        </w:tc>
        <w:tc>
          <w:tcPr>
            <w:tcW w:w="2845"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近似球形空洞反射波组表现为倒悬双曲线；</w:t>
            </w:r>
          </w:p>
          <w:p>
            <w:pPr>
              <w:pStyle w:val="84"/>
              <w:jc w:val="left"/>
              <w:rPr>
                <w:rFonts w:ascii="Calibri" w:hAnsi="Calibri"/>
              </w:rPr>
            </w:pPr>
            <w:r>
              <w:rPr>
                <w:rFonts w:ascii="Calibri" w:hAnsi="Calibri"/>
              </w:rPr>
              <w:t>近似方形空洞反射表现为正向连续平板状双曲线，曲线顶部形态与空洞洞顶形态相似；</w:t>
            </w:r>
          </w:p>
          <w:p>
            <w:pPr>
              <w:pStyle w:val="84"/>
              <w:jc w:val="left"/>
              <w:rPr>
                <w:rFonts w:ascii="Calibri" w:hAnsi="Calibri"/>
              </w:rPr>
            </w:pPr>
            <w:r>
              <w:rPr>
                <w:rFonts w:ascii="Calibri" w:hAnsi="Calibri"/>
              </w:rPr>
              <w:t>多次波发育，两侧存在明显绕射波</w:t>
            </w:r>
          </w:p>
        </w:tc>
        <w:tc>
          <w:tcPr>
            <w:tcW w:w="1134" w:type="dxa"/>
            <w:tcBorders>
              <w:top w:val="single" w:color="auto" w:sz="8" w:space="0"/>
              <w:left w:val="single" w:color="auto" w:sz="8" w:space="0"/>
              <w:right w:val="single" w:color="auto" w:sz="8" w:space="0"/>
            </w:tcBorders>
            <w:vAlign w:val="center"/>
          </w:tcPr>
          <w:p>
            <w:pPr>
              <w:pStyle w:val="84"/>
              <w:jc w:val="left"/>
              <w:rPr>
                <w:rFonts w:ascii="Calibri" w:hAnsi="Calibri"/>
              </w:rPr>
            </w:pPr>
            <w:r>
              <w:rPr>
                <w:rFonts w:ascii="Calibri" w:hAnsi="Calibri"/>
              </w:rPr>
              <w:t>振幅强，雷达波衰减很慢</w:t>
            </w:r>
          </w:p>
        </w:tc>
        <w:tc>
          <w:tcPr>
            <w:tcW w:w="1559" w:type="dxa"/>
            <w:tcBorders>
              <w:top w:val="single" w:color="auto" w:sz="8" w:space="0"/>
              <w:left w:val="single" w:color="auto" w:sz="8" w:space="0"/>
              <w:bottom w:val="single" w:color="auto" w:sz="8" w:space="0"/>
              <w:right w:val="single" w:color="auto" w:sz="12" w:space="0"/>
            </w:tcBorders>
            <w:vAlign w:val="center"/>
          </w:tcPr>
          <w:p>
            <w:pPr>
              <w:pStyle w:val="84"/>
              <w:jc w:val="left"/>
              <w:rPr>
                <w:rFonts w:ascii="Calibri" w:hAnsi="Calibri"/>
              </w:rPr>
            </w:pPr>
            <w:r>
              <w:rPr>
                <w:rFonts w:ascii="Calibri" w:hAnsi="Calibri"/>
              </w:rPr>
              <w:t>顶部反射波与入射波同向，底部反射波与入射波反向；空洞的频率高于背景场的频率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6" w:type="dxa"/>
            <w:tcBorders>
              <w:left w:val="single" w:color="auto" w:sz="12" w:space="0"/>
              <w:bottom w:val="single" w:color="auto" w:sz="8" w:space="0"/>
              <w:right w:val="single" w:color="auto" w:sz="8" w:space="0"/>
            </w:tcBorders>
            <w:vAlign w:val="center"/>
          </w:tcPr>
          <w:p>
            <w:pPr>
              <w:pStyle w:val="84"/>
              <w:rPr>
                <w:rFonts w:ascii="Calibri" w:hAnsi="Calibri"/>
              </w:rPr>
            </w:pPr>
            <w:r>
              <w:rPr>
                <w:rFonts w:ascii="Calibri" w:hAnsi="Calibri"/>
              </w:rPr>
              <w:t>严重疏松</w:t>
            </w:r>
          </w:p>
        </w:tc>
        <w:tc>
          <w:tcPr>
            <w:tcW w:w="1843"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电阻率高，相对介电常数很小，电磁波速度大于周边介质</w:t>
            </w:r>
          </w:p>
        </w:tc>
        <w:tc>
          <w:tcPr>
            <w:tcW w:w="2845"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顶部形成连续的同向性反射波组，波组形态由顶部形态决定；</w:t>
            </w:r>
          </w:p>
          <w:p>
            <w:pPr>
              <w:pStyle w:val="84"/>
              <w:jc w:val="left"/>
              <w:rPr>
                <w:rFonts w:ascii="Calibri" w:hAnsi="Calibri"/>
              </w:rPr>
            </w:pPr>
            <w:r>
              <w:rPr>
                <w:rFonts w:ascii="Calibri" w:hAnsi="Calibri"/>
              </w:rPr>
              <w:t>多次波发育明显，两侧存在绕射波；</w:t>
            </w:r>
          </w:p>
          <w:p>
            <w:pPr>
              <w:pStyle w:val="84"/>
              <w:jc w:val="left"/>
              <w:rPr>
                <w:rFonts w:ascii="Calibri" w:hAnsi="Calibri"/>
              </w:rPr>
            </w:pPr>
            <w:r>
              <w:rPr>
                <w:rFonts w:ascii="Calibri" w:hAnsi="Calibri"/>
              </w:rPr>
              <w:t>严重疏松体内部波形结构很杂乱，波形相同轴很不连续</w:t>
            </w:r>
          </w:p>
        </w:tc>
        <w:tc>
          <w:tcPr>
            <w:tcW w:w="1134"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振幅强，雷达波衰减很慢</w:t>
            </w:r>
          </w:p>
        </w:tc>
        <w:tc>
          <w:tcPr>
            <w:tcW w:w="1559" w:type="dxa"/>
            <w:tcBorders>
              <w:top w:val="single" w:color="auto" w:sz="8" w:space="0"/>
              <w:left w:val="single" w:color="auto" w:sz="8" w:space="0"/>
              <w:bottom w:val="single" w:color="auto" w:sz="8" w:space="0"/>
              <w:right w:val="single" w:color="auto" w:sz="12" w:space="0"/>
            </w:tcBorders>
            <w:vAlign w:val="center"/>
          </w:tcPr>
          <w:p>
            <w:pPr>
              <w:pStyle w:val="84"/>
              <w:jc w:val="left"/>
              <w:rPr>
                <w:rFonts w:ascii="Calibri" w:hAnsi="Calibri"/>
              </w:rPr>
            </w:pPr>
            <w:r>
              <w:rPr>
                <w:rFonts w:ascii="Calibri" w:hAnsi="Calibri"/>
              </w:rPr>
              <w:t>顶部反射波与入射波同向，底部反射波与入射波反向；病害的频率高于背景场的频率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6" w:type="dxa"/>
            <w:tcBorders>
              <w:top w:val="single" w:color="auto" w:sz="8" w:space="0"/>
              <w:left w:val="single" w:color="auto" w:sz="12" w:space="0"/>
              <w:bottom w:val="single" w:color="auto" w:sz="8" w:space="0"/>
              <w:right w:val="single" w:color="auto" w:sz="8" w:space="0"/>
            </w:tcBorders>
            <w:vAlign w:val="center"/>
          </w:tcPr>
          <w:p>
            <w:pPr>
              <w:pStyle w:val="84"/>
              <w:rPr>
                <w:rFonts w:ascii="Calibri" w:hAnsi="Calibri"/>
              </w:rPr>
            </w:pPr>
            <w:r>
              <w:rPr>
                <w:rFonts w:hint="eastAsia" w:ascii="Calibri" w:hAnsi="Calibri"/>
              </w:rPr>
              <w:t>一般</w:t>
            </w:r>
            <w:r>
              <w:rPr>
                <w:rFonts w:ascii="Calibri" w:hAnsi="Calibri"/>
              </w:rPr>
              <w:t>疏松</w:t>
            </w:r>
          </w:p>
        </w:tc>
        <w:tc>
          <w:tcPr>
            <w:tcW w:w="1843"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电阻率高，相对介电常数较小，电磁波速度大于周边介质</w:t>
            </w:r>
          </w:p>
        </w:tc>
        <w:tc>
          <w:tcPr>
            <w:tcW w:w="2845"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顶部形成连续的同向性反射波组，波组形态由顶部形态决定；</w:t>
            </w:r>
          </w:p>
          <w:p>
            <w:pPr>
              <w:pStyle w:val="84"/>
              <w:jc w:val="left"/>
              <w:rPr>
                <w:rFonts w:ascii="Calibri" w:hAnsi="Calibri"/>
              </w:rPr>
            </w:pPr>
            <w:r>
              <w:rPr>
                <w:rFonts w:ascii="Calibri" w:hAnsi="Calibri"/>
              </w:rPr>
              <w:t>多次波发育明显；</w:t>
            </w:r>
          </w:p>
          <w:p>
            <w:pPr>
              <w:pStyle w:val="84"/>
              <w:jc w:val="left"/>
              <w:rPr>
                <w:rFonts w:ascii="Calibri" w:hAnsi="Calibri"/>
              </w:rPr>
            </w:pPr>
            <w:r>
              <w:rPr>
                <w:rFonts w:ascii="Calibri" w:hAnsi="Calibri"/>
              </w:rPr>
              <w:t>轻微疏松体内部波形结构较杂乱，波形同相轴较不连续</w:t>
            </w:r>
          </w:p>
        </w:tc>
        <w:tc>
          <w:tcPr>
            <w:tcW w:w="1134"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振幅强，雷达波衰减较慢</w:t>
            </w:r>
          </w:p>
        </w:tc>
        <w:tc>
          <w:tcPr>
            <w:tcW w:w="1559" w:type="dxa"/>
            <w:tcBorders>
              <w:top w:val="single" w:color="auto" w:sz="8" w:space="0"/>
              <w:left w:val="single" w:color="auto" w:sz="8" w:space="0"/>
              <w:bottom w:val="single" w:color="auto" w:sz="8" w:space="0"/>
              <w:right w:val="single" w:color="auto" w:sz="12" w:space="0"/>
            </w:tcBorders>
            <w:vAlign w:val="center"/>
          </w:tcPr>
          <w:p>
            <w:pPr>
              <w:pStyle w:val="84"/>
              <w:jc w:val="left"/>
              <w:rPr>
                <w:rFonts w:ascii="Calibri" w:hAnsi="Calibri"/>
              </w:rPr>
            </w:pPr>
            <w:r>
              <w:rPr>
                <w:rFonts w:ascii="Calibri" w:hAnsi="Calibri"/>
              </w:rPr>
              <w:t>顶部反射波与入射波同向，底部反射波与入射波反向；病害的频率高</w:t>
            </w:r>
            <w:r>
              <w:rPr>
                <w:rFonts w:hint="eastAsia" w:ascii="Calibri" w:hAnsi="Calibri"/>
              </w:rPr>
              <w:t>于</w:t>
            </w:r>
            <w:r>
              <w:rPr>
                <w:rFonts w:ascii="Calibri" w:hAnsi="Calibri"/>
              </w:rPr>
              <w:t>背景场的频率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6" w:type="dxa"/>
            <w:tcBorders>
              <w:top w:val="single" w:color="auto" w:sz="8" w:space="0"/>
              <w:left w:val="single" w:color="auto" w:sz="12" w:space="0"/>
              <w:bottom w:val="single" w:color="auto" w:sz="8" w:space="0"/>
              <w:right w:val="single" w:color="auto" w:sz="8" w:space="0"/>
            </w:tcBorders>
            <w:vAlign w:val="center"/>
          </w:tcPr>
          <w:p>
            <w:pPr>
              <w:pStyle w:val="84"/>
              <w:rPr>
                <w:rFonts w:ascii="Calibri" w:hAnsi="Calibri"/>
              </w:rPr>
            </w:pPr>
            <w:r>
              <w:rPr>
                <w:rFonts w:ascii="Calibri" w:hAnsi="Calibri"/>
              </w:rPr>
              <w:t>严重富水</w:t>
            </w:r>
          </w:p>
        </w:tc>
        <w:tc>
          <w:tcPr>
            <w:tcW w:w="1843"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电阻率低，相对介电常数大，一般近似为81，电磁波速度很小</w:t>
            </w:r>
          </w:p>
        </w:tc>
        <w:tc>
          <w:tcPr>
            <w:tcW w:w="2845"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顶部形成连续的同向性反射波组，波组形态由顶部形态决定，两侧绕射波和底部反射波不明显；多次波不发育</w:t>
            </w:r>
          </w:p>
        </w:tc>
        <w:tc>
          <w:tcPr>
            <w:tcW w:w="1134" w:type="dxa"/>
            <w:tcBorders>
              <w:top w:val="single" w:color="auto" w:sz="8" w:space="0"/>
              <w:left w:val="single" w:color="auto" w:sz="8" w:space="0"/>
              <w:bottom w:val="single" w:color="auto" w:sz="8" w:space="0"/>
              <w:right w:val="single" w:color="auto" w:sz="8" w:space="0"/>
            </w:tcBorders>
            <w:vAlign w:val="center"/>
          </w:tcPr>
          <w:p>
            <w:pPr>
              <w:pStyle w:val="84"/>
              <w:jc w:val="left"/>
              <w:rPr>
                <w:rFonts w:ascii="Calibri" w:hAnsi="Calibri"/>
              </w:rPr>
            </w:pPr>
            <w:r>
              <w:rPr>
                <w:rFonts w:ascii="Calibri" w:hAnsi="Calibri"/>
              </w:rPr>
              <w:t>振幅强，雷达波衰减很快</w:t>
            </w:r>
          </w:p>
        </w:tc>
        <w:tc>
          <w:tcPr>
            <w:tcW w:w="1559" w:type="dxa"/>
            <w:tcBorders>
              <w:top w:val="single" w:color="auto" w:sz="8" w:space="0"/>
              <w:left w:val="single" w:color="auto" w:sz="8" w:space="0"/>
              <w:bottom w:val="single" w:color="auto" w:sz="8" w:space="0"/>
              <w:right w:val="single" w:color="auto" w:sz="12" w:space="0"/>
            </w:tcBorders>
            <w:vAlign w:val="center"/>
          </w:tcPr>
          <w:p>
            <w:pPr>
              <w:pStyle w:val="84"/>
              <w:jc w:val="left"/>
              <w:rPr>
                <w:rFonts w:ascii="Calibri" w:hAnsi="Calibri"/>
              </w:rPr>
            </w:pPr>
            <w:r>
              <w:rPr>
                <w:rFonts w:ascii="Calibri" w:hAnsi="Calibri"/>
              </w:rPr>
              <w:t>顶部反射波与入射波反向，底部反射波与入射波同向；病害的频率低于背景场的频率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36" w:type="dxa"/>
            <w:tcBorders>
              <w:top w:val="single" w:color="auto" w:sz="8" w:space="0"/>
              <w:left w:val="single" w:color="auto" w:sz="12" w:space="0"/>
              <w:bottom w:val="single" w:color="auto" w:sz="12" w:space="0"/>
              <w:right w:val="single" w:color="auto" w:sz="8" w:space="0"/>
            </w:tcBorders>
            <w:vAlign w:val="center"/>
          </w:tcPr>
          <w:p>
            <w:pPr>
              <w:pStyle w:val="84"/>
              <w:rPr>
                <w:rFonts w:ascii="Calibri" w:hAnsi="Calibri"/>
              </w:rPr>
            </w:pPr>
            <w:r>
              <w:rPr>
                <w:rFonts w:ascii="Calibri" w:hAnsi="Calibri"/>
              </w:rPr>
              <w:t>一般富水体</w:t>
            </w:r>
          </w:p>
        </w:tc>
        <w:tc>
          <w:tcPr>
            <w:tcW w:w="1843" w:type="dxa"/>
            <w:tcBorders>
              <w:top w:val="single" w:color="auto" w:sz="8" w:space="0"/>
              <w:left w:val="single" w:color="auto" w:sz="8" w:space="0"/>
              <w:bottom w:val="single" w:color="auto" w:sz="12" w:space="0"/>
              <w:right w:val="single" w:color="auto" w:sz="8" w:space="0"/>
            </w:tcBorders>
            <w:vAlign w:val="center"/>
          </w:tcPr>
          <w:p>
            <w:pPr>
              <w:pStyle w:val="84"/>
              <w:jc w:val="left"/>
              <w:rPr>
                <w:rFonts w:ascii="Calibri" w:hAnsi="Calibri"/>
              </w:rPr>
            </w:pPr>
            <w:r>
              <w:rPr>
                <w:rFonts w:ascii="Calibri" w:hAnsi="Calibri"/>
              </w:rPr>
              <w:t>电阻率较低，相对介电常数较大，电磁波速度小于周边介质的速度</w:t>
            </w:r>
          </w:p>
        </w:tc>
        <w:tc>
          <w:tcPr>
            <w:tcW w:w="2845" w:type="dxa"/>
            <w:tcBorders>
              <w:top w:val="single" w:color="auto" w:sz="8" w:space="0"/>
              <w:left w:val="single" w:color="auto" w:sz="8" w:space="0"/>
              <w:bottom w:val="single" w:color="auto" w:sz="12" w:space="0"/>
              <w:right w:val="single" w:color="auto" w:sz="8" w:space="0"/>
            </w:tcBorders>
            <w:vAlign w:val="center"/>
          </w:tcPr>
          <w:p>
            <w:pPr>
              <w:pStyle w:val="84"/>
              <w:jc w:val="left"/>
              <w:rPr>
                <w:rFonts w:ascii="Calibri" w:hAnsi="Calibri"/>
              </w:rPr>
            </w:pPr>
            <w:r>
              <w:rPr>
                <w:rFonts w:ascii="Calibri" w:hAnsi="Calibri"/>
              </w:rPr>
              <w:t>顶部形成较连续的同向性反射波组，波组形态由顶部形态决定，两侧绕射波和底部反射波不明显；</w:t>
            </w:r>
          </w:p>
          <w:p>
            <w:pPr>
              <w:pStyle w:val="84"/>
              <w:jc w:val="left"/>
              <w:rPr>
                <w:rFonts w:ascii="Calibri" w:hAnsi="Calibri"/>
              </w:rPr>
            </w:pPr>
            <w:r>
              <w:rPr>
                <w:rFonts w:ascii="Calibri" w:hAnsi="Calibri"/>
              </w:rPr>
              <w:t>多次波不发育</w:t>
            </w:r>
          </w:p>
        </w:tc>
        <w:tc>
          <w:tcPr>
            <w:tcW w:w="1134" w:type="dxa"/>
            <w:tcBorders>
              <w:top w:val="single" w:color="auto" w:sz="8" w:space="0"/>
              <w:left w:val="single" w:color="auto" w:sz="8" w:space="0"/>
              <w:bottom w:val="single" w:color="auto" w:sz="12" w:space="0"/>
              <w:right w:val="single" w:color="auto" w:sz="8" w:space="0"/>
            </w:tcBorders>
            <w:vAlign w:val="center"/>
          </w:tcPr>
          <w:p>
            <w:pPr>
              <w:pStyle w:val="84"/>
              <w:jc w:val="left"/>
              <w:rPr>
                <w:rFonts w:ascii="Calibri" w:hAnsi="Calibri"/>
              </w:rPr>
            </w:pPr>
            <w:r>
              <w:rPr>
                <w:rFonts w:ascii="Calibri" w:hAnsi="Calibri"/>
              </w:rPr>
              <w:t>振幅较强，雷达波衰减很快</w:t>
            </w:r>
          </w:p>
        </w:tc>
        <w:tc>
          <w:tcPr>
            <w:tcW w:w="1559" w:type="dxa"/>
            <w:tcBorders>
              <w:top w:val="single" w:color="auto" w:sz="8" w:space="0"/>
              <w:left w:val="single" w:color="auto" w:sz="8" w:space="0"/>
              <w:bottom w:val="single" w:color="auto" w:sz="12" w:space="0"/>
              <w:right w:val="single" w:color="auto" w:sz="12" w:space="0"/>
            </w:tcBorders>
            <w:vAlign w:val="center"/>
          </w:tcPr>
          <w:p>
            <w:pPr>
              <w:pStyle w:val="84"/>
              <w:jc w:val="left"/>
              <w:rPr>
                <w:rFonts w:ascii="Calibri" w:hAnsi="Calibri"/>
              </w:rPr>
            </w:pPr>
            <w:r>
              <w:rPr>
                <w:rFonts w:ascii="Calibri" w:hAnsi="Calibri"/>
              </w:rPr>
              <w:t>顶部反射波与入射波反向，底部反射波与入射波同向；病害的频率低于背景场的频率</w:t>
            </w:r>
          </w:p>
        </w:tc>
      </w:tr>
    </w:tbl>
    <w:p>
      <w:pPr>
        <w:widowControl/>
        <w:jc w:val="left"/>
        <w:rPr>
          <w:color w:val="4F81BD" w:themeColor="accent1"/>
          <w:sz w:val="24"/>
          <w14:textFill>
            <w14:solidFill>
              <w14:schemeClr w14:val="accent1"/>
            </w14:solidFill>
          </w14:textFill>
        </w:rPr>
      </w:pPr>
    </w:p>
    <w:p>
      <w:pPr>
        <w:widowControl/>
        <w:jc w:val="left"/>
        <w:rPr>
          <w:color w:val="4F81BD" w:themeColor="accent1"/>
          <w:sz w:val="24"/>
          <w14:textFill>
            <w14:solidFill>
              <w14:schemeClr w14:val="accent1"/>
            </w14:solidFill>
          </w14:textFill>
        </w:rPr>
      </w:pPr>
    </w:p>
    <w:p>
      <w:pPr>
        <w:widowControl/>
        <w:jc w:val="left"/>
        <w:rPr>
          <w:color w:val="4F81BD" w:themeColor="accent1"/>
          <w:sz w:val="24"/>
          <w14:textFill>
            <w14:solidFill>
              <w14:schemeClr w14:val="accent1"/>
            </w14:solidFill>
          </w14:textFill>
        </w:rPr>
        <w:sectPr>
          <w:pgSz w:w="11906" w:h="16838"/>
          <w:pgMar w:top="1440" w:right="1800" w:bottom="1440" w:left="1800" w:header="851" w:footer="992" w:gutter="0"/>
          <w:cols w:space="425" w:num="1"/>
          <w:docGrid w:type="lines" w:linePitch="312" w:charSpace="0"/>
        </w:sectPr>
      </w:pPr>
    </w:p>
    <w:p>
      <w:pPr>
        <w:spacing w:after="312" w:afterLines="100"/>
        <w:jc w:val="center"/>
        <w:outlineLvl w:val="0"/>
        <w:rPr>
          <w:color w:val="000000" w:themeColor="text1"/>
          <w:sz w:val="36"/>
          <w:szCs w:val="36"/>
          <w14:textFill>
            <w14:solidFill>
              <w14:schemeClr w14:val="tx1"/>
            </w14:solidFill>
          </w14:textFill>
        </w:rPr>
      </w:pPr>
      <w:bookmarkStart w:id="65" w:name="_Toc148468256"/>
      <w:bookmarkStart w:id="66" w:name="_Toc148308930"/>
      <w:r>
        <w:rPr>
          <w:color w:val="000000" w:themeColor="text1"/>
          <w:sz w:val="36"/>
          <w:szCs w:val="36"/>
          <w14:textFill>
            <w14:solidFill>
              <w14:schemeClr w14:val="tx1"/>
            </w14:solidFill>
          </w14:textFill>
        </w:rPr>
        <w:t>附录C</w:t>
      </w:r>
      <w:r>
        <w:rPr>
          <w:rFonts w:hint="eastAsia"/>
          <w:color w:val="000000" w:themeColor="text1"/>
          <w:sz w:val="36"/>
          <w:szCs w:val="36"/>
          <w14:textFill>
            <w14:solidFill>
              <w14:schemeClr w14:val="tx1"/>
            </w14:solidFill>
          </w14:textFill>
        </w:rPr>
        <w:t xml:space="preserve">  地下病害体信息卡样例</w:t>
      </w:r>
      <w:bookmarkEnd w:id="65"/>
      <w:bookmarkEnd w:id="66"/>
    </w:p>
    <w:tbl>
      <w:tblPr>
        <w:tblStyle w:val="87"/>
        <w:tblW w:w="8910" w:type="dxa"/>
        <w:jc w:val="cente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268"/>
        <w:gridCol w:w="844"/>
        <w:gridCol w:w="1282"/>
        <w:gridCol w:w="709"/>
        <w:gridCol w:w="284"/>
        <w:gridCol w:w="68"/>
        <w:gridCol w:w="855"/>
        <w:gridCol w:w="639"/>
        <w:gridCol w:w="1476"/>
        <w:gridCol w:w="1485"/>
      </w:tblGrid>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double" w:color="auto" w:sz="2" w:space="0"/>
              <w:left w:val="double" w:color="auto" w:sz="2"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病害体编号</w:t>
            </w:r>
          </w:p>
        </w:tc>
        <w:tc>
          <w:tcPr>
            <w:tcW w:w="1991" w:type="dxa"/>
            <w:gridSpan w:val="2"/>
            <w:tcBorders>
              <w:top w:val="double" w:color="auto" w:sz="2" w:space="0"/>
              <w:left w:val="single" w:color="auto" w:sz="6" w:space="0"/>
              <w:bottom w:val="single" w:color="auto" w:sz="6" w:space="0"/>
              <w:right w:val="single" w:color="auto" w:sz="6" w:space="0"/>
            </w:tcBorders>
            <w:vAlign w:val="center"/>
          </w:tcPr>
          <w:p>
            <w:pPr>
              <w:spacing w:line="240" w:lineRule="auto"/>
              <w:jc w:val="center"/>
              <w:rPr>
                <w:rFonts w:eastAsia="Times New Roman"/>
                <w:color w:val="000000"/>
              </w:rPr>
            </w:pPr>
            <w:r>
              <w:rPr>
                <w:rFonts w:eastAsia="Times New Roman"/>
              </w:rPr>
              <w:t>HPDD-1</w:t>
            </w:r>
          </w:p>
        </w:tc>
        <w:tc>
          <w:tcPr>
            <w:tcW w:w="1846" w:type="dxa"/>
            <w:gridSpan w:val="4"/>
            <w:tcBorders>
              <w:top w:val="double" w:color="auto" w:sz="2" w:space="0"/>
              <w:left w:val="single" w:color="auto" w:sz="6"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道路名称</w:t>
            </w:r>
          </w:p>
        </w:tc>
        <w:tc>
          <w:tcPr>
            <w:tcW w:w="2961" w:type="dxa"/>
            <w:gridSpan w:val="2"/>
            <w:tcBorders>
              <w:top w:val="double" w:color="auto" w:sz="2"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ascii="宋体" w:hAnsi="宋体" w:eastAsia="Times New Roman"/>
                <w:color w:val="000000"/>
              </w:rPr>
              <w:t>黄埔大道</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病害体类型</w:t>
            </w:r>
          </w:p>
        </w:tc>
        <w:tc>
          <w:tcPr>
            <w:tcW w:w="1991"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脱空</w:t>
            </w:r>
          </w:p>
        </w:tc>
        <w:tc>
          <w:tcPr>
            <w:tcW w:w="1846" w:type="dxa"/>
            <w:gridSpan w:val="4"/>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风险等级</w:t>
            </w:r>
          </w:p>
        </w:tc>
        <w:tc>
          <w:tcPr>
            <w:tcW w:w="2961" w:type="dxa"/>
            <w:gridSpan w:val="2"/>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eastAsia="Times New Roman"/>
              </w:rPr>
              <w:t>Ⅳ</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b/>
                <w:bCs/>
                <w:color w:val="000000"/>
              </w:rPr>
              <w:t>长（</w:t>
            </w:r>
            <w:r>
              <w:rPr>
                <w:rFonts w:eastAsia="Times New Roman"/>
                <w:b/>
                <w:bCs/>
                <w:color w:val="000000"/>
              </w:rPr>
              <w:t>m</w:t>
            </w:r>
            <w:r>
              <w:rPr>
                <w:rFonts w:ascii="宋体" w:hAnsi="宋体" w:eastAsia="Times New Roman"/>
                <w:b/>
                <w:bCs/>
                <w:color w:val="000000"/>
              </w:rPr>
              <w:t>）</w:t>
            </w:r>
          </w:p>
        </w:tc>
        <w:tc>
          <w:tcPr>
            <w:tcW w:w="84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color w:val="000000"/>
              </w:rPr>
            </w:pPr>
            <w:r>
              <w:rPr>
                <w:rFonts w:eastAsia="Times New Roman"/>
                <w:color w:val="000000"/>
              </w:rPr>
              <w:t>33.7</w:t>
            </w:r>
          </w:p>
        </w:tc>
        <w:tc>
          <w:tcPr>
            <w:tcW w:w="1282"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宽（</w:t>
            </w:r>
            <w:r>
              <w:rPr>
                <w:rFonts w:eastAsia="Times New Roman"/>
                <w:b/>
                <w:bCs/>
                <w:color w:val="000000"/>
              </w:rPr>
              <w:t>m</w:t>
            </w:r>
            <w:r>
              <w:rPr>
                <w:rFonts w:ascii="宋体" w:hAnsi="宋体" w:eastAsia="Times New Roman"/>
                <w:b/>
                <w:bCs/>
                <w:color w:val="000000"/>
              </w:rPr>
              <w:t>）</w:t>
            </w:r>
          </w:p>
        </w:tc>
        <w:tc>
          <w:tcPr>
            <w:tcW w:w="709" w:type="dxa"/>
            <w:tcBorders>
              <w:top w:val="single" w:color="auto" w:sz="6" w:space="0"/>
              <w:left w:val="single" w:color="auto" w:sz="6" w:space="0"/>
              <w:bottom w:val="single" w:color="auto" w:sz="6" w:space="0"/>
              <w:right w:val="single" w:color="auto" w:sz="6" w:space="0"/>
            </w:tcBorders>
            <w:vAlign w:val="center"/>
          </w:tcPr>
          <w:p>
            <w:pPr>
              <w:spacing w:line="240" w:lineRule="auto"/>
              <w:jc w:val="center"/>
              <w:textAlignment w:val="center"/>
              <w:rPr>
                <w:rFonts w:eastAsia="Times New Roman"/>
                <w:color w:val="000000"/>
              </w:rPr>
            </w:pPr>
            <w:r>
              <w:rPr>
                <w:rFonts w:eastAsia="Times New Roman"/>
                <w:color w:val="000000"/>
              </w:rPr>
              <w:t>2.1</w:t>
            </w:r>
          </w:p>
        </w:tc>
        <w:tc>
          <w:tcPr>
            <w:tcW w:w="1207" w:type="dxa"/>
            <w:gridSpan w:val="3"/>
            <w:vMerge w:val="restart"/>
            <w:tcBorders>
              <w:top w:val="single" w:color="auto" w:sz="6" w:space="0"/>
              <w:left w:val="single" w:color="auto" w:sz="6" w:space="0"/>
              <w:bottom w:val="single" w:color="auto" w:sz="6" w:space="0"/>
              <w:right w:val="single" w:color="auto" w:sz="6" w:space="0"/>
            </w:tcBorders>
            <w:vAlign w:val="center"/>
          </w:tcPr>
          <w:p>
            <w:pPr>
              <w:spacing w:line="240" w:lineRule="auto"/>
              <w:jc w:val="center"/>
              <w:textAlignment w:val="center"/>
              <w:rPr>
                <w:rFonts w:eastAsia="Times New Roman"/>
                <w:b/>
                <w:bCs/>
                <w:color w:val="000000"/>
              </w:rPr>
            </w:pPr>
            <w:r>
              <w:rPr>
                <w:rFonts w:ascii="宋体" w:hAnsi="宋体" w:eastAsia="Times New Roman"/>
                <w:b/>
                <w:bCs/>
                <w:color w:val="000000"/>
              </w:rPr>
              <w:t>中心坐标</w:t>
            </w:r>
          </w:p>
        </w:tc>
        <w:tc>
          <w:tcPr>
            <w:tcW w:w="639" w:type="dxa"/>
            <w:tcBorders>
              <w:top w:val="single" w:color="auto" w:sz="6" w:space="0"/>
              <w:left w:val="single" w:color="auto" w:sz="6" w:space="0"/>
              <w:bottom w:val="single" w:color="auto" w:sz="6" w:space="0"/>
              <w:right w:val="single" w:color="auto" w:sz="6" w:space="0"/>
            </w:tcBorders>
            <w:vAlign w:val="center"/>
          </w:tcPr>
          <w:p>
            <w:pPr>
              <w:spacing w:line="240" w:lineRule="auto"/>
              <w:jc w:val="center"/>
              <w:textAlignment w:val="center"/>
              <w:rPr>
                <w:rFonts w:eastAsia="Times New Roman"/>
                <w:b/>
                <w:bCs/>
                <w:color w:val="000000"/>
              </w:rPr>
            </w:pPr>
            <w:r>
              <w:rPr>
                <w:rFonts w:eastAsia="Times New Roman"/>
                <w:b/>
                <w:bCs/>
                <w:color w:val="000000"/>
              </w:rPr>
              <w:t>E</w:t>
            </w:r>
          </w:p>
        </w:tc>
        <w:tc>
          <w:tcPr>
            <w:tcW w:w="2961" w:type="dxa"/>
            <w:gridSpan w:val="2"/>
            <w:tcBorders>
              <w:top w:val="single" w:color="auto" w:sz="6" w:space="0"/>
              <w:left w:val="single" w:color="auto" w:sz="6" w:space="0"/>
              <w:bottom w:val="single" w:color="auto" w:sz="6" w:space="0"/>
              <w:right w:val="double" w:color="auto" w:sz="2" w:space="0"/>
            </w:tcBorders>
            <w:vAlign w:val="center"/>
          </w:tcPr>
          <w:p>
            <w:pPr>
              <w:spacing w:line="240" w:lineRule="auto"/>
              <w:jc w:val="center"/>
              <w:textAlignment w:val="center"/>
              <w:rPr>
                <w:rFonts w:eastAsia="Times New Roman"/>
                <w:color w:val="000000"/>
              </w:rPr>
            </w:pPr>
            <w:r>
              <w:rPr>
                <w:rFonts w:eastAsia="Times New Roman"/>
                <w:color w:val="000000"/>
              </w:rPr>
              <w:t>113.32353193183</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埋深（</w:t>
            </w:r>
            <w:r>
              <w:rPr>
                <w:rFonts w:eastAsia="Times New Roman"/>
                <w:b/>
                <w:bCs/>
                <w:color w:val="000000"/>
              </w:rPr>
              <w:t>m</w:t>
            </w:r>
            <w:r>
              <w:rPr>
                <w:rFonts w:ascii="宋体" w:hAnsi="宋体" w:eastAsia="Times New Roman"/>
                <w:b/>
                <w:bCs/>
                <w:color w:val="000000"/>
              </w:rPr>
              <w:t>）</w:t>
            </w:r>
          </w:p>
        </w:tc>
        <w:tc>
          <w:tcPr>
            <w:tcW w:w="844"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rPr>
            </w:pPr>
            <w:r>
              <w:rPr>
                <w:rFonts w:eastAsia="Times New Roman"/>
              </w:rPr>
              <w:t>0.4</w:t>
            </w:r>
          </w:p>
        </w:tc>
        <w:tc>
          <w:tcPr>
            <w:tcW w:w="1282"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高度（</w:t>
            </w:r>
            <w:r>
              <w:rPr>
                <w:rFonts w:eastAsia="Times New Roman"/>
                <w:b/>
                <w:bCs/>
                <w:color w:val="000000"/>
              </w:rPr>
              <w:t>m</w:t>
            </w:r>
            <w:r>
              <w:rPr>
                <w:rFonts w:ascii="宋体" w:hAnsi="宋体" w:eastAsia="Times New Roman"/>
                <w:b/>
                <w:bCs/>
                <w:color w:val="000000"/>
              </w:rPr>
              <w:t>）</w:t>
            </w:r>
          </w:p>
        </w:tc>
        <w:tc>
          <w:tcPr>
            <w:tcW w:w="709"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rPr>
            </w:pPr>
            <w:r>
              <w:rPr>
                <w:rFonts w:eastAsia="Times New Roman"/>
              </w:rPr>
              <w:t>0.3</w:t>
            </w:r>
          </w:p>
        </w:tc>
        <w:tc>
          <w:tcPr>
            <w:tcW w:w="1207" w:type="dxa"/>
            <w:gridSpan w:val="3"/>
            <w:vMerge w:val="continue"/>
            <w:tcBorders>
              <w:top w:val="single" w:color="auto" w:sz="6" w:space="0"/>
              <w:left w:val="single" w:color="auto" w:sz="6" w:space="0"/>
              <w:bottom w:val="single" w:color="auto" w:sz="6" w:space="0"/>
              <w:right w:val="single" w:color="auto" w:sz="6" w:space="0"/>
            </w:tcBorders>
            <w:vAlign w:val="center"/>
          </w:tcPr>
          <w:p>
            <w:pPr>
              <w:spacing w:line="240" w:lineRule="auto"/>
              <w:rPr>
                <w:rFonts w:eastAsia="Times New Roman"/>
                <w:b/>
                <w:bCs/>
                <w:color w:val="000000"/>
              </w:rPr>
            </w:pPr>
          </w:p>
        </w:tc>
        <w:tc>
          <w:tcPr>
            <w:tcW w:w="639" w:type="dxa"/>
            <w:tcBorders>
              <w:top w:val="single" w:color="auto" w:sz="6" w:space="0"/>
              <w:left w:val="single" w:color="auto" w:sz="6" w:space="0"/>
              <w:bottom w:val="single" w:color="auto" w:sz="6" w:space="0"/>
              <w:right w:val="single" w:color="auto" w:sz="6" w:space="0"/>
            </w:tcBorders>
            <w:vAlign w:val="center"/>
          </w:tcPr>
          <w:p>
            <w:pPr>
              <w:spacing w:line="240" w:lineRule="auto"/>
              <w:jc w:val="center"/>
              <w:textAlignment w:val="center"/>
              <w:rPr>
                <w:rFonts w:eastAsia="Times New Roman"/>
                <w:b/>
                <w:bCs/>
                <w:color w:val="000000"/>
              </w:rPr>
            </w:pPr>
            <w:r>
              <w:rPr>
                <w:rFonts w:eastAsia="Times New Roman"/>
                <w:b/>
                <w:bCs/>
                <w:color w:val="000000"/>
              </w:rPr>
              <w:t>N</w:t>
            </w:r>
          </w:p>
        </w:tc>
        <w:tc>
          <w:tcPr>
            <w:tcW w:w="2961" w:type="dxa"/>
            <w:gridSpan w:val="2"/>
            <w:tcBorders>
              <w:top w:val="single" w:color="auto" w:sz="6" w:space="0"/>
              <w:left w:val="single" w:color="auto" w:sz="6" w:space="0"/>
              <w:bottom w:val="single" w:color="auto" w:sz="6" w:space="0"/>
              <w:right w:val="double" w:color="auto" w:sz="2" w:space="0"/>
            </w:tcBorders>
            <w:vAlign w:val="center"/>
          </w:tcPr>
          <w:p>
            <w:pPr>
              <w:spacing w:line="240" w:lineRule="auto"/>
              <w:jc w:val="center"/>
              <w:textAlignment w:val="center"/>
              <w:rPr>
                <w:rFonts w:eastAsia="Times New Roman"/>
                <w:color w:val="000000"/>
              </w:rPr>
            </w:pPr>
            <w:r>
              <w:rPr>
                <w:rFonts w:eastAsia="Times New Roman"/>
                <w:color w:val="000000"/>
              </w:rPr>
              <w:t>23.12990011100</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所在车道</w:t>
            </w:r>
          </w:p>
        </w:tc>
        <w:tc>
          <w:tcPr>
            <w:tcW w:w="2126"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jc w:val="center"/>
              <w:textAlignment w:val="center"/>
              <w:rPr>
                <w:rFonts w:eastAsia="Times New Roman"/>
                <w:color w:val="000000"/>
              </w:rPr>
            </w:pPr>
            <w:r>
              <w:rPr>
                <w:rFonts w:ascii="宋体" w:hAnsi="宋体" w:eastAsia="Times New Roman"/>
                <w:color w:val="000000"/>
              </w:rPr>
              <w:t>车道五</w:t>
            </w:r>
          </w:p>
        </w:tc>
        <w:tc>
          <w:tcPr>
            <w:tcW w:w="1061" w:type="dxa"/>
            <w:gridSpan w:val="3"/>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行车方向</w:t>
            </w:r>
          </w:p>
        </w:tc>
        <w:tc>
          <w:tcPr>
            <w:tcW w:w="1494" w:type="dxa"/>
            <w:gridSpan w:val="2"/>
            <w:tcBorders>
              <w:top w:val="single" w:color="auto" w:sz="6" w:space="0"/>
              <w:left w:val="single" w:color="auto" w:sz="6" w:space="0"/>
              <w:bottom w:val="single" w:color="auto" w:sz="6" w:space="0"/>
              <w:right w:val="single" w:color="auto" w:sz="6" w:space="0"/>
            </w:tcBorders>
            <w:vAlign w:val="center"/>
          </w:tcPr>
          <w:p>
            <w:pPr>
              <w:spacing w:line="240" w:lineRule="auto"/>
              <w:jc w:val="center"/>
              <w:textAlignment w:val="center"/>
              <w:rPr>
                <w:rFonts w:eastAsia="Times New Roman"/>
                <w:color w:val="000000"/>
              </w:rPr>
            </w:pPr>
            <w:r>
              <w:rPr>
                <w:rFonts w:ascii="宋体" w:hAnsi="宋体" w:eastAsia="Times New Roman"/>
                <w:color w:val="000000"/>
              </w:rPr>
              <w:t>西行</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探测时间</w:t>
            </w:r>
          </w:p>
        </w:tc>
        <w:tc>
          <w:tcPr>
            <w:tcW w:w="1485" w:type="dxa"/>
            <w:tcBorders>
              <w:top w:val="single" w:color="auto" w:sz="6" w:space="0"/>
              <w:left w:val="single" w:color="auto" w:sz="6" w:space="0"/>
              <w:bottom w:val="single" w:color="auto" w:sz="6" w:space="0"/>
              <w:right w:val="double" w:color="auto" w:sz="2" w:space="0"/>
            </w:tcBorders>
            <w:vAlign w:val="center"/>
          </w:tcPr>
          <w:p>
            <w:pPr>
              <w:spacing w:line="240" w:lineRule="auto"/>
              <w:jc w:val="center"/>
              <w:textAlignment w:val="center"/>
              <w:rPr>
                <w:rFonts w:eastAsia="Times New Roman"/>
                <w:color w:val="000000"/>
              </w:rPr>
            </w:pPr>
            <w:r>
              <w:rPr>
                <w:rFonts w:eastAsia="Times New Roman"/>
                <w:color w:val="000000"/>
              </w:rPr>
              <w:t>2023.06.11</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8" w:type="dxa"/>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b/>
                <w:bCs/>
                <w:color w:val="000000"/>
              </w:rPr>
            </w:pPr>
            <w:r>
              <w:rPr>
                <w:rFonts w:ascii="宋体" w:hAnsi="宋体" w:eastAsia="Times New Roman"/>
                <w:b/>
                <w:bCs/>
                <w:color w:val="000000"/>
              </w:rPr>
              <w:t>位置信息</w:t>
            </w:r>
          </w:p>
        </w:tc>
        <w:tc>
          <w:tcPr>
            <w:tcW w:w="7642" w:type="dxa"/>
            <w:gridSpan w:val="9"/>
            <w:tcBorders>
              <w:top w:val="single" w:color="auto" w:sz="6" w:space="0"/>
              <w:left w:val="single" w:color="auto" w:sz="6" w:space="0"/>
              <w:bottom w:val="single" w:color="auto" w:sz="6" w:space="0"/>
              <w:right w:val="double" w:color="auto" w:sz="2" w:space="0"/>
            </w:tcBorders>
            <w:vAlign w:val="center"/>
          </w:tcPr>
          <w:p>
            <w:pPr>
              <w:spacing w:line="240" w:lineRule="auto"/>
              <w:jc w:val="center"/>
              <w:textAlignment w:val="center"/>
              <w:rPr>
                <w:rFonts w:eastAsia="Times New Roman"/>
                <w:color w:val="000000"/>
              </w:rPr>
            </w:pPr>
            <w:r>
              <w:rPr>
                <w:rFonts w:ascii="宋体" w:hAnsi="宋体" w:eastAsia="Times New Roman"/>
                <w:color w:val="000000"/>
              </w:rPr>
              <w:t>冼村公交站对出</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7" w:type="dxa"/>
            <w:gridSpan w:val="5"/>
            <w:tcBorders>
              <w:top w:val="single" w:color="auto" w:sz="6" w:space="0"/>
              <w:left w:val="double" w:color="auto" w:sz="2" w:space="0"/>
              <w:bottom w:val="single" w:color="auto" w:sz="6" w:space="0"/>
              <w:right w:val="single" w:color="auto" w:sz="6" w:space="0"/>
            </w:tcBorders>
            <w:vAlign w:val="center"/>
          </w:tcPr>
          <w:p>
            <w:pPr>
              <w:jc w:val="center"/>
              <w:rPr>
                <w:rFonts w:eastAsia="Times New Roman"/>
                <w:color w:val="000000"/>
              </w:rPr>
            </w:pPr>
            <w:r>
              <w:rPr>
                <w:rFonts w:eastAsia="Times New Roman"/>
              </w:rPr>
              <w:drawing>
                <wp:inline distT="0" distB="0" distL="0" distR="0">
                  <wp:extent cx="2343150" cy="1619250"/>
                  <wp:effectExtent l="0" t="0" r="0" b="0"/>
                  <wp:docPr id="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2343150" cy="1619250"/>
                          </a:xfrm>
                          <a:prstGeom prst="rect">
                            <a:avLst/>
                          </a:prstGeom>
                          <a:noFill/>
                          <a:ln>
                            <a:noFill/>
                          </a:ln>
                        </pic:spPr>
                      </pic:pic>
                    </a:graphicData>
                  </a:graphic>
                </wp:inline>
              </w:drawing>
            </w:r>
          </w:p>
        </w:tc>
        <w:tc>
          <w:tcPr>
            <w:tcW w:w="4523" w:type="dxa"/>
            <w:gridSpan w:val="5"/>
            <w:tcBorders>
              <w:top w:val="single" w:color="auto" w:sz="6" w:space="0"/>
              <w:left w:val="single" w:color="auto" w:sz="6" w:space="0"/>
              <w:bottom w:val="single" w:color="auto" w:sz="6" w:space="0"/>
              <w:right w:val="double" w:color="auto" w:sz="2" w:space="0"/>
            </w:tcBorders>
            <w:vAlign w:val="center"/>
          </w:tcPr>
          <w:p>
            <w:pPr>
              <w:jc w:val="center"/>
              <w:rPr>
                <w:rFonts w:eastAsia="Times New Roman"/>
              </w:rPr>
            </w:pPr>
            <w:r>
              <w:rPr>
                <w:rFonts w:eastAsia="Times New Roman"/>
              </w:rPr>
              <w:drawing>
                <wp:inline distT="0" distB="0" distL="0" distR="0">
                  <wp:extent cx="2343150" cy="1619250"/>
                  <wp:effectExtent l="0" t="0" r="0" b="0"/>
                  <wp:docPr id="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true" noChangeArrowheads="true"/>
                          </pic:cNvPicPr>
                        </pic:nvPicPr>
                        <pic:blipFill>
                          <a:blip r:embed="rId16">
                            <a:extLst>
                              <a:ext uri="{28A0092B-C50C-407E-A947-70E740481C1C}">
                                <a14:useLocalDpi xmlns:a14="http://schemas.microsoft.com/office/drawing/2010/main" val="false"/>
                              </a:ext>
                            </a:extLst>
                          </a:blip>
                          <a:srcRect/>
                          <a:stretch>
                            <a:fillRect/>
                          </a:stretch>
                        </pic:blipFill>
                        <pic:spPr>
                          <a:xfrm>
                            <a:off x="0" y="0"/>
                            <a:ext cx="2343150" cy="1619250"/>
                          </a:xfrm>
                          <a:prstGeom prst="rect">
                            <a:avLst/>
                          </a:prstGeom>
                          <a:noFill/>
                          <a:ln>
                            <a:noFill/>
                          </a:ln>
                        </pic:spPr>
                      </pic:pic>
                    </a:graphicData>
                  </a:graphic>
                </wp:inline>
              </w:drawing>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7" w:type="dxa"/>
            <w:gridSpan w:val="5"/>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地理位置图</w:t>
            </w:r>
          </w:p>
        </w:tc>
        <w:tc>
          <w:tcPr>
            <w:tcW w:w="4523" w:type="dxa"/>
            <w:gridSpan w:val="5"/>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ascii="宋体" w:hAnsi="宋体" w:eastAsia="Times New Roman"/>
              </w:rPr>
              <w:t>病害体范围照片</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7" w:type="dxa"/>
            <w:gridSpan w:val="5"/>
            <w:tcBorders>
              <w:top w:val="single" w:color="auto" w:sz="6" w:space="0"/>
              <w:left w:val="double" w:color="auto" w:sz="2" w:space="0"/>
              <w:bottom w:val="single" w:color="auto" w:sz="6" w:space="0"/>
              <w:right w:val="single" w:color="auto" w:sz="6" w:space="0"/>
            </w:tcBorders>
            <w:vAlign w:val="center"/>
          </w:tcPr>
          <w:p>
            <w:pPr>
              <w:jc w:val="center"/>
              <w:rPr>
                <w:rFonts w:eastAsia="Times New Roman"/>
                <w:color w:val="000000"/>
              </w:rPr>
            </w:pPr>
            <w:r>
              <w:rPr>
                <w:rFonts w:eastAsia="Times New Roman"/>
              </w:rPr>
              <w:drawing>
                <wp:inline distT="0" distB="0" distL="0" distR="0">
                  <wp:extent cx="2343150" cy="1619250"/>
                  <wp:effectExtent l="0" t="0" r="0" b="0"/>
                  <wp:docPr id="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2343150" cy="1619250"/>
                          </a:xfrm>
                          <a:prstGeom prst="rect">
                            <a:avLst/>
                          </a:prstGeom>
                          <a:noFill/>
                          <a:ln>
                            <a:noFill/>
                          </a:ln>
                        </pic:spPr>
                      </pic:pic>
                    </a:graphicData>
                  </a:graphic>
                </wp:inline>
              </w:drawing>
            </w:r>
          </w:p>
        </w:tc>
        <w:tc>
          <w:tcPr>
            <w:tcW w:w="4523" w:type="dxa"/>
            <w:gridSpan w:val="5"/>
            <w:tcBorders>
              <w:top w:val="single" w:color="auto" w:sz="6" w:space="0"/>
              <w:left w:val="single" w:color="auto" w:sz="6" w:space="0"/>
              <w:bottom w:val="single" w:color="auto" w:sz="6" w:space="0"/>
              <w:right w:val="double" w:color="auto" w:sz="2" w:space="0"/>
            </w:tcBorders>
            <w:vAlign w:val="center"/>
          </w:tcPr>
          <w:p>
            <w:pPr>
              <w:jc w:val="center"/>
              <w:rPr>
                <w:rFonts w:eastAsia="Times New Roman"/>
                <w:color w:val="000000"/>
              </w:rPr>
            </w:pPr>
            <w:r>
              <w:rPr>
                <w:rFonts w:eastAsia="Times New Roman"/>
              </w:rPr>
              <w:drawing>
                <wp:inline distT="0" distB="0" distL="0" distR="0">
                  <wp:extent cx="2343150" cy="1619250"/>
                  <wp:effectExtent l="0" t="0" r="0" b="0"/>
                  <wp:docPr id="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2343150" cy="1619250"/>
                          </a:xfrm>
                          <a:prstGeom prst="rect">
                            <a:avLst/>
                          </a:prstGeom>
                          <a:noFill/>
                          <a:ln>
                            <a:noFill/>
                          </a:ln>
                        </pic:spPr>
                      </pic:pic>
                    </a:graphicData>
                  </a:graphic>
                </wp:inline>
              </w:drawing>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87" w:type="dxa"/>
            <w:gridSpan w:val="5"/>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三维雷达图谱</w:t>
            </w:r>
          </w:p>
        </w:tc>
        <w:tc>
          <w:tcPr>
            <w:tcW w:w="4523" w:type="dxa"/>
            <w:gridSpan w:val="5"/>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ascii="宋体" w:hAnsi="宋体" w:eastAsia="Times New Roman"/>
              </w:rPr>
              <w:t>病害体内部照片</w:t>
            </w:r>
            <w:r>
              <w:rPr>
                <w:rFonts w:ascii="宋体" w:hAnsi="宋体" w:eastAsia="Times New Roman"/>
                <w:color w:val="000000"/>
              </w:rPr>
              <w:t>（</w:t>
            </w:r>
            <w:r>
              <w:rPr>
                <w:rFonts w:eastAsia="Times New Roman"/>
                <w:color w:val="000000"/>
              </w:rPr>
              <w:t>2023.6</w:t>
            </w:r>
            <w:r>
              <w:rPr>
                <w:rFonts w:ascii="宋体" w:hAnsi="宋体" w:eastAsia="Times New Roman"/>
                <w:color w:val="000000"/>
              </w:rPr>
              <w:t>）</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道路现状</w:t>
            </w:r>
          </w:p>
        </w:tc>
        <w:tc>
          <w:tcPr>
            <w:tcW w:w="6798" w:type="dxa"/>
            <w:gridSpan w:val="8"/>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ascii="宋体" w:hAnsi="宋体" w:eastAsia="Times New Roman"/>
              </w:rPr>
              <w:t>路面见明显凹陷、下沉</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病害体与周边管线相对位置</w:t>
            </w:r>
          </w:p>
        </w:tc>
        <w:tc>
          <w:tcPr>
            <w:tcW w:w="6798" w:type="dxa"/>
            <w:gridSpan w:val="8"/>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hint="eastAsia" w:ascii="宋体" w:hAnsi="宋体" w:eastAsia="Times New Roman"/>
              </w:rPr>
              <w:t>病害体附近未发现明显管线</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风险发生可能性</w:t>
            </w:r>
          </w:p>
        </w:tc>
        <w:tc>
          <w:tcPr>
            <w:tcW w:w="6798" w:type="dxa"/>
            <w:gridSpan w:val="8"/>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hint="eastAsia" w:ascii="宋体" w:hAnsi="宋体" w:eastAsia="Times New Roman"/>
                <w:color w:val="000000"/>
              </w:rPr>
              <w:t>近期发生可能性较小，远期发生可能性较大</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风险后果</w:t>
            </w:r>
          </w:p>
        </w:tc>
        <w:tc>
          <w:tcPr>
            <w:tcW w:w="6798" w:type="dxa"/>
            <w:gridSpan w:val="8"/>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hint="eastAsia" w:ascii="宋体" w:hAnsi="宋体" w:eastAsia="Times New Roman"/>
                <w:color w:val="000000"/>
              </w:rPr>
              <w:t>后果影响较严重</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原因分析</w:t>
            </w:r>
          </w:p>
        </w:tc>
        <w:tc>
          <w:tcPr>
            <w:tcW w:w="6798" w:type="dxa"/>
            <w:gridSpan w:val="8"/>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hint="eastAsia" w:ascii="宋体" w:hAnsi="宋体" w:eastAsia="Times New Roman"/>
              </w:rPr>
              <w:t>可能为</w:t>
            </w:r>
            <w:r>
              <w:rPr>
                <w:rFonts w:ascii="宋体" w:hAnsi="宋体" w:eastAsia="Times New Roman"/>
              </w:rPr>
              <w:t>新旧道路结合面施工质量不佳，在</w:t>
            </w:r>
            <w:r>
              <w:rPr>
                <w:rFonts w:hint="eastAsia" w:ascii="宋体" w:hAnsi="宋体" w:eastAsia="Times New Roman"/>
              </w:rPr>
              <w:t>车辆</w:t>
            </w:r>
            <w:r>
              <w:rPr>
                <w:rFonts w:ascii="宋体" w:hAnsi="宋体" w:eastAsia="Times New Roman"/>
              </w:rPr>
              <w:t>荷载</w:t>
            </w:r>
            <w:r>
              <w:rPr>
                <w:rFonts w:hint="eastAsia" w:ascii="宋体" w:hAnsi="宋体" w:eastAsia="Times New Roman"/>
              </w:rPr>
              <w:t>作用</w:t>
            </w:r>
            <w:r>
              <w:rPr>
                <w:rFonts w:ascii="宋体" w:hAnsi="宋体" w:eastAsia="Times New Roman"/>
              </w:rPr>
              <w:t>下</w:t>
            </w:r>
            <w:r>
              <w:rPr>
                <w:rFonts w:hint="eastAsia" w:ascii="宋体" w:hAnsi="宋体" w:eastAsia="Times New Roman"/>
              </w:rPr>
              <w:t>所致</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single" w:color="auto" w:sz="6" w:space="0"/>
              <w:left w:val="double" w:color="auto" w:sz="2" w:space="0"/>
              <w:bottom w:val="single" w:color="auto" w:sz="6" w:space="0"/>
              <w:right w:val="single" w:color="auto" w:sz="6" w:space="0"/>
            </w:tcBorders>
            <w:vAlign w:val="center"/>
          </w:tcPr>
          <w:p>
            <w:pPr>
              <w:spacing w:line="240" w:lineRule="auto"/>
              <w:jc w:val="center"/>
              <w:rPr>
                <w:rFonts w:eastAsia="Times New Roman"/>
                <w:color w:val="000000"/>
              </w:rPr>
            </w:pPr>
            <w:r>
              <w:rPr>
                <w:rFonts w:ascii="宋体" w:hAnsi="宋体" w:eastAsia="Times New Roman"/>
                <w:color w:val="000000"/>
              </w:rPr>
              <w:t>处置建议</w:t>
            </w:r>
          </w:p>
        </w:tc>
        <w:tc>
          <w:tcPr>
            <w:tcW w:w="6798" w:type="dxa"/>
            <w:gridSpan w:val="8"/>
            <w:tcBorders>
              <w:top w:val="single" w:color="auto" w:sz="6" w:space="0"/>
              <w:left w:val="single" w:color="auto" w:sz="6" w:space="0"/>
              <w:bottom w:val="single" w:color="auto" w:sz="6" w:space="0"/>
              <w:right w:val="double" w:color="auto" w:sz="2" w:space="0"/>
            </w:tcBorders>
            <w:vAlign w:val="center"/>
          </w:tcPr>
          <w:p>
            <w:pPr>
              <w:spacing w:line="240" w:lineRule="auto"/>
              <w:jc w:val="center"/>
              <w:rPr>
                <w:rFonts w:eastAsia="Times New Roman"/>
                <w:color w:val="000000"/>
              </w:rPr>
            </w:pPr>
            <w:r>
              <w:rPr>
                <w:rFonts w:ascii="宋体" w:hAnsi="宋体" w:eastAsia="Times New Roman"/>
              </w:rPr>
              <w:t>建议工程处置，</w:t>
            </w:r>
            <w:r>
              <w:rPr>
                <w:rFonts w:ascii="宋体" w:hAnsi="宋体" w:eastAsia="Times New Roman"/>
                <w:color w:val="000000"/>
                <w:kern w:val="0"/>
              </w:rPr>
              <w:t>处理前进行定期巡视和探测</w:t>
            </w:r>
            <w:r>
              <w:rPr>
                <w:rFonts w:ascii="宋体" w:hAnsi="宋体" w:eastAsia="Times New Roman"/>
              </w:rPr>
              <w:t>，巡视频率不低于</w:t>
            </w:r>
            <w:r>
              <w:rPr>
                <w:rFonts w:eastAsia="Times New Roman"/>
              </w:rPr>
              <w:t>1</w:t>
            </w:r>
            <w:r>
              <w:rPr>
                <w:rFonts w:ascii="宋体" w:hAnsi="宋体" w:eastAsia="Times New Roman"/>
              </w:rPr>
              <w:t>次</w:t>
            </w:r>
            <w:r>
              <w:rPr>
                <w:rFonts w:eastAsia="Times New Roman"/>
              </w:rPr>
              <w:t>/</w:t>
            </w:r>
            <w:r>
              <w:rPr>
                <w:rFonts w:hint="eastAsia" w:eastAsia="Times New Roman"/>
              </w:rPr>
              <w:t>15</w:t>
            </w:r>
            <w:r>
              <w:rPr>
                <w:rFonts w:hint="eastAsia" w:ascii="宋体" w:hAnsi="宋体" w:eastAsia="Times New Roman"/>
              </w:rPr>
              <w:t>天</w:t>
            </w:r>
            <w:r>
              <w:rPr>
                <w:rFonts w:ascii="宋体" w:hAnsi="宋体" w:eastAsia="Times New Roman"/>
              </w:rPr>
              <w:t>；探测频率不低于</w:t>
            </w:r>
            <w:r>
              <w:rPr>
                <w:rFonts w:eastAsia="Times New Roman"/>
              </w:rPr>
              <w:t>1</w:t>
            </w:r>
            <w:r>
              <w:rPr>
                <w:rFonts w:ascii="宋体" w:hAnsi="宋体" w:eastAsia="Times New Roman"/>
              </w:rPr>
              <w:t>次</w:t>
            </w:r>
            <w:r>
              <w:rPr>
                <w:rFonts w:eastAsia="Times New Roman"/>
              </w:rPr>
              <w:t>/</w:t>
            </w:r>
            <w:r>
              <w:rPr>
                <w:rFonts w:ascii="宋体" w:hAnsi="宋体" w:eastAsia="Times New Roman"/>
              </w:rPr>
              <w:t>月</w:t>
            </w:r>
          </w:p>
        </w:tc>
      </w:tr>
      <w:tr>
        <w:tblPrEx>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2" w:type="dxa"/>
            <w:gridSpan w:val="2"/>
            <w:tcBorders>
              <w:top w:val="single" w:color="auto" w:sz="6" w:space="0"/>
              <w:left w:val="double" w:color="auto" w:sz="2" w:space="0"/>
              <w:bottom w:val="single" w:color="auto" w:sz="6" w:space="0"/>
              <w:right w:val="single" w:color="auto" w:sz="6" w:space="0"/>
            </w:tcBorders>
            <w:vAlign w:val="center"/>
          </w:tcPr>
          <w:p>
            <w:pPr>
              <w:jc w:val="center"/>
              <w:rPr>
                <w:rFonts w:eastAsia="Times New Roman"/>
                <w:color w:val="000000"/>
              </w:rPr>
            </w:pPr>
            <w:r>
              <w:rPr>
                <w:rFonts w:ascii="宋体" w:hAnsi="宋体" w:eastAsia="Times New Roman"/>
                <w:color w:val="000000"/>
              </w:rPr>
              <w:t>备注</w:t>
            </w:r>
          </w:p>
        </w:tc>
        <w:tc>
          <w:tcPr>
            <w:tcW w:w="6798" w:type="dxa"/>
            <w:gridSpan w:val="8"/>
            <w:tcBorders>
              <w:top w:val="single" w:color="auto" w:sz="6" w:space="0"/>
              <w:left w:val="single" w:color="auto" w:sz="6" w:space="0"/>
              <w:bottom w:val="single" w:color="auto" w:sz="6" w:space="0"/>
              <w:right w:val="double" w:color="auto" w:sz="2" w:space="0"/>
            </w:tcBorders>
            <w:vAlign w:val="center"/>
          </w:tcPr>
          <w:p>
            <w:pPr>
              <w:jc w:val="center"/>
              <w:rPr>
                <w:rFonts w:eastAsia="Times New Roman"/>
              </w:rPr>
            </w:pPr>
            <w:r>
              <w:rPr>
                <w:rFonts w:eastAsia="Times New Roman"/>
              </w:rPr>
              <w:t>/</w:t>
            </w:r>
          </w:p>
        </w:tc>
      </w:tr>
    </w:tbl>
    <w:p>
      <w:pPr>
        <w:widowControl/>
        <w:jc w:val="left"/>
        <w:rPr>
          <w:color w:val="4F81BD" w:themeColor="accent1"/>
          <w:sz w:val="24"/>
          <w14:textFill>
            <w14:solidFill>
              <w14:schemeClr w14:val="accent1"/>
            </w14:solidFill>
          </w14:textFill>
        </w:rPr>
      </w:pPr>
    </w:p>
    <w:p>
      <w:pPr>
        <w:widowControl/>
        <w:jc w:val="left"/>
        <w:rPr>
          <w:color w:val="4F81BD" w:themeColor="accent1"/>
          <w:sz w:val="24"/>
          <w14:textFill>
            <w14:solidFill>
              <w14:schemeClr w14:val="accent1"/>
            </w14:solidFill>
          </w14:textFill>
        </w:rPr>
        <w:sectPr>
          <w:pgSz w:w="11906" w:h="16838"/>
          <w:pgMar w:top="1440" w:right="1800" w:bottom="1440" w:left="1800" w:header="851" w:footer="992" w:gutter="0"/>
          <w:cols w:space="425" w:num="1"/>
          <w:docGrid w:type="lines" w:linePitch="312" w:charSpace="0"/>
        </w:sectPr>
      </w:pPr>
    </w:p>
    <w:p>
      <w:pPr>
        <w:spacing w:after="312" w:afterLines="100"/>
        <w:jc w:val="center"/>
        <w:outlineLvl w:val="0"/>
        <w:rPr>
          <w:color w:val="000000" w:themeColor="text1"/>
          <w:sz w:val="36"/>
          <w:szCs w:val="36"/>
          <w14:textFill>
            <w14:solidFill>
              <w14:schemeClr w14:val="tx1"/>
            </w14:solidFill>
          </w14:textFill>
        </w:rPr>
      </w:pPr>
      <w:bookmarkStart w:id="67" w:name="_Toc148308931"/>
      <w:bookmarkStart w:id="68" w:name="_Toc148468257"/>
      <w:bookmarkStart w:id="69" w:name="_Toc81491527"/>
      <w:r>
        <w:rPr>
          <w:rFonts w:hint="eastAsia"/>
          <w:color w:val="000000" w:themeColor="text1"/>
          <w:sz w:val="36"/>
          <w:szCs w:val="36"/>
          <w14:textFill>
            <w14:solidFill>
              <w14:schemeClr w14:val="tx1"/>
            </w14:solidFill>
          </w14:textFill>
        </w:rPr>
        <w:t>附录</w:t>
      </w:r>
      <w:r>
        <w:rPr>
          <w:color w:val="000000" w:themeColor="text1"/>
          <w:sz w:val="36"/>
          <w:szCs w:val="36"/>
          <w14:textFill>
            <w14:solidFill>
              <w14:schemeClr w14:val="tx1"/>
            </w14:solidFill>
          </w14:textFill>
        </w:rPr>
        <w:t>D  高密度电阻率法现场探测记录单</w:t>
      </w:r>
      <w:bookmarkEnd w:id="67"/>
      <w:bookmarkEnd w:id="68"/>
      <w:bookmarkEnd w:id="69"/>
    </w:p>
    <w:p>
      <w:pPr>
        <w:ind w:left="-3" w:leftChars="-270" w:right="-624" w:rightChars="-297" w:hanging="564" w:hangingChars="268"/>
        <w:jc w:val="left"/>
        <w:rPr>
          <w:b/>
          <w:bCs/>
        </w:rPr>
      </w:pPr>
      <w:r>
        <w:rPr>
          <w:b/>
          <w:bCs/>
        </w:rPr>
        <w:t>工程名称：</w:t>
      </w:r>
      <w:r>
        <w:rPr>
          <w:b/>
          <w:bCs/>
          <w:u w:val="single"/>
        </w:rPr>
        <w:t xml:space="preserve">                      </w:t>
      </w:r>
      <w:r>
        <w:rPr>
          <w:b/>
          <w:bCs/>
        </w:rPr>
        <w:t>工程地点：</w:t>
      </w:r>
      <w:r>
        <w:rPr>
          <w:b/>
          <w:bCs/>
          <w:u w:val="single"/>
        </w:rPr>
        <w:t xml:space="preserve">                    </w:t>
      </w:r>
      <w:r>
        <w:rPr>
          <w:b/>
          <w:bCs/>
        </w:rPr>
        <w:t>天气：</w:t>
      </w:r>
      <w:r>
        <w:rPr>
          <w:b/>
          <w:bCs/>
          <w:u w:val="single"/>
        </w:rPr>
        <w:t xml:space="preserve">                 </w:t>
      </w:r>
      <w:r>
        <w:rPr>
          <w:b/>
          <w:bCs/>
        </w:rPr>
        <w:t xml:space="preserve"> .</w:t>
      </w:r>
    </w:p>
    <w:p>
      <w:pPr>
        <w:ind w:left="-3" w:leftChars="-270" w:hanging="564" w:hangingChars="268"/>
        <w:jc w:val="left"/>
        <w:rPr>
          <w:b/>
          <w:bCs/>
          <w:u w:val="single"/>
        </w:rPr>
      </w:pPr>
      <w:r>
        <w:rPr>
          <w:b/>
          <w:bCs/>
        </w:rPr>
        <w:t>测线编号：</w:t>
      </w:r>
      <w:r>
        <w:rPr>
          <w:b/>
          <w:bCs/>
          <w:u w:val="single"/>
        </w:rPr>
        <w:t xml:space="preserve">                                 </w:t>
      </w:r>
      <w:r>
        <w:rPr>
          <w:b/>
          <w:bCs/>
        </w:rPr>
        <w:t>装置类型：</w:t>
      </w:r>
      <w:r>
        <w:rPr>
          <w:b/>
          <w:bCs/>
          <w:u w:val="single"/>
        </w:rPr>
        <w:t xml:space="preserve">                                   </w:t>
      </w:r>
    </w:p>
    <w:p>
      <w:pPr>
        <w:ind w:left="-3" w:leftChars="-270" w:right="-764" w:rightChars="-364" w:hanging="564" w:hangingChars="268"/>
        <w:jc w:val="left"/>
        <w:rPr>
          <w:b/>
          <w:bCs/>
        </w:rPr>
      </w:pPr>
      <w:r>
        <w:rPr>
          <w:b/>
          <w:bCs/>
        </w:rPr>
        <w:t>仪器型号/编号：</w:t>
      </w:r>
      <w:r>
        <w:rPr>
          <w:b/>
          <w:bCs/>
          <w:u w:val="single"/>
        </w:rPr>
        <w:t xml:space="preserve">                                                                         </w:t>
      </w:r>
      <w:r>
        <w:rPr>
          <w:b/>
          <w:bCs/>
        </w:rPr>
        <w:t xml:space="preserve"> </w:t>
      </w:r>
    </w:p>
    <w:tbl>
      <w:tblPr>
        <w:tblStyle w:val="27"/>
        <w:tblW w:w="9556" w:type="dxa"/>
        <w:tblInd w:w="-63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482"/>
        <w:gridCol w:w="1481"/>
        <w:gridCol w:w="1481"/>
        <w:gridCol w:w="1560"/>
        <w:gridCol w:w="1482"/>
        <w:gridCol w:w="20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vAlign w:val="center"/>
          </w:tcPr>
          <w:p>
            <w:pPr>
              <w:jc w:val="center"/>
              <w:rPr>
                <w:rFonts w:ascii="Calibri" w:hAnsi="Calibri"/>
                <w:b/>
                <w:bCs/>
              </w:rPr>
            </w:pPr>
            <w:r>
              <w:rPr>
                <w:rFonts w:ascii="Calibri" w:hAnsi="Calibri"/>
                <w:b/>
                <w:bCs/>
              </w:rPr>
              <w:t>文件名</w:t>
            </w:r>
          </w:p>
        </w:tc>
        <w:tc>
          <w:tcPr>
            <w:tcW w:w="1481" w:type="dxa"/>
            <w:vAlign w:val="center"/>
          </w:tcPr>
          <w:p>
            <w:pPr>
              <w:jc w:val="center"/>
              <w:rPr>
                <w:rFonts w:ascii="Calibri" w:hAnsi="Calibri"/>
                <w:b/>
                <w:bCs/>
              </w:rPr>
            </w:pPr>
            <w:r>
              <w:rPr>
                <w:rFonts w:ascii="Calibri" w:hAnsi="Calibri"/>
                <w:b/>
                <w:bCs/>
              </w:rPr>
              <w:t>测线位置</w:t>
            </w:r>
          </w:p>
        </w:tc>
        <w:tc>
          <w:tcPr>
            <w:tcW w:w="1481" w:type="dxa"/>
            <w:vAlign w:val="center"/>
          </w:tcPr>
          <w:p>
            <w:pPr>
              <w:jc w:val="center"/>
              <w:rPr>
                <w:rFonts w:ascii="Calibri" w:hAnsi="Calibri"/>
                <w:b/>
                <w:bCs/>
              </w:rPr>
            </w:pPr>
            <w:r>
              <w:rPr>
                <w:rFonts w:ascii="Calibri" w:hAnsi="Calibri"/>
                <w:b/>
                <w:bCs/>
              </w:rPr>
              <w:t>电极数</w:t>
            </w:r>
          </w:p>
        </w:tc>
        <w:tc>
          <w:tcPr>
            <w:tcW w:w="1560" w:type="dxa"/>
            <w:vAlign w:val="center"/>
          </w:tcPr>
          <w:p>
            <w:pPr>
              <w:jc w:val="center"/>
              <w:rPr>
                <w:rFonts w:ascii="Calibri" w:hAnsi="Calibri"/>
                <w:b/>
                <w:bCs/>
              </w:rPr>
            </w:pPr>
            <w:r>
              <w:rPr>
                <w:rFonts w:ascii="Calibri" w:hAnsi="Calibri"/>
                <w:b/>
                <w:bCs/>
              </w:rPr>
              <w:t>电极距(m)</w:t>
            </w:r>
          </w:p>
        </w:tc>
        <w:tc>
          <w:tcPr>
            <w:tcW w:w="1482" w:type="dxa"/>
            <w:vAlign w:val="center"/>
          </w:tcPr>
          <w:p>
            <w:pPr>
              <w:jc w:val="center"/>
              <w:rPr>
                <w:rFonts w:ascii="Calibri" w:hAnsi="Calibri"/>
                <w:b/>
                <w:bCs/>
              </w:rPr>
            </w:pPr>
            <w:r>
              <w:rPr>
                <w:rFonts w:ascii="Calibri" w:hAnsi="Calibri"/>
                <w:b/>
                <w:bCs/>
              </w:rPr>
              <w:t>隔离系数</w:t>
            </w:r>
          </w:p>
        </w:tc>
        <w:tc>
          <w:tcPr>
            <w:tcW w:w="2070" w:type="dxa"/>
            <w:vAlign w:val="center"/>
          </w:tcPr>
          <w:p>
            <w:pPr>
              <w:jc w:val="center"/>
              <w:rPr>
                <w:rFonts w:ascii="Calibri" w:hAnsi="Calibri"/>
                <w:b/>
                <w:bCs/>
              </w:rPr>
            </w:pPr>
            <w:r>
              <w:rPr>
                <w:rFonts w:ascii="Calibri" w:hAnsi="Calibri"/>
                <w:b/>
                <w:bCs/>
              </w:rPr>
              <w:t>备注/异常情况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560" w:type="dxa"/>
            <w:vAlign w:val="center"/>
          </w:tcPr>
          <w:p>
            <w:pPr>
              <w:jc w:val="center"/>
              <w:rPr>
                <w:rFonts w:ascii="Calibri" w:hAnsi="Calibri"/>
                <w:b/>
                <w:bCs/>
              </w:rPr>
            </w:pPr>
          </w:p>
        </w:tc>
        <w:tc>
          <w:tcPr>
            <w:tcW w:w="1482" w:type="dxa"/>
            <w:vAlign w:val="center"/>
          </w:tcPr>
          <w:p>
            <w:pPr>
              <w:jc w:val="center"/>
              <w:rPr>
                <w:rFonts w:ascii="Calibri" w:hAnsi="Calibri"/>
                <w:b/>
                <w:bCs/>
              </w:rPr>
            </w:pPr>
          </w:p>
        </w:tc>
        <w:tc>
          <w:tcPr>
            <w:tcW w:w="2070" w:type="dxa"/>
            <w:vAlign w:val="center"/>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560" w:type="dxa"/>
            <w:vAlign w:val="center"/>
          </w:tcPr>
          <w:p>
            <w:pPr>
              <w:jc w:val="center"/>
              <w:rPr>
                <w:rFonts w:ascii="Calibri" w:hAnsi="Calibri"/>
                <w:b/>
                <w:bCs/>
              </w:rPr>
            </w:pPr>
          </w:p>
        </w:tc>
        <w:tc>
          <w:tcPr>
            <w:tcW w:w="1482" w:type="dxa"/>
            <w:vAlign w:val="center"/>
          </w:tcPr>
          <w:p>
            <w:pPr>
              <w:jc w:val="center"/>
              <w:rPr>
                <w:rFonts w:ascii="Calibri" w:hAnsi="Calibri"/>
                <w:b/>
                <w:bCs/>
              </w:rPr>
            </w:pPr>
          </w:p>
        </w:tc>
        <w:tc>
          <w:tcPr>
            <w:tcW w:w="2070" w:type="dxa"/>
            <w:vAlign w:val="center"/>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c>
          <w:tcPr>
            <w:tcW w:w="1482"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560" w:type="dxa"/>
            <w:vAlign w:val="center"/>
          </w:tcPr>
          <w:p>
            <w:pPr>
              <w:jc w:val="center"/>
              <w:rPr>
                <w:rFonts w:ascii="Calibri" w:hAnsi="Calibri"/>
                <w:b/>
                <w:bCs/>
              </w:rPr>
            </w:pPr>
          </w:p>
        </w:tc>
        <w:tc>
          <w:tcPr>
            <w:tcW w:w="1482" w:type="dxa"/>
            <w:vAlign w:val="center"/>
          </w:tcPr>
          <w:p>
            <w:pPr>
              <w:jc w:val="center"/>
              <w:rPr>
                <w:rFonts w:ascii="Calibri" w:hAnsi="Calibri"/>
                <w:b/>
                <w:bCs/>
              </w:rPr>
            </w:pPr>
          </w:p>
        </w:tc>
        <w:tc>
          <w:tcPr>
            <w:tcW w:w="2070" w:type="dxa"/>
            <w:vAlign w:val="center"/>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560" w:type="dxa"/>
            <w:vAlign w:val="center"/>
          </w:tcPr>
          <w:p>
            <w:pPr>
              <w:jc w:val="center"/>
              <w:rPr>
                <w:rFonts w:ascii="Calibri" w:hAnsi="Calibri"/>
                <w:b/>
                <w:bCs/>
              </w:rPr>
            </w:pPr>
          </w:p>
        </w:tc>
        <w:tc>
          <w:tcPr>
            <w:tcW w:w="1482" w:type="dxa"/>
            <w:vAlign w:val="center"/>
          </w:tcPr>
          <w:p>
            <w:pPr>
              <w:jc w:val="center"/>
              <w:rPr>
                <w:rFonts w:ascii="Calibri" w:hAnsi="Calibri"/>
                <w:b/>
                <w:bCs/>
              </w:rPr>
            </w:pPr>
          </w:p>
        </w:tc>
        <w:tc>
          <w:tcPr>
            <w:tcW w:w="2070" w:type="dxa"/>
            <w:vAlign w:val="center"/>
          </w:tcPr>
          <w:p>
            <w:pPr>
              <w:jc w:val="center"/>
              <w:rPr>
                <w:rFonts w:ascii="Calibri" w:hAnsi="Calibri"/>
                <w:b/>
                <w:bCs/>
              </w:rPr>
            </w:pPr>
          </w:p>
        </w:tc>
      </w:tr>
      <w:tr>
        <w:tblPrEx>
          <w:tblCellMar>
            <w:top w:w="0" w:type="dxa"/>
            <w:left w:w="108" w:type="dxa"/>
            <w:bottom w:w="0" w:type="dxa"/>
            <w:right w:w="108" w:type="dxa"/>
          </w:tblCellMar>
        </w:tblPrEx>
        <w:tc>
          <w:tcPr>
            <w:tcW w:w="1482"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481" w:type="dxa"/>
            <w:vAlign w:val="center"/>
          </w:tcPr>
          <w:p>
            <w:pPr>
              <w:jc w:val="center"/>
              <w:rPr>
                <w:rFonts w:ascii="Calibri" w:hAnsi="Calibri"/>
                <w:b/>
                <w:bCs/>
              </w:rPr>
            </w:pPr>
          </w:p>
        </w:tc>
        <w:tc>
          <w:tcPr>
            <w:tcW w:w="1560" w:type="dxa"/>
            <w:vAlign w:val="center"/>
          </w:tcPr>
          <w:p>
            <w:pPr>
              <w:jc w:val="center"/>
              <w:rPr>
                <w:rFonts w:ascii="Calibri" w:hAnsi="Calibri"/>
                <w:b/>
                <w:bCs/>
              </w:rPr>
            </w:pPr>
          </w:p>
        </w:tc>
        <w:tc>
          <w:tcPr>
            <w:tcW w:w="1482" w:type="dxa"/>
            <w:vAlign w:val="center"/>
          </w:tcPr>
          <w:p>
            <w:pPr>
              <w:jc w:val="center"/>
              <w:rPr>
                <w:rFonts w:ascii="Calibri" w:hAnsi="Calibri"/>
                <w:b/>
                <w:bCs/>
              </w:rPr>
            </w:pPr>
          </w:p>
        </w:tc>
        <w:tc>
          <w:tcPr>
            <w:tcW w:w="2070" w:type="dxa"/>
            <w:vAlign w:val="center"/>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482" w:type="dxa"/>
          </w:tcPr>
          <w:p>
            <w:pPr>
              <w:jc w:val="center"/>
              <w:rPr>
                <w:rFonts w:ascii="Calibri" w:hAnsi="Calibri"/>
                <w:b/>
                <w:bCs/>
              </w:rPr>
            </w:pPr>
          </w:p>
        </w:tc>
        <w:tc>
          <w:tcPr>
            <w:tcW w:w="1481" w:type="dxa"/>
          </w:tcPr>
          <w:p>
            <w:pPr>
              <w:jc w:val="center"/>
              <w:rPr>
                <w:rFonts w:ascii="Calibri" w:hAnsi="Calibri"/>
                <w:b/>
                <w:bCs/>
              </w:rPr>
            </w:pPr>
          </w:p>
        </w:tc>
        <w:tc>
          <w:tcPr>
            <w:tcW w:w="1481" w:type="dxa"/>
          </w:tcPr>
          <w:p>
            <w:pPr>
              <w:jc w:val="center"/>
              <w:rPr>
                <w:rFonts w:ascii="Calibri" w:hAnsi="Calibri"/>
                <w:b/>
                <w:bCs/>
              </w:rPr>
            </w:pPr>
          </w:p>
        </w:tc>
        <w:tc>
          <w:tcPr>
            <w:tcW w:w="1560" w:type="dxa"/>
          </w:tcPr>
          <w:p>
            <w:pPr>
              <w:jc w:val="center"/>
              <w:rPr>
                <w:rFonts w:ascii="Calibri" w:hAnsi="Calibri"/>
                <w:b/>
                <w:bCs/>
              </w:rPr>
            </w:pPr>
          </w:p>
        </w:tc>
        <w:tc>
          <w:tcPr>
            <w:tcW w:w="1482" w:type="dxa"/>
          </w:tcPr>
          <w:p>
            <w:pPr>
              <w:jc w:val="center"/>
              <w:rPr>
                <w:rFonts w:ascii="Calibri" w:hAnsi="Calibri"/>
                <w:b/>
                <w:bCs/>
              </w:rPr>
            </w:pPr>
          </w:p>
        </w:tc>
        <w:tc>
          <w:tcPr>
            <w:tcW w:w="2070"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59" w:hRule="atLeast"/>
        </w:trPr>
        <w:tc>
          <w:tcPr>
            <w:tcW w:w="1482" w:type="dxa"/>
            <w:vAlign w:val="center"/>
          </w:tcPr>
          <w:p>
            <w:pPr>
              <w:jc w:val="center"/>
              <w:rPr>
                <w:rFonts w:ascii="Calibri" w:hAnsi="Calibri"/>
                <w:b/>
                <w:bCs/>
              </w:rPr>
            </w:pPr>
            <w:r>
              <w:rPr>
                <w:rFonts w:ascii="Calibri" w:hAnsi="Calibri"/>
                <w:b/>
                <w:bCs/>
              </w:rPr>
              <w:t>现场草图</w:t>
            </w:r>
          </w:p>
        </w:tc>
        <w:tc>
          <w:tcPr>
            <w:tcW w:w="8074" w:type="dxa"/>
            <w:gridSpan w:val="5"/>
            <w:vAlign w:val="center"/>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482" w:type="dxa"/>
            <w:vAlign w:val="center"/>
          </w:tcPr>
          <w:p>
            <w:pPr>
              <w:jc w:val="center"/>
              <w:rPr>
                <w:rFonts w:ascii="Calibri" w:hAnsi="Calibri"/>
                <w:b/>
                <w:bCs/>
              </w:rPr>
            </w:pPr>
            <w:r>
              <w:rPr>
                <w:rFonts w:ascii="Calibri" w:hAnsi="Calibri"/>
                <w:b/>
                <w:bCs/>
              </w:rPr>
              <w:t>说明</w:t>
            </w:r>
          </w:p>
        </w:tc>
        <w:tc>
          <w:tcPr>
            <w:tcW w:w="8074" w:type="dxa"/>
            <w:gridSpan w:val="5"/>
            <w:vAlign w:val="center"/>
          </w:tcPr>
          <w:p>
            <w:pPr>
              <w:jc w:val="center"/>
              <w:rPr>
                <w:rFonts w:ascii="Calibri" w:hAnsi="Calibri"/>
                <w:b/>
                <w:bCs/>
              </w:rPr>
            </w:pPr>
          </w:p>
        </w:tc>
      </w:tr>
    </w:tbl>
    <w:p>
      <w:pPr>
        <w:ind w:left="-630" w:leftChars="-300" w:right="-630" w:rightChars="-300"/>
        <w:jc w:val="left"/>
        <w:rPr>
          <w:b/>
          <w:bCs/>
          <w:szCs w:val="20"/>
        </w:rPr>
      </w:pPr>
      <w:r>
        <w:rPr>
          <w:b/>
          <w:bCs/>
          <w:szCs w:val="20"/>
        </w:rPr>
        <w:t>操作：           记录：             检查：            日期：             第    页/共    页</w:t>
      </w:r>
    </w:p>
    <w:p>
      <w:pPr>
        <w:widowControl/>
        <w:jc w:val="left"/>
        <w:rPr>
          <w:sz w:val="24"/>
        </w:rPr>
      </w:pPr>
      <w:r>
        <w:rPr>
          <w:sz w:val="24"/>
        </w:rPr>
        <w:br w:type="page"/>
      </w:r>
    </w:p>
    <w:p>
      <w:pPr>
        <w:spacing w:after="312" w:afterLines="100"/>
        <w:jc w:val="center"/>
        <w:outlineLvl w:val="0"/>
        <w:rPr>
          <w:color w:val="000000" w:themeColor="text1"/>
          <w:sz w:val="36"/>
          <w:szCs w:val="36"/>
          <w14:textFill>
            <w14:solidFill>
              <w14:schemeClr w14:val="tx1"/>
            </w14:solidFill>
          </w14:textFill>
        </w:rPr>
      </w:pPr>
      <w:bookmarkStart w:id="70" w:name="_Toc81491528"/>
      <w:bookmarkStart w:id="71" w:name="_Toc148468258"/>
      <w:bookmarkStart w:id="72" w:name="_Toc148308932"/>
      <w:r>
        <w:rPr>
          <w:rFonts w:hint="eastAsia"/>
          <w:color w:val="000000" w:themeColor="text1"/>
          <w:sz w:val="36"/>
          <w:szCs w:val="36"/>
          <w14:textFill>
            <w14:solidFill>
              <w14:schemeClr w14:val="tx1"/>
            </w14:solidFill>
          </w14:textFill>
        </w:rPr>
        <w:t>附录</w:t>
      </w:r>
      <w:r>
        <w:rPr>
          <w:color w:val="000000" w:themeColor="text1"/>
          <w:sz w:val="36"/>
          <w:szCs w:val="36"/>
          <w14:textFill>
            <w14:solidFill>
              <w14:schemeClr w14:val="tx1"/>
            </w14:solidFill>
          </w14:textFill>
        </w:rPr>
        <w:t>E  瞬态面波法现场探测记录单</w:t>
      </w:r>
      <w:bookmarkEnd w:id="70"/>
      <w:bookmarkEnd w:id="71"/>
      <w:bookmarkEnd w:id="72"/>
    </w:p>
    <w:p>
      <w:pPr>
        <w:ind w:left="-1" w:leftChars="-135" w:right="-340" w:rightChars="-162" w:hanging="282" w:hangingChars="134"/>
        <w:jc w:val="left"/>
        <w:rPr>
          <w:b/>
          <w:bCs/>
        </w:rPr>
      </w:pPr>
      <w:r>
        <w:rPr>
          <w:b/>
          <w:bCs/>
        </w:rPr>
        <w:t>工程名称：</w:t>
      </w:r>
      <w:r>
        <w:rPr>
          <w:b/>
          <w:bCs/>
          <w:u w:val="single"/>
        </w:rPr>
        <w:t xml:space="preserve">             </w:t>
      </w:r>
      <w:r>
        <w:rPr>
          <w:b/>
          <w:bCs/>
        </w:rPr>
        <w:t>工程地点：</w:t>
      </w:r>
      <w:r>
        <w:rPr>
          <w:b/>
          <w:bCs/>
          <w:u w:val="single"/>
        </w:rPr>
        <w:t xml:space="preserve">                          </w:t>
      </w:r>
      <w:r>
        <w:rPr>
          <w:b/>
          <w:bCs/>
        </w:rPr>
        <w:t>天气：</w:t>
      </w:r>
      <w:r>
        <w:rPr>
          <w:b/>
          <w:bCs/>
          <w:u w:val="single"/>
        </w:rPr>
        <w:t xml:space="preserve">                </w:t>
      </w:r>
      <w:r>
        <w:rPr>
          <w:b/>
          <w:bCs/>
        </w:rPr>
        <w:t xml:space="preserve"> .</w:t>
      </w:r>
    </w:p>
    <w:p>
      <w:pPr>
        <w:ind w:left="-1" w:leftChars="-135" w:right="-340" w:rightChars="-162" w:hanging="282" w:hangingChars="134"/>
        <w:jc w:val="left"/>
        <w:rPr>
          <w:b/>
          <w:bCs/>
          <w:u w:val="single"/>
        </w:rPr>
      </w:pPr>
      <w:r>
        <w:rPr>
          <w:b/>
          <w:bCs/>
        </w:rPr>
        <w:t>设备型号/编号：</w:t>
      </w:r>
      <w:r>
        <w:rPr>
          <w:b/>
          <w:bCs/>
          <w:u w:val="single"/>
        </w:rPr>
        <w:t xml:space="preserve">        </w:t>
      </w:r>
      <w:r>
        <w:rPr>
          <w:b/>
          <w:bCs/>
        </w:rPr>
        <w:t>道间距(m):</w:t>
      </w:r>
      <w:r>
        <w:rPr>
          <w:b/>
          <w:bCs/>
          <w:u w:val="single"/>
        </w:rPr>
        <w:t xml:space="preserve">                   </w:t>
      </w:r>
      <w:r>
        <w:rPr>
          <w:b/>
          <w:bCs/>
        </w:rPr>
        <w:t>偏移距(m):</w:t>
      </w:r>
      <w:r>
        <w:rPr>
          <w:b/>
          <w:bCs/>
          <w:u w:val="single"/>
        </w:rPr>
        <w:t xml:space="preserve">             </w:t>
      </w:r>
      <w:r>
        <w:rPr>
          <w:b/>
          <w:bCs/>
        </w:rPr>
        <w:t>.</w:t>
      </w:r>
    </w:p>
    <w:p>
      <w:pPr>
        <w:ind w:left="-1" w:leftChars="-135" w:right="-340" w:rightChars="-162" w:hanging="282" w:hangingChars="134"/>
        <w:jc w:val="left"/>
        <w:rPr>
          <w:b/>
          <w:bCs/>
          <w:u w:val="single"/>
        </w:rPr>
      </w:pPr>
      <w:r>
        <w:rPr>
          <w:b/>
          <w:bCs/>
        </w:rPr>
        <w:t>接收道数：</w:t>
      </w:r>
      <w:r>
        <w:rPr>
          <w:b/>
          <w:bCs/>
          <w:u w:val="single"/>
        </w:rPr>
        <w:t xml:space="preserve">                                                                          </w:t>
      </w:r>
      <w:r>
        <w:rPr>
          <w:b/>
          <w:bCs/>
        </w:rPr>
        <w:t>.</w:t>
      </w:r>
    </w:p>
    <w:tbl>
      <w:tblPr>
        <w:tblStyle w:val="27"/>
        <w:tblW w:w="5383" w:type="pct"/>
        <w:tblInd w:w="-289"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528"/>
        <w:gridCol w:w="1530"/>
        <w:gridCol w:w="1529"/>
        <w:gridCol w:w="1530"/>
        <w:gridCol w:w="1529"/>
        <w:gridCol w:w="152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833" w:type="pct"/>
          </w:tcPr>
          <w:p>
            <w:pPr>
              <w:jc w:val="center"/>
              <w:rPr>
                <w:rFonts w:ascii="Calibri" w:hAnsi="Calibri"/>
                <w:b/>
                <w:bCs/>
              </w:rPr>
            </w:pPr>
            <w:r>
              <w:rPr>
                <w:rFonts w:ascii="Calibri" w:hAnsi="Calibri"/>
              </w:rPr>
              <w:t xml:space="preserve"> </w:t>
            </w:r>
            <w:r>
              <w:rPr>
                <w:rFonts w:ascii="Calibri" w:hAnsi="Calibri"/>
                <w:b/>
                <w:bCs/>
              </w:rPr>
              <w:t>文件名</w:t>
            </w:r>
          </w:p>
        </w:tc>
        <w:tc>
          <w:tcPr>
            <w:tcW w:w="834" w:type="pct"/>
          </w:tcPr>
          <w:p>
            <w:pPr>
              <w:jc w:val="center"/>
              <w:rPr>
                <w:rFonts w:ascii="Calibri" w:hAnsi="Calibri"/>
                <w:b/>
                <w:bCs/>
              </w:rPr>
            </w:pPr>
            <w:r>
              <w:rPr>
                <w:rFonts w:ascii="Calibri" w:hAnsi="Calibri"/>
                <w:b/>
                <w:bCs/>
              </w:rPr>
              <w:t>测线号</w:t>
            </w:r>
          </w:p>
        </w:tc>
        <w:tc>
          <w:tcPr>
            <w:tcW w:w="833" w:type="pct"/>
          </w:tcPr>
          <w:p>
            <w:pPr>
              <w:jc w:val="center"/>
              <w:rPr>
                <w:rFonts w:ascii="Calibri" w:hAnsi="Calibri"/>
                <w:b/>
                <w:bCs/>
              </w:rPr>
            </w:pPr>
            <w:r>
              <w:rPr>
                <w:rFonts w:ascii="Calibri" w:hAnsi="Calibri"/>
                <w:b/>
                <w:bCs/>
              </w:rPr>
              <w:t>测试方向</w:t>
            </w:r>
          </w:p>
        </w:tc>
        <w:tc>
          <w:tcPr>
            <w:tcW w:w="834" w:type="pct"/>
          </w:tcPr>
          <w:p>
            <w:pPr>
              <w:jc w:val="center"/>
              <w:rPr>
                <w:rFonts w:ascii="Calibri" w:hAnsi="Calibri"/>
                <w:b/>
                <w:bCs/>
              </w:rPr>
            </w:pPr>
            <w:r>
              <w:rPr>
                <w:rFonts w:ascii="Calibri" w:hAnsi="Calibri"/>
                <w:b/>
                <w:bCs/>
              </w:rPr>
              <w:t>测线位置</w:t>
            </w:r>
          </w:p>
        </w:tc>
        <w:tc>
          <w:tcPr>
            <w:tcW w:w="833" w:type="pct"/>
          </w:tcPr>
          <w:p>
            <w:pPr>
              <w:jc w:val="center"/>
              <w:rPr>
                <w:rFonts w:ascii="Calibri" w:hAnsi="Calibri"/>
                <w:b/>
                <w:bCs/>
              </w:rPr>
            </w:pPr>
            <w:r>
              <w:rPr>
                <w:rFonts w:ascii="Calibri" w:hAnsi="Calibri"/>
                <w:b/>
                <w:bCs/>
              </w:rPr>
              <w:t>炮点位置</w:t>
            </w:r>
          </w:p>
        </w:tc>
        <w:tc>
          <w:tcPr>
            <w:tcW w:w="833" w:type="pct"/>
          </w:tcPr>
          <w:p>
            <w:pPr>
              <w:jc w:val="center"/>
              <w:rPr>
                <w:rFonts w:ascii="Calibri" w:hAnsi="Calibri"/>
                <w:b/>
                <w:bCs/>
              </w:rPr>
            </w:pPr>
            <w:r>
              <w:rPr>
                <w:rFonts w:ascii="Calibri" w:hAnsi="Calibri"/>
                <w:b/>
                <w:bCs/>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4" w:type="pct"/>
          </w:tcPr>
          <w:p>
            <w:pPr>
              <w:jc w:val="center"/>
              <w:rPr>
                <w:rFonts w:ascii="Calibri" w:hAnsi="Calibri"/>
                <w:b/>
                <w:bCs/>
              </w:rPr>
            </w:pPr>
          </w:p>
        </w:tc>
        <w:tc>
          <w:tcPr>
            <w:tcW w:w="833" w:type="pct"/>
          </w:tcPr>
          <w:p>
            <w:pPr>
              <w:jc w:val="center"/>
              <w:rPr>
                <w:rFonts w:ascii="Calibri" w:hAnsi="Calibri"/>
                <w:b/>
                <w:bCs/>
              </w:rPr>
            </w:pPr>
          </w:p>
        </w:tc>
        <w:tc>
          <w:tcPr>
            <w:tcW w:w="833" w:type="pct"/>
          </w:tcPr>
          <w:p>
            <w:pPr>
              <w:jc w:val="center"/>
              <w:rPr>
                <w:rFonts w:ascii="Calibri" w:hAnsi="Calibri"/>
                <w:b/>
                <w:bCs/>
              </w:rPr>
            </w:pPr>
          </w:p>
        </w:tc>
      </w:tr>
    </w:tbl>
    <w:p>
      <w:pPr>
        <w:ind w:left="-210" w:leftChars="-100" w:right="-210" w:rightChars="-100"/>
        <w:jc w:val="left"/>
        <w:rPr>
          <w:sz w:val="24"/>
        </w:rPr>
      </w:pPr>
      <w:r>
        <w:rPr>
          <w:b/>
          <w:bCs/>
        </w:rPr>
        <w:t>操作：         记录：        检查：            日期：               第   页/共   页</w:t>
      </w:r>
    </w:p>
    <w:p>
      <w:pPr>
        <w:widowControl/>
        <w:jc w:val="left"/>
        <w:rPr>
          <w:sz w:val="24"/>
        </w:rPr>
      </w:pPr>
      <w:r>
        <w:rPr>
          <w:sz w:val="24"/>
        </w:rPr>
        <w:br w:type="page"/>
      </w:r>
    </w:p>
    <w:p>
      <w:pPr>
        <w:spacing w:after="312" w:afterLines="100"/>
        <w:jc w:val="center"/>
        <w:outlineLvl w:val="0"/>
        <w:rPr>
          <w:color w:val="000000" w:themeColor="text1"/>
          <w:sz w:val="36"/>
          <w:szCs w:val="36"/>
          <w14:textFill>
            <w14:solidFill>
              <w14:schemeClr w14:val="tx1"/>
            </w14:solidFill>
          </w14:textFill>
        </w:rPr>
      </w:pPr>
      <w:bookmarkStart w:id="73" w:name="_Toc148308933"/>
      <w:bookmarkStart w:id="74" w:name="_Toc148468259"/>
      <w:bookmarkStart w:id="75" w:name="_Toc81491530"/>
      <w:r>
        <w:rPr>
          <w:rFonts w:hint="eastAsia"/>
          <w:color w:val="000000" w:themeColor="text1"/>
          <w:sz w:val="36"/>
          <w:szCs w:val="36"/>
          <w14:textFill>
            <w14:solidFill>
              <w14:schemeClr w14:val="tx1"/>
            </w14:solidFill>
          </w14:textFill>
        </w:rPr>
        <w:t>附录</w:t>
      </w:r>
      <w:r>
        <w:rPr>
          <w:color w:val="000000" w:themeColor="text1"/>
          <w:sz w:val="36"/>
          <w:szCs w:val="36"/>
          <w14:textFill>
            <w14:solidFill>
              <w14:schemeClr w14:val="tx1"/>
            </w14:solidFill>
          </w14:textFill>
        </w:rPr>
        <w:t xml:space="preserve">F  </w:t>
      </w:r>
      <w:r>
        <w:rPr>
          <w:rFonts w:hint="eastAsia"/>
          <w:color w:val="000000" w:themeColor="text1"/>
          <w:sz w:val="36"/>
          <w:szCs w:val="36"/>
          <w14:textFill>
            <w14:solidFill>
              <w14:schemeClr w14:val="tx1"/>
            </w14:solidFill>
          </w14:textFill>
        </w:rPr>
        <w:t>地震映像法</w:t>
      </w:r>
      <w:r>
        <w:rPr>
          <w:color w:val="000000" w:themeColor="text1"/>
          <w:sz w:val="36"/>
          <w:szCs w:val="36"/>
          <w14:textFill>
            <w14:solidFill>
              <w14:schemeClr w14:val="tx1"/>
            </w14:solidFill>
          </w14:textFill>
        </w:rPr>
        <w:t>现场探测记录单</w:t>
      </w:r>
      <w:bookmarkEnd w:id="73"/>
      <w:bookmarkEnd w:id="74"/>
      <w:bookmarkEnd w:id="75"/>
    </w:p>
    <w:p>
      <w:pPr>
        <w:ind w:leftChars="-67" w:right="-197" w:rightChars="-94" w:hanging="141" w:hangingChars="67"/>
        <w:jc w:val="left"/>
        <w:rPr>
          <w:b/>
          <w:bCs/>
        </w:rPr>
      </w:pPr>
      <w:r>
        <w:rPr>
          <w:b/>
          <w:bCs/>
        </w:rPr>
        <w:t>工程名称：</w:t>
      </w:r>
      <w:r>
        <w:rPr>
          <w:b/>
          <w:bCs/>
          <w:u w:val="single"/>
        </w:rPr>
        <w:t xml:space="preserve">                     </w:t>
      </w:r>
      <w:r>
        <w:rPr>
          <w:b/>
          <w:bCs/>
        </w:rPr>
        <w:t>工程地点：</w:t>
      </w:r>
      <w:r>
        <w:rPr>
          <w:b/>
          <w:bCs/>
          <w:u w:val="single"/>
        </w:rPr>
        <w:t xml:space="preserve">                </w:t>
      </w:r>
      <w:r>
        <w:rPr>
          <w:b/>
          <w:bCs/>
        </w:rPr>
        <w:t>天气：</w:t>
      </w:r>
      <w:r>
        <w:rPr>
          <w:b/>
          <w:bCs/>
          <w:u w:val="single"/>
        </w:rPr>
        <w:t xml:space="preserve">                 </w:t>
      </w:r>
    </w:p>
    <w:p>
      <w:pPr>
        <w:ind w:leftChars="-67" w:right="-197" w:rightChars="-94" w:hanging="141" w:hangingChars="67"/>
        <w:jc w:val="left"/>
        <w:rPr>
          <w:b/>
          <w:bCs/>
        </w:rPr>
      </w:pPr>
      <w:r>
        <w:rPr>
          <w:b/>
          <w:bCs/>
        </w:rPr>
        <w:t>设备类型/编号：</w:t>
      </w:r>
      <w:r>
        <w:rPr>
          <w:b/>
          <w:bCs/>
          <w:u w:val="single"/>
        </w:rPr>
        <w:t xml:space="preserve">                              </w:t>
      </w:r>
      <w:r>
        <w:rPr>
          <w:b/>
          <w:bCs/>
        </w:rPr>
        <w:t>检波器主频(Hz)：</w:t>
      </w:r>
      <w:r>
        <w:rPr>
          <w:b/>
          <w:bCs/>
          <w:u w:val="single"/>
        </w:rPr>
        <w:t xml:space="preserve">                    </w:t>
      </w:r>
    </w:p>
    <w:p>
      <w:pPr>
        <w:ind w:leftChars="-67" w:right="-197" w:rightChars="-94" w:hanging="141" w:hangingChars="67"/>
        <w:jc w:val="left"/>
        <w:rPr>
          <w:b/>
          <w:bCs/>
          <w:u w:val="single"/>
        </w:rPr>
      </w:pPr>
      <w:r>
        <w:rPr>
          <w:b/>
          <w:bCs/>
        </w:rPr>
        <w:t>记录检波器数量：</w:t>
      </w:r>
      <w:r>
        <w:rPr>
          <w:b/>
          <w:bCs/>
          <w:u w:val="single"/>
        </w:rPr>
        <w:t xml:space="preserve">                 </w:t>
      </w:r>
      <w:r>
        <w:rPr>
          <w:b/>
          <w:bCs/>
        </w:rPr>
        <w:t>道间距(m)：</w:t>
      </w:r>
      <w:r>
        <w:rPr>
          <w:b/>
          <w:bCs/>
          <w:u w:val="single"/>
        </w:rPr>
        <w:t xml:space="preserve">                                    </w:t>
      </w:r>
    </w:p>
    <w:p>
      <w:pPr>
        <w:ind w:leftChars="-67" w:right="-197" w:rightChars="-94" w:hanging="141" w:hangingChars="67"/>
        <w:jc w:val="left"/>
        <w:rPr>
          <w:b/>
          <w:bCs/>
        </w:rPr>
      </w:pPr>
      <w:r>
        <w:rPr>
          <w:b/>
          <w:bCs/>
        </w:rPr>
        <w:t>偏移距(m)：</w:t>
      </w:r>
      <w:r>
        <w:rPr>
          <w:b/>
          <w:bCs/>
          <w:u w:val="single"/>
        </w:rPr>
        <w:t xml:space="preserve">         </w:t>
      </w:r>
      <w:r>
        <w:rPr>
          <w:b/>
          <w:bCs/>
        </w:rPr>
        <w:t>采样点数：</w:t>
      </w:r>
      <w:r>
        <w:rPr>
          <w:b/>
          <w:bCs/>
          <w:u w:val="single"/>
        </w:rPr>
        <w:t xml:space="preserve">           </w:t>
      </w:r>
      <w:r>
        <w:rPr>
          <w:b/>
          <w:bCs/>
        </w:rPr>
        <w:t>采样间隔(ms)</w:t>
      </w:r>
      <w:r>
        <w:rPr>
          <w:b/>
          <w:bCs/>
          <w:u w:val="single"/>
        </w:rPr>
        <w:t xml:space="preserve">：                          </w:t>
      </w:r>
    </w:p>
    <w:tbl>
      <w:tblPr>
        <w:tblStyle w:val="27"/>
        <w:tblW w:w="8506" w:type="dxa"/>
        <w:tblInd w:w="-14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418"/>
        <w:gridCol w:w="1418"/>
        <w:gridCol w:w="1559"/>
        <w:gridCol w:w="2410"/>
        <w:gridCol w:w="170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1418" w:type="dxa"/>
            <w:vAlign w:val="center"/>
          </w:tcPr>
          <w:p>
            <w:pPr>
              <w:jc w:val="center"/>
              <w:rPr>
                <w:rFonts w:ascii="Calibri" w:hAnsi="Calibri"/>
                <w:b/>
                <w:bCs/>
              </w:rPr>
            </w:pPr>
            <w:r>
              <w:rPr>
                <w:rFonts w:ascii="Calibri" w:hAnsi="Calibri"/>
                <w:b/>
                <w:bCs/>
              </w:rPr>
              <w:t>文件名</w:t>
            </w:r>
          </w:p>
        </w:tc>
        <w:tc>
          <w:tcPr>
            <w:tcW w:w="1418" w:type="dxa"/>
            <w:vAlign w:val="center"/>
          </w:tcPr>
          <w:p>
            <w:pPr>
              <w:jc w:val="center"/>
              <w:rPr>
                <w:rFonts w:ascii="Calibri" w:hAnsi="Calibri"/>
                <w:b/>
                <w:bCs/>
              </w:rPr>
            </w:pPr>
            <w:r>
              <w:rPr>
                <w:rFonts w:ascii="Calibri" w:hAnsi="Calibri"/>
                <w:b/>
                <w:bCs/>
              </w:rPr>
              <w:t>测线号</w:t>
            </w:r>
          </w:p>
        </w:tc>
        <w:tc>
          <w:tcPr>
            <w:tcW w:w="1559" w:type="dxa"/>
            <w:vAlign w:val="center"/>
          </w:tcPr>
          <w:p>
            <w:pPr>
              <w:jc w:val="center"/>
              <w:rPr>
                <w:rFonts w:ascii="Calibri" w:hAnsi="Calibri"/>
                <w:b/>
                <w:bCs/>
              </w:rPr>
            </w:pPr>
            <w:r>
              <w:rPr>
                <w:rFonts w:ascii="Calibri" w:hAnsi="Calibri"/>
                <w:b/>
                <w:bCs/>
              </w:rPr>
              <w:t>测线位置</w:t>
            </w:r>
          </w:p>
        </w:tc>
        <w:tc>
          <w:tcPr>
            <w:tcW w:w="2410" w:type="dxa"/>
            <w:vAlign w:val="center"/>
          </w:tcPr>
          <w:p>
            <w:pPr>
              <w:jc w:val="center"/>
              <w:rPr>
                <w:rFonts w:ascii="Calibri" w:hAnsi="Calibri"/>
                <w:b/>
                <w:bCs/>
              </w:rPr>
            </w:pPr>
            <w:r>
              <w:rPr>
                <w:rFonts w:ascii="Calibri" w:hAnsi="Calibri"/>
                <w:b/>
                <w:bCs/>
              </w:rPr>
              <w:t>检波点起始位置</w:t>
            </w:r>
          </w:p>
        </w:tc>
        <w:tc>
          <w:tcPr>
            <w:tcW w:w="1701" w:type="dxa"/>
            <w:vAlign w:val="center"/>
          </w:tcPr>
          <w:p>
            <w:pPr>
              <w:jc w:val="center"/>
              <w:rPr>
                <w:rFonts w:ascii="Calibri" w:hAnsi="Calibri"/>
                <w:b/>
                <w:bCs/>
              </w:rPr>
            </w:pPr>
            <w:r>
              <w:rPr>
                <w:rFonts w:ascii="Calibri" w:hAnsi="Calibri"/>
                <w:b/>
                <w:bCs/>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0" w:hRule="atLeast"/>
        </w:trPr>
        <w:tc>
          <w:tcPr>
            <w:tcW w:w="1418" w:type="dxa"/>
          </w:tcPr>
          <w:p>
            <w:pPr>
              <w:jc w:val="center"/>
              <w:rPr>
                <w:rFonts w:ascii="Calibri" w:hAnsi="Calibri"/>
                <w:b/>
                <w:bCs/>
              </w:rPr>
            </w:pPr>
          </w:p>
        </w:tc>
        <w:tc>
          <w:tcPr>
            <w:tcW w:w="1418" w:type="dxa"/>
          </w:tcPr>
          <w:p>
            <w:pPr>
              <w:jc w:val="center"/>
              <w:rPr>
                <w:rFonts w:ascii="Calibri" w:hAnsi="Calibri"/>
                <w:b/>
                <w:bCs/>
              </w:rPr>
            </w:pPr>
          </w:p>
        </w:tc>
        <w:tc>
          <w:tcPr>
            <w:tcW w:w="1559" w:type="dxa"/>
          </w:tcPr>
          <w:p>
            <w:pPr>
              <w:jc w:val="center"/>
              <w:rPr>
                <w:rFonts w:ascii="Calibri" w:hAnsi="Calibri"/>
                <w:b/>
                <w:bCs/>
              </w:rPr>
            </w:pPr>
          </w:p>
        </w:tc>
        <w:tc>
          <w:tcPr>
            <w:tcW w:w="2410" w:type="dxa"/>
          </w:tcPr>
          <w:p>
            <w:pPr>
              <w:jc w:val="center"/>
              <w:rPr>
                <w:rFonts w:ascii="Calibri" w:hAnsi="Calibri"/>
                <w:b/>
                <w:bCs/>
              </w:rPr>
            </w:pPr>
          </w:p>
        </w:tc>
        <w:tc>
          <w:tcPr>
            <w:tcW w:w="1701" w:type="dxa"/>
          </w:tcPr>
          <w:p>
            <w:pPr>
              <w:jc w:val="center"/>
              <w:rPr>
                <w:rFonts w:ascii="Calibri" w:hAnsi="Calibri"/>
                <w:b/>
                <w:bCs/>
              </w:rPr>
            </w:pPr>
          </w:p>
        </w:tc>
      </w:tr>
    </w:tbl>
    <w:p>
      <w:pPr>
        <w:rPr>
          <w:b/>
          <w:bCs/>
          <w:szCs w:val="20"/>
        </w:rPr>
      </w:pPr>
      <w:r>
        <w:rPr>
          <w:b/>
          <w:bCs/>
          <w:szCs w:val="20"/>
        </w:rPr>
        <w:t>操作：         记录：           检查：          日期：         第    页/共    页</w:t>
      </w:r>
    </w:p>
    <w:p>
      <w:pPr>
        <w:widowControl/>
        <w:jc w:val="left"/>
        <w:rPr>
          <w:sz w:val="24"/>
        </w:rPr>
        <w:sectPr>
          <w:pgSz w:w="11906" w:h="16838"/>
          <w:pgMar w:top="1440" w:right="1800" w:bottom="1440" w:left="1800" w:header="851" w:footer="992" w:gutter="0"/>
          <w:cols w:space="425" w:num="1"/>
          <w:docGrid w:type="lines" w:linePitch="312" w:charSpace="0"/>
        </w:sectPr>
      </w:pPr>
      <w:r>
        <w:rPr>
          <w:sz w:val="24"/>
        </w:rPr>
        <w:br w:type="page"/>
      </w:r>
    </w:p>
    <w:p>
      <w:pPr>
        <w:spacing w:after="312" w:afterLines="100"/>
        <w:jc w:val="center"/>
        <w:outlineLvl w:val="0"/>
        <w:rPr>
          <w:color w:val="000000" w:themeColor="text1"/>
          <w:sz w:val="36"/>
          <w:szCs w:val="36"/>
          <w14:textFill>
            <w14:solidFill>
              <w14:schemeClr w14:val="tx1"/>
            </w14:solidFill>
          </w14:textFill>
        </w:rPr>
      </w:pPr>
      <w:bookmarkStart w:id="76" w:name="_Toc81491529"/>
      <w:bookmarkStart w:id="77" w:name="_Toc148468260"/>
      <w:bookmarkStart w:id="78" w:name="_Toc148308934"/>
      <w:r>
        <w:rPr>
          <w:color w:val="000000" w:themeColor="text1"/>
          <w:sz w:val="36"/>
          <w:szCs w:val="36"/>
          <w14:textFill>
            <w14:solidFill>
              <w14:schemeClr w14:val="tx1"/>
            </w14:solidFill>
          </w14:textFill>
        </w:rPr>
        <w:t>附录G  微动勘探法现场探测记录单</w:t>
      </w:r>
      <w:bookmarkEnd w:id="76"/>
      <w:bookmarkEnd w:id="77"/>
      <w:bookmarkEnd w:id="78"/>
    </w:p>
    <w:p>
      <w:pPr>
        <w:jc w:val="left"/>
        <w:rPr>
          <w:b/>
          <w:bCs/>
        </w:rPr>
      </w:pPr>
      <w:r>
        <w:rPr>
          <w:b/>
          <w:bCs/>
        </w:rPr>
        <w:t>工程名称：</w:t>
      </w:r>
      <w:r>
        <w:rPr>
          <w:b/>
          <w:bCs/>
          <w:u w:val="single"/>
        </w:rPr>
        <w:t xml:space="preserve">                                               </w:t>
      </w:r>
      <w:r>
        <w:rPr>
          <w:b/>
          <w:bCs/>
        </w:rPr>
        <w:t>工程地点：</w:t>
      </w:r>
      <w:r>
        <w:rPr>
          <w:b/>
          <w:bCs/>
          <w:u w:val="single"/>
        </w:rPr>
        <w:t xml:space="preserve">                                             </w:t>
      </w:r>
      <w:r>
        <w:rPr>
          <w:b/>
          <w:bCs/>
        </w:rPr>
        <w:t xml:space="preserve"> 天气：</w:t>
      </w:r>
      <w:r>
        <w:rPr>
          <w:b/>
          <w:bCs/>
          <w:u w:val="single"/>
        </w:rPr>
        <w:t xml:space="preserve">             </w:t>
      </w:r>
    </w:p>
    <w:p>
      <w:pPr>
        <w:jc w:val="left"/>
        <w:rPr>
          <w:b/>
          <w:bCs/>
          <w:u w:val="single"/>
        </w:rPr>
      </w:pPr>
      <w:r>
        <w:rPr>
          <w:b/>
          <w:bCs/>
        </w:rPr>
        <w:t>仪器编号：</w:t>
      </w:r>
      <w:r>
        <w:rPr>
          <w:b/>
          <w:bCs/>
          <w:u w:val="single"/>
        </w:rPr>
        <w:t xml:space="preserve">                         </w:t>
      </w:r>
      <w:r>
        <w:rPr>
          <w:b/>
          <w:bCs/>
        </w:rPr>
        <w:t>测线编号：</w:t>
      </w:r>
      <w:r>
        <w:rPr>
          <w:b/>
          <w:bCs/>
          <w:u w:val="single"/>
        </w:rPr>
        <w:t xml:space="preserve">                        </w:t>
      </w:r>
      <w:r>
        <w:rPr>
          <w:b/>
          <w:bCs/>
        </w:rPr>
        <w:t>台阵类型：</w:t>
      </w:r>
      <w:r>
        <w:rPr>
          <w:b/>
          <w:bCs/>
          <w:u w:val="single"/>
        </w:rPr>
        <w:t xml:space="preserve">                        </w:t>
      </w:r>
      <w:r>
        <w:rPr>
          <w:b/>
          <w:bCs/>
        </w:rPr>
        <w:t>台阵尺寸(m)</w:t>
      </w:r>
      <w:r>
        <w:rPr>
          <w:b/>
          <w:bCs/>
          <w:u w:val="single"/>
        </w:rPr>
        <w:t xml:space="preserve">                  </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573"/>
        <w:gridCol w:w="1576"/>
        <w:gridCol w:w="1743"/>
        <w:gridCol w:w="2160"/>
        <w:gridCol w:w="1443"/>
        <w:gridCol w:w="1296"/>
        <w:gridCol w:w="1726"/>
        <w:gridCol w:w="1587"/>
        <w:gridCol w:w="10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0" w:hRule="atLeast"/>
        </w:trPr>
        <w:tc>
          <w:tcPr>
            <w:tcW w:w="555" w:type="pct"/>
            <w:vAlign w:val="center"/>
          </w:tcPr>
          <w:p>
            <w:pPr>
              <w:jc w:val="center"/>
              <w:rPr>
                <w:rFonts w:ascii="Calibri" w:hAnsi="Calibri"/>
                <w:b/>
                <w:bCs/>
              </w:rPr>
            </w:pPr>
            <w:r>
              <w:rPr>
                <w:rFonts w:ascii="Calibri" w:hAnsi="Calibri"/>
                <w:b/>
                <w:bCs/>
              </w:rPr>
              <w:t>文件名</w:t>
            </w:r>
          </w:p>
        </w:tc>
        <w:tc>
          <w:tcPr>
            <w:tcW w:w="556" w:type="pct"/>
            <w:vAlign w:val="center"/>
          </w:tcPr>
          <w:p>
            <w:pPr>
              <w:jc w:val="center"/>
              <w:rPr>
                <w:rFonts w:ascii="Calibri" w:hAnsi="Calibri"/>
                <w:b/>
                <w:bCs/>
              </w:rPr>
            </w:pPr>
            <w:r>
              <w:rPr>
                <w:rFonts w:ascii="Calibri" w:hAnsi="Calibri"/>
                <w:b/>
                <w:bCs/>
              </w:rPr>
              <w:t>测点编号</w:t>
            </w:r>
          </w:p>
        </w:tc>
        <w:tc>
          <w:tcPr>
            <w:tcW w:w="615" w:type="pct"/>
            <w:vAlign w:val="center"/>
          </w:tcPr>
          <w:p>
            <w:pPr>
              <w:jc w:val="center"/>
              <w:rPr>
                <w:rFonts w:ascii="Calibri" w:hAnsi="Calibri"/>
                <w:b/>
                <w:bCs/>
              </w:rPr>
            </w:pPr>
            <w:r>
              <w:rPr>
                <w:rFonts w:ascii="Calibri" w:hAnsi="Calibri"/>
                <w:b/>
                <w:bCs/>
              </w:rPr>
              <w:t>台阵布置草图</w:t>
            </w:r>
          </w:p>
        </w:tc>
        <w:tc>
          <w:tcPr>
            <w:tcW w:w="762" w:type="pct"/>
            <w:vAlign w:val="center"/>
          </w:tcPr>
          <w:p>
            <w:pPr>
              <w:jc w:val="center"/>
              <w:rPr>
                <w:rFonts w:ascii="Calibri" w:hAnsi="Calibri"/>
                <w:b/>
                <w:bCs/>
              </w:rPr>
            </w:pPr>
            <w:r>
              <w:rPr>
                <w:rFonts w:ascii="Calibri" w:hAnsi="Calibri"/>
                <w:b/>
                <w:bCs/>
              </w:rPr>
              <w:t>里程桩号/距离(m)</w:t>
            </w:r>
          </w:p>
        </w:tc>
        <w:tc>
          <w:tcPr>
            <w:tcW w:w="509" w:type="pct"/>
            <w:vAlign w:val="center"/>
          </w:tcPr>
          <w:p>
            <w:pPr>
              <w:jc w:val="center"/>
              <w:rPr>
                <w:rFonts w:ascii="Calibri" w:hAnsi="Calibri"/>
                <w:b/>
                <w:bCs/>
              </w:rPr>
            </w:pPr>
            <w:r>
              <w:rPr>
                <w:rFonts w:ascii="Calibri" w:hAnsi="Calibri"/>
                <w:b/>
                <w:bCs/>
              </w:rPr>
              <w:t>偏移(m)</w:t>
            </w:r>
          </w:p>
        </w:tc>
        <w:tc>
          <w:tcPr>
            <w:tcW w:w="457" w:type="pct"/>
            <w:vAlign w:val="center"/>
          </w:tcPr>
          <w:p>
            <w:pPr>
              <w:jc w:val="center"/>
              <w:rPr>
                <w:rFonts w:ascii="Calibri" w:hAnsi="Calibri"/>
                <w:b/>
                <w:bCs/>
              </w:rPr>
            </w:pPr>
            <w:r>
              <w:rPr>
                <w:rFonts w:ascii="Calibri" w:hAnsi="Calibri"/>
                <w:b/>
                <w:bCs/>
              </w:rPr>
              <w:t>测线方向</w:t>
            </w:r>
          </w:p>
        </w:tc>
        <w:tc>
          <w:tcPr>
            <w:tcW w:w="609" w:type="pct"/>
            <w:vAlign w:val="center"/>
          </w:tcPr>
          <w:p>
            <w:pPr>
              <w:jc w:val="center"/>
              <w:rPr>
                <w:rFonts w:ascii="Calibri" w:hAnsi="Calibri"/>
                <w:b/>
                <w:bCs/>
              </w:rPr>
            </w:pPr>
            <w:r>
              <w:rPr>
                <w:rFonts w:ascii="Calibri" w:hAnsi="Calibri"/>
                <w:b/>
                <w:bCs/>
              </w:rPr>
              <w:t>开始时间</w:t>
            </w:r>
          </w:p>
        </w:tc>
        <w:tc>
          <w:tcPr>
            <w:tcW w:w="560" w:type="pct"/>
            <w:vAlign w:val="center"/>
          </w:tcPr>
          <w:p>
            <w:pPr>
              <w:jc w:val="center"/>
              <w:rPr>
                <w:rFonts w:ascii="Calibri" w:hAnsi="Calibri"/>
                <w:b/>
                <w:bCs/>
              </w:rPr>
            </w:pPr>
            <w:r>
              <w:rPr>
                <w:rFonts w:ascii="Calibri" w:hAnsi="Calibri"/>
                <w:b/>
                <w:bCs/>
              </w:rPr>
              <w:t>结束时间</w:t>
            </w:r>
          </w:p>
        </w:tc>
        <w:tc>
          <w:tcPr>
            <w:tcW w:w="377" w:type="pct"/>
            <w:vAlign w:val="center"/>
          </w:tcPr>
          <w:p>
            <w:pPr>
              <w:jc w:val="center"/>
              <w:rPr>
                <w:rFonts w:ascii="Calibri" w:hAnsi="Calibri"/>
                <w:b/>
                <w:bCs/>
              </w:rPr>
            </w:pPr>
            <w:r>
              <w:rPr>
                <w:rFonts w:ascii="Calibri" w:hAnsi="Calibri"/>
                <w:b/>
                <w:bCs/>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ind w:left="373" w:hanging="373" w:hangingChars="177"/>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555" w:type="pct"/>
          </w:tcPr>
          <w:p>
            <w:pPr>
              <w:jc w:val="center"/>
              <w:rPr>
                <w:rFonts w:ascii="Calibri" w:hAnsi="Calibri"/>
                <w:b/>
                <w:bCs/>
              </w:rPr>
            </w:pPr>
          </w:p>
        </w:tc>
        <w:tc>
          <w:tcPr>
            <w:tcW w:w="556" w:type="pct"/>
          </w:tcPr>
          <w:p>
            <w:pPr>
              <w:jc w:val="center"/>
              <w:rPr>
                <w:rFonts w:ascii="Calibri" w:hAnsi="Calibri"/>
                <w:b/>
                <w:bCs/>
              </w:rPr>
            </w:pPr>
          </w:p>
        </w:tc>
        <w:tc>
          <w:tcPr>
            <w:tcW w:w="615" w:type="pct"/>
          </w:tcPr>
          <w:p>
            <w:pPr>
              <w:jc w:val="center"/>
              <w:rPr>
                <w:rFonts w:ascii="Calibri" w:hAnsi="Calibri"/>
                <w:b/>
                <w:bCs/>
              </w:rPr>
            </w:pPr>
          </w:p>
        </w:tc>
        <w:tc>
          <w:tcPr>
            <w:tcW w:w="762" w:type="pct"/>
          </w:tcPr>
          <w:p>
            <w:pPr>
              <w:jc w:val="center"/>
              <w:rPr>
                <w:rFonts w:ascii="Calibri" w:hAnsi="Calibri"/>
                <w:b/>
                <w:bCs/>
              </w:rPr>
            </w:pPr>
          </w:p>
        </w:tc>
        <w:tc>
          <w:tcPr>
            <w:tcW w:w="509" w:type="pct"/>
          </w:tcPr>
          <w:p>
            <w:pPr>
              <w:jc w:val="center"/>
              <w:rPr>
                <w:rFonts w:ascii="Calibri" w:hAnsi="Calibri"/>
                <w:b/>
                <w:bCs/>
              </w:rPr>
            </w:pPr>
          </w:p>
        </w:tc>
        <w:tc>
          <w:tcPr>
            <w:tcW w:w="457" w:type="pct"/>
          </w:tcPr>
          <w:p>
            <w:pPr>
              <w:jc w:val="center"/>
              <w:rPr>
                <w:rFonts w:ascii="Calibri" w:hAnsi="Calibri"/>
                <w:b/>
                <w:bCs/>
              </w:rPr>
            </w:pPr>
          </w:p>
        </w:tc>
        <w:tc>
          <w:tcPr>
            <w:tcW w:w="609" w:type="pct"/>
          </w:tcPr>
          <w:p>
            <w:pPr>
              <w:jc w:val="center"/>
              <w:rPr>
                <w:rFonts w:ascii="Calibri" w:hAnsi="Calibri"/>
                <w:b/>
                <w:bCs/>
              </w:rPr>
            </w:pPr>
          </w:p>
        </w:tc>
        <w:tc>
          <w:tcPr>
            <w:tcW w:w="560" w:type="pct"/>
          </w:tcPr>
          <w:p>
            <w:pPr>
              <w:jc w:val="center"/>
              <w:rPr>
                <w:rFonts w:ascii="Calibri" w:hAnsi="Calibri"/>
                <w:b/>
                <w:bCs/>
              </w:rPr>
            </w:pPr>
          </w:p>
        </w:tc>
        <w:tc>
          <w:tcPr>
            <w:tcW w:w="377" w:type="pct"/>
          </w:tcPr>
          <w:p>
            <w:pPr>
              <w:jc w:val="center"/>
              <w:rPr>
                <w:rFonts w:ascii="Calibri" w:hAnsi="Calibri"/>
                <w:b/>
                <w:bCs/>
              </w:rPr>
            </w:pPr>
          </w:p>
        </w:tc>
      </w:tr>
    </w:tbl>
    <w:p>
      <w:pPr>
        <w:ind w:left="-630" w:leftChars="-300" w:right="-340" w:rightChars="-162" w:firstLine="632" w:firstLineChars="300"/>
        <w:jc w:val="left"/>
        <w:rPr>
          <w:b/>
          <w:bCs/>
        </w:rPr>
      </w:pPr>
      <w:r>
        <w:rPr>
          <w:b/>
          <w:bCs/>
        </w:rPr>
        <w:t>操作：               记录：                         检查：                            日期：                         第    页/共   页</w:t>
      </w:r>
    </w:p>
    <w:p>
      <w:pPr>
        <w:ind w:left="-630" w:leftChars="-300" w:right="-340" w:rightChars="-162" w:firstLine="570"/>
        <w:jc w:val="left"/>
        <w:rPr>
          <w:b/>
          <w:bCs/>
        </w:rPr>
        <w:sectPr>
          <w:pgSz w:w="16838" w:h="11906" w:orient="landscape"/>
          <w:pgMar w:top="1800" w:right="1440" w:bottom="1800" w:left="1440" w:header="851" w:footer="992" w:gutter="0"/>
          <w:cols w:space="425" w:num="1"/>
          <w:docGrid w:type="lines" w:linePitch="312" w:charSpace="0"/>
        </w:sectPr>
      </w:pPr>
    </w:p>
    <w:p>
      <w:pPr>
        <w:spacing w:after="312" w:afterLines="100"/>
        <w:jc w:val="center"/>
        <w:outlineLvl w:val="0"/>
        <w:rPr>
          <w:color w:val="000000" w:themeColor="text1"/>
          <w:sz w:val="36"/>
          <w:szCs w:val="36"/>
          <w14:textFill>
            <w14:solidFill>
              <w14:schemeClr w14:val="tx1"/>
            </w14:solidFill>
          </w14:textFill>
        </w:rPr>
      </w:pPr>
      <w:bookmarkStart w:id="79" w:name="_Toc81491531"/>
      <w:bookmarkStart w:id="80" w:name="_Toc148468261"/>
      <w:bookmarkStart w:id="81" w:name="_Toc148308935"/>
      <w:r>
        <w:rPr>
          <w:rFonts w:hint="eastAsia"/>
          <w:color w:val="000000" w:themeColor="text1"/>
          <w:sz w:val="36"/>
          <w:szCs w:val="36"/>
          <w14:textFill>
            <w14:solidFill>
              <w14:schemeClr w14:val="tx1"/>
            </w14:solidFill>
          </w14:textFill>
        </w:rPr>
        <w:t>附录</w:t>
      </w:r>
      <w:r>
        <w:rPr>
          <w:color w:val="000000" w:themeColor="text1"/>
          <w:sz w:val="36"/>
          <w:szCs w:val="36"/>
          <w14:textFill>
            <w14:solidFill>
              <w14:schemeClr w14:val="tx1"/>
            </w14:solidFill>
          </w14:textFill>
        </w:rPr>
        <w:t xml:space="preserve">H </w:t>
      </w:r>
      <w:r>
        <w:rPr>
          <w:rFonts w:hint="eastAsia"/>
          <w:color w:val="000000" w:themeColor="text1"/>
          <w:sz w:val="36"/>
          <w:szCs w:val="36"/>
          <w14:textFill>
            <w14:solidFill>
              <w14:schemeClr w14:val="tx1"/>
            </w14:solidFill>
          </w14:textFill>
        </w:rPr>
        <w:t xml:space="preserve"> </w:t>
      </w:r>
      <w:r>
        <w:rPr>
          <w:color w:val="000000" w:themeColor="text1"/>
          <w:sz w:val="36"/>
          <w:szCs w:val="36"/>
          <w14:textFill>
            <w14:solidFill>
              <w14:schemeClr w14:val="tx1"/>
            </w14:solidFill>
          </w14:textFill>
        </w:rPr>
        <w:t>瞬变电磁法现场探测记录单</w:t>
      </w:r>
      <w:bookmarkEnd w:id="79"/>
      <w:bookmarkEnd w:id="80"/>
      <w:bookmarkEnd w:id="81"/>
    </w:p>
    <w:p>
      <w:pPr>
        <w:jc w:val="left"/>
        <w:rPr>
          <w:b/>
          <w:bCs/>
        </w:rPr>
      </w:pPr>
      <w:r>
        <w:rPr>
          <w:b/>
          <w:bCs/>
        </w:rPr>
        <w:t>工程名称：</w:t>
      </w:r>
      <w:r>
        <w:rPr>
          <w:b/>
          <w:bCs/>
          <w:u w:val="single"/>
        </w:rPr>
        <w:t xml:space="preserve">                      </w:t>
      </w:r>
      <w:r>
        <w:rPr>
          <w:b/>
          <w:bCs/>
        </w:rPr>
        <w:t>工程地点：</w:t>
      </w:r>
      <w:r>
        <w:rPr>
          <w:b/>
          <w:bCs/>
          <w:u w:val="single"/>
        </w:rPr>
        <w:t xml:space="preserve">               </w:t>
      </w:r>
      <w:r>
        <w:rPr>
          <w:b/>
          <w:bCs/>
        </w:rPr>
        <w:t>天气：</w:t>
      </w:r>
      <w:r>
        <w:rPr>
          <w:b/>
          <w:bCs/>
          <w:u w:val="single"/>
        </w:rPr>
        <w:t xml:space="preserve">         </w:t>
      </w:r>
      <w:r>
        <w:rPr>
          <w:b/>
          <w:bCs/>
        </w:rPr>
        <w:t>。</w:t>
      </w:r>
    </w:p>
    <w:p>
      <w:pPr>
        <w:jc w:val="left"/>
        <w:rPr>
          <w:b/>
          <w:bCs/>
        </w:rPr>
      </w:pPr>
      <w:r>
        <w:rPr>
          <w:b/>
          <w:bCs/>
        </w:rPr>
        <w:t>发射框边长(m)：</w:t>
      </w:r>
      <w:r>
        <w:rPr>
          <w:b/>
          <w:bCs/>
          <w:u w:val="single"/>
        </w:rPr>
        <w:t xml:space="preserve">        </w:t>
      </w:r>
      <w:r>
        <w:rPr>
          <w:b/>
          <w:bCs/>
        </w:rPr>
        <w:t>发射电流(A):</w:t>
      </w:r>
      <w:r>
        <w:rPr>
          <w:b/>
          <w:bCs/>
          <w:u w:val="single"/>
        </w:rPr>
        <w:t xml:space="preserve">           </w:t>
      </w:r>
      <w:r>
        <w:rPr>
          <w:b/>
          <w:bCs/>
        </w:rPr>
        <w:t>发射频率(Hz)：</w:t>
      </w:r>
      <w:r>
        <w:rPr>
          <w:b/>
          <w:bCs/>
          <w:u w:val="single"/>
        </w:rPr>
        <w:t xml:space="preserve">            </w:t>
      </w:r>
      <w:r>
        <w:rPr>
          <w:b/>
          <w:bCs/>
        </w:rPr>
        <w:t xml:space="preserve">。 </w:t>
      </w:r>
    </w:p>
    <w:p>
      <w:pPr>
        <w:jc w:val="left"/>
        <w:rPr>
          <w:b/>
          <w:bCs/>
        </w:rPr>
      </w:pPr>
      <w:r>
        <w:rPr>
          <w:b/>
          <w:bCs/>
        </w:rPr>
        <w:t>接收框有效面积(m</w:t>
      </w:r>
      <w:r>
        <w:rPr>
          <w:b/>
          <w:bCs/>
          <w:vertAlign w:val="superscript"/>
        </w:rPr>
        <w:t>2</w:t>
      </w:r>
      <w:r>
        <w:rPr>
          <w:b/>
          <w:bCs/>
        </w:rPr>
        <w:t>)：</w:t>
      </w:r>
      <w:r>
        <w:rPr>
          <w:b/>
          <w:bCs/>
          <w:u w:val="single"/>
        </w:rPr>
        <w:t xml:space="preserve">           </w:t>
      </w:r>
      <w:r>
        <w:rPr>
          <w:b/>
          <w:bCs/>
        </w:rPr>
        <w:t>采集分量：</w:t>
      </w:r>
      <w:r>
        <w:rPr>
          <w:b/>
          <w:bCs/>
          <w:u w:val="single"/>
        </w:rPr>
        <w:t xml:space="preserve">         </w:t>
      </w:r>
      <w:r>
        <w:rPr>
          <w:b/>
          <w:bCs/>
        </w:rPr>
        <w:t>工作装置：</w:t>
      </w:r>
      <w:r>
        <w:rPr>
          <w:b/>
          <w:bCs/>
          <w:u w:val="single"/>
        </w:rPr>
        <w:t xml:space="preserve">            。</w:t>
      </w:r>
      <w:r>
        <w:rPr>
          <w:b/>
          <w:bCs/>
        </w:rPr>
        <w:t xml:space="preserve"> </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952"/>
        <w:gridCol w:w="1952"/>
        <w:gridCol w:w="1952"/>
        <w:gridCol w:w="195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7" w:hRule="atLeast"/>
        </w:trPr>
        <w:tc>
          <w:tcPr>
            <w:tcW w:w="1952" w:type="dxa"/>
          </w:tcPr>
          <w:p>
            <w:pPr>
              <w:spacing w:line="240" w:lineRule="auto"/>
              <w:jc w:val="center"/>
              <w:rPr>
                <w:rFonts w:ascii="Calibri" w:hAnsi="Calibri"/>
                <w:b/>
                <w:bCs/>
              </w:rPr>
            </w:pPr>
            <w:r>
              <w:rPr>
                <w:rFonts w:ascii="Calibri" w:hAnsi="Calibri"/>
                <w:b/>
                <w:bCs/>
              </w:rPr>
              <w:t>文件名</w:t>
            </w:r>
          </w:p>
        </w:tc>
        <w:tc>
          <w:tcPr>
            <w:tcW w:w="1952" w:type="dxa"/>
          </w:tcPr>
          <w:p>
            <w:pPr>
              <w:spacing w:line="240" w:lineRule="auto"/>
              <w:jc w:val="center"/>
              <w:rPr>
                <w:rFonts w:ascii="Calibri" w:hAnsi="Calibri"/>
                <w:b/>
                <w:bCs/>
              </w:rPr>
            </w:pPr>
            <w:r>
              <w:rPr>
                <w:rFonts w:ascii="Calibri" w:hAnsi="Calibri"/>
                <w:b/>
                <w:bCs/>
              </w:rPr>
              <w:t>测线号</w:t>
            </w:r>
          </w:p>
        </w:tc>
        <w:tc>
          <w:tcPr>
            <w:tcW w:w="1952" w:type="dxa"/>
          </w:tcPr>
          <w:p>
            <w:pPr>
              <w:spacing w:line="240" w:lineRule="auto"/>
              <w:jc w:val="center"/>
              <w:rPr>
                <w:rFonts w:ascii="Calibri" w:hAnsi="Calibri"/>
                <w:b/>
                <w:bCs/>
              </w:rPr>
            </w:pPr>
            <w:r>
              <w:rPr>
                <w:rFonts w:ascii="Calibri" w:hAnsi="Calibri"/>
                <w:b/>
                <w:bCs/>
              </w:rPr>
              <w:t>测点号</w:t>
            </w:r>
          </w:p>
        </w:tc>
        <w:tc>
          <w:tcPr>
            <w:tcW w:w="1952" w:type="dxa"/>
          </w:tcPr>
          <w:p>
            <w:pPr>
              <w:spacing w:line="240" w:lineRule="auto"/>
              <w:jc w:val="center"/>
              <w:rPr>
                <w:rFonts w:ascii="Calibri" w:hAnsi="Calibri"/>
                <w:b/>
                <w:bCs/>
              </w:rPr>
            </w:pPr>
            <w:r>
              <w:rPr>
                <w:rFonts w:ascii="Calibri" w:hAnsi="Calibri"/>
                <w:b/>
                <w:bCs/>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c>
          <w:tcPr>
            <w:tcW w:w="1952" w:type="dxa"/>
          </w:tcPr>
          <w:p>
            <w:pPr>
              <w:spacing w:before="156" w:beforeLines="50" w:after="156" w:afterLines="50" w:line="240" w:lineRule="auto"/>
              <w:jc w:val="center"/>
              <w:rPr>
                <w:rFonts w:ascii="Calibri" w:hAnsi="Calibri"/>
                <w:b/>
                <w:bCs/>
              </w:rPr>
            </w:pPr>
          </w:p>
        </w:tc>
      </w:tr>
    </w:tbl>
    <w:p>
      <w:pPr>
        <w:jc w:val="left"/>
        <w:rPr>
          <w:b/>
          <w:bCs/>
        </w:rPr>
      </w:pPr>
      <w:r>
        <w:rPr>
          <w:b/>
          <w:bCs/>
        </w:rPr>
        <w:t>操作：        记录：        检查：        日期：         第    页/共    页</w:t>
      </w:r>
    </w:p>
    <w:p>
      <w:pPr>
        <w:widowControl/>
        <w:jc w:val="left"/>
        <w:rPr>
          <w:highlight w:val="yellow"/>
        </w:rPr>
        <w:sectPr>
          <w:pgSz w:w="11906" w:h="16838"/>
          <w:pgMar w:top="1440" w:right="1800" w:bottom="1440" w:left="2268" w:header="851" w:footer="992" w:gutter="0"/>
          <w:cols w:space="425" w:num="1"/>
          <w:docGrid w:type="lines" w:linePitch="312" w:charSpace="0"/>
        </w:sectPr>
      </w:pPr>
      <w:r>
        <w:rPr>
          <w:sz w:val="24"/>
        </w:rPr>
        <w:br w:type="page"/>
      </w:r>
      <w:bookmarkEnd w:id="48"/>
      <w:bookmarkEnd w:id="49"/>
    </w:p>
    <w:p>
      <w:pPr>
        <w:spacing w:after="312" w:afterLines="100"/>
        <w:jc w:val="center"/>
        <w:outlineLvl w:val="0"/>
        <w:rPr>
          <w:sz w:val="36"/>
          <w:szCs w:val="36"/>
        </w:rPr>
      </w:pPr>
      <w:bookmarkStart w:id="82" w:name="_Toc469911189"/>
      <w:bookmarkStart w:id="83" w:name="_Toc148468262"/>
      <w:bookmarkStart w:id="84" w:name="_Toc524103975"/>
      <w:r>
        <w:rPr>
          <w:rFonts w:hint="eastAsia"/>
          <w:sz w:val="36"/>
          <w:szCs w:val="36"/>
        </w:rPr>
        <w:t>本标准用词说明</w:t>
      </w:r>
      <w:bookmarkEnd w:id="82"/>
      <w:bookmarkEnd w:id="83"/>
      <w:bookmarkEnd w:id="84"/>
    </w:p>
    <w:p>
      <w:pPr>
        <w:ind w:firstLine="421" w:firstLineChars="200"/>
        <w:jc w:val="left"/>
      </w:pPr>
      <w:r>
        <w:rPr>
          <w:b/>
        </w:rPr>
        <w:t>1</w:t>
      </w:r>
      <w:r>
        <w:rPr>
          <w:rFonts w:hint="eastAsia"/>
          <w:b/>
        </w:rPr>
        <w:t xml:space="preserve">  </w:t>
      </w:r>
      <w:r>
        <w:t>为便于在执行本规范条文时区别对待，对要求严格程度不同的用词，说明如下：</w:t>
      </w:r>
    </w:p>
    <w:p>
      <w:pPr>
        <w:ind w:firstLine="420" w:firstLineChars="200"/>
        <w:jc w:val="left"/>
      </w:pPr>
      <w:r>
        <w:rPr>
          <w:rFonts w:hint="eastAsia"/>
        </w:rPr>
        <w:t xml:space="preserve">1） </w:t>
      </w:r>
      <w:r>
        <w:t xml:space="preserve"> </w:t>
      </w:r>
      <w:r>
        <w:rPr>
          <w:rFonts w:hint="eastAsia"/>
        </w:rPr>
        <w:t>表示很严格，非这样做不可的：</w:t>
      </w:r>
    </w:p>
    <w:p>
      <w:pPr>
        <w:ind w:firstLine="420" w:firstLineChars="200"/>
        <w:jc w:val="left"/>
      </w:pPr>
      <w:r>
        <w:rPr>
          <w:rFonts w:hint="eastAsia"/>
        </w:rPr>
        <w:t xml:space="preserve">    </w:t>
      </w:r>
      <w:r>
        <w:t xml:space="preserve"> </w:t>
      </w:r>
      <w:r>
        <w:rPr>
          <w:rFonts w:hint="eastAsia"/>
        </w:rPr>
        <w:t>正面词采用“必须”；反面词采用“严禁”。</w:t>
      </w:r>
    </w:p>
    <w:p>
      <w:pPr>
        <w:ind w:firstLine="420" w:firstLineChars="200"/>
        <w:jc w:val="left"/>
      </w:pPr>
      <w:r>
        <w:rPr>
          <w:rFonts w:hint="eastAsia"/>
        </w:rPr>
        <w:t>2）  表示严格，在正常情况下均应这样做的：</w:t>
      </w:r>
    </w:p>
    <w:p>
      <w:pPr>
        <w:ind w:firstLine="420" w:firstLineChars="200"/>
        <w:jc w:val="left"/>
      </w:pPr>
      <w:r>
        <w:rPr>
          <w:rFonts w:hint="eastAsia"/>
        </w:rPr>
        <w:t xml:space="preserve">    </w:t>
      </w:r>
      <w:r>
        <w:t xml:space="preserve"> </w:t>
      </w:r>
      <w:r>
        <w:rPr>
          <w:rFonts w:hint="eastAsia"/>
        </w:rPr>
        <w:t>正面词采用“应”；反面词采用“不应”或“不得”。</w:t>
      </w:r>
    </w:p>
    <w:p>
      <w:pPr>
        <w:ind w:firstLine="420" w:firstLineChars="200"/>
        <w:jc w:val="left"/>
      </w:pPr>
      <w:r>
        <w:rPr>
          <w:rFonts w:hint="eastAsia"/>
        </w:rPr>
        <w:t>3）  表示允许稍有选择，在条件许可时首先应这样做的：</w:t>
      </w:r>
    </w:p>
    <w:p>
      <w:pPr>
        <w:ind w:firstLine="420" w:firstLineChars="200"/>
        <w:jc w:val="left"/>
      </w:pPr>
      <w:r>
        <w:rPr>
          <w:rFonts w:hint="eastAsia"/>
        </w:rPr>
        <w:t xml:space="preserve">    </w:t>
      </w:r>
      <w:r>
        <w:t xml:space="preserve"> </w:t>
      </w:r>
      <w:r>
        <w:rPr>
          <w:rFonts w:hint="eastAsia"/>
        </w:rPr>
        <w:t>正面词采用“宜”；反面词采用“不宜”。</w:t>
      </w:r>
    </w:p>
    <w:p>
      <w:pPr>
        <w:ind w:firstLine="420" w:firstLineChars="200"/>
        <w:jc w:val="left"/>
      </w:pPr>
      <w:r>
        <w:rPr>
          <w:rFonts w:hint="eastAsia"/>
        </w:rPr>
        <w:t>4）  表示有选择，在一定条件下可以这样做的，采用“可”。</w:t>
      </w:r>
    </w:p>
    <w:p>
      <w:pPr>
        <w:ind w:firstLine="421" w:firstLineChars="200"/>
        <w:jc w:val="left"/>
      </w:pPr>
      <w:r>
        <w:rPr>
          <w:b/>
        </w:rPr>
        <w:t xml:space="preserve">2  </w:t>
      </w:r>
      <w:r>
        <w:rPr>
          <w:rFonts w:hint="eastAsia"/>
        </w:rPr>
        <w:t>条文中指定应按其他有关标准、规范执行时，写法为“</w:t>
      </w:r>
      <w:r>
        <w:t>应按……执行</w:t>
      </w:r>
      <w:r>
        <w:rPr>
          <w:rFonts w:hint="eastAsia"/>
        </w:rPr>
        <w:t>”</w:t>
      </w:r>
      <w:r>
        <w:t>或</w:t>
      </w:r>
      <w:r>
        <w:rPr>
          <w:rFonts w:hint="eastAsia"/>
        </w:rPr>
        <w:t>“</w:t>
      </w:r>
      <w:r>
        <w:t>应符合……</w:t>
      </w:r>
      <w:r>
        <w:rPr>
          <w:rFonts w:hint="eastAsia"/>
        </w:rPr>
        <w:t>的规定”</w:t>
      </w:r>
      <w:r>
        <w:t>。</w:t>
      </w:r>
    </w:p>
    <w:p>
      <w:pPr>
        <w:spacing w:before="624" w:beforeLines="200" w:after="312" w:afterLines="100"/>
        <w:jc w:val="center"/>
        <w:outlineLvl w:val="0"/>
        <w:rPr>
          <w:sz w:val="36"/>
          <w:szCs w:val="36"/>
        </w:rPr>
      </w:pPr>
      <w:bookmarkStart w:id="85" w:name="_Toc295743974"/>
      <w:bookmarkStart w:id="86" w:name="_Toc295745297"/>
      <w:bookmarkStart w:id="87" w:name="_Toc295744074"/>
      <w:r>
        <w:rPr>
          <w:sz w:val="36"/>
          <w:szCs w:val="36"/>
          <w:highlight w:val="yellow"/>
        </w:rPr>
        <w:br w:type="page"/>
      </w:r>
      <w:bookmarkStart w:id="88" w:name="_Toc469911190"/>
      <w:bookmarkStart w:id="89" w:name="_Toc148468263"/>
      <w:bookmarkStart w:id="90" w:name="_Toc326729720"/>
      <w:bookmarkStart w:id="91" w:name="_Toc524103976"/>
      <w:r>
        <w:rPr>
          <w:rFonts w:hint="eastAsia"/>
          <w:sz w:val="36"/>
          <w:szCs w:val="36"/>
        </w:rPr>
        <w:t>引用标准名录</w:t>
      </w:r>
      <w:bookmarkEnd w:id="85"/>
      <w:bookmarkEnd w:id="86"/>
      <w:bookmarkEnd w:id="87"/>
      <w:bookmarkEnd w:id="88"/>
      <w:bookmarkEnd w:id="89"/>
      <w:bookmarkEnd w:id="90"/>
      <w:bookmarkEnd w:id="91"/>
    </w:p>
    <w:p>
      <w:pPr>
        <w:ind w:firstLine="420" w:firstLineChars="200"/>
        <w:jc w:val="left"/>
        <w:rPr>
          <w:rFonts w:hint="eastAsia"/>
        </w:rPr>
      </w:pPr>
      <w:r>
        <w:rPr>
          <w:rFonts w:hint="eastAsia"/>
        </w:rPr>
        <w:t>《信息系统安全等级保护基本要求》GB/T 22239</w:t>
      </w:r>
    </w:p>
    <w:p>
      <w:pPr>
        <w:ind w:firstLine="420" w:firstLineChars="200"/>
        <w:jc w:val="left"/>
        <w:rPr>
          <w:rFonts w:hint="eastAsia"/>
        </w:rPr>
      </w:pPr>
      <w:r>
        <w:rPr>
          <w:rFonts w:hint="eastAsia"/>
        </w:rPr>
        <w:t>《多道瞬态面波勘察技术规程》JGJ/T 143</w:t>
      </w:r>
    </w:p>
    <w:p>
      <w:pPr>
        <w:ind w:firstLine="420" w:firstLineChars="200"/>
        <w:jc w:val="left"/>
        <w:rPr>
          <w:rFonts w:hint="eastAsia"/>
        </w:rPr>
      </w:pPr>
      <w:r>
        <w:rPr>
          <w:rFonts w:hint="eastAsia"/>
        </w:rPr>
        <w:t>《城市地下病害体综合探测与风险评估技术标准》JGJ/T 437</w:t>
      </w:r>
    </w:p>
    <w:p>
      <w:pPr>
        <w:ind w:firstLine="420" w:firstLineChars="200"/>
        <w:jc w:val="left"/>
        <w:rPr>
          <w:rFonts w:hint="eastAsia"/>
        </w:rPr>
      </w:pPr>
      <w:r>
        <w:rPr>
          <w:rFonts w:hint="eastAsia"/>
        </w:rPr>
        <w:t>《城市运行管理服务平台数据标准》CJ/T 545</w:t>
      </w:r>
    </w:p>
    <w:p>
      <w:pPr>
        <w:ind w:firstLine="420" w:firstLineChars="200"/>
        <w:jc w:val="left"/>
        <w:rPr>
          <w:rFonts w:hint="eastAsia"/>
        </w:rPr>
      </w:pPr>
      <w:r>
        <w:rPr>
          <w:rFonts w:hint="eastAsia"/>
        </w:rPr>
        <w:t>《城镇排水管道检测与评估技术规程》CJJ 181</w:t>
      </w:r>
    </w:p>
    <w:p>
      <w:pPr>
        <w:ind w:firstLine="420" w:firstLineChars="200"/>
        <w:jc w:val="left"/>
        <w:rPr>
          <w:rFonts w:hint="eastAsia"/>
        </w:rPr>
      </w:pPr>
      <w:r>
        <w:rPr>
          <w:rFonts w:hint="eastAsia"/>
        </w:rPr>
        <w:t>《地面三维激光扫描法作业技术规程》CH/Z 2017</w:t>
      </w:r>
    </w:p>
    <w:p>
      <w:pPr>
        <w:ind w:firstLine="420" w:firstLineChars="200"/>
        <w:jc w:val="left"/>
        <w:rPr>
          <w:rFonts w:hint="eastAsia"/>
        </w:rPr>
      </w:pPr>
      <w:r>
        <w:rPr>
          <w:rFonts w:hint="eastAsia"/>
        </w:rPr>
        <w:t>《城市测量规范》CJJ/T 8</w:t>
      </w:r>
    </w:p>
    <w:p>
      <w:pPr>
        <w:ind w:firstLine="420" w:firstLineChars="200"/>
        <w:jc w:val="left"/>
        <w:rPr>
          <w:rFonts w:hint="eastAsia"/>
        </w:rPr>
      </w:pPr>
      <w:r>
        <w:rPr>
          <w:rFonts w:hint="eastAsia"/>
        </w:rPr>
        <w:t>《建筑地基基础设计规范》DBJ 15-31</w:t>
      </w:r>
    </w:p>
    <w:p>
      <w:pPr>
        <w:ind w:firstLine="420" w:firstLineChars="200"/>
        <w:jc w:val="left"/>
      </w:pPr>
      <w:r>
        <w:rPr>
          <w:rFonts w:hint="eastAsia"/>
        </w:rPr>
        <w:t>《广东省计算机信息系统安全保护条例》</w:t>
      </w:r>
    </w:p>
    <w:p>
      <w:pPr>
        <w:ind w:firstLine="480" w:firstLineChars="200"/>
        <w:jc w:val="left"/>
        <w:rPr>
          <w:b/>
          <w:sz w:val="24"/>
        </w:rPr>
      </w:pPr>
      <w:r>
        <w:rPr>
          <w:sz w:val="24"/>
        </w:rPr>
        <w:br w:type="page"/>
      </w:r>
    </w:p>
    <w:p/>
    <w:p>
      <w:pPr>
        <w:spacing w:before="624" w:beforeLines="200"/>
        <w:jc w:val="center"/>
        <w:rPr>
          <w:sz w:val="36"/>
          <w:szCs w:val="36"/>
        </w:rPr>
      </w:pPr>
      <w:r>
        <w:rPr>
          <w:sz w:val="36"/>
          <w:szCs w:val="36"/>
        </w:rPr>
        <w:t>广东省标准</w:t>
      </w:r>
    </w:p>
    <w:p>
      <w:pPr>
        <w:rPr>
          <w:b/>
          <w:sz w:val="28"/>
          <w:szCs w:val="28"/>
        </w:rPr>
      </w:pPr>
    </w:p>
    <w:p>
      <w:pPr>
        <w:jc w:val="center"/>
        <w:rPr>
          <w:b/>
          <w:sz w:val="44"/>
          <w:szCs w:val="44"/>
        </w:rPr>
      </w:pPr>
      <w:r>
        <w:rPr>
          <w:rFonts w:hint="eastAsia"/>
          <w:b/>
          <w:sz w:val="44"/>
          <w:szCs w:val="44"/>
        </w:rPr>
        <w:t>城市地下病害体探测与风险评估技术</w:t>
      </w:r>
    </w:p>
    <w:p>
      <w:pPr>
        <w:jc w:val="center"/>
        <w:rPr>
          <w:b/>
          <w:sz w:val="44"/>
          <w:szCs w:val="44"/>
        </w:rPr>
      </w:pPr>
      <w:r>
        <w:rPr>
          <w:rFonts w:hint="eastAsia"/>
          <w:b/>
          <w:sz w:val="44"/>
          <w:szCs w:val="44"/>
        </w:rPr>
        <w:t>标准</w:t>
      </w:r>
    </w:p>
    <w:p>
      <w:pPr>
        <w:jc w:val="center"/>
        <w:rPr>
          <w:b/>
          <w:sz w:val="36"/>
          <w:szCs w:val="36"/>
        </w:rPr>
      </w:pPr>
    </w:p>
    <w:p>
      <w:pPr>
        <w:jc w:val="center"/>
        <w:rPr>
          <w:sz w:val="32"/>
          <w:szCs w:val="32"/>
        </w:rPr>
      </w:pPr>
      <w:r>
        <w:rPr>
          <w:sz w:val="32"/>
          <w:szCs w:val="32"/>
        </w:rPr>
        <w:t xml:space="preserve">DBJ/T </w:t>
      </w:r>
      <w:r>
        <w:rPr>
          <w:rFonts w:hint="eastAsia"/>
          <w:sz w:val="32"/>
          <w:szCs w:val="32"/>
        </w:rPr>
        <w:t xml:space="preserve"> </w:t>
      </w:r>
      <w:r>
        <w:rPr>
          <w:rFonts w:hint="eastAsia"/>
          <w:sz w:val="30"/>
          <w:szCs w:val="30"/>
        </w:rPr>
        <w:t>XXX-XXXX</w:t>
      </w:r>
    </w:p>
    <w:p/>
    <w:p>
      <w:pPr>
        <w:jc w:val="center"/>
        <w:outlineLvl w:val="0"/>
        <w:rPr>
          <w:sz w:val="32"/>
          <w:szCs w:val="32"/>
        </w:rPr>
      </w:pPr>
      <w:bookmarkStart w:id="92" w:name="_Toc148468264"/>
      <w:bookmarkStart w:id="93" w:name="_Toc18591592"/>
      <w:r>
        <w:rPr>
          <w:sz w:val="32"/>
          <w:szCs w:val="32"/>
        </w:rPr>
        <w:t>条文说明</w:t>
      </w:r>
      <w:bookmarkEnd w:id="92"/>
      <w:bookmarkEnd w:id="93"/>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both"/>
        <w:rPr>
          <w:sz w:val="32"/>
          <w:szCs w:val="32"/>
        </w:rPr>
      </w:pPr>
    </w:p>
    <w:p>
      <w:pPr>
        <w:widowControl/>
        <w:adjustRightInd w:val="0"/>
        <w:snapToGrid w:val="0"/>
        <w:jc w:val="center"/>
        <w:outlineLvl w:val="0"/>
        <w:rPr>
          <w:b/>
          <w:kern w:val="0"/>
          <w:sz w:val="24"/>
        </w:rPr>
        <w:sectPr>
          <w:footerReference r:id="rId10" w:type="default"/>
          <w:pgSz w:w="11906" w:h="16838"/>
          <w:pgMar w:top="1440" w:right="1797" w:bottom="1440" w:left="1797" w:header="851" w:footer="992" w:gutter="0"/>
          <w:cols w:space="425" w:num="1"/>
          <w:docGrid w:type="lines" w:linePitch="312" w:charSpace="0"/>
        </w:sectPr>
      </w:pPr>
    </w:p>
    <w:p>
      <w:pPr>
        <w:jc w:val="center"/>
        <w:rPr>
          <w:b/>
          <w:bCs/>
          <w:sz w:val="32"/>
          <w:szCs w:val="32"/>
        </w:rPr>
      </w:pPr>
      <w:bookmarkStart w:id="94" w:name="_Toc255188828"/>
      <w:bookmarkStart w:id="95" w:name="_Toc74212677"/>
      <w:r>
        <w:rPr>
          <w:rFonts w:hint="eastAsia"/>
          <w:b/>
          <w:bCs/>
          <w:sz w:val="32"/>
          <w:szCs w:val="32"/>
        </w:rPr>
        <w:t>制订</w:t>
      </w:r>
      <w:r>
        <w:rPr>
          <w:b/>
          <w:bCs/>
          <w:sz w:val="32"/>
          <w:szCs w:val="32"/>
        </w:rPr>
        <w:t>说明</w:t>
      </w:r>
      <w:bookmarkEnd w:id="94"/>
    </w:p>
    <w:p>
      <w:pPr>
        <w:jc w:val="center"/>
        <w:rPr>
          <w:highlight w:val="yellow"/>
        </w:rPr>
      </w:pPr>
    </w:p>
    <w:p>
      <w:pPr>
        <w:ind w:firstLine="420" w:firstLineChars="200"/>
      </w:pPr>
      <w:r>
        <w:t>《</w:t>
      </w:r>
      <w:r>
        <w:rPr>
          <w:rFonts w:hint="eastAsia"/>
        </w:rPr>
        <w:t>城市地下病害体探测与风险评估技术标准</w:t>
      </w:r>
      <w:r>
        <w:t>》DBJ/T XXX-XXXX，经广东省住房和城乡建设厅</w:t>
      </w:r>
      <w:r>
        <w:rPr>
          <w:rFonts w:hint="eastAsia"/>
        </w:rPr>
        <w:t>XX</w:t>
      </w:r>
      <w:r>
        <w:t>年</w:t>
      </w:r>
      <w:r>
        <w:rPr>
          <w:rFonts w:hint="eastAsia"/>
        </w:rPr>
        <w:t>XX</w:t>
      </w:r>
      <w:r>
        <w:t>月</w:t>
      </w:r>
      <w:r>
        <w:rPr>
          <w:rFonts w:hint="eastAsia"/>
        </w:rPr>
        <w:t>XX</w:t>
      </w:r>
      <w:r>
        <w:t>日以第</w:t>
      </w:r>
      <w:r>
        <w:rPr>
          <w:rFonts w:hint="eastAsia"/>
        </w:rPr>
        <w:t>XX</w:t>
      </w:r>
      <w:r>
        <w:t>号公告批准、发布。</w:t>
      </w:r>
    </w:p>
    <w:p>
      <w:pPr>
        <w:ind w:firstLine="420" w:firstLineChars="200"/>
      </w:pPr>
      <w:r>
        <w:t>本</w:t>
      </w:r>
      <w:r>
        <w:rPr>
          <w:rFonts w:hint="eastAsia"/>
        </w:rPr>
        <w:t>标准编制</w:t>
      </w:r>
      <w:r>
        <w:t>过程中，编制组进行了广泛调查研究，认真总结了广东省城市</w:t>
      </w:r>
      <w:r>
        <w:rPr>
          <w:rFonts w:hint="eastAsia"/>
        </w:rPr>
        <w:t>地下病害体探测及风险评估的实践</w:t>
      </w:r>
      <w:r>
        <w:t>经验，广泛征求了有关单位和专家的意见，对主要问题进行了反复讨论与修改。</w:t>
      </w:r>
    </w:p>
    <w:p>
      <w:pPr>
        <w:ind w:firstLine="420" w:firstLineChars="200"/>
      </w:pPr>
      <w:r>
        <w:t>为便于广大设计、施工、科研、学校等单位有关人员在使用本</w:t>
      </w:r>
      <w:r>
        <w:rPr>
          <w:rFonts w:hint="eastAsia"/>
        </w:rPr>
        <w:t>标准</w:t>
      </w:r>
      <w:r>
        <w:t>时能正确理解和执行条文规定，《</w:t>
      </w:r>
      <w:r>
        <w:rPr>
          <w:rFonts w:hint="eastAsia"/>
        </w:rPr>
        <w:t>城市地下病害体探测与风险评估技术标准</w:t>
      </w:r>
      <w:r>
        <w:t>》编制组按章、节、条顺序编制了本</w:t>
      </w:r>
      <w:r>
        <w:rPr>
          <w:rFonts w:hint="eastAsia"/>
        </w:rPr>
        <w:t>标准</w:t>
      </w:r>
      <w:r>
        <w:t>的条文说明，对条文规定的目的、依据以及执行中需注意的有关事项进行了说明。但是，本条文说明不具备与</w:t>
      </w:r>
      <w:r>
        <w:rPr>
          <w:rFonts w:hint="eastAsia"/>
        </w:rPr>
        <w:t>标准</w:t>
      </w:r>
      <w:r>
        <w:t>正文同等的法律效力，仅供使用者作为理解和把握</w:t>
      </w:r>
      <w:r>
        <w:rPr>
          <w:rFonts w:hint="eastAsia"/>
        </w:rPr>
        <w:t>标准</w:t>
      </w:r>
      <w:r>
        <w:t>规定的参考。</w:t>
      </w:r>
    </w:p>
    <w:p>
      <w:pPr>
        <w:widowControl/>
        <w:adjustRightInd w:val="0"/>
        <w:snapToGrid w:val="0"/>
        <w:jc w:val="center"/>
        <w:outlineLvl w:val="0"/>
        <w:rPr>
          <w:b/>
          <w:kern w:val="0"/>
          <w:sz w:val="24"/>
          <w:highlight w:val="yellow"/>
        </w:rPr>
        <w:sectPr>
          <w:footerReference r:id="rId11" w:type="default"/>
          <w:pgSz w:w="11906" w:h="16838"/>
          <w:pgMar w:top="1440" w:right="1800" w:bottom="1440" w:left="2268" w:header="851" w:footer="992" w:gutter="0"/>
          <w:cols w:space="425" w:num="1"/>
          <w:docGrid w:type="lines" w:linePitch="312" w:charSpace="0"/>
        </w:sectPr>
      </w:pPr>
    </w:p>
    <w:p>
      <w:pPr>
        <w:pStyle w:val="24"/>
        <w:spacing w:before="0" w:beforeAutospacing="0" w:after="0" w:afterAutospacing="0" w:line="300" w:lineRule="auto"/>
        <w:jc w:val="center"/>
        <w:rPr>
          <w:rFonts w:ascii="Times New Roman" w:hAnsi="Times New Roman" w:cs="Times New Roman"/>
          <w:b/>
          <w:sz w:val="28"/>
          <w:szCs w:val="28"/>
        </w:rPr>
      </w:pPr>
      <w:r>
        <w:rPr>
          <w:rFonts w:hint="eastAsia" w:ascii="Times New Roman" w:hAnsi="Times New Roman" w:cs="Times New Roman"/>
          <w:b/>
          <w:sz w:val="28"/>
          <w:szCs w:val="28"/>
        </w:rPr>
        <w:t>目    次</w:t>
      </w:r>
      <w:r>
        <w:rPr>
          <w:rFonts w:ascii="Times New Roman" w:hAnsi="Times New Roman"/>
          <w:bCs/>
        </w:rPr>
        <w:fldChar w:fldCharType="begin"/>
      </w:r>
      <w:r>
        <w:rPr>
          <w:rFonts w:ascii="Times New Roman" w:hAnsi="Times New Roman"/>
        </w:rPr>
        <w:instrText xml:space="preserve"> TOC \o "1-2" \h \z \u </w:instrText>
      </w:r>
      <w:r>
        <w:rPr>
          <w:rFonts w:ascii="Times New Roman" w:hAnsi="Times New Roman"/>
          <w:bCs/>
        </w:rPr>
        <w:fldChar w:fldCharType="separate"/>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"_Toc148468265" </w:instrText>
      </w:r>
      <w:r>
        <w:fldChar w:fldCharType="separate"/>
      </w:r>
      <w:r>
        <w:rPr>
          <w:rStyle w:val="32"/>
          <w:rFonts w:ascii="Times New Roman" w:hAnsi="Times New Roman"/>
          <w:kern w:val="0"/>
        </w:rPr>
        <w:t>3  基本规定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_Toc148468265 \h </w:instrText>
      </w:r>
      <w:r>
        <w:rPr>
          <w:rFonts w:ascii="Times New Roman" w:hAnsi="Times New Roman"/>
        </w:rPr>
        <w:fldChar w:fldCharType="separate"/>
      </w:r>
      <w:r>
        <w:rPr>
          <w:rFonts w:ascii="Times New Roman" w:hAnsi="Times New Roman"/>
        </w:rPr>
        <w:t>55</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"_Toc148468266" </w:instrText>
      </w:r>
      <w:r>
        <w:fldChar w:fldCharType="separate"/>
      </w:r>
      <w:r>
        <w:rPr>
          <w:rStyle w:val="32"/>
          <w:rFonts w:ascii="Times New Roman" w:hAnsi="Times New Roman"/>
          <w:kern w:val="0"/>
        </w:rPr>
        <w:t>4  地下病害体分类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_Toc148468266 \h </w:instrText>
      </w:r>
      <w:r>
        <w:rPr>
          <w:rFonts w:ascii="Times New Roman" w:hAnsi="Times New Roman"/>
        </w:rPr>
        <w:fldChar w:fldCharType="separate"/>
      </w:r>
      <w:r>
        <w:rPr>
          <w:rFonts w:ascii="Times New Roman" w:hAnsi="Times New Roman"/>
        </w:rPr>
        <w:t>56</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"_Toc148468267" </w:instrText>
      </w:r>
      <w:r>
        <w:fldChar w:fldCharType="separate"/>
      </w:r>
      <w:r>
        <w:rPr>
          <w:rStyle w:val="32"/>
          <w:rFonts w:ascii="Times New Roman" w:hAnsi="Times New Roman"/>
          <w:kern w:val="0"/>
        </w:rPr>
        <w:t>5  技术准备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_Toc148468267 \h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"_Toc148468268" </w:instrText>
      </w:r>
      <w:r>
        <w:fldChar w:fldCharType="separate"/>
      </w:r>
      <w:r>
        <w:rPr>
          <w:rStyle w:val="32"/>
          <w:rFonts w:ascii="Times New Roman" w:hAnsi="Times New Roman"/>
          <w:kern w:val="0"/>
        </w:rPr>
        <w:t>5.2  资料收集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_Toc148468268 \h </w:instrText>
      </w:r>
      <w:r>
        <w:rPr>
          <w:rFonts w:ascii="Times New Roman" w:hAnsi="Times New Roman"/>
        </w:rPr>
        <w:fldChar w:fldCharType="separate"/>
      </w:r>
      <w:r>
        <w:rPr>
          <w:rFonts w:ascii="Times New Roman" w:hAnsi="Times New Roman"/>
        </w:rPr>
        <w:t>58</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"_Toc148468269" </w:instrText>
      </w:r>
      <w:r>
        <w:fldChar w:fldCharType="separate"/>
      </w:r>
      <w:r>
        <w:rPr>
          <w:rStyle w:val="32"/>
          <w:rFonts w:ascii="Times New Roman" w:hAnsi="Times New Roman"/>
          <w:kern w:val="0"/>
        </w:rPr>
        <w:t>6  地下病害体探测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_Toc148468269 \h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"_Toc148468270" </w:instrText>
      </w:r>
      <w:r>
        <w:fldChar w:fldCharType="separate"/>
      </w:r>
      <w:r>
        <w:rPr>
          <w:rStyle w:val="32"/>
          <w:rFonts w:ascii="Times New Roman" w:hAnsi="Times New Roman"/>
          <w:kern w:val="0"/>
        </w:rPr>
        <w:t>6.1  一般规定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_Toc148468270 \h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"_Toc148468271" </w:instrText>
      </w:r>
      <w:r>
        <w:fldChar w:fldCharType="separate"/>
      </w:r>
      <w:r>
        <w:rPr>
          <w:rStyle w:val="32"/>
          <w:rFonts w:ascii="Times New Roman" w:hAnsi="Times New Roman"/>
          <w:kern w:val="0"/>
        </w:rPr>
        <w:t>6.2  探地雷达法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_Toc148468271 \h </w:instrText>
      </w:r>
      <w:r>
        <w:rPr>
          <w:rFonts w:ascii="Times New Roman" w:hAnsi="Times New Roman"/>
        </w:rPr>
        <w:fldChar w:fldCharType="separate"/>
      </w:r>
      <w:r>
        <w:rPr>
          <w:rFonts w:ascii="Times New Roman" w:hAnsi="Times New Roman"/>
        </w:rPr>
        <w:t>60</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"_Toc148468272" </w:instrText>
      </w:r>
      <w:r>
        <w:fldChar w:fldCharType="separate"/>
      </w:r>
      <w:r>
        <w:rPr>
          <w:rStyle w:val="32"/>
          <w:rFonts w:ascii="Times New Roman" w:hAnsi="Times New Roman"/>
          <w:kern w:val="0"/>
        </w:rPr>
        <w:t>6.3  高密度电阻率法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_Toc148468272 \h </w:instrText>
      </w:r>
      <w:r>
        <w:rPr>
          <w:rFonts w:ascii="Times New Roman" w:hAnsi="Times New Roman"/>
        </w:rPr>
        <w:fldChar w:fldCharType="separate"/>
      </w:r>
      <w:r>
        <w:rPr>
          <w:rFonts w:ascii="Times New Roman" w:hAnsi="Times New Roman"/>
        </w:rPr>
        <w:t>66</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"_Toc148468273" </w:instrText>
      </w:r>
      <w:r>
        <w:fldChar w:fldCharType="separate"/>
      </w:r>
      <w:r>
        <w:rPr>
          <w:rStyle w:val="32"/>
          <w:rFonts w:ascii="Times New Roman" w:hAnsi="Times New Roman"/>
          <w:kern w:val="0"/>
        </w:rPr>
        <w:t>6.4  瞬态面波法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_Toc148468273 \h </w:instrText>
      </w:r>
      <w:r>
        <w:rPr>
          <w:rFonts w:ascii="Times New Roman" w:hAnsi="Times New Roman"/>
        </w:rPr>
        <w:fldChar w:fldCharType="separate"/>
      </w:r>
      <w:r>
        <w:rPr>
          <w:rFonts w:ascii="Times New Roman" w:hAnsi="Times New Roman"/>
        </w:rPr>
        <w:t>67</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"_Toc148468274" </w:instrText>
      </w:r>
      <w:r>
        <w:fldChar w:fldCharType="separate"/>
      </w:r>
      <w:r>
        <w:rPr>
          <w:rStyle w:val="32"/>
          <w:rFonts w:ascii="Times New Roman" w:hAnsi="Times New Roman"/>
          <w:kern w:val="0"/>
        </w:rPr>
        <w:t>6.5  地震映像法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_Toc148468274 \h </w:instrText>
      </w:r>
      <w:r>
        <w:rPr>
          <w:rFonts w:ascii="Times New Roman" w:hAnsi="Times New Roman"/>
        </w:rPr>
        <w:fldChar w:fldCharType="separate"/>
      </w:r>
      <w:r>
        <w:rPr>
          <w:rFonts w:ascii="Times New Roman" w:hAnsi="Times New Roman"/>
        </w:rPr>
        <w:t>68</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"_Toc148468275" </w:instrText>
      </w:r>
      <w:r>
        <w:fldChar w:fldCharType="separate"/>
      </w:r>
      <w:r>
        <w:rPr>
          <w:rStyle w:val="32"/>
          <w:rFonts w:ascii="Times New Roman" w:hAnsi="Times New Roman"/>
          <w:kern w:val="0"/>
        </w:rPr>
        <w:t>6.6  微动勘探法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_Toc148468275 \h </w:instrText>
      </w:r>
      <w:r>
        <w:rPr>
          <w:rFonts w:ascii="Times New Roman" w:hAnsi="Times New Roman"/>
        </w:rPr>
        <w:fldChar w:fldCharType="separate"/>
      </w:r>
      <w:r>
        <w:rPr>
          <w:rFonts w:ascii="Times New Roman" w:hAnsi="Times New Roman"/>
        </w:rPr>
        <w:t>68</w:t>
      </w:r>
      <w:r>
        <w:rPr>
          <w:rFonts w:ascii="Times New Roman" w:hAnsi="Times New Roman"/>
        </w:rPr>
        <w:fldChar w:fldCharType="end"/>
      </w:r>
      <w:r>
        <w:rPr>
          <w:rFonts w:ascii="Times New Roman" w:hAnsi="Times New Roman"/>
        </w:rPr>
        <w:fldChar w:fldCharType="end"/>
      </w:r>
    </w:p>
    <w:p>
      <w:pPr>
        <w:pStyle w:val="21"/>
        <w:tabs>
          <w:tab w:val="right" w:leader="dot" w:pos="7828"/>
        </w:tabs>
        <w:rPr>
          <w:rFonts w:ascii="Times New Roman" w:hAnsi="Times New Roman" w:eastAsiaTheme="minorEastAsia" w:cstheme="minorBidi"/>
          <w:smallCaps w:val="0"/>
          <w:szCs w:val="22"/>
          <w14:ligatures w14:val="standardContextual"/>
        </w:rPr>
      </w:pPr>
      <w:r>
        <w:fldChar w:fldCharType="begin"/>
      </w:r>
      <w:r>
        <w:instrText xml:space="preserve"> HYPERLINK \l "_Toc148468276" </w:instrText>
      </w:r>
      <w:r>
        <w:fldChar w:fldCharType="separate"/>
      </w:r>
      <w:r>
        <w:rPr>
          <w:rStyle w:val="32"/>
          <w:rFonts w:ascii="Times New Roman" w:hAnsi="Times New Roman"/>
          <w:kern w:val="0"/>
        </w:rPr>
        <w:t>6.7  瞬变电磁法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_Toc148468276 \h </w:instrText>
      </w:r>
      <w:r>
        <w:rPr>
          <w:rFonts w:ascii="Times New Roman" w:hAnsi="Times New Roman"/>
        </w:rPr>
        <w:fldChar w:fldCharType="separate"/>
      </w:r>
      <w:r>
        <w:rPr>
          <w:rFonts w:ascii="Times New Roman" w:hAnsi="Times New Roman"/>
        </w:rPr>
        <w:t>69</w:t>
      </w:r>
      <w:r>
        <w:rPr>
          <w:rFonts w:ascii="Times New Roman" w:hAnsi="Times New Roman"/>
        </w:rPr>
        <w:fldChar w:fldCharType="end"/>
      </w:r>
      <w:r>
        <w:rPr>
          <w:rFonts w:ascii="Times New Roman" w:hAnsi="Times New Roman"/>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"_Toc148468277" </w:instrText>
      </w:r>
      <w:r>
        <w:fldChar w:fldCharType="separate"/>
      </w:r>
      <w:r>
        <w:rPr>
          <w:rStyle w:val="32"/>
          <w:rFonts w:ascii="Times New Roman" w:hAnsi="Times New Roman"/>
          <w:kern w:val="0"/>
        </w:rPr>
        <w:t>7  地下病害体验证与成因分析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_Toc148468277 \h </w:instrText>
      </w:r>
      <w:r>
        <w:rPr>
          <w:rFonts w:ascii="Times New Roman" w:hAnsi="Times New Roman"/>
        </w:rPr>
        <w:fldChar w:fldCharType="separate"/>
      </w:r>
      <w:r>
        <w:rPr>
          <w:rFonts w:ascii="Times New Roman" w:hAnsi="Times New Roman"/>
        </w:rPr>
        <w:t>71</w:t>
      </w:r>
      <w:r>
        <w:rPr>
          <w:rFonts w:ascii="Times New Roman" w:hAnsi="Times New Roman"/>
        </w:rPr>
        <w:fldChar w:fldCharType="end"/>
      </w:r>
      <w:r>
        <w:rPr>
          <w:rFonts w:ascii="Times New Roman" w:hAnsi="Times New Roman"/>
        </w:rPr>
        <w:fldChar w:fldCharType="end"/>
      </w:r>
    </w:p>
    <w:p>
      <w:pPr>
        <w:pStyle w:val="21"/>
        <w:tabs>
          <w:tab w:val="right" w:leader="dot" w:pos="7828"/>
        </w:tabs>
        <w:rPr>
          <w:rStyle w:val="32"/>
          <w:rFonts w:ascii="Times New Roman" w:hAnsi="Times New Roman"/>
          <w:kern w:val="0"/>
        </w:rPr>
      </w:pPr>
      <w:r>
        <w:fldChar w:fldCharType="begin"/>
      </w:r>
      <w:r>
        <w:instrText xml:space="preserve"> HYPERLINK \l "_Toc148468278" </w:instrText>
      </w:r>
      <w:r>
        <w:fldChar w:fldCharType="separate"/>
      </w:r>
      <w:r>
        <w:rPr>
          <w:rStyle w:val="32"/>
          <w:rFonts w:ascii="Times New Roman" w:hAnsi="Times New Roman"/>
          <w:kern w:val="0"/>
        </w:rPr>
        <w:t>7.1  地下病害体验证</w:t>
      </w:r>
      <w:r>
        <w:rPr>
          <w:rStyle w:val="32"/>
          <w:rFonts w:ascii="Times New Roman" w:hAnsi="Times New Roman"/>
          <w:kern w:val="0"/>
        </w:rPr>
        <w:tab/>
      </w:r>
      <w:r>
        <w:rPr>
          <w:rStyle w:val="32"/>
          <w:rFonts w:ascii="Times New Roman" w:hAnsi="Times New Roman"/>
          <w:kern w:val="0"/>
        </w:rPr>
        <w:fldChar w:fldCharType="begin"/>
      </w:r>
      <w:r>
        <w:rPr>
          <w:rStyle w:val="32"/>
          <w:rFonts w:ascii="Times New Roman" w:hAnsi="Times New Roman"/>
          <w:kern w:val="0"/>
        </w:rPr>
        <w:instrText xml:space="preserve"> PAGEREF _Toc148468278 \h </w:instrText>
      </w:r>
      <w:r>
        <w:rPr>
          <w:rStyle w:val="32"/>
          <w:rFonts w:ascii="Times New Roman" w:hAnsi="Times New Roman"/>
          <w:kern w:val="0"/>
        </w:rPr>
        <w:fldChar w:fldCharType="separate"/>
      </w:r>
      <w:r>
        <w:rPr>
          <w:rStyle w:val="32"/>
          <w:rFonts w:ascii="Times New Roman" w:hAnsi="Times New Roman"/>
          <w:kern w:val="0"/>
        </w:rPr>
        <w:t>71</w:t>
      </w:r>
      <w:r>
        <w:rPr>
          <w:rStyle w:val="32"/>
          <w:rFonts w:ascii="Times New Roman" w:hAnsi="Times New Roman"/>
          <w:kern w:val="0"/>
        </w:rPr>
        <w:fldChar w:fldCharType="end"/>
      </w:r>
      <w:r>
        <w:rPr>
          <w:rStyle w:val="32"/>
          <w:rFonts w:ascii="Times New Roman" w:hAnsi="Times New Roman"/>
          <w:kern w:val="0"/>
        </w:rPr>
        <w:fldChar w:fldCharType="end"/>
      </w:r>
    </w:p>
    <w:p>
      <w:pPr>
        <w:pStyle w:val="21"/>
        <w:tabs>
          <w:tab w:val="right" w:leader="dot" w:pos="7828"/>
        </w:tabs>
        <w:rPr>
          <w:rStyle w:val="32"/>
          <w:rFonts w:ascii="Times New Roman" w:hAnsi="Times New Roman"/>
          <w:kern w:val="0"/>
        </w:rPr>
      </w:pPr>
      <w:r>
        <w:fldChar w:fldCharType="begin"/>
      </w:r>
      <w:r>
        <w:instrText xml:space="preserve"> HYPERLINK \l "_Toc148468279" </w:instrText>
      </w:r>
      <w:r>
        <w:fldChar w:fldCharType="separate"/>
      </w:r>
      <w:r>
        <w:rPr>
          <w:rStyle w:val="32"/>
          <w:rFonts w:ascii="Times New Roman" w:hAnsi="Times New Roman"/>
          <w:kern w:val="0"/>
        </w:rPr>
        <w:t>7.2  地下病害体成因分析</w:t>
      </w:r>
      <w:r>
        <w:rPr>
          <w:rStyle w:val="32"/>
          <w:rFonts w:ascii="Times New Roman" w:hAnsi="Times New Roman"/>
          <w:kern w:val="0"/>
        </w:rPr>
        <w:tab/>
      </w:r>
      <w:r>
        <w:rPr>
          <w:rStyle w:val="32"/>
          <w:rFonts w:ascii="Times New Roman" w:hAnsi="Times New Roman"/>
          <w:kern w:val="0"/>
        </w:rPr>
        <w:fldChar w:fldCharType="begin"/>
      </w:r>
      <w:r>
        <w:rPr>
          <w:rStyle w:val="32"/>
          <w:rFonts w:ascii="Times New Roman" w:hAnsi="Times New Roman"/>
          <w:kern w:val="0"/>
        </w:rPr>
        <w:instrText xml:space="preserve"> PAGEREF _Toc148468279 \h </w:instrText>
      </w:r>
      <w:r>
        <w:rPr>
          <w:rStyle w:val="32"/>
          <w:rFonts w:ascii="Times New Roman" w:hAnsi="Times New Roman"/>
          <w:kern w:val="0"/>
        </w:rPr>
        <w:fldChar w:fldCharType="separate"/>
      </w:r>
      <w:r>
        <w:rPr>
          <w:rStyle w:val="32"/>
          <w:rFonts w:ascii="Times New Roman" w:hAnsi="Times New Roman"/>
          <w:kern w:val="0"/>
        </w:rPr>
        <w:t>71</w:t>
      </w:r>
      <w:r>
        <w:rPr>
          <w:rStyle w:val="32"/>
          <w:rFonts w:ascii="Times New Roman" w:hAnsi="Times New Roman"/>
          <w:kern w:val="0"/>
        </w:rPr>
        <w:fldChar w:fldCharType="end"/>
      </w:r>
      <w:r>
        <w:rPr>
          <w:rStyle w:val="32"/>
          <w:rFonts w:ascii="Times New Roman" w:hAnsi="Times New Roman"/>
          <w:kern w:val="0"/>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"_Toc148468280" </w:instrText>
      </w:r>
      <w:r>
        <w:fldChar w:fldCharType="separate"/>
      </w:r>
      <w:r>
        <w:rPr>
          <w:rStyle w:val="32"/>
          <w:rFonts w:ascii="Times New Roman" w:hAnsi="Times New Roman"/>
          <w:kern w:val="0"/>
        </w:rPr>
        <w:t>8  地下病害体风险评估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_Toc148468280 \h </w:instrText>
      </w:r>
      <w:r>
        <w:rPr>
          <w:rFonts w:ascii="Times New Roman" w:hAnsi="Times New Roman"/>
        </w:rPr>
        <w:fldChar w:fldCharType="separate"/>
      </w:r>
      <w:r>
        <w:rPr>
          <w:rFonts w:ascii="Times New Roman" w:hAnsi="Times New Roman"/>
        </w:rPr>
        <w:t>73</w:t>
      </w:r>
      <w:r>
        <w:rPr>
          <w:rFonts w:ascii="Times New Roman" w:hAnsi="Times New Roman"/>
        </w:rPr>
        <w:fldChar w:fldCharType="end"/>
      </w:r>
      <w:r>
        <w:rPr>
          <w:rFonts w:ascii="Times New Roman" w:hAnsi="Times New Roman"/>
        </w:rPr>
        <w:fldChar w:fldCharType="end"/>
      </w:r>
    </w:p>
    <w:p>
      <w:pPr>
        <w:pStyle w:val="21"/>
        <w:tabs>
          <w:tab w:val="right" w:leader="dot" w:pos="7828"/>
        </w:tabs>
        <w:rPr>
          <w:rStyle w:val="32"/>
          <w:rFonts w:ascii="Times New Roman" w:hAnsi="Times New Roman"/>
          <w:kern w:val="0"/>
        </w:rPr>
      </w:pPr>
      <w:r>
        <w:fldChar w:fldCharType="begin"/>
      </w:r>
      <w:r>
        <w:instrText xml:space="preserve"> HYPERLINK \l "_Toc148468281" </w:instrText>
      </w:r>
      <w:r>
        <w:fldChar w:fldCharType="separate"/>
      </w:r>
      <w:r>
        <w:rPr>
          <w:rStyle w:val="32"/>
          <w:rFonts w:ascii="Times New Roman" w:hAnsi="Times New Roman"/>
          <w:kern w:val="0"/>
        </w:rPr>
        <w:t>8.1  一般规定</w:t>
      </w:r>
      <w:r>
        <w:rPr>
          <w:rStyle w:val="32"/>
          <w:rFonts w:ascii="Times New Roman" w:hAnsi="Times New Roman"/>
          <w:kern w:val="0"/>
        </w:rPr>
        <w:tab/>
      </w:r>
      <w:r>
        <w:rPr>
          <w:rStyle w:val="32"/>
          <w:rFonts w:ascii="Times New Roman" w:hAnsi="Times New Roman"/>
          <w:kern w:val="0"/>
        </w:rPr>
        <w:fldChar w:fldCharType="begin"/>
      </w:r>
      <w:r>
        <w:rPr>
          <w:rStyle w:val="32"/>
          <w:rFonts w:ascii="Times New Roman" w:hAnsi="Times New Roman"/>
          <w:kern w:val="0"/>
        </w:rPr>
        <w:instrText xml:space="preserve"> PAGEREF _Toc148468281 \h </w:instrText>
      </w:r>
      <w:r>
        <w:rPr>
          <w:rStyle w:val="32"/>
          <w:rFonts w:ascii="Times New Roman" w:hAnsi="Times New Roman"/>
          <w:kern w:val="0"/>
        </w:rPr>
        <w:fldChar w:fldCharType="separate"/>
      </w:r>
      <w:r>
        <w:rPr>
          <w:rStyle w:val="32"/>
          <w:rFonts w:ascii="Times New Roman" w:hAnsi="Times New Roman"/>
          <w:kern w:val="0"/>
        </w:rPr>
        <w:t>73</w:t>
      </w:r>
      <w:r>
        <w:rPr>
          <w:rStyle w:val="32"/>
          <w:rFonts w:ascii="Times New Roman" w:hAnsi="Times New Roman"/>
          <w:kern w:val="0"/>
        </w:rPr>
        <w:fldChar w:fldCharType="end"/>
      </w:r>
      <w:r>
        <w:rPr>
          <w:rStyle w:val="32"/>
          <w:rFonts w:ascii="Times New Roman" w:hAnsi="Times New Roman"/>
          <w:kern w:val="0"/>
        </w:rPr>
        <w:fldChar w:fldCharType="end"/>
      </w:r>
    </w:p>
    <w:p>
      <w:pPr>
        <w:pStyle w:val="21"/>
        <w:tabs>
          <w:tab w:val="right" w:leader="dot" w:pos="7828"/>
        </w:tabs>
        <w:rPr>
          <w:rStyle w:val="32"/>
          <w:rFonts w:ascii="Times New Roman" w:hAnsi="Times New Roman"/>
          <w:kern w:val="0"/>
        </w:rPr>
      </w:pPr>
      <w:r>
        <w:fldChar w:fldCharType="begin"/>
      </w:r>
      <w:r>
        <w:instrText xml:space="preserve"> HYPERLINK \l "_Toc148468282" </w:instrText>
      </w:r>
      <w:r>
        <w:fldChar w:fldCharType="separate"/>
      </w:r>
      <w:r>
        <w:rPr>
          <w:rStyle w:val="32"/>
          <w:rFonts w:ascii="Times New Roman" w:hAnsi="Times New Roman"/>
          <w:kern w:val="0"/>
        </w:rPr>
        <w:t>8.2  风险因素调查</w:t>
      </w:r>
      <w:r>
        <w:rPr>
          <w:rStyle w:val="32"/>
          <w:rFonts w:ascii="Times New Roman" w:hAnsi="Times New Roman"/>
          <w:kern w:val="0"/>
        </w:rPr>
        <w:tab/>
      </w:r>
      <w:r>
        <w:rPr>
          <w:rStyle w:val="32"/>
          <w:rFonts w:ascii="Times New Roman" w:hAnsi="Times New Roman"/>
          <w:kern w:val="0"/>
        </w:rPr>
        <w:fldChar w:fldCharType="begin"/>
      </w:r>
      <w:r>
        <w:rPr>
          <w:rStyle w:val="32"/>
          <w:rFonts w:ascii="Times New Roman" w:hAnsi="Times New Roman"/>
          <w:kern w:val="0"/>
        </w:rPr>
        <w:instrText xml:space="preserve"> PAGEREF _Toc148468282 \h </w:instrText>
      </w:r>
      <w:r>
        <w:rPr>
          <w:rStyle w:val="32"/>
          <w:rFonts w:ascii="Times New Roman" w:hAnsi="Times New Roman"/>
          <w:kern w:val="0"/>
        </w:rPr>
        <w:fldChar w:fldCharType="separate"/>
      </w:r>
      <w:r>
        <w:rPr>
          <w:rStyle w:val="32"/>
          <w:rFonts w:ascii="Times New Roman" w:hAnsi="Times New Roman"/>
          <w:kern w:val="0"/>
        </w:rPr>
        <w:t>73</w:t>
      </w:r>
      <w:r>
        <w:rPr>
          <w:rStyle w:val="32"/>
          <w:rFonts w:ascii="Times New Roman" w:hAnsi="Times New Roman"/>
          <w:kern w:val="0"/>
        </w:rPr>
        <w:fldChar w:fldCharType="end"/>
      </w:r>
      <w:r>
        <w:rPr>
          <w:rStyle w:val="32"/>
          <w:rFonts w:ascii="Times New Roman" w:hAnsi="Times New Roman"/>
          <w:kern w:val="0"/>
        </w:rPr>
        <w:fldChar w:fldCharType="end"/>
      </w:r>
    </w:p>
    <w:p>
      <w:pPr>
        <w:pStyle w:val="21"/>
        <w:tabs>
          <w:tab w:val="right" w:leader="dot" w:pos="7828"/>
        </w:tabs>
        <w:rPr>
          <w:rStyle w:val="32"/>
          <w:rFonts w:ascii="Times New Roman" w:hAnsi="Times New Roman"/>
          <w:kern w:val="0"/>
        </w:rPr>
      </w:pPr>
      <w:r>
        <w:fldChar w:fldCharType="begin"/>
      </w:r>
      <w:r>
        <w:instrText xml:space="preserve"> HYPERLINK \l "_Toc148468283" </w:instrText>
      </w:r>
      <w:r>
        <w:fldChar w:fldCharType="separate"/>
      </w:r>
      <w:r>
        <w:rPr>
          <w:rStyle w:val="32"/>
          <w:rFonts w:ascii="Times New Roman" w:hAnsi="Times New Roman"/>
          <w:kern w:val="0"/>
        </w:rPr>
        <w:t>8.3  风险发生可能性评价</w:t>
      </w:r>
      <w:r>
        <w:rPr>
          <w:rStyle w:val="32"/>
          <w:rFonts w:ascii="Times New Roman" w:hAnsi="Times New Roman"/>
          <w:kern w:val="0"/>
        </w:rPr>
        <w:tab/>
      </w:r>
      <w:r>
        <w:rPr>
          <w:rStyle w:val="32"/>
          <w:rFonts w:ascii="Times New Roman" w:hAnsi="Times New Roman"/>
          <w:kern w:val="0"/>
        </w:rPr>
        <w:fldChar w:fldCharType="begin"/>
      </w:r>
      <w:r>
        <w:rPr>
          <w:rStyle w:val="32"/>
          <w:rFonts w:ascii="Times New Roman" w:hAnsi="Times New Roman"/>
          <w:kern w:val="0"/>
        </w:rPr>
        <w:instrText xml:space="preserve"> PAGEREF _Toc148468283 \h </w:instrText>
      </w:r>
      <w:r>
        <w:rPr>
          <w:rStyle w:val="32"/>
          <w:rFonts w:ascii="Times New Roman" w:hAnsi="Times New Roman"/>
          <w:kern w:val="0"/>
        </w:rPr>
        <w:fldChar w:fldCharType="separate"/>
      </w:r>
      <w:r>
        <w:rPr>
          <w:rStyle w:val="32"/>
          <w:rFonts w:ascii="Times New Roman" w:hAnsi="Times New Roman"/>
          <w:kern w:val="0"/>
        </w:rPr>
        <w:t>74</w:t>
      </w:r>
      <w:r>
        <w:rPr>
          <w:rStyle w:val="32"/>
          <w:rFonts w:ascii="Times New Roman" w:hAnsi="Times New Roman"/>
          <w:kern w:val="0"/>
        </w:rPr>
        <w:fldChar w:fldCharType="end"/>
      </w:r>
      <w:r>
        <w:rPr>
          <w:rStyle w:val="32"/>
          <w:rFonts w:ascii="Times New Roman" w:hAnsi="Times New Roman"/>
          <w:kern w:val="0"/>
        </w:rPr>
        <w:fldChar w:fldCharType="end"/>
      </w:r>
    </w:p>
    <w:p>
      <w:pPr>
        <w:pStyle w:val="21"/>
        <w:tabs>
          <w:tab w:val="right" w:leader="dot" w:pos="7828"/>
        </w:tabs>
        <w:rPr>
          <w:rStyle w:val="32"/>
          <w:rFonts w:ascii="Times New Roman" w:hAnsi="Times New Roman"/>
          <w:kern w:val="0"/>
        </w:rPr>
      </w:pPr>
      <w:r>
        <w:fldChar w:fldCharType="begin"/>
      </w:r>
      <w:r>
        <w:instrText xml:space="preserve"> HYPERLINK \l "_Toc148468284" </w:instrText>
      </w:r>
      <w:r>
        <w:fldChar w:fldCharType="separate"/>
      </w:r>
      <w:r>
        <w:rPr>
          <w:rStyle w:val="32"/>
          <w:rFonts w:ascii="Times New Roman" w:hAnsi="Times New Roman"/>
          <w:kern w:val="0"/>
        </w:rPr>
        <w:t>8.5  风险等级划分与控制对策</w:t>
      </w:r>
      <w:r>
        <w:rPr>
          <w:rStyle w:val="32"/>
          <w:rFonts w:ascii="Times New Roman" w:hAnsi="Times New Roman"/>
          <w:kern w:val="0"/>
        </w:rPr>
        <w:tab/>
      </w:r>
      <w:r>
        <w:rPr>
          <w:rStyle w:val="32"/>
          <w:rFonts w:ascii="Times New Roman" w:hAnsi="Times New Roman"/>
          <w:kern w:val="0"/>
        </w:rPr>
        <w:fldChar w:fldCharType="begin"/>
      </w:r>
      <w:r>
        <w:rPr>
          <w:rStyle w:val="32"/>
          <w:rFonts w:ascii="Times New Roman" w:hAnsi="Times New Roman"/>
          <w:kern w:val="0"/>
        </w:rPr>
        <w:instrText xml:space="preserve"> PAGEREF _Toc148468284 \h </w:instrText>
      </w:r>
      <w:r>
        <w:rPr>
          <w:rStyle w:val="32"/>
          <w:rFonts w:ascii="Times New Roman" w:hAnsi="Times New Roman"/>
          <w:kern w:val="0"/>
        </w:rPr>
        <w:fldChar w:fldCharType="separate"/>
      </w:r>
      <w:r>
        <w:rPr>
          <w:rStyle w:val="32"/>
          <w:rFonts w:ascii="Times New Roman" w:hAnsi="Times New Roman"/>
          <w:kern w:val="0"/>
        </w:rPr>
        <w:t>75</w:t>
      </w:r>
      <w:r>
        <w:rPr>
          <w:rStyle w:val="32"/>
          <w:rFonts w:ascii="Times New Roman" w:hAnsi="Times New Roman"/>
          <w:kern w:val="0"/>
        </w:rPr>
        <w:fldChar w:fldCharType="end"/>
      </w:r>
      <w:r>
        <w:rPr>
          <w:rStyle w:val="32"/>
          <w:rFonts w:ascii="Times New Roman" w:hAnsi="Times New Roman"/>
          <w:kern w:val="0"/>
        </w:rPr>
        <w:fldChar w:fldCharType="end"/>
      </w:r>
    </w:p>
    <w:p>
      <w:pPr>
        <w:pStyle w:val="3"/>
        <w:tabs>
          <w:tab w:val="right" w:leader="dot" w:pos="7828"/>
        </w:tabs>
        <w:rPr>
          <w:rFonts w:ascii="Times New Roman" w:hAnsi="Times New Roman" w:eastAsiaTheme="minorEastAsia" w:cstheme="minorBidi"/>
          <w:b w:val="0"/>
          <w:bCs w:val="0"/>
          <w:caps w:val="0"/>
          <w:sz w:val="21"/>
          <w:szCs w:val="22"/>
          <w14:ligatures w14:val="standardContextual"/>
        </w:rPr>
      </w:pPr>
      <w:r>
        <w:fldChar w:fldCharType="begin"/>
      </w:r>
      <w:r>
        <w:instrText xml:space="preserve"> HYPERLINK \l "_Toc148468285" </w:instrText>
      </w:r>
      <w:r>
        <w:fldChar w:fldCharType="separate"/>
      </w:r>
      <w:r>
        <w:rPr>
          <w:rStyle w:val="32"/>
          <w:rFonts w:ascii="Times New Roman" w:hAnsi="Times New Roman"/>
          <w:kern w:val="0"/>
        </w:rPr>
        <w:t>9  成果编制与信息化管理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_Toc148468285 \h </w:instrText>
      </w:r>
      <w:r>
        <w:rPr>
          <w:rFonts w:ascii="Times New Roman" w:hAnsi="Times New Roman"/>
        </w:rPr>
        <w:fldChar w:fldCharType="separate"/>
      </w:r>
      <w:r>
        <w:rPr>
          <w:rFonts w:ascii="Times New Roman" w:hAnsi="Times New Roman"/>
        </w:rPr>
        <w:t>82</w:t>
      </w:r>
      <w:r>
        <w:rPr>
          <w:rFonts w:ascii="Times New Roman" w:hAnsi="Times New Roman"/>
        </w:rPr>
        <w:fldChar w:fldCharType="end"/>
      </w:r>
      <w:r>
        <w:rPr>
          <w:rFonts w:ascii="Times New Roman" w:hAnsi="Times New Roman"/>
        </w:rPr>
        <w:fldChar w:fldCharType="end"/>
      </w:r>
    </w:p>
    <w:p>
      <w:pPr>
        <w:pStyle w:val="21"/>
        <w:tabs>
          <w:tab w:val="right" w:leader="dot" w:pos="7828"/>
        </w:tabs>
        <w:rPr>
          <w:rStyle w:val="32"/>
          <w:rFonts w:ascii="Times New Roman" w:hAnsi="Times New Roman"/>
          <w:kern w:val="0"/>
        </w:rPr>
      </w:pPr>
      <w:r>
        <w:fldChar w:fldCharType="begin"/>
      </w:r>
      <w:r>
        <w:instrText xml:space="preserve"> HYPERLINK \l "_Toc148468286" </w:instrText>
      </w:r>
      <w:r>
        <w:fldChar w:fldCharType="separate"/>
      </w:r>
      <w:r>
        <w:rPr>
          <w:rStyle w:val="32"/>
          <w:rFonts w:ascii="Times New Roman" w:hAnsi="Times New Roman"/>
          <w:kern w:val="0"/>
        </w:rPr>
        <w:t>9.2  成果编制</w:t>
      </w:r>
      <w:r>
        <w:rPr>
          <w:rStyle w:val="32"/>
          <w:rFonts w:ascii="Times New Roman" w:hAnsi="Times New Roman"/>
          <w:kern w:val="0"/>
        </w:rPr>
        <w:tab/>
      </w:r>
      <w:r>
        <w:rPr>
          <w:rStyle w:val="32"/>
          <w:rFonts w:ascii="Times New Roman" w:hAnsi="Times New Roman"/>
          <w:kern w:val="0"/>
        </w:rPr>
        <w:fldChar w:fldCharType="begin"/>
      </w:r>
      <w:r>
        <w:rPr>
          <w:rStyle w:val="32"/>
          <w:rFonts w:ascii="Times New Roman" w:hAnsi="Times New Roman"/>
          <w:kern w:val="0"/>
        </w:rPr>
        <w:instrText xml:space="preserve"> PAGEREF _Toc148468286 \h </w:instrText>
      </w:r>
      <w:r>
        <w:rPr>
          <w:rStyle w:val="32"/>
          <w:rFonts w:ascii="Times New Roman" w:hAnsi="Times New Roman"/>
          <w:kern w:val="0"/>
        </w:rPr>
        <w:fldChar w:fldCharType="separate"/>
      </w:r>
      <w:r>
        <w:rPr>
          <w:rStyle w:val="32"/>
          <w:rFonts w:ascii="Times New Roman" w:hAnsi="Times New Roman"/>
          <w:kern w:val="0"/>
        </w:rPr>
        <w:t>82</w:t>
      </w:r>
      <w:r>
        <w:rPr>
          <w:rStyle w:val="32"/>
          <w:rFonts w:ascii="Times New Roman" w:hAnsi="Times New Roman"/>
          <w:kern w:val="0"/>
        </w:rPr>
        <w:fldChar w:fldCharType="end"/>
      </w:r>
      <w:r>
        <w:rPr>
          <w:rStyle w:val="32"/>
          <w:rFonts w:ascii="Times New Roman" w:hAnsi="Times New Roman"/>
          <w:kern w:val="0"/>
        </w:rPr>
        <w:fldChar w:fldCharType="end"/>
      </w:r>
    </w:p>
    <w:p>
      <w:pPr>
        <w:pStyle w:val="21"/>
        <w:tabs>
          <w:tab w:val="right" w:leader="dot" w:pos="7828"/>
        </w:tabs>
        <w:rPr>
          <w:rStyle w:val="32"/>
          <w:rFonts w:ascii="Times New Roman" w:hAnsi="Times New Roman"/>
          <w:kern w:val="0"/>
        </w:rPr>
      </w:pPr>
      <w:r>
        <w:fldChar w:fldCharType="begin"/>
      </w:r>
      <w:r>
        <w:instrText xml:space="preserve"> HYPERLINK \l "_Toc148468287" </w:instrText>
      </w:r>
      <w:r>
        <w:fldChar w:fldCharType="separate"/>
      </w:r>
      <w:r>
        <w:rPr>
          <w:rStyle w:val="32"/>
          <w:rFonts w:ascii="Times New Roman" w:hAnsi="Times New Roman"/>
          <w:kern w:val="0"/>
        </w:rPr>
        <w:t>9.3  信息化管理</w:t>
      </w:r>
      <w:r>
        <w:rPr>
          <w:rStyle w:val="32"/>
          <w:rFonts w:ascii="Times New Roman" w:hAnsi="Times New Roman"/>
          <w:kern w:val="0"/>
        </w:rPr>
        <w:tab/>
      </w:r>
      <w:r>
        <w:rPr>
          <w:rStyle w:val="32"/>
          <w:rFonts w:ascii="Times New Roman" w:hAnsi="Times New Roman"/>
          <w:kern w:val="0"/>
        </w:rPr>
        <w:fldChar w:fldCharType="begin"/>
      </w:r>
      <w:r>
        <w:rPr>
          <w:rStyle w:val="32"/>
          <w:rFonts w:ascii="Times New Roman" w:hAnsi="Times New Roman"/>
          <w:kern w:val="0"/>
        </w:rPr>
        <w:instrText xml:space="preserve"> PAGEREF _Toc148468287 \h </w:instrText>
      </w:r>
      <w:r>
        <w:rPr>
          <w:rStyle w:val="32"/>
          <w:rFonts w:ascii="Times New Roman" w:hAnsi="Times New Roman"/>
          <w:kern w:val="0"/>
        </w:rPr>
        <w:fldChar w:fldCharType="separate"/>
      </w:r>
      <w:r>
        <w:rPr>
          <w:rStyle w:val="32"/>
          <w:rFonts w:ascii="Times New Roman" w:hAnsi="Times New Roman"/>
          <w:kern w:val="0"/>
        </w:rPr>
        <w:t>82</w:t>
      </w:r>
      <w:r>
        <w:rPr>
          <w:rStyle w:val="32"/>
          <w:rFonts w:ascii="Times New Roman" w:hAnsi="Times New Roman"/>
          <w:kern w:val="0"/>
        </w:rPr>
        <w:fldChar w:fldCharType="end"/>
      </w:r>
      <w:r>
        <w:rPr>
          <w:rStyle w:val="32"/>
          <w:rFonts w:ascii="Times New Roman" w:hAnsi="Times New Roman"/>
          <w:kern w:val="0"/>
        </w:rPr>
        <w:fldChar w:fldCharType="end"/>
      </w:r>
    </w:p>
    <w:p>
      <w:pPr>
        <w:pStyle w:val="76"/>
        <w:rPr>
          <w:highlight w:val="yellow"/>
        </w:rPr>
      </w:pPr>
      <w:r>
        <w:rPr>
          <w:b/>
          <w:caps/>
          <w:sz w:val="20"/>
          <w:szCs w:val="20"/>
        </w:rPr>
        <w:fldChar w:fldCharType="end"/>
      </w:r>
    </w:p>
    <w:p>
      <w:pPr>
        <w:pStyle w:val="76"/>
        <w:rPr>
          <w:highlight w:val="yellow"/>
        </w:rPr>
      </w:pPr>
    </w:p>
    <w:p>
      <w:pPr>
        <w:widowControl/>
        <w:adjustRightInd w:val="0"/>
        <w:snapToGrid w:val="0"/>
        <w:jc w:val="center"/>
        <w:outlineLvl w:val="0"/>
        <w:rPr>
          <w:b/>
          <w:kern w:val="0"/>
          <w:sz w:val="24"/>
          <w:highlight w:val="yellow"/>
        </w:rPr>
        <w:sectPr>
          <w:pgSz w:w="11906" w:h="16838"/>
          <w:pgMar w:top="1440" w:right="1800" w:bottom="1440" w:left="2268" w:header="851" w:footer="992" w:gutter="0"/>
          <w:cols w:space="425" w:num="1"/>
          <w:docGrid w:type="lines" w:linePitch="312" w:charSpace="0"/>
        </w:sectPr>
      </w:pPr>
    </w:p>
    <w:bookmarkEnd w:id="95"/>
    <w:p>
      <w:pPr>
        <w:widowControl/>
        <w:adjustRightInd w:val="0"/>
        <w:snapToGrid w:val="0"/>
        <w:jc w:val="center"/>
        <w:outlineLvl w:val="0"/>
        <w:rPr>
          <w:b/>
          <w:kern w:val="0"/>
          <w:sz w:val="24"/>
        </w:rPr>
      </w:pPr>
      <w:bookmarkStart w:id="96" w:name="_Toc103169274"/>
      <w:bookmarkStart w:id="97" w:name="_Toc148468265"/>
      <w:r>
        <w:rPr>
          <w:rFonts w:hint="eastAsia"/>
          <w:b/>
          <w:kern w:val="0"/>
          <w:sz w:val="24"/>
        </w:rPr>
        <w:t xml:space="preserve">3  </w:t>
      </w:r>
      <w:bookmarkEnd w:id="96"/>
      <w:r>
        <w:rPr>
          <w:rFonts w:hint="eastAsia"/>
          <w:b/>
          <w:kern w:val="0"/>
          <w:sz w:val="24"/>
        </w:rPr>
        <w:t>基本规定</w:t>
      </w:r>
      <w:bookmarkEnd w:id="97"/>
    </w:p>
    <w:p>
      <w:pPr>
        <w:autoSpaceDE w:val="0"/>
        <w:autoSpaceDN w:val="0"/>
        <w:adjustRightInd w:val="0"/>
        <w:snapToGrid w:val="0"/>
        <w:jc w:val="left"/>
      </w:pPr>
      <w:r>
        <w:t xml:space="preserve">3.0.3  </w:t>
      </w:r>
      <w:r>
        <w:rPr>
          <w:rFonts w:hint="eastAsia"/>
        </w:rPr>
        <w:t>城市道路地下病害体的形成和发展具有动态变化和随机性等特征，因此在城市道路日常养护管理中进行定期检测十分有必要，有利于提前消除安全隐患，降低地面道路塌陷的发生率。但是由于受财政经费等影响，对于每年进行全面探测相对困难，相关部门可根据实际情况合理安全探测周期，确保道路使用安全。</w:t>
      </w:r>
    </w:p>
    <w:p>
      <w:pPr>
        <w:autoSpaceDE w:val="0"/>
        <w:autoSpaceDN w:val="0"/>
        <w:adjustRightInd w:val="0"/>
        <w:snapToGrid w:val="0"/>
        <w:jc w:val="left"/>
      </w:pPr>
      <w:r>
        <w:t xml:space="preserve">3.0.4  </w:t>
      </w:r>
      <w:r>
        <w:rPr>
          <w:rFonts w:hint="eastAsia"/>
        </w:rPr>
        <w:t>本条规定了专项探测的区域及时间。</w:t>
      </w:r>
    </w:p>
    <w:p>
      <w:pPr>
        <w:autoSpaceDE w:val="0"/>
        <w:autoSpaceDN w:val="0"/>
        <w:adjustRightInd w:val="0"/>
        <w:snapToGrid w:val="0"/>
        <w:ind w:firstLine="420" w:firstLineChars="200"/>
        <w:jc w:val="left"/>
      </w:pPr>
      <w:r>
        <w:t xml:space="preserve">1 </w:t>
      </w:r>
      <w:r>
        <w:rPr>
          <w:rFonts w:hint="eastAsia"/>
        </w:rPr>
        <w:t>城市重大活动是指外事活动、全国性及国际体育赛事、全国性庆典等规模较大活动。</w:t>
      </w:r>
    </w:p>
    <w:p>
      <w:pPr>
        <w:autoSpaceDE w:val="0"/>
        <w:autoSpaceDN w:val="0"/>
        <w:adjustRightInd w:val="0"/>
        <w:snapToGrid w:val="0"/>
        <w:ind w:firstLine="420" w:firstLineChars="200"/>
        <w:jc w:val="left"/>
      </w:pPr>
      <w:r>
        <w:rPr>
          <w:rFonts w:hint="eastAsia"/>
        </w:rPr>
        <w:t>3</w:t>
      </w:r>
      <w:r>
        <w:t xml:space="preserve"> </w:t>
      </w:r>
      <w:r>
        <w:rPr>
          <w:rFonts w:hint="eastAsia"/>
        </w:rPr>
        <w:t>一定时间是指工程竣工或施工后一个月内。地下工程施工，对土体的扰动是引发地下病害体产生、发展的重要因素之一，为了进一步预防地面塌陷的发生，宜在地下工程施工前、竣工后进行探测工作；对于地铁等施工工期长的地下工程项目，宜根据工程进度在施工过程中进行检测。</w:t>
      </w:r>
    </w:p>
    <w:p>
      <w:pPr>
        <w:autoSpaceDE w:val="0"/>
        <w:autoSpaceDN w:val="0"/>
        <w:adjustRightInd w:val="0"/>
        <w:snapToGrid w:val="0"/>
        <w:jc w:val="left"/>
      </w:pPr>
      <w:r>
        <w:rPr>
          <w:rFonts w:hint="eastAsia"/>
        </w:rPr>
        <w:t>3</w:t>
      </w:r>
      <w:r>
        <w:t xml:space="preserve">.0.12  </w:t>
      </w:r>
      <w:r>
        <w:rPr>
          <w:rFonts w:hint="eastAsia"/>
        </w:rPr>
        <w:t>数据采集过程中要应注重数据质量的检查，应满足《城市地下病害体综合探测与风险评估技术标准》（JGJ/T437）的相关规定。城市地下病害体探测主要采用探地雷达，数据质量检查内容包括检查观测的图像应与原始雷达图像的位置与形态对应；观测数据与原始数据保持一致；探测数据的信噪比应满足数据处理、解释的需要；现场记录的信息应完整、与数据保持一致。</w:t>
      </w:r>
    </w:p>
    <w:p>
      <w:pPr>
        <w:autoSpaceDE w:val="0"/>
        <w:autoSpaceDN w:val="0"/>
        <w:adjustRightInd w:val="0"/>
        <w:snapToGrid w:val="0"/>
        <w:jc w:val="left"/>
      </w:pPr>
    </w:p>
    <w:p>
      <w:pPr>
        <w:widowControl/>
        <w:adjustRightInd w:val="0"/>
        <w:snapToGrid w:val="0"/>
        <w:outlineLvl w:val="0"/>
        <w:rPr>
          <w:b/>
          <w:kern w:val="0"/>
          <w:sz w:val="24"/>
          <w:highlight w:val="yellow"/>
        </w:rPr>
        <w:sectPr>
          <w:pgSz w:w="11906" w:h="16838"/>
          <w:pgMar w:top="1440" w:right="1800" w:bottom="1440" w:left="2268" w:header="851" w:footer="992" w:gutter="0"/>
          <w:cols w:space="425" w:num="1"/>
          <w:docGrid w:type="lines" w:linePitch="312" w:charSpace="0"/>
        </w:sectPr>
      </w:pPr>
    </w:p>
    <w:p>
      <w:pPr>
        <w:widowControl/>
        <w:adjustRightInd w:val="0"/>
        <w:snapToGrid w:val="0"/>
        <w:jc w:val="center"/>
        <w:outlineLvl w:val="0"/>
        <w:rPr>
          <w:b/>
          <w:kern w:val="0"/>
          <w:sz w:val="24"/>
        </w:rPr>
      </w:pPr>
      <w:bookmarkStart w:id="98" w:name="_Toc103169278"/>
      <w:bookmarkStart w:id="99" w:name="_Toc148468266"/>
      <w:r>
        <w:rPr>
          <w:b/>
          <w:kern w:val="0"/>
          <w:sz w:val="24"/>
        </w:rPr>
        <w:t xml:space="preserve">4  </w:t>
      </w:r>
      <w:bookmarkEnd w:id="98"/>
      <w:r>
        <w:rPr>
          <w:rFonts w:hint="eastAsia"/>
          <w:b/>
          <w:kern w:val="0"/>
          <w:sz w:val="24"/>
        </w:rPr>
        <w:t>地下病害体分类</w:t>
      </w:r>
      <w:bookmarkEnd w:id="99"/>
    </w:p>
    <w:p>
      <w:pPr>
        <w:autoSpaceDE w:val="0"/>
        <w:autoSpaceDN w:val="0"/>
        <w:adjustRightInd w:val="0"/>
        <w:snapToGrid w:val="0"/>
        <w:jc w:val="left"/>
      </w:pPr>
      <w:r>
        <w:t xml:space="preserve">4.0.2 </w:t>
      </w:r>
      <w:r>
        <w:rPr>
          <w:rFonts w:hint="eastAsia"/>
        </w:rPr>
        <w:t xml:space="preserve"> 砂土密实度等级、粉土孔隙比等级、黏性土状态等级宜根据《岩土工程勘察规范》（GB 50021-2001，2009年版）相关规定执行：</w:t>
      </w:r>
    </w:p>
    <w:p>
      <w:pPr>
        <w:autoSpaceDE w:val="0"/>
        <w:autoSpaceDN w:val="0"/>
        <w:adjustRightInd w:val="0"/>
        <w:snapToGrid w:val="0"/>
        <w:ind w:firstLine="420" w:firstLineChars="200"/>
        <w:jc w:val="left"/>
      </w:pPr>
      <w:r>
        <w:t>砂土密实度等级宜按下表</w:t>
      </w:r>
      <w:r>
        <w:rPr>
          <w:rFonts w:hint="eastAsia"/>
        </w:rPr>
        <w:t>4</w:t>
      </w:r>
      <w:r>
        <w:t>-1进行划分。</w:t>
      </w:r>
    </w:p>
    <w:p>
      <w:pPr>
        <w:autoSpaceDE w:val="0"/>
        <w:autoSpaceDN w:val="0"/>
        <w:adjustRightInd w:val="0"/>
        <w:snapToGrid w:val="0"/>
        <w:jc w:val="center"/>
        <w:rPr>
          <w:b/>
        </w:rPr>
      </w:pPr>
      <w:r>
        <w:rPr>
          <w:rFonts w:hint="eastAsia"/>
          <w:b/>
        </w:rPr>
        <w:t>表4</w:t>
      </w:r>
      <w:r>
        <w:rPr>
          <w:b/>
        </w:rPr>
        <w:t>-</w:t>
      </w:r>
      <w:r>
        <w:rPr>
          <w:rFonts w:hint="eastAsia"/>
          <w:b/>
        </w:rPr>
        <w:t>1</w:t>
      </w:r>
      <w:r>
        <w:rPr>
          <w:b/>
        </w:rPr>
        <w:t xml:space="preserve">  </w:t>
      </w:r>
      <w:r>
        <w:rPr>
          <w:rFonts w:hint="eastAsia"/>
          <w:b/>
        </w:rPr>
        <w:t>砂土密实度分类</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952"/>
        <w:gridCol w:w="1952"/>
        <w:gridCol w:w="1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标准贯入锤击数N</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密实度</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标准贯入锤击数N</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密实度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N</w:t>
            </w:r>
            <w:r>
              <w:rPr>
                <w:rFonts w:hint="eastAsia"/>
                <w:sz w:val="18"/>
                <w:szCs w:val="18"/>
              </w:rPr>
              <w:t>≦</w:t>
            </w:r>
            <w:r>
              <w:rPr>
                <w:rFonts w:ascii="Times New Roman" w:hAnsi="Times New Roman" w:cs="Times New Roman"/>
                <w:sz w:val="18"/>
                <w:szCs w:val="18"/>
              </w:rPr>
              <w:t>10</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松散</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15&lt;N</w:t>
            </w:r>
            <w:r>
              <w:rPr>
                <w:rFonts w:hint="eastAsia"/>
                <w:sz w:val="18"/>
                <w:szCs w:val="18"/>
              </w:rPr>
              <w:t>≦</w:t>
            </w:r>
            <w:r>
              <w:rPr>
                <w:rFonts w:ascii="Times New Roman" w:hAnsi="Times New Roman" w:cs="Times New Roman"/>
                <w:sz w:val="18"/>
                <w:szCs w:val="18"/>
              </w:rPr>
              <w:t>30</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中密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10&lt;N</w:t>
            </w:r>
            <w:r>
              <w:rPr>
                <w:rFonts w:hint="eastAsia"/>
                <w:sz w:val="18"/>
                <w:szCs w:val="18"/>
              </w:rPr>
              <w:t>≦</w:t>
            </w:r>
            <w:r>
              <w:rPr>
                <w:rFonts w:ascii="Times New Roman" w:hAnsi="Times New Roman" w:cs="Times New Roman"/>
                <w:sz w:val="18"/>
                <w:szCs w:val="18"/>
              </w:rPr>
              <w:t>15</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稍密</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N&gt;30</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密实</w:t>
            </w:r>
          </w:p>
        </w:tc>
      </w:tr>
    </w:tbl>
    <w:p>
      <w:pPr>
        <w:autoSpaceDE w:val="0"/>
        <w:autoSpaceDN w:val="0"/>
        <w:adjustRightInd w:val="0"/>
        <w:snapToGrid w:val="0"/>
        <w:spacing w:before="240"/>
        <w:ind w:firstLine="420" w:firstLineChars="200"/>
        <w:jc w:val="left"/>
      </w:pPr>
      <w:r>
        <w:rPr>
          <w:rFonts w:hint="eastAsia"/>
        </w:rPr>
        <w:t>粉土孔隙比宜按下表4</w:t>
      </w:r>
      <w:r>
        <w:t>-</w:t>
      </w:r>
      <w:r>
        <w:rPr>
          <w:rFonts w:hint="eastAsia"/>
        </w:rPr>
        <w:t>2进行划分，孔隙比较大一般指稍密或松散。</w:t>
      </w:r>
    </w:p>
    <w:p>
      <w:pPr>
        <w:autoSpaceDE w:val="0"/>
        <w:autoSpaceDN w:val="0"/>
        <w:adjustRightInd w:val="0"/>
        <w:snapToGrid w:val="0"/>
        <w:jc w:val="center"/>
        <w:rPr>
          <w:b/>
        </w:rPr>
      </w:pPr>
      <w:r>
        <w:rPr>
          <w:rFonts w:hint="eastAsia"/>
          <w:b/>
        </w:rPr>
        <w:t>表4</w:t>
      </w:r>
      <w:r>
        <w:rPr>
          <w:b/>
        </w:rPr>
        <w:t xml:space="preserve">-2  </w:t>
      </w:r>
      <w:r>
        <w:rPr>
          <w:rFonts w:hint="eastAsia"/>
          <w:b/>
        </w:rPr>
        <w:t>粉土密实度分类</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04"/>
        <w:gridCol w:w="3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孔隙比e</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密实度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e＜0.75</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ascii="Times New Roman" w:hAnsi="Times New Roman" w:cs="Times New Roman"/>
                <w:sz w:val="18"/>
                <w:szCs w:val="18"/>
              </w:rPr>
              <w:t>密实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sz w:val="18"/>
                <w:szCs w:val="18"/>
              </w:rPr>
              <w:t>.75</w:t>
            </w:r>
            <w:r>
              <w:rPr>
                <w:rFonts w:hint="eastAsia"/>
                <w:sz w:val="18"/>
                <w:szCs w:val="18"/>
              </w:rPr>
              <w:t>≦e≦0</w:t>
            </w:r>
            <w:r>
              <w:rPr>
                <w:sz w:val="18"/>
                <w:szCs w:val="18"/>
              </w:rPr>
              <w:t>.90</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中密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e＞0</w:t>
            </w:r>
            <w:r>
              <w:rPr>
                <w:rFonts w:ascii="Times New Roman" w:hAnsi="Times New Roman" w:cs="Times New Roman"/>
                <w:sz w:val="18"/>
                <w:szCs w:val="18"/>
              </w:rPr>
              <w:t>.9</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稍密</w:t>
            </w:r>
          </w:p>
        </w:tc>
      </w:tr>
    </w:tbl>
    <w:p>
      <w:pPr>
        <w:autoSpaceDE w:val="0"/>
        <w:autoSpaceDN w:val="0"/>
        <w:adjustRightInd w:val="0"/>
        <w:snapToGrid w:val="0"/>
        <w:spacing w:before="240"/>
        <w:ind w:firstLine="420" w:firstLineChars="200"/>
        <w:jc w:val="left"/>
      </w:pPr>
      <w:r>
        <w:rPr>
          <w:rFonts w:hint="eastAsia"/>
        </w:rPr>
        <w:t>黏性土状态等级可按下表4</w:t>
      </w:r>
      <w:r>
        <w:t>-</w:t>
      </w:r>
      <w:r>
        <w:rPr>
          <w:rFonts w:hint="eastAsia"/>
        </w:rPr>
        <w:t>3进行划分。</w:t>
      </w:r>
    </w:p>
    <w:p>
      <w:pPr>
        <w:autoSpaceDE w:val="0"/>
        <w:autoSpaceDN w:val="0"/>
        <w:adjustRightInd w:val="0"/>
        <w:snapToGrid w:val="0"/>
        <w:jc w:val="center"/>
        <w:rPr>
          <w:b/>
        </w:rPr>
      </w:pPr>
      <w:r>
        <w:rPr>
          <w:rFonts w:hint="eastAsia"/>
          <w:b/>
        </w:rPr>
        <w:t>表4</w:t>
      </w:r>
      <w:r>
        <w:rPr>
          <w:b/>
        </w:rPr>
        <w:t xml:space="preserve">-3  </w:t>
      </w:r>
      <w:r>
        <w:rPr>
          <w:rFonts w:hint="eastAsia"/>
          <w:b/>
        </w:rPr>
        <w:t>黏性土状态分类</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952"/>
        <w:gridCol w:w="1952"/>
        <w:gridCol w:w="1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液性指数</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状态</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液性指数</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I</w:t>
            </w:r>
            <w:r>
              <w:rPr>
                <w:rFonts w:ascii="Times New Roman" w:hAnsi="Times New Roman" w:cs="Times New Roman"/>
                <w:sz w:val="18"/>
                <w:szCs w:val="18"/>
                <w:vertAlign w:val="subscript"/>
              </w:rPr>
              <w:t>L</w:t>
            </w:r>
            <w:r>
              <w:rPr>
                <w:rFonts w:hint="eastAsia" w:ascii="Times New Roman" w:hAnsi="Times New Roman" w:cs="Times New Roman"/>
                <w:sz w:val="18"/>
                <w:szCs w:val="18"/>
              </w:rPr>
              <w:t>≦10</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坚硬</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0.75&lt;I</w:t>
            </w:r>
            <w:r>
              <w:rPr>
                <w:rFonts w:hint="eastAsia" w:ascii="Times New Roman" w:hAnsi="Times New Roman" w:cs="Times New Roman"/>
                <w:sz w:val="18"/>
                <w:szCs w:val="18"/>
                <w:vertAlign w:val="subscript"/>
              </w:rPr>
              <w:t>L</w:t>
            </w:r>
            <w:r>
              <w:rPr>
                <w:rFonts w:hint="eastAsia" w:ascii="Times New Roman" w:hAnsi="Times New Roman" w:cs="Times New Roman"/>
                <w:sz w:val="18"/>
                <w:szCs w:val="18"/>
              </w:rPr>
              <w:t>≦1</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软塑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0&lt;I</w:t>
            </w:r>
            <w:r>
              <w:rPr>
                <w:rFonts w:hint="eastAsia" w:ascii="Times New Roman" w:hAnsi="Times New Roman" w:cs="Times New Roman"/>
                <w:sz w:val="18"/>
                <w:szCs w:val="18"/>
                <w:vertAlign w:val="subscript"/>
              </w:rPr>
              <w:t>L</w:t>
            </w:r>
            <w:r>
              <w:rPr>
                <w:rFonts w:hint="eastAsia" w:ascii="Times New Roman" w:hAnsi="Times New Roman" w:cs="Times New Roman"/>
                <w:sz w:val="18"/>
                <w:szCs w:val="18"/>
              </w:rPr>
              <w:t>≦0.25</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硬塑</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I</w:t>
            </w:r>
            <w:r>
              <w:rPr>
                <w:rFonts w:hint="eastAsia" w:ascii="Times New Roman" w:hAnsi="Times New Roman" w:cs="Times New Roman"/>
                <w:sz w:val="18"/>
                <w:szCs w:val="18"/>
                <w:vertAlign w:val="subscript"/>
              </w:rPr>
              <w:t>L</w:t>
            </w:r>
            <w:r>
              <w:rPr>
                <w:rFonts w:ascii="Times New Roman" w:hAnsi="Times New Roman" w:cs="Times New Roman"/>
                <w:sz w:val="18"/>
                <w:szCs w:val="18"/>
              </w:rPr>
              <w:t>&gt;1</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流塑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0.25&lt;I</w:t>
            </w:r>
            <w:r>
              <w:rPr>
                <w:rFonts w:hint="eastAsia" w:ascii="Times New Roman" w:hAnsi="Times New Roman" w:cs="Times New Roman"/>
                <w:sz w:val="18"/>
                <w:szCs w:val="18"/>
                <w:vertAlign w:val="subscript"/>
              </w:rPr>
              <w:t>L</w:t>
            </w:r>
            <w:r>
              <w:rPr>
                <w:rFonts w:hint="eastAsia" w:ascii="Times New Roman" w:hAnsi="Times New Roman" w:cs="Times New Roman"/>
                <w:sz w:val="18"/>
                <w:szCs w:val="18"/>
              </w:rPr>
              <w:t>≦0.75</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可塑</w:t>
            </w: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p>
        </w:tc>
        <w:tc>
          <w:tcPr>
            <w:tcW w:w="1952" w:type="dxa"/>
          </w:tcPr>
          <w:p>
            <w:pPr>
              <w:pStyle w:val="74"/>
              <w:spacing w:before="0" w:beforeAutospacing="0" w:after="0" w:afterAutospacing="0" w:line="360" w:lineRule="auto"/>
              <w:jc w:val="center"/>
              <w:rPr>
                <w:rFonts w:ascii="Times New Roman" w:hAnsi="Times New Roman" w:cs="Times New Roman"/>
                <w:sz w:val="18"/>
                <w:szCs w:val="18"/>
              </w:rPr>
            </w:pPr>
          </w:p>
        </w:tc>
      </w:tr>
    </w:tbl>
    <w:p>
      <w:pPr>
        <w:autoSpaceDE w:val="0"/>
        <w:autoSpaceDN w:val="0"/>
        <w:adjustRightInd w:val="0"/>
        <w:snapToGrid w:val="0"/>
        <w:spacing w:before="240"/>
        <w:ind w:firstLine="420" w:firstLineChars="200"/>
        <w:jc w:val="left"/>
      </w:pPr>
      <w:r>
        <w:rPr>
          <w:rFonts w:hint="eastAsia"/>
        </w:rPr>
        <w:t>黏性土状态、土的压缩性等级、黏性土的灵敏度等级宜根据《广东省建筑地基基础设计规范》（DBJ 15-31-2016）相关规定执行：</w:t>
      </w:r>
    </w:p>
    <w:p>
      <w:pPr>
        <w:autoSpaceDE w:val="0"/>
        <w:autoSpaceDN w:val="0"/>
        <w:adjustRightInd w:val="0"/>
        <w:snapToGrid w:val="0"/>
        <w:ind w:firstLine="420" w:firstLineChars="200"/>
        <w:jc w:val="left"/>
      </w:pPr>
      <w:r>
        <w:rPr>
          <w:rFonts w:hint="eastAsia"/>
        </w:rPr>
        <w:t>黏性土状态可根据实测标准贯入击数进行划分，如表4</w:t>
      </w:r>
      <w:r>
        <w:t>-</w:t>
      </w:r>
      <w:r>
        <w:rPr>
          <w:rFonts w:hint="eastAsia"/>
        </w:rPr>
        <w:t>4所示。</w:t>
      </w:r>
    </w:p>
    <w:p>
      <w:pPr>
        <w:autoSpaceDE w:val="0"/>
        <w:autoSpaceDN w:val="0"/>
        <w:adjustRightInd w:val="0"/>
        <w:snapToGrid w:val="0"/>
        <w:jc w:val="center"/>
        <w:rPr>
          <w:b/>
        </w:rPr>
      </w:pPr>
      <w:r>
        <w:rPr>
          <w:rFonts w:hint="eastAsia"/>
          <w:b/>
        </w:rPr>
        <w:t>表4</w:t>
      </w:r>
      <w:r>
        <w:rPr>
          <w:b/>
        </w:rPr>
        <w:t xml:space="preserve">-4  </w:t>
      </w:r>
      <w:r>
        <w:rPr>
          <w:rFonts w:hint="eastAsia"/>
          <w:b/>
        </w:rPr>
        <w:t>黏性土的状态</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04"/>
        <w:gridCol w:w="3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bookmarkStart w:id="100" w:name="_Hlk148479752"/>
            <w:r>
              <w:rPr>
                <w:rFonts w:hint="eastAsia" w:ascii="Times New Roman" w:hAnsi="Times New Roman" w:cs="Times New Roman"/>
                <w:sz w:val="18"/>
                <w:szCs w:val="18"/>
              </w:rPr>
              <w:t>实测标准贯入试验锤击数N</w:t>
            </w:r>
            <w:r>
              <w:rPr>
                <w:rFonts w:ascii="Times New Roman" w:hAnsi="Times New Roman" w:cs="Times New Roman"/>
                <w:sz w:val="18"/>
                <w:szCs w:val="18"/>
              </w:rPr>
              <w:t>’</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N</w:t>
            </w:r>
            <w:r>
              <w:rPr>
                <w:rFonts w:ascii="Times New Roman" w:hAnsi="Times New Roman" w:cs="Times New Roman"/>
                <w:sz w:val="18"/>
                <w:szCs w:val="18"/>
              </w:rPr>
              <w:t>’</w:t>
            </w:r>
            <w:r>
              <w:rPr>
                <w:rFonts w:hint="eastAsia" w:ascii="Times New Roman" w:hAnsi="Times New Roman" w:cs="Times New Roman"/>
                <w:sz w:val="18"/>
                <w:szCs w:val="18"/>
              </w:rPr>
              <w:t>≦3</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流塑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3&lt;N</w:t>
            </w:r>
            <w:r>
              <w:rPr>
                <w:rFonts w:ascii="Times New Roman" w:hAnsi="Times New Roman" w:cs="Times New Roman"/>
                <w:sz w:val="18"/>
                <w:szCs w:val="18"/>
              </w:rPr>
              <w:t>’</w:t>
            </w:r>
            <w:r>
              <w:rPr>
                <w:rFonts w:hint="eastAsia" w:ascii="Times New Roman" w:hAnsi="Times New Roman" w:cs="Times New Roman"/>
                <w:sz w:val="18"/>
                <w:szCs w:val="18"/>
              </w:rPr>
              <w:t>≦5</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软塑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5&lt;N</w:t>
            </w:r>
            <w:r>
              <w:rPr>
                <w:rFonts w:ascii="Times New Roman" w:hAnsi="Times New Roman" w:cs="Times New Roman"/>
                <w:sz w:val="18"/>
                <w:szCs w:val="18"/>
              </w:rPr>
              <w:t>’</w:t>
            </w:r>
            <w:r>
              <w:rPr>
                <w:rFonts w:hint="eastAsia" w:ascii="Times New Roman" w:hAnsi="Times New Roman" w:cs="Times New Roman"/>
                <w:sz w:val="18"/>
                <w:szCs w:val="18"/>
              </w:rPr>
              <w:t>≦10</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软可塑</w:t>
            </w:r>
          </w:p>
        </w:tc>
      </w:tr>
      <w:bookmarkEnd w:id="100"/>
    </w:tbl>
    <w:p>
      <w:pPr>
        <w:autoSpaceDE w:val="0"/>
        <w:autoSpaceDN w:val="0"/>
        <w:adjustRightInd w:val="0"/>
        <w:snapToGrid w:val="0"/>
        <w:spacing w:before="240"/>
        <w:jc w:val="center"/>
        <w:rPr>
          <w:bCs/>
        </w:rPr>
      </w:pPr>
      <w:r>
        <w:rPr>
          <w:rFonts w:hint="eastAsia"/>
          <w:bCs/>
        </w:rPr>
        <w:t>续表4</w:t>
      </w:r>
      <w:r>
        <w:rPr>
          <w:bCs/>
        </w:rPr>
        <w:t>-4</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04"/>
        <w:gridCol w:w="3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实测标准贯入试验锤击数N</w:t>
            </w:r>
            <w:r>
              <w:rPr>
                <w:rFonts w:ascii="Times New Roman" w:hAnsi="Times New Roman" w:cs="Times New Roman"/>
                <w:sz w:val="18"/>
                <w:szCs w:val="18"/>
              </w:rPr>
              <w:t>’</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10&lt;N</w:t>
            </w:r>
            <w:r>
              <w:rPr>
                <w:rFonts w:ascii="Times New Roman" w:hAnsi="Times New Roman" w:cs="Times New Roman"/>
                <w:sz w:val="18"/>
                <w:szCs w:val="18"/>
              </w:rPr>
              <w:t>’</w:t>
            </w:r>
            <w:r>
              <w:rPr>
                <w:rFonts w:hint="eastAsia" w:ascii="Times New Roman" w:hAnsi="Times New Roman" w:cs="Times New Roman"/>
                <w:sz w:val="18"/>
                <w:szCs w:val="18"/>
              </w:rPr>
              <w:t>≦15</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硬可塑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15&lt;N</w:t>
            </w:r>
            <w:r>
              <w:rPr>
                <w:rFonts w:ascii="Times New Roman" w:hAnsi="Times New Roman" w:cs="Times New Roman"/>
                <w:sz w:val="18"/>
                <w:szCs w:val="18"/>
              </w:rPr>
              <w:t>’</w:t>
            </w:r>
            <w:r>
              <w:rPr>
                <w:rFonts w:hint="eastAsia" w:ascii="Times New Roman" w:hAnsi="Times New Roman" w:cs="Times New Roman"/>
                <w:sz w:val="18"/>
                <w:szCs w:val="18"/>
              </w:rPr>
              <w:t>≦20</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硬塑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N</w:t>
            </w:r>
            <w:r>
              <w:rPr>
                <w:rFonts w:ascii="Times New Roman" w:hAnsi="Times New Roman" w:cs="Times New Roman"/>
                <w:sz w:val="18"/>
                <w:szCs w:val="18"/>
              </w:rPr>
              <w:t>’</w:t>
            </w:r>
            <w:r>
              <w:rPr>
                <w:rFonts w:hint="eastAsia" w:ascii="Times New Roman" w:hAnsi="Times New Roman" w:cs="Times New Roman"/>
                <w:sz w:val="18"/>
                <w:szCs w:val="18"/>
              </w:rPr>
              <w:t>&gt;20</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坚硬</w:t>
            </w:r>
          </w:p>
        </w:tc>
      </w:tr>
    </w:tbl>
    <w:p>
      <w:pPr>
        <w:autoSpaceDE w:val="0"/>
        <w:autoSpaceDN w:val="0"/>
        <w:adjustRightInd w:val="0"/>
        <w:snapToGrid w:val="0"/>
        <w:spacing w:before="240"/>
        <w:ind w:firstLine="420" w:firstLineChars="200"/>
        <w:jc w:val="left"/>
      </w:pPr>
      <w:r>
        <w:rPr>
          <w:rFonts w:hint="eastAsia"/>
        </w:rPr>
        <w:t>土的压缩性等级宜按下表4</w:t>
      </w:r>
      <w:r>
        <w:t>-5</w:t>
      </w:r>
      <w:r>
        <w:rPr>
          <w:rFonts w:hint="eastAsia"/>
        </w:rPr>
        <w:t>划分。</w:t>
      </w:r>
    </w:p>
    <w:p>
      <w:pPr>
        <w:autoSpaceDE w:val="0"/>
        <w:autoSpaceDN w:val="0"/>
        <w:adjustRightInd w:val="0"/>
        <w:snapToGrid w:val="0"/>
        <w:jc w:val="center"/>
        <w:rPr>
          <w:b/>
        </w:rPr>
      </w:pPr>
      <w:r>
        <w:rPr>
          <w:rFonts w:hint="eastAsia"/>
          <w:b/>
        </w:rPr>
        <w:t>表4</w:t>
      </w:r>
      <w:r>
        <w:rPr>
          <w:b/>
        </w:rPr>
        <w:t xml:space="preserve">-5  </w:t>
      </w:r>
      <w:r>
        <w:rPr>
          <w:rFonts w:hint="eastAsia"/>
          <w:b/>
        </w:rPr>
        <w:t>土的压缩性分类</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04"/>
        <w:gridCol w:w="3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压实模量E</w:t>
            </w:r>
            <w:r>
              <w:rPr>
                <w:rFonts w:ascii="Times New Roman" w:hAnsi="Times New Roman" w:cs="Times New Roman"/>
                <w:sz w:val="18"/>
                <w:szCs w:val="18"/>
                <w:vertAlign w:val="subscript"/>
              </w:rPr>
              <w:t>s</w:t>
            </w:r>
            <w:r>
              <w:rPr>
                <w:rFonts w:hint="eastAsia" w:ascii="Times New Roman" w:hAnsi="Times New Roman" w:cs="Times New Roman"/>
                <w:sz w:val="18"/>
                <w:szCs w:val="18"/>
              </w:rPr>
              <w:t>（Mpa）</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E</w:t>
            </w:r>
            <w:r>
              <w:rPr>
                <w:rFonts w:hint="eastAsia" w:ascii="Times New Roman" w:hAnsi="Times New Roman" w:cs="Times New Roman"/>
                <w:sz w:val="18"/>
                <w:szCs w:val="18"/>
                <w:vertAlign w:val="subscript"/>
              </w:rPr>
              <w:t>s</w:t>
            </w:r>
            <w:r>
              <w:rPr>
                <w:rFonts w:hint="eastAsia" w:ascii="Times New Roman" w:hAnsi="Times New Roman" w:cs="Times New Roman"/>
                <w:sz w:val="18"/>
                <w:szCs w:val="18"/>
              </w:rPr>
              <w:t>≦5</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高压缩性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5&lt;E</w:t>
            </w:r>
            <w:r>
              <w:rPr>
                <w:rFonts w:hint="eastAsia" w:ascii="Times New Roman" w:hAnsi="Times New Roman" w:cs="Times New Roman"/>
                <w:sz w:val="18"/>
                <w:szCs w:val="18"/>
                <w:vertAlign w:val="subscript"/>
              </w:rPr>
              <w:t>s</w:t>
            </w:r>
            <w:r>
              <w:rPr>
                <w:rFonts w:hint="eastAsia" w:ascii="Times New Roman" w:hAnsi="Times New Roman" w:cs="Times New Roman"/>
                <w:sz w:val="18"/>
                <w:szCs w:val="18"/>
              </w:rPr>
              <w:t>≦10</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中高压缩性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10&lt;E</w:t>
            </w:r>
            <w:r>
              <w:rPr>
                <w:rFonts w:hint="eastAsia" w:ascii="Times New Roman" w:hAnsi="Times New Roman" w:cs="Times New Roman"/>
                <w:sz w:val="18"/>
                <w:szCs w:val="18"/>
                <w:vertAlign w:val="subscript"/>
              </w:rPr>
              <w:t>s</w:t>
            </w:r>
            <w:r>
              <w:rPr>
                <w:rFonts w:hint="eastAsia" w:ascii="Times New Roman" w:hAnsi="Times New Roman" w:cs="Times New Roman"/>
                <w:sz w:val="18"/>
                <w:szCs w:val="18"/>
              </w:rPr>
              <w:t>≦15</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中低压缩性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E</w:t>
            </w:r>
            <w:r>
              <w:rPr>
                <w:rFonts w:hint="eastAsia" w:ascii="Times New Roman" w:hAnsi="Times New Roman" w:cs="Times New Roman"/>
                <w:sz w:val="18"/>
                <w:szCs w:val="18"/>
                <w:vertAlign w:val="subscript"/>
              </w:rPr>
              <w:t>s</w:t>
            </w:r>
            <w:r>
              <w:rPr>
                <w:rFonts w:hint="eastAsia" w:ascii="Times New Roman" w:hAnsi="Times New Roman" w:cs="Times New Roman"/>
                <w:sz w:val="18"/>
                <w:szCs w:val="18"/>
              </w:rPr>
              <w:t>&gt;15</w:t>
            </w:r>
          </w:p>
        </w:tc>
        <w:tc>
          <w:tcPr>
            <w:tcW w:w="390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低压缩性</w:t>
            </w:r>
          </w:p>
        </w:tc>
      </w:tr>
    </w:tbl>
    <w:p>
      <w:pPr>
        <w:autoSpaceDE w:val="0"/>
        <w:autoSpaceDN w:val="0"/>
        <w:adjustRightInd w:val="0"/>
        <w:snapToGrid w:val="0"/>
        <w:spacing w:before="240"/>
        <w:ind w:firstLine="420" w:firstLineChars="200"/>
        <w:jc w:val="left"/>
      </w:pPr>
      <w:r>
        <w:rPr>
          <w:rFonts w:hint="eastAsia"/>
        </w:rPr>
        <w:t>黏性土的灵敏度等级宜按下表4</w:t>
      </w:r>
      <w:r>
        <w:t>-</w:t>
      </w:r>
      <w:r>
        <w:rPr>
          <w:rFonts w:hint="eastAsia"/>
        </w:rPr>
        <w:t>6划分，灵敏度较高一般指灵敏或极灵敏。</w:t>
      </w:r>
    </w:p>
    <w:p>
      <w:pPr>
        <w:autoSpaceDE w:val="0"/>
        <w:autoSpaceDN w:val="0"/>
        <w:adjustRightInd w:val="0"/>
        <w:snapToGrid w:val="0"/>
        <w:jc w:val="center"/>
        <w:rPr>
          <w:b/>
        </w:rPr>
      </w:pPr>
      <w:r>
        <w:rPr>
          <w:rFonts w:hint="eastAsia"/>
          <w:b/>
        </w:rPr>
        <w:t>表4</w:t>
      </w:r>
      <w:r>
        <w:rPr>
          <w:b/>
        </w:rPr>
        <w:t xml:space="preserve">-6  </w:t>
      </w:r>
      <w:r>
        <w:rPr>
          <w:rFonts w:hint="eastAsia"/>
          <w:b/>
        </w:rPr>
        <w:t>黏性土按灵敏度的划分</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467"/>
        <w:gridCol w:w="1467"/>
        <w:gridCol w:w="1467"/>
        <w:gridCol w:w="15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灵敏度</w:t>
            </w:r>
          </w:p>
        </w:tc>
        <w:tc>
          <w:tcPr>
            <w:tcW w:w="1467"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2≦S</w:t>
            </w:r>
            <w:r>
              <w:rPr>
                <w:rFonts w:ascii="Times New Roman" w:hAnsi="Times New Roman" w:cs="Times New Roman"/>
                <w:sz w:val="18"/>
                <w:szCs w:val="18"/>
                <w:vertAlign w:val="subscript"/>
              </w:rPr>
              <w:t>t</w:t>
            </w:r>
          </w:p>
        </w:tc>
        <w:tc>
          <w:tcPr>
            <w:tcW w:w="1467"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2&lt;S</w:t>
            </w:r>
            <w:r>
              <w:rPr>
                <w:rFonts w:hint="eastAsia" w:ascii="Times New Roman" w:hAnsi="Times New Roman" w:cs="Times New Roman"/>
                <w:sz w:val="18"/>
                <w:szCs w:val="18"/>
                <w:vertAlign w:val="subscript"/>
              </w:rPr>
              <w:t>t</w:t>
            </w:r>
            <w:r>
              <w:rPr>
                <w:rFonts w:hint="eastAsia" w:ascii="Times New Roman" w:hAnsi="Times New Roman" w:cs="Times New Roman"/>
                <w:sz w:val="18"/>
                <w:szCs w:val="18"/>
              </w:rPr>
              <w:t>≦4</w:t>
            </w:r>
          </w:p>
        </w:tc>
        <w:tc>
          <w:tcPr>
            <w:tcW w:w="1467"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4&lt;S</w:t>
            </w:r>
            <w:r>
              <w:rPr>
                <w:rFonts w:hint="eastAsia" w:ascii="Times New Roman" w:hAnsi="Times New Roman" w:cs="Times New Roman"/>
                <w:sz w:val="18"/>
                <w:szCs w:val="18"/>
                <w:vertAlign w:val="subscript"/>
              </w:rPr>
              <w:t>t</w:t>
            </w:r>
            <w:r>
              <w:rPr>
                <w:rFonts w:hint="eastAsia" w:ascii="Times New Roman" w:hAnsi="Times New Roman" w:cs="Times New Roman"/>
                <w:sz w:val="18"/>
                <w:szCs w:val="18"/>
              </w:rPr>
              <w:t>≦8</w:t>
            </w:r>
          </w:p>
        </w:tc>
        <w:tc>
          <w:tcPr>
            <w:tcW w:w="1563"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S</w:t>
            </w:r>
            <w:r>
              <w:rPr>
                <w:rFonts w:hint="eastAsia" w:ascii="Times New Roman" w:hAnsi="Times New Roman" w:cs="Times New Roman"/>
                <w:sz w:val="18"/>
                <w:szCs w:val="18"/>
                <w:vertAlign w:val="subscript"/>
              </w:rPr>
              <w:t>t</w:t>
            </w:r>
            <w:r>
              <w:rPr>
                <w:rFonts w:hint="eastAsia" w:ascii="Times New Roman" w:hAnsi="Times New Roman" w:cs="Times New Roman"/>
                <w:sz w:val="18"/>
                <w:szCs w:val="18"/>
              </w:rPr>
              <w:t>&gt;8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灵敏度等级</w:t>
            </w:r>
          </w:p>
        </w:tc>
        <w:tc>
          <w:tcPr>
            <w:tcW w:w="1467"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不灵敏</w:t>
            </w:r>
          </w:p>
        </w:tc>
        <w:tc>
          <w:tcPr>
            <w:tcW w:w="1467"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中等灵敏</w:t>
            </w:r>
          </w:p>
        </w:tc>
        <w:tc>
          <w:tcPr>
            <w:tcW w:w="1467"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灵敏</w:t>
            </w:r>
          </w:p>
        </w:tc>
        <w:tc>
          <w:tcPr>
            <w:tcW w:w="1563" w:type="dxa"/>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极灵敏</w:t>
            </w:r>
          </w:p>
        </w:tc>
      </w:tr>
    </w:tbl>
    <w:p>
      <w:pPr>
        <w:autoSpaceDE w:val="0"/>
        <w:autoSpaceDN w:val="0"/>
        <w:adjustRightInd w:val="0"/>
        <w:snapToGrid w:val="0"/>
        <w:jc w:val="left"/>
        <w:rPr>
          <w:highlight w:val="yellow"/>
        </w:rPr>
      </w:pPr>
    </w:p>
    <w:p>
      <w:pPr>
        <w:autoSpaceDE w:val="0"/>
        <w:autoSpaceDN w:val="0"/>
        <w:adjustRightInd w:val="0"/>
        <w:snapToGrid w:val="0"/>
        <w:jc w:val="left"/>
        <w:rPr>
          <w:highlight w:val="yellow"/>
        </w:rPr>
      </w:pPr>
    </w:p>
    <w:p>
      <w:pPr>
        <w:pStyle w:val="3"/>
        <w:widowControl/>
        <w:tabs>
          <w:tab w:val="left" w:pos="425"/>
        </w:tabs>
        <w:spacing w:before="0" w:after="0" w:line="360" w:lineRule="auto"/>
        <w:ind w:firstLine="3373" w:firstLineChars="1400"/>
        <w:jc w:val="both"/>
        <w:outlineLvl w:val="0"/>
        <w:rPr>
          <w:rFonts w:ascii="Times New Roman" w:hAnsi="Times New Roman"/>
          <w:bCs w:val="0"/>
          <w:caps w:val="0"/>
          <w:kern w:val="0"/>
          <w:szCs w:val="24"/>
          <w:highlight w:val="yellow"/>
        </w:rPr>
        <w:sectPr>
          <w:pgSz w:w="11906" w:h="16838"/>
          <w:pgMar w:top="1440" w:right="1800" w:bottom="1440" w:left="2268" w:header="851" w:footer="992" w:gutter="0"/>
          <w:cols w:space="425" w:num="1"/>
          <w:docGrid w:type="lines" w:linePitch="312" w:charSpace="0"/>
        </w:sectPr>
      </w:pPr>
    </w:p>
    <w:p>
      <w:pPr>
        <w:widowControl/>
        <w:adjustRightInd w:val="0"/>
        <w:snapToGrid w:val="0"/>
        <w:jc w:val="center"/>
        <w:outlineLvl w:val="0"/>
        <w:rPr>
          <w:b/>
          <w:kern w:val="0"/>
          <w:sz w:val="24"/>
        </w:rPr>
      </w:pPr>
      <w:bookmarkStart w:id="101" w:name="_Toc103169281"/>
      <w:bookmarkStart w:id="102" w:name="_Toc148468267"/>
      <w:r>
        <w:rPr>
          <w:rFonts w:hint="eastAsia"/>
          <w:b/>
          <w:kern w:val="0"/>
          <w:sz w:val="24"/>
        </w:rPr>
        <w:t xml:space="preserve">5  </w:t>
      </w:r>
      <w:bookmarkEnd w:id="101"/>
      <w:r>
        <w:rPr>
          <w:rFonts w:hint="eastAsia"/>
          <w:b/>
          <w:kern w:val="0"/>
          <w:sz w:val="24"/>
        </w:rPr>
        <w:t>技术准备</w:t>
      </w:r>
      <w:bookmarkEnd w:id="102"/>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03" w:name="_Toc103169283"/>
      <w:bookmarkStart w:id="104" w:name="_Toc148468268"/>
      <w:r>
        <w:rPr>
          <w:rStyle w:val="32"/>
          <w:rFonts w:hint="eastAsia" w:ascii="Times New Roman" w:hAnsi="Times New Roman"/>
          <w:bCs w:val="0"/>
          <w:caps w:val="0"/>
          <w:kern w:val="0"/>
          <w:sz w:val="21"/>
          <w:szCs w:val="21"/>
        </w:rPr>
        <w:t>5.2</w:t>
      </w:r>
      <w:r>
        <w:rPr>
          <w:rStyle w:val="32"/>
          <w:rFonts w:ascii="Times New Roman" w:hAnsi="Times New Roman"/>
          <w:bCs w:val="0"/>
          <w:caps w:val="0"/>
          <w:kern w:val="0"/>
          <w:sz w:val="21"/>
          <w:szCs w:val="21"/>
        </w:rPr>
        <w:t xml:space="preserve">  </w:t>
      </w:r>
      <w:bookmarkEnd w:id="103"/>
      <w:r>
        <w:rPr>
          <w:rStyle w:val="32"/>
          <w:rFonts w:hint="eastAsia" w:ascii="Times New Roman" w:hAnsi="Times New Roman"/>
          <w:bCs w:val="0"/>
          <w:caps w:val="0"/>
          <w:kern w:val="0"/>
          <w:sz w:val="21"/>
          <w:szCs w:val="21"/>
        </w:rPr>
        <w:t>资料收集</w:t>
      </w:r>
      <w:bookmarkEnd w:id="104"/>
    </w:p>
    <w:p>
      <w:pPr>
        <w:autoSpaceDE w:val="0"/>
        <w:autoSpaceDN w:val="0"/>
        <w:adjustRightInd w:val="0"/>
        <w:snapToGrid w:val="0"/>
        <w:jc w:val="left"/>
      </w:pPr>
      <w:r>
        <w:rPr>
          <w:rFonts w:hint="eastAsia"/>
        </w:rPr>
        <w:t>5.2.1</w:t>
      </w:r>
      <w:r>
        <w:t xml:space="preserve">  </w:t>
      </w:r>
      <w:r>
        <w:rPr>
          <w:rFonts w:hint="eastAsia"/>
        </w:rPr>
        <w:t>各类建（构）筑物收集资料一般包括下列内容：</w:t>
      </w:r>
    </w:p>
    <w:p>
      <w:pPr>
        <w:autoSpaceDE w:val="0"/>
        <w:autoSpaceDN w:val="0"/>
        <w:adjustRightInd w:val="0"/>
        <w:snapToGrid w:val="0"/>
        <w:ind w:firstLine="420" w:firstLineChars="200"/>
        <w:jc w:val="left"/>
      </w:pPr>
      <w:r>
        <w:rPr>
          <w:rFonts w:hint="eastAsia"/>
        </w:rPr>
        <w:t>1</w:t>
      </w:r>
      <w:r>
        <w:t xml:space="preserve">  </w:t>
      </w:r>
      <w:r>
        <w:rPr>
          <w:rFonts w:hint="eastAsia"/>
        </w:rPr>
        <w:t>一般建筑物</w:t>
      </w:r>
    </w:p>
    <w:p>
      <w:pPr>
        <w:autoSpaceDE w:val="0"/>
        <w:autoSpaceDN w:val="0"/>
        <w:adjustRightInd w:val="0"/>
        <w:snapToGrid w:val="0"/>
        <w:ind w:firstLine="420" w:firstLineChars="200"/>
        <w:jc w:val="left"/>
      </w:pPr>
      <w:r>
        <w:rPr>
          <w:rFonts w:hint="eastAsia"/>
        </w:rPr>
        <w:t>1） 建筑竣工图（总平图、地下室平面图（如有地下室时）、首层平面图、剖面图、立面图等）；</w:t>
      </w:r>
    </w:p>
    <w:p>
      <w:pPr>
        <w:autoSpaceDE w:val="0"/>
        <w:autoSpaceDN w:val="0"/>
        <w:adjustRightInd w:val="0"/>
        <w:snapToGrid w:val="0"/>
        <w:ind w:firstLine="420" w:firstLineChars="200"/>
        <w:jc w:val="left"/>
      </w:pPr>
      <w:r>
        <w:t>2</w:t>
      </w:r>
      <w:r>
        <w:rPr>
          <w:rFonts w:hint="eastAsia"/>
        </w:rPr>
        <w:t>） 结构竣工图（结构说明、桩基础平面图、桩基础大样图等）；</w:t>
      </w:r>
    </w:p>
    <w:p>
      <w:pPr>
        <w:autoSpaceDE w:val="0"/>
        <w:autoSpaceDN w:val="0"/>
        <w:adjustRightInd w:val="0"/>
        <w:snapToGrid w:val="0"/>
        <w:ind w:firstLine="420" w:firstLineChars="200"/>
        <w:jc w:val="left"/>
      </w:pPr>
      <w:r>
        <w:rPr>
          <w:rFonts w:hint="eastAsia"/>
        </w:rPr>
        <w:t>3） 基坑支护（如有地下室时，设计说明、支护平面图、剖面图、桩大样图等）。</w:t>
      </w:r>
    </w:p>
    <w:p>
      <w:pPr>
        <w:autoSpaceDE w:val="0"/>
        <w:autoSpaceDN w:val="0"/>
        <w:adjustRightInd w:val="0"/>
        <w:snapToGrid w:val="0"/>
        <w:ind w:firstLine="420" w:firstLineChars="200"/>
        <w:jc w:val="left"/>
      </w:pPr>
      <w:r>
        <w:rPr>
          <w:rFonts w:hint="eastAsia"/>
        </w:rPr>
        <w:t>2</w:t>
      </w:r>
      <w:r>
        <w:t xml:space="preserve">  </w:t>
      </w:r>
      <w:r>
        <w:rPr>
          <w:rFonts w:hint="eastAsia"/>
        </w:rPr>
        <w:t>市政道路、桥梁、涵洞和隧道工程</w:t>
      </w:r>
    </w:p>
    <w:p>
      <w:pPr>
        <w:autoSpaceDE w:val="0"/>
        <w:autoSpaceDN w:val="0"/>
        <w:adjustRightInd w:val="0"/>
        <w:snapToGrid w:val="0"/>
        <w:ind w:firstLine="420" w:firstLineChars="200"/>
        <w:jc w:val="left"/>
      </w:pPr>
      <w:r>
        <w:rPr>
          <w:rFonts w:hint="eastAsia"/>
        </w:rPr>
        <w:t>1） 道路竣工图（设计说明、线路平面图、线路纵断面图、线路横断面图、软基处理等）；</w:t>
      </w:r>
    </w:p>
    <w:p>
      <w:pPr>
        <w:autoSpaceDE w:val="0"/>
        <w:autoSpaceDN w:val="0"/>
        <w:adjustRightInd w:val="0"/>
        <w:snapToGrid w:val="0"/>
        <w:ind w:firstLine="420" w:firstLineChars="200"/>
        <w:jc w:val="left"/>
      </w:pPr>
      <w:r>
        <w:rPr>
          <w:rFonts w:hint="eastAsia"/>
        </w:rPr>
        <w:t>2） 桥梁竣工图（设计说明、总平面图、桥型布置图、桩基础平面图、桩位坐标、桩大样图等）；</w:t>
      </w:r>
    </w:p>
    <w:p>
      <w:pPr>
        <w:autoSpaceDE w:val="0"/>
        <w:autoSpaceDN w:val="0"/>
        <w:adjustRightInd w:val="0"/>
        <w:snapToGrid w:val="0"/>
        <w:ind w:firstLine="420" w:firstLineChars="200"/>
        <w:jc w:val="left"/>
      </w:pPr>
      <w:r>
        <w:rPr>
          <w:rFonts w:hint="eastAsia"/>
        </w:rPr>
        <w:t>3） 涵洞竣工图（设计说明、平面图、立面图、剖面图和基础图等）；</w:t>
      </w:r>
    </w:p>
    <w:p>
      <w:pPr>
        <w:autoSpaceDE w:val="0"/>
        <w:autoSpaceDN w:val="0"/>
        <w:adjustRightInd w:val="0"/>
        <w:snapToGrid w:val="0"/>
        <w:ind w:firstLine="420" w:firstLineChars="200"/>
        <w:jc w:val="left"/>
      </w:pPr>
      <w:r>
        <w:rPr>
          <w:rFonts w:hint="eastAsia"/>
        </w:rPr>
        <w:t>4） 隧道工程含主体和支护工程竣工图（主体工程：设计说明、平面图、纵断面图、横断面图、桩基础平面图、桩大样图等；支护工程：设计说明、支护平面图、横断面图、剖面图、桩大样图等）。</w:t>
      </w:r>
    </w:p>
    <w:p>
      <w:pPr>
        <w:autoSpaceDE w:val="0"/>
        <w:autoSpaceDN w:val="0"/>
        <w:adjustRightInd w:val="0"/>
        <w:snapToGrid w:val="0"/>
        <w:ind w:firstLine="420" w:firstLineChars="200"/>
        <w:jc w:val="left"/>
      </w:pPr>
      <w:r>
        <w:rPr>
          <w:rFonts w:hint="eastAsia"/>
        </w:rPr>
        <w:t>3</w:t>
      </w:r>
      <w:r>
        <w:t xml:space="preserve">  </w:t>
      </w:r>
      <w:r>
        <w:rPr>
          <w:rFonts w:hint="eastAsia"/>
        </w:rPr>
        <w:t>轨道交通工程</w:t>
      </w:r>
    </w:p>
    <w:p>
      <w:pPr>
        <w:autoSpaceDE w:val="0"/>
        <w:autoSpaceDN w:val="0"/>
        <w:adjustRightInd w:val="0"/>
        <w:snapToGrid w:val="0"/>
        <w:ind w:firstLine="420" w:firstLineChars="200"/>
        <w:jc w:val="left"/>
      </w:pPr>
      <w:r>
        <w:rPr>
          <w:rFonts w:hint="eastAsia"/>
        </w:rPr>
        <w:t>1） 车站主体建筑竣工图（设计说明、总平面图、各层平面图、剖面图等）；</w:t>
      </w:r>
    </w:p>
    <w:p>
      <w:pPr>
        <w:autoSpaceDE w:val="0"/>
        <w:autoSpaceDN w:val="0"/>
        <w:adjustRightInd w:val="0"/>
        <w:snapToGrid w:val="0"/>
        <w:ind w:firstLine="420" w:firstLineChars="200"/>
        <w:jc w:val="left"/>
      </w:pPr>
      <w:r>
        <w:rPr>
          <w:rFonts w:hint="eastAsia"/>
        </w:rPr>
        <w:t>2） 车站主体结构竣工图（设计说明、各层平面图、剖面图、桩基础平面图、桩大样图等）；</w:t>
      </w:r>
    </w:p>
    <w:p>
      <w:pPr>
        <w:autoSpaceDE w:val="0"/>
        <w:autoSpaceDN w:val="0"/>
        <w:adjustRightInd w:val="0"/>
        <w:snapToGrid w:val="0"/>
        <w:ind w:firstLine="420" w:firstLineChars="200"/>
        <w:jc w:val="left"/>
      </w:pPr>
      <w:r>
        <w:rPr>
          <w:rFonts w:hint="eastAsia"/>
        </w:rPr>
        <w:t>3） 区间主体竣工图（设计说明、平面图、纵断面图等）；</w:t>
      </w:r>
    </w:p>
    <w:p>
      <w:pPr>
        <w:autoSpaceDE w:val="0"/>
        <w:autoSpaceDN w:val="0"/>
        <w:adjustRightInd w:val="0"/>
        <w:snapToGrid w:val="0"/>
        <w:ind w:firstLine="420" w:firstLineChars="200"/>
        <w:jc w:val="left"/>
      </w:pPr>
      <w:r>
        <w:rPr>
          <w:rFonts w:hint="eastAsia"/>
        </w:rPr>
        <w:t>4） 围护结构竣工图（设计说明、基坑平面图、剖面图、桩基础平面图、桩大样图等）；</w:t>
      </w:r>
    </w:p>
    <w:p>
      <w:pPr>
        <w:autoSpaceDE w:val="0"/>
        <w:autoSpaceDN w:val="0"/>
        <w:adjustRightInd w:val="0"/>
        <w:snapToGrid w:val="0"/>
        <w:ind w:firstLine="420" w:firstLineChars="200"/>
        <w:jc w:val="left"/>
      </w:pPr>
      <w:r>
        <w:rPr>
          <w:rFonts w:hint="eastAsia"/>
        </w:rPr>
        <w:t>5） 附属结构竣工图（设计说明、总平面图、平面图、剖面图、桩基础平面图、桩大样图等）。</w:t>
      </w:r>
    </w:p>
    <w:p>
      <w:pPr>
        <w:autoSpaceDE w:val="0"/>
        <w:autoSpaceDN w:val="0"/>
        <w:adjustRightInd w:val="0"/>
        <w:snapToGrid w:val="0"/>
        <w:ind w:firstLine="420" w:firstLineChars="200"/>
        <w:jc w:val="left"/>
      </w:pPr>
      <w:r>
        <w:rPr>
          <w:rFonts w:hint="eastAsia"/>
        </w:rPr>
        <w:t>4</w:t>
      </w:r>
      <w:r>
        <w:t xml:space="preserve">  </w:t>
      </w:r>
      <w:r>
        <w:rPr>
          <w:rFonts w:hint="eastAsia"/>
        </w:rPr>
        <w:t>高压电塔（电杆）竣工图（塔杆明细表、基础平面图、基础大样图等）。</w:t>
      </w:r>
    </w:p>
    <w:p>
      <w:pPr>
        <w:autoSpaceDE w:val="0"/>
        <w:autoSpaceDN w:val="0"/>
        <w:adjustRightInd w:val="0"/>
        <w:snapToGrid w:val="0"/>
        <w:ind w:firstLine="420" w:firstLineChars="200"/>
        <w:jc w:val="left"/>
      </w:pPr>
      <w:r>
        <w:rPr>
          <w:rFonts w:hint="eastAsia"/>
        </w:rPr>
        <w:t>5  信号铁塔竣工图（总平面图、基础平面图、基础大样图等）。</w:t>
      </w:r>
    </w:p>
    <w:p>
      <w:pPr>
        <w:autoSpaceDE w:val="0"/>
        <w:autoSpaceDN w:val="0"/>
        <w:adjustRightInd w:val="0"/>
        <w:snapToGrid w:val="0"/>
        <w:ind w:firstLine="420" w:firstLineChars="200"/>
        <w:jc w:val="left"/>
      </w:pPr>
      <w:r>
        <w:rPr>
          <w:rFonts w:hint="eastAsia"/>
        </w:rPr>
        <w:t>6  广告牌竣工图（总平面图、基础平面图、基础大样图等）。</w:t>
      </w:r>
    </w:p>
    <w:p>
      <w:pPr>
        <w:autoSpaceDE w:val="0"/>
        <w:autoSpaceDN w:val="0"/>
        <w:adjustRightInd w:val="0"/>
        <w:snapToGrid w:val="0"/>
        <w:ind w:firstLine="420" w:firstLineChars="200"/>
        <w:jc w:val="left"/>
      </w:pPr>
      <w:r>
        <w:rPr>
          <w:rFonts w:hint="eastAsia"/>
        </w:rPr>
        <w:t>7  加油站(含加油棚和地下油罐)竣工图（设计说明、总平面图、各层平面图、剖面图、基础平面图、基础大样图等）。</w:t>
      </w:r>
    </w:p>
    <w:p>
      <w:pPr>
        <w:autoSpaceDE w:val="0"/>
        <w:autoSpaceDN w:val="0"/>
        <w:adjustRightInd w:val="0"/>
        <w:snapToGrid w:val="0"/>
        <w:ind w:firstLine="420" w:firstLineChars="200"/>
        <w:jc w:val="left"/>
      </w:pPr>
      <w:r>
        <w:rPr>
          <w:rFonts w:hint="eastAsia"/>
        </w:rPr>
        <w:t>8  人防工程竣工图（设计说明、总平面图、各层平面图、剖面图、基础平面图、基础大样图等）。</w:t>
      </w:r>
    </w:p>
    <w:p>
      <w:pPr>
        <w:autoSpaceDE w:val="0"/>
        <w:autoSpaceDN w:val="0"/>
        <w:adjustRightInd w:val="0"/>
        <w:snapToGrid w:val="0"/>
        <w:ind w:firstLine="420" w:firstLineChars="200"/>
        <w:jc w:val="left"/>
      </w:pPr>
      <w:r>
        <w:rPr>
          <w:rFonts w:hint="eastAsia"/>
        </w:rPr>
        <w:t>9  水利工程（含水闸和堤岸）竣工图（设计说明、总平面图、平面图、纵断面图、剖面图、基础平面图、基础大样图等）。</w:t>
      </w:r>
    </w:p>
    <w:p>
      <w:pPr>
        <w:autoSpaceDE w:val="0"/>
        <w:autoSpaceDN w:val="0"/>
        <w:adjustRightInd w:val="0"/>
        <w:snapToGrid w:val="0"/>
        <w:ind w:firstLine="420" w:firstLineChars="200"/>
        <w:jc w:val="left"/>
      </w:pPr>
      <w:r>
        <w:rPr>
          <w:rFonts w:hint="eastAsia"/>
        </w:rPr>
        <w:t xml:space="preserve">10 </w:t>
      </w:r>
      <w:r>
        <w:t xml:space="preserve"> </w:t>
      </w:r>
      <w:r>
        <w:rPr>
          <w:rFonts w:hint="eastAsia"/>
        </w:rPr>
        <w:t>文物除参照一般建筑物的调查要求外，还需要收集文物等级、保护控制范围及要求等内容。</w:t>
      </w:r>
    </w:p>
    <w:p>
      <w:pPr>
        <w:autoSpaceDE w:val="0"/>
        <w:autoSpaceDN w:val="0"/>
        <w:adjustRightInd w:val="0"/>
        <w:snapToGrid w:val="0"/>
        <w:ind w:firstLine="420" w:firstLineChars="200"/>
        <w:jc w:val="left"/>
      </w:pPr>
      <w:r>
        <w:rPr>
          <w:rFonts w:hint="eastAsia"/>
        </w:rPr>
        <w:t xml:space="preserve">11 </w:t>
      </w:r>
      <w:r>
        <w:t xml:space="preserve"> </w:t>
      </w:r>
      <w:r>
        <w:rPr>
          <w:rFonts w:hint="eastAsia"/>
        </w:rPr>
        <w:t>军事工程及军用设施除参照一般建筑物的调查要求外，还需要收集退让要求和其他注意事项等内容。</w:t>
      </w:r>
    </w:p>
    <w:p>
      <w:pPr>
        <w:autoSpaceDE w:val="0"/>
        <w:autoSpaceDN w:val="0"/>
        <w:adjustRightInd w:val="0"/>
        <w:snapToGrid w:val="0"/>
        <w:ind w:firstLine="420" w:firstLineChars="200"/>
        <w:jc w:val="left"/>
      </w:pPr>
      <w:r>
        <w:rPr>
          <w:rFonts w:hint="eastAsia"/>
        </w:rPr>
        <w:t>12</w:t>
      </w:r>
      <w:r>
        <w:t xml:space="preserve"> </w:t>
      </w:r>
      <w:r>
        <w:rPr>
          <w:rFonts w:hint="eastAsia"/>
        </w:rPr>
        <w:t xml:space="preserve"> 既有地下管线资料（管线的竣工图及技术说明资料，包括地下管线的建设年代、类型、材料、大小、分布、运行状况、维修养护等资料）。</w:t>
      </w:r>
    </w:p>
    <w:p>
      <w:pPr>
        <w:rPr>
          <w:highlight w:val="yellow"/>
        </w:rPr>
      </w:pPr>
    </w:p>
    <w:p>
      <w:pPr>
        <w:rPr>
          <w:b/>
          <w:highlight w:val="yellow"/>
        </w:rPr>
      </w:pPr>
    </w:p>
    <w:p>
      <w:pPr>
        <w:widowControl/>
        <w:adjustRightInd w:val="0"/>
        <w:snapToGrid w:val="0"/>
        <w:jc w:val="center"/>
        <w:outlineLvl w:val="0"/>
        <w:rPr>
          <w:b/>
          <w:kern w:val="0"/>
          <w:sz w:val="24"/>
          <w:highlight w:val="yellow"/>
        </w:rPr>
        <w:sectPr>
          <w:pgSz w:w="11906" w:h="16838"/>
          <w:pgMar w:top="1440" w:right="1800" w:bottom="1440" w:left="2268" w:header="851" w:footer="992" w:gutter="0"/>
          <w:cols w:space="425" w:num="1"/>
          <w:docGrid w:type="lines" w:linePitch="312" w:charSpace="0"/>
        </w:sectPr>
      </w:pPr>
    </w:p>
    <w:p>
      <w:pPr>
        <w:widowControl/>
        <w:adjustRightInd w:val="0"/>
        <w:snapToGrid w:val="0"/>
        <w:jc w:val="center"/>
        <w:outlineLvl w:val="0"/>
        <w:rPr>
          <w:bCs/>
          <w:caps/>
          <w:kern w:val="0"/>
        </w:rPr>
      </w:pPr>
      <w:bookmarkStart w:id="105" w:name="_Toc103169286"/>
      <w:bookmarkStart w:id="106" w:name="_Toc148468269"/>
      <w:r>
        <w:rPr>
          <w:b/>
          <w:kern w:val="0"/>
          <w:sz w:val="24"/>
        </w:rPr>
        <w:t>6</w:t>
      </w:r>
      <w:r>
        <w:rPr>
          <w:rFonts w:hint="eastAsia"/>
          <w:b/>
          <w:kern w:val="0"/>
          <w:sz w:val="24"/>
        </w:rPr>
        <w:t xml:space="preserve">  </w:t>
      </w:r>
      <w:bookmarkEnd w:id="105"/>
      <w:r>
        <w:rPr>
          <w:rFonts w:hint="eastAsia"/>
          <w:b/>
          <w:kern w:val="0"/>
          <w:sz w:val="24"/>
        </w:rPr>
        <w:t>地下病害体探测</w:t>
      </w:r>
      <w:bookmarkEnd w:id="106"/>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07" w:name="_Toc148468270"/>
      <w:bookmarkStart w:id="108" w:name="_Toc103169287"/>
      <w:r>
        <w:rPr>
          <w:rStyle w:val="32"/>
          <w:rFonts w:ascii="Times New Roman" w:hAnsi="Times New Roman"/>
          <w:bCs w:val="0"/>
          <w:caps w:val="0"/>
          <w:kern w:val="0"/>
          <w:sz w:val="21"/>
          <w:szCs w:val="21"/>
        </w:rPr>
        <w:t xml:space="preserve">6.1  </w:t>
      </w:r>
      <w:r>
        <w:rPr>
          <w:rStyle w:val="32"/>
          <w:rFonts w:hint="eastAsia" w:ascii="Times New Roman" w:hAnsi="Times New Roman"/>
          <w:bCs w:val="0"/>
          <w:caps w:val="0"/>
          <w:kern w:val="0"/>
          <w:sz w:val="21"/>
          <w:szCs w:val="21"/>
        </w:rPr>
        <w:t>一般规定</w:t>
      </w:r>
      <w:bookmarkEnd w:id="107"/>
      <w:bookmarkEnd w:id="108"/>
    </w:p>
    <w:p>
      <w:pPr>
        <w:autoSpaceDE w:val="0"/>
        <w:autoSpaceDN w:val="0"/>
        <w:adjustRightInd w:val="0"/>
        <w:snapToGrid w:val="0"/>
        <w:jc w:val="left"/>
      </w:pPr>
      <w:r>
        <w:t>6.1.</w:t>
      </w:r>
      <w:r>
        <w:rPr>
          <w:rFonts w:hint="eastAsia"/>
        </w:rPr>
        <w:t>2</w:t>
      </w:r>
      <w:r>
        <w:t xml:space="preserve"> </w:t>
      </w:r>
      <w:r>
        <w:rPr>
          <w:rFonts w:hint="eastAsia"/>
        </w:rPr>
        <w:t xml:space="preserve"> 根据《城市地下病害体综合探测与风险评估技术标准》（JGJ/T437）规定，城市地下病害体探测方法宜根据表</w:t>
      </w:r>
      <w:r>
        <w:t>6-1</w:t>
      </w:r>
      <w:r>
        <w:rPr>
          <w:rFonts w:hint="eastAsia"/>
        </w:rPr>
        <w:t>确定。</w:t>
      </w:r>
    </w:p>
    <w:p>
      <w:pPr>
        <w:autoSpaceDE w:val="0"/>
        <w:autoSpaceDN w:val="0"/>
        <w:adjustRightInd w:val="0"/>
        <w:snapToGrid w:val="0"/>
        <w:jc w:val="center"/>
        <w:rPr>
          <w:b/>
        </w:rPr>
      </w:pPr>
      <w:r>
        <w:rPr>
          <w:rFonts w:hint="eastAsia"/>
          <w:b/>
        </w:rPr>
        <w:t>表</w:t>
      </w:r>
      <w:r>
        <w:rPr>
          <w:b/>
        </w:rPr>
        <w:t xml:space="preserve">6-1  </w:t>
      </w:r>
      <w:r>
        <w:rPr>
          <w:rFonts w:hint="eastAsia"/>
          <w:b/>
        </w:rPr>
        <w:t>城市地下病害体探测方法的适用性</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055"/>
        <w:gridCol w:w="1302"/>
        <w:gridCol w:w="1302"/>
        <w:gridCol w:w="1302"/>
        <w:gridCol w:w="1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地下病害体探测方法</w:t>
            </w:r>
          </w:p>
        </w:tc>
        <w:tc>
          <w:tcPr>
            <w:tcW w:w="4961" w:type="dxa"/>
            <w:gridSpan w:val="4"/>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类型</w:t>
            </w:r>
          </w:p>
        </w:tc>
        <w:tc>
          <w:tcPr>
            <w:tcW w:w="1302"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埋藏深度D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Merge w:val="continue"/>
            <w:vAlign w:val="center"/>
          </w:tcPr>
          <w:p>
            <w:pPr>
              <w:pStyle w:val="74"/>
              <w:spacing w:before="0" w:beforeAutospacing="0" w:after="0" w:afterAutospacing="0" w:line="360" w:lineRule="auto"/>
              <w:jc w:val="center"/>
              <w:rPr>
                <w:rFonts w:ascii="Times New Roman" w:hAnsi="Times New Roman" w:cs="Times New Roman"/>
                <w:sz w:val="18"/>
                <w:szCs w:val="18"/>
              </w:rPr>
            </w:pPr>
          </w:p>
        </w:tc>
        <w:tc>
          <w:tcPr>
            <w:tcW w:w="1055"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脱空</w:t>
            </w:r>
          </w:p>
        </w:tc>
        <w:tc>
          <w:tcPr>
            <w:tcW w:w="13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空洞</w:t>
            </w:r>
          </w:p>
        </w:tc>
        <w:tc>
          <w:tcPr>
            <w:tcW w:w="13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疏松体</w:t>
            </w:r>
          </w:p>
        </w:tc>
        <w:tc>
          <w:tcPr>
            <w:tcW w:w="1302" w:type="dxa"/>
            <w:vAlign w:val="center"/>
          </w:tcPr>
          <w:p>
            <w:pPr>
              <w:pStyle w:val="74"/>
              <w:spacing w:before="0" w:beforeAutospacing="0" w:after="0" w:afterAutospacing="0" w:line="360" w:lineRule="auto"/>
              <w:jc w:val="center"/>
              <w:rPr>
                <w:rFonts w:ascii="Times New Roman" w:hAnsi="Times New Roman" w:cs="Times New Roman"/>
                <w:sz w:val="18"/>
                <w:szCs w:val="18"/>
              </w:rPr>
            </w:pPr>
            <w:r>
              <w:rPr>
                <w:rFonts w:hint="eastAsia" w:ascii="Times New Roman" w:hAnsi="Times New Roman" w:cs="Times New Roman"/>
                <w:sz w:val="18"/>
                <w:szCs w:val="18"/>
              </w:rPr>
              <w:t>富水体</w:t>
            </w:r>
          </w:p>
        </w:tc>
        <w:tc>
          <w:tcPr>
            <w:tcW w:w="1302" w:type="dxa"/>
            <w:vMerge w:val="continue"/>
          </w:tcPr>
          <w:p>
            <w:pPr>
              <w:pStyle w:val="74"/>
              <w:spacing w:before="0" w:beforeAutospacing="0" w:after="0" w:afterAutospacing="0" w:line="360" w:lineRule="auto"/>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探地雷达法</w:t>
            </w:r>
          </w:p>
        </w:tc>
        <w:tc>
          <w:tcPr>
            <w:tcW w:w="105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D&lt;5.0m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4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高密度电阻率法</w:t>
            </w:r>
          </w:p>
        </w:tc>
        <w:tc>
          <w:tcPr>
            <w:tcW w:w="105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3.0m&lt;D≤30.0m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瞬态面波法</w:t>
            </w:r>
          </w:p>
        </w:tc>
        <w:tc>
          <w:tcPr>
            <w:tcW w:w="105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3.0m&lt;D≤20.0m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地震映像法</w:t>
            </w:r>
          </w:p>
        </w:tc>
        <w:tc>
          <w:tcPr>
            <w:tcW w:w="105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D≤20.0m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微动勘探法</w:t>
            </w:r>
          </w:p>
        </w:tc>
        <w:tc>
          <w:tcPr>
            <w:tcW w:w="105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3.0m&lt;D≤30.0m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4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瞬变电磁法</w:t>
            </w:r>
          </w:p>
        </w:tc>
        <w:tc>
          <w:tcPr>
            <w:tcW w:w="105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3.0m&lt;D≤30.0m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钻探法</w:t>
            </w:r>
          </w:p>
        </w:tc>
        <w:tc>
          <w:tcPr>
            <w:tcW w:w="105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4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挖探法</w:t>
            </w:r>
          </w:p>
        </w:tc>
        <w:tc>
          <w:tcPr>
            <w:tcW w:w="1055"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302"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w:t>
            </w:r>
          </w:p>
        </w:tc>
      </w:tr>
    </w:tbl>
    <w:p>
      <w:pPr>
        <w:pStyle w:val="74"/>
        <w:spacing w:before="0" w:beforeAutospacing="0" w:after="0" w:afterAutospacing="0" w:line="360" w:lineRule="auto"/>
        <w:ind w:firstLine="180" w:firstLineChars="100"/>
        <w:rPr>
          <w:rFonts w:ascii="Times New Roman" w:hAnsi="Times New Roman" w:cs="Times New Roman"/>
          <w:sz w:val="18"/>
          <w:szCs w:val="18"/>
        </w:rPr>
      </w:pPr>
      <w:r>
        <w:rPr>
          <w:rFonts w:ascii="Times New Roman" w:hAnsi="Times New Roman" w:cs="Times New Roman"/>
          <w:sz w:val="18"/>
          <w:szCs w:val="18"/>
        </w:rPr>
        <w:t>注：●—推荐；○—可选。</w:t>
      </w:r>
    </w:p>
    <w:p>
      <w:pPr>
        <w:autoSpaceDE w:val="0"/>
        <w:autoSpaceDN w:val="0"/>
        <w:adjustRightInd w:val="0"/>
        <w:snapToGrid w:val="0"/>
        <w:ind w:firstLine="420" w:firstLineChars="200"/>
        <w:jc w:val="left"/>
      </w:pPr>
      <w:r>
        <w:rPr>
          <w:rFonts w:hint="eastAsia"/>
        </w:rPr>
        <w:t>开展城市工程物探工作时，由于受地面交通、地下构筑物及地面电磁波和震动干扰影响，探测工作条件复杂。为了获得较好的探测效果，应当根据不同的地球物理方法技术要求，选择合理的物探方法，通过不同物探方法探测结果的分析、对比，提高探测结果的可靠性，管道内窥摄像法可作为病害分析的补充手段。</w:t>
      </w:r>
    </w:p>
    <w:p>
      <w:pPr>
        <w:autoSpaceDE w:val="0"/>
        <w:autoSpaceDN w:val="0"/>
        <w:adjustRightInd w:val="0"/>
        <w:snapToGrid w:val="0"/>
        <w:jc w:val="left"/>
      </w:pPr>
      <w:r>
        <w:rPr>
          <w:rFonts w:hint="eastAsia"/>
        </w:rPr>
        <w:t>6</w:t>
      </w:r>
      <w:r>
        <w:t xml:space="preserve">.1.3  </w:t>
      </w:r>
      <w:r>
        <w:rPr>
          <w:rFonts w:hint="eastAsia"/>
        </w:rPr>
        <w:t>根据广东省探测的相关经验，对于城市道路浅层病害且地表相对平坦的测区，适用雷达法+钻孔验证进行探测；对于城市地下管道分布复杂的测区，适用雷达法+管道内窥摄像法探测；对于勘探、考古、施工工作中须探明的深层病害的测区，可采用高密度电阻率法+瞬态面波法；对于省内岩溶地区城市隧道施工过程中须探测的岩溶等病害体，可采用地震映像法+微动勘探法。</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09" w:name="_Toc103169288"/>
      <w:bookmarkStart w:id="110" w:name="_Toc148468271"/>
      <w:r>
        <w:rPr>
          <w:rStyle w:val="32"/>
          <w:rFonts w:ascii="Times New Roman" w:hAnsi="Times New Roman"/>
          <w:bCs w:val="0"/>
          <w:caps w:val="0"/>
          <w:kern w:val="0"/>
          <w:sz w:val="21"/>
          <w:szCs w:val="21"/>
        </w:rPr>
        <w:t xml:space="preserve">6.2  </w:t>
      </w:r>
      <w:bookmarkEnd w:id="109"/>
      <w:r>
        <w:rPr>
          <w:rStyle w:val="32"/>
          <w:rFonts w:hint="eastAsia" w:ascii="Times New Roman" w:hAnsi="Times New Roman"/>
          <w:bCs w:val="0"/>
          <w:caps w:val="0"/>
          <w:kern w:val="0"/>
          <w:sz w:val="21"/>
          <w:szCs w:val="21"/>
        </w:rPr>
        <w:t>探地雷达法</w:t>
      </w:r>
      <w:bookmarkEnd w:id="110"/>
    </w:p>
    <w:p>
      <w:r>
        <w:t>6.</w:t>
      </w:r>
      <w:r>
        <w:rPr>
          <w:rFonts w:hint="eastAsia"/>
        </w:rPr>
        <w:t>2</w:t>
      </w:r>
      <w:r>
        <w:t>.</w:t>
      </w:r>
      <w:r>
        <w:rPr>
          <w:rFonts w:hint="eastAsia"/>
        </w:rPr>
        <w:t>2</w:t>
      </w:r>
      <w:r>
        <w:t xml:space="preserve"> </w:t>
      </w:r>
      <w:r>
        <w:rPr>
          <w:rFonts w:hint="eastAsia"/>
        </w:rPr>
        <w:t xml:space="preserve"> 探地雷达法是基于地下介质之间的介电性质差异的探测方法，与其相关的最主要的参数是相对介电常数，通常使用功率反射系数来表征介质之间的介电差异。功率</w:t>
      </w:r>
      <w:bookmarkStart w:id="137" w:name="_GoBack"/>
      <w:bookmarkEnd w:id="137"/>
      <w:r>
        <w:rPr>
          <w:rFonts w:hint="eastAsia"/>
        </w:rPr>
        <w:t>发射系数的计算公式为：</w:t>
      </w:r>
    </w:p>
    <w:p>
      <w:pPr>
        <w:pStyle w:val="10"/>
        <w:wordWrap w:val="0"/>
        <w:spacing w:line="360" w:lineRule="auto"/>
        <w:ind w:firstLine="420" w:firstLineChars="200"/>
        <w:jc w:val="right"/>
        <w:rPr>
          <w:szCs w:val="21"/>
        </w:rPr>
      </w:pPr>
      <m:oMath>
        <m:sSub>
          <m:sSubPr>
            <m:ctrlPr>
              <w:rPr>
                <w:rFonts w:ascii="Cambria Math" w:hAnsi="Cambria Math"/>
                <w:szCs w:val="21"/>
              </w:rPr>
            </m:ctrlPr>
          </m:sSubPr>
          <m:e>
            <m:r>
              <m:rPr/>
              <w:rPr>
                <w:rFonts w:ascii="Cambria Math" w:hAnsi="Cambria Math"/>
                <w:szCs w:val="21"/>
              </w:rPr>
              <m:t>P</m:t>
            </m:r>
            <m:ctrlPr>
              <w:rPr>
                <w:rFonts w:ascii="Cambria Math" w:hAnsi="Cambria Math"/>
                <w:szCs w:val="21"/>
              </w:rPr>
            </m:ctrlPr>
          </m:e>
          <m:sub>
            <m:r>
              <m:rPr/>
              <w:rPr>
                <w:rFonts w:hint="eastAsia" w:ascii="Cambria Math" w:hAnsi="Cambria Math"/>
                <w:szCs w:val="21"/>
              </w:rPr>
              <m:t>r</m:t>
            </m:r>
            <m:ctrlPr>
              <w:rPr>
                <w:rFonts w:ascii="Cambria Math" w:hAnsi="Cambria Math"/>
                <w:szCs w:val="21"/>
              </w:rPr>
            </m:ctrlPr>
          </m:sub>
        </m:sSub>
        <m:r>
          <m:rPr>
            <m:sty m:val="p"/>
          </m:rPr>
          <w:rPr>
            <w:rFonts w:ascii="Cambria Math" w:hAnsi="Cambria Math"/>
            <w:szCs w:val="21"/>
          </w:rPr>
          <m:t>=</m:t>
        </m:r>
        <m:sSup>
          <m:sSupPr>
            <m:ctrlPr>
              <w:rPr>
                <w:rFonts w:ascii="Cambria Math" w:hAnsi="Cambria Math"/>
                <w:szCs w:val="21"/>
              </w:rPr>
            </m:ctrlPr>
          </m:sSupPr>
          <m:e>
            <m:d>
              <m:dPr>
                <m:begChr m:val="["/>
                <m:endChr m:val="]"/>
                <m:ctrlPr>
                  <w:rPr>
                    <w:rFonts w:ascii="Cambria Math" w:hAnsi="Cambria Math"/>
                    <w:szCs w:val="21"/>
                  </w:rPr>
                </m:ctrlPr>
              </m:dPr>
              <m:e>
                <m:f>
                  <m:fPr>
                    <m:ctrlPr>
                      <w:rPr>
                        <w:rFonts w:ascii="Cambria Math" w:hAnsi="Cambria Math"/>
                        <w:szCs w:val="21"/>
                      </w:rPr>
                    </m:ctrlPr>
                  </m:fPr>
                  <m:num>
                    <m:rad>
                      <m:radPr>
                        <m:degHide m:val="true"/>
                        <m:ctrlPr>
                          <w:rPr>
                            <w:rFonts w:ascii="Cambria Math" w:hAnsi="Cambria Math"/>
                            <w:szCs w:val="21"/>
                          </w:rPr>
                        </m:ctrlPr>
                      </m:radPr>
                      <m:deg>
                        <m:ctrlPr>
                          <w:rPr>
                            <w:rFonts w:ascii="Cambria Math" w:hAnsi="Cambria Math"/>
                            <w:szCs w:val="21"/>
                          </w:rPr>
                        </m:ctrlPr>
                      </m:deg>
                      <m:e>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hint="eastAsia" w:ascii="Cambria Math" w:hAnsi="Cambria Math"/>
                                <w:szCs w:val="21"/>
                              </w:rPr>
                              <m:t>r</m:t>
                            </m:r>
                            <m:r>
                              <m:rPr>
                                <m:sty m:val="p"/>
                              </m:rPr>
                              <w:rPr>
                                <w:rFonts w:ascii="Cambria Math" w:hAnsi="Cambria Math"/>
                                <w:szCs w:val="21"/>
                              </w:rPr>
                              <m:t>1</m:t>
                            </m:r>
                            <m:ctrlPr>
                              <w:rPr>
                                <w:rFonts w:ascii="Cambria Math" w:hAnsi="Cambria Math"/>
                                <w:szCs w:val="21"/>
                              </w:rPr>
                            </m:ctrlPr>
                          </m:sub>
                        </m:sSub>
                        <m:ctrlPr>
                          <w:rPr>
                            <w:rFonts w:ascii="Cambria Math" w:hAnsi="Cambria Math"/>
                            <w:szCs w:val="21"/>
                          </w:rPr>
                        </m:ctrlPr>
                      </m:e>
                    </m:rad>
                    <m:r>
                      <m:rPr>
                        <m:sty m:val="p"/>
                      </m:rPr>
                      <w:rPr>
                        <w:rFonts w:ascii="Cambria Math" w:hAnsi="Cambria Math"/>
                        <w:szCs w:val="21"/>
                      </w:rPr>
                      <m:t>−</m:t>
                    </m:r>
                    <m:rad>
                      <m:radPr>
                        <m:degHide m:val="true"/>
                        <m:ctrlPr>
                          <w:rPr>
                            <w:rFonts w:ascii="Cambria Math" w:hAnsi="Cambria Math"/>
                            <w:szCs w:val="21"/>
                          </w:rPr>
                        </m:ctrlPr>
                      </m:radPr>
                      <m:deg>
                        <m:ctrlPr>
                          <w:rPr>
                            <w:rFonts w:ascii="Cambria Math" w:hAnsi="Cambria Math"/>
                            <w:szCs w:val="21"/>
                          </w:rPr>
                        </m:ctrlPr>
                      </m:deg>
                      <m:e>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hint="eastAsia" w:ascii="Cambria Math" w:hAnsi="Cambria Math"/>
                                <w:szCs w:val="21"/>
                              </w:rPr>
                              <m:t>r</m:t>
                            </m:r>
                            <m:r>
                              <m:rPr>
                                <m:sty m:val="p"/>
                              </m:rPr>
                              <w:rPr>
                                <w:rFonts w:ascii="Cambria Math" w:hAnsi="Cambria Math"/>
                                <w:szCs w:val="21"/>
                              </w:rPr>
                              <m:t>2</m:t>
                            </m:r>
                            <m:ctrlPr>
                              <w:rPr>
                                <w:rFonts w:ascii="Cambria Math" w:hAnsi="Cambria Math"/>
                                <w:szCs w:val="21"/>
                              </w:rPr>
                            </m:ctrlPr>
                          </m:sub>
                        </m:sSub>
                        <m:ctrlPr>
                          <w:rPr>
                            <w:rFonts w:ascii="Cambria Math" w:hAnsi="Cambria Math"/>
                            <w:szCs w:val="21"/>
                          </w:rPr>
                        </m:ctrlPr>
                      </m:e>
                    </m:rad>
                    <m:ctrlPr>
                      <w:rPr>
                        <w:rFonts w:ascii="Cambria Math" w:hAnsi="Cambria Math"/>
                        <w:szCs w:val="21"/>
                      </w:rPr>
                    </m:ctrlPr>
                  </m:num>
                  <m:den>
                    <m:rad>
                      <m:radPr>
                        <m:degHide m:val="true"/>
                        <m:ctrlPr>
                          <w:rPr>
                            <w:rFonts w:ascii="Cambria Math" w:hAnsi="Cambria Math"/>
                            <w:szCs w:val="21"/>
                          </w:rPr>
                        </m:ctrlPr>
                      </m:radPr>
                      <m:deg>
                        <m:ctrlPr>
                          <w:rPr>
                            <w:rFonts w:ascii="Cambria Math" w:hAnsi="Cambria Math"/>
                            <w:szCs w:val="21"/>
                          </w:rPr>
                        </m:ctrlPr>
                      </m:deg>
                      <m:e>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hint="eastAsia" w:ascii="Cambria Math" w:hAnsi="Cambria Math"/>
                                <w:szCs w:val="21"/>
                              </w:rPr>
                              <m:t>r</m:t>
                            </m:r>
                            <m:r>
                              <m:rPr>
                                <m:sty m:val="p"/>
                              </m:rPr>
                              <w:rPr>
                                <w:rFonts w:ascii="Cambria Math" w:hAnsi="Cambria Math"/>
                                <w:szCs w:val="21"/>
                              </w:rPr>
                              <m:t>1</m:t>
                            </m:r>
                            <m:ctrlPr>
                              <w:rPr>
                                <w:rFonts w:ascii="Cambria Math" w:hAnsi="Cambria Math"/>
                                <w:szCs w:val="21"/>
                              </w:rPr>
                            </m:ctrlPr>
                          </m:sub>
                        </m:sSub>
                        <m:ctrlPr>
                          <w:rPr>
                            <w:rFonts w:ascii="Cambria Math" w:hAnsi="Cambria Math"/>
                            <w:szCs w:val="21"/>
                          </w:rPr>
                        </m:ctrlPr>
                      </m:e>
                    </m:rad>
                    <m:r>
                      <m:rPr>
                        <m:sty m:val="p"/>
                      </m:rPr>
                      <w:rPr>
                        <w:rFonts w:ascii="Cambria Math" w:hAnsi="Cambria Math"/>
                        <w:szCs w:val="21"/>
                      </w:rPr>
                      <m:t>+</m:t>
                    </m:r>
                    <m:rad>
                      <m:radPr>
                        <m:degHide m:val="true"/>
                        <m:ctrlPr>
                          <w:rPr>
                            <w:rFonts w:ascii="Cambria Math" w:hAnsi="Cambria Math"/>
                            <w:szCs w:val="21"/>
                          </w:rPr>
                        </m:ctrlPr>
                      </m:radPr>
                      <m:deg>
                        <m:ctrlPr>
                          <w:rPr>
                            <w:rFonts w:ascii="Cambria Math" w:hAnsi="Cambria Math"/>
                            <w:szCs w:val="21"/>
                          </w:rPr>
                        </m:ctrlPr>
                      </m:deg>
                      <m:e>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hint="eastAsia" w:ascii="Cambria Math" w:hAnsi="Cambria Math"/>
                                <w:szCs w:val="21"/>
                              </w:rPr>
                              <m:t>r</m:t>
                            </m:r>
                            <m:r>
                              <m:rPr>
                                <m:sty m:val="p"/>
                              </m:rPr>
                              <w:rPr>
                                <w:rFonts w:ascii="Cambria Math" w:hAnsi="Cambria Math"/>
                                <w:szCs w:val="21"/>
                              </w:rPr>
                              <m:t>2</m:t>
                            </m:r>
                            <m:ctrlPr>
                              <w:rPr>
                                <w:rFonts w:ascii="Cambria Math" w:hAnsi="Cambria Math"/>
                                <w:szCs w:val="21"/>
                              </w:rPr>
                            </m:ctrlPr>
                          </m:sub>
                        </m:sSub>
                        <m:ctrlPr>
                          <w:rPr>
                            <w:rFonts w:ascii="Cambria Math" w:hAnsi="Cambria Math"/>
                            <w:szCs w:val="21"/>
                          </w:rPr>
                        </m:ctrlPr>
                      </m:e>
                    </m:rad>
                    <m:ctrlPr>
                      <w:rPr>
                        <w:rFonts w:ascii="Cambria Math" w:hAnsi="Cambria Math"/>
                        <w:szCs w:val="21"/>
                      </w:rPr>
                    </m:ctrlPr>
                  </m:den>
                </m:f>
                <m:ctrlPr>
                  <w:rPr>
                    <w:rFonts w:ascii="Cambria Math" w:hAnsi="Cambria Math"/>
                    <w:szCs w:val="21"/>
                  </w:rPr>
                </m:ctrlPr>
              </m:e>
            </m:d>
            <m:ctrlPr>
              <w:rPr>
                <w:rFonts w:ascii="Cambria Math" w:hAnsi="Cambria Math"/>
                <w:szCs w:val="21"/>
              </w:rPr>
            </m:ctrlPr>
          </m:e>
          <m:sup>
            <m:r>
              <m:rPr>
                <m:sty m:val="p"/>
              </m:rPr>
              <w:rPr>
                <w:rFonts w:ascii="Cambria Math" w:hAnsi="Cambria Math"/>
                <w:szCs w:val="21"/>
              </w:rPr>
              <m:t>2</m:t>
            </m:r>
            <m:ctrlPr>
              <w:rPr>
                <w:rFonts w:ascii="Cambria Math" w:hAnsi="Cambria Math"/>
                <w:szCs w:val="21"/>
              </w:rPr>
            </m:ctrlPr>
          </m:sup>
        </m:sSup>
      </m:oMath>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（6</w:t>
      </w:r>
      <w:r>
        <w:rPr>
          <w:szCs w:val="21"/>
        </w:rPr>
        <w:t>-1</w:t>
      </w:r>
      <w:r>
        <w:rPr>
          <w:rFonts w:hint="eastAsia"/>
          <w:szCs w:val="21"/>
        </w:rPr>
        <w:t>）</w:t>
      </w:r>
    </w:p>
    <w:p>
      <w:pPr>
        <w:pStyle w:val="10"/>
        <w:spacing w:after="0" w:line="360" w:lineRule="auto"/>
        <w:rPr>
          <w:szCs w:val="21"/>
        </w:rPr>
      </w:pPr>
      <w:r>
        <w:rPr>
          <w:rFonts w:hint="eastAsia"/>
          <w:szCs w:val="21"/>
        </w:rPr>
        <w:t>式中：</w:t>
      </w:r>
      <m:oMath>
        <m:sSub>
          <m:sSubPr>
            <m:ctrlPr>
              <w:rPr>
                <w:rFonts w:ascii="Cambria Math" w:hAnsi="Cambria Math"/>
                <w:szCs w:val="21"/>
              </w:rPr>
            </m:ctrlPr>
          </m:sSubPr>
          <m:e>
            <m:r>
              <m:rPr/>
              <w:rPr>
                <w:rFonts w:ascii="Cambria Math" w:hAnsi="Cambria Math"/>
                <w:szCs w:val="21"/>
              </w:rPr>
              <m:t>P</m:t>
            </m:r>
            <m:ctrlPr>
              <w:rPr>
                <w:rFonts w:ascii="Cambria Math" w:hAnsi="Cambria Math"/>
                <w:szCs w:val="21"/>
              </w:rPr>
            </m:ctrlPr>
          </m:e>
          <m:sub>
            <m:r>
              <m:rPr/>
              <w:rPr>
                <w:rFonts w:hint="eastAsia" w:ascii="Cambria Math" w:hAnsi="Cambria Math"/>
                <w:szCs w:val="21"/>
              </w:rPr>
              <m:t>r</m:t>
            </m:r>
            <m:ctrlPr>
              <w:rPr>
                <w:rFonts w:ascii="Cambria Math" w:hAnsi="Cambria Math"/>
                <w:szCs w:val="21"/>
              </w:rPr>
            </m:ctrlPr>
          </m:sub>
        </m:sSub>
      </m:oMath>
      <w:r>
        <w:rPr>
          <w:rFonts w:hint="eastAsia"/>
          <w:szCs w:val="21"/>
        </w:rPr>
        <w:t>—功率反射系数；</w:t>
      </w:r>
    </w:p>
    <w:p>
      <w:pPr>
        <w:pStyle w:val="10"/>
        <w:spacing w:after="0" w:line="360" w:lineRule="auto"/>
        <w:ind w:firstLine="630" w:firstLineChars="300"/>
        <w:rPr>
          <w:szCs w:val="21"/>
        </w:rPr>
      </w:pPr>
      <m:oMath>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hint="eastAsia" w:ascii="Cambria Math" w:hAnsi="Cambria Math"/>
                <w:szCs w:val="21"/>
              </w:rPr>
              <m:t>r</m:t>
            </m:r>
            <m:r>
              <m:rPr>
                <m:sty m:val="p"/>
              </m:rPr>
              <w:rPr>
                <w:rFonts w:ascii="Cambria Math" w:hAnsi="Cambria Math"/>
                <w:szCs w:val="21"/>
              </w:rPr>
              <m:t>1</m:t>
            </m:r>
            <m:ctrlPr>
              <w:rPr>
                <w:rFonts w:ascii="Cambria Math" w:hAnsi="Cambria Math"/>
                <w:szCs w:val="21"/>
              </w:rPr>
            </m:ctrlPr>
          </m:sub>
        </m:sSub>
      </m:oMath>
      <w:r>
        <w:rPr>
          <w:rFonts w:hint="eastAsia"/>
          <w:szCs w:val="21"/>
        </w:rPr>
        <w:t>—周边介质相对介电常数；</w:t>
      </w:r>
    </w:p>
    <w:p>
      <w:pPr>
        <w:pStyle w:val="10"/>
        <w:spacing w:after="0" w:line="360" w:lineRule="auto"/>
        <w:ind w:firstLine="630" w:firstLineChars="300"/>
        <w:rPr>
          <w:szCs w:val="21"/>
        </w:rPr>
      </w:pPr>
      <m:oMath>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hint="eastAsia" w:ascii="Cambria Math" w:hAnsi="Cambria Math"/>
                <w:szCs w:val="21"/>
              </w:rPr>
              <m:t>r</m:t>
            </m:r>
            <m:r>
              <m:rPr>
                <m:sty m:val="p"/>
              </m:rPr>
              <w:rPr>
                <w:rFonts w:ascii="Cambria Math" w:hAnsi="Cambria Math"/>
                <w:szCs w:val="21"/>
              </w:rPr>
              <m:t>2</m:t>
            </m:r>
            <m:ctrlPr>
              <w:rPr>
                <w:rFonts w:ascii="Cambria Math" w:hAnsi="Cambria Math"/>
                <w:szCs w:val="21"/>
              </w:rPr>
            </m:ctrlPr>
          </m:sub>
        </m:sSub>
      </m:oMath>
      <w:r>
        <w:rPr>
          <w:rFonts w:hint="eastAsia"/>
          <w:szCs w:val="21"/>
        </w:rPr>
        <w:t>—被探测对象相对介电常数。</w:t>
      </w:r>
    </w:p>
    <w:p>
      <w:pPr>
        <w:pStyle w:val="10"/>
        <w:spacing w:after="0" w:line="360" w:lineRule="auto"/>
        <w:ind w:firstLine="420" w:firstLineChars="200"/>
        <w:rPr>
          <w:rFonts w:ascii="Cambria Math" w:hAnsi="Cambria Math"/>
          <w:szCs w:val="21"/>
        </w:rPr>
      </w:pPr>
      <w:r>
        <w:rPr>
          <w:rFonts w:hint="eastAsia" w:ascii="Cambria Math" w:hAnsi="Cambria Math"/>
          <w:szCs w:val="21"/>
        </w:rPr>
        <w:t>在实际使用中，当功率发射系数</w:t>
      </w:r>
      <m:oMath>
        <m:sSub>
          <m:sSubPr>
            <m:ctrlPr>
              <w:rPr>
                <w:rFonts w:ascii="Cambria Math" w:hAnsi="Cambria Math"/>
                <w:szCs w:val="21"/>
              </w:rPr>
            </m:ctrlPr>
          </m:sSubPr>
          <m:e>
            <m:r>
              <m:rPr/>
              <w:rPr>
                <w:rFonts w:ascii="Cambria Math" w:hAnsi="Cambria Math"/>
                <w:szCs w:val="21"/>
              </w:rPr>
              <m:t>P</m:t>
            </m:r>
            <m:ctrlPr>
              <w:rPr>
                <w:rFonts w:ascii="Cambria Math" w:hAnsi="Cambria Math"/>
                <w:szCs w:val="21"/>
              </w:rPr>
            </m:ctrlPr>
          </m:e>
          <m:sub>
            <m:r>
              <m:rPr/>
              <w:rPr>
                <w:rFonts w:hint="eastAsia" w:ascii="Cambria Math" w:hAnsi="Cambria Math"/>
                <w:szCs w:val="21"/>
              </w:rPr>
              <m:t>r</m:t>
            </m:r>
            <m:ctrlPr>
              <w:rPr>
                <w:rFonts w:ascii="Cambria Math" w:hAnsi="Cambria Math"/>
                <w:szCs w:val="21"/>
              </w:rPr>
            </m:ctrlPr>
          </m:sub>
        </m:sSub>
      </m:oMath>
      <w:r>
        <w:rPr>
          <w:rFonts w:hint="eastAsia" w:ascii="Cambria Math" w:hAnsi="Cambria Math"/>
          <w:szCs w:val="21"/>
        </w:rPr>
        <w:t>≥</w:t>
      </w:r>
      <w:r>
        <w:rPr>
          <w:rFonts w:ascii="Cambria Math" w:hAnsi="Cambria Math"/>
          <w:szCs w:val="21"/>
        </w:rPr>
        <w:t>0.01</w:t>
      </w:r>
      <w:r>
        <w:rPr>
          <w:rFonts w:hint="eastAsia" w:ascii="Cambria Math" w:hAnsi="Cambria Math"/>
          <w:szCs w:val="21"/>
        </w:rPr>
        <w:t>，认为其介电性质差异可在探地雷达法剖面上产生识别的</w:t>
      </w:r>
      <w:r>
        <w:rPr>
          <w:rFonts w:hint="eastAsia" w:ascii="Cambria Math" w:hAnsi="Cambria Math"/>
          <w:szCs w:val="21"/>
          <w:lang w:eastAsia="zh-CN"/>
        </w:rPr>
        <w:t>信号反应</w:t>
      </w:r>
      <w:r>
        <w:rPr>
          <w:rFonts w:hint="eastAsia" w:ascii="Cambria Math" w:hAnsi="Cambria Math"/>
          <w:szCs w:val="21"/>
        </w:rPr>
        <w:t>。</w:t>
      </w:r>
    </w:p>
    <w:p>
      <w:pPr>
        <w:pStyle w:val="10"/>
        <w:spacing w:after="0" w:line="360" w:lineRule="auto"/>
        <w:rPr>
          <w:szCs w:val="21"/>
        </w:rPr>
      </w:pPr>
      <w:r>
        <w:rPr>
          <w:rFonts w:hint="eastAsia"/>
          <w:szCs w:val="21"/>
        </w:rPr>
        <w:t>6</w:t>
      </w:r>
      <w:r>
        <w:rPr>
          <w:szCs w:val="21"/>
        </w:rPr>
        <w:t xml:space="preserve">.2.3  </w:t>
      </w:r>
      <w:r>
        <w:rPr>
          <w:rFonts w:hint="eastAsia"/>
          <w:szCs w:val="21"/>
        </w:rPr>
        <w:t>当地下存在一反射面时，保持一个雷达天线固定在地面某一点上不动，而另一个天线沿测线移动，记录地下各个不同层面反射波的双程走时，这种测量方法称为宽角法，主要用来求取地下介质的电磁波传播速度。</w:t>
      </w:r>
    </w:p>
    <w:p>
      <w:pPr>
        <w:pStyle w:val="10"/>
        <w:spacing w:after="0" w:line="360" w:lineRule="auto"/>
        <w:ind w:firstLine="420" w:firstLineChars="200"/>
        <w:rPr>
          <w:szCs w:val="21"/>
        </w:rPr>
      </w:pPr>
      <w:r>
        <w:rPr>
          <w:rFonts w:hint="eastAsia"/>
          <w:szCs w:val="21"/>
        </w:rPr>
        <w:t>地下深度为d的水平界面的反射波的双程走时：</w:t>
      </w:r>
    </w:p>
    <w:p>
      <w:pPr>
        <w:pStyle w:val="10"/>
        <w:spacing w:after="0" w:line="360" w:lineRule="auto"/>
        <w:jc w:val="right"/>
        <w:rPr>
          <w:szCs w:val="21"/>
        </w:rPr>
      </w:pPr>
      <m:oMath>
        <m:sSup>
          <m:sSupPr>
            <m:ctrlPr>
              <w:rPr>
                <w:rFonts w:ascii="Cambria Math" w:hAnsi="Cambria Math"/>
                <w:szCs w:val="21"/>
              </w:rPr>
            </m:ctrlPr>
          </m:sSupPr>
          <m:e>
            <m:r>
              <m:rPr/>
              <w:rPr>
                <w:rFonts w:hint="eastAsia" w:ascii="Cambria Math" w:hAnsi="Cambria Math"/>
                <w:szCs w:val="21"/>
              </w:rPr>
              <m:t>t</m:t>
            </m:r>
            <m:ctrlPr>
              <w:rPr>
                <w:rFonts w:ascii="Cambria Math" w:hAnsi="Cambria Math"/>
                <w:szCs w:val="21"/>
              </w:rPr>
            </m:ctrlPr>
          </m:e>
          <m:sup>
            <m:r>
              <m:rPr>
                <m:sty m:val="p"/>
              </m:rPr>
              <w:rPr>
                <w:rFonts w:ascii="Cambria Math" w:hAnsi="Cambria Math"/>
                <w:szCs w:val="21"/>
              </w:rPr>
              <m:t>2</m:t>
            </m:r>
            <m:ctrlPr>
              <w:rPr>
                <w:rFonts w:ascii="Cambria Math" w:hAnsi="Cambria Math"/>
                <w:szCs w:val="21"/>
              </w:rPr>
            </m:ctrlPr>
          </m:sup>
        </m:sSup>
        <m:r>
          <m:rPr>
            <m:sty m:val="p"/>
          </m:rPr>
          <w:rPr>
            <w:rFonts w:ascii="Cambria Math" w:hAnsi="Cambria Math"/>
            <w:szCs w:val="21"/>
          </w:rPr>
          <m:t>=</m:t>
        </m:r>
        <m:f>
          <m:fPr>
            <m:ctrlPr>
              <w:rPr>
                <w:rFonts w:ascii="Cambria Math" w:hAnsi="Cambria Math"/>
                <w:szCs w:val="21"/>
              </w:rPr>
            </m:ctrlPr>
          </m:fPr>
          <m:num>
            <m:sSup>
              <m:sSupPr>
                <m:ctrlPr>
                  <w:rPr>
                    <w:rFonts w:ascii="Cambria Math" w:hAnsi="Cambria Math"/>
                    <w:szCs w:val="21"/>
                  </w:rPr>
                </m:ctrlPr>
              </m:sSupPr>
              <m:e>
                <m:r>
                  <m:rPr/>
                  <w:rPr>
                    <w:rFonts w:hint="eastAsia" w:ascii="Cambria Math" w:hAnsi="Cambria Math"/>
                    <w:szCs w:val="21"/>
                  </w:rPr>
                  <m:t>x</m:t>
                </m:r>
                <m:ctrlPr>
                  <w:rPr>
                    <w:rFonts w:ascii="Cambria Math" w:hAnsi="Cambria Math"/>
                    <w:szCs w:val="21"/>
                  </w:rPr>
                </m:ctrlPr>
              </m:e>
              <m:sup>
                <m:r>
                  <m:rPr>
                    <m:sty m:val="p"/>
                  </m:rPr>
                  <w:rPr>
                    <w:rFonts w:ascii="Cambria Math" w:hAnsi="Cambria Math"/>
                    <w:szCs w:val="21"/>
                  </w:rPr>
                  <m:t>2</m:t>
                </m:r>
                <m:ctrlPr>
                  <w:rPr>
                    <w:rFonts w:ascii="Cambria Math" w:hAnsi="Cambria Math"/>
                    <w:szCs w:val="21"/>
                  </w:rPr>
                </m:ctrlPr>
              </m:sup>
            </m:sSup>
            <m:ctrlPr>
              <w:rPr>
                <w:rFonts w:ascii="Cambria Math" w:hAnsi="Cambria Math"/>
                <w:szCs w:val="21"/>
              </w:rPr>
            </m:ctrlPr>
          </m:num>
          <m:den>
            <m:sSup>
              <m:sSupPr>
                <m:ctrlPr>
                  <w:rPr>
                    <w:rFonts w:ascii="Cambria Math" w:hAnsi="Cambria Math"/>
                    <w:szCs w:val="21"/>
                  </w:rPr>
                </m:ctrlPr>
              </m:sSupPr>
              <m:e>
                <m:r>
                  <m:rPr/>
                  <w:rPr>
                    <w:rFonts w:hint="eastAsia" w:ascii="Cambria Math" w:hAnsi="Cambria Math"/>
                    <w:szCs w:val="21"/>
                  </w:rPr>
                  <m:t>v</m:t>
                </m:r>
                <m:ctrlPr>
                  <w:rPr>
                    <w:rFonts w:ascii="Cambria Math" w:hAnsi="Cambria Math"/>
                    <w:szCs w:val="21"/>
                  </w:rPr>
                </m:ctrlPr>
              </m:e>
              <m:sup>
                <m:r>
                  <m:rPr>
                    <m:sty m:val="p"/>
                  </m:rPr>
                  <w:rPr>
                    <w:rFonts w:ascii="Cambria Math" w:hAnsi="Cambria Math"/>
                    <w:szCs w:val="21"/>
                  </w:rPr>
                  <m:t>2</m:t>
                </m:r>
                <m:ctrlPr>
                  <w:rPr>
                    <w:rFonts w:ascii="Cambria Math" w:hAnsi="Cambria Math"/>
                    <w:szCs w:val="21"/>
                  </w:rPr>
                </m:ctrlPr>
              </m:sup>
            </m:sSup>
            <m:ctrlPr>
              <w:rPr>
                <w:rFonts w:ascii="Cambria Math" w:hAnsi="Cambria Math"/>
                <w:szCs w:val="21"/>
              </w:rPr>
            </m:ctrlPr>
          </m:den>
        </m:f>
        <m:r>
          <m:rPr>
            <m:sty m:val="p"/>
          </m:rPr>
          <w:rPr>
            <w:rFonts w:ascii="Cambria Math" w:hAnsi="Cambria Math"/>
            <w:szCs w:val="21"/>
          </w:rPr>
          <m:t>+</m:t>
        </m:r>
        <m:f>
          <m:fPr>
            <m:ctrlPr>
              <w:rPr>
                <w:rFonts w:ascii="Cambria Math" w:hAnsi="Cambria Math"/>
                <w:szCs w:val="21"/>
              </w:rPr>
            </m:ctrlPr>
          </m:fPr>
          <m:num>
            <m:sSup>
              <m:sSupPr>
                <m:ctrlPr>
                  <w:rPr>
                    <w:rFonts w:ascii="Cambria Math" w:hAnsi="Cambria Math"/>
                    <w:szCs w:val="21"/>
                  </w:rPr>
                </m:ctrlPr>
              </m:sSupPr>
              <m:e>
                <m:r>
                  <m:rPr>
                    <m:sty m:val="p"/>
                  </m:rPr>
                  <w:rPr>
                    <w:rFonts w:ascii="Cambria Math" w:hAnsi="Cambria Math"/>
                    <w:szCs w:val="21"/>
                  </w:rPr>
                  <m:t>4</m:t>
                </m:r>
                <m:r>
                  <m:rPr/>
                  <w:rPr>
                    <w:rFonts w:hint="eastAsia" w:ascii="Cambria Math" w:hAnsi="Cambria Math"/>
                    <w:szCs w:val="21"/>
                  </w:rPr>
                  <m:t>d</m:t>
                </m:r>
                <m:ctrlPr>
                  <w:rPr>
                    <w:rFonts w:ascii="Cambria Math" w:hAnsi="Cambria Math"/>
                    <w:szCs w:val="21"/>
                  </w:rPr>
                </m:ctrlPr>
              </m:e>
              <m:sup>
                <m:r>
                  <m:rPr>
                    <m:sty m:val="p"/>
                  </m:rPr>
                  <w:rPr>
                    <w:rFonts w:ascii="Cambria Math" w:hAnsi="Cambria Math"/>
                    <w:szCs w:val="21"/>
                  </w:rPr>
                  <m:t>2</m:t>
                </m:r>
                <m:ctrlPr>
                  <w:rPr>
                    <w:rFonts w:ascii="Cambria Math" w:hAnsi="Cambria Math"/>
                    <w:szCs w:val="21"/>
                  </w:rPr>
                </m:ctrlPr>
              </m:sup>
            </m:sSup>
            <m:ctrlPr>
              <w:rPr>
                <w:rFonts w:ascii="Cambria Math" w:hAnsi="Cambria Math"/>
                <w:szCs w:val="21"/>
              </w:rPr>
            </m:ctrlPr>
          </m:num>
          <m:den>
            <m:sSup>
              <m:sSupPr>
                <m:ctrlPr>
                  <w:rPr>
                    <w:rFonts w:ascii="Cambria Math" w:hAnsi="Cambria Math"/>
                    <w:szCs w:val="21"/>
                  </w:rPr>
                </m:ctrlPr>
              </m:sSupPr>
              <m:e>
                <m:r>
                  <m:rPr/>
                  <w:rPr>
                    <w:rFonts w:hint="eastAsia" w:ascii="Cambria Math" w:hAnsi="Cambria Math"/>
                    <w:szCs w:val="21"/>
                  </w:rPr>
                  <m:t>v</m:t>
                </m:r>
                <m:ctrlPr>
                  <w:rPr>
                    <w:rFonts w:ascii="Cambria Math" w:hAnsi="Cambria Math"/>
                    <w:szCs w:val="21"/>
                  </w:rPr>
                </m:ctrlPr>
              </m:e>
              <m:sup>
                <m:r>
                  <m:rPr>
                    <m:sty m:val="p"/>
                  </m:rPr>
                  <w:rPr>
                    <w:rFonts w:ascii="Cambria Math" w:hAnsi="Cambria Math"/>
                    <w:szCs w:val="21"/>
                  </w:rPr>
                  <m:t>2</m:t>
                </m:r>
                <m:ctrlPr>
                  <w:rPr>
                    <w:rFonts w:ascii="Cambria Math" w:hAnsi="Cambria Math"/>
                    <w:szCs w:val="21"/>
                  </w:rPr>
                </m:ctrlPr>
              </m:sup>
            </m:sSup>
            <m:ctrlPr>
              <w:rPr>
                <w:rFonts w:ascii="Cambria Math" w:hAnsi="Cambria Math"/>
                <w:szCs w:val="21"/>
              </w:rPr>
            </m:ctrlPr>
          </m:den>
        </m:f>
      </m:oMath>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（6</w:t>
      </w:r>
      <w:r>
        <w:rPr>
          <w:szCs w:val="21"/>
        </w:rPr>
        <w:t>-2</w:t>
      </w:r>
      <w:r>
        <w:rPr>
          <w:rFonts w:hint="eastAsia"/>
          <w:szCs w:val="21"/>
        </w:rPr>
        <w:t>）</w:t>
      </w:r>
    </w:p>
    <w:p>
      <w:pPr>
        <w:pStyle w:val="10"/>
        <w:spacing w:after="0" w:line="360" w:lineRule="auto"/>
        <w:rPr>
          <w:szCs w:val="21"/>
        </w:rPr>
      </w:pPr>
      <w:r>
        <w:rPr>
          <w:rFonts w:hint="eastAsia"/>
          <w:szCs w:val="21"/>
        </w:rPr>
        <w:t>式中：</w:t>
      </w:r>
      <m:oMath>
        <m:r>
          <m:rPr/>
          <w:rPr>
            <w:rFonts w:hint="eastAsia" w:ascii="Cambria Math" w:hAnsi="Cambria Math"/>
            <w:szCs w:val="21"/>
          </w:rPr>
          <m:t>x</m:t>
        </m:r>
      </m:oMath>
      <w:r>
        <w:rPr>
          <w:rFonts w:hint="eastAsia"/>
          <w:szCs w:val="21"/>
        </w:rPr>
        <w:t>—发射天线与接收天线之间的距离；</w:t>
      </w:r>
    </w:p>
    <w:p>
      <w:pPr>
        <w:pStyle w:val="10"/>
        <w:spacing w:after="0" w:line="360" w:lineRule="auto"/>
        <w:ind w:firstLine="630" w:firstLineChars="300"/>
        <w:rPr>
          <w:szCs w:val="21"/>
        </w:rPr>
      </w:pPr>
      <m:oMath>
        <m:r>
          <m:rPr/>
          <w:rPr>
            <w:rFonts w:hint="eastAsia" w:ascii="Cambria Math" w:hAnsi="Cambria Math"/>
            <w:szCs w:val="21"/>
          </w:rPr>
          <m:t>d</m:t>
        </m:r>
      </m:oMath>
      <w:r>
        <w:rPr>
          <w:rFonts w:hint="eastAsia"/>
          <w:szCs w:val="21"/>
        </w:rPr>
        <w:t>—发射界面的深度；</w:t>
      </w:r>
    </w:p>
    <w:p>
      <w:pPr>
        <w:pStyle w:val="70"/>
        <w:ind w:firstLine="630" w:firstLineChars="300"/>
      </w:pPr>
      <m:oMath>
        <m:r>
          <m:rPr/>
          <w:rPr>
            <w:rFonts w:hint="eastAsia" w:ascii="Cambria Math" w:hAnsi="Cambria Math"/>
          </w:rPr>
          <m:t>v</m:t>
        </m:r>
      </m:oMath>
      <w:r>
        <w:rPr>
          <w:rFonts w:hint="eastAsia"/>
        </w:rPr>
        <w:t>—电磁波的传输速度。</w:t>
      </w:r>
    </w:p>
    <w:p>
      <w:r>
        <w:rPr>
          <w:rFonts w:hint="eastAsia"/>
        </w:rPr>
        <w:t>6</w:t>
      </w:r>
      <w:r>
        <w:t xml:space="preserve">.2.4  </w:t>
      </w:r>
      <w:r>
        <w:rPr>
          <w:rFonts w:hint="eastAsia"/>
        </w:rPr>
        <w:t>干扰目标分类及其探地雷达图谱样例如表</w:t>
      </w:r>
      <w:r>
        <w:t>6-2</w:t>
      </w:r>
      <w:r>
        <w:rPr>
          <w:rFonts w:hint="eastAsia"/>
        </w:rPr>
        <w:t>所示。</w:t>
      </w:r>
    </w:p>
    <w:p/>
    <w:p/>
    <w:p>
      <w:pPr>
        <w:sectPr>
          <w:pgSz w:w="11906" w:h="16838"/>
          <w:pgMar w:top="1440" w:right="1800" w:bottom="1440" w:left="2268" w:header="851" w:footer="992" w:gutter="0"/>
          <w:cols w:space="425" w:num="1"/>
          <w:docGrid w:type="lines" w:linePitch="312" w:charSpace="0"/>
        </w:sectPr>
      </w:pPr>
    </w:p>
    <w:p>
      <w:pPr>
        <w:autoSpaceDE w:val="0"/>
        <w:autoSpaceDN w:val="0"/>
        <w:adjustRightInd w:val="0"/>
        <w:snapToGrid w:val="0"/>
        <w:jc w:val="center"/>
        <w:rPr>
          <w:b/>
        </w:rPr>
      </w:pPr>
      <w:r>
        <w:rPr>
          <w:rFonts w:hint="eastAsia"/>
          <w:b/>
        </w:rPr>
        <w:t>表</w:t>
      </w:r>
      <w:r>
        <w:rPr>
          <w:b/>
        </w:rPr>
        <w:t xml:space="preserve">6-2  </w:t>
      </w:r>
      <w:r>
        <w:rPr>
          <w:rFonts w:hint="eastAsia"/>
          <w:b/>
        </w:rPr>
        <w:t>干扰目标分类及其探地雷达图谱样例</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810"/>
        <w:gridCol w:w="2126"/>
        <w:gridCol w:w="1276"/>
        <w:gridCol w:w="1842"/>
        <w:gridCol w:w="1276"/>
        <w:gridCol w:w="1701"/>
        <w:gridCol w:w="851"/>
        <w:gridCol w:w="1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36"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异常体</w:t>
            </w:r>
          </w:p>
        </w:tc>
        <w:tc>
          <w:tcPr>
            <w:tcW w:w="10031" w:type="dxa"/>
            <w:gridSpan w:val="6"/>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图像特征</w:t>
            </w:r>
          </w:p>
        </w:tc>
        <w:tc>
          <w:tcPr>
            <w:tcW w:w="851"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w:t>
            </w:r>
          </w:p>
        </w:tc>
        <w:tc>
          <w:tcPr>
            <w:tcW w:w="1610"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相位与频谱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36"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3936"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时间切片</w:t>
            </w:r>
          </w:p>
        </w:tc>
        <w:tc>
          <w:tcPr>
            <w:tcW w:w="3118"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顺延切片</w:t>
            </w:r>
          </w:p>
        </w:tc>
        <w:tc>
          <w:tcPr>
            <w:tcW w:w="2977"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垂直切片</w:t>
            </w:r>
          </w:p>
        </w:tc>
        <w:tc>
          <w:tcPr>
            <w:tcW w:w="851"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1610" w:type="dxa"/>
            <w:vMerge w:val="continue"/>
            <w:vAlign w:val="center"/>
          </w:tcPr>
          <w:p>
            <w:pPr>
              <w:pStyle w:val="74"/>
              <w:spacing w:before="0" w:beforeAutospacing="0" w:after="0" w:afterAutospacing="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金属管线</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线状延伸分布，反射强度与周围明显不连续</w:t>
            </w:r>
          </w:p>
        </w:tc>
        <w:tc>
          <w:tcPr>
            <w:tcW w:w="2126"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1120775" cy="971550"/>
                  <wp:effectExtent l="0" t="0" r="3175" b="0"/>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a:stretch>
                            <a:fillRect/>
                          </a:stretch>
                        </pic:blipFill>
                        <pic:spPr>
                          <a:xfrm>
                            <a:off x="0" y="0"/>
                            <a:ext cx="1120948"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倒悬双曲线形态多次波明显</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935990" cy="971550"/>
                  <wp:effectExtent l="0" t="0" r="0" b="0"/>
                  <wp:docPr id="70" name="图片 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936395"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同相轴连续多次波明显</w:t>
            </w:r>
          </w:p>
        </w:tc>
        <w:tc>
          <w:tcPr>
            <w:tcW w:w="1701"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873125" cy="971550"/>
                  <wp:effectExtent l="0" t="0" r="3175" b="0"/>
                  <wp:docPr id="71" name="图片 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true" noChangeArrowheads="true"/>
                          </pic:cNvPicPr>
                        </pic:nvPicPr>
                        <pic:blipFill>
                          <a:blip r:embed="rId21">
                            <a:extLst>
                              <a:ext uri="{28A0092B-C50C-407E-A947-70E740481C1C}">
                                <a14:useLocalDpi xmlns:a14="http://schemas.microsoft.com/office/drawing/2010/main" val="false"/>
                              </a:ext>
                            </a:extLst>
                          </a:blip>
                          <a:srcRect t="16240" b="15385"/>
                          <a:stretch>
                            <a:fillRect/>
                          </a:stretch>
                        </pic:blipFill>
                        <pic:spPr>
                          <a:xfrm>
                            <a:off x="0" y="0"/>
                            <a:ext cx="873506"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振幅强</w:t>
            </w:r>
          </w:p>
        </w:tc>
        <w:tc>
          <w:tcPr>
            <w:tcW w:w="16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反射波与入射波反向频率高于背景场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非金属管线</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线状延伸分布，反射强度与周围较不连续</w:t>
            </w:r>
          </w:p>
        </w:tc>
        <w:tc>
          <w:tcPr>
            <w:tcW w:w="2126"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1141095" cy="971550"/>
                  <wp:effectExtent l="0" t="0" r="1905" b="0"/>
                  <wp:docPr id="72" name="图片 72" descr="dc3fc0d8a048dcc9c4566399b4c873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descr="dc3fc0d8a048dcc9c4566399b4c873f"/>
                          <pic:cNvPicPr>
                            <a:picLocks noChangeAspect="true" noChangeArrowheads="true"/>
                          </pic:cNvPicPr>
                        </pic:nvPicPr>
                        <pic:blipFill>
                          <a:blip r:embed="rId22">
                            <a:extLst>
                              <a:ext uri="{28A0092B-C50C-407E-A947-70E740481C1C}">
                                <a14:useLocalDpi xmlns:a14="http://schemas.microsoft.com/office/drawing/2010/main" val="false"/>
                              </a:ext>
                            </a:extLst>
                          </a:blip>
                          <a:srcRect/>
                          <a:stretch>
                            <a:fillRect/>
                          </a:stretch>
                        </pic:blipFill>
                        <pic:spPr>
                          <a:xfrm>
                            <a:off x="0" y="0"/>
                            <a:ext cx="1141477"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倒悬双曲线形态多次波不明显绕射拖尾短</w:t>
            </w:r>
          </w:p>
        </w:tc>
        <w:tc>
          <w:tcPr>
            <w:tcW w:w="1842"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989965" cy="971550"/>
                  <wp:effectExtent l="0" t="0" r="635" b="0"/>
                  <wp:docPr id="73" name="图片 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a:stretch>
                            <a:fillRect/>
                          </a:stretch>
                        </pic:blipFill>
                        <pic:spPr>
                          <a:xfrm>
                            <a:off x="0" y="0"/>
                            <a:ext cx="990479"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同相轴连续</w:t>
            </w:r>
          </w:p>
        </w:tc>
        <w:tc>
          <w:tcPr>
            <w:tcW w:w="1701"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897890" cy="971550"/>
                  <wp:effectExtent l="0" t="0" r="0" b="0"/>
                  <wp:docPr id="74" name="图片 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true" noChangeArrowheads="true"/>
                          </pic:cNvPicPr>
                        </pic:nvPicPr>
                        <pic:blipFill>
                          <a:blip r:embed="rId24">
                            <a:extLst>
                              <a:ext uri="{28A0092B-C50C-407E-A947-70E740481C1C}">
                                <a14:useLocalDpi xmlns:a14="http://schemas.microsoft.com/office/drawing/2010/main" val="false"/>
                              </a:ext>
                            </a:extLst>
                          </a:blip>
                          <a:srcRect b="28627"/>
                          <a:stretch>
                            <a:fillRect/>
                          </a:stretch>
                        </pic:blipFill>
                        <pic:spPr>
                          <a:xfrm>
                            <a:off x="0" y="0"/>
                            <a:ext cx="898084"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振幅较强</w:t>
            </w:r>
          </w:p>
        </w:tc>
        <w:tc>
          <w:tcPr>
            <w:tcW w:w="1610" w:type="dxa"/>
            <w:vAlign w:val="center"/>
          </w:tcPr>
          <w:p>
            <w:pPr>
              <w:spacing w:line="240" w:lineRule="auto"/>
              <w:jc w:val="center"/>
              <w:rPr>
                <w:rFonts w:ascii="Calibri" w:hAnsi="Calibri"/>
                <w:kern w:val="0"/>
                <w:sz w:val="18"/>
                <w:szCs w:val="18"/>
              </w:rPr>
            </w:pPr>
            <w:r>
              <w:rPr>
                <w:rFonts w:hint="eastAsia" w:ascii="Calibri" w:hAnsi="Calibri"/>
                <w:kern w:val="0"/>
                <w:sz w:val="18"/>
                <w:szCs w:val="18"/>
              </w:rPr>
              <w:t>反射波与入射波同向频率高于背景场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灯杆</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线状投影</w:t>
            </w:r>
          </w:p>
        </w:tc>
        <w:tc>
          <w:tcPr>
            <w:tcW w:w="2126"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1162685" cy="971550"/>
                  <wp:effectExtent l="0" t="0" r="0" b="0"/>
                  <wp:docPr id="75" name="图片 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true" noChangeArrowheads="true"/>
                          </pic:cNvPicPr>
                        </pic:nvPicPr>
                        <pic:blipFill>
                          <a:blip r:embed="rId25">
                            <a:extLst>
                              <a:ext uri="{28A0092B-C50C-407E-A947-70E740481C1C}">
                                <a14:useLocalDpi xmlns:a14="http://schemas.microsoft.com/office/drawing/2010/main" val="false"/>
                              </a:ext>
                            </a:extLst>
                          </a:blip>
                          <a:srcRect/>
                          <a:stretch>
                            <a:fillRect/>
                          </a:stretch>
                        </pic:blipFill>
                        <pic:spPr>
                          <a:xfrm>
                            <a:off x="0" y="0"/>
                            <a:ext cx="1162774"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倒悬双曲线形态绕射拖尾较长</w:t>
            </w:r>
          </w:p>
        </w:tc>
        <w:tc>
          <w:tcPr>
            <w:tcW w:w="1842"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989965" cy="971550"/>
                  <wp:effectExtent l="0" t="0" r="635" b="0"/>
                  <wp:docPr id="76" name="图片 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990479"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倒悬双曲线一半形态</w:t>
            </w:r>
          </w:p>
        </w:tc>
        <w:tc>
          <w:tcPr>
            <w:tcW w:w="1701"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915035" cy="971550"/>
                  <wp:effectExtent l="0" t="0" r="0" b="0"/>
                  <wp:docPr id="77" name="图片 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true" noChangeArrowheads="true"/>
                          </pic:cNvPicPr>
                        </pic:nvPicPr>
                        <pic:blipFill>
                          <a:blip r:embed="rId27">
                            <a:extLst>
                              <a:ext uri="{28A0092B-C50C-407E-A947-70E740481C1C}">
                                <a14:useLocalDpi xmlns:a14="http://schemas.microsoft.com/office/drawing/2010/main" val="false"/>
                              </a:ext>
                            </a:extLst>
                          </a:blip>
                          <a:srcRect/>
                          <a:stretch>
                            <a:fillRect/>
                          </a:stretch>
                        </pic:blipFill>
                        <pic:spPr>
                          <a:xfrm>
                            <a:off x="0" y="0"/>
                            <a:ext cx="915488"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振幅略强</w:t>
            </w:r>
          </w:p>
        </w:tc>
        <w:tc>
          <w:tcPr>
            <w:tcW w:w="1610" w:type="dxa"/>
            <w:vAlign w:val="center"/>
          </w:tcPr>
          <w:p>
            <w:pPr>
              <w:spacing w:line="240" w:lineRule="auto"/>
              <w:jc w:val="center"/>
              <w:rPr>
                <w:rFonts w:ascii="Calibri" w:hAnsi="Calibri"/>
                <w:kern w:val="0"/>
                <w:sz w:val="18"/>
                <w:szCs w:val="18"/>
              </w:rPr>
            </w:pPr>
            <w:r>
              <w:rPr>
                <w:rFonts w:hint="eastAsia" w:ascii="Calibri" w:hAnsi="Calibri"/>
                <w:kern w:val="0"/>
                <w:sz w:val="18"/>
                <w:szCs w:val="18"/>
              </w:rPr>
              <w:t>反射波与入射波反向</w:t>
            </w:r>
            <w:r>
              <w:rPr>
                <w:rFonts w:hint="eastAsia" w:ascii="Calibri" w:hAnsi="Calibri"/>
                <w:sz w:val="18"/>
                <w:szCs w:val="18"/>
              </w:rPr>
              <w:t>频率略高于背景场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过街天桥</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条带状延伸分布，反射强度与周围较不连续</w:t>
            </w:r>
          </w:p>
        </w:tc>
        <w:tc>
          <w:tcPr>
            <w:tcW w:w="2126"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1160780" cy="971550"/>
                  <wp:effectExtent l="0" t="0" r="1270" b="0"/>
                  <wp:docPr id="78" name="图片 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1161080"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倒悬双曲线形态多次波明显绕射拖尾较长</w:t>
            </w:r>
          </w:p>
        </w:tc>
        <w:tc>
          <w:tcPr>
            <w:tcW w:w="1842"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953770" cy="971550"/>
                  <wp:effectExtent l="0" t="0" r="0" b="0"/>
                  <wp:docPr id="79" name="图片 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true" noChangeArrowheads="true"/>
                          </pic:cNvPicPr>
                        </pic:nvPicPr>
                        <pic:blipFill>
                          <a:blip r:embed="rId29" cstate="print">
                            <a:extLst>
                              <a:ext uri="{28A0092B-C50C-407E-A947-70E740481C1C}">
                                <a14:useLocalDpi xmlns:a14="http://schemas.microsoft.com/office/drawing/2010/main" val="false"/>
                              </a:ext>
                            </a:extLst>
                          </a:blip>
                          <a:srcRect/>
                          <a:stretch>
                            <a:fillRect/>
                          </a:stretch>
                        </pic:blipFill>
                        <pic:spPr>
                          <a:xfrm>
                            <a:off x="0" y="0"/>
                            <a:ext cx="953866"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同相轴连续多次波明显</w:t>
            </w:r>
          </w:p>
        </w:tc>
        <w:tc>
          <w:tcPr>
            <w:tcW w:w="1701" w:type="dxa"/>
          </w:tcPr>
          <w:p>
            <w:pPr>
              <w:pStyle w:val="74"/>
              <w:spacing w:before="0" w:beforeAutospacing="0" w:after="0" w:afterAutospacing="0"/>
              <w:jc w:val="center"/>
              <w:rPr>
                <w:rFonts w:ascii="Times New Roman" w:hAnsi="Times New Roman" w:cs="Times New Roman"/>
                <w:sz w:val="18"/>
                <w:szCs w:val="18"/>
              </w:rPr>
            </w:pPr>
            <w:r>
              <w:rPr>
                <w:color w:val="0070C0"/>
                <w:sz w:val="18"/>
                <w:szCs w:val="18"/>
              </w:rPr>
              <w:drawing>
                <wp:inline distT="0" distB="0" distL="0" distR="0">
                  <wp:extent cx="880745" cy="971550"/>
                  <wp:effectExtent l="0" t="0" r="0" b="0"/>
                  <wp:docPr id="80" name="图片 8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true" noChangeArrowheads="true"/>
                          </pic:cNvPicPr>
                        </pic:nvPicPr>
                        <pic:blipFill>
                          <a:blip r:embed="rId30">
                            <a:extLst>
                              <a:ext uri="{28A0092B-C50C-407E-A947-70E740481C1C}">
                                <a14:useLocalDpi xmlns:a14="http://schemas.microsoft.com/office/drawing/2010/main" val="false"/>
                              </a:ext>
                            </a:extLst>
                          </a:blip>
                          <a:srcRect t="19501" r="6316"/>
                          <a:stretch>
                            <a:fillRect/>
                          </a:stretch>
                        </pic:blipFill>
                        <pic:spPr>
                          <a:xfrm>
                            <a:off x="0" y="0"/>
                            <a:ext cx="881328"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振幅较强</w:t>
            </w:r>
          </w:p>
        </w:tc>
        <w:tc>
          <w:tcPr>
            <w:tcW w:w="1610" w:type="dxa"/>
            <w:vAlign w:val="center"/>
          </w:tcPr>
          <w:p>
            <w:pPr>
              <w:spacing w:line="240" w:lineRule="auto"/>
              <w:jc w:val="center"/>
              <w:rPr>
                <w:rFonts w:ascii="Calibri" w:hAnsi="Calibri"/>
                <w:kern w:val="0"/>
                <w:sz w:val="18"/>
                <w:szCs w:val="18"/>
              </w:rPr>
            </w:pPr>
            <w:r>
              <w:rPr>
                <w:rFonts w:hint="eastAsia" w:ascii="Calibri" w:hAnsi="Calibri"/>
                <w:kern w:val="0"/>
                <w:sz w:val="18"/>
                <w:szCs w:val="18"/>
              </w:rPr>
              <w:t>反射波与入射波同向</w:t>
            </w:r>
            <w:r>
              <w:rPr>
                <w:rFonts w:hint="eastAsia" w:ascii="Calibri" w:hAnsi="Calibri"/>
                <w:sz w:val="18"/>
                <w:szCs w:val="18"/>
              </w:rPr>
              <w:t>频率高于背景场</w:t>
            </w:r>
          </w:p>
        </w:tc>
      </w:tr>
    </w:tbl>
    <w:p>
      <w:pPr>
        <w:jc w:val="center"/>
        <w:rPr>
          <w:bCs/>
        </w:rPr>
      </w:pPr>
    </w:p>
    <w:p>
      <w:pPr>
        <w:jc w:val="center"/>
        <w:rPr>
          <w:bCs/>
        </w:rPr>
      </w:pPr>
      <w:r>
        <w:rPr>
          <w:rFonts w:hint="eastAsia"/>
          <w:bCs/>
        </w:rPr>
        <w:t>续表</w:t>
      </w:r>
      <w:r>
        <w:rPr>
          <w:bCs/>
        </w:rPr>
        <w:t>6-2</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810"/>
        <w:gridCol w:w="2126"/>
        <w:gridCol w:w="1276"/>
        <w:gridCol w:w="1842"/>
        <w:gridCol w:w="1276"/>
        <w:gridCol w:w="1701"/>
        <w:gridCol w:w="851"/>
        <w:gridCol w:w="1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36"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异常体</w:t>
            </w:r>
          </w:p>
        </w:tc>
        <w:tc>
          <w:tcPr>
            <w:tcW w:w="10031" w:type="dxa"/>
            <w:gridSpan w:val="6"/>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图像特征</w:t>
            </w:r>
          </w:p>
        </w:tc>
        <w:tc>
          <w:tcPr>
            <w:tcW w:w="851"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w:t>
            </w:r>
          </w:p>
        </w:tc>
        <w:tc>
          <w:tcPr>
            <w:tcW w:w="1610"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相位与频谱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36"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3936"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时间切片</w:t>
            </w:r>
          </w:p>
        </w:tc>
        <w:tc>
          <w:tcPr>
            <w:tcW w:w="3118"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顺延切片</w:t>
            </w:r>
          </w:p>
        </w:tc>
        <w:tc>
          <w:tcPr>
            <w:tcW w:w="2977"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垂直切片</w:t>
            </w:r>
          </w:p>
        </w:tc>
        <w:tc>
          <w:tcPr>
            <w:tcW w:w="851"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1610" w:type="dxa"/>
            <w:vMerge w:val="continue"/>
            <w:vAlign w:val="center"/>
          </w:tcPr>
          <w:p>
            <w:pPr>
              <w:pStyle w:val="74"/>
              <w:spacing w:before="0" w:beforeAutospacing="0" w:after="0" w:afterAutospacing="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井盖</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圆形亮斑，反射强度与周围极不连续</w:t>
            </w:r>
          </w:p>
        </w:tc>
        <w:tc>
          <w:tcPr>
            <w:tcW w:w="2126" w:type="dxa"/>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1099820" cy="971550"/>
                  <wp:effectExtent l="0" t="0" r="5080" b="0"/>
                  <wp:docPr id="881107300" name="图片 881107300" descr="7f62bfcde40cdb7f40a60d93736fea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1107300" name="图片 881107300" descr="7f62bfcde40cdb7f40a60d93736fea3"/>
                          <pic:cNvPicPr>
                            <a:picLocks noChangeAspect="true" noChangeArrowheads="true"/>
                          </pic:cNvPicPr>
                        </pic:nvPicPr>
                        <pic:blipFill>
                          <a:blip r:embed="rId31">
                            <a:extLst>
                              <a:ext uri="{28A0092B-C50C-407E-A947-70E740481C1C}">
                                <a14:useLocalDpi xmlns:a14="http://schemas.microsoft.com/office/drawing/2010/main" val="false"/>
                              </a:ext>
                            </a:extLst>
                          </a:blip>
                          <a:srcRect l="24335" t="31293" r="22054" b="2"/>
                          <a:stretch>
                            <a:fillRect/>
                          </a:stretch>
                        </pic:blipFill>
                        <pic:spPr>
                          <a:xfrm>
                            <a:off x="0" y="0"/>
                            <a:ext cx="1100056"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从地面开始多次反射极强</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912495" cy="971550"/>
                  <wp:effectExtent l="0" t="0" r="1905" b="0"/>
                  <wp:docPr id="1581692035" name="图片 1581692035" descr="6928e25826d1ce0ee06ac4cf33b30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81692035" name="图片 1581692035" descr="6928e25826d1ce0ee06ac4cf33b3049"/>
                          <pic:cNvPicPr>
                            <a:picLocks noChangeAspect="true" noChangeArrowheads="true"/>
                          </pic:cNvPicPr>
                        </pic:nvPicPr>
                        <pic:blipFill>
                          <a:blip r:embed="rId32">
                            <a:extLst>
                              <a:ext uri="{28A0092B-C50C-407E-A947-70E740481C1C}">
                                <a14:useLocalDpi xmlns:a14="http://schemas.microsoft.com/office/drawing/2010/main" val="false"/>
                              </a:ext>
                            </a:extLst>
                          </a:blip>
                          <a:srcRect l="18010" r="15166" b="33994"/>
                          <a:stretch>
                            <a:fillRect/>
                          </a:stretch>
                        </pic:blipFill>
                        <pic:spPr>
                          <a:xfrm>
                            <a:off x="0" y="0"/>
                            <a:ext cx="912740"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从地面开始多次反射强烈</w:t>
            </w:r>
          </w:p>
        </w:tc>
        <w:tc>
          <w:tcPr>
            <w:tcW w:w="1701"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834390" cy="971550"/>
                  <wp:effectExtent l="0" t="0" r="3810" b="0"/>
                  <wp:docPr id="1874398635" name="图片 1874398635" descr="96c92e48149042bf3bc92cd74451b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74398635" name="图片 1874398635" descr="96c92e48149042bf3bc92cd74451b69"/>
                          <pic:cNvPicPr>
                            <a:picLocks noChangeAspect="true" noChangeArrowheads="true"/>
                          </pic:cNvPicPr>
                        </pic:nvPicPr>
                        <pic:blipFill>
                          <a:blip r:embed="rId33">
                            <a:extLst>
                              <a:ext uri="{28A0092B-C50C-407E-A947-70E740481C1C}">
                                <a14:useLocalDpi xmlns:a14="http://schemas.microsoft.com/office/drawing/2010/main" val="false"/>
                              </a:ext>
                            </a:extLst>
                          </a:blip>
                          <a:srcRect r="18182" b="38455"/>
                          <a:stretch>
                            <a:fillRect/>
                          </a:stretch>
                        </pic:blipFill>
                        <pic:spPr>
                          <a:xfrm>
                            <a:off x="0" y="0"/>
                            <a:ext cx="834616"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振幅极强</w:t>
            </w:r>
          </w:p>
        </w:tc>
        <w:tc>
          <w:tcPr>
            <w:tcW w:w="16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相位不适用</w:t>
            </w:r>
          </w:p>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频率高于背景场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井室</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矩形，反射强度与周围不连续</w:t>
            </w:r>
          </w:p>
        </w:tc>
        <w:tc>
          <w:tcPr>
            <w:tcW w:w="2126" w:type="dxa"/>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1109345" cy="971550"/>
                  <wp:effectExtent l="0" t="0" r="0" b="0"/>
                  <wp:docPr id="248236521" name="图片 2482365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8236521" name="图片 248236521"/>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0" y="0"/>
                            <a:ext cx="1109384"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平板状形态绕射拖尾较长</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887095" cy="971550"/>
                  <wp:effectExtent l="0" t="0" r="8255" b="0"/>
                  <wp:docPr id="599348771" name="图片 5993487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9348771" name="图片 599348771"/>
                          <pic:cNvPicPr>
                            <a:picLocks noChangeAspect="true" noChangeArrowheads="true"/>
                          </pic:cNvPicPr>
                        </pic:nvPicPr>
                        <pic:blipFill>
                          <a:blip r:embed="rId35" cstate="print">
                            <a:extLst>
                              <a:ext uri="{28A0092B-C50C-407E-A947-70E740481C1C}">
                                <a14:useLocalDpi xmlns:a14="http://schemas.microsoft.com/office/drawing/2010/main" val="false"/>
                              </a:ext>
                            </a:extLst>
                          </a:blip>
                          <a:srcRect/>
                          <a:stretch>
                            <a:fillRect/>
                          </a:stretch>
                        </pic:blipFill>
                        <pic:spPr>
                          <a:xfrm>
                            <a:off x="0" y="0"/>
                            <a:ext cx="887625"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平板状形态拖尾不明显</w:t>
            </w:r>
          </w:p>
        </w:tc>
        <w:tc>
          <w:tcPr>
            <w:tcW w:w="1701"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819785" cy="971550"/>
                  <wp:effectExtent l="0" t="0" r="0" b="0"/>
                  <wp:docPr id="880079643" name="图片 8800796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0079643" name="图片 880079643"/>
                          <pic:cNvPicPr>
                            <a:picLocks noChangeAspect="true" noChangeArrowheads="true"/>
                          </pic:cNvPicPr>
                        </pic:nvPicPr>
                        <pic:blipFill>
                          <a:blip r:embed="rId36">
                            <a:extLst>
                              <a:ext uri="{28A0092B-C50C-407E-A947-70E740481C1C}">
                                <a14:useLocalDpi xmlns:a14="http://schemas.microsoft.com/office/drawing/2010/main" val="false"/>
                              </a:ext>
                            </a:extLst>
                          </a:blip>
                          <a:srcRect b="20000"/>
                          <a:stretch>
                            <a:fillRect/>
                          </a:stretch>
                        </pic:blipFill>
                        <pic:spPr>
                          <a:xfrm>
                            <a:off x="0" y="0"/>
                            <a:ext cx="820125"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振幅较强</w:t>
            </w:r>
          </w:p>
        </w:tc>
        <w:tc>
          <w:tcPr>
            <w:tcW w:w="16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顶部反射波与入射波同向频率高于背景场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钢筋网</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网格状分布，反射强度与周围明显不连续</w:t>
            </w:r>
          </w:p>
        </w:tc>
        <w:tc>
          <w:tcPr>
            <w:tcW w:w="2126" w:type="dxa"/>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1035685" cy="971550"/>
                  <wp:effectExtent l="0" t="0" r="0" b="0"/>
                  <wp:docPr id="990815285" name="图片 990815285" descr="55a1e2c2e74b0b8aa1c5f8372b9998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0815285" name="图片 990815285" descr="55a1e2c2e74b0b8aa1c5f8372b9998a"/>
                          <pic:cNvPicPr>
                            <a:picLocks noChangeAspect="true" noChangeArrowheads="true"/>
                          </pic:cNvPicPr>
                        </pic:nvPicPr>
                        <pic:blipFill>
                          <a:blip r:embed="rId37">
                            <a:extLst>
                              <a:ext uri="{28A0092B-C50C-407E-A947-70E740481C1C}">
                                <a14:useLocalDpi xmlns:a14="http://schemas.microsoft.com/office/drawing/2010/main" val="false"/>
                              </a:ext>
                            </a:extLst>
                          </a:blip>
                          <a:srcRect/>
                          <a:stretch>
                            <a:fillRect/>
                          </a:stretch>
                        </pic:blipFill>
                        <pic:spPr>
                          <a:xfrm>
                            <a:off x="0" y="0"/>
                            <a:ext cx="1036158"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密集双曲线形态绕射拖尾较长</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829945" cy="971550"/>
                  <wp:effectExtent l="0" t="0" r="8255" b="0"/>
                  <wp:docPr id="43855984" name="图片 43855984" descr="b2805e85db12714d964059348fb0e1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855984" name="图片 43855984" descr="b2805e85db12714d964059348fb0e1c"/>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829987"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密集双曲线形态绕射拖尾较长</w:t>
            </w:r>
          </w:p>
        </w:tc>
        <w:tc>
          <w:tcPr>
            <w:tcW w:w="1701"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775970" cy="971550"/>
                  <wp:effectExtent l="0" t="0" r="5080" b="0"/>
                  <wp:docPr id="580597227" name="图片 580597227" descr="643afca90517f495952c4c42479fc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0597227" name="图片 580597227" descr="643afca90517f495952c4c42479fc54"/>
                          <pic:cNvPicPr>
                            <a:picLocks noChangeAspect="true" noChangeArrowheads="true"/>
                          </pic:cNvPicPr>
                        </pic:nvPicPr>
                        <pic:blipFill>
                          <a:blip r:embed="rId39">
                            <a:extLst>
                              <a:ext uri="{28A0092B-C50C-407E-A947-70E740481C1C}">
                                <a14:useLocalDpi xmlns:a14="http://schemas.microsoft.com/office/drawing/2010/main" val="false"/>
                              </a:ext>
                            </a:extLst>
                          </a:blip>
                          <a:srcRect l="7292" r="-2"/>
                          <a:stretch>
                            <a:fillRect/>
                          </a:stretch>
                        </pic:blipFill>
                        <pic:spPr>
                          <a:xfrm>
                            <a:off x="0" y="0"/>
                            <a:ext cx="776295"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p>
        </w:tc>
        <w:tc>
          <w:tcPr>
            <w:tcW w:w="16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反射波与入射波同向频率高于背景场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道路分层</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均匀平面分布</w:t>
            </w:r>
          </w:p>
        </w:tc>
        <w:tc>
          <w:tcPr>
            <w:tcW w:w="2126" w:type="dxa"/>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1071245" cy="971550"/>
                  <wp:effectExtent l="0" t="0" r="0" b="0"/>
                  <wp:docPr id="1725760952" name="图片 17257609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25760952" name="图片 1725760952"/>
                          <pic:cNvPicPr>
                            <a:picLocks noChangeAspect="true" noChangeArrowheads="true"/>
                          </pic:cNvPicPr>
                        </pic:nvPicPr>
                        <pic:blipFill>
                          <a:blip r:embed="rId40">
                            <a:extLst>
                              <a:ext uri="{28A0092B-C50C-407E-A947-70E740481C1C}">
                                <a14:useLocalDpi xmlns:a14="http://schemas.microsoft.com/office/drawing/2010/main" val="false"/>
                              </a:ext>
                            </a:extLst>
                          </a:blip>
                          <a:srcRect/>
                          <a:stretch>
                            <a:fillRect/>
                          </a:stretch>
                        </pic:blipFill>
                        <pic:spPr>
                          <a:xfrm>
                            <a:off x="0" y="0"/>
                            <a:ext cx="1071522"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同相轴连续无绕射拖尾</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919480" cy="971550"/>
                  <wp:effectExtent l="0" t="0" r="0" b="0"/>
                  <wp:docPr id="610351868" name="图片 6103518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0351868" name="图片 610351868"/>
                          <pic:cNvPicPr>
                            <a:picLocks noChangeAspect="true" noChangeArrowheads="true"/>
                          </pic:cNvPicPr>
                        </pic:nvPicPr>
                        <pic:blipFill>
                          <a:blip r:embed="rId41" cstate="print">
                            <a:extLst>
                              <a:ext uri="{28A0092B-C50C-407E-A947-70E740481C1C}">
                                <a14:useLocalDpi xmlns:a14="http://schemas.microsoft.com/office/drawing/2010/main" val="false"/>
                              </a:ext>
                            </a:extLst>
                          </a:blip>
                          <a:srcRect/>
                          <a:stretch>
                            <a:fillRect/>
                          </a:stretch>
                        </pic:blipFill>
                        <pic:spPr>
                          <a:xfrm>
                            <a:off x="0" y="0"/>
                            <a:ext cx="919555"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同相轴连续无绕射拖尾</w:t>
            </w:r>
          </w:p>
        </w:tc>
        <w:tc>
          <w:tcPr>
            <w:tcW w:w="1701"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817245" cy="971550"/>
                  <wp:effectExtent l="0" t="0" r="1905" b="0"/>
                  <wp:docPr id="321899941" name="图片 3218999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1899941" name="图片 321899941"/>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817442"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p>
        </w:tc>
        <w:tc>
          <w:tcPr>
            <w:tcW w:w="16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反射波与入射波同向频率略高于背景场</w:t>
            </w:r>
          </w:p>
        </w:tc>
      </w:tr>
    </w:tbl>
    <w:p/>
    <w:p>
      <w:pPr>
        <w:jc w:val="center"/>
        <w:rPr>
          <w:bCs/>
        </w:rPr>
      </w:pPr>
      <w:r>
        <w:rPr>
          <w:rFonts w:hint="eastAsia"/>
          <w:bCs/>
        </w:rPr>
        <w:t>续表</w:t>
      </w:r>
      <w:r>
        <w:rPr>
          <w:bCs/>
        </w:rPr>
        <w:t>6-2</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810"/>
        <w:gridCol w:w="2126"/>
        <w:gridCol w:w="1276"/>
        <w:gridCol w:w="1842"/>
        <w:gridCol w:w="1276"/>
        <w:gridCol w:w="1701"/>
        <w:gridCol w:w="851"/>
        <w:gridCol w:w="1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36"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异常体</w:t>
            </w:r>
          </w:p>
        </w:tc>
        <w:tc>
          <w:tcPr>
            <w:tcW w:w="10031" w:type="dxa"/>
            <w:gridSpan w:val="6"/>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图像特征</w:t>
            </w:r>
          </w:p>
        </w:tc>
        <w:tc>
          <w:tcPr>
            <w:tcW w:w="851"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w:t>
            </w:r>
          </w:p>
        </w:tc>
        <w:tc>
          <w:tcPr>
            <w:tcW w:w="1610" w:type="dxa"/>
            <w:vMerge w:val="restart"/>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相位与频谱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36"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3936"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时间切片</w:t>
            </w:r>
          </w:p>
        </w:tc>
        <w:tc>
          <w:tcPr>
            <w:tcW w:w="3118"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顺延切片</w:t>
            </w:r>
          </w:p>
        </w:tc>
        <w:tc>
          <w:tcPr>
            <w:tcW w:w="2977" w:type="dxa"/>
            <w:gridSpan w:val="2"/>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垂直切片</w:t>
            </w:r>
          </w:p>
        </w:tc>
        <w:tc>
          <w:tcPr>
            <w:tcW w:w="851" w:type="dxa"/>
            <w:vMerge w:val="continue"/>
            <w:vAlign w:val="center"/>
          </w:tcPr>
          <w:p>
            <w:pPr>
              <w:pStyle w:val="74"/>
              <w:spacing w:before="0" w:beforeAutospacing="0" w:after="0" w:afterAutospacing="0"/>
              <w:jc w:val="center"/>
              <w:rPr>
                <w:rFonts w:ascii="Times New Roman" w:hAnsi="Times New Roman" w:cs="Times New Roman"/>
                <w:sz w:val="18"/>
                <w:szCs w:val="18"/>
              </w:rPr>
            </w:pPr>
          </w:p>
        </w:tc>
        <w:tc>
          <w:tcPr>
            <w:tcW w:w="1610" w:type="dxa"/>
            <w:vMerge w:val="continue"/>
            <w:vAlign w:val="center"/>
          </w:tcPr>
          <w:p>
            <w:pPr>
              <w:pStyle w:val="74"/>
              <w:spacing w:before="0" w:beforeAutospacing="0" w:after="0" w:afterAutospacing="0"/>
              <w:jc w:val="center"/>
              <w:rPr>
                <w:rFonts w:ascii="Times New Roman" w:hAnsi="Times New Roman" w:cs="Times New Roman"/>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3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箱涵</w:t>
            </w:r>
          </w:p>
        </w:tc>
        <w:tc>
          <w:tcPr>
            <w:tcW w:w="18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条带状延伸分布，反射强度与周围较不连续</w:t>
            </w:r>
          </w:p>
        </w:tc>
        <w:tc>
          <w:tcPr>
            <w:tcW w:w="2126"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1096645" cy="971550"/>
                  <wp:effectExtent l="0" t="0" r="8255" b="0"/>
                  <wp:docPr id="1821544252" name="图片 18215442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21544252" name="图片 1821544252"/>
                          <pic:cNvPicPr>
                            <a:picLocks noChangeAspect="true" noChangeArrowheads="true"/>
                          </pic:cNvPicPr>
                        </pic:nvPicPr>
                        <pic:blipFill>
                          <a:blip r:embed="rId43">
                            <a:extLst>
                              <a:ext uri="{28A0092B-C50C-407E-A947-70E740481C1C}">
                                <a14:useLocalDpi xmlns:a14="http://schemas.microsoft.com/office/drawing/2010/main" val="false"/>
                              </a:ext>
                            </a:extLst>
                          </a:blip>
                          <a:srcRect/>
                          <a:stretch>
                            <a:fillRect/>
                          </a:stretch>
                        </pic:blipFill>
                        <pic:spPr>
                          <a:xfrm>
                            <a:off x="0" y="0"/>
                            <a:ext cx="1096735"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平板状形态绕射拖尾较长</w:t>
            </w:r>
          </w:p>
        </w:tc>
        <w:tc>
          <w:tcPr>
            <w:tcW w:w="1842"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873760" cy="971550"/>
                  <wp:effectExtent l="0" t="0" r="2540" b="0"/>
                  <wp:docPr id="1710607655" name="图片 17106076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10607655" name="图片 1710607655"/>
                          <pic:cNvPicPr>
                            <a:picLocks noChangeAspect="true" noChangeArrowheads="true"/>
                          </pic:cNvPicPr>
                        </pic:nvPicPr>
                        <pic:blipFill>
                          <a:blip r:embed="rId44">
                            <a:extLst>
                              <a:ext uri="{28A0092B-C50C-407E-A947-70E740481C1C}">
                                <a14:useLocalDpi xmlns:a14="http://schemas.microsoft.com/office/drawing/2010/main" val="false"/>
                              </a:ext>
                            </a:extLst>
                          </a:blip>
                          <a:srcRect/>
                          <a:stretch>
                            <a:fillRect/>
                          </a:stretch>
                        </pic:blipFill>
                        <pic:spPr>
                          <a:xfrm>
                            <a:off x="0" y="0"/>
                            <a:ext cx="874148" cy="972000"/>
                          </a:xfrm>
                          <a:prstGeom prst="rect">
                            <a:avLst/>
                          </a:prstGeom>
                          <a:noFill/>
                          <a:ln>
                            <a:noFill/>
                          </a:ln>
                        </pic:spPr>
                      </pic:pic>
                    </a:graphicData>
                  </a:graphic>
                </wp:inline>
              </w:drawing>
            </w:r>
          </w:p>
        </w:tc>
        <w:tc>
          <w:tcPr>
            <w:tcW w:w="1276"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同相轴连续多次波明显</w:t>
            </w:r>
          </w:p>
        </w:tc>
        <w:tc>
          <w:tcPr>
            <w:tcW w:w="1701" w:type="dxa"/>
            <w:vAlign w:val="center"/>
          </w:tcPr>
          <w:p>
            <w:pPr>
              <w:pStyle w:val="74"/>
              <w:spacing w:before="0" w:beforeAutospacing="0" w:after="0" w:afterAutospacing="0"/>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777240" cy="971550"/>
                  <wp:effectExtent l="0" t="0" r="3810" b="0"/>
                  <wp:docPr id="205117343" name="图片 2051173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5117343" name="图片 205117343"/>
                          <pic:cNvPicPr>
                            <a:picLocks noChangeAspect="true" noChangeArrowheads="true"/>
                          </pic:cNvPicPr>
                        </pic:nvPicPr>
                        <pic:blipFill>
                          <a:blip r:embed="rId45">
                            <a:extLst>
                              <a:ext uri="{28A0092B-C50C-407E-A947-70E740481C1C}">
                                <a14:useLocalDpi xmlns:a14="http://schemas.microsoft.com/office/drawing/2010/main" val="false"/>
                              </a:ext>
                            </a:extLst>
                          </a:blip>
                          <a:srcRect t="14101" b="23161"/>
                          <a:stretch>
                            <a:fillRect/>
                          </a:stretch>
                        </pic:blipFill>
                        <pic:spPr>
                          <a:xfrm>
                            <a:off x="0" y="0"/>
                            <a:ext cx="777341" cy="972000"/>
                          </a:xfrm>
                          <a:prstGeom prst="rect">
                            <a:avLst/>
                          </a:prstGeom>
                          <a:noFill/>
                          <a:ln>
                            <a:noFill/>
                          </a:ln>
                        </pic:spPr>
                      </pic:pic>
                    </a:graphicData>
                  </a:graphic>
                </wp:inline>
              </w:drawing>
            </w:r>
          </w:p>
        </w:tc>
        <w:tc>
          <w:tcPr>
            <w:tcW w:w="851"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振幅较强</w:t>
            </w:r>
          </w:p>
        </w:tc>
        <w:tc>
          <w:tcPr>
            <w:tcW w:w="1610" w:type="dxa"/>
            <w:vAlign w:val="center"/>
          </w:tcPr>
          <w:p>
            <w:pPr>
              <w:pStyle w:val="74"/>
              <w:spacing w:before="0" w:beforeAutospacing="0" w:after="0" w:afterAutospacing="0"/>
              <w:jc w:val="center"/>
              <w:rPr>
                <w:rFonts w:ascii="Times New Roman" w:hAnsi="Times New Roman" w:cs="Times New Roman"/>
                <w:sz w:val="18"/>
                <w:szCs w:val="18"/>
              </w:rPr>
            </w:pPr>
            <w:r>
              <w:rPr>
                <w:rFonts w:hint="eastAsia" w:ascii="Times New Roman" w:hAnsi="Times New Roman" w:cs="Times New Roman"/>
                <w:sz w:val="18"/>
                <w:szCs w:val="18"/>
              </w:rPr>
              <w:t>顶部反射波与入射波同向频率高于背景场</w:t>
            </w:r>
          </w:p>
        </w:tc>
      </w:tr>
    </w:tbl>
    <w:p/>
    <w:p/>
    <w:p>
      <w:pPr>
        <w:sectPr>
          <w:pgSz w:w="16838" w:h="11906" w:orient="landscape"/>
          <w:pgMar w:top="2268" w:right="1440" w:bottom="1800" w:left="1440" w:header="851" w:footer="992" w:gutter="0"/>
          <w:cols w:space="425" w:num="1"/>
          <w:docGrid w:type="lines" w:linePitch="312" w:charSpace="0"/>
        </w:sectPr>
      </w:pPr>
    </w:p>
    <w:p>
      <w:r>
        <w:rPr>
          <w:rFonts w:hint="eastAsia"/>
        </w:rPr>
        <w:t>6</w:t>
      </w:r>
      <w:r>
        <w:t xml:space="preserve">.2.6  </w:t>
      </w:r>
      <w:r>
        <w:rPr>
          <w:rFonts w:hint="eastAsia"/>
        </w:rPr>
        <w:t>各路口之间的普通路段区域宜采用普查方式进行检测，重点检测区段包括路口、桥区路段、历年塌陷区域和现状路面缺陷区域，上述重点检测区域应采用详查检测方式。</w:t>
      </w:r>
    </w:p>
    <w:p>
      <w:r>
        <w:rPr>
          <w:rFonts w:hint="eastAsia"/>
        </w:rPr>
        <w:t>6</w:t>
      </w:r>
      <w:r>
        <w:t xml:space="preserve">.2.10  </w:t>
      </w:r>
      <w:r>
        <w:rPr>
          <w:rFonts w:hint="eastAsia"/>
        </w:rPr>
        <w:t>根据探测深度和精度、地下病害规模、环境干扰、探测方式等条件选择天线，应选择频率为80MHz~400MHz的屏蔽天线，当多种频率的天线均能满足探测深度要求时，宜选择频率相对较高的天线，当电磁干扰不明显且探测深度较大时，可选择低频天线。</w:t>
      </w:r>
    </w:p>
    <w:p>
      <w:pPr>
        <w:ind w:firstLine="420" w:firstLineChars="200"/>
      </w:pPr>
      <w:r>
        <w:rPr>
          <w:rFonts w:hint="eastAsia"/>
        </w:rPr>
        <w:t>结合广东地区的地下水位高，城市道路地下输水管线复杂等环境因素，探地雷达法的垂向分辨率可取探地雷达电磁波波长的1/4，电磁波在介质中传播的波长宜按下式计算：</w:t>
      </w:r>
    </w:p>
    <w:p>
      <w:pPr>
        <w:pStyle w:val="10"/>
        <w:spacing w:after="0" w:line="360" w:lineRule="auto"/>
        <w:jc w:val="right"/>
        <w:rPr>
          <w:szCs w:val="21"/>
        </w:rPr>
      </w:pPr>
      <m:oMath>
        <m:r>
          <m:rPr/>
          <w:rPr>
            <w:rFonts w:ascii="Cambria Math" w:hAnsi="Cambria Math"/>
            <w:szCs w:val="21"/>
          </w:rPr>
          <m:t>λ</m:t>
        </m:r>
        <m:r>
          <m:rPr>
            <m:sty m:val="p"/>
          </m:rPr>
          <w:rPr>
            <w:rFonts w:ascii="Cambria Math" w:hAnsi="Cambria Math"/>
            <w:szCs w:val="21"/>
          </w:rPr>
          <m:t>=250</m:t>
        </m:r>
        <m:f>
          <m:fPr>
            <m:ctrlPr>
              <w:rPr>
                <w:rFonts w:ascii="Cambria Math" w:hAnsi="Cambria Math"/>
                <w:szCs w:val="21"/>
              </w:rPr>
            </m:ctrlPr>
          </m:fPr>
          <m:num>
            <m:r>
              <m:rPr/>
              <w:rPr>
                <w:rFonts w:ascii="Cambria Math" w:hAnsi="Cambria Math"/>
                <w:szCs w:val="21"/>
              </w:rPr>
              <m:t>c</m:t>
            </m:r>
            <m:ctrlPr>
              <w:rPr>
                <w:rFonts w:ascii="Cambria Math" w:hAnsi="Cambria Math"/>
                <w:szCs w:val="21"/>
              </w:rPr>
            </m:ctrlPr>
          </m:num>
          <m:den>
            <m:r>
              <m:rPr/>
              <w:rPr>
                <w:rFonts w:ascii="Cambria Math" w:hAnsi="Cambria Math"/>
                <w:szCs w:val="21"/>
              </w:rPr>
              <m:t>f</m:t>
            </m:r>
            <m:rad>
              <m:radPr>
                <m:degHide m:val="true"/>
                <m:ctrlPr>
                  <w:rPr>
                    <w:rFonts w:ascii="Cambria Math" w:hAnsi="Cambria Math"/>
                    <w:szCs w:val="21"/>
                  </w:rPr>
                </m:ctrlPr>
              </m:radPr>
              <m:deg>
                <m:ctrlPr>
                  <w:rPr>
                    <w:rFonts w:ascii="Cambria Math" w:hAnsi="Cambria Math"/>
                    <w:szCs w:val="21"/>
                  </w:rPr>
                </m:ctrlPr>
              </m:deg>
              <m:e>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ascii="Cambria Math" w:hAnsi="Cambria Math"/>
                        <w:szCs w:val="21"/>
                      </w:rPr>
                      <m:t>r</m:t>
                    </m:r>
                    <m:ctrlPr>
                      <w:rPr>
                        <w:rFonts w:ascii="Cambria Math" w:hAnsi="Cambria Math"/>
                        <w:szCs w:val="21"/>
                      </w:rPr>
                    </m:ctrlPr>
                  </m:sub>
                </m:sSub>
                <m:ctrlPr>
                  <w:rPr>
                    <w:rFonts w:ascii="Cambria Math" w:hAnsi="Cambria Math"/>
                    <w:szCs w:val="21"/>
                  </w:rPr>
                </m:ctrlPr>
              </m:e>
            </m:rad>
            <m:ctrlPr>
              <w:rPr>
                <w:rFonts w:ascii="Cambria Math" w:hAnsi="Cambria Math"/>
                <w:szCs w:val="21"/>
              </w:rPr>
            </m:ctrlPr>
          </m:den>
        </m:f>
      </m:oMath>
      <w:r>
        <w:rPr>
          <w:szCs w:val="21"/>
        </w:rPr>
        <w:t xml:space="preserve">                         （</w:t>
      </w:r>
      <w:r>
        <w:rPr>
          <w:rFonts w:hint="eastAsia"/>
          <w:szCs w:val="21"/>
        </w:rPr>
        <w:t>6</w:t>
      </w:r>
      <w:r>
        <w:rPr>
          <w:szCs w:val="21"/>
        </w:rPr>
        <w:t>-3）</w:t>
      </w:r>
    </w:p>
    <w:p>
      <w:pPr>
        <w:pStyle w:val="10"/>
        <w:spacing w:after="0" w:line="360" w:lineRule="auto"/>
        <w:rPr>
          <w:szCs w:val="21"/>
        </w:rPr>
      </w:pPr>
      <w:r>
        <w:rPr>
          <w:rFonts w:hint="eastAsia"/>
          <w:szCs w:val="21"/>
        </w:rPr>
        <w:t>式中：</w:t>
      </w:r>
      <m:oMath>
        <m:r>
          <m:rPr/>
          <w:rPr>
            <w:rFonts w:ascii="Cambria Math" w:hAnsi="Cambria Math"/>
            <w:szCs w:val="21"/>
          </w:rPr>
          <m:t>λ</m:t>
        </m:r>
      </m:oMath>
      <w:r>
        <w:rPr>
          <w:szCs w:val="21"/>
        </w:rPr>
        <w:t>—</w:t>
      </w:r>
      <w:r>
        <w:rPr>
          <w:rFonts w:hint="eastAsia"/>
          <w:szCs w:val="21"/>
        </w:rPr>
        <w:t>电磁波在介质中的波长</w:t>
      </w:r>
      <w:r>
        <w:rPr>
          <w:szCs w:val="21"/>
        </w:rPr>
        <w:t>（m）</w:t>
      </w:r>
      <w:r>
        <w:rPr>
          <w:rFonts w:hint="eastAsia"/>
          <w:szCs w:val="21"/>
        </w:rPr>
        <w:t>；</w:t>
      </w:r>
    </w:p>
    <w:p>
      <w:pPr>
        <w:pStyle w:val="10"/>
        <w:spacing w:after="0" w:line="360" w:lineRule="auto"/>
        <w:ind w:firstLine="630" w:firstLineChars="300"/>
        <w:rPr>
          <w:szCs w:val="21"/>
        </w:rPr>
      </w:pPr>
      <w:r>
        <w:rPr>
          <w:szCs w:val="21"/>
        </w:rPr>
        <w:t>c—电磁波在</w:t>
      </w:r>
      <w:r>
        <w:rPr>
          <w:rFonts w:hint="eastAsia"/>
          <w:szCs w:val="21"/>
        </w:rPr>
        <w:t>空气</w:t>
      </w:r>
      <w:r>
        <w:rPr>
          <w:szCs w:val="21"/>
        </w:rPr>
        <w:t>中的传播速度（m/ns），取0.3m/ns；</w:t>
      </w:r>
    </w:p>
    <w:p>
      <w:pPr>
        <w:pStyle w:val="10"/>
        <w:spacing w:after="0" w:line="360" w:lineRule="auto"/>
        <w:ind w:firstLine="630" w:firstLineChars="300"/>
        <w:rPr>
          <w:szCs w:val="21"/>
        </w:rPr>
      </w:pPr>
      <w:r>
        <w:rPr>
          <w:szCs w:val="21"/>
        </w:rPr>
        <w:t>f—天线主频（MHz）</w:t>
      </w:r>
      <w:r>
        <w:rPr>
          <w:rFonts w:hint="eastAsia"/>
          <w:szCs w:val="21"/>
        </w:rPr>
        <w:t>；</w:t>
      </w:r>
    </w:p>
    <w:p>
      <w:pPr>
        <w:ind w:firstLine="630" w:firstLineChars="300"/>
      </w:pPr>
      <m:oMath>
        <m:sSub>
          <m:sSubPr>
            <m:ctrlPr>
              <w:rPr>
                <w:rFonts w:ascii="Cambria Math" w:hAnsi="Cambria Math"/>
              </w:rPr>
            </m:ctrlPr>
          </m:sSubPr>
          <m:e>
            <m:r>
              <m:rPr/>
              <w:rPr>
                <w:rFonts w:hint="eastAsia" w:ascii="Cambria Math" w:hAnsi="Cambria Math"/>
              </w:rPr>
              <m:t>ε</m:t>
            </m:r>
            <m:ctrlPr>
              <w:rPr>
                <w:rFonts w:ascii="Cambria Math" w:hAnsi="Cambria Math"/>
              </w:rPr>
            </m:ctrlPr>
          </m:e>
          <m:sub>
            <m:r>
              <m:rPr/>
              <w:rPr>
                <w:rFonts w:hint="eastAsia" w:ascii="Cambria Math" w:hAnsi="Cambria Math"/>
              </w:rPr>
              <m:t>r</m:t>
            </m:r>
            <m:ctrlPr>
              <w:rPr>
                <w:rFonts w:ascii="Cambria Math" w:hAnsi="Cambria Math"/>
              </w:rPr>
            </m:ctrlPr>
          </m:sub>
        </m:sSub>
      </m:oMath>
      <w:r>
        <w:t>—</w:t>
      </w:r>
      <w:r>
        <w:rPr>
          <w:rFonts w:hint="eastAsia"/>
        </w:rPr>
        <w:t>介质的相对介电常数。</w:t>
      </w:r>
    </w:p>
    <w:p>
      <w:pPr>
        <w:pStyle w:val="10"/>
        <w:spacing w:after="0" w:line="360" w:lineRule="auto"/>
        <w:ind w:firstLine="420" w:firstLineChars="200"/>
        <w:rPr>
          <w:szCs w:val="21"/>
        </w:rPr>
      </w:pPr>
      <w:r>
        <w:rPr>
          <w:rFonts w:hint="eastAsia"/>
          <w:szCs w:val="21"/>
        </w:rPr>
        <w:t>结合广州地区的地质条件和有关探测经验，建议取地下介质相对介电常数</w:t>
      </w:r>
      <m:oMath>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ascii="Cambria Math" w:hAnsi="Cambria Math"/>
                <w:szCs w:val="21"/>
              </w:rPr>
              <m:t>r</m:t>
            </m:r>
            <m:ctrlPr>
              <w:rPr>
                <w:rFonts w:ascii="Cambria Math" w:hAnsi="Cambria Math"/>
                <w:szCs w:val="21"/>
              </w:rPr>
            </m:ctrlPr>
          </m:sub>
        </m:sSub>
      </m:oMath>
      <w:r>
        <w:rPr>
          <w:rFonts w:hint="eastAsia"/>
          <w:szCs w:val="21"/>
        </w:rPr>
        <w:t>在</w:t>
      </w:r>
      <w:r>
        <w:rPr>
          <w:szCs w:val="21"/>
        </w:rPr>
        <w:t>7~9</w:t>
      </w:r>
      <w:r>
        <w:rPr>
          <w:rFonts w:hint="eastAsia"/>
          <w:szCs w:val="21"/>
        </w:rPr>
        <w:t>为宜，以</w:t>
      </w:r>
      <m:oMath>
        <m:sSub>
          <m:sSubPr>
            <m:ctrlPr>
              <w:rPr>
                <w:rFonts w:ascii="Cambria Math" w:hAnsi="Cambria Math"/>
                <w:szCs w:val="21"/>
              </w:rPr>
            </m:ctrlPr>
          </m:sSubPr>
          <m:e>
            <m:r>
              <m:rPr/>
              <w:rPr>
                <w:rFonts w:ascii="Cambria Math" w:hAnsi="Cambria Math"/>
                <w:szCs w:val="21"/>
              </w:rPr>
              <m:t>ε</m:t>
            </m:r>
            <m:ctrlPr>
              <w:rPr>
                <w:rFonts w:ascii="Cambria Math" w:hAnsi="Cambria Math"/>
                <w:szCs w:val="21"/>
              </w:rPr>
            </m:ctrlPr>
          </m:e>
          <m:sub>
            <m:r>
              <m:rPr/>
              <w:rPr>
                <w:rFonts w:ascii="Cambria Math" w:hAnsi="Cambria Math"/>
                <w:szCs w:val="21"/>
              </w:rPr>
              <m:t>r</m:t>
            </m:r>
            <m:ctrlPr>
              <w:rPr>
                <w:rFonts w:ascii="Cambria Math" w:hAnsi="Cambria Math"/>
                <w:szCs w:val="21"/>
              </w:rPr>
            </m:ctrlPr>
          </m:sub>
        </m:sSub>
      </m:oMath>
      <w:r>
        <w:rPr>
          <w:szCs w:val="21"/>
        </w:rPr>
        <w:t>=8</w:t>
      </w:r>
      <w:r>
        <w:rPr>
          <w:rFonts w:hint="eastAsia"/>
          <w:szCs w:val="21"/>
        </w:rPr>
        <w:t>为例，不同天线的垂向分辨率见表</w:t>
      </w:r>
      <w:r>
        <w:rPr>
          <w:szCs w:val="21"/>
        </w:rPr>
        <w:t>6-3</w:t>
      </w:r>
      <w:r>
        <w:rPr>
          <w:rFonts w:hint="eastAsia"/>
          <w:szCs w:val="21"/>
        </w:rPr>
        <w:t>：</w:t>
      </w:r>
    </w:p>
    <w:p>
      <w:pPr>
        <w:autoSpaceDE w:val="0"/>
        <w:autoSpaceDN w:val="0"/>
        <w:adjustRightInd w:val="0"/>
        <w:snapToGrid w:val="0"/>
        <w:jc w:val="center"/>
        <w:rPr>
          <w:b/>
        </w:rPr>
      </w:pPr>
      <w:r>
        <w:rPr>
          <w:rFonts w:hint="eastAsia"/>
          <w:b/>
        </w:rPr>
        <w:t>表</w:t>
      </w:r>
      <w:r>
        <w:rPr>
          <w:b/>
        </w:rPr>
        <w:t xml:space="preserve">6-3  </w:t>
      </w:r>
      <w:r>
        <w:rPr>
          <w:rFonts w:hint="eastAsia"/>
          <w:b/>
        </w:rPr>
        <w:t>不同天线的垂直分辨率参考表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952"/>
        <w:gridCol w:w="1952"/>
        <w:gridCol w:w="1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天线主频/</w:t>
            </w:r>
            <w:r>
              <w:rPr>
                <w:rFonts w:ascii="Times New Roman" w:hAnsi="Times New Roman" w:cs="Times New Roman"/>
                <w:kern w:val="2"/>
                <w:sz w:val="18"/>
                <w:szCs w:val="18"/>
              </w:rPr>
              <w:t>MH</w:t>
            </w:r>
            <w:r>
              <w:rPr>
                <w:rFonts w:hint="eastAsia" w:ascii="Times New Roman" w:hAnsi="Times New Roman" w:cs="Times New Roman"/>
                <w:kern w:val="2"/>
                <w:sz w:val="18"/>
                <w:szCs w:val="18"/>
              </w:rPr>
              <w:t>z</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1</w:t>
            </w:r>
            <w:r>
              <w:rPr>
                <w:rFonts w:ascii="Times New Roman" w:hAnsi="Times New Roman" w:cs="Times New Roman"/>
                <w:kern w:val="2"/>
                <w:sz w:val="18"/>
                <w:szCs w:val="18"/>
              </w:rPr>
              <w:t>00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2</w:t>
            </w:r>
            <w:r>
              <w:rPr>
                <w:rFonts w:ascii="Times New Roman" w:hAnsi="Times New Roman" w:cs="Times New Roman"/>
                <w:kern w:val="2"/>
                <w:sz w:val="18"/>
                <w:szCs w:val="18"/>
              </w:rPr>
              <w:t>00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4</w:t>
            </w:r>
            <w:r>
              <w:rPr>
                <w:rFonts w:ascii="Times New Roman" w:hAnsi="Times New Roman" w:cs="Times New Roman"/>
                <w:kern w:val="2"/>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垂向分辨率/m</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0</w:t>
            </w:r>
            <w:r>
              <w:rPr>
                <w:rFonts w:ascii="Times New Roman" w:hAnsi="Times New Roman" w:cs="Times New Roman"/>
                <w:kern w:val="2"/>
                <w:sz w:val="18"/>
                <w:szCs w:val="18"/>
              </w:rPr>
              <w:t>.27</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0</w:t>
            </w:r>
            <w:r>
              <w:rPr>
                <w:rFonts w:ascii="Times New Roman" w:hAnsi="Times New Roman" w:cs="Times New Roman"/>
                <w:kern w:val="2"/>
                <w:sz w:val="18"/>
                <w:szCs w:val="18"/>
              </w:rPr>
              <w:t>.13</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0</w:t>
            </w:r>
            <w:r>
              <w:rPr>
                <w:rFonts w:ascii="Times New Roman" w:hAnsi="Times New Roman" w:cs="Times New Roman"/>
                <w:kern w:val="2"/>
                <w:sz w:val="18"/>
                <w:szCs w:val="18"/>
              </w:rPr>
              <w:t>.06</w:t>
            </w:r>
          </w:p>
        </w:tc>
      </w:tr>
    </w:tbl>
    <w:p>
      <w:pPr>
        <w:ind w:firstLine="420" w:firstLineChars="200"/>
      </w:pPr>
      <w:r>
        <w:rPr>
          <w:rFonts w:hint="eastAsia"/>
        </w:rPr>
        <w:t>横向分辨率宜按下式计算：</w:t>
      </w:r>
    </w:p>
    <w:p>
      <w:pPr>
        <w:pStyle w:val="10"/>
        <w:spacing w:after="0" w:line="360" w:lineRule="auto"/>
        <w:jc w:val="right"/>
        <w:rPr>
          <w:szCs w:val="21"/>
        </w:rPr>
      </w:pPr>
      <m:oMath>
        <m:sSup>
          <m:sSupPr>
            <m:ctrlPr>
              <w:rPr>
                <w:rFonts w:ascii="Cambria Math" w:hAnsi="Cambria Math"/>
                <w:szCs w:val="21"/>
              </w:rPr>
            </m:ctrlPr>
          </m:sSupPr>
          <m:e>
            <m:r>
              <m:rPr/>
              <w:rPr>
                <w:rFonts w:ascii="Cambria Math" w:hAnsi="Cambria Math"/>
                <w:szCs w:val="21"/>
              </w:rPr>
              <m:t>x</m:t>
            </m:r>
            <m:ctrlPr>
              <w:rPr>
                <w:rFonts w:ascii="Cambria Math" w:hAnsi="Cambria Math"/>
                <w:szCs w:val="21"/>
              </w:rPr>
            </m:ctrlPr>
          </m:e>
          <m:sup>
            <m:r>
              <m:rPr>
                <m:sty m:val="p"/>
              </m:rPr>
              <w:rPr>
                <w:rFonts w:ascii="Cambria Math" w:hAnsi="Cambria Math"/>
                <w:szCs w:val="21"/>
              </w:rPr>
              <m:t>'</m:t>
            </m:r>
            <m:ctrlPr>
              <w:rPr>
                <w:rFonts w:ascii="Cambria Math" w:hAnsi="Cambria Math"/>
                <w:szCs w:val="21"/>
              </w:rPr>
            </m:ctrlPr>
          </m:sup>
        </m:sSup>
        <m:r>
          <m:rPr>
            <m:sty m:val="p"/>
          </m:rPr>
          <w:rPr>
            <w:rFonts w:ascii="Cambria Math" w:hAnsi="Cambria Math"/>
            <w:szCs w:val="21"/>
          </w:rPr>
          <m:t>=</m:t>
        </m:r>
        <m:rad>
          <m:radPr>
            <m:degHide m:val="true"/>
            <m:ctrlPr>
              <w:rPr>
                <w:rFonts w:ascii="Cambria Math" w:hAnsi="Cambria Math"/>
                <w:szCs w:val="21"/>
              </w:rPr>
            </m:ctrlPr>
          </m:radPr>
          <m:deg>
            <m:ctrlPr>
              <w:rPr>
                <w:rFonts w:ascii="Cambria Math" w:hAnsi="Cambria Math"/>
                <w:szCs w:val="21"/>
              </w:rPr>
            </m:ctrlPr>
          </m:deg>
          <m:e>
            <m:f>
              <m:fPr>
                <m:ctrlPr>
                  <w:rPr>
                    <w:rFonts w:ascii="Cambria Math" w:hAnsi="Cambria Math"/>
                    <w:szCs w:val="21"/>
                  </w:rPr>
                </m:ctrlPr>
              </m:fPr>
              <m:num>
                <m:r>
                  <m:rPr/>
                  <w:rPr>
                    <w:rFonts w:ascii="Cambria Math" w:hAnsi="Cambria Math"/>
                    <w:szCs w:val="21"/>
                  </w:rPr>
                  <m:t>λℎ</m:t>
                </m:r>
                <m:ctrlPr>
                  <w:rPr>
                    <w:rFonts w:ascii="Cambria Math" w:hAnsi="Cambria Math"/>
                    <w:szCs w:val="21"/>
                  </w:rPr>
                </m:ctrlPr>
              </m:num>
              <m:den>
                <m:r>
                  <m:rPr>
                    <m:sty m:val="p"/>
                  </m:rPr>
                  <w:rPr>
                    <w:rFonts w:ascii="Cambria Math" w:hAnsi="Cambria Math"/>
                    <w:szCs w:val="21"/>
                  </w:rPr>
                  <m:t>2</m:t>
                </m:r>
                <m:ctrlPr>
                  <w:rPr>
                    <w:rFonts w:ascii="Cambria Math" w:hAnsi="Cambria Math"/>
                    <w:szCs w:val="21"/>
                  </w:rPr>
                </m:ctrlPr>
              </m:den>
            </m:f>
            <m:r>
              <m:rPr>
                <m:sty m:val="p"/>
              </m:rPr>
              <w:rPr>
                <w:rFonts w:ascii="Cambria Math" w:hAnsi="Cambria Math"/>
                <w:szCs w:val="21"/>
              </w:rPr>
              <m:t>+</m:t>
            </m:r>
            <m:f>
              <m:fPr>
                <m:ctrlPr>
                  <w:rPr>
                    <w:rFonts w:ascii="Cambria Math" w:hAnsi="Cambria Math"/>
                    <w:szCs w:val="21"/>
                  </w:rPr>
                </m:ctrlPr>
              </m:fPr>
              <m:num>
                <m:sSup>
                  <m:sSupPr>
                    <m:ctrlPr>
                      <w:rPr>
                        <w:rFonts w:ascii="Cambria Math" w:hAnsi="Cambria Math"/>
                        <w:szCs w:val="21"/>
                      </w:rPr>
                    </m:ctrlPr>
                  </m:sSupPr>
                  <m:e>
                    <m:r>
                      <m:rPr/>
                      <w:rPr>
                        <w:rFonts w:ascii="Cambria Math" w:hAnsi="Cambria Math"/>
                        <w:szCs w:val="21"/>
                      </w:rPr>
                      <m:t>λ</m:t>
                    </m:r>
                    <m:ctrlPr>
                      <w:rPr>
                        <w:rFonts w:ascii="Cambria Math" w:hAnsi="Cambria Math"/>
                        <w:szCs w:val="21"/>
                      </w:rPr>
                    </m:ctrlPr>
                  </m:e>
                  <m:sup>
                    <m:r>
                      <m:rPr>
                        <m:sty m:val="p"/>
                      </m:rPr>
                      <w:rPr>
                        <w:rFonts w:ascii="Cambria Math" w:hAnsi="Cambria Math"/>
                        <w:szCs w:val="21"/>
                      </w:rPr>
                      <m:t>2</m:t>
                    </m:r>
                    <m:ctrlPr>
                      <w:rPr>
                        <w:rFonts w:ascii="Cambria Math" w:hAnsi="Cambria Math"/>
                        <w:szCs w:val="21"/>
                      </w:rPr>
                    </m:ctrlPr>
                  </m:sup>
                </m:sSup>
                <m:ctrlPr>
                  <w:rPr>
                    <w:rFonts w:ascii="Cambria Math" w:hAnsi="Cambria Math"/>
                    <w:szCs w:val="21"/>
                  </w:rPr>
                </m:ctrlPr>
              </m:num>
              <m:den>
                <m:r>
                  <m:rPr>
                    <m:sty m:val="p"/>
                  </m:rPr>
                  <w:rPr>
                    <w:rFonts w:ascii="Cambria Math" w:hAnsi="Cambria Math"/>
                    <w:szCs w:val="21"/>
                  </w:rPr>
                  <m:t>16</m:t>
                </m:r>
                <m:ctrlPr>
                  <w:rPr>
                    <w:rFonts w:ascii="Cambria Math" w:hAnsi="Cambria Math"/>
                    <w:szCs w:val="21"/>
                  </w:rPr>
                </m:ctrlPr>
              </m:den>
            </m:f>
            <m:ctrlPr>
              <w:rPr>
                <w:rFonts w:ascii="Cambria Math" w:hAnsi="Cambria Math"/>
                <w:szCs w:val="21"/>
              </w:rPr>
            </m:ctrlPr>
          </m:e>
        </m:rad>
      </m:oMath>
      <w:r>
        <w:rPr>
          <w:szCs w:val="21"/>
        </w:rPr>
        <w:t xml:space="preserve">        </w:t>
      </w:r>
      <w:r>
        <w:rPr>
          <w:rFonts w:hint="eastAsia"/>
          <w:szCs w:val="21"/>
        </w:rPr>
        <w:t xml:space="preserve">             </w:t>
      </w:r>
      <w:r>
        <w:rPr>
          <w:szCs w:val="21"/>
        </w:rPr>
        <w:t xml:space="preserve">    </w:t>
      </w:r>
      <w:r>
        <w:rPr>
          <w:rFonts w:hint="eastAsia"/>
          <w:szCs w:val="21"/>
        </w:rPr>
        <w:t>（6</w:t>
      </w:r>
      <w:r>
        <w:rPr>
          <w:szCs w:val="21"/>
        </w:rPr>
        <w:t>-4</w:t>
      </w:r>
      <w:r>
        <w:rPr>
          <w:rFonts w:hint="eastAsia"/>
          <w:szCs w:val="21"/>
        </w:rPr>
        <w:t>）</w:t>
      </w:r>
    </w:p>
    <w:p>
      <w:r>
        <w:rPr>
          <w:rFonts w:hint="eastAsia"/>
        </w:rPr>
        <w:t>式中：x'——横向分辨率（m）；</w:t>
      </w:r>
    </w:p>
    <w:p>
      <w:pPr>
        <w:ind w:firstLine="630" w:firstLineChars="300"/>
      </w:pPr>
      <w:r>
        <w:rPr>
          <w:rFonts w:hint="eastAsia"/>
        </w:rPr>
        <w:t>λ——电磁波在介质中的波长（m）；</w:t>
      </w:r>
    </w:p>
    <w:p>
      <w:pPr>
        <w:ind w:firstLine="630" w:firstLineChars="300"/>
      </w:pPr>
      <w:r>
        <w:rPr>
          <w:rFonts w:hint="eastAsia"/>
        </w:rPr>
        <w:t>h——目标体顶部埋深（m）。</w:t>
      </w:r>
    </w:p>
    <w:p>
      <w:pPr>
        <w:ind w:firstLine="420" w:firstLineChars="200"/>
      </w:pPr>
      <w:r>
        <w:rPr>
          <w:rFonts w:hint="eastAsia"/>
        </w:rPr>
        <w:t>以地下介质相对介电常数</w:t>
      </w:r>
      <m:oMath>
        <m:sSub>
          <m:sSubPr>
            <m:ctrlPr>
              <w:rPr>
                <w:rFonts w:ascii="Cambria Math" w:hAnsi="Cambria Math"/>
              </w:rPr>
            </m:ctrlPr>
          </m:sSubPr>
          <m:e>
            <m:r>
              <m:rPr/>
              <w:rPr>
                <w:rFonts w:ascii="Cambria Math" w:hAnsi="Cambria Math"/>
              </w:rPr>
              <m:t>ε</m:t>
            </m:r>
            <m:ctrlPr>
              <w:rPr>
                <w:rFonts w:ascii="Cambria Math" w:hAnsi="Cambria Math"/>
              </w:rPr>
            </m:ctrlPr>
          </m:e>
          <m:sub>
            <m:r>
              <m:rPr/>
              <w:rPr>
                <w:rFonts w:ascii="Cambria Math" w:hAnsi="Cambria Math"/>
              </w:rPr>
              <m:t>r</m:t>
            </m:r>
            <m:ctrlPr>
              <w:rPr>
                <w:rFonts w:ascii="Cambria Math" w:hAnsi="Cambria Math"/>
              </w:rPr>
            </m:ctrlPr>
          </m:sub>
        </m:sSub>
      </m:oMath>
      <w:r>
        <w:rPr>
          <w:rFonts w:hint="eastAsia"/>
        </w:rPr>
        <w:t>=</w:t>
      </w:r>
      <w:r>
        <w:t>8</w:t>
      </w:r>
      <w:r>
        <w:rPr>
          <w:rFonts w:hint="eastAsia"/>
        </w:rPr>
        <w:t>为例，不同天线在不同深度的横向分辨率见下表</w:t>
      </w:r>
      <w:r>
        <w:t>6-4</w:t>
      </w:r>
      <w:r>
        <w:rPr>
          <w:rFonts w:hint="eastAsia"/>
        </w:rPr>
        <w:t>。</w:t>
      </w:r>
    </w:p>
    <w:p>
      <w:pPr>
        <w:ind w:firstLine="420" w:firstLineChars="200"/>
      </w:pPr>
    </w:p>
    <w:p>
      <w:pPr>
        <w:ind w:firstLine="420" w:firstLineChars="200"/>
      </w:pPr>
    </w:p>
    <w:p>
      <w:pPr>
        <w:ind w:firstLine="420" w:firstLineChars="200"/>
        <w:jc w:val="center"/>
      </w:pPr>
    </w:p>
    <w:p>
      <w:pPr>
        <w:autoSpaceDE w:val="0"/>
        <w:autoSpaceDN w:val="0"/>
        <w:adjustRightInd w:val="0"/>
        <w:snapToGrid w:val="0"/>
        <w:jc w:val="center"/>
        <w:rPr>
          <w:b/>
        </w:rPr>
      </w:pPr>
      <w:r>
        <w:rPr>
          <w:rFonts w:hint="eastAsia"/>
          <w:b/>
        </w:rPr>
        <w:t>表</w:t>
      </w:r>
      <w:r>
        <w:rPr>
          <w:b/>
        </w:rPr>
        <w:t xml:space="preserve">6-4  </w:t>
      </w:r>
      <w:r>
        <w:rPr>
          <w:rFonts w:hint="eastAsia"/>
          <w:b/>
        </w:rPr>
        <w:t>不同天线在不同深度的横向分辨率参考表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952"/>
        <w:gridCol w:w="1952"/>
        <w:gridCol w:w="1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Align w:val="center"/>
          </w:tcPr>
          <w:p>
            <w:pPr>
              <w:pStyle w:val="74"/>
              <w:spacing w:before="0" w:beforeAutospacing="0" w:after="0" w:afterAutospacing="0" w:line="360" w:lineRule="auto"/>
              <w:jc w:val="right"/>
              <w:rPr>
                <w:rFonts w:ascii="Times New Roman" w:hAnsi="Times New Roman" w:cs="Times New Roman"/>
                <w:kern w:val="2"/>
                <w:sz w:val="18"/>
                <w:szCs w:val="18"/>
              </w:rPr>
            </w:pPr>
            <w:r>
              <w:rPr>
                <w:rFonts w:hint="eastAsia" w:ascii="Times New Roman" w:hAnsi="Times New Roman" w:cs="Times New Roman"/>
                <w:kern w:val="2"/>
                <w:sz w:val="18"/>
                <w:szCs w:val="18"/>
                <w:lang w:val="zh-CN"/>
              </w:rPr>
              <mc:AlternateContent>
                <mc:Choice Requires="wps">
                  <w:drawing>
                    <wp:anchor distT="0" distB="0" distL="114300" distR="114300" simplePos="0" relativeHeight="251717632" behindDoc="0" locked="0" layoutInCell="1" allowOverlap="1">
                      <wp:simplePos x="0" y="0"/>
                      <wp:positionH relativeFrom="column">
                        <wp:posOffset>-63500</wp:posOffset>
                      </wp:positionH>
                      <wp:positionV relativeFrom="paragraph">
                        <wp:posOffset>-1270</wp:posOffset>
                      </wp:positionV>
                      <wp:extent cx="1233805" cy="600075"/>
                      <wp:effectExtent l="0" t="0" r="23495" b="28575"/>
                      <wp:wrapNone/>
                      <wp:docPr id="8" name="直接连接符 8"/>
                      <wp:cNvGraphicFramePr/>
                      <a:graphic xmlns:a="http://schemas.openxmlformats.org/drawingml/2006/main">
                        <a:graphicData uri="http://schemas.microsoft.com/office/word/2010/wordprocessingShape">
                          <wps:wsp>
                            <wps:cNvCnPr/>
                            <wps:spPr>
                              <a:xfrm>
                                <a:off x="0" y="0"/>
                                <a:ext cx="1233805"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pt;margin-top:-0.1pt;height:47.25pt;width:97.15pt;z-index:251717632;mso-width-relative:page;mso-height-relative:page;" filled="f" stroked="t" coordsize="21600,21600" o:gfxdata="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5re4INYAAAAIAQAADwAAAAAAAAABACAAAAA4AAAAZHJzL2Rvd25yZXYueG1sUEsBAhQAFAAAAAgA&#10;h07iQHhtmtjYAQAAigMAAA4AAAAAAAAAAQAgAAAAOwEAAGRycy9lMm9Eb2MueG1sUEsFBgAAAAAG&#10;AAYAWQEAAIUFAAAAAA==&#10;">
                      <v:fill on="f" focussize="0,0"/>
                      <v:stroke color="#000000 [3200]" joinstyle="round"/>
                      <v:imagedata o:title=""/>
                      <o:lock v:ext="edit" aspectratio="f"/>
                    </v:line>
                  </w:pict>
                </mc:Fallback>
              </mc:AlternateContent>
            </w:r>
            <w:r>
              <w:rPr>
                <w:rFonts w:hint="eastAsia" w:ascii="Times New Roman" w:hAnsi="Times New Roman" w:cs="Times New Roman"/>
                <w:kern w:val="2"/>
                <w:sz w:val="18"/>
                <w:szCs w:val="18"/>
              </w:rPr>
              <w:t>天线主频/</w:t>
            </w:r>
            <w:r>
              <w:rPr>
                <w:rFonts w:ascii="Times New Roman" w:hAnsi="Times New Roman" w:cs="Times New Roman"/>
                <w:kern w:val="2"/>
                <w:sz w:val="18"/>
                <w:szCs w:val="18"/>
              </w:rPr>
              <w:t>MH</w:t>
            </w:r>
            <w:r>
              <w:rPr>
                <w:rFonts w:hint="eastAsia" w:ascii="Times New Roman" w:hAnsi="Times New Roman" w:cs="Times New Roman"/>
                <w:kern w:val="2"/>
                <w:sz w:val="18"/>
                <w:szCs w:val="18"/>
              </w:rPr>
              <w:t>z</w:t>
            </w:r>
          </w:p>
          <w:p>
            <w:pPr>
              <w:pStyle w:val="74"/>
              <w:spacing w:before="0" w:beforeAutospacing="0" w:after="0" w:afterAutospacing="0" w:line="360" w:lineRule="auto"/>
              <w:rPr>
                <w:rFonts w:ascii="Times New Roman" w:hAnsi="Times New Roman" w:cs="Times New Roman"/>
                <w:kern w:val="2"/>
                <w:sz w:val="18"/>
                <w:szCs w:val="18"/>
              </w:rPr>
            </w:pPr>
            <w:r>
              <w:rPr>
                <w:rFonts w:hint="eastAsia" w:ascii="Times New Roman" w:hAnsi="Times New Roman" w:cs="Times New Roman"/>
                <w:kern w:val="2"/>
                <w:sz w:val="18"/>
                <w:szCs w:val="18"/>
              </w:rPr>
              <w:t>深度/m</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1</w:t>
            </w:r>
            <w:r>
              <w:rPr>
                <w:rFonts w:ascii="Times New Roman" w:hAnsi="Times New Roman" w:cs="Times New Roman"/>
                <w:kern w:val="2"/>
                <w:sz w:val="18"/>
                <w:szCs w:val="18"/>
              </w:rPr>
              <w:t>00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2</w:t>
            </w:r>
            <w:r>
              <w:rPr>
                <w:rFonts w:ascii="Times New Roman" w:hAnsi="Times New Roman" w:cs="Times New Roman"/>
                <w:kern w:val="2"/>
                <w:sz w:val="18"/>
                <w:szCs w:val="18"/>
              </w:rPr>
              <w:t>00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4</w:t>
            </w:r>
            <w:r>
              <w:rPr>
                <w:rFonts w:ascii="Times New Roman" w:hAnsi="Times New Roman" w:cs="Times New Roman"/>
                <w:kern w:val="2"/>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1</w:t>
            </w:r>
            <w:r>
              <w:rPr>
                <w:rFonts w:ascii="Times New Roman" w:hAnsi="Times New Roman" w:cs="Times New Roman"/>
                <w:kern w:val="2"/>
                <w:sz w:val="18"/>
                <w:szCs w:val="18"/>
              </w:rPr>
              <w:t>.0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0.78</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0.53</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2</w:t>
            </w:r>
            <w:r>
              <w:rPr>
                <w:rFonts w:ascii="Times New Roman" w:hAnsi="Times New Roman" w:cs="Times New Roman"/>
                <w:kern w:val="2"/>
                <w:sz w:val="18"/>
                <w:szCs w:val="18"/>
              </w:rPr>
              <w:t>.0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1.06</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0.74</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3</w:t>
            </w:r>
            <w:r>
              <w:rPr>
                <w:rFonts w:ascii="Times New Roman" w:hAnsi="Times New Roman" w:cs="Times New Roman"/>
                <w:kern w:val="2"/>
                <w:sz w:val="18"/>
                <w:szCs w:val="18"/>
              </w:rPr>
              <w:t>.0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1.29</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0.90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4</w:t>
            </w:r>
            <w:r>
              <w:rPr>
                <w:rFonts w:ascii="Times New Roman" w:hAnsi="Times New Roman" w:cs="Times New Roman"/>
                <w:kern w:val="2"/>
                <w:sz w:val="18"/>
                <w:szCs w:val="18"/>
              </w:rPr>
              <w:t>.0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1.48</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1.04</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hint="eastAsia" w:ascii="Times New Roman" w:hAnsi="Times New Roman" w:cs="Times New Roman"/>
                <w:kern w:val="2"/>
                <w:sz w:val="18"/>
                <w:szCs w:val="18"/>
              </w:rPr>
              <w:t>5</w:t>
            </w:r>
            <w:r>
              <w:rPr>
                <w:rFonts w:ascii="Times New Roman" w:hAnsi="Times New Roman" w:cs="Times New Roman"/>
                <w:kern w:val="2"/>
                <w:sz w:val="18"/>
                <w:szCs w:val="18"/>
              </w:rPr>
              <w:t>.0</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1.65</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1.16</w:t>
            </w:r>
          </w:p>
        </w:tc>
        <w:tc>
          <w:tcPr>
            <w:tcW w:w="1952" w:type="dxa"/>
            <w:vAlign w:val="center"/>
          </w:tcPr>
          <w:p>
            <w:pPr>
              <w:pStyle w:val="74"/>
              <w:spacing w:before="0" w:beforeAutospacing="0" w:after="0" w:afterAutospacing="0" w:line="360" w:lineRule="auto"/>
              <w:jc w:val="center"/>
              <w:rPr>
                <w:rFonts w:ascii="Times New Roman" w:hAnsi="Times New Roman" w:cs="Times New Roman"/>
                <w:kern w:val="2"/>
                <w:sz w:val="18"/>
                <w:szCs w:val="18"/>
              </w:rPr>
            </w:pPr>
            <w:r>
              <w:rPr>
                <w:rFonts w:ascii="Times New Roman" w:hAnsi="Times New Roman" w:cs="Times New Roman"/>
                <w:kern w:val="2"/>
                <w:sz w:val="18"/>
                <w:szCs w:val="18"/>
              </w:rPr>
              <w:t>0.82</w:t>
            </w:r>
          </w:p>
        </w:tc>
      </w:tr>
    </w:tbl>
    <w:p>
      <w:r>
        <w:rPr>
          <w:rFonts w:hint="eastAsia"/>
        </w:rPr>
        <w:t>6</w:t>
      </w:r>
      <w:r>
        <w:t xml:space="preserve">.2.11  </w:t>
      </w:r>
      <w:r>
        <w:rPr>
          <w:rFonts w:hint="eastAsia"/>
        </w:rPr>
        <w:t>城市道路开挖修复的复杂路段，存在回填疏松、含铁磁性土明显等因素，同时广东地区地下水位较浅，导致探地雷达信号衰减明显，应充分考虑这些因素对探地雷达探测深度的影响。</w:t>
      </w:r>
    </w:p>
    <w:p>
      <w:r>
        <w:rPr>
          <w:rFonts w:hint="eastAsia"/>
        </w:rPr>
        <w:t>6</w:t>
      </w:r>
      <w:r>
        <w:t xml:space="preserve">.2.13  </w:t>
      </w:r>
      <w:r>
        <w:rPr>
          <w:rFonts w:hint="eastAsia"/>
        </w:rPr>
        <w:t>正式探测前应根据探测深度和精度要求，通过参数试验确定天线主频、采集方式和采集参数。</w:t>
      </w:r>
    </w:p>
    <w:p>
      <w:pPr>
        <w:ind w:firstLine="420" w:firstLineChars="200"/>
      </w:pPr>
      <w:r>
        <w:rPr>
          <w:rFonts w:hint="eastAsia"/>
        </w:rPr>
        <w:t>探地雷达采样点数宜设置为1024点，采样率宜设置为雷达主频的20倍。探地雷达记录时窗应为雷达接收数据的时间长度，超过记录时窗的回波不再被接收，宜设置为目标深度对应回波时间的两倍，记录时窗可按（6</w:t>
      </w:r>
      <w:r>
        <w:t>-</w:t>
      </w:r>
      <w:r>
        <w:rPr>
          <w:rFonts w:hint="eastAsia"/>
        </w:rPr>
        <w:t>5）式计算：</w:t>
      </w:r>
    </w:p>
    <w:p>
      <w:pPr>
        <w:pStyle w:val="10"/>
        <w:tabs>
          <w:tab w:val="left" w:pos="959"/>
        </w:tabs>
        <w:spacing w:after="0" w:line="360" w:lineRule="auto"/>
        <w:jc w:val="right"/>
        <w:rPr>
          <w:szCs w:val="21"/>
        </w:rPr>
      </w:pPr>
      <m:oMath>
        <m:r>
          <m:rPr>
            <m:sty m:val="p"/>
          </m:rPr>
          <w:rPr>
            <w:rFonts w:ascii="Cambria Math" w:hAnsi="Cambria Math"/>
            <w:szCs w:val="21"/>
          </w:rPr>
          <m:t>Τ=</m:t>
        </m:r>
        <m:r>
          <m:rPr/>
          <w:rPr>
            <w:rFonts w:ascii="Cambria Math" w:hAnsi="Cambria Math"/>
            <w:szCs w:val="21"/>
          </w:rPr>
          <m:t>K</m:t>
        </m:r>
        <m:f>
          <m:fPr>
            <m:ctrlPr>
              <w:rPr>
                <w:rFonts w:ascii="Cambria Math" w:hAnsi="Cambria Math"/>
                <w:szCs w:val="21"/>
              </w:rPr>
            </m:ctrlPr>
          </m:fPr>
          <m:num>
            <m:r>
              <m:rPr>
                <m:sty m:val="p"/>
              </m:rPr>
              <w:rPr>
                <w:rFonts w:ascii="Cambria Math" w:hAnsi="Cambria Math"/>
                <w:szCs w:val="21"/>
              </w:rPr>
              <m:t>2</m:t>
            </m:r>
            <m:r>
              <m:rPr/>
              <w:rPr>
                <w:rFonts w:ascii="Cambria Math" w:hAnsi="Cambria Math"/>
                <w:szCs w:val="21"/>
              </w:rPr>
              <m:t>H</m:t>
            </m:r>
            <m:ctrlPr>
              <w:rPr>
                <w:rFonts w:ascii="Cambria Math" w:hAnsi="Cambria Math"/>
                <w:szCs w:val="21"/>
              </w:rPr>
            </m:ctrlPr>
          </m:num>
          <m:den>
            <m:r>
              <m:rPr/>
              <w:rPr>
                <w:rFonts w:ascii="Cambria Math" w:hAnsi="Cambria Math"/>
                <w:szCs w:val="21"/>
              </w:rPr>
              <m:t>υ</m:t>
            </m:r>
            <m:ctrlPr>
              <w:rPr>
                <w:rFonts w:ascii="Cambria Math" w:hAnsi="Cambria Math"/>
                <w:szCs w:val="21"/>
              </w:rPr>
            </m:ctrlPr>
          </m:den>
        </m:f>
      </m:oMath>
      <w:r>
        <w:rPr>
          <w:rFonts w:hint="eastAsia"/>
          <w:szCs w:val="21"/>
        </w:rPr>
        <w:t xml:space="preserve"> </w:t>
      </w:r>
      <w:r>
        <w:rPr>
          <w:szCs w:val="21"/>
        </w:rPr>
        <w:t xml:space="preserve">             </w:t>
      </w:r>
      <w:r>
        <w:rPr>
          <w:rFonts w:hint="eastAsia"/>
          <w:szCs w:val="21"/>
        </w:rPr>
        <w:t xml:space="preserve">            （6</w:t>
      </w:r>
      <w:r>
        <w:rPr>
          <w:szCs w:val="21"/>
        </w:rPr>
        <w:t>-5</w:t>
      </w:r>
      <w:r>
        <w:rPr>
          <w:rFonts w:hint="eastAsia"/>
          <w:szCs w:val="21"/>
        </w:rPr>
        <w:t>）</w:t>
      </w:r>
    </w:p>
    <w:p>
      <w:pPr>
        <w:pStyle w:val="10"/>
        <w:tabs>
          <w:tab w:val="left" w:pos="630"/>
        </w:tabs>
        <w:spacing w:after="0" w:line="360" w:lineRule="auto"/>
        <w:rPr>
          <w:szCs w:val="21"/>
        </w:rPr>
      </w:pPr>
      <w:r>
        <w:rPr>
          <w:rFonts w:hint="eastAsia"/>
          <w:szCs w:val="21"/>
        </w:rPr>
        <w:t>式中：</w:t>
      </w:r>
      <w:r>
        <w:rPr>
          <w:szCs w:val="21"/>
        </w:rPr>
        <w:t>T—</w:t>
      </w:r>
      <w:r>
        <w:rPr>
          <w:rFonts w:hint="eastAsia"/>
          <w:szCs w:val="21"/>
        </w:rPr>
        <w:t>记录时窗（ns）；</w:t>
      </w:r>
    </w:p>
    <w:p>
      <w:pPr>
        <w:pStyle w:val="10"/>
        <w:tabs>
          <w:tab w:val="left" w:pos="630"/>
        </w:tabs>
        <w:spacing w:after="0" w:line="360" w:lineRule="auto"/>
        <w:ind w:firstLine="630" w:firstLineChars="300"/>
        <w:rPr>
          <w:szCs w:val="21"/>
        </w:rPr>
      </w:pPr>
      <w:r>
        <w:rPr>
          <w:rFonts w:hint="eastAsia"/>
          <w:szCs w:val="21"/>
        </w:rPr>
        <w:t>K</w:t>
      </w:r>
      <w:r>
        <w:rPr>
          <w:szCs w:val="21"/>
        </w:rPr>
        <w:t>—</w:t>
      </w:r>
      <w:r>
        <w:rPr>
          <w:rFonts w:hint="eastAsia"/>
          <w:szCs w:val="21"/>
        </w:rPr>
        <w:t>加权系数，宜取1</w:t>
      </w:r>
      <w:r>
        <w:rPr>
          <w:szCs w:val="21"/>
        </w:rPr>
        <w:t>.3~1.5</w:t>
      </w:r>
      <w:r>
        <w:rPr>
          <w:rFonts w:hint="eastAsia"/>
          <w:szCs w:val="21"/>
        </w:rPr>
        <w:t>；</w:t>
      </w:r>
    </w:p>
    <w:p>
      <w:pPr>
        <w:pStyle w:val="10"/>
        <w:tabs>
          <w:tab w:val="left" w:pos="630"/>
        </w:tabs>
        <w:spacing w:after="0" w:line="360" w:lineRule="auto"/>
        <w:ind w:firstLine="630" w:firstLineChars="300"/>
        <w:rPr>
          <w:szCs w:val="21"/>
        </w:rPr>
      </w:pPr>
      <w:r>
        <w:rPr>
          <w:szCs w:val="21"/>
        </w:rPr>
        <w:t>H—</w:t>
      </w:r>
      <w:r>
        <w:rPr>
          <w:rFonts w:hint="eastAsia"/>
          <w:szCs w:val="21"/>
        </w:rPr>
        <w:t>最大要求探测深度（m）；</w:t>
      </w:r>
    </w:p>
    <w:p>
      <w:pPr>
        <w:pStyle w:val="10"/>
        <w:tabs>
          <w:tab w:val="left" w:pos="630"/>
        </w:tabs>
        <w:spacing w:after="0" w:line="360" w:lineRule="auto"/>
        <w:ind w:firstLine="630" w:firstLineChars="300"/>
        <w:rPr>
          <w:szCs w:val="21"/>
        </w:rPr>
      </w:pPr>
      <m:oMath>
        <m:r>
          <m:rPr/>
          <w:rPr>
            <w:rFonts w:ascii="Cambria Math" w:hAnsi="Cambria Math"/>
            <w:szCs w:val="21"/>
          </w:rPr>
          <m:t>υ</m:t>
        </m:r>
      </m:oMath>
      <w:r>
        <w:rPr>
          <w:szCs w:val="21"/>
        </w:rPr>
        <w:t>—</w:t>
      </w:r>
      <w:r>
        <w:rPr>
          <w:rFonts w:hint="eastAsia"/>
          <w:szCs w:val="21"/>
        </w:rPr>
        <w:t>地层介质中的电磁波平均速度（m</w:t>
      </w:r>
      <w:r>
        <w:rPr>
          <w:szCs w:val="21"/>
        </w:rPr>
        <w:t>/</w:t>
      </w:r>
      <w:r>
        <w:rPr>
          <w:rFonts w:hint="eastAsia"/>
          <w:szCs w:val="21"/>
        </w:rPr>
        <w:t>ns）。</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11" w:name="_Toc103169289"/>
      <w:bookmarkStart w:id="112" w:name="_Toc148468272"/>
      <w:r>
        <w:rPr>
          <w:rStyle w:val="32"/>
          <w:rFonts w:hint="eastAsia" w:ascii="Times New Roman" w:hAnsi="Times New Roman"/>
          <w:bCs w:val="0"/>
          <w:caps w:val="0"/>
          <w:kern w:val="0"/>
          <w:sz w:val="21"/>
          <w:szCs w:val="21"/>
        </w:rPr>
        <w:t xml:space="preserve">6.3  </w:t>
      </w:r>
      <w:bookmarkEnd w:id="111"/>
      <w:r>
        <w:rPr>
          <w:rStyle w:val="32"/>
          <w:rFonts w:hint="eastAsia" w:ascii="Times New Roman" w:hAnsi="Times New Roman"/>
          <w:bCs w:val="0"/>
          <w:caps w:val="0"/>
          <w:kern w:val="0"/>
          <w:sz w:val="21"/>
          <w:szCs w:val="21"/>
        </w:rPr>
        <w:t>高密度电阻率法</w:t>
      </w:r>
      <w:bookmarkEnd w:id="112"/>
    </w:p>
    <w:p>
      <w:r>
        <w:t>6.</w:t>
      </w:r>
      <w:r>
        <w:rPr>
          <w:rFonts w:hint="eastAsia"/>
        </w:rPr>
        <w:t>3</w:t>
      </w:r>
      <w:r>
        <w:t xml:space="preserve">.1 </w:t>
      </w:r>
      <w:r>
        <w:rPr>
          <w:rFonts w:hint="eastAsia"/>
        </w:rPr>
        <w:t xml:space="preserve"> 高密度电阻率法在城市道路探测环境下存在不便安置电极和工作效率低的缺点，当地下病害位置埋深处于5m以下或遇复杂环境条件，采用探地雷达法难以探测时，可采用该方法进行探测。</w:t>
      </w:r>
    </w:p>
    <w:p>
      <w:r>
        <w:rPr>
          <w:rFonts w:hint="eastAsia"/>
        </w:rPr>
        <w:t>6</w:t>
      </w:r>
      <w:r>
        <w:t xml:space="preserve">.3.2  </w:t>
      </w:r>
      <w:r>
        <w:rPr>
          <w:rFonts w:hint="eastAsia"/>
        </w:rPr>
        <w:t>场地内存在较强的游散电流、大地电流等电磁干扰时，会影响地下病害及相邻土体的电性分布，并且造成明显的假异常，严重影响数据的信噪比。此外，通常相邻电极之间的地面高差应远小于电极间距，否则地形变化造成的影响会带来明显的八字形假异常。</w:t>
      </w:r>
    </w:p>
    <w:p>
      <w:r>
        <w:rPr>
          <w:rFonts w:hint="eastAsia"/>
        </w:rPr>
        <w:t>6</w:t>
      </w:r>
      <w:r>
        <w:t xml:space="preserve">.3.4  </w:t>
      </w:r>
      <w:r>
        <w:rPr>
          <w:rFonts w:hint="eastAsia"/>
        </w:rPr>
        <w:t>最小电极距建议同预期的水平分辨率相当；排列长度建议大于3倍的最大要求探测深度。</w:t>
      </w:r>
    </w:p>
    <w:p>
      <w:r>
        <w:rPr>
          <w:rFonts w:hint="eastAsia"/>
        </w:rPr>
        <w:t>6</w:t>
      </w:r>
      <w:r>
        <w:t xml:space="preserve">.3.5  </w:t>
      </w:r>
      <w:r>
        <w:rPr>
          <w:rFonts w:hint="eastAsia"/>
        </w:rPr>
        <w:t>影响介质电阻率的因素很多，应在数据采集前对现场进行环境调查，并尽可能收集相关的地质钻孔、测井、室内岩土试验等资料，以确定方法和方案的可行性。</w:t>
      </w:r>
    </w:p>
    <w:p>
      <w:r>
        <w:rPr>
          <w:rFonts w:hint="eastAsia"/>
        </w:rPr>
        <w:t>6</w:t>
      </w:r>
      <w:r>
        <w:t xml:space="preserve">.3.6  </w:t>
      </w:r>
      <w:r>
        <w:rPr>
          <w:rFonts w:hint="eastAsia"/>
        </w:rPr>
        <w:t>高密度电法的有效探测深度约为最大供电极距</w:t>
      </w:r>
      <w:r>
        <w:t>1/6~1/3</w:t>
      </w:r>
      <w:r>
        <w:rPr>
          <w:rFonts w:hint="eastAsia"/>
        </w:rPr>
        <w:t>，当隔离系数逐次增大时，反映不同深度的测点将依次减小，从而导致整个剖面最后几层的数据量非常少，因此设计的探测深度通常取探测对象深度的</w:t>
      </w:r>
      <w:r>
        <w:t>1.5</w:t>
      </w:r>
      <w:r>
        <w:rPr>
          <w:rFonts w:hint="eastAsia"/>
        </w:rPr>
        <w:t>至</w:t>
      </w:r>
      <w:r>
        <w:t>2.0</w:t>
      </w:r>
      <w:r>
        <w:rPr>
          <w:rFonts w:hint="eastAsia"/>
        </w:rPr>
        <w:t>倍；同时由于剖面最后几层的数据量非常少，因此设计的探测深度通常为探测对象区域的分布长度加上两侧各</w:t>
      </w:r>
      <w:r>
        <w:t>H/2</w:t>
      </w:r>
      <w:r>
        <w:rPr>
          <w:rFonts w:hint="eastAsia"/>
        </w:rPr>
        <w:t>（探测深度的一半）的长度。</w:t>
      </w:r>
    </w:p>
    <w:p>
      <w:r>
        <w:rPr>
          <w:rFonts w:hint="eastAsia"/>
        </w:rPr>
        <w:t>6</w:t>
      </w:r>
      <w:r>
        <w:t xml:space="preserve">.3.10  </w:t>
      </w:r>
      <w:r>
        <w:rPr>
          <w:rFonts w:hint="eastAsia"/>
        </w:rPr>
        <w:t>本条对高密度电阻率法的质量检查进行规定：质量检查统计的均方相对误差的计算公式如下：</w:t>
      </w:r>
    </w:p>
    <w:p>
      <w:pPr>
        <w:jc w:val="right"/>
      </w:pPr>
      <m:oMath>
        <m:r>
          <m:rPr/>
          <w:rPr>
            <w:rFonts w:ascii="Cambria Math" w:hAnsi="Cambria Math"/>
          </w:rPr>
          <m:t>M</m:t>
        </m:r>
        <m:r>
          <m:rPr>
            <m:sty m:val="p"/>
          </m:rPr>
          <w:rPr>
            <w:rFonts w:ascii="Cambria Math" w:hAnsi="Cambria Math"/>
          </w:rPr>
          <m:t>=</m:t>
        </m:r>
        <m:r>
          <m:rPr>
            <m:sty m:val="p"/>
          </m:rPr>
          <w:rPr>
            <w:rFonts w:hint="eastAsia" w:ascii="Cambria Math" w:hAnsi="Cambria Math"/>
          </w:rPr>
          <m:t>±</m:t>
        </m:r>
        <m:rad>
          <m:radPr>
            <m:degHide m:val="true"/>
            <m:ctrlPr>
              <w:rPr>
                <w:rFonts w:ascii="Cambria Math" w:hAnsi="Cambria Math"/>
              </w:rPr>
            </m:ctrlPr>
          </m:radPr>
          <m:deg>
            <m:ctrlPr>
              <w:rPr>
                <w:rFonts w:ascii="Cambria Math" w:hAnsi="Cambria Math"/>
              </w:rPr>
            </m:ctrlPr>
          </m:deg>
          <m:e>
            <m:f>
              <m:fPr>
                <m:ctrlPr>
                  <w:rPr>
                    <w:rFonts w:ascii="Cambria Math" w:hAnsi="Cambria Math"/>
                  </w:rPr>
                </m:ctrlPr>
              </m:fPr>
              <m:num>
                <m:r>
                  <m:rPr>
                    <m:sty m:val="p"/>
                  </m:rPr>
                  <w:rPr>
                    <w:rFonts w:ascii="Cambria Math" w:hAnsi="Cambria Math"/>
                  </w:rPr>
                  <m:t>1</m:t>
                </m:r>
                <m:ctrlPr>
                  <w:rPr>
                    <w:rFonts w:ascii="Cambria Math" w:hAnsi="Cambria Math"/>
                  </w:rPr>
                </m:ctrlPr>
              </m:num>
              <m:den>
                <m:r>
                  <m:rPr>
                    <m:sty m:val="p"/>
                  </m:rPr>
                  <w:rPr>
                    <w:rFonts w:ascii="Cambria Math" w:hAnsi="Cambria Math"/>
                  </w:rPr>
                  <m:t>2</m:t>
                </m:r>
                <m:r>
                  <m:rPr/>
                  <w:rPr>
                    <w:rFonts w:ascii="Cambria Math" w:hAnsi="Cambria Math"/>
                  </w:rPr>
                  <m:t>n</m:t>
                </m:r>
                <m:ctrlPr>
                  <w:rPr>
                    <w:rFonts w:ascii="Cambria Math" w:hAnsi="Cambria Math"/>
                  </w:rPr>
                </m:ctrlPr>
              </m:den>
            </m:f>
            <m:nary>
              <m:naryPr>
                <m:chr m:val="∑"/>
                <m:limLoc m:val="undOvr"/>
                <m:ctrlPr>
                  <w:rPr>
                    <w:rFonts w:ascii="Cambria Math" w:hAnsi="Cambria Math"/>
                  </w:rPr>
                </m:ctrlPr>
              </m:naryPr>
              <m:sub>
                <m:r>
                  <m:rPr/>
                  <w:rPr>
                    <w:rFonts w:ascii="Cambria Math" w:hAnsi="Cambria Math"/>
                  </w:rPr>
                  <m:t>i</m:t>
                </m:r>
                <m:r>
                  <m:rPr>
                    <m:sty m:val="p"/>
                  </m:rPr>
                  <w:rPr>
                    <w:rFonts w:ascii="Cambria Math" w:hAnsi="Cambria Math"/>
                  </w:rPr>
                  <m:t>=1</m:t>
                </m:r>
                <m:ctrlPr>
                  <w:rPr>
                    <w:rFonts w:ascii="Cambria Math" w:hAnsi="Cambria Math"/>
                  </w:rPr>
                </m:ctrlPr>
              </m:sub>
              <m:sup>
                <m:r>
                  <m:rPr/>
                  <w:rPr>
                    <w:rFonts w:ascii="Cambria Math" w:hAnsi="Cambria Math"/>
                  </w:rPr>
                  <m:t>n</m:t>
                </m:r>
                <m:ctrlPr>
                  <w:rPr>
                    <w:rFonts w:ascii="Cambria Math" w:hAnsi="Cambria Math"/>
                  </w:rPr>
                </m:ctrlPr>
              </m:sup>
              <m:e>
                <m:sSubSup>
                  <m:sSubSupPr>
                    <m:ctrlPr>
                      <w:rPr>
                        <w:rFonts w:ascii="Cambria Math" w:hAnsi="Cambria Math"/>
                      </w:rPr>
                    </m:ctrlPr>
                  </m:sSubSupPr>
                  <m:e>
                    <m:r>
                      <m:rPr/>
                      <w:rPr>
                        <w:rFonts w:ascii="Cambria Math" w:hAnsi="Cambria Math"/>
                      </w:rPr>
                      <m:t>m</m:t>
                    </m:r>
                    <m:ctrlPr>
                      <w:rPr>
                        <w:rFonts w:ascii="Cambria Math" w:hAnsi="Cambria Math"/>
                      </w:rPr>
                    </m:ctrlPr>
                  </m:e>
                  <m:sub>
                    <m:r>
                      <m:rPr/>
                      <w:rPr>
                        <w:rFonts w:ascii="Cambria Math" w:hAnsi="Cambria Math"/>
                      </w:rPr>
                      <m:t>i</m:t>
                    </m:r>
                    <m:ctrlPr>
                      <w:rPr>
                        <w:rFonts w:ascii="Cambria Math" w:hAnsi="Cambria Math"/>
                      </w:rPr>
                    </m:ctrlPr>
                  </m:sub>
                  <m:sup>
                    <m:r>
                      <m:rPr>
                        <m:sty m:val="p"/>
                      </m:rPr>
                      <w:rPr>
                        <w:rFonts w:ascii="Cambria Math" w:hAnsi="Cambria Math"/>
                      </w:rPr>
                      <m:t>2</m:t>
                    </m:r>
                    <m:ctrlPr>
                      <w:rPr>
                        <w:rFonts w:ascii="Cambria Math" w:hAnsi="Cambria Math"/>
                      </w:rPr>
                    </m:ctrlPr>
                  </m:sup>
                </m:sSubSup>
                <m:ctrlPr>
                  <w:rPr>
                    <w:rFonts w:ascii="Cambria Math" w:hAnsi="Cambria Math"/>
                  </w:rPr>
                </m:ctrlPr>
              </m:e>
            </m:nary>
            <m:ctrlPr>
              <w:rPr>
                <w:rFonts w:ascii="Cambria Math" w:hAnsi="Cambria Math"/>
              </w:rPr>
            </m:ctrlPr>
          </m:e>
        </m:rad>
      </m:oMath>
      <w:r>
        <w:t xml:space="preserve">                      </w:t>
      </w:r>
      <w:r>
        <w:rPr>
          <w:rFonts w:hint="eastAsia"/>
        </w:rPr>
        <w:t>（6</w:t>
      </w:r>
      <w:r>
        <w:t>-6</w:t>
      </w:r>
      <w:r>
        <w:rPr>
          <w:rFonts w:hint="eastAsia"/>
        </w:rPr>
        <w:t>）</w:t>
      </w:r>
    </w:p>
    <w:p>
      <w:pPr>
        <w:jc w:val="right"/>
      </w:pP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i</m:t>
            </m:r>
            <m:ctrlPr>
              <w:rPr>
                <w:rFonts w:ascii="Cambria Math" w:hAnsi="Cambria Math"/>
              </w:rPr>
            </m:ctrlPr>
          </m:sub>
        </m:sSub>
        <m:r>
          <m:rPr>
            <m:sty m:val="p"/>
          </m:rPr>
          <w:rPr>
            <w:rFonts w:ascii="Cambria Math" w:hAnsi="Cambria Math"/>
          </w:rPr>
          <m:t>=2</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w:rPr>
                        <w:rFonts w:ascii="Cambria Math" w:hAnsi="Cambria Math"/>
                      </w:rPr>
                      <m:t>ρ</m:t>
                    </m:r>
                    <m:ctrlPr>
                      <w:rPr>
                        <w:rFonts w:ascii="Cambria Math" w:hAnsi="Cambria Math"/>
                      </w:rPr>
                    </m:ctrlPr>
                  </m:e>
                  <m:sub>
                    <m:r>
                      <m:rPr/>
                      <w:rPr>
                        <w:rFonts w:ascii="Cambria Math" w:hAnsi="Cambria Math"/>
                      </w:rPr>
                      <m:t>ai</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r>
                      <m:rPr/>
                      <w:rPr>
                        <w:rFonts w:ascii="Cambria Math" w:hAnsi="Cambria Math"/>
                      </w:rPr>
                      <m:t>ρ</m:t>
                    </m:r>
                    <m:ctrlPr>
                      <w:rPr>
                        <w:rFonts w:ascii="Cambria Math" w:hAnsi="Cambria Math"/>
                      </w:rPr>
                    </m:ctrlPr>
                  </m:e>
                  <m:sub>
                    <m:r>
                      <m:rPr/>
                      <w:rPr>
                        <w:rFonts w:ascii="Cambria Math" w:hAnsi="Cambria Math"/>
                      </w:rPr>
                      <m:t>ai</m:t>
                    </m:r>
                    <m:ctrlPr>
                      <w:rPr>
                        <w:rFonts w:ascii="Cambria Math" w:hAnsi="Cambria Math"/>
                      </w:rPr>
                    </m:ctrlPr>
                  </m:sub>
                  <m:sup>
                    <m:r>
                      <m:rPr>
                        <m:sty m:val="p"/>
                      </m:rPr>
                      <w:rPr>
                        <w:rFonts w:hint="eastAsia" w:ascii="Cambria Math" w:hAnsi="Cambria Math"/>
                      </w:rPr>
                      <m:t>'</m:t>
                    </m:r>
                    <m:ctrlPr>
                      <w:rPr>
                        <w:rFonts w:ascii="Cambria Math" w:hAnsi="Cambria Math"/>
                      </w:rPr>
                    </m:ctrlPr>
                  </m:sup>
                </m:sSubSup>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ρ</m:t>
                </m:r>
                <m:ctrlPr>
                  <w:rPr>
                    <w:rFonts w:ascii="Cambria Math" w:hAnsi="Cambria Math"/>
                  </w:rPr>
                </m:ctrlPr>
              </m:e>
              <m:sub>
                <m:r>
                  <m:rPr/>
                  <w:rPr>
                    <w:rFonts w:ascii="Cambria Math" w:hAnsi="Cambria Math"/>
                  </w:rPr>
                  <m:t>ai</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r>
                  <m:rPr/>
                  <w:rPr>
                    <w:rFonts w:ascii="Cambria Math" w:hAnsi="Cambria Math"/>
                  </w:rPr>
                  <m:t>ρ</m:t>
                </m:r>
                <m:ctrlPr>
                  <w:rPr>
                    <w:rFonts w:ascii="Cambria Math" w:hAnsi="Cambria Math"/>
                  </w:rPr>
                </m:ctrlPr>
              </m:e>
              <m:sub>
                <m:r>
                  <m:rPr/>
                  <w:rPr>
                    <w:rFonts w:ascii="Cambria Math" w:hAnsi="Cambria Math"/>
                  </w:rPr>
                  <m:t>ai</m:t>
                </m:r>
                <m:ctrlPr>
                  <w:rPr>
                    <w:rFonts w:ascii="Cambria Math" w:hAnsi="Cambria Math"/>
                  </w:rPr>
                </m:ctrlPr>
              </m:sub>
              <m:sup>
                <m:r>
                  <m:rPr>
                    <m:sty m:val="p"/>
                  </m:rPr>
                  <w:rPr>
                    <w:rFonts w:hint="eastAsia" w:ascii="Cambria Math" w:hAnsi="Cambria Math"/>
                  </w:rPr>
                  <m:t>'</m:t>
                </m:r>
                <m:ctrlPr>
                  <w:rPr>
                    <w:rFonts w:ascii="Cambria Math" w:hAnsi="Cambria Math"/>
                  </w:rPr>
                </m:ctrlPr>
              </m:sup>
            </m:sSubSup>
            <m:ctrlPr>
              <w:rPr>
                <w:rFonts w:ascii="Cambria Math" w:hAnsi="Cambria Math"/>
              </w:rPr>
            </m:ctrlPr>
          </m:den>
        </m:f>
        <m:r>
          <m:rPr>
            <m:sty m:val="p"/>
          </m:rPr>
          <w:rPr>
            <w:rFonts w:hint="eastAsia" w:ascii="Cambria Math" w:hAnsi="Cambria Math"/>
          </w:rPr>
          <m:t>×</m:t>
        </m:r>
        <m:r>
          <m:rPr>
            <m:sty m:val="p"/>
          </m:rPr>
          <w:rPr>
            <w:rFonts w:ascii="Cambria Math" w:hAnsi="Cambria Math"/>
          </w:rPr>
          <m:t>100%</m:t>
        </m:r>
      </m:oMath>
      <w:r>
        <w:t xml:space="preserve">                    </w:t>
      </w:r>
      <w:r>
        <w:rPr>
          <w:rFonts w:hint="eastAsia"/>
        </w:rPr>
        <w:t>（6</w:t>
      </w:r>
      <w:r>
        <w:t>-7</w:t>
      </w:r>
      <w:r>
        <w:rPr>
          <w:rFonts w:hint="eastAsia"/>
        </w:rPr>
        <w:t>）</w:t>
      </w:r>
    </w:p>
    <w:p>
      <w:r>
        <w:rPr>
          <w:rFonts w:hint="eastAsia"/>
        </w:rPr>
        <w:t>式中：</w:t>
      </w:r>
      <w:r>
        <w:t>M</w:t>
      </w:r>
      <w:r>
        <w:rPr>
          <w:rFonts w:hint="eastAsia"/>
        </w:rPr>
        <w:t>—某项目的均方相对误差；</w:t>
      </w:r>
    </w:p>
    <w:p>
      <w:pPr>
        <w:ind w:firstLine="630" w:firstLineChars="300"/>
      </w:pPr>
      <m:oMath>
        <m:r>
          <m:rPr/>
          <w:rPr>
            <w:rFonts w:ascii="Cambria Math" w:hAnsi="Cambria Math"/>
          </w:rPr>
          <m:t>n</m:t>
        </m:r>
      </m:oMath>
      <w:r>
        <w:rPr>
          <w:rFonts w:hint="eastAsia"/>
        </w:rPr>
        <w:t>—某项目的测点个数；</w:t>
      </w:r>
    </w:p>
    <w:p>
      <w:pPr>
        <w:ind w:firstLine="630" w:firstLineChars="300"/>
      </w:pPr>
      <m:oMath>
        <m:sSub>
          <m:sSubPr>
            <m:ctrlPr>
              <w:rPr>
                <w:rFonts w:ascii="Cambria Math" w:hAnsi="Cambria Math"/>
              </w:rPr>
            </m:ctrlPr>
          </m:sSubPr>
          <m:e>
            <m:r>
              <m:rPr/>
              <w:rPr>
                <w:rFonts w:ascii="Cambria Math" w:hAnsi="Cambria Math"/>
              </w:rPr>
              <m:t>m</m:t>
            </m:r>
            <m:ctrlPr>
              <w:rPr>
                <w:rFonts w:ascii="Cambria Math" w:hAnsi="Cambria Math"/>
              </w:rPr>
            </m:ctrlPr>
          </m:e>
          <m:sub>
            <m:r>
              <m:rPr/>
              <w:rPr>
                <w:rFonts w:ascii="Cambria Math" w:hAnsi="Cambria Math"/>
              </w:rPr>
              <m:t>i</m:t>
            </m:r>
            <m:ctrlPr>
              <w:rPr>
                <w:rFonts w:ascii="Cambria Math" w:hAnsi="Cambria Math"/>
              </w:rPr>
            </m:ctrlPr>
          </m:sub>
        </m:sSub>
      </m:oMath>
      <w:r>
        <w:rPr>
          <w:rFonts w:hint="eastAsia"/>
        </w:rPr>
        <w:t>—第</w:t>
      </w:r>
      <m:oMath>
        <m:r>
          <m:rPr>
            <m:sty m:val="p"/>
          </m:rPr>
          <w:rPr>
            <w:rFonts w:ascii="Cambria Math" w:hAnsi="Cambria Math"/>
          </w:rPr>
          <m:t xml:space="preserve"> </m:t>
        </m:r>
        <m:r>
          <m:rPr/>
          <w:rPr>
            <w:rFonts w:ascii="Cambria Math" w:hAnsi="Cambria Math"/>
          </w:rPr>
          <m:t>i</m:t>
        </m:r>
        <m:r>
          <m:rPr>
            <m:sty m:val="p"/>
          </m:rPr>
          <w:rPr>
            <w:rFonts w:ascii="Cambria Math" w:hAnsi="Cambria Math"/>
          </w:rPr>
          <m:t xml:space="preserve"> </m:t>
        </m:r>
      </m:oMath>
      <w:r>
        <w:rPr>
          <w:rFonts w:hint="eastAsia"/>
        </w:rPr>
        <w:t>个测点的相对误差；</w:t>
      </w:r>
    </w:p>
    <w:p>
      <w:pPr>
        <w:ind w:firstLine="630" w:firstLineChars="300"/>
      </w:pPr>
      <m:oMath>
        <m:sSub>
          <m:sSubPr>
            <m:ctrlPr>
              <w:rPr>
                <w:rFonts w:ascii="Cambria Math" w:hAnsi="Cambria Math"/>
              </w:rPr>
            </m:ctrlPr>
          </m:sSubPr>
          <m:e>
            <m:r>
              <m:rPr/>
              <w:rPr>
                <w:rFonts w:ascii="Cambria Math" w:hAnsi="Cambria Math"/>
              </w:rPr>
              <m:t>ρ</m:t>
            </m:r>
            <m:ctrlPr>
              <w:rPr>
                <w:rFonts w:ascii="Cambria Math" w:hAnsi="Cambria Math"/>
              </w:rPr>
            </m:ctrlPr>
          </m:e>
          <m:sub>
            <m:r>
              <m:rPr/>
              <w:rPr>
                <w:rFonts w:ascii="Cambria Math" w:hAnsi="Cambria Math"/>
              </w:rPr>
              <m:t>ai</m:t>
            </m:r>
            <m:ctrlPr>
              <w:rPr>
                <w:rFonts w:ascii="Cambria Math" w:hAnsi="Cambria Math"/>
              </w:rPr>
            </m:ctrlPr>
          </m:sub>
        </m:sSub>
      </m:oMath>
      <w:r>
        <w:rPr>
          <w:rFonts w:hint="eastAsia"/>
        </w:rPr>
        <w:t>—第</w:t>
      </w:r>
      <m:oMath>
        <m:r>
          <m:rPr>
            <m:sty m:val="p"/>
          </m:rPr>
          <w:rPr>
            <w:rFonts w:ascii="Cambria Math" w:hAnsi="Cambria Math"/>
          </w:rPr>
          <m:t xml:space="preserve"> </m:t>
        </m:r>
        <m:r>
          <m:rPr/>
          <w:rPr>
            <w:rFonts w:ascii="Cambria Math" w:hAnsi="Cambria Math"/>
          </w:rPr>
          <m:t>i</m:t>
        </m:r>
        <m:r>
          <m:rPr>
            <m:sty m:val="p"/>
          </m:rPr>
          <w:rPr>
            <w:rFonts w:ascii="Cambria Math" w:hAnsi="Cambria Math"/>
          </w:rPr>
          <m:t xml:space="preserve"> </m:t>
        </m:r>
      </m:oMath>
      <w:r>
        <w:rPr>
          <w:rFonts w:hint="eastAsia"/>
        </w:rPr>
        <w:t>个测点的基本观测值；</w:t>
      </w:r>
    </w:p>
    <w:p>
      <w:pPr>
        <w:ind w:firstLine="630" w:firstLineChars="300"/>
      </w:pPr>
      <m:oMath>
        <m:sSubSup>
          <m:sSubSupPr>
            <m:ctrlPr>
              <w:rPr>
                <w:rFonts w:ascii="Cambria Math" w:hAnsi="Cambria Math"/>
              </w:rPr>
            </m:ctrlPr>
          </m:sSubSupPr>
          <m:e>
            <m:r>
              <m:rPr/>
              <w:rPr>
                <w:rFonts w:ascii="Cambria Math" w:hAnsi="Cambria Math"/>
              </w:rPr>
              <m:t>ρ</m:t>
            </m:r>
            <m:ctrlPr>
              <w:rPr>
                <w:rFonts w:ascii="Cambria Math" w:hAnsi="Cambria Math"/>
              </w:rPr>
            </m:ctrlPr>
          </m:e>
          <m:sub>
            <m:r>
              <m:rPr/>
              <w:rPr>
                <w:rFonts w:ascii="Cambria Math" w:hAnsi="Cambria Math"/>
              </w:rPr>
              <m:t>ai</m:t>
            </m:r>
            <m:ctrlPr>
              <w:rPr>
                <w:rFonts w:ascii="Cambria Math" w:hAnsi="Cambria Math"/>
              </w:rPr>
            </m:ctrlPr>
          </m:sub>
          <m:sup>
            <m:r>
              <m:rPr>
                <m:sty m:val="p"/>
              </m:rPr>
              <w:rPr>
                <w:rFonts w:hint="eastAsia" w:ascii="Cambria Math" w:hAnsi="Cambria Math"/>
              </w:rPr>
              <m:t>'</m:t>
            </m:r>
            <m:ctrlPr>
              <w:rPr>
                <w:rFonts w:ascii="Cambria Math" w:hAnsi="Cambria Math"/>
              </w:rPr>
            </m:ctrlPr>
          </m:sup>
        </m:sSubSup>
      </m:oMath>
      <w:r>
        <w:rPr>
          <w:rFonts w:hint="eastAsia"/>
        </w:rPr>
        <w:t>—第</w:t>
      </w:r>
      <m:oMath>
        <m:r>
          <m:rPr>
            <m:sty m:val="p"/>
          </m:rPr>
          <w:rPr>
            <w:rFonts w:ascii="Cambria Math" w:hAnsi="Cambria Math"/>
          </w:rPr>
          <m:t xml:space="preserve"> </m:t>
        </m:r>
        <m:r>
          <m:rPr/>
          <w:rPr>
            <w:rFonts w:ascii="Cambria Math" w:hAnsi="Cambria Math"/>
          </w:rPr>
          <m:t>i</m:t>
        </m:r>
        <m:r>
          <m:rPr>
            <m:sty m:val="p"/>
          </m:rPr>
          <w:rPr>
            <w:rFonts w:ascii="Cambria Math" w:hAnsi="Cambria Math"/>
          </w:rPr>
          <m:t xml:space="preserve"> </m:t>
        </m:r>
      </m:oMath>
      <w:r>
        <w:rPr>
          <w:rFonts w:hint="eastAsia"/>
        </w:rPr>
        <w:t>个测点的检查观测值。</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13" w:name="_Toc148468273"/>
      <w:r>
        <w:rPr>
          <w:rStyle w:val="32"/>
          <w:rFonts w:hint="eastAsia" w:ascii="Times New Roman" w:hAnsi="Times New Roman"/>
          <w:bCs w:val="0"/>
          <w:caps w:val="0"/>
          <w:kern w:val="0"/>
          <w:sz w:val="21"/>
          <w:szCs w:val="21"/>
        </w:rPr>
        <w:t>6.</w:t>
      </w:r>
      <w:r>
        <w:rPr>
          <w:rStyle w:val="32"/>
          <w:rFonts w:ascii="Times New Roman" w:hAnsi="Times New Roman"/>
          <w:bCs w:val="0"/>
          <w:caps w:val="0"/>
          <w:kern w:val="0"/>
          <w:sz w:val="21"/>
          <w:szCs w:val="21"/>
        </w:rPr>
        <w:t>4</w:t>
      </w:r>
      <w:r>
        <w:rPr>
          <w:rStyle w:val="32"/>
          <w:rFonts w:hint="eastAsia" w:ascii="Times New Roman" w:hAnsi="Times New Roman"/>
          <w:bCs w:val="0"/>
          <w:caps w:val="0"/>
          <w:kern w:val="0"/>
          <w:sz w:val="21"/>
          <w:szCs w:val="21"/>
        </w:rPr>
        <w:t xml:space="preserve">  瞬态面波法</w:t>
      </w:r>
      <w:bookmarkEnd w:id="113"/>
    </w:p>
    <w:p>
      <w:r>
        <w:t xml:space="preserve">6.4.2 </w:t>
      </w:r>
      <w:r>
        <w:rPr>
          <w:rFonts w:hint="eastAsia"/>
        </w:rPr>
        <w:t xml:space="preserve"> 多道瞬态面波法在数据采集时，如排列周边存在临空面、陡立面，将产生绕射或反射波，对频散曲线的提取造成很大影响。</w:t>
      </w:r>
    </w:p>
    <w:p>
      <w:r>
        <w:rPr>
          <w:rFonts w:hint="eastAsia"/>
        </w:rPr>
        <w:t>6</w:t>
      </w:r>
      <w:r>
        <w:t xml:space="preserve">.4.3  </w:t>
      </w:r>
      <w:r>
        <w:rPr>
          <w:rFonts w:hint="eastAsia"/>
        </w:rPr>
        <w:t>瞬态面波法由于激振方式多采用重力式锤击方式，所以在城市道路运营阶段不便采用，多用于地质勘察或工程施工期间的城市地下病害体探测。</w:t>
      </w:r>
    </w:p>
    <w:p>
      <w:r>
        <w:rPr>
          <w:rFonts w:hint="eastAsia"/>
        </w:rPr>
        <w:t>6</w:t>
      </w:r>
      <w:r>
        <w:t xml:space="preserve">.4.4  </w:t>
      </w:r>
      <w:r>
        <w:rPr>
          <w:rFonts w:hint="eastAsia"/>
        </w:rPr>
        <w:t>多道瞬态面波法数据采集时采用的道数越多，数据的精度越高，频率成分越丰富；但提取的频散曲线是整个排列下的平均效应，因此排列不宜过长，采用12道~24道即能满足探测需要，为提高工作效率可选择12道进行数据采集；但开展有效性试验时，应采用24道或更多道进行全排列测试，以确定观测系统的最佳参数。</w:t>
      </w:r>
    </w:p>
    <w:p>
      <w:pPr>
        <w:ind w:firstLine="420" w:firstLineChars="200"/>
      </w:pPr>
      <w:r>
        <w:rPr>
          <w:rFonts w:hint="eastAsia"/>
        </w:rPr>
        <w:t>瞬态面波法的检波器选择应符合下列规定：</w:t>
      </w:r>
    </w:p>
    <w:p>
      <w:pPr>
        <w:ind w:firstLine="420" w:firstLineChars="200"/>
      </w:pPr>
      <w:r>
        <w:rPr>
          <w:rFonts w:hint="eastAsia"/>
        </w:rPr>
        <w:t>1</w:t>
      </w:r>
      <w:r>
        <w:t xml:space="preserve">  </w:t>
      </w:r>
      <w:r>
        <w:rPr>
          <w:rFonts w:hint="eastAsia"/>
        </w:rPr>
        <w:t>应采用垂向的速度型检波器；</w:t>
      </w:r>
    </w:p>
    <w:p>
      <w:pPr>
        <w:ind w:firstLine="420" w:firstLineChars="200"/>
      </w:pPr>
      <w:r>
        <w:rPr>
          <w:rFonts w:hint="eastAsia"/>
        </w:rPr>
        <w:t>2</w:t>
      </w:r>
      <w:r>
        <w:t xml:space="preserve">  </w:t>
      </w:r>
      <w:r>
        <w:rPr>
          <w:rFonts w:hint="eastAsia"/>
        </w:rPr>
        <w:t>检波器自然频率宜选用4Hz~20Hz，可按下式计算：</w:t>
      </w:r>
    </w:p>
    <w:p>
      <w:pPr>
        <w:jc w:val="right"/>
      </w:pPr>
      <m:oMath>
        <m:sSub>
          <m:sSubPr>
            <m:ctrlPr>
              <w:rPr>
                <w:rFonts w:ascii="Cambria Math" w:hAnsi="Cambria Math"/>
              </w:rPr>
            </m:ctrlPr>
          </m:sSubPr>
          <m:e>
            <m:r>
              <m:rPr/>
              <w:rPr>
                <w:rFonts w:ascii="Cambria Math" w:hAnsi="Cambria Math"/>
              </w:rPr>
              <m:t>f</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r>
          <m:rPr/>
          <w:rPr>
            <w:rFonts w:ascii="Cambria Math" w:hAnsi="Cambria Math"/>
          </w:rPr>
          <m:t>β</m:t>
        </m:r>
        <m:f>
          <m:fPr>
            <m:ctrlPr>
              <w:rPr>
                <w:rFonts w:ascii="Cambria Math" w:hAnsi="Cambria Math"/>
              </w:rPr>
            </m:ctrlPr>
          </m:fPr>
          <m:num>
            <m:sSub>
              <m:sSubPr>
                <m:ctrlPr>
                  <w:rPr>
                    <w:rFonts w:ascii="Cambria Math" w:hAnsi="Cambria Math"/>
                  </w:rPr>
                </m:ctrlPr>
              </m:sSubPr>
              <m:e>
                <m:r>
                  <m:rPr/>
                  <w:rPr>
                    <w:rFonts w:ascii="Cambria Math" w:hAnsi="Cambria Math"/>
                  </w:rPr>
                  <m:t>V</m:t>
                </m:r>
                <m:ctrlPr>
                  <w:rPr>
                    <w:rFonts w:ascii="Cambria Math" w:hAnsi="Cambria Math"/>
                  </w:rPr>
                </m:ctrlPr>
              </m:e>
              <m:sub>
                <m:r>
                  <m:rPr/>
                  <w:rPr>
                    <w:rFonts w:ascii="Cambria Math" w:hAnsi="Cambria Math"/>
                  </w:rPr>
                  <m:t>Rmin</m:t>
                </m:r>
                <m:ctrlPr>
                  <w:rPr>
                    <w:rFonts w:ascii="Cambria Math" w:hAnsi="Cambria Math"/>
                  </w:rPr>
                </m:ctrlPr>
              </m:sub>
            </m:sSub>
            <m:ctrlPr>
              <w:rPr>
                <w:rFonts w:ascii="Cambria Math" w:hAnsi="Cambria Math"/>
              </w:rPr>
            </m:ctrlPr>
          </m:num>
          <m:den>
            <m:r>
              <m:rPr/>
              <w:rPr>
                <w:rFonts w:ascii="Cambria Math" w:hAnsi="Cambria Math"/>
              </w:rPr>
              <m:t>D</m:t>
            </m:r>
            <m:ctrlPr>
              <w:rPr>
                <w:rFonts w:ascii="Cambria Math" w:hAnsi="Cambria Math"/>
              </w:rPr>
            </m:ctrlPr>
          </m:den>
        </m:f>
      </m:oMath>
      <w:r>
        <w:t xml:space="preserve">                         </w:t>
      </w:r>
      <w:r>
        <w:rPr>
          <w:rFonts w:hint="eastAsia"/>
        </w:rPr>
        <w:t>（6</w:t>
      </w:r>
      <w:r>
        <w:t>-</w:t>
      </w:r>
      <w:r>
        <w:rPr>
          <w:rFonts w:hint="eastAsia"/>
        </w:rPr>
        <w:t>8）</w:t>
      </w:r>
    </w:p>
    <w:p>
      <w:r>
        <w:rPr>
          <w:rFonts w:hint="eastAsia"/>
        </w:rPr>
        <w:t>式中：</w:t>
      </w:r>
      <w:r>
        <w:rPr>
          <w:i/>
        </w:rPr>
        <w:t>f</w:t>
      </w:r>
      <w:r>
        <w:rPr>
          <w:i/>
          <w:vertAlign w:val="subscript"/>
        </w:rPr>
        <w:t>0</w:t>
      </w:r>
      <w:r>
        <w:t>—</w:t>
      </w:r>
      <w:r>
        <w:rPr>
          <w:rFonts w:hint="eastAsia"/>
        </w:rPr>
        <w:t>检波器自然频率（</w:t>
      </w:r>
      <w:r>
        <w:t>Hz</w:t>
      </w:r>
      <w:r>
        <w:rPr>
          <w:rFonts w:hint="eastAsia"/>
        </w:rPr>
        <w:t>）；</w:t>
      </w:r>
    </w:p>
    <w:p>
      <w:pPr>
        <w:ind w:firstLine="630" w:firstLineChars="300"/>
      </w:pPr>
      <w:r>
        <w:rPr>
          <w:i/>
        </w:rPr>
        <w:t>D</w:t>
      </w:r>
      <w:r>
        <w:t>—</w:t>
      </w:r>
      <w:r>
        <w:rPr>
          <w:rFonts w:hint="eastAsia"/>
        </w:rPr>
        <w:t>最大探测深度（</w:t>
      </w:r>
      <w:r>
        <w:t>m</w:t>
      </w:r>
      <w:r>
        <w:rPr>
          <w:rFonts w:hint="eastAsia"/>
        </w:rPr>
        <w:t>）；</w:t>
      </w:r>
    </w:p>
    <w:p>
      <w:pPr>
        <w:ind w:firstLine="630" w:firstLineChars="300"/>
      </w:pPr>
      <w:r>
        <w:rPr>
          <w:i/>
        </w:rPr>
        <w:t>V</w:t>
      </w:r>
      <w:r>
        <w:rPr>
          <w:i/>
          <w:vertAlign w:val="subscript"/>
        </w:rPr>
        <w:t>Rmin</w:t>
      </w:r>
      <w:r>
        <w:t>—</w:t>
      </w:r>
      <w:r>
        <w:rPr>
          <w:rFonts w:hint="eastAsia"/>
        </w:rPr>
        <w:t>探测深度范围内预计平均面波相速度最小值（</w:t>
      </w:r>
      <w:r>
        <w:t>m/s</w:t>
      </w:r>
      <w:r>
        <w:rPr>
          <w:rFonts w:hint="eastAsia"/>
        </w:rPr>
        <w:t>）；</w:t>
      </w:r>
    </w:p>
    <w:p>
      <w:pPr>
        <w:ind w:firstLine="630" w:firstLineChars="300"/>
      </w:pPr>
      <w:r>
        <w:rPr>
          <w:i/>
        </w:rPr>
        <w:t>β</w:t>
      </w:r>
      <w:r>
        <w:t>—</w:t>
      </w:r>
      <w:r>
        <w:rPr>
          <w:rFonts w:hint="eastAsia"/>
        </w:rPr>
        <w:t>波长深度转换系数，取</w:t>
      </w:r>
      <w:r>
        <w:t>0.5</w:t>
      </w:r>
      <w:r>
        <w:rPr>
          <w:rFonts w:hint="eastAsia"/>
        </w:rPr>
        <w:t>。</w:t>
      </w:r>
    </w:p>
    <w:p>
      <w:pPr>
        <w:ind w:firstLine="420" w:firstLineChars="200"/>
      </w:pPr>
      <w:r>
        <w:rPr>
          <w:rFonts w:hint="eastAsia"/>
        </w:rPr>
        <w:t>3</w:t>
      </w:r>
      <w:r>
        <w:t xml:space="preserve">  </w:t>
      </w:r>
      <w:r>
        <w:rPr>
          <w:rFonts w:hint="eastAsia"/>
        </w:rPr>
        <w:t>同一排列检波器之间的自然频率差不应大于0.1Hz，灵敏度和阻尼系数差不应大于10%。</w:t>
      </w:r>
    </w:p>
    <w:p>
      <w:pPr>
        <w:ind w:firstLine="420" w:firstLineChars="200"/>
      </w:pPr>
      <w:r>
        <w:t xml:space="preserve">4  </w:t>
      </w:r>
      <w:r>
        <w:rPr>
          <w:rFonts w:hint="eastAsia"/>
        </w:rPr>
        <w:t>检波器选择时，宜考虑交通振动干扰的影响；</w:t>
      </w:r>
    </w:p>
    <w:p>
      <w:pPr>
        <w:ind w:firstLine="420" w:firstLineChars="200"/>
      </w:pPr>
      <w:r>
        <w:rPr>
          <w:rFonts w:hint="eastAsia"/>
        </w:rPr>
        <w:t>5</w:t>
      </w:r>
      <w:r>
        <w:t xml:space="preserve">  </w:t>
      </w:r>
      <w:r>
        <w:rPr>
          <w:rFonts w:hint="eastAsia"/>
        </w:rPr>
        <w:t>检波器应垂直插入地面，与地表耦合良好，当不具备安插检波器条件时，可采用铁靴的方式。</w:t>
      </w:r>
    </w:p>
    <w:p>
      <w:pPr>
        <w:ind w:firstLine="420" w:firstLineChars="200"/>
      </w:pPr>
      <w:r>
        <w:rPr>
          <w:rFonts w:hint="eastAsia"/>
        </w:rPr>
        <w:t>在地下空洞的探测中，需要相对中高频的面波成分，因此可以选择4Hz~20Hz的检波器。</w:t>
      </w:r>
    </w:p>
    <w:p>
      <w:r>
        <w:rPr>
          <w:rFonts w:hint="eastAsia"/>
        </w:rPr>
        <w:t>6</w:t>
      </w:r>
      <w:r>
        <w:t xml:space="preserve">.4.5  </w:t>
      </w:r>
      <w:r>
        <w:rPr>
          <w:rFonts w:hint="eastAsia"/>
        </w:rPr>
        <w:t>观测方式除单端激发方式外宜增加CMP法激发方式。CMP法激发方式：在排列的首尾及每两个拾振器中间进行激发，如24道的排列总有25个激发点。CMP法是一种新的面波法，也可称为瞬态面波直接剖面法，大大提高了瞬态面波的横向和垂向分辨率，对道路病害体探测（浅地层探测）有很高的价值。</w:t>
      </w:r>
    </w:p>
    <w:p>
      <w:r>
        <w:rPr>
          <w:rFonts w:hint="eastAsia"/>
        </w:rPr>
        <w:t>6</w:t>
      </w:r>
      <w:r>
        <w:t xml:space="preserve">.4.8  </w:t>
      </w:r>
      <w:r>
        <w:rPr>
          <w:rFonts w:hint="eastAsia"/>
        </w:rPr>
        <w:t>半波长法中</w:t>
      </w:r>
      <w:r>
        <w:t>h=</w:t>
      </w:r>
      <m:oMath>
        <m:r>
          <m:rPr/>
          <w:rPr>
            <w:rFonts w:ascii="Cambria Math" w:hAnsi="Cambria Math"/>
          </w:rPr>
          <m:t>β</m:t>
        </m:r>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R</m:t>
            </m:r>
            <m:ctrlPr>
              <w:rPr>
                <w:rFonts w:ascii="Cambria Math" w:hAnsi="Cambria Math"/>
              </w:rPr>
            </m:ctrlPr>
          </m:sub>
        </m:sSub>
      </m:oMath>
      <w:r>
        <w:rPr>
          <w:rFonts w:hint="eastAsia"/>
        </w:rPr>
        <w:t>的</w:t>
      </w:r>
      <m:oMath>
        <m:r>
          <m:rPr/>
          <w:rPr>
            <w:rFonts w:ascii="Cambria Math" w:hAnsi="Cambria Math"/>
          </w:rPr>
          <m:t>β</m:t>
        </m:r>
      </m:oMath>
      <w:r>
        <w:rPr>
          <w:rFonts w:hint="eastAsia"/>
        </w:rPr>
        <w:t>取值为</w:t>
      </w:r>
      <w:r>
        <w:t>1/2</w:t>
      </w:r>
      <w:r>
        <w:rPr>
          <w:rFonts w:hint="eastAsia"/>
        </w:rPr>
        <w:t>，此法认为</w:t>
      </w:r>
      <m:oMath>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R</m:t>
            </m:r>
            <m:ctrlPr>
              <w:rPr>
                <w:rFonts w:ascii="Cambria Math" w:hAnsi="Cambria Math"/>
              </w:rPr>
            </m:ctrlPr>
          </m:sub>
        </m:sSub>
      </m:oMath>
      <w:r>
        <w:rPr>
          <w:rFonts w:hint="eastAsia"/>
        </w:rPr>
        <w:t>的面波速度代表半个波长深度以上介质的平均值，在无其它资料时，可采用此方法；当场地具有已知的钻孔地质资料时，应根据钻孔资料标定</w:t>
      </w:r>
      <m:oMath>
        <m:r>
          <m:rPr/>
          <w:rPr>
            <w:rFonts w:ascii="Cambria Math" w:hAnsi="Cambria Math"/>
          </w:rPr>
          <m:t>β</m:t>
        </m:r>
      </m:oMath>
      <w:r>
        <w:rPr>
          <w:rFonts w:hint="eastAsia"/>
        </w:rPr>
        <w:t>值。</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14" w:name="_Toc148468274"/>
      <w:r>
        <w:rPr>
          <w:rStyle w:val="32"/>
          <w:rFonts w:hint="eastAsia" w:ascii="Times New Roman" w:hAnsi="Times New Roman"/>
          <w:bCs w:val="0"/>
          <w:caps w:val="0"/>
          <w:kern w:val="0"/>
          <w:sz w:val="21"/>
          <w:szCs w:val="21"/>
        </w:rPr>
        <w:t>6.</w:t>
      </w:r>
      <w:r>
        <w:rPr>
          <w:rStyle w:val="32"/>
          <w:rFonts w:ascii="Times New Roman" w:hAnsi="Times New Roman"/>
          <w:bCs w:val="0"/>
          <w:caps w:val="0"/>
          <w:kern w:val="0"/>
          <w:sz w:val="21"/>
          <w:szCs w:val="21"/>
        </w:rPr>
        <w:t>5</w:t>
      </w:r>
      <w:r>
        <w:rPr>
          <w:rStyle w:val="32"/>
          <w:rFonts w:hint="eastAsia" w:ascii="Times New Roman" w:hAnsi="Times New Roman"/>
          <w:bCs w:val="0"/>
          <w:caps w:val="0"/>
          <w:kern w:val="0"/>
          <w:sz w:val="21"/>
          <w:szCs w:val="21"/>
        </w:rPr>
        <w:t xml:space="preserve">  地震映像法</w:t>
      </w:r>
      <w:bookmarkEnd w:id="114"/>
    </w:p>
    <w:p>
      <w:r>
        <w:t xml:space="preserve">6.5.1 </w:t>
      </w:r>
      <w:r>
        <w:rPr>
          <w:rFonts w:hint="eastAsia"/>
        </w:rPr>
        <w:t xml:space="preserve"> 地震映像法仪器设备包括震源、接收装置和记录系统三个组成部分，震源主要为炸药爆炸激励，多用于大陆架油田探测，不宜在城市人口密集的测区使用。</w:t>
      </w:r>
    </w:p>
    <w:p>
      <w:pPr>
        <w:pStyle w:val="3"/>
        <w:widowControl/>
        <w:spacing w:before="0" w:after="0" w:line="360" w:lineRule="auto"/>
        <w:jc w:val="center"/>
        <w:outlineLvl w:val="1"/>
        <w:rPr>
          <w:rStyle w:val="32"/>
          <w:rFonts w:ascii="Times New Roman" w:hAnsi="Times New Roman"/>
          <w:bCs w:val="0"/>
          <w:caps w:val="0"/>
          <w:kern w:val="0"/>
          <w:sz w:val="21"/>
          <w:szCs w:val="21"/>
        </w:rPr>
      </w:pPr>
      <w:bookmarkStart w:id="115" w:name="_Toc148468275"/>
      <w:r>
        <w:rPr>
          <w:rStyle w:val="32"/>
          <w:rFonts w:hint="eastAsia" w:ascii="Times New Roman" w:hAnsi="Times New Roman"/>
          <w:bCs w:val="0"/>
          <w:caps w:val="0"/>
          <w:kern w:val="0"/>
          <w:sz w:val="21"/>
          <w:szCs w:val="21"/>
        </w:rPr>
        <w:t>6.</w:t>
      </w:r>
      <w:r>
        <w:rPr>
          <w:rStyle w:val="32"/>
          <w:rFonts w:ascii="Times New Roman" w:hAnsi="Times New Roman"/>
          <w:bCs w:val="0"/>
          <w:caps w:val="0"/>
          <w:kern w:val="0"/>
          <w:sz w:val="21"/>
          <w:szCs w:val="21"/>
        </w:rPr>
        <w:t>6</w:t>
      </w:r>
      <w:r>
        <w:rPr>
          <w:rStyle w:val="32"/>
          <w:rFonts w:hint="eastAsia" w:ascii="Times New Roman" w:hAnsi="Times New Roman"/>
          <w:bCs w:val="0"/>
          <w:caps w:val="0"/>
          <w:kern w:val="0"/>
          <w:sz w:val="21"/>
          <w:szCs w:val="21"/>
        </w:rPr>
        <w:t xml:space="preserve">  微动勘探法</w:t>
      </w:r>
      <w:bookmarkEnd w:id="115"/>
    </w:p>
    <w:p>
      <w:r>
        <w:t xml:space="preserve">6.6.3 </w:t>
      </w:r>
      <w:r>
        <w:rPr>
          <w:rFonts w:hint="eastAsia"/>
        </w:rPr>
        <w:t xml:space="preserve"> 微动勘探法仪器设备的主要技术指标应符合以下规定：</w:t>
      </w:r>
    </w:p>
    <w:p>
      <w:pPr>
        <w:ind w:firstLine="420" w:firstLineChars="200"/>
      </w:pPr>
      <w:r>
        <w:rPr>
          <w:rFonts w:hint="eastAsia"/>
        </w:rPr>
        <w:t>1</w:t>
      </w:r>
      <w:r>
        <w:t xml:space="preserve">  </w:t>
      </w:r>
      <w:r>
        <w:rPr>
          <w:rFonts w:hint="eastAsia"/>
        </w:rPr>
        <w:t>宜选用多通道数字地震仪或多台一体化数字地震仪；</w:t>
      </w:r>
    </w:p>
    <w:p>
      <w:pPr>
        <w:ind w:firstLine="420" w:firstLineChars="200"/>
      </w:pPr>
      <w:r>
        <w:rPr>
          <w:rFonts w:hint="eastAsia"/>
        </w:rPr>
        <w:t>2</w:t>
      </w:r>
      <w:r>
        <w:t xml:space="preserve">  </w:t>
      </w:r>
      <w:r>
        <w:rPr>
          <w:rFonts w:hint="eastAsia"/>
        </w:rPr>
        <w:t>采集时间长度应可控；</w:t>
      </w:r>
    </w:p>
    <w:p>
      <w:pPr>
        <w:ind w:firstLine="420" w:firstLineChars="200"/>
      </w:pPr>
      <w:r>
        <w:rPr>
          <w:rFonts w:hint="eastAsia"/>
        </w:rPr>
        <w:t>3</w:t>
      </w:r>
      <w:r>
        <w:t xml:space="preserve">  </w:t>
      </w:r>
      <w:r>
        <w:rPr>
          <w:rFonts w:hint="eastAsia"/>
        </w:rPr>
        <w:t>A/D转换位数不应小于24位；</w:t>
      </w:r>
    </w:p>
    <w:p>
      <w:pPr>
        <w:ind w:firstLine="420" w:firstLineChars="200"/>
      </w:pPr>
      <w:r>
        <w:rPr>
          <w:rFonts w:hint="eastAsia"/>
        </w:rPr>
        <w:t>4</w:t>
      </w:r>
      <w:r>
        <w:t xml:space="preserve">  </w:t>
      </w:r>
      <w:r>
        <w:rPr>
          <w:rFonts w:hint="eastAsia"/>
        </w:rPr>
        <w:t>动态范围应大于120dB；</w:t>
      </w:r>
    </w:p>
    <w:p>
      <w:pPr>
        <w:ind w:firstLine="420" w:firstLineChars="200"/>
      </w:pPr>
      <w:r>
        <w:rPr>
          <w:rFonts w:hint="eastAsia"/>
        </w:rPr>
        <w:t>5</w:t>
      </w:r>
      <w:r>
        <w:t xml:space="preserve">  </w:t>
      </w:r>
      <w:r>
        <w:rPr>
          <w:rFonts w:hint="eastAsia"/>
        </w:rPr>
        <w:t>系统噪声不应大于1μV。</w:t>
      </w:r>
    </w:p>
    <w:p>
      <w:pPr>
        <w:ind w:firstLine="420" w:firstLineChars="200"/>
      </w:pPr>
      <w:r>
        <w:rPr>
          <w:rFonts w:hint="eastAsia"/>
        </w:rPr>
        <w:t>微动勘探法使用的拾振器不宜安放在松软地表或柔软的人工介质上，不宜放置在各种井盖上，并应符合下列规定：</w:t>
      </w:r>
    </w:p>
    <w:p>
      <w:pPr>
        <w:ind w:firstLine="420" w:firstLineChars="200"/>
      </w:pPr>
      <w:r>
        <w:rPr>
          <w:rFonts w:hint="eastAsia"/>
        </w:rPr>
        <w:t>1</w:t>
      </w:r>
      <w:r>
        <w:t xml:space="preserve">  </w:t>
      </w:r>
      <w:r>
        <w:rPr>
          <w:rFonts w:hint="eastAsia"/>
        </w:rPr>
        <w:t>台阵各道拾振器应符合幅值和相位一致性要求；</w:t>
      </w:r>
    </w:p>
    <w:p>
      <w:pPr>
        <w:ind w:firstLine="420" w:firstLineChars="200"/>
      </w:pPr>
      <w:r>
        <w:rPr>
          <w:rFonts w:hint="eastAsia"/>
        </w:rPr>
        <w:t>2</w:t>
      </w:r>
      <w:r>
        <w:t xml:space="preserve">  </w:t>
      </w:r>
      <w:r>
        <w:rPr>
          <w:rFonts w:hint="eastAsia"/>
        </w:rPr>
        <w:t>宜采用三分量速度传感器，自然频率不宜大于2Hz。</w:t>
      </w:r>
    </w:p>
    <w:p>
      <w:pPr>
        <w:ind w:firstLine="420" w:firstLineChars="200"/>
      </w:pPr>
      <w:r>
        <w:rPr>
          <w:rFonts w:hint="eastAsia"/>
        </w:rPr>
        <w:t>常规地震勘探用低频检波器通常为单分量，工作时多个拾振器通过与电缆连接，采用专门的地震仪进行数据采集；一体化数字地震仪有单分量也有三分量，自身通常有数据采集、上传和储存的功能，工作时各拾振器按设计的台阵方式布置，通过GPS授时功能实现各采集系统的同步信号采集。</w:t>
      </w:r>
    </w:p>
    <w:p>
      <w:pPr>
        <w:ind w:firstLine="420" w:firstLineChars="200"/>
      </w:pPr>
      <w:r>
        <w:rPr>
          <w:rFonts w:hint="eastAsia"/>
        </w:rPr>
        <w:t>微动勘探法采用三分量检波器，可通过计算同时获得面波频散曲线和H/V曲线，有利于地下目标的解释。</w:t>
      </w:r>
    </w:p>
    <w:p>
      <w:pPr>
        <w:ind w:firstLine="420" w:firstLineChars="200"/>
      </w:pPr>
      <w:r>
        <w:rPr>
          <w:rFonts w:hint="eastAsia"/>
        </w:rPr>
        <w:t>工作前应检查台阵中各拾振器的振幅和相位一致性，一致性测试时可将全部仪器集中放置道地面条件相同的位置，同步记录不应少于10min，计算各台仪器的功率频谱之比、相干系数和相位差，对仪器的一致性做出评价。在有效频段范围，相干系数一致性一般要求优于98%，相位差要求小于2°。</w:t>
      </w:r>
    </w:p>
    <w:p>
      <w:r>
        <w:rPr>
          <w:rFonts w:hint="eastAsia"/>
        </w:rPr>
        <w:t>6</w:t>
      </w:r>
      <w:r>
        <w:t xml:space="preserve">.6.4  </w:t>
      </w:r>
      <w:r>
        <w:rPr>
          <w:rFonts w:hint="eastAsia"/>
        </w:rPr>
        <w:t>为精准探测并节约探测成本，对不同台阵的选择可按表</w:t>
      </w:r>
      <w:r>
        <w:t>6-5</w:t>
      </w:r>
      <w:r>
        <w:rPr>
          <w:rFonts w:hint="eastAsia"/>
        </w:rPr>
        <w:t>选取：</w:t>
      </w:r>
    </w:p>
    <w:p>
      <w:pPr>
        <w:autoSpaceDE w:val="0"/>
        <w:autoSpaceDN w:val="0"/>
        <w:adjustRightInd w:val="0"/>
        <w:snapToGrid w:val="0"/>
        <w:jc w:val="center"/>
        <w:rPr>
          <w:b/>
        </w:rPr>
      </w:pPr>
      <w:r>
        <w:rPr>
          <w:rFonts w:hint="eastAsia"/>
          <w:b/>
        </w:rPr>
        <w:t>表</w:t>
      </w:r>
      <w:r>
        <w:rPr>
          <w:b/>
        </w:rPr>
        <w:t xml:space="preserve">6-5  </w:t>
      </w:r>
      <w:r>
        <w:rPr>
          <w:rFonts w:hint="eastAsia"/>
          <w:b/>
        </w:rPr>
        <w:t>微动勘探法台阵选择建议</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3904"/>
        <w:gridCol w:w="1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场地条件</w:t>
            </w:r>
          </w:p>
        </w:tc>
        <w:tc>
          <w:tcPr>
            <w:tcW w:w="3904" w:type="dxa"/>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台阵选择</w:t>
            </w:r>
          </w:p>
        </w:tc>
        <w:tc>
          <w:tcPr>
            <w:tcW w:w="1952" w:type="dxa"/>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检波器数量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场地优良</w:t>
            </w:r>
          </w:p>
        </w:tc>
        <w:tc>
          <w:tcPr>
            <w:tcW w:w="3904" w:type="dxa"/>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圆形台阵、内嵌三角形台阵</w:t>
            </w:r>
          </w:p>
        </w:tc>
        <w:tc>
          <w:tcPr>
            <w:tcW w:w="1952" w:type="dxa"/>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6</w:t>
            </w:r>
            <w:r>
              <w:rPr>
                <w:rFonts w:hint="eastAsia" w:ascii="Times New Roman" w:hAnsi="Times New Roman" w:cs="Times New Roman"/>
                <w:kern w:val="2"/>
                <w:sz w:val="18"/>
                <w:szCs w:val="18"/>
              </w:rPr>
              <w:t>、</w:t>
            </w:r>
            <w:r>
              <w:rPr>
                <w:rFonts w:ascii="Times New Roman" w:hAnsi="Times New Roman" w:cs="Times New Roman"/>
                <w:kern w:val="2"/>
                <w:sz w:val="18"/>
                <w:szCs w:val="18"/>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52" w:type="dxa"/>
          </w:tcPr>
          <w:p>
            <w:pPr>
              <w:pStyle w:val="74"/>
              <w:spacing w:before="0" w:beforeAutospacing="0" w:after="0" w:afterAutospacing="0"/>
              <w:jc w:val="center"/>
              <w:rPr>
                <w:rFonts w:ascii="Times New Roman" w:hAnsi="Times New Roman" w:cs="Times New Roman"/>
                <w:kern w:val="2"/>
                <w:sz w:val="18"/>
                <w:szCs w:val="18"/>
              </w:rPr>
            </w:pPr>
            <w:r>
              <w:rPr>
                <w:rFonts w:hint="eastAsia" w:ascii="Times New Roman" w:hAnsi="Times New Roman" w:cs="Times New Roman"/>
                <w:kern w:val="2"/>
                <w:sz w:val="18"/>
                <w:szCs w:val="18"/>
              </w:rPr>
              <w:t>场地受限</w:t>
            </w:r>
          </w:p>
        </w:tc>
        <w:tc>
          <w:tcPr>
            <w:tcW w:w="3904" w:type="dxa"/>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T</w:t>
            </w:r>
            <w:r>
              <w:rPr>
                <w:rFonts w:hint="eastAsia" w:ascii="Times New Roman" w:hAnsi="Times New Roman" w:cs="Times New Roman"/>
                <w:kern w:val="2"/>
                <w:sz w:val="18"/>
                <w:szCs w:val="18"/>
              </w:rPr>
              <w:t>形台阵、</w:t>
            </w:r>
            <w:r>
              <w:rPr>
                <w:rFonts w:ascii="Times New Roman" w:hAnsi="Times New Roman" w:cs="Times New Roman"/>
                <w:kern w:val="2"/>
                <w:sz w:val="18"/>
                <w:szCs w:val="18"/>
              </w:rPr>
              <w:t>L</w:t>
            </w:r>
            <w:r>
              <w:rPr>
                <w:rFonts w:hint="eastAsia" w:ascii="Times New Roman" w:hAnsi="Times New Roman" w:cs="Times New Roman"/>
                <w:kern w:val="2"/>
                <w:sz w:val="18"/>
                <w:szCs w:val="18"/>
              </w:rPr>
              <w:t>形台阵、十字形台阵、</w:t>
            </w:r>
            <w:r>
              <w:rPr>
                <w:rFonts w:ascii="Times New Roman" w:hAnsi="Times New Roman" w:cs="Times New Roman"/>
                <w:kern w:val="2"/>
                <w:sz w:val="18"/>
                <w:szCs w:val="18"/>
              </w:rPr>
              <w:t>U</w:t>
            </w:r>
            <w:r>
              <w:rPr>
                <w:rFonts w:hint="eastAsia" w:ascii="Times New Roman" w:hAnsi="Times New Roman" w:cs="Times New Roman"/>
                <w:kern w:val="2"/>
                <w:sz w:val="18"/>
                <w:szCs w:val="18"/>
              </w:rPr>
              <w:t>形台阵</w:t>
            </w:r>
          </w:p>
        </w:tc>
        <w:tc>
          <w:tcPr>
            <w:tcW w:w="1952" w:type="dxa"/>
            <w:vAlign w:val="center"/>
          </w:tcPr>
          <w:p>
            <w:pPr>
              <w:pStyle w:val="74"/>
              <w:spacing w:before="0" w:beforeAutospacing="0" w:after="0" w:afterAutospacing="0"/>
              <w:jc w:val="center"/>
              <w:rPr>
                <w:rFonts w:ascii="Times New Roman" w:hAnsi="Times New Roman" w:cs="Times New Roman"/>
                <w:kern w:val="2"/>
                <w:sz w:val="18"/>
                <w:szCs w:val="18"/>
              </w:rPr>
            </w:pPr>
            <w:r>
              <w:rPr>
                <w:rFonts w:ascii="Times New Roman" w:hAnsi="Times New Roman" w:cs="Times New Roman"/>
                <w:kern w:val="2"/>
                <w:sz w:val="18"/>
                <w:szCs w:val="18"/>
              </w:rPr>
              <w:t>6</w:t>
            </w:r>
            <w:r>
              <w:rPr>
                <w:rFonts w:hint="eastAsia" w:ascii="Times New Roman" w:hAnsi="Times New Roman" w:cs="Times New Roman"/>
                <w:kern w:val="2"/>
                <w:sz w:val="18"/>
                <w:szCs w:val="18"/>
              </w:rPr>
              <w:t>、</w:t>
            </w:r>
            <w:r>
              <w:rPr>
                <w:rFonts w:ascii="Times New Roman" w:hAnsi="Times New Roman" w:cs="Times New Roman"/>
                <w:kern w:val="2"/>
                <w:sz w:val="18"/>
                <w:szCs w:val="18"/>
              </w:rPr>
              <w:t>6</w:t>
            </w:r>
            <w:r>
              <w:rPr>
                <w:rFonts w:hint="eastAsia" w:ascii="Times New Roman" w:hAnsi="Times New Roman" w:cs="Times New Roman"/>
                <w:kern w:val="2"/>
                <w:sz w:val="18"/>
                <w:szCs w:val="18"/>
              </w:rPr>
              <w:t>、</w:t>
            </w:r>
            <w:r>
              <w:rPr>
                <w:rFonts w:ascii="Times New Roman" w:hAnsi="Times New Roman" w:cs="Times New Roman"/>
                <w:kern w:val="2"/>
                <w:sz w:val="18"/>
                <w:szCs w:val="18"/>
              </w:rPr>
              <w:t>9</w:t>
            </w:r>
            <w:r>
              <w:rPr>
                <w:rFonts w:hint="eastAsia" w:ascii="Times New Roman" w:hAnsi="Times New Roman" w:cs="Times New Roman"/>
                <w:kern w:val="2"/>
                <w:sz w:val="18"/>
                <w:szCs w:val="18"/>
              </w:rPr>
              <w:t>、</w:t>
            </w:r>
            <w:r>
              <w:rPr>
                <w:rFonts w:ascii="Times New Roman" w:hAnsi="Times New Roman" w:cs="Times New Roman"/>
                <w:kern w:val="2"/>
                <w:sz w:val="18"/>
                <w:szCs w:val="18"/>
              </w:rPr>
              <w:t>7</w:t>
            </w:r>
          </w:p>
        </w:tc>
      </w:tr>
    </w:tbl>
    <w:p>
      <w:pPr>
        <w:pStyle w:val="3"/>
        <w:widowControl/>
        <w:spacing w:after="0" w:line="360" w:lineRule="auto"/>
        <w:jc w:val="center"/>
        <w:outlineLvl w:val="1"/>
        <w:rPr>
          <w:rStyle w:val="32"/>
          <w:rFonts w:ascii="Times New Roman" w:hAnsi="Times New Roman"/>
          <w:bCs w:val="0"/>
          <w:caps w:val="0"/>
          <w:kern w:val="0"/>
          <w:sz w:val="21"/>
          <w:szCs w:val="21"/>
        </w:rPr>
      </w:pPr>
      <w:bookmarkStart w:id="116" w:name="_Toc148468276"/>
      <w:r>
        <w:rPr>
          <w:rStyle w:val="32"/>
          <w:rFonts w:hint="eastAsia" w:ascii="Times New Roman" w:hAnsi="Times New Roman"/>
          <w:bCs w:val="0"/>
          <w:caps w:val="0"/>
          <w:kern w:val="0"/>
          <w:sz w:val="21"/>
          <w:szCs w:val="21"/>
        </w:rPr>
        <w:t>6.</w:t>
      </w:r>
      <w:r>
        <w:rPr>
          <w:rStyle w:val="32"/>
          <w:rFonts w:ascii="Times New Roman" w:hAnsi="Times New Roman"/>
          <w:bCs w:val="0"/>
          <w:caps w:val="0"/>
          <w:kern w:val="0"/>
          <w:sz w:val="21"/>
          <w:szCs w:val="21"/>
        </w:rPr>
        <w:t>7</w:t>
      </w:r>
      <w:r>
        <w:rPr>
          <w:rStyle w:val="32"/>
          <w:rFonts w:hint="eastAsia" w:ascii="Times New Roman" w:hAnsi="Times New Roman"/>
          <w:bCs w:val="0"/>
          <w:caps w:val="0"/>
          <w:kern w:val="0"/>
          <w:sz w:val="21"/>
          <w:szCs w:val="21"/>
        </w:rPr>
        <w:t xml:space="preserve">  瞬变电磁法</w:t>
      </w:r>
      <w:bookmarkEnd w:id="116"/>
    </w:p>
    <w:p>
      <w:r>
        <w:t xml:space="preserve">6.7.1 </w:t>
      </w:r>
      <w:r>
        <w:rPr>
          <w:rFonts w:hint="eastAsia"/>
        </w:rPr>
        <w:t xml:space="preserve"> 瞬变电磁法又称为时间域电磁法（TEM），它是利用不接地回线或接地线源向地下发射一次脉冲磁场，在一次脉冲磁场间歇期间，利用线圈或接地电极观测二次涡流场的方法。通过研究二次涡旋电磁场的时空分布特征，来解决诸如寻找地下矿产，探测地质构造，划分地下富水区等地质问题。</w:t>
      </w:r>
    </w:p>
    <w:p>
      <w:r>
        <w:rPr>
          <w:rFonts w:hint="eastAsia"/>
        </w:rPr>
        <w:t>6</w:t>
      </w:r>
      <w:r>
        <w:t xml:space="preserve">.7.2  </w:t>
      </w:r>
      <w:r>
        <w:rPr>
          <w:rFonts w:hint="eastAsia"/>
        </w:rPr>
        <w:t>瞬变电磁法基本工作方法是：在地面或空中设置发射线圈，从而在其周围空间产生一次电磁场，并在地下导电岩矿体中产生感应电流；断电后，感应电流由于热损耗而随时间衰减。衰减过程一般分为早、中和晚期。早期的电磁场相当于频率域中的高频成分，衰减快，趋肤深度小；而晚期成分则相当于频率域中的低频成分，衰减慢，趋肤深度大。通过测量断电后各个时间段的二次场随时间变化规律，可得到不同深度的地电特征。</w:t>
      </w:r>
    </w:p>
    <w:p>
      <w:pPr>
        <w:jc w:val="center"/>
      </w:pPr>
      <w:r>
        <w:rPr>
          <w:color w:val="FF0000"/>
        </w:rPr>
        <w:drawing>
          <wp:inline distT="0" distB="0" distL="0" distR="0">
            <wp:extent cx="4660265" cy="1835785"/>
            <wp:effectExtent l="0" t="0" r="6985" b="0"/>
            <wp:docPr id="96"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true" noChangeArrowheads="true"/>
                    </pic:cNvPicPr>
                  </pic:nvPicPr>
                  <pic:blipFill>
                    <a:blip r:embed="rId46" cstate="screen"/>
                    <a:srcRect/>
                    <a:stretch>
                      <a:fillRect/>
                    </a:stretch>
                  </pic:blipFill>
                  <pic:spPr>
                    <a:xfrm>
                      <a:off x="0" y="0"/>
                      <a:ext cx="4660704" cy="1836000"/>
                    </a:xfrm>
                    <a:prstGeom prst="rect">
                      <a:avLst/>
                    </a:prstGeom>
                    <a:noFill/>
                    <a:ln>
                      <a:noFill/>
                    </a:ln>
                  </pic:spPr>
                </pic:pic>
              </a:graphicData>
            </a:graphic>
          </wp:inline>
        </w:drawing>
      </w:r>
    </w:p>
    <w:p>
      <w:pPr>
        <w:autoSpaceDE w:val="0"/>
        <w:autoSpaceDN w:val="0"/>
        <w:adjustRightInd w:val="0"/>
        <w:snapToGrid w:val="0"/>
        <w:jc w:val="center"/>
        <w:rPr>
          <w:b/>
        </w:rPr>
      </w:pPr>
      <w:r>
        <w:rPr>
          <w:rFonts w:hint="eastAsia"/>
          <w:b/>
        </w:rPr>
        <w:t>图6</w:t>
      </w:r>
      <w:r>
        <w:rPr>
          <w:b/>
        </w:rPr>
        <w:t xml:space="preserve">-1  </w:t>
      </w:r>
      <w:r>
        <w:rPr>
          <w:rFonts w:hint="eastAsia"/>
          <w:b/>
        </w:rPr>
        <w:t>瞬变电磁法基本原理</w:t>
      </w:r>
    </w:p>
    <w:p>
      <w:r>
        <w:rPr>
          <w:rFonts w:hint="eastAsia"/>
        </w:rPr>
        <w:t>6</w:t>
      </w:r>
      <w:r>
        <w:t xml:space="preserve">.7.3  </w:t>
      </w:r>
      <w:r>
        <w:rPr>
          <w:rFonts w:hint="eastAsia"/>
        </w:rPr>
        <w:t>瞬变电磁法探测常用装置有重叠回线装置、中心回线装置、等值反磁通装置、偶极装置、定源回线装置、电偶源装置等。由于地下病害体探测的特殊环境，要求二次场信号强、抗干扰性强、布设方便、横向分辨率高，本标准推荐使用等值反磁通装置或中心回线装置。等值磁通装置消除了收发线圈之间的感应耦合，获得了纯二次信号，兼具便携性、抗干扰能力强等特点，优先考虑选用此装置。</w:t>
      </w:r>
    </w:p>
    <w:p>
      <w:pPr>
        <w:ind w:firstLine="420" w:firstLineChars="200"/>
      </w:pPr>
      <w:r>
        <w:rPr>
          <w:rFonts w:hint="eastAsia"/>
        </w:rPr>
        <w:t>1</w:t>
      </w:r>
      <w:r>
        <w:t xml:space="preserve"> </w:t>
      </w:r>
      <w:r>
        <w:rPr>
          <w:rFonts w:hint="eastAsia"/>
        </w:rPr>
        <w:t>中心回线装置：用Rx线圈（或探头）观测感生电动势dBz/dt分量或磁通量B；</w:t>
      </w:r>
    </w:p>
    <w:p>
      <w:pPr>
        <w:ind w:firstLine="420" w:firstLineChars="200"/>
      </w:pPr>
      <w:r>
        <w:rPr>
          <w:rFonts w:hint="eastAsia"/>
        </w:rPr>
        <w:t>2 等值线反磁通量装置：在近地发射线圈（TX coil）正上方一定距离（2d）平行布置一个与发射线圈相同的反向线圈（opposing coil），两线圈中的电流时间同步、大小相等方向相反，二者组成双线圈源。接收线圈（RX coil）置于双线圈源的几何中心一次场零磁通平面上，并与双线圈源共轴，观测感生电动势dBz/dt分量。</w:t>
      </w:r>
    </w:p>
    <w:p>
      <w:pPr>
        <w:rPr>
          <w:highlight w:val="yellow"/>
        </w:rPr>
      </w:pPr>
    </w:p>
    <w:p>
      <w:pPr>
        <w:rPr>
          <w:highlight w:val="yellow"/>
        </w:rPr>
        <w:sectPr>
          <w:pgSz w:w="11906" w:h="16838"/>
          <w:pgMar w:top="1440" w:right="1800" w:bottom="1440" w:left="2268" w:header="851" w:footer="992" w:gutter="0"/>
          <w:cols w:space="425" w:num="1"/>
          <w:docGrid w:type="lines" w:linePitch="312" w:charSpace="0"/>
        </w:sectPr>
      </w:pPr>
    </w:p>
    <w:p>
      <w:pPr>
        <w:widowControl/>
        <w:adjustRightInd w:val="0"/>
        <w:snapToGrid w:val="0"/>
        <w:jc w:val="center"/>
        <w:outlineLvl w:val="0"/>
        <w:rPr>
          <w:b/>
          <w:kern w:val="0"/>
          <w:sz w:val="24"/>
        </w:rPr>
      </w:pPr>
      <w:bookmarkStart w:id="117" w:name="_Toc103169290"/>
      <w:bookmarkStart w:id="118" w:name="_Toc148468277"/>
      <w:r>
        <w:rPr>
          <w:rFonts w:hint="eastAsia"/>
          <w:b/>
          <w:kern w:val="0"/>
          <w:sz w:val="24"/>
        </w:rPr>
        <w:t xml:space="preserve">7  </w:t>
      </w:r>
      <w:bookmarkEnd w:id="117"/>
      <w:r>
        <w:rPr>
          <w:rFonts w:hint="eastAsia"/>
          <w:b/>
          <w:kern w:val="0"/>
          <w:sz w:val="24"/>
        </w:rPr>
        <w:t>地下病害体验证与成因分析</w:t>
      </w:r>
      <w:bookmarkEnd w:id="118"/>
    </w:p>
    <w:p>
      <w:pPr>
        <w:widowControl/>
        <w:adjustRightInd w:val="0"/>
        <w:snapToGrid w:val="0"/>
        <w:jc w:val="center"/>
        <w:outlineLvl w:val="1"/>
        <w:rPr>
          <w:b/>
          <w:kern w:val="0"/>
        </w:rPr>
      </w:pPr>
      <w:bookmarkStart w:id="119" w:name="_Toc103169291"/>
      <w:bookmarkStart w:id="120" w:name="_Toc441507146"/>
      <w:bookmarkStart w:id="121" w:name="_Toc455505907"/>
      <w:bookmarkStart w:id="122" w:name="_Toc469911217"/>
      <w:bookmarkStart w:id="123" w:name="_Toc148468278"/>
      <w:r>
        <w:rPr>
          <w:rFonts w:hint="eastAsia"/>
          <w:b/>
          <w:kern w:val="0"/>
        </w:rPr>
        <w:t>7</w:t>
      </w:r>
      <w:r>
        <w:rPr>
          <w:b/>
          <w:kern w:val="0"/>
        </w:rPr>
        <w:t xml:space="preserve">.1  </w:t>
      </w:r>
      <w:bookmarkEnd w:id="119"/>
      <w:bookmarkEnd w:id="120"/>
      <w:bookmarkEnd w:id="121"/>
      <w:bookmarkEnd w:id="122"/>
      <w:r>
        <w:rPr>
          <w:rFonts w:hint="eastAsia"/>
          <w:b/>
          <w:kern w:val="0"/>
        </w:rPr>
        <w:t>地下病害体验证</w:t>
      </w:r>
      <w:bookmarkEnd w:id="123"/>
    </w:p>
    <w:p>
      <w:pPr>
        <w:autoSpaceDE w:val="0"/>
        <w:autoSpaceDN w:val="0"/>
        <w:adjustRightInd w:val="0"/>
        <w:snapToGrid w:val="0"/>
        <w:jc w:val="left"/>
      </w:pPr>
      <w:r>
        <w:rPr>
          <w:rFonts w:hint="eastAsia"/>
        </w:rPr>
        <w:t>7.1.</w:t>
      </w:r>
      <w:r>
        <w:t>2</w:t>
      </w:r>
      <w:r>
        <w:rPr>
          <w:rFonts w:hint="eastAsia"/>
        </w:rPr>
        <w:t xml:space="preserve"> </w:t>
      </w:r>
      <w:r>
        <w:t xml:space="preserve"> </w:t>
      </w:r>
      <w:r>
        <w:rPr>
          <w:rFonts w:hint="eastAsia"/>
        </w:rPr>
        <w:t>探地雷达法普查城市地下病害体后的验证：采用探地雷达法完成城市地下病害体普查之后，应同步完成地下病害体的判别和统计工作。探地雷达法普查城镇地下病害体后的验证应符合下列规定：</w:t>
      </w:r>
    </w:p>
    <w:p>
      <w:pPr>
        <w:autoSpaceDE w:val="0"/>
        <w:autoSpaceDN w:val="0"/>
        <w:adjustRightInd w:val="0"/>
        <w:snapToGrid w:val="0"/>
        <w:ind w:firstLine="420" w:firstLineChars="200"/>
        <w:jc w:val="left"/>
      </w:pPr>
      <w:r>
        <w:rPr>
          <w:rFonts w:hint="eastAsia"/>
        </w:rPr>
        <w:t>1</w:t>
      </w:r>
      <w:r>
        <w:t xml:space="preserve"> </w:t>
      </w:r>
      <w:r>
        <w:rPr>
          <w:rFonts w:hint="eastAsia"/>
        </w:rPr>
        <w:t>宜选用钻探、挖探、钎探等方法；</w:t>
      </w:r>
    </w:p>
    <w:p>
      <w:pPr>
        <w:autoSpaceDE w:val="0"/>
        <w:autoSpaceDN w:val="0"/>
        <w:adjustRightInd w:val="0"/>
        <w:snapToGrid w:val="0"/>
        <w:ind w:firstLine="420" w:firstLineChars="200"/>
        <w:jc w:val="left"/>
      </w:pPr>
      <w:r>
        <w:rPr>
          <w:rFonts w:hint="eastAsia"/>
        </w:rPr>
        <w:t>2</w:t>
      </w:r>
      <w:r>
        <w:t xml:space="preserve"> </w:t>
      </w:r>
      <w:r>
        <w:rPr>
          <w:rFonts w:hint="eastAsia"/>
        </w:rPr>
        <w:t>验证点的布置设在地下病害体的雷达频谱异常反映最强部位或中心部位；</w:t>
      </w:r>
    </w:p>
    <w:p>
      <w:pPr>
        <w:autoSpaceDE w:val="0"/>
        <w:autoSpaceDN w:val="0"/>
        <w:adjustRightInd w:val="0"/>
        <w:snapToGrid w:val="0"/>
        <w:ind w:firstLine="420" w:firstLineChars="200"/>
        <w:jc w:val="left"/>
      </w:pPr>
      <w:r>
        <w:rPr>
          <w:rFonts w:hint="eastAsia"/>
        </w:rPr>
        <w:t>3</w:t>
      </w:r>
      <w:r>
        <w:t xml:space="preserve"> </w:t>
      </w:r>
      <w:r>
        <w:rPr>
          <w:rFonts w:hint="eastAsia"/>
        </w:rPr>
        <w:t>当验证地下病害体边界时，宜在地下病害体边缘增设验证点；</w:t>
      </w:r>
    </w:p>
    <w:p>
      <w:pPr>
        <w:autoSpaceDE w:val="0"/>
        <w:autoSpaceDN w:val="0"/>
        <w:adjustRightInd w:val="0"/>
        <w:snapToGrid w:val="0"/>
        <w:ind w:firstLine="420" w:firstLineChars="200"/>
        <w:jc w:val="left"/>
      </w:pPr>
      <w:r>
        <w:rPr>
          <w:rFonts w:hint="eastAsia"/>
        </w:rPr>
        <w:t>4</w:t>
      </w:r>
      <w:r>
        <w:t xml:space="preserve"> </w:t>
      </w:r>
      <w:r>
        <w:rPr>
          <w:rFonts w:hint="eastAsia"/>
        </w:rPr>
        <w:t>对采用单一方法探测的地下病害体，当不具备钻探、挖探、钎探等作业条件时，可选用其他物探方法进行验证；</w:t>
      </w:r>
    </w:p>
    <w:p>
      <w:pPr>
        <w:autoSpaceDE w:val="0"/>
        <w:autoSpaceDN w:val="0"/>
        <w:adjustRightInd w:val="0"/>
        <w:snapToGrid w:val="0"/>
        <w:ind w:firstLine="420" w:firstLineChars="200"/>
        <w:jc w:val="left"/>
      </w:pPr>
      <w:r>
        <w:rPr>
          <w:rFonts w:hint="eastAsia"/>
        </w:rPr>
        <w:t>5</w:t>
      </w:r>
      <w:r>
        <w:t xml:space="preserve"> </w:t>
      </w:r>
      <w:r>
        <w:rPr>
          <w:rFonts w:hint="eastAsia"/>
        </w:rPr>
        <w:t>钻探操作应按现行行业标准《建筑工程地质勘探与取样技术规程》JGJ/T 87执行。</w:t>
      </w:r>
    </w:p>
    <w:p>
      <w:pPr>
        <w:autoSpaceDE w:val="0"/>
        <w:autoSpaceDN w:val="0"/>
        <w:adjustRightInd w:val="0"/>
        <w:snapToGrid w:val="0"/>
        <w:ind w:firstLine="420" w:firstLineChars="200"/>
        <w:jc w:val="left"/>
      </w:pPr>
      <w:r>
        <w:rPr>
          <w:rFonts w:hint="eastAsia"/>
        </w:rPr>
        <w:t>为确定病害体坐标的准确性，在地下病害体验证前，采用如下三个步骤对病害体位置进行确定：</w:t>
      </w:r>
    </w:p>
    <w:p>
      <w:pPr>
        <w:autoSpaceDE w:val="0"/>
        <w:autoSpaceDN w:val="0"/>
        <w:adjustRightInd w:val="0"/>
        <w:snapToGrid w:val="0"/>
        <w:ind w:firstLine="420" w:firstLineChars="200"/>
        <w:jc w:val="left"/>
      </w:pPr>
      <w:r>
        <w:rPr>
          <w:rFonts w:hint="eastAsia"/>
        </w:rPr>
        <w:t>1</w:t>
      </w:r>
      <w:r>
        <w:t xml:space="preserve"> </w:t>
      </w:r>
      <w:r>
        <w:rPr>
          <w:rFonts w:hint="eastAsia"/>
        </w:rPr>
        <w:t>通过分析地下病害体检测数据，确定地下病害体坐标，必要时，可引入GIS系统确定地下病害体位置；</w:t>
      </w:r>
    </w:p>
    <w:p>
      <w:pPr>
        <w:autoSpaceDE w:val="0"/>
        <w:autoSpaceDN w:val="0"/>
        <w:adjustRightInd w:val="0"/>
        <w:snapToGrid w:val="0"/>
        <w:ind w:firstLine="420" w:firstLineChars="200"/>
        <w:jc w:val="left"/>
      </w:pPr>
      <w:r>
        <w:rPr>
          <w:rFonts w:hint="eastAsia"/>
        </w:rPr>
        <w:t>2</w:t>
      </w:r>
      <w:r>
        <w:t xml:space="preserve"> </w:t>
      </w:r>
      <w:r>
        <w:rPr>
          <w:rFonts w:hint="eastAsia"/>
        </w:rPr>
        <w:t>将地下病害体坐标导入RTK进行放样，或通过导入地图导航软件进行位置确定；</w:t>
      </w:r>
    </w:p>
    <w:p>
      <w:pPr>
        <w:autoSpaceDE w:val="0"/>
        <w:autoSpaceDN w:val="0"/>
        <w:adjustRightInd w:val="0"/>
        <w:snapToGrid w:val="0"/>
        <w:ind w:firstLine="420" w:firstLineChars="200"/>
        <w:jc w:val="left"/>
      </w:pPr>
      <w:r>
        <w:rPr>
          <w:rFonts w:hint="eastAsia"/>
        </w:rPr>
        <w:t>3</w:t>
      </w:r>
      <w:r>
        <w:t xml:space="preserve"> </w:t>
      </w:r>
      <w:r>
        <w:rPr>
          <w:rFonts w:hint="eastAsia"/>
        </w:rPr>
        <w:t>到达病害体坐标位置后，采用二维雷达进行复测，获得二维雷达数据与原三维雷达数据对比，确定病害体的位置，并根据病害体的平面形状确定钻孔的孔位。</w:t>
      </w:r>
    </w:p>
    <w:p>
      <w:pPr>
        <w:autoSpaceDE w:val="0"/>
        <w:autoSpaceDN w:val="0"/>
        <w:adjustRightInd w:val="0"/>
        <w:snapToGrid w:val="0"/>
        <w:jc w:val="left"/>
      </w:pPr>
      <w:r>
        <w:rPr>
          <w:rFonts w:hint="eastAsia"/>
        </w:rPr>
        <w:t>7</w:t>
      </w:r>
      <w:r>
        <w:t xml:space="preserve">.1.3  </w:t>
      </w:r>
      <w:r>
        <w:rPr>
          <w:rFonts w:hint="eastAsia"/>
        </w:rPr>
        <w:t>钻探为地下病害验证的直接类方法。对照钻孔实施的目的主要是将其钻探及原位测试结果作为对比基数，衡量验证钻孔中原位测试所反映的病害类型及程度，因此标准钻孔有必要设立，同时应设立在非地下病害区域。此外，采用钻探法验证时，对于规模较大病害体可通过钻杆钻进阻力是否异常进行间接判断，对于厚度不大的脱空等病害建议钻孔后采用内窥镜检查，避免漏判。</w:t>
      </w:r>
    </w:p>
    <w:p>
      <w:pPr>
        <w:widowControl/>
        <w:adjustRightInd w:val="0"/>
        <w:snapToGrid w:val="0"/>
        <w:jc w:val="center"/>
        <w:outlineLvl w:val="1"/>
        <w:rPr>
          <w:b/>
          <w:kern w:val="0"/>
        </w:rPr>
      </w:pPr>
      <w:bookmarkStart w:id="124" w:name="_Toc103169292"/>
      <w:bookmarkStart w:id="125" w:name="_Toc148468279"/>
      <w:r>
        <w:rPr>
          <w:rFonts w:hint="eastAsia"/>
          <w:b/>
          <w:kern w:val="0"/>
        </w:rPr>
        <w:t>7</w:t>
      </w:r>
      <w:r>
        <w:rPr>
          <w:b/>
          <w:kern w:val="0"/>
        </w:rPr>
        <w:t>.</w:t>
      </w:r>
      <w:r>
        <w:rPr>
          <w:rFonts w:hint="eastAsia"/>
          <w:b/>
          <w:kern w:val="0"/>
        </w:rPr>
        <w:t>2</w:t>
      </w:r>
      <w:r>
        <w:rPr>
          <w:b/>
          <w:kern w:val="0"/>
        </w:rPr>
        <w:t xml:space="preserve">  </w:t>
      </w:r>
      <w:bookmarkEnd w:id="124"/>
      <w:r>
        <w:rPr>
          <w:rFonts w:hint="eastAsia"/>
          <w:b/>
          <w:kern w:val="0"/>
        </w:rPr>
        <w:t>地下病害体成因分析</w:t>
      </w:r>
      <w:bookmarkEnd w:id="125"/>
    </w:p>
    <w:p>
      <w:pPr>
        <w:autoSpaceDE w:val="0"/>
        <w:autoSpaceDN w:val="0"/>
        <w:adjustRightInd w:val="0"/>
        <w:snapToGrid w:val="0"/>
        <w:jc w:val="left"/>
      </w:pPr>
      <w:r>
        <w:rPr>
          <w:rFonts w:hint="eastAsia"/>
        </w:rPr>
        <w:t>7.2.</w:t>
      </w:r>
      <w:r>
        <w:t>1</w:t>
      </w:r>
      <w:r>
        <w:rPr>
          <w:rFonts w:hint="eastAsia"/>
        </w:rPr>
        <w:t xml:space="preserve">  地下病害体形成原因调查应包括但不限于以下方面：</w:t>
      </w:r>
    </w:p>
    <w:p>
      <w:pPr>
        <w:autoSpaceDE w:val="0"/>
        <w:autoSpaceDN w:val="0"/>
        <w:adjustRightInd w:val="0"/>
        <w:snapToGrid w:val="0"/>
        <w:ind w:firstLine="420" w:firstLineChars="200"/>
        <w:jc w:val="left"/>
      </w:pPr>
      <w:r>
        <w:t xml:space="preserve">1 </w:t>
      </w:r>
      <w:r>
        <w:rPr>
          <w:rFonts w:hint="eastAsia"/>
        </w:rPr>
        <w:t>管线破损；</w:t>
      </w:r>
    </w:p>
    <w:p>
      <w:pPr>
        <w:autoSpaceDE w:val="0"/>
        <w:autoSpaceDN w:val="0"/>
        <w:adjustRightInd w:val="0"/>
        <w:snapToGrid w:val="0"/>
        <w:ind w:firstLine="420" w:firstLineChars="200"/>
        <w:jc w:val="left"/>
      </w:pPr>
      <w:r>
        <w:rPr>
          <w:rFonts w:hint="eastAsia"/>
        </w:rPr>
        <w:t>2</w:t>
      </w:r>
      <w:r>
        <w:t xml:space="preserve"> </w:t>
      </w:r>
      <w:r>
        <w:rPr>
          <w:rFonts w:hint="eastAsia"/>
        </w:rPr>
        <w:t>人防坍塌；</w:t>
      </w:r>
    </w:p>
    <w:p>
      <w:pPr>
        <w:autoSpaceDE w:val="0"/>
        <w:autoSpaceDN w:val="0"/>
        <w:adjustRightInd w:val="0"/>
        <w:snapToGrid w:val="0"/>
        <w:ind w:firstLine="420" w:firstLineChars="200"/>
        <w:jc w:val="left"/>
      </w:pPr>
      <w:r>
        <w:rPr>
          <w:rFonts w:hint="eastAsia"/>
        </w:rPr>
        <w:t>3</w:t>
      </w:r>
      <w:r>
        <w:t xml:space="preserve"> </w:t>
      </w:r>
      <w:r>
        <w:rPr>
          <w:rFonts w:hint="eastAsia"/>
        </w:rPr>
        <w:t>地铁施工；</w:t>
      </w:r>
    </w:p>
    <w:p>
      <w:pPr>
        <w:autoSpaceDE w:val="0"/>
        <w:autoSpaceDN w:val="0"/>
        <w:adjustRightInd w:val="0"/>
        <w:snapToGrid w:val="0"/>
        <w:ind w:firstLine="420" w:firstLineChars="200"/>
        <w:jc w:val="left"/>
      </w:pPr>
      <w:r>
        <w:rPr>
          <w:rFonts w:hint="eastAsia"/>
        </w:rPr>
        <w:t>4</w:t>
      </w:r>
      <w:r>
        <w:t xml:space="preserve"> </w:t>
      </w:r>
      <w:r>
        <w:rPr>
          <w:rFonts w:hint="eastAsia"/>
        </w:rPr>
        <w:t>顶管施工；</w:t>
      </w:r>
    </w:p>
    <w:p>
      <w:pPr>
        <w:autoSpaceDE w:val="0"/>
        <w:autoSpaceDN w:val="0"/>
        <w:adjustRightInd w:val="0"/>
        <w:snapToGrid w:val="0"/>
        <w:ind w:firstLine="420" w:firstLineChars="200"/>
        <w:jc w:val="left"/>
      </w:pPr>
      <w:r>
        <w:rPr>
          <w:rFonts w:hint="eastAsia"/>
        </w:rPr>
        <w:t>5</w:t>
      </w:r>
      <w:r>
        <w:t xml:space="preserve"> </w:t>
      </w:r>
      <w:r>
        <w:rPr>
          <w:rFonts w:hint="eastAsia"/>
        </w:rPr>
        <w:t>深基坑开挖；</w:t>
      </w:r>
    </w:p>
    <w:p>
      <w:pPr>
        <w:autoSpaceDE w:val="0"/>
        <w:autoSpaceDN w:val="0"/>
        <w:adjustRightInd w:val="0"/>
        <w:snapToGrid w:val="0"/>
        <w:ind w:firstLine="420" w:firstLineChars="200"/>
        <w:jc w:val="left"/>
      </w:pPr>
      <w:r>
        <w:rPr>
          <w:rFonts w:hint="eastAsia"/>
        </w:rPr>
        <w:t>6</w:t>
      </w:r>
      <w:r>
        <w:t xml:space="preserve"> </w:t>
      </w:r>
      <w:r>
        <w:rPr>
          <w:rFonts w:hint="eastAsia"/>
        </w:rPr>
        <w:t>井壁破损；</w:t>
      </w:r>
    </w:p>
    <w:p>
      <w:pPr>
        <w:autoSpaceDE w:val="0"/>
        <w:autoSpaceDN w:val="0"/>
        <w:adjustRightInd w:val="0"/>
        <w:snapToGrid w:val="0"/>
        <w:ind w:firstLine="420" w:firstLineChars="200"/>
        <w:jc w:val="left"/>
      </w:pPr>
      <w:r>
        <w:rPr>
          <w:rFonts w:hint="eastAsia"/>
        </w:rPr>
        <w:t>7</w:t>
      </w:r>
      <w:r>
        <w:t xml:space="preserve"> </w:t>
      </w:r>
      <w:r>
        <w:rPr>
          <w:rFonts w:hint="eastAsia"/>
        </w:rPr>
        <w:t>地表水下渗；</w:t>
      </w:r>
    </w:p>
    <w:p>
      <w:pPr>
        <w:autoSpaceDE w:val="0"/>
        <w:autoSpaceDN w:val="0"/>
        <w:adjustRightInd w:val="0"/>
        <w:snapToGrid w:val="0"/>
        <w:ind w:firstLine="420" w:firstLineChars="200"/>
        <w:jc w:val="left"/>
      </w:pPr>
      <w:r>
        <w:rPr>
          <w:rFonts w:hint="eastAsia"/>
        </w:rPr>
        <w:t>8</w:t>
      </w:r>
      <w:r>
        <w:t xml:space="preserve"> </w:t>
      </w:r>
      <w:r>
        <w:rPr>
          <w:rFonts w:hint="eastAsia"/>
        </w:rPr>
        <w:t>地下水作用；</w:t>
      </w:r>
    </w:p>
    <w:p>
      <w:pPr>
        <w:autoSpaceDE w:val="0"/>
        <w:autoSpaceDN w:val="0"/>
        <w:adjustRightInd w:val="0"/>
        <w:snapToGrid w:val="0"/>
        <w:ind w:firstLine="420" w:firstLineChars="200"/>
        <w:jc w:val="left"/>
      </w:pPr>
      <w:r>
        <w:rPr>
          <w:rFonts w:hint="eastAsia"/>
        </w:rPr>
        <w:t>9</w:t>
      </w:r>
      <w:r>
        <w:t xml:space="preserve"> </w:t>
      </w:r>
      <w:r>
        <w:rPr>
          <w:rFonts w:hint="eastAsia"/>
        </w:rPr>
        <w:t>施工回填不密实；</w:t>
      </w:r>
    </w:p>
    <w:p>
      <w:pPr>
        <w:autoSpaceDE w:val="0"/>
        <w:autoSpaceDN w:val="0"/>
        <w:adjustRightInd w:val="0"/>
        <w:snapToGrid w:val="0"/>
        <w:ind w:firstLine="420" w:firstLineChars="200"/>
        <w:jc w:val="left"/>
      </w:pPr>
      <w:r>
        <w:rPr>
          <w:rFonts w:hint="eastAsia"/>
        </w:rPr>
        <w:t>10</w:t>
      </w:r>
      <w:r>
        <w:t xml:space="preserve"> </w:t>
      </w:r>
      <w:r>
        <w:rPr>
          <w:rFonts w:hint="eastAsia"/>
        </w:rPr>
        <w:t>土体自然沉降。</w:t>
      </w:r>
    </w:p>
    <w:p>
      <w:pPr>
        <w:autoSpaceDE w:val="0"/>
        <w:autoSpaceDN w:val="0"/>
        <w:adjustRightInd w:val="0"/>
        <w:snapToGrid w:val="0"/>
        <w:jc w:val="left"/>
      </w:pPr>
      <w:r>
        <w:rPr>
          <w:rFonts w:hint="eastAsia"/>
        </w:rPr>
        <w:t>7</w:t>
      </w:r>
      <w:r>
        <w:t xml:space="preserve">.2.4  </w:t>
      </w:r>
      <w:r>
        <w:rPr>
          <w:rFonts w:hint="eastAsia"/>
        </w:rPr>
        <w:t>管道内窥摄像法作为辅助方法，主要探测地下管道结构损伤装口，对于管道内窥摄像法探测结果，应重点关注管道破裂、渗漏、结构材料脱落等可能会引起周围岩土结构的应力、变形状态发生改变的位置。</w:t>
      </w:r>
    </w:p>
    <w:p>
      <w:pPr>
        <w:autoSpaceDE w:val="0"/>
        <w:autoSpaceDN w:val="0"/>
        <w:adjustRightInd w:val="0"/>
        <w:snapToGrid w:val="0"/>
        <w:jc w:val="left"/>
      </w:pPr>
      <w:r>
        <w:rPr>
          <w:rFonts w:hint="eastAsia"/>
        </w:rPr>
        <w:t>7</w:t>
      </w:r>
      <w:r>
        <w:t xml:space="preserve">.2.7  </w:t>
      </w:r>
      <w:r>
        <w:rPr>
          <w:rFonts w:hint="eastAsia"/>
        </w:rPr>
        <w:t>三维激光扫描法检测地下空洞流程应包括控制测量、测站与标靶布设、标靶测量、外业点云数据采集和数据检查。</w:t>
      </w:r>
    </w:p>
    <w:p>
      <w:pPr>
        <w:autoSpaceDE w:val="0"/>
        <w:autoSpaceDN w:val="0"/>
        <w:adjustRightInd w:val="0"/>
        <w:snapToGrid w:val="0"/>
        <w:jc w:val="left"/>
      </w:pPr>
    </w:p>
    <w:p>
      <w:pPr>
        <w:autoSpaceDE w:val="0"/>
        <w:autoSpaceDN w:val="0"/>
        <w:adjustRightInd w:val="0"/>
        <w:snapToGrid w:val="0"/>
        <w:jc w:val="left"/>
        <w:sectPr>
          <w:pgSz w:w="11906" w:h="16838"/>
          <w:pgMar w:top="1440" w:right="1800" w:bottom="1440" w:left="2268" w:header="851" w:footer="992" w:gutter="0"/>
          <w:cols w:space="425" w:num="1"/>
          <w:docGrid w:type="lines" w:linePitch="312" w:charSpace="0"/>
        </w:sectPr>
      </w:pPr>
    </w:p>
    <w:p>
      <w:pPr>
        <w:widowControl/>
        <w:adjustRightInd w:val="0"/>
        <w:snapToGrid w:val="0"/>
        <w:jc w:val="center"/>
        <w:outlineLvl w:val="0"/>
        <w:rPr>
          <w:b/>
          <w:kern w:val="0"/>
          <w:sz w:val="24"/>
        </w:rPr>
      </w:pPr>
      <w:bookmarkStart w:id="126" w:name="_Toc148468280"/>
      <w:r>
        <w:rPr>
          <w:b/>
          <w:kern w:val="0"/>
          <w:sz w:val="24"/>
        </w:rPr>
        <w:t>8</w:t>
      </w:r>
      <w:r>
        <w:rPr>
          <w:rFonts w:hint="eastAsia"/>
          <w:b/>
          <w:kern w:val="0"/>
          <w:sz w:val="24"/>
        </w:rPr>
        <w:t xml:space="preserve">  地下病害体风险评估</w:t>
      </w:r>
      <w:bookmarkEnd w:id="126"/>
    </w:p>
    <w:p>
      <w:pPr>
        <w:widowControl/>
        <w:adjustRightInd w:val="0"/>
        <w:snapToGrid w:val="0"/>
        <w:jc w:val="center"/>
        <w:outlineLvl w:val="1"/>
        <w:rPr>
          <w:b/>
          <w:kern w:val="0"/>
        </w:rPr>
      </w:pPr>
      <w:bookmarkStart w:id="127" w:name="_Toc148468281"/>
      <w:r>
        <w:rPr>
          <w:b/>
          <w:kern w:val="0"/>
        </w:rPr>
        <w:t xml:space="preserve">8.1  </w:t>
      </w:r>
      <w:r>
        <w:rPr>
          <w:rFonts w:hint="eastAsia"/>
          <w:b/>
          <w:kern w:val="0"/>
        </w:rPr>
        <w:t>一般规定</w:t>
      </w:r>
      <w:bookmarkEnd w:id="127"/>
    </w:p>
    <w:p>
      <w:pPr>
        <w:autoSpaceDE w:val="0"/>
        <w:autoSpaceDN w:val="0"/>
        <w:adjustRightInd w:val="0"/>
        <w:snapToGrid w:val="0"/>
        <w:jc w:val="left"/>
      </w:pPr>
      <w:r>
        <w:t>8</w:t>
      </w:r>
      <w:r>
        <w:rPr>
          <w:rFonts w:hint="eastAsia"/>
        </w:rPr>
        <w:t>.1.</w:t>
      </w:r>
      <w:r>
        <w:t>2</w:t>
      </w:r>
      <w:r>
        <w:rPr>
          <w:rFonts w:hint="eastAsia"/>
        </w:rPr>
        <w:t xml:space="preserve"> </w:t>
      </w:r>
      <w:r>
        <w:t xml:space="preserve"> </w:t>
      </w:r>
      <w:r>
        <w:rPr>
          <w:rFonts w:hint="eastAsia"/>
        </w:rPr>
        <w:t>地下病害体风险评估流程如图</w:t>
      </w:r>
      <w:r>
        <w:t>8-1</w:t>
      </w:r>
      <w:r>
        <w:rPr>
          <w:rFonts w:hint="eastAsia"/>
        </w:rPr>
        <w:t>所示。</w:t>
      </w:r>
    </w:p>
    <w:p>
      <w:pPr>
        <w:autoSpaceDE w:val="0"/>
        <w:autoSpaceDN w:val="0"/>
        <w:adjustRightInd w:val="0"/>
        <w:snapToGrid w:val="0"/>
        <w:jc w:val="center"/>
      </w:pPr>
      <w:r>
        <w:rPr>
          <w:rFonts w:cstheme="majorBidi"/>
        </w:rPr>
        <w:drawing>
          <wp:inline distT="0" distB="0" distL="0" distR="0">
            <wp:extent cx="2925445" cy="2358390"/>
            <wp:effectExtent l="0" t="0" r="8255" b="3810"/>
            <wp:docPr id="28362542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3625420" name="图片 1"/>
                    <pic:cNvPicPr>
                      <a:picLocks noChangeAspect="true" noChangeArrowheads="true"/>
                    </pic:cNvPicPr>
                  </pic:nvPicPr>
                  <pic:blipFill>
                    <a:blip r:embed="rId47" cstate="print">
                      <a:extLst>
                        <a:ext uri="{28A0092B-C50C-407E-A947-70E740481C1C}">
                          <a14:useLocalDpi xmlns:a14="http://schemas.microsoft.com/office/drawing/2010/main" val="false"/>
                        </a:ext>
                      </a:extLst>
                    </a:blip>
                    <a:srcRect/>
                    <a:stretch>
                      <a:fillRect/>
                    </a:stretch>
                  </pic:blipFill>
                  <pic:spPr>
                    <a:xfrm>
                      <a:off x="0" y="0"/>
                      <a:ext cx="2967687" cy="2392214"/>
                    </a:xfrm>
                    <a:prstGeom prst="rect">
                      <a:avLst/>
                    </a:prstGeom>
                    <a:noFill/>
                  </pic:spPr>
                </pic:pic>
              </a:graphicData>
            </a:graphic>
          </wp:inline>
        </w:drawing>
      </w:r>
    </w:p>
    <w:p>
      <w:pPr>
        <w:autoSpaceDE w:val="0"/>
        <w:autoSpaceDN w:val="0"/>
        <w:adjustRightInd w:val="0"/>
        <w:snapToGrid w:val="0"/>
        <w:jc w:val="center"/>
        <w:rPr>
          <w:b/>
        </w:rPr>
      </w:pPr>
      <w:r>
        <w:rPr>
          <w:rFonts w:hint="eastAsia"/>
          <w:b/>
        </w:rPr>
        <w:t>图</w:t>
      </w:r>
      <w:r>
        <w:rPr>
          <w:b/>
        </w:rPr>
        <w:t>8-1</w:t>
      </w:r>
      <w:r>
        <w:rPr>
          <w:rFonts w:hint="eastAsia"/>
          <w:b/>
        </w:rPr>
        <w:t xml:space="preserve"> </w:t>
      </w:r>
      <w:r>
        <w:rPr>
          <w:b/>
        </w:rPr>
        <w:t xml:space="preserve"> </w:t>
      </w:r>
      <w:r>
        <w:rPr>
          <w:rFonts w:hint="eastAsia"/>
          <w:b/>
        </w:rPr>
        <w:t>地下病害体风险评估流程</w:t>
      </w:r>
    </w:p>
    <w:p>
      <w:pPr>
        <w:autoSpaceDE w:val="0"/>
        <w:autoSpaceDN w:val="0"/>
        <w:adjustRightInd w:val="0"/>
        <w:snapToGrid w:val="0"/>
        <w:jc w:val="left"/>
      </w:pPr>
      <w:r>
        <w:rPr>
          <w:rFonts w:hint="eastAsia"/>
        </w:rPr>
        <w:t>8</w:t>
      </w:r>
      <w:r>
        <w:t xml:space="preserve">.1.5  </w:t>
      </w:r>
      <w:r>
        <w:rPr>
          <w:rFonts w:hint="eastAsia"/>
        </w:rPr>
        <w:t>风险评估指标的选择须以本标准指标体系为基础，同时也可根据情况自行扩充相关指标及指标体系。本标准中风险评估使用了层次分析法以及专家打分法得出相关指标权重以及最终的风险得分，实际使用过程中可根据评估区域实际情况进行调整或选用模糊集等其他方法。</w:t>
      </w:r>
    </w:p>
    <w:p>
      <w:pPr>
        <w:widowControl/>
        <w:adjustRightInd w:val="0"/>
        <w:snapToGrid w:val="0"/>
        <w:jc w:val="center"/>
        <w:outlineLvl w:val="1"/>
        <w:rPr>
          <w:b/>
          <w:kern w:val="0"/>
        </w:rPr>
      </w:pPr>
      <w:bookmarkStart w:id="128" w:name="_Toc148468282"/>
      <w:r>
        <w:rPr>
          <w:b/>
          <w:kern w:val="0"/>
        </w:rPr>
        <w:t xml:space="preserve">8.2  </w:t>
      </w:r>
      <w:r>
        <w:rPr>
          <w:rFonts w:hint="eastAsia"/>
          <w:b/>
          <w:kern w:val="0"/>
        </w:rPr>
        <w:t>风险因素调查</w:t>
      </w:r>
      <w:bookmarkEnd w:id="128"/>
    </w:p>
    <w:p>
      <w:pPr>
        <w:autoSpaceDE w:val="0"/>
        <w:autoSpaceDN w:val="0"/>
        <w:adjustRightInd w:val="0"/>
        <w:snapToGrid w:val="0"/>
        <w:jc w:val="left"/>
      </w:pPr>
      <w:r>
        <w:t>8</w:t>
      </w:r>
      <w:r>
        <w:rPr>
          <w:rFonts w:hint="eastAsia"/>
        </w:rPr>
        <w:t>.</w:t>
      </w:r>
      <w:r>
        <w:t>2</w:t>
      </w:r>
      <w:r>
        <w:rPr>
          <w:rFonts w:hint="eastAsia"/>
        </w:rPr>
        <w:t>.</w:t>
      </w:r>
      <w:r>
        <w:t>3</w:t>
      </w:r>
      <w:r>
        <w:rPr>
          <w:rFonts w:hint="eastAsia"/>
        </w:rPr>
        <w:t xml:space="preserve"> </w:t>
      </w:r>
      <w:r>
        <w:t xml:space="preserve"> </w:t>
      </w:r>
      <w:r>
        <w:rPr>
          <w:rFonts w:hint="eastAsia"/>
        </w:rPr>
        <w:t>地下病害体风险因素调查的具体内容如下：</w:t>
      </w:r>
    </w:p>
    <w:p>
      <w:pPr>
        <w:autoSpaceDE w:val="0"/>
        <w:autoSpaceDN w:val="0"/>
        <w:adjustRightInd w:val="0"/>
        <w:snapToGrid w:val="0"/>
        <w:ind w:firstLine="420" w:firstLineChars="200"/>
        <w:jc w:val="left"/>
      </w:pPr>
      <w:r>
        <w:rPr>
          <w:rFonts w:hint="eastAsia"/>
        </w:rPr>
        <w:t>1</w:t>
      </w:r>
      <w:r>
        <w:t xml:space="preserve"> </w:t>
      </w:r>
      <w:r>
        <w:rPr>
          <w:rFonts w:hint="eastAsia"/>
        </w:rPr>
        <w:t>地下病害体类型、数量、规模、位置、埋深及覆跨比等信息；</w:t>
      </w:r>
    </w:p>
    <w:p>
      <w:pPr>
        <w:autoSpaceDE w:val="0"/>
        <w:autoSpaceDN w:val="0"/>
        <w:adjustRightInd w:val="0"/>
        <w:snapToGrid w:val="0"/>
        <w:ind w:firstLine="420" w:firstLineChars="200"/>
        <w:jc w:val="left"/>
      </w:pPr>
      <w:r>
        <w:rPr>
          <w:rFonts w:hint="eastAsia"/>
        </w:rPr>
        <w:t>2</w:t>
      </w:r>
      <w:r>
        <w:t xml:space="preserve"> </w:t>
      </w:r>
      <w:r>
        <w:rPr>
          <w:rFonts w:hint="eastAsia"/>
        </w:rPr>
        <w:t>地下病害体影响范围内地下工程、地下管线类别、埋设方式、结构材质、服役年限、运营状况及与地下病害体的相对位置关系；</w:t>
      </w:r>
    </w:p>
    <w:p>
      <w:pPr>
        <w:autoSpaceDE w:val="0"/>
        <w:autoSpaceDN w:val="0"/>
        <w:adjustRightInd w:val="0"/>
        <w:snapToGrid w:val="0"/>
        <w:ind w:firstLine="420" w:firstLineChars="200"/>
        <w:jc w:val="left"/>
      </w:pPr>
      <w:r>
        <w:rPr>
          <w:rFonts w:hint="eastAsia"/>
        </w:rPr>
        <w:t>3</w:t>
      </w:r>
      <w:r>
        <w:t xml:space="preserve"> </w:t>
      </w:r>
      <w:r>
        <w:rPr>
          <w:rFonts w:hint="eastAsia"/>
        </w:rPr>
        <w:t>道路、地下管线、地下建（构）筑物、地面设施、行驶车辆、工程地质、水文地质条件、气象水文条件、特殊地质条件、道路周围地面出现的变形、沉陷、裂缝、坑槽、积水等异常情况及其严重程度和历史塌陷情况；</w:t>
      </w:r>
    </w:p>
    <w:p>
      <w:pPr>
        <w:autoSpaceDE w:val="0"/>
        <w:autoSpaceDN w:val="0"/>
        <w:adjustRightInd w:val="0"/>
        <w:snapToGrid w:val="0"/>
        <w:ind w:firstLine="420" w:firstLineChars="200"/>
        <w:jc w:val="left"/>
      </w:pPr>
      <w:r>
        <w:rPr>
          <w:rFonts w:hint="eastAsia"/>
        </w:rPr>
        <w:t>4</w:t>
      </w:r>
      <w:r>
        <w:t xml:space="preserve"> </w:t>
      </w:r>
      <w:r>
        <w:rPr>
          <w:rFonts w:hint="eastAsia"/>
        </w:rPr>
        <w:t>地下病害体及其影响范围内道路、地下管线、地下结构等最近一次修复的时间、方法及质量；</w:t>
      </w:r>
    </w:p>
    <w:p>
      <w:pPr>
        <w:autoSpaceDE w:val="0"/>
        <w:autoSpaceDN w:val="0"/>
        <w:adjustRightInd w:val="0"/>
        <w:snapToGrid w:val="0"/>
        <w:ind w:firstLine="420" w:firstLineChars="200"/>
        <w:jc w:val="left"/>
      </w:pPr>
      <w:r>
        <w:rPr>
          <w:rFonts w:hint="eastAsia"/>
        </w:rPr>
        <w:t>5</w:t>
      </w:r>
      <w:r>
        <w:t xml:space="preserve"> </w:t>
      </w:r>
      <w:r>
        <w:rPr>
          <w:rFonts w:hint="eastAsia"/>
        </w:rPr>
        <w:t>地下病害体影响范围内地面出现的承载力、沉陷、裂缝、坑槽、积水等异常情况及其严重程度和历史塌陷情况；</w:t>
      </w:r>
    </w:p>
    <w:p>
      <w:pPr>
        <w:autoSpaceDE w:val="0"/>
        <w:autoSpaceDN w:val="0"/>
        <w:adjustRightInd w:val="0"/>
        <w:snapToGrid w:val="0"/>
        <w:ind w:firstLine="420" w:firstLineChars="200"/>
        <w:jc w:val="left"/>
      </w:pPr>
      <w:r>
        <w:rPr>
          <w:rFonts w:hint="eastAsia"/>
        </w:rPr>
        <w:t>6</w:t>
      </w:r>
      <w:r>
        <w:t xml:space="preserve"> </w:t>
      </w:r>
      <w:r>
        <w:rPr>
          <w:rFonts w:hint="eastAsia"/>
        </w:rPr>
        <w:t>地下病害体影响范围内的地下管线及管井淤堵、变形、破损等异常情况及其严重程度；</w:t>
      </w:r>
    </w:p>
    <w:p>
      <w:pPr>
        <w:autoSpaceDE w:val="0"/>
        <w:autoSpaceDN w:val="0"/>
        <w:adjustRightInd w:val="0"/>
        <w:snapToGrid w:val="0"/>
        <w:ind w:firstLine="420" w:firstLineChars="200"/>
        <w:jc w:val="left"/>
      </w:pPr>
      <w:r>
        <w:rPr>
          <w:rFonts w:hint="eastAsia"/>
        </w:rPr>
        <w:t>7</w:t>
      </w:r>
      <w:r>
        <w:t xml:space="preserve"> </w:t>
      </w:r>
      <w:r>
        <w:rPr>
          <w:rFonts w:hint="eastAsia"/>
        </w:rPr>
        <w:t>地下病害体影响范围内的地面开挖、地下工程和邻近建筑工程施工等现状及历史状况；</w:t>
      </w:r>
    </w:p>
    <w:p>
      <w:pPr>
        <w:autoSpaceDE w:val="0"/>
        <w:autoSpaceDN w:val="0"/>
        <w:adjustRightInd w:val="0"/>
        <w:snapToGrid w:val="0"/>
        <w:ind w:firstLine="420" w:firstLineChars="200"/>
        <w:jc w:val="left"/>
      </w:pPr>
      <w:r>
        <w:rPr>
          <w:rFonts w:hint="eastAsia"/>
        </w:rPr>
        <w:t>8</w:t>
      </w:r>
      <w:r>
        <w:t xml:space="preserve"> </w:t>
      </w:r>
      <w:r>
        <w:rPr>
          <w:rFonts w:hint="eastAsia"/>
        </w:rPr>
        <w:t>地下病害体影响范围内的建（构）筑物情况，包括公共、居民建筑等人员密集场所，并评价人员、财产密集程度及社会影响程度；</w:t>
      </w:r>
    </w:p>
    <w:p>
      <w:pPr>
        <w:autoSpaceDE w:val="0"/>
        <w:autoSpaceDN w:val="0"/>
        <w:adjustRightInd w:val="0"/>
        <w:snapToGrid w:val="0"/>
        <w:ind w:firstLine="420" w:firstLineChars="200"/>
        <w:jc w:val="left"/>
      </w:pPr>
      <w:r>
        <w:rPr>
          <w:rFonts w:hint="eastAsia"/>
        </w:rPr>
        <w:t>9</w:t>
      </w:r>
      <w:r>
        <w:t xml:space="preserve"> </w:t>
      </w:r>
      <w:r>
        <w:rPr>
          <w:rFonts w:hint="eastAsia"/>
        </w:rPr>
        <w:t>道路周围的地下管线及管井淤堵、变形、破损等异常情况及其严重程度；</w:t>
      </w:r>
    </w:p>
    <w:p>
      <w:pPr>
        <w:autoSpaceDE w:val="0"/>
        <w:autoSpaceDN w:val="0"/>
        <w:adjustRightInd w:val="0"/>
        <w:snapToGrid w:val="0"/>
        <w:ind w:firstLine="420" w:firstLineChars="200"/>
        <w:jc w:val="left"/>
      </w:pPr>
      <w:r>
        <w:rPr>
          <w:rFonts w:hint="eastAsia"/>
        </w:rPr>
        <w:t>10</w:t>
      </w:r>
      <w:r>
        <w:t xml:space="preserve"> </w:t>
      </w:r>
      <w:r>
        <w:rPr>
          <w:rFonts w:hint="eastAsia"/>
        </w:rPr>
        <w:t>道路周围的地面开挖、地下工程和邻近建筑工程施工等现状及历史状况；</w:t>
      </w:r>
    </w:p>
    <w:p>
      <w:pPr>
        <w:autoSpaceDE w:val="0"/>
        <w:autoSpaceDN w:val="0"/>
        <w:adjustRightInd w:val="0"/>
        <w:snapToGrid w:val="0"/>
        <w:ind w:firstLine="420" w:firstLineChars="200"/>
        <w:jc w:val="left"/>
      </w:pPr>
      <w:r>
        <w:rPr>
          <w:rFonts w:hint="eastAsia"/>
        </w:rPr>
        <w:t>1</w:t>
      </w:r>
      <w:r>
        <w:t xml:space="preserve">1 </w:t>
      </w:r>
      <w:r>
        <w:rPr>
          <w:rFonts w:hint="eastAsia"/>
        </w:rPr>
        <w:t>道路周围的建（构）筑物、人员分布等情况，包括商场、医院、学校、体育馆、领事馆、地标性建筑、居民住宅区等建（构）筑物情况及地铁站、公交车站、过街天桥或通道等人员密集场所，并评价人员、财产密集程度。</w:t>
      </w:r>
    </w:p>
    <w:p>
      <w:pPr>
        <w:widowControl/>
        <w:adjustRightInd w:val="0"/>
        <w:snapToGrid w:val="0"/>
        <w:jc w:val="center"/>
        <w:outlineLvl w:val="1"/>
        <w:rPr>
          <w:b/>
          <w:kern w:val="0"/>
        </w:rPr>
      </w:pPr>
      <w:bookmarkStart w:id="129" w:name="_Toc148468283"/>
      <w:r>
        <w:rPr>
          <w:b/>
          <w:kern w:val="0"/>
        </w:rPr>
        <w:t xml:space="preserve">8.3  </w:t>
      </w:r>
      <w:r>
        <w:rPr>
          <w:rFonts w:hint="eastAsia"/>
          <w:b/>
          <w:kern w:val="0"/>
        </w:rPr>
        <w:t>风险发生可能性评价</w:t>
      </w:r>
      <w:bookmarkEnd w:id="129"/>
    </w:p>
    <w:p>
      <w:pPr>
        <w:autoSpaceDE w:val="0"/>
        <w:autoSpaceDN w:val="0"/>
        <w:adjustRightInd w:val="0"/>
        <w:snapToGrid w:val="0"/>
        <w:jc w:val="left"/>
      </w:pPr>
      <w:r>
        <w:t>8</w:t>
      </w:r>
      <w:r>
        <w:rPr>
          <w:rFonts w:hint="eastAsia"/>
        </w:rPr>
        <w:t>.</w:t>
      </w:r>
      <w:r>
        <w:t>3.1</w:t>
      </w:r>
      <w:r>
        <w:rPr>
          <w:rFonts w:hint="eastAsia"/>
        </w:rPr>
        <w:t>、8</w:t>
      </w:r>
      <w:r>
        <w:t>.3.7</w:t>
      </w:r>
      <w:r>
        <w:rPr>
          <w:rFonts w:hint="eastAsia"/>
        </w:rPr>
        <w:t xml:space="preserve"> </w:t>
      </w:r>
      <w:r>
        <w:t xml:space="preserve"> </w:t>
      </w:r>
      <w:r>
        <w:rPr>
          <w:rFonts w:hint="eastAsia"/>
        </w:rPr>
        <w:t>针对地下病害体风险评估所需指标数据，标准应用过程中可根据地下病害体所处单元环境等因素，通过资料申请获取或经验值替代等方法，确定指标取值。</w:t>
      </w:r>
    </w:p>
    <w:p>
      <w:pPr>
        <w:autoSpaceDE w:val="0"/>
        <w:autoSpaceDN w:val="0"/>
        <w:adjustRightInd w:val="0"/>
        <w:snapToGrid w:val="0"/>
        <w:ind w:firstLine="420" w:firstLineChars="200"/>
        <w:jc w:val="left"/>
      </w:pPr>
      <w:r>
        <w:rPr>
          <w:rFonts w:hint="eastAsia"/>
        </w:rPr>
        <w:t>1</w:t>
      </w:r>
      <w:r>
        <w:t xml:space="preserve"> </w:t>
      </w:r>
      <w:r>
        <w:rPr>
          <w:rFonts w:hint="eastAsia"/>
        </w:rPr>
        <w:t>病害体类指标：来源于探测单位针对地下病害体探测后形成的成果报告及病害卡；</w:t>
      </w:r>
    </w:p>
    <w:p>
      <w:pPr>
        <w:autoSpaceDE w:val="0"/>
        <w:autoSpaceDN w:val="0"/>
        <w:adjustRightInd w:val="0"/>
        <w:snapToGrid w:val="0"/>
        <w:ind w:firstLine="420" w:firstLineChars="200"/>
        <w:jc w:val="left"/>
      </w:pPr>
      <w:r>
        <w:rPr>
          <w:rFonts w:hint="eastAsia"/>
        </w:rPr>
        <w:t>2 管线类指标：面向管线权属单位如住房和城乡建设局、规划和自然资源局、水务局等单位申请签订保密协议后查阅管线资料；当数据无法获取时，可基于管线设计及建设标准明确管线指标经验值，确定对应指标取值；</w:t>
      </w:r>
    </w:p>
    <w:p>
      <w:pPr>
        <w:autoSpaceDE w:val="0"/>
        <w:autoSpaceDN w:val="0"/>
        <w:adjustRightInd w:val="0"/>
        <w:snapToGrid w:val="0"/>
        <w:ind w:firstLine="420" w:firstLineChars="200"/>
        <w:jc w:val="left"/>
      </w:pPr>
      <w:r>
        <w:rPr>
          <w:rFonts w:hint="eastAsia"/>
        </w:rPr>
        <w:t>3</w:t>
      </w:r>
      <w:r>
        <w:t xml:space="preserve"> </w:t>
      </w:r>
      <w:r>
        <w:rPr>
          <w:rFonts w:hint="eastAsia"/>
        </w:rPr>
        <w:t>在建工程类指标：面向住房和城乡建设局、交通运输局等工程监督单位申请获取在建工程相关资料，确定对应指标取值。</w:t>
      </w:r>
    </w:p>
    <w:p>
      <w:pPr>
        <w:autoSpaceDE w:val="0"/>
        <w:autoSpaceDN w:val="0"/>
        <w:adjustRightInd w:val="0"/>
        <w:snapToGrid w:val="0"/>
        <w:ind w:firstLine="420" w:firstLineChars="200"/>
        <w:jc w:val="left"/>
      </w:pPr>
      <w:r>
        <w:rPr>
          <w:rFonts w:hint="eastAsia"/>
        </w:rPr>
        <w:t>4 地质类指标：协调病害体所在区域的地质勘察报告，作为地质指标取值依据；当无法获取所在区域的地质勘察资料时，可参考邻近区域的地质勘察资料。</w:t>
      </w:r>
    </w:p>
    <w:p>
      <w:pPr>
        <w:autoSpaceDE w:val="0"/>
        <w:autoSpaceDN w:val="0"/>
        <w:adjustRightInd w:val="0"/>
        <w:snapToGrid w:val="0"/>
        <w:jc w:val="left"/>
      </w:pPr>
      <w:r>
        <w:t>8.3.2~8.3.5</w:t>
      </w:r>
      <w:r>
        <w:rPr>
          <w:rFonts w:hint="eastAsia"/>
        </w:rPr>
        <w:t>、8</w:t>
      </w:r>
      <w:r>
        <w:t>.3.8~8.3.12  本标准中所提到各项权重由层次分析法得出，如下公式所示：</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m:oMath>
        <m:r>
          <m:rPr/>
          <w:rPr>
            <w:rFonts w:ascii="Cambria Math"/>
            <w:color w:val="000000" w:themeColor="text1"/>
            <w14:textFill>
              <w14:solidFill>
                <w14:schemeClr w14:val="tx1"/>
              </w14:solidFill>
            </w14:textFill>
          </w:rPr>
          <m:t>W</m:t>
        </m:r>
        <m:r>
          <m:rPr>
            <m:sty m:val="p"/>
          </m:rPr>
          <w:rPr>
            <w:rFonts w:ascii="Cambria Math"/>
            <w:color w:val="000000" w:themeColor="text1"/>
            <w14:textFill>
              <w14:solidFill>
                <w14:schemeClr w14:val="tx1"/>
              </w14:solidFill>
            </w14:textFill>
          </w:rPr>
          <m:t>=</m:t>
        </m:r>
        <m:d>
          <m:dPr>
            <m:begChr m:val="["/>
            <m:endChr m:val="]"/>
            <m:ctrlPr>
              <w:rPr>
                <w:rFonts w:ascii="Cambria Math" w:hAnsi="Cambria Math"/>
                <w:color w:val="000000" w:themeColor="text1"/>
                <w14:textFill>
                  <w14:solidFill>
                    <w14:schemeClr w14:val="tx1"/>
                  </w14:solidFill>
                </w14:textFill>
              </w:rPr>
            </m:ctrlPr>
          </m:dPr>
          <m:e>
            <m:m>
              <m:mPr>
                <m:mcs>
                  <m:mc>
                    <m:mcPr>
                      <m:count m:val="3"/>
                      <m:mcJc m:val="center"/>
                    </m:mcPr>
                  </m:mc>
                </m:mcs>
                <m:ctrlPr>
                  <w:rPr>
                    <w:rFonts w:ascii="Cambria Math" w:hAnsi="Cambria Math"/>
                    <w:color w:val="000000" w:themeColor="text1"/>
                    <w14:textFill>
                      <w14:solidFill>
                        <w14:schemeClr w14:val="tx1"/>
                      </w14:solidFill>
                    </w14:textFill>
                  </w:rPr>
                </m:ctrlPr>
              </m:mPr>
              <m:mr>
                <m:e>
                  <m:sSub>
                    <m:sSubPr>
                      <m:ctrlPr>
                        <w:rPr>
                          <w:rFonts w:ascii="Cambria Math" w:hAnsi="Cambria Math"/>
                          <w:color w:val="000000" w:themeColor="text1"/>
                          <w14:textFill>
                            <w14:solidFill>
                              <w14:schemeClr w14:val="tx1"/>
                            </w14:solidFill>
                          </w14:textFill>
                        </w:rPr>
                      </m:ctrlPr>
                    </m:sSubPr>
                    <m:e>
                      <m:r>
                        <m:rPr/>
                        <w:rPr>
                          <w:rFonts w:ascii="Cambria Math"/>
                          <w:color w:val="000000" w:themeColor="text1"/>
                          <w14:textFill>
                            <w14:solidFill>
                              <w14:schemeClr w14:val="tx1"/>
                            </w14:solidFill>
                          </w14:textFill>
                        </w:rPr>
                        <m:t>W</m:t>
                      </m:r>
                      <m:ctrlPr>
                        <w:rPr>
                          <w:rFonts w:ascii="Cambria Math" w:hAnsi="Cambria Math"/>
                          <w:color w:val="000000" w:themeColor="text1"/>
                          <w14:textFill>
                            <w14:solidFill>
                              <w14:schemeClr w14:val="tx1"/>
                            </w14:solidFill>
                          </w14:textFill>
                        </w:rPr>
                      </m:ctrlPr>
                    </m:e>
                    <m:sub>
                      <m:r>
                        <m:rPr>
                          <m:sty m:val="p"/>
                        </m:rPr>
                        <w:rPr>
                          <w:rFonts w:ascii="Cambria Math"/>
                          <w:color w:val="000000" w:themeColor="text1"/>
                          <w14:textFill>
                            <w14:solidFill>
                              <w14:schemeClr w14:val="tx1"/>
                            </w14:solidFill>
                          </w14:textFill>
                        </w:rPr>
                        <m:t>1,1</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e>
                <m:e>
                  <m:r>
                    <m:rPr>
                      <m:sty m:val="p"/>
                    </m:rPr>
                    <w:rPr>
                      <w:rFonts w:asci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e>
                  <m:sSub>
                    <m:sSubPr>
                      <m:ctrlPr>
                        <w:rPr>
                          <w:rFonts w:ascii="Cambria Math" w:hAnsi="Cambria Math"/>
                          <w:color w:val="000000" w:themeColor="text1"/>
                          <w14:textFill>
                            <w14:solidFill>
                              <w14:schemeClr w14:val="tx1"/>
                            </w14:solidFill>
                          </w14:textFill>
                        </w:rPr>
                      </m:ctrlPr>
                    </m:sSubPr>
                    <m:e>
                      <m:r>
                        <m:rPr/>
                        <w:rPr>
                          <w:rFonts w:ascii="Cambria Math"/>
                          <w:color w:val="000000" w:themeColor="text1"/>
                          <w14:textFill>
                            <w14:solidFill>
                              <w14:schemeClr w14:val="tx1"/>
                            </w14:solidFill>
                          </w14:textFill>
                        </w:rPr>
                        <m:t>W</m:t>
                      </m:r>
                      <m:ctrlPr>
                        <w:rPr>
                          <w:rFonts w:ascii="Cambria Math" w:hAnsi="Cambria Math"/>
                          <w:color w:val="000000" w:themeColor="text1"/>
                          <w14:textFill>
                            <w14:solidFill>
                              <w14:schemeClr w14:val="tx1"/>
                            </w14:solidFill>
                          </w14:textFill>
                        </w:rPr>
                      </m:ctrlPr>
                    </m:e>
                    <m:sub>
                      <m:r>
                        <m:rPr>
                          <m:sty m:val="p"/>
                        </m:rPr>
                        <w:rPr>
                          <w:rFonts w:ascii="Cambria Math"/>
                          <w:color w:val="000000" w:themeColor="text1"/>
                          <w14:textFill>
                            <w14:solidFill>
                              <w14:schemeClr w14:val="tx1"/>
                            </w14:solidFill>
                          </w14:textFill>
                        </w:rPr>
                        <m:t>1,</m:t>
                      </m:r>
                      <m:r>
                        <m:rPr/>
                        <w:rPr>
                          <w:rFonts w:asci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e>
              </m:mr>
              <m:mr>
                <m:e>
                  <m:r>
                    <m:rPr>
                      <m:sty m:val="p"/>
                    </m:rPr>
                    <w:rPr>
                      <w:rFonts w:hint="eastAsia" w:ascii="Cambria Math" w:hAnsi="Cambria Math" w:eastAsia="MS Gothic" w:cs="MS Gothic"/>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e>
                  <m:r>
                    <m:rPr>
                      <m:sty m:val="p"/>
                    </m:rPr>
                    <w:rPr>
                      <w:rFonts w:hint="eastAsia" w:ascii="Cambria Math" w:hAnsi="Cambria Math" w:eastAsia="MS Gothic" w:cs="MS Gothic"/>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e>
                  <m:r>
                    <m:rPr>
                      <m:sty m:val="p"/>
                    </m:rPr>
                    <w:rPr>
                      <w:rFonts w:hint="eastAsia" w:ascii="Cambria Math" w:hAnsi="Cambria Math" w:eastAsia="MS Gothic" w:cs="MS Gothic"/>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mr>
              <m:mr>
                <m:e>
                  <m:sSub>
                    <m:sSubPr>
                      <m:ctrlPr>
                        <w:rPr>
                          <w:rFonts w:ascii="Cambria Math" w:hAnsi="Cambria Math"/>
                          <w:color w:val="000000" w:themeColor="text1"/>
                          <w14:textFill>
                            <w14:solidFill>
                              <w14:schemeClr w14:val="tx1"/>
                            </w14:solidFill>
                          </w14:textFill>
                        </w:rPr>
                      </m:ctrlPr>
                    </m:sSubPr>
                    <m:e>
                      <m:r>
                        <m:rPr/>
                        <w:rPr>
                          <w:rFonts w:ascii="Cambria Math"/>
                          <w:color w:val="000000" w:themeColor="text1"/>
                          <w14:textFill>
                            <w14:solidFill>
                              <w14:schemeClr w14:val="tx1"/>
                            </w14:solidFill>
                          </w14:textFill>
                        </w:rPr>
                        <m:t>W</m:t>
                      </m:r>
                      <m:ctrlPr>
                        <w:rPr>
                          <w:rFonts w:ascii="Cambria Math" w:hAnsi="Cambria Math"/>
                          <w:color w:val="000000" w:themeColor="text1"/>
                          <w14:textFill>
                            <w14:solidFill>
                              <w14:schemeClr w14:val="tx1"/>
                            </w14:solidFill>
                          </w14:textFill>
                        </w:rPr>
                      </m:ctrlPr>
                    </m:e>
                    <m:sub>
                      <m:r>
                        <m:rPr/>
                        <w:rPr>
                          <w:rFonts w:ascii="Cambria Math"/>
                          <w:color w:val="000000" w:themeColor="text1"/>
                          <w14:textFill>
                            <w14:solidFill>
                              <w14:schemeClr w14:val="tx1"/>
                            </w14:solidFill>
                          </w14:textFill>
                        </w:rPr>
                        <m:t>m</m:t>
                      </m:r>
                      <m:r>
                        <m:rPr>
                          <m:sty m:val="p"/>
                        </m:rPr>
                        <w:rPr>
                          <w:rFonts w:asci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e>
                <m:e>
                  <m:r>
                    <m:rPr>
                      <m:sty m:val="p"/>
                    </m:rPr>
                    <w:rPr>
                      <w:rFonts w:ascii="Cambria Math"/>
                      <w:color w:val="000000" w:themeColor="text1"/>
                      <w14:textFill>
                        <w14:solidFill>
                          <w14:schemeClr w14:val="tx1"/>
                        </w14:solidFill>
                      </w14:textFill>
                    </w:rPr>
                    <m:t>…</m:t>
                  </m:r>
                  <m:ctrlPr>
                    <w:rPr>
                      <w:rFonts w:ascii="Cambria Math" w:hAnsi="Cambria Math"/>
                      <w:color w:val="000000" w:themeColor="text1"/>
                      <w14:textFill>
                        <w14:solidFill>
                          <w14:schemeClr w14:val="tx1"/>
                        </w14:solidFill>
                      </w14:textFill>
                    </w:rPr>
                  </m:ctrlPr>
                </m:e>
                <m:e>
                  <m:sSub>
                    <m:sSubPr>
                      <m:ctrlPr>
                        <w:rPr>
                          <w:rFonts w:ascii="Cambria Math" w:hAnsi="Cambria Math"/>
                          <w:color w:val="000000" w:themeColor="text1"/>
                          <w14:textFill>
                            <w14:solidFill>
                              <w14:schemeClr w14:val="tx1"/>
                            </w14:solidFill>
                          </w14:textFill>
                        </w:rPr>
                      </m:ctrlPr>
                    </m:sSubPr>
                    <m:e>
                      <m:r>
                        <m:rPr/>
                        <w:rPr>
                          <w:rFonts w:ascii="Cambria Math"/>
                          <w:color w:val="000000" w:themeColor="text1"/>
                          <w14:textFill>
                            <w14:solidFill>
                              <w14:schemeClr w14:val="tx1"/>
                            </w14:solidFill>
                          </w14:textFill>
                        </w:rPr>
                        <m:t>W</m:t>
                      </m:r>
                      <m:ctrlPr>
                        <w:rPr>
                          <w:rFonts w:ascii="Cambria Math" w:hAnsi="Cambria Math"/>
                          <w:color w:val="000000" w:themeColor="text1"/>
                          <w14:textFill>
                            <w14:solidFill>
                              <w14:schemeClr w14:val="tx1"/>
                            </w14:solidFill>
                          </w14:textFill>
                        </w:rPr>
                      </m:ctrlPr>
                    </m:e>
                    <m:sub>
                      <m:r>
                        <m:rPr/>
                        <w:rPr>
                          <w:rFonts w:ascii="Cambria Math"/>
                          <w:color w:val="000000" w:themeColor="text1"/>
                          <w14:textFill>
                            <w14:solidFill>
                              <w14:schemeClr w14:val="tx1"/>
                            </w14:solidFill>
                          </w14:textFill>
                        </w:rPr>
                        <m:t>m</m:t>
                      </m:r>
                      <m:r>
                        <m:rPr>
                          <m:sty m:val="p"/>
                        </m:rPr>
                        <w:rPr>
                          <w:rFonts w:ascii="Cambria Math"/>
                          <w:color w:val="000000" w:themeColor="text1"/>
                          <w14:textFill>
                            <w14:solidFill>
                              <w14:schemeClr w14:val="tx1"/>
                            </w14:solidFill>
                          </w14:textFill>
                        </w:rPr>
                        <m:t>,</m:t>
                      </m:r>
                      <m:r>
                        <m:rPr/>
                        <w:rPr>
                          <w:rFonts w:asci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e>
              </m:mr>
            </m:m>
            <m:ctrlPr>
              <w:rPr>
                <w:rFonts w:ascii="Cambria Math" w:hAnsi="Cambria Math"/>
                <w:color w:val="000000" w:themeColor="text1"/>
                <w14:textFill>
                  <w14:solidFill>
                    <w14:schemeClr w14:val="tx1"/>
                  </w14:solidFill>
                </w14:textFill>
              </w:rPr>
            </m:ctrlPr>
          </m:e>
        </m:d>
      </m:oMath>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rPr>
        <w:t>（</w:t>
      </w:r>
      <w:r>
        <w:t>8-1</w:t>
      </w:r>
      <w:r>
        <w:rPr>
          <w:rFonts w:hint="eastAsia"/>
        </w:rPr>
        <w:t>）</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m:oMath>
        <m:sSub>
          <m:sSubPr>
            <m:ctrlPr>
              <w:rPr>
                <w:rFonts w:ascii="Cambria Math" w:hAnsi="Cambria Math"/>
                <w:color w:val="000000" w:themeColor="text1"/>
                <w14:textFill>
                  <w14:solidFill>
                    <w14:schemeClr w14:val="tx1"/>
                  </w14:solidFill>
                </w14:textFill>
              </w:rPr>
            </m:ctrlPr>
          </m:sSubPr>
          <m:e>
            <m:r>
              <m:rPr/>
              <w:rPr>
                <w:rFonts w:ascii="Cambria Math"/>
                <w:color w:val="000000" w:themeColor="text1"/>
                <w14:textFill>
                  <w14:solidFill>
                    <w14:schemeClr w14:val="tx1"/>
                  </w14:solidFill>
                </w14:textFill>
              </w:rPr>
              <m:t>W</m:t>
            </m:r>
            <m:ctrlPr>
              <w:rPr>
                <w:rFonts w:ascii="Cambria Math" w:hAnsi="Cambria Math"/>
                <w:color w:val="000000" w:themeColor="text1"/>
                <w14:textFill>
                  <w14:solidFill>
                    <w14:schemeClr w14:val="tx1"/>
                  </w14:solidFill>
                </w14:textFill>
              </w:rPr>
            </m:ctrlPr>
          </m:e>
          <m:sub>
            <m:r>
              <m:rPr/>
              <w:rPr>
                <w:rFonts w:ascii="Cambria Math"/>
                <w:color w:val="000000" w:themeColor="text1"/>
                <w14:textFill>
                  <w14:solidFill>
                    <w14:schemeClr w14:val="tx1"/>
                  </w14:solidFill>
                </w14:textFill>
              </w:rPr>
              <m:t>i</m:t>
            </m:r>
            <m:ctrlPr>
              <w:rPr>
                <w:rFonts w:ascii="Cambria Math" w:hAnsi="Cambria Math"/>
                <w:color w:val="000000" w:themeColor="text1"/>
                <w14:textFill>
                  <w14:solidFill>
                    <w14:schemeClr w14:val="tx1"/>
                  </w14:solidFill>
                </w14:textFill>
              </w:rPr>
            </m:ctrlPr>
          </m:sub>
        </m:sSub>
        <m:r>
          <m:rPr>
            <m:sty m:val="p"/>
          </m:rPr>
          <w:rPr>
            <w:rFonts w:ascii="Cambria Math"/>
            <w:color w:val="000000" w:themeColor="text1"/>
            <w14:textFill>
              <w14:solidFill>
                <w14:schemeClr w14:val="tx1"/>
              </w14:solidFill>
            </w14:textFill>
          </w:rPr>
          <m:t>=</m:t>
        </m:r>
        <m:f>
          <m:fPr>
            <m:ctrlPr>
              <w:rPr>
                <w:rFonts w:ascii="Cambria Math" w:hAnsi="Cambria Math"/>
                <w:color w:val="000000" w:themeColor="text1"/>
                <w14:textFill>
                  <w14:solidFill>
                    <w14:schemeClr w14:val="tx1"/>
                  </w14:solidFill>
                </w14:textFill>
              </w:rPr>
            </m:ctrlPr>
          </m:fPr>
          <m:num>
            <m:nary>
              <m:naryPr>
                <m:chr m:val="∑"/>
                <m:ctrlPr>
                  <w:rPr>
                    <w:rFonts w:ascii="Cambria Math" w:hAnsi="Cambria Math"/>
                    <w:color w:val="000000" w:themeColor="text1"/>
                    <w14:textFill>
                      <w14:solidFill>
                        <w14:schemeClr w14:val="tx1"/>
                      </w14:solidFill>
                    </w14:textFill>
                  </w:rPr>
                </m:ctrlPr>
              </m:naryPr>
              <m:sub>
                <m:r>
                  <m:rPr/>
                  <w:rPr>
                    <w:rFonts w:ascii="Cambria Math"/>
                    <w:color w:val="000000" w:themeColor="text1"/>
                    <w14:textFill>
                      <w14:solidFill>
                        <w14:schemeClr w14:val="tx1"/>
                      </w14:solidFill>
                    </w14:textFill>
                  </w:rPr>
                  <m:t>j</m:t>
                </m:r>
                <m:r>
                  <m:rPr>
                    <m:sty m:val="p"/>
                  </m:rPr>
                  <w:rPr>
                    <w:rFonts w:asci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up>
                <m:r>
                  <m:rPr/>
                  <w:rPr>
                    <w:rFonts w:asci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sup>
              <m:e>
                <m:sSub>
                  <m:sSubPr>
                    <m:ctrlPr>
                      <w:rPr>
                        <w:rFonts w:ascii="Cambria Math" w:hAnsi="Cambria Math"/>
                        <w:color w:val="000000" w:themeColor="text1"/>
                        <w14:textFill>
                          <w14:solidFill>
                            <w14:schemeClr w14:val="tx1"/>
                          </w14:solidFill>
                        </w14:textFill>
                      </w:rPr>
                    </m:ctrlPr>
                  </m:sSubPr>
                  <m:e>
                    <m:r>
                      <m:rPr/>
                      <w:rPr>
                        <w:rFonts w:ascii="Cambria Math"/>
                        <w:color w:val="000000" w:themeColor="text1"/>
                        <w14:textFill>
                          <w14:solidFill>
                            <w14:schemeClr w14:val="tx1"/>
                          </w14:solidFill>
                        </w14:textFill>
                      </w:rPr>
                      <m:t>W</m:t>
                    </m:r>
                    <m:ctrlPr>
                      <w:rPr>
                        <w:rFonts w:ascii="Cambria Math" w:hAnsi="Cambria Math"/>
                        <w:color w:val="000000" w:themeColor="text1"/>
                        <w14:textFill>
                          <w14:solidFill>
                            <w14:schemeClr w14:val="tx1"/>
                          </w14:solidFill>
                        </w14:textFill>
                      </w:rPr>
                    </m:ctrlPr>
                  </m:e>
                  <m:sub>
                    <m:r>
                      <m:rPr/>
                      <w:rPr>
                        <w:rFonts w:ascii="Cambria Math"/>
                        <w:color w:val="000000" w:themeColor="text1"/>
                        <w14:textFill>
                          <w14:solidFill>
                            <w14:schemeClr w14:val="tx1"/>
                          </w14:solidFill>
                        </w14:textFill>
                      </w:rPr>
                      <m:t>i</m:t>
                    </m:r>
                    <m:r>
                      <m:rPr>
                        <m:sty m:val="p"/>
                      </m:rPr>
                      <w:rPr>
                        <w:rFonts w:ascii="Cambria Math"/>
                        <w:color w:val="000000" w:themeColor="text1"/>
                        <w14:textFill>
                          <w14:solidFill>
                            <w14:schemeClr w14:val="tx1"/>
                          </w14:solidFill>
                        </w14:textFill>
                      </w:rPr>
                      <m:t>,</m:t>
                    </m:r>
                    <m:r>
                      <m:rPr/>
                      <w:rPr>
                        <w:rFonts w:ascii="Cambria Math"/>
                        <w:color w:val="000000" w:themeColor="text1"/>
                        <w14:textFill>
                          <w14:solidFill>
                            <w14:schemeClr w14:val="tx1"/>
                          </w14:solidFill>
                        </w14:textFill>
                      </w:rPr>
                      <m:t>j</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e>
            </m:nary>
            <m:ctrlPr>
              <w:rPr>
                <w:rFonts w:ascii="Cambria Math" w:hAnsi="Cambria Math"/>
                <w:color w:val="000000" w:themeColor="text1"/>
                <w14:textFill>
                  <w14:solidFill>
                    <w14:schemeClr w14:val="tx1"/>
                  </w14:solidFill>
                </w14:textFill>
              </w:rPr>
            </m:ctrlPr>
          </m:num>
          <m:den>
            <m:nary>
              <m:naryPr>
                <m:chr m:val="∑"/>
                <m:ctrlPr>
                  <w:rPr>
                    <w:rFonts w:ascii="Cambria Math" w:hAnsi="Cambria Math"/>
                    <w:color w:val="000000" w:themeColor="text1"/>
                    <w14:textFill>
                      <w14:solidFill>
                        <w14:schemeClr w14:val="tx1"/>
                      </w14:solidFill>
                    </w14:textFill>
                  </w:rPr>
                </m:ctrlPr>
              </m:naryPr>
              <m:sub>
                <m:r>
                  <m:rPr/>
                  <w:rPr>
                    <w:rFonts w:ascii="Cambria Math"/>
                    <w:color w:val="000000" w:themeColor="text1"/>
                    <w14:textFill>
                      <w14:solidFill>
                        <w14:schemeClr w14:val="tx1"/>
                      </w14:solidFill>
                    </w14:textFill>
                  </w:rPr>
                  <m:t>k</m:t>
                </m:r>
                <m:r>
                  <m:rPr>
                    <m:sty m:val="p"/>
                  </m:rPr>
                  <w:rPr>
                    <w:rFonts w:asci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up>
                <m:r>
                  <m:rPr/>
                  <w:rPr>
                    <w:rFonts w:ascii="Cambria Math"/>
                    <w:color w:val="000000" w:themeColor="text1"/>
                    <w14:textFill>
                      <w14:solidFill>
                        <w14:schemeClr w14:val="tx1"/>
                      </w14:solidFill>
                    </w14:textFill>
                  </w:rPr>
                  <m:t>m</m:t>
                </m:r>
                <m:ctrlPr>
                  <w:rPr>
                    <w:rFonts w:ascii="Cambria Math" w:hAnsi="Cambria Math"/>
                    <w:color w:val="000000" w:themeColor="text1"/>
                    <w14:textFill>
                      <w14:solidFill>
                        <w14:schemeClr w14:val="tx1"/>
                      </w14:solidFill>
                    </w14:textFill>
                  </w:rPr>
                </m:ctrlPr>
              </m:sup>
              <m:e>
                <m:nary>
                  <m:naryPr>
                    <m:chr m:val="∑"/>
                    <m:ctrlPr>
                      <w:rPr>
                        <w:rFonts w:ascii="Cambria Math" w:hAnsi="Cambria Math"/>
                        <w:color w:val="000000" w:themeColor="text1"/>
                        <w14:textFill>
                          <w14:solidFill>
                            <w14:schemeClr w14:val="tx1"/>
                          </w14:solidFill>
                        </w14:textFill>
                      </w:rPr>
                    </m:ctrlPr>
                  </m:naryPr>
                  <m:sub>
                    <m:r>
                      <m:rPr/>
                      <w:rPr>
                        <w:rFonts w:ascii="Cambria Math"/>
                        <w:color w:val="000000" w:themeColor="text1"/>
                        <w14:textFill>
                          <w14:solidFill>
                            <w14:schemeClr w14:val="tx1"/>
                          </w14:solidFill>
                        </w14:textFill>
                      </w:rPr>
                      <m:t>j</m:t>
                    </m:r>
                    <m:r>
                      <m:rPr>
                        <m:sty m:val="p"/>
                      </m:rPr>
                      <w:rPr>
                        <w:rFonts w:ascii="Cambria Math"/>
                        <w:color w:val="000000" w:themeColor="text1"/>
                        <w14:textFill>
                          <w14:solidFill>
                            <w14:schemeClr w14:val="tx1"/>
                          </w14:solidFill>
                        </w14:textFill>
                      </w:rPr>
                      <m:t>=1</m:t>
                    </m:r>
                    <m:ctrlPr>
                      <w:rPr>
                        <w:rFonts w:ascii="Cambria Math" w:hAnsi="Cambria Math"/>
                        <w:color w:val="000000" w:themeColor="text1"/>
                        <w14:textFill>
                          <w14:solidFill>
                            <w14:schemeClr w14:val="tx1"/>
                          </w14:solidFill>
                        </w14:textFill>
                      </w:rPr>
                    </m:ctrlPr>
                  </m:sub>
                  <m:sup>
                    <m:r>
                      <m:rPr/>
                      <w:rPr>
                        <w:rFonts w:ascii="Cambria Math"/>
                        <w:color w:val="000000" w:themeColor="text1"/>
                        <w14:textFill>
                          <w14:solidFill>
                            <w14:schemeClr w14:val="tx1"/>
                          </w14:solidFill>
                        </w14:textFill>
                      </w:rPr>
                      <m:t>n</m:t>
                    </m:r>
                    <m:ctrlPr>
                      <w:rPr>
                        <w:rFonts w:ascii="Cambria Math" w:hAnsi="Cambria Math"/>
                        <w:color w:val="000000" w:themeColor="text1"/>
                        <w14:textFill>
                          <w14:solidFill>
                            <w14:schemeClr w14:val="tx1"/>
                          </w14:solidFill>
                        </w14:textFill>
                      </w:rPr>
                    </m:ctrlPr>
                  </m:sup>
                  <m:e>
                    <m:sSub>
                      <m:sSubPr>
                        <m:ctrlPr>
                          <w:rPr>
                            <w:rFonts w:ascii="Cambria Math" w:hAnsi="Cambria Math"/>
                            <w:color w:val="000000" w:themeColor="text1"/>
                            <w14:textFill>
                              <w14:solidFill>
                                <w14:schemeClr w14:val="tx1"/>
                              </w14:solidFill>
                            </w14:textFill>
                          </w:rPr>
                        </m:ctrlPr>
                      </m:sSubPr>
                      <m:e>
                        <m:r>
                          <m:rPr/>
                          <w:rPr>
                            <w:rFonts w:ascii="Cambria Math"/>
                            <w:color w:val="000000" w:themeColor="text1"/>
                            <w14:textFill>
                              <w14:solidFill>
                                <w14:schemeClr w14:val="tx1"/>
                              </w14:solidFill>
                            </w14:textFill>
                          </w:rPr>
                          <m:t>W</m:t>
                        </m:r>
                        <m:ctrlPr>
                          <w:rPr>
                            <w:rFonts w:ascii="Cambria Math" w:hAnsi="Cambria Math"/>
                            <w:color w:val="000000" w:themeColor="text1"/>
                            <w14:textFill>
                              <w14:solidFill>
                                <w14:schemeClr w14:val="tx1"/>
                              </w14:solidFill>
                            </w14:textFill>
                          </w:rPr>
                        </m:ctrlPr>
                      </m:e>
                      <m:sub>
                        <m:r>
                          <m:rPr/>
                          <w:rPr>
                            <w:rFonts w:ascii="Cambria Math"/>
                            <w:color w:val="000000" w:themeColor="text1"/>
                            <w14:textFill>
                              <w14:solidFill>
                                <w14:schemeClr w14:val="tx1"/>
                              </w14:solidFill>
                            </w14:textFill>
                          </w:rPr>
                          <m:t>k</m:t>
                        </m:r>
                        <m:r>
                          <m:rPr>
                            <m:sty m:val="p"/>
                          </m:rPr>
                          <w:rPr>
                            <w:rFonts w:ascii="Cambria Math"/>
                            <w:color w:val="000000" w:themeColor="text1"/>
                            <w14:textFill>
                              <w14:solidFill>
                                <w14:schemeClr w14:val="tx1"/>
                              </w14:solidFill>
                            </w14:textFill>
                          </w:rPr>
                          <m:t>,</m:t>
                        </m:r>
                        <m:r>
                          <m:rPr/>
                          <w:rPr>
                            <w:rFonts w:ascii="Cambria Math"/>
                            <w:color w:val="000000" w:themeColor="text1"/>
                            <w14:textFill>
                              <w14:solidFill>
                                <w14:schemeClr w14:val="tx1"/>
                              </w14:solidFill>
                            </w14:textFill>
                          </w:rPr>
                          <m:t>j</m:t>
                        </m:r>
                        <m:ctrlPr>
                          <w:rPr>
                            <w:rFonts w:ascii="Cambria Math" w:hAnsi="Cambria Math"/>
                            <w:color w:val="000000" w:themeColor="text1"/>
                            <w14:textFill>
                              <w14:solidFill>
                                <w14:schemeClr w14:val="tx1"/>
                              </w14:solidFill>
                            </w14:textFill>
                          </w:rPr>
                        </m:ctrlPr>
                      </m:sub>
                    </m:sSub>
                    <m:ctrlPr>
                      <w:rPr>
                        <w:rFonts w:ascii="Cambria Math" w:hAnsi="Cambria Math"/>
                        <w:color w:val="000000" w:themeColor="text1"/>
                        <w14:textFill>
                          <w14:solidFill>
                            <w14:schemeClr w14:val="tx1"/>
                          </w14:solidFill>
                        </w14:textFill>
                      </w:rPr>
                    </m:ctrlPr>
                  </m:e>
                </m:nary>
                <m:ctrlPr>
                  <w:rPr>
                    <w:rFonts w:ascii="Cambria Math" w:hAnsi="Cambria Math"/>
                    <w:color w:val="000000" w:themeColor="text1"/>
                    <w14:textFill>
                      <w14:solidFill>
                        <w14:schemeClr w14:val="tx1"/>
                      </w14:solidFill>
                    </w14:textFill>
                  </w:rPr>
                </m:ctrlPr>
              </m:e>
            </m:nary>
            <m:ctrlPr>
              <w:rPr>
                <w:rFonts w:ascii="Cambria Math" w:hAnsi="Cambria Math"/>
                <w:color w:val="000000" w:themeColor="text1"/>
                <w14:textFill>
                  <w14:solidFill>
                    <w14:schemeClr w14:val="tx1"/>
                  </w14:solidFill>
                </w14:textFill>
              </w:rPr>
            </m:ctrlPr>
          </m:den>
        </m:f>
      </m:oMath>
      <w:r>
        <w:rPr>
          <w:color w:val="000000" w:themeColor="text1"/>
          <w14:textFill>
            <w14:solidFill>
              <w14:schemeClr w14:val="tx1"/>
            </w14:solidFill>
          </w14:textFill>
        </w:rPr>
        <w:t xml:space="preserve">                        </w:t>
      </w:r>
      <w:r>
        <w:rPr>
          <w:rFonts w:hint="eastAsia"/>
        </w:rPr>
        <w:t>（</w:t>
      </w:r>
      <w:r>
        <w:t>8-2</w:t>
      </w:r>
      <w:r>
        <w:rPr>
          <w:rFonts w:hint="eastAsia"/>
        </w:rPr>
        <w:t>）</w:t>
      </w:r>
    </w:p>
    <w:p>
      <w:pPr>
        <w:autoSpaceDE w:val="0"/>
        <w:autoSpaceDN w:val="0"/>
        <w:adjustRightInd w:val="0"/>
        <w:snapToGrid w:val="0"/>
        <w:ind w:firstLine="420" w:firstLineChars="200"/>
        <w:jc w:val="left"/>
      </w:pPr>
      <w:r>
        <w:rPr>
          <w:rFonts w:hint="eastAsia"/>
        </w:rPr>
        <w:t>该矩阵为方阵，即</w:t>
      </w:r>
      <w:r>
        <w:rPr>
          <w:rFonts w:hint="eastAsia"/>
          <w:i/>
        </w:rPr>
        <w:t>m=n</w:t>
      </w:r>
      <w:r>
        <w:rPr>
          <w:rFonts w:hint="eastAsia"/>
        </w:rPr>
        <w:t>的矩阵。</w:t>
      </w:r>
    </w:p>
    <w:p>
      <w:pPr>
        <w:autoSpaceDE w:val="0"/>
        <w:autoSpaceDN w:val="0"/>
        <w:adjustRightInd w:val="0"/>
        <w:snapToGrid w:val="0"/>
        <w:ind w:firstLine="420" w:firstLineChars="200"/>
        <w:jc w:val="left"/>
      </w:pPr>
      <w:r>
        <w:rPr>
          <w:rFonts w:hint="eastAsia"/>
        </w:rPr>
        <w:t>例如有三个指标P1、P2、P3，对应W1、W2、W3三个权重，通过对重要度打分可以得到如下表所示结果：</w:t>
      </w:r>
    </w:p>
    <w:p>
      <w:pPr>
        <w:autoSpaceDE w:val="0"/>
        <w:autoSpaceDN w:val="0"/>
        <w:adjustRightInd w:val="0"/>
        <w:snapToGrid w:val="0"/>
        <w:jc w:val="center"/>
        <w:rPr>
          <w:b/>
        </w:rPr>
      </w:pPr>
      <w:r>
        <w:rPr>
          <w:rFonts w:hint="eastAsia"/>
          <w:b/>
        </w:rPr>
        <w:t>表</w:t>
      </w:r>
      <w:r>
        <w:rPr>
          <w:b/>
        </w:rPr>
        <w:t xml:space="preserve">8-1  </w:t>
      </w:r>
      <w:r>
        <w:rPr>
          <w:rFonts w:hint="eastAsia"/>
          <w:b/>
        </w:rPr>
        <w:t>指标重要性打分</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959"/>
        <w:gridCol w:w="1959"/>
        <w:gridCol w:w="1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5" w:type="dxa"/>
          </w:tcPr>
          <w:p>
            <w:pPr>
              <w:pStyle w:val="85"/>
              <w:spacing w:line="240" w:lineRule="auto"/>
              <w:jc w:val="right"/>
              <w:rPr>
                <w:rFonts w:ascii="Calibri" w:hAnsi="Calibri" w:cs="Times New Roman"/>
                <w:b w:val="0"/>
                <w:sz w:val="18"/>
                <w:szCs w:val="18"/>
              </w:rPr>
            </w:pPr>
            <w:r>
              <w:rPr>
                <w:rFonts w:hint="eastAsia" w:ascii="Calibri" w:hAnsi="Calibri"/>
              </w:rPr>
              <mc:AlternateContent>
                <mc:Choice Requires="wps">
                  <w:drawing>
                    <wp:anchor distT="0" distB="0" distL="114300" distR="114300" simplePos="0" relativeHeight="251719680" behindDoc="0" locked="0" layoutInCell="1" allowOverlap="1">
                      <wp:simplePos x="0" y="0"/>
                      <wp:positionH relativeFrom="margin">
                        <wp:posOffset>-71755</wp:posOffset>
                      </wp:positionH>
                      <wp:positionV relativeFrom="paragraph">
                        <wp:posOffset>9525</wp:posOffset>
                      </wp:positionV>
                      <wp:extent cx="1245870" cy="396875"/>
                      <wp:effectExtent l="0" t="0" r="30480" b="22225"/>
                      <wp:wrapNone/>
                      <wp:docPr id="12" name="直接连接符 12"/>
                      <wp:cNvGraphicFramePr/>
                      <a:graphic xmlns:a="http://schemas.openxmlformats.org/drawingml/2006/main">
                        <a:graphicData uri="http://schemas.microsoft.com/office/word/2010/wordprocessingShape">
                          <wps:wsp>
                            <wps:cNvCnPr/>
                            <wps:spPr>
                              <a:xfrm>
                                <a:off x="0" y="0"/>
                                <a:ext cx="1245996" cy="396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65pt;margin-top:0.75pt;height:31.25pt;width:98.1pt;mso-position-horizontal-relative:margin;z-index:251719680;mso-width-relative:page;mso-height-relative:page;" filled="f" stroked="t" coordsize="21600,21600" o:gfxdata="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AT+QS/1wAAAAgBAAAPAAAAAAAAAAEAIAAAADgAAABkcnMvZG93bnJldi54bWxQSwECFAAU&#10;AAAACACHTuJAbi86AdwBAACMAwAADgAAAAAAAAABACAAAAA8AQAAZHJzL2Uyb0RvYy54bWxQSwUG&#10;AAAAAAYABgBZAQAAigUAAAAA&#10;">
                      <v:fill on="f" focussize="0,0"/>
                      <v:stroke color="#000000 [3200]" joinstyle="round"/>
                      <v:imagedata o:title=""/>
                      <o:lock v:ext="edit" aspectratio="f"/>
                    </v:line>
                  </w:pict>
                </mc:Fallback>
              </mc:AlternateContent>
            </w:r>
            <w:r>
              <w:rPr>
                <w:rFonts w:ascii="Calibri" w:hAnsi="Calibri" w:cs="Times New Roman"/>
                <w:b w:val="0"/>
                <w:sz w:val="18"/>
                <w:szCs w:val="18"/>
              </w:rPr>
              <w:t>指标</w:t>
            </w:r>
          </w:p>
          <w:p>
            <w:pPr>
              <w:pStyle w:val="85"/>
              <w:spacing w:line="240" w:lineRule="auto"/>
              <w:jc w:val="left"/>
              <w:rPr>
                <w:rFonts w:ascii="Calibri" w:hAnsi="Calibri" w:cs="Times New Roman"/>
                <w:b w:val="0"/>
                <w:sz w:val="18"/>
                <w:szCs w:val="18"/>
              </w:rPr>
            </w:pPr>
            <w:r>
              <w:rPr>
                <w:rFonts w:hint="eastAsia" w:ascii="Calibri" w:hAnsi="Calibri" w:cs="Times New Roman"/>
                <w:b w:val="0"/>
                <w:sz w:val="18"/>
                <w:szCs w:val="18"/>
              </w:rPr>
              <w:t>指标</w:t>
            </w:r>
          </w:p>
        </w:tc>
        <w:tc>
          <w:tcPr>
            <w:tcW w:w="1959"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P1</w:t>
            </w:r>
          </w:p>
        </w:tc>
        <w:tc>
          <w:tcPr>
            <w:tcW w:w="1959"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P2</w:t>
            </w:r>
          </w:p>
        </w:tc>
        <w:tc>
          <w:tcPr>
            <w:tcW w:w="1955"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5" w:type="dxa"/>
          </w:tcPr>
          <w:p>
            <w:pPr>
              <w:pStyle w:val="85"/>
              <w:spacing w:line="240" w:lineRule="auto"/>
              <w:rPr>
                <w:rFonts w:ascii="Calibri" w:hAnsi="Calibri" w:cs="Times New Roman"/>
                <w:b w:val="0"/>
                <w:sz w:val="18"/>
                <w:szCs w:val="18"/>
              </w:rPr>
            </w:pPr>
            <w:r>
              <w:rPr>
                <w:rFonts w:ascii="Calibri" w:hAnsi="Calibri" w:cs="Times New Roman"/>
                <w:b w:val="0"/>
                <w:sz w:val="18"/>
                <w:szCs w:val="18"/>
              </w:rPr>
              <w:t>P1</w:t>
            </w:r>
          </w:p>
        </w:tc>
        <w:tc>
          <w:tcPr>
            <w:tcW w:w="1959"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1</w:t>
            </w:r>
          </w:p>
        </w:tc>
        <w:tc>
          <w:tcPr>
            <w:tcW w:w="1959"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2</w:t>
            </w:r>
          </w:p>
        </w:tc>
        <w:tc>
          <w:tcPr>
            <w:tcW w:w="1955"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5" w:type="dxa"/>
          </w:tcPr>
          <w:p>
            <w:pPr>
              <w:pStyle w:val="85"/>
              <w:spacing w:line="240" w:lineRule="auto"/>
              <w:rPr>
                <w:rFonts w:ascii="Calibri" w:hAnsi="Calibri" w:cs="Times New Roman"/>
                <w:b w:val="0"/>
                <w:sz w:val="18"/>
                <w:szCs w:val="18"/>
              </w:rPr>
            </w:pPr>
            <w:r>
              <w:rPr>
                <w:rFonts w:ascii="Calibri" w:hAnsi="Calibri" w:cs="Times New Roman"/>
                <w:b w:val="0"/>
                <w:sz w:val="18"/>
                <w:szCs w:val="18"/>
              </w:rPr>
              <w:t>P2</w:t>
            </w:r>
          </w:p>
        </w:tc>
        <w:tc>
          <w:tcPr>
            <w:tcW w:w="1959"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1/2</w:t>
            </w:r>
          </w:p>
        </w:tc>
        <w:tc>
          <w:tcPr>
            <w:tcW w:w="1959"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1</w:t>
            </w:r>
          </w:p>
        </w:tc>
        <w:tc>
          <w:tcPr>
            <w:tcW w:w="1955"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5" w:type="dxa"/>
          </w:tcPr>
          <w:p>
            <w:pPr>
              <w:pStyle w:val="85"/>
              <w:spacing w:line="240" w:lineRule="auto"/>
              <w:rPr>
                <w:rFonts w:ascii="Calibri" w:hAnsi="Calibri" w:cs="Times New Roman"/>
                <w:b w:val="0"/>
                <w:sz w:val="18"/>
                <w:szCs w:val="18"/>
              </w:rPr>
            </w:pPr>
            <w:r>
              <w:rPr>
                <w:rFonts w:ascii="Calibri" w:hAnsi="Calibri" w:cs="Times New Roman"/>
                <w:b w:val="0"/>
                <w:sz w:val="18"/>
                <w:szCs w:val="18"/>
              </w:rPr>
              <w:t>P3</w:t>
            </w:r>
          </w:p>
        </w:tc>
        <w:tc>
          <w:tcPr>
            <w:tcW w:w="1959"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1/5</w:t>
            </w:r>
          </w:p>
        </w:tc>
        <w:tc>
          <w:tcPr>
            <w:tcW w:w="1959"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1/2</w:t>
            </w:r>
          </w:p>
        </w:tc>
        <w:tc>
          <w:tcPr>
            <w:tcW w:w="1955" w:type="dxa"/>
            <w:vAlign w:val="center"/>
          </w:tcPr>
          <w:p>
            <w:pPr>
              <w:pStyle w:val="85"/>
              <w:spacing w:line="240" w:lineRule="auto"/>
              <w:rPr>
                <w:rFonts w:ascii="Calibri" w:hAnsi="Calibri" w:cs="Times New Roman"/>
                <w:b w:val="0"/>
                <w:sz w:val="18"/>
                <w:szCs w:val="18"/>
              </w:rPr>
            </w:pPr>
            <w:r>
              <w:rPr>
                <w:rFonts w:ascii="Calibri" w:hAnsi="Calibri" w:cs="Times New Roman"/>
                <w:b w:val="0"/>
                <w:sz w:val="18"/>
                <w:szCs w:val="18"/>
              </w:rPr>
              <w:t>1</w:t>
            </w:r>
          </w:p>
        </w:tc>
      </w:tr>
    </w:tbl>
    <w:p>
      <w:pPr>
        <w:autoSpaceDE w:val="0"/>
        <w:autoSpaceDN w:val="0"/>
        <w:adjustRightInd w:val="0"/>
        <w:snapToGrid w:val="0"/>
        <w:ind w:firstLine="420" w:firstLineChars="200"/>
        <w:jc w:val="left"/>
      </w:pPr>
      <w:r>
        <w:rPr>
          <w:rFonts w:hint="eastAsia"/>
        </w:rPr>
        <w:t>表格表示三个指标之间的相对重要度，可由1</w:t>
      </w:r>
      <w:r>
        <w:t>~9</w:t>
      </w:r>
      <w:r>
        <w:rPr>
          <w:rFonts w:hint="eastAsia"/>
        </w:rPr>
        <w:t>定义9个等级，表示同等重要到极端重要，前者比后者重要程度越高，则等级越高。如P</w:t>
      </w:r>
      <w:r>
        <w:t>1-P3</w:t>
      </w:r>
      <w:r>
        <w:rPr>
          <w:rFonts w:hint="eastAsia"/>
        </w:rPr>
        <w:t>值为</w:t>
      </w:r>
      <w:r>
        <w:t>5</w:t>
      </w:r>
      <w:r>
        <w:rPr>
          <w:rFonts w:hint="eastAsia"/>
        </w:rPr>
        <w:t>，表示P</w:t>
      </w:r>
      <w:r>
        <w:t>1</w:t>
      </w:r>
      <w:r>
        <w:rPr>
          <w:rFonts w:hint="eastAsia"/>
        </w:rPr>
        <w:t>比P</w:t>
      </w:r>
      <w:r>
        <w:t>3</w:t>
      </w:r>
      <w:r>
        <w:rPr>
          <w:rFonts w:hint="eastAsia"/>
        </w:rPr>
        <w:t>明显重要，而P</w:t>
      </w:r>
      <w:r>
        <w:t>1-P1</w:t>
      </w:r>
      <w:r>
        <w:rPr>
          <w:rFonts w:hint="eastAsia"/>
        </w:rPr>
        <w:t>是同一个指标，所以值为1，表示相同重要，当指标顺序调换时，只需用倒数表示重要度即可，如P</w:t>
      </w:r>
      <w:r>
        <w:t>3-P1</w:t>
      </w:r>
      <w:r>
        <w:rPr>
          <w:rFonts w:hint="eastAsia"/>
        </w:rPr>
        <w:t>为1</w:t>
      </w:r>
      <w:r>
        <w:t>/5</w:t>
      </w:r>
      <w:r>
        <w:rPr>
          <w:rFonts w:hint="eastAsia"/>
        </w:rPr>
        <w:t>。之后由</w:t>
      </w:r>
      <m:oMath>
        <m:sSub>
          <m:sSubPr>
            <m:ctrlPr>
              <w:rPr>
                <w:rFonts w:ascii="Cambria Math" w:hAnsi="Cambria Math"/>
              </w:rPr>
            </m:ctrlPr>
          </m:sSubPr>
          <m:e>
            <m:r>
              <m:rPr/>
              <w:rPr>
                <w:rFonts w:ascii="Cambria Math" w:hAnsi="Cambria Math"/>
              </w:rPr>
              <m:t>W</m:t>
            </m:r>
            <m:ctrlPr>
              <w:rPr>
                <w:rFonts w:ascii="Cambria Math" w:hAnsi="Cambria Math"/>
              </w:rPr>
            </m:ctrlPr>
          </m:e>
          <m:sub>
            <m:r>
              <m:rPr/>
              <w:rPr>
                <w:rFonts w:ascii="Cambria Math" w:hAnsi="Cambria Math"/>
              </w:rPr>
              <m:t>i</m:t>
            </m:r>
            <m:r>
              <m:rPr>
                <m:sty m:val="p"/>
              </m:rPr>
              <w:rPr>
                <w:rFonts w:ascii="Cambria Math" w:hAnsi="Cambria Math"/>
              </w:rPr>
              <m:t>,</m:t>
            </m:r>
            <m:r>
              <m:rPr/>
              <w:rPr>
                <w:rFonts w:ascii="Cambria Math" w:hAnsi="Cambria Math"/>
              </w:rPr>
              <m:t>j</m:t>
            </m:r>
            <m:ctrlPr>
              <w:rPr>
                <w:rFonts w:ascii="Cambria Math" w:hAnsi="Cambria Math"/>
              </w:rPr>
            </m:ctrlPr>
          </m:sub>
        </m:sSub>
      </m:oMath>
      <w:r>
        <w:rPr>
          <w:rFonts w:hint="eastAsia"/>
        </w:rPr>
        <w:t>公式可得：</w:t>
      </w:r>
    </w:p>
    <w:p>
      <w:pPr>
        <w:autoSpaceDE w:val="0"/>
        <w:autoSpaceDN w:val="0"/>
        <w:adjustRightInd w:val="0"/>
        <w:snapToGrid w:val="0"/>
        <w:ind w:firstLine="420" w:firstLineChars="200"/>
        <w:jc w:val="left"/>
      </w:pPr>
      <w:r>
        <w:rPr>
          <w:rFonts w:hint="eastAsia"/>
        </w:rPr>
        <w:t>W1=(1+2+5)/(1+2+5+1/2+1+2+1/5+1/2+1)=0.6；</w:t>
      </w:r>
    </w:p>
    <w:p>
      <w:pPr>
        <w:autoSpaceDE w:val="0"/>
        <w:autoSpaceDN w:val="0"/>
        <w:adjustRightInd w:val="0"/>
        <w:snapToGrid w:val="0"/>
        <w:ind w:firstLine="420" w:firstLineChars="200"/>
        <w:jc w:val="left"/>
      </w:pPr>
      <w:r>
        <w:rPr>
          <w:rFonts w:hint="eastAsia"/>
        </w:rPr>
        <w:t>W2=（1/2+1+2）/(1+2+5+1/2+1+2+1/5+1/2+1)=0.26；</w:t>
      </w:r>
    </w:p>
    <w:p>
      <w:pPr>
        <w:autoSpaceDE w:val="0"/>
        <w:autoSpaceDN w:val="0"/>
        <w:adjustRightInd w:val="0"/>
        <w:snapToGrid w:val="0"/>
        <w:ind w:firstLine="420" w:firstLineChars="200"/>
        <w:jc w:val="left"/>
      </w:pPr>
      <w:r>
        <w:rPr>
          <w:rFonts w:hint="eastAsia"/>
        </w:rPr>
        <w:t>W3=（1/5+1/2+1）/(1+2+5+1/2+1+2+1/5+1/2+1)=0.14。</w:t>
      </w:r>
    </w:p>
    <w:p>
      <w:pPr>
        <w:autoSpaceDE w:val="0"/>
        <w:autoSpaceDN w:val="0"/>
        <w:adjustRightInd w:val="0"/>
        <w:snapToGrid w:val="0"/>
        <w:ind w:firstLine="420" w:firstLineChars="200"/>
      </w:pPr>
      <w:r>
        <w:rPr>
          <w:rFonts w:hint="eastAsia"/>
        </w:rPr>
        <w:t>目前关于地下病害体风险评估的研究较多，传统评估模型在这个领域得到了很好的应用，如层次分析法、模糊综合评价法、加权评价法等根据评估指标体系、权重体系来达到评估目的。为针对机大规模、精确度高的目标，机器学习模型因其强大的非线性拟合和特征提取能力而被广泛应用，卷积神经网络（CNN）、人工神经网络（ANN）、支持向量机、随机森林等模型可应用于地下病害体、地面塌陷风险评估领域，该方法可利用评估指标体系和历史事故数据点位训练得到指标权重，从而更科学地确定指标权重，获得风险评估结果。</w:t>
      </w:r>
    </w:p>
    <w:p>
      <w:pPr>
        <w:autoSpaceDE w:val="0"/>
        <w:autoSpaceDN w:val="0"/>
        <w:adjustRightInd w:val="0"/>
        <w:snapToGrid w:val="0"/>
        <w:jc w:val="left"/>
      </w:pPr>
      <w:r>
        <w:rPr>
          <w:rFonts w:hint="eastAsia"/>
        </w:rPr>
        <w:t>8</w:t>
      </w:r>
      <w:r>
        <w:t xml:space="preserve">.3.7  </w:t>
      </w:r>
      <w:r>
        <w:rPr>
          <w:rFonts w:hint="eastAsia"/>
        </w:rPr>
        <w:t>相关风险系数计算如下。</w:t>
      </w:r>
    </w:p>
    <w:p>
      <w:pPr>
        <w:autoSpaceDE w:val="0"/>
        <w:autoSpaceDN w:val="0"/>
        <w:adjustRightInd w:val="0"/>
        <w:snapToGrid w:val="0"/>
        <w:ind w:firstLine="420" w:firstLineChars="200"/>
        <w:jc w:val="left"/>
      </w:pPr>
      <w:r>
        <w:rPr>
          <w:rFonts w:hint="eastAsia"/>
        </w:rPr>
        <w:t>覆跨风险系数应按下式计算：</w:t>
      </w:r>
    </w:p>
    <w:p>
      <w:pPr>
        <w:ind w:firstLine="480"/>
        <w:jc w:val="center"/>
        <w:rPr>
          <w:rFonts w:cstheme="minorBidi"/>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m:oMath>
        <m:r>
          <m:rPr/>
          <w:rPr>
            <w:rFonts w:ascii="Cambria Math" w:hAnsi="Cambria Math" w:cstheme="minorBidi"/>
            <w:color w:val="000000" w:themeColor="text1"/>
            <w14:textFill>
              <w14:solidFill>
                <w14:schemeClr w14:val="tx1"/>
              </w14:solidFill>
            </w14:textFill>
          </w:rPr>
          <m:t>k</m:t>
        </m:r>
        <m:r>
          <m:rPr>
            <m:sty m:val="p"/>
          </m:rPr>
          <w:rPr>
            <w:rFonts w:ascii="Cambria Math" w:hAnsi="Cambria Math" w:cstheme="minorBidi"/>
            <w:color w:val="000000" w:themeColor="text1"/>
            <w14:textFill>
              <w14:solidFill>
                <w14:schemeClr w14:val="tx1"/>
              </w14:solidFill>
            </w14:textFill>
          </w:rPr>
          <m:t>=</m:t>
        </m:r>
        <m:f>
          <m:fPr>
            <m:ctrlPr>
              <w:rPr>
                <w:rFonts w:ascii="Cambria Math" w:hAnsi="Cambria Math" w:cstheme="minorBidi"/>
                <w:bCs/>
                <w:color w:val="000000" w:themeColor="text1"/>
                <w14:textFill>
                  <w14:solidFill>
                    <w14:schemeClr w14:val="tx1"/>
                  </w14:solidFill>
                </w14:textFill>
              </w:rPr>
            </m:ctrlPr>
          </m:fPr>
          <m:num>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eastAsia="MS Gothic" w:cs="MS Gothic"/>
                    <w:color w:val="000000" w:themeColor="text1"/>
                    <w14:textFill>
                      <w14:solidFill>
                        <w14:schemeClr w14:val="tx1"/>
                      </w14:solidFill>
                    </w14:textFill>
                  </w:rPr>
                  <m:t>ℎ</m:t>
                </m:r>
                <m:ctrlPr>
                  <w:rPr>
                    <w:rFonts w:ascii="Cambria Math" w:hAnsi="Cambria Math" w:cstheme="minorBidi"/>
                    <w:bCs/>
                    <w:color w:val="000000" w:themeColor="text1"/>
                    <w14:textFill>
                      <w14:solidFill>
                        <w14:schemeClr w14:val="tx1"/>
                      </w14:solidFill>
                    </w14:textFill>
                  </w:rPr>
                </m:ctrlPr>
              </m:e>
              <m:sub>
                <m:r>
                  <m:rPr>
                    <m:sty m:val="p"/>
                  </m:rPr>
                  <w:rPr>
                    <w:rFonts w:ascii="Cambria Math" w:hAnsi="Cambria Math" w:cstheme="minorBidi"/>
                    <w:color w:val="000000" w:themeColor="text1"/>
                    <w14:textFill>
                      <w14:solidFill>
                        <w14:schemeClr w14:val="tx1"/>
                      </w14:solidFill>
                    </w14:textFill>
                  </w:rPr>
                  <m:t>0</m:t>
                </m:r>
                <m:ctrlPr>
                  <w:rPr>
                    <w:rFonts w:ascii="Cambria Math" w:hAnsi="Cambria Math" w:cstheme="minorBidi"/>
                    <w:bCs/>
                    <w:color w:val="000000" w:themeColor="text1"/>
                    <w14:textFill>
                      <w14:solidFill>
                        <w14:schemeClr w14:val="tx1"/>
                      </w14:solidFill>
                    </w14:textFill>
                  </w:rPr>
                </m:ctrlPr>
              </m:sub>
            </m:sSub>
            <m:ctrlPr>
              <w:rPr>
                <w:rFonts w:ascii="Cambria Math" w:hAnsi="Cambria Math" w:cstheme="minorBidi"/>
                <w:bCs/>
                <w:color w:val="000000" w:themeColor="text1"/>
                <w14:textFill>
                  <w14:solidFill>
                    <w14:schemeClr w14:val="tx1"/>
                  </w14:solidFill>
                </w14:textFill>
              </w:rPr>
            </m:ctrlPr>
          </m:num>
          <m:den>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L</m:t>
                </m:r>
                <m:ctrlPr>
                  <w:rPr>
                    <w:rFonts w:ascii="Cambria Math" w:hAnsi="Cambria Math" w:cstheme="minorBidi"/>
                    <w:b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max</m:t>
                </m:r>
                <m:ctrlPr>
                  <w:rPr>
                    <w:rFonts w:ascii="Cambria Math" w:hAnsi="Cambria Math" w:cstheme="minorBidi"/>
                    <w:bCs/>
                    <w:color w:val="000000" w:themeColor="text1"/>
                    <w14:textFill>
                      <w14:solidFill>
                        <w14:schemeClr w14:val="tx1"/>
                      </w14:solidFill>
                    </w14:textFill>
                  </w:rPr>
                </m:ctrlPr>
              </m:sub>
            </m:sSub>
            <m:ctrlPr>
              <w:rPr>
                <w:rFonts w:ascii="Cambria Math" w:hAnsi="Cambria Math" w:cstheme="minorBidi"/>
                <w:bCs/>
                <w:color w:val="000000" w:themeColor="text1"/>
                <w14:textFill>
                  <w14:solidFill>
                    <w14:schemeClr w14:val="tx1"/>
                  </w14:solidFill>
                </w14:textFill>
              </w:rPr>
            </m:ctrlPr>
          </m:den>
        </m:f>
      </m:oMath>
      <w:r>
        <w:rPr>
          <w:color w:val="000000" w:themeColor="text1"/>
          <w14:textFill>
            <w14:solidFill>
              <w14:schemeClr w14:val="tx1"/>
            </w14:solidFill>
          </w14:textFill>
        </w:rPr>
        <w:t xml:space="preserve">                              </w:t>
      </w:r>
      <w:r>
        <w:rPr>
          <w:rFonts w:hint="eastAsia"/>
        </w:rPr>
        <w:t>（</w:t>
      </w:r>
      <w:r>
        <w:t>8-3</w:t>
      </w:r>
      <w:r>
        <w:rPr>
          <w:rFonts w:hint="eastAsia"/>
        </w:rPr>
        <w:t>）</w:t>
      </w:r>
    </w:p>
    <w:p>
      <w:pPr>
        <w:ind w:firstLine="420"/>
        <w:jc w:val="right"/>
        <w:rPr>
          <w:rFonts w:cstheme="minorBidi"/>
          <w:bCs/>
          <w:color w:val="000000" w:themeColor="text1"/>
          <w14:textFill>
            <w14:solidFill>
              <w14:schemeClr w14:val="tx1"/>
            </w14:solidFill>
          </w14:textFill>
        </w:rPr>
      </w:pPr>
      <w:r>
        <w:rPr>
          <w:rFonts w:hint="eastAsia" w:cstheme="minorBidi"/>
          <w:bCs/>
          <w:color w:val="000000" w:themeColor="text1"/>
          <w14:textFill>
            <w14:solidFill>
              <w14:schemeClr w14:val="tx1"/>
            </w14:solidFill>
          </w14:textFill>
        </w:rPr>
        <w:t xml:space="preserve"> </w:t>
      </w:r>
      <w:r>
        <w:rPr>
          <w:rFonts w:cstheme="minorBidi"/>
          <w:bCs/>
          <w:color w:val="000000" w:themeColor="text1"/>
          <w14:textFill>
            <w14:solidFill>
              <w14:schemeClr w14:val="tx1"/>
            </w14:solidFill>
          </w14:textFill>
        </w:rPr>
        <w:t xml:space="preserve">    </w:t>
      </w:r>
      <m:oMath>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K</m:t>
            </m:r>
            <m:ctrlPr>
              <w:rPr>
                <w:rFonts w:ascii="Cambria Math" w:hAnsi="Cambria Math" w:cstheme="minorBidi"/>
                <w:b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max</m:t>
            </m:r>
            <m:ctrlPr>
              <w:rPr>
                <w:rFonts w:ascii="Cambria Math" w:hAnsi="Cambria Math" w:cstheme="minorBidi"/>
                <w:bCs/>
                <w:color w:val="000000" w:themeColor="text1"/>
                <w14:textFill>
                  <w14:solidFill>
                    <w14:schemeClr w14:val="tx1"/>
                  </w14:solidFill>
                </w14:textFill>
              </w:rPr>
            </m:ctrlPr>
          </m:sub>
        </m:sSub>
        <m:r>
          <m:rPr>
            <m:sty m:val="p"/>
          </m:rPr>
          <w:rPr>
            <w:rFonts w:ascii="Cambria Math" w:hAnsi="Cambria Math" w:cstheme="minorBidi"/>
            <w:color w:val="000000" w:themeColor="text1"/>
            <w14:textFill>
              <w14:solidFill>
                <w14:schemeClr w14:val="tx1"/>
              </w14:solidFill>
            </w14:textFill>
          </w:rPr>
          <m:t>=</m:t>
        </m:r>
        <m:func>
          <m:funcPr>
            <m:ctrlPr>
              <w:rPr>
                <w:rFonts w:ascii="Cambria Math" w:hAnsi="Cambria Math" w:cstheme="minorBidi"/>
                <w:bCs/>
                <w:color w:val="000000" w:themeColor="text1"/>
                <w14:textFill>
                  <w14:solidFill>
                    <w14:schemeClr w14:val="tx1"/>
                  </w14:solidFill>
                </w14:textFill>
              </w:rPr>
            </m:ctrlPr>
          </m:funcPr>
          <m:fName>
            <m:r>
              <m:rPr>
                <m:sty m:val="p"/>
              </m:rPr>
              <w:rPr>
                <w:rFonts w:ascii="Cambria Math" w:hAnsi="Cambria Math" w:cstheme="minorBidi"/>
                <w:color w:val="000000" w:themeColor="text1"/>
                <w14:textFill>
                  <w14:solidFill>
                    <w14:schemeClr w14:val="tx1"/>
                  </w14:solidFill>
                </w14:textFill>
              </w:rPr>
              <m:t>max</m:t>
            </m:r>
            <m:ctrlPr>
              <w:rPr>
                <w:rFonts w:ascii="Cambria Math" w:hAnsi="Cambria Math" w:cstheme="minorBidi"/>
                <w:bCs/>
                <w:color w:val="000000" w:themeColor="text1"/>
                <w14:textFill>
                  <w14:solidFill>
                    <w14:schemeClr w14:val="tx1"/>
                  </w14:solidFill>
                </w14:textFill>
              </w:rPr>
            </m:ctrlPr>
          </m:fName>
          <m:e>
            <m:d>
              <m:dPr>
                <m:ctrlPr>
                  <w:rPr>
                    <w:rFonts w:ascii="Cambria Math" w:hAnsi="Cambria Math" w:cstheme="minorBidi"/>
                    <w:bCs/>
                    <w:color w:val="000000" w:themeColor="text1"/>
                    <w14:textFill>
                      <w14:solidFill>
                        <w14:schemeClr w14:val="tx1"/>
                      </w14:solidFill>
                    </w14:textFill>
                  </w:rPr>
                </m:ctrlPr>
              </m:dPr>
              <m:e>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k</m:t>
                    </m:r>
                    <m:ctrlPr>
                      <w:rPr>
                        <w:rFonts w:ascii="Cambria Math" w:hAnsi="Cambria Math" w:cstheme="minorBidi"/>
                        <w:b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i</m:t>
                    </m:r>
                    <m:ctrlPr>
                      <w:rPr>
                        <w:rFonts w:ascii="Cambria Math" w:hAnsi="Cambria Math" w:cstheme="minorBidi"/>
                        <w:bCs/>
                        <w:color w:val="000000" w:themeColor="text1"/>
                        <w14:textFill>
                          <w14:solidFill>
                            <w14:schemeClr w14:val="tx1"/>
                          </w14:solidFill>
                        </w14:textFill>
                      </w:rPr>
                    </m:ctrlPr>
                  </m:sub>
                </m:sSub>
                <m:ctrlPr>
                  <w:rPr>
                    <w:rFonts w:ascii="Cambria Math" w:hAnsi="Cambria Math" w:cstheme="minorBidi"/>
                    <w:bCs/>
                    <w:color w:val="000000" w:themeColor="text1"/>
                    <w14:textFill>
                      <w14:solidFill>
                        <w14:schemeClr w14:val="tx1"/>
                      </w14:solidFill>
                    </w14:textFill>
                  </w:rPr>
                </m:ctrlPr>
              </m:e>
            </m:d>
            <m:ctrlPr>
              <w:rPr>
                <w:rFonts w:ascii="Cambria Math" w:hAnsi="Cambria Math" w:cstheme="minorBidi"/>
                <w:bCs/>
                <w:color w:val="000000" w:themeColor="text1"/>
                <w14:textFill>
                  <w14:solidFill>
                    <w14:schemeClr w14:val="tx1"/>
                  </w14:solidFill>
                </w14:textFill>
              </w:rPr>
            </m:ctrlPr>
          </m:e>
        </m:func>
        <m:r>
          <m:rPr>
            <m:sty m:val="p"/>
          </m:rPr>
          <w:rPr>
            <w:rFonts w:ascii="Cambria Math" w:hAnsi="Cambria Math" w:cstheme="minorBidi"/>
            <w:color w:val="000000" w:themeColor="text1"/>
            <w14:textFill>
              <w14:solidFill>
                <w14:schemeClr w14:val="tx1"/>
              </w14:solidFill>
            </w14:textFill>
          </w:rPr>
          <m:t>1</m:t>
        </m:r>
        <m:r>
          <m:rPr>
            <m:sty m:val="p"/>
          </m:rPr>
          <w:rPr>
            <w:rFonts w:hint="eastAsia" w:ascii="Cambria Math" w:hAnsi="Cambria Math" w:cstheme="minorBidi"/>
            <w:color w:val="000000" w:themeColor="text1"/>
            <w14:textFill>
              <w14:solidFill>
                <w14:schemeClr w14:val="tx1"/>
              </w14:solidFill>
            </w14:textFill>
          </w:rPr>
          <m:t>≤</m:t>
        </m:r>
        <m:r>
          <m:rPr/>
          <w:rPr>
            <w:rFonts w:ascii="Cambria Math" w:hAnsi="Cambria Math" w:cstheme="minorBidi"/>
            <w:color w:val="000000" w:themeColor="text1"/>
            <w14:textFill>
              <w14:solidFill>
                <w14:schemeClr w14:val="tx1"/>
              </w14:solidFill>
            </w14:textFill>
          </w:rPr>
          <m:t>i</m:t>
        </m:r>
        <m:r>
          <m:rPr>
            <m:sty m:val="p"/>
          </m:rPr>
          <w:rPr>
            <w:rFonts w:hint="eastAsia" w:ascii="Cambria Math" w:hAnsi="Cambria Math" w:cstheme="minorBidi"/>
            <w:color w:val="000000" w:themeColor="text1"/>
            <w14:textFill>
              <w14:solidFill>
                <w14:schemeClr w14:val="tx1"/>
              </w14:solidFill>
            </w14:textFill>
          </w:rPr>
          <m:t>≤</m:t>
        </m:r>
        <m:r>
          <m:rPr/>
          <w:rPr>
            <w:rFonts w:ascii="Cambria Math" w:hAnsi="Cambria Math" w:cstheme="minorBidi"/>
            <w:color w:val="000000" w:themeColor="text1"/>
            <w14:textFill>
              <w14:solidFill>
                <w14:schemeClr w14:val="tx1"/>
              </w14:solidFill>
            </w14:textFill>
          </w:rPr>
          <m:t>n</m:t>
        </m:r>
      </m:oMath>
      <w:r>
        <w:rPr>
          <w:color w:val="000000" w:themeColor="text1"/>
          <w14:textFill>
            <w14:solidFill>
              <w14:schemeClr w14:val="tx1"/>
            </w14:solidFill>
          </w14:textFill>
        </w:rPr>
        <w:t xml:space="preserve">                  </w:t>
      </w:r>
      <w:r>
        <w:rPr>
          <w:rFonts w:hint="eastAsia"/>
        </w:rPr>
        <w:t>（</w:t>
      </w:r>
      <w:r>
        <w:t>8-4</w:t>
      </w:r>
      <w:r>
        <w:rPr>
          <w:rFonts w:hint="eastAsia"/>
        </w:rPr>
        <w:t>）</w:t>
      </w:r>
    </w:p>
    <w:p>
      <w:pPr>
        <w:rPr>
          <w:rFonts w:cstheme="minorBidi"/>
          <w:bCs/>
          <w:color w:val="000000" w:themeColor="text1"/>
          <w14:textFill>
            <w14:solidFill>
              <w14:schemeClr w14:val="tx1"/>
            </w14:solidFill>
          </w14:textFill>
        </w:rPr>
      </w:pPr>
      <w:r>
        <w:rPr>
          <w:rFonts w:hint="eastAsia"/>
          <w:color w:val="000000" w:themeColor="text1"/>
          <w14:textFill>
            <w14:solidFill>
              <w14:schemeClr w14:val="tx1"/>
            </w14:solidFill>
          </w14:textFill>
        </w:rPr>
        <w:t>式中：</w:t>
      </w:r>
      <m:oMath>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ℎ</m:t>
            </m:r>
            <m:ctrlPr>
              <w:rPr>
                <w:rFonts w:ascii="Cambria Math" w:hAnsi="Cambria Math" w:cstheme="minorBidi"/>
                <w:bCs/>
                <w:color w:val="000000" w:themeColor="text1"/>
                <w14:textFill>
                  <w14:solidFill>
                    <w14:schemeClr w14:val="tx1"/>
                  </w14:solidFill>
                </w14:textFill>
              </w:rPr>
            </m:ctrlPr>
          </m:e>
          <m:sub>
            <m:r>
              <m:rPr>
                <m:sty m:val="p"/>
              </m:rPr>
              <w:rPr>
                <w:rFonts w:ascii="Cambria Math" w:hAnsi="Cambria Math" w:cstheme="minorBidi"/>
                <w:color w:val="000000" w:themeColor="text1"/>
                <w14:textFill>
                  <w14:solidFill>
                    <w14:schemeClr w14:val="tx1"/>
                  </w14:solidFill>
                </w14:textFill>
              </w:rPr>
              <m:t>0</m:t>
            </m:r>
            <m:ctrlPr>
              <w:rPr>
                <w:rFonts w:ascii="Cambria Math" w:hAnsi="Cambria Math" w:cstheme="minorBidi"/>
                <w:bCs/>
                <w:color w:val="000000" w:themeColor="text1"/>
                <w14:textFill>
                  <w14:solidFill>
                    <w14:schemeClr w14:val="tx1"/>
                  </w14:solidFill>
                </w14:textFill>
              </w:rPr>
            </m:ctrlPr>
          </m:sub>
        </m:sSub>
      </m:oMath>
      <w:r>
        <w:rPr>
          <w:rFonts w:cstheme="minorBidi"/>
          <w:bCs/>
          <w:color w:val="000000" w:themeColor="text1"/>
          <w14:textFill>
            <w14:solidFill>
              <w14:schemeClr w14:val="tx1"/>
            </w14:solidFill>
          </w14:textFill>
        </w:rPr>
        <w:t>—</w:t>
      </w:r>
      <w:r>
        <w:rPr>
          <w:rFonts w:hint="eastAsia" w:cstheme="minorBidi"/>
          <w:bCs/>
          <w:color w:val="000000" w:themeColor="text1"/>
          <w14:textFill>
            <w14:solidFill>
              <w14:schemeClr w14:val="tx1"/>
            </w14:solidFill>
          </w14:textFill>
        </w:rPr>
        <w:t>病害体上覆介质厚度；</w:t>
      </w:r>
    </w:p>
    <w:p>
      <w:pPr>
        <w:ind w:firstLine="630" w:firstLineChars="300"/>
        <w:rPr>
          <w:rFonts w:cstheme="minorBidi"/>
          <w:bCs/>
          <w:color w:val="000000" w:themeColor="text1"/>
          <w14:textFill>
            <w14:solidFill>
              <w14:schemeClr w14:val="tx1"/>
            </w14:solidFill>
          </w14:textFill>
        </w:rPr>
      </w:pPr>
      <m:oMath>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L</m:t>
            </m:r>
            <m:ctrlPr>
              <w:rPr>
                <w:rFonts w:ascii="Cambria Math" w:hAnsi="Cambria Math" w:cstheme="minorBidi"/>
                <w:b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max</m:t>
            </m:r>
            <m:ctrlPr>
              <w:rPr>
                <w:rFonts w:ascii="Cambria Math" w:hAnsi="Cambria Math" w:cstheme="minorBidi"/>
                <w:bCs/>
                <w:color w:val="000000" w:themeColor="text1"/>
                <w14:textFill>
                  <w14:solidFill>
                    <w14:schemeClr w14:val="tx1"/>
                  </w14:solidFill>
                </w14:textFill>
              </w:rPr>
            </m:ctrlPr>
          </m:sub>
        </m:sSub>
      </m:oMath>
      <w:r>
        <w:rPr>
          <w:rFonts w:cstheme="minorBidi"/>
          <w:bCs/>
          <w:color w:val="000000" w:themeColor="text1"/>
          <w14:textFill>
            <w14:solidFill>
              <w14:schemeClr w14:val="tx1"/>
            </w14:solidFill>
          </w14:textFill>
        </w:rPr>
        <w:t>—</w:t>
      </w:r>
      <w:r>
        <w:rPr>
          <w:rFonts w:hint="eastAsia" w:cstheme="minorBidi"/>
          <w:bCs/>
          <w:color w:val="000000" w:themeColor="text1"/>
          <w14:textFill>
            <w14:solidFill>
              <w14:schemeClr w14:val="tx1"/>
            </w14:solidFill>
          </w14:textFill>
        </w:rPr>
        <w:t>病害体水平最大长度。</w:t>
      </w:r>
    </w:p>
    <w:p>
      <w:pPr>
        <w:pStyle w:val="70"/>
        <w:tabs>
          <w:tab w:val="clear" w:pos="720"/>
        </w:tabs>
        <w:rPr>
          <w:rFonts w:cstheme="minorBidi"/>
          <w:bCs/>
          <w:color w:val="000000" w:themeColor="text1"/>
          <w14:textFill>
            <w14:solidFill>
              <w14:schemeClr w14:val="tx1"/>
            </w14:solidFill>
          </w14:textFill>
        </w:rPr>
      </w:pPr>
      <w:r>
        <w:rPr>
          <w:rFonts w:hint="eastAsia" w:cstheme="minorBidi"/>
          <w:bCs/>
          <w:color w:val="000000" w:themeColor="text1"/>
          <w14:textFill>
            <w14:solidFill>
              <w14:schemeClr w14:val="tx1"/>
            </w14:solidFill>
          </w14:textFill>
        </w:rPr>
        <w:t>潜在风险系数应按下式计算：</w:t>
      </w:r>
    </w:p>
    <w:p>
      <w:pPr>
        <w:ind w:firstLine="482"/>
        <w:jc w:val="right"/>
        <w:rPr>
          <w:rFonts w:cstheme="minorBidi"/>
          <w:bCs/>
          <w:color w:val="000000" w:themeColor="text1"/>
          <w14:textFill>
            <w14:solidFill>
              <w14:schemeClr w14:val="tx1"/>
            </w14:solidFill>
          </w14:textFill>
        </w:rPr>
      </w:pPr>
      <m:oMath>
        <m:r>
          <m:rPr/>
          <w:rPr>
            <w:rFonts w:ascii="Cambria Math" w:hAnsi="Cambria Math" w:cstheme="minorBidi"/>
            <w:color w:val="000000" w:themeColor="text1"/>
            <w14:textFill>
              <w14:solidFill>
                <w14:schemeClr w14:val="tx1"/>
              </w14:solidFill>
            </w14:textFill>
          </w:rPr>
          <m:t>X</m:t>
        </m:r>
        <m:r>
          <m:rPr>
            <m:sty m:val="p"/>
          </m:rPr>
          <w:rPr>
            <w:rFonts w:ascii="Cambria Math" w:hAnsi="Cambria Math" w:cstheme="minorBidi"/>
            <w:color w:val="000000" w:themeColor="text1"/>
            <w14:textFill>
              <w14:solidFill>
                <w14:schemeClr w14:val="tx1"/>
              </w14:solidFill>
            </w14:textFill>
          </w:rPr>
          <m:t>=</m:t>
        </m:r>
        <m:nary>
          <m:naryPr>
            <m:chr m:val="∑"/>
            <m:limLoc m:val="subSup"/>
            <m:ctrlPr>
              <w:rPr>
                <w:rFonts w:ascii="Cambria Math" w:hAnsi="Cambria Math" w:cstheme="minorBidi"/>
                <w:bCs/>
                <w:color w:val="000000" w:themeColor="text1"/>
                <w14:textFill>
                  <w14:solidFill>
                    <w14:schemeClr w14:val="tx1"/>
                  </w14:solidFill>
                </w14:textFill>
              </w:rPr>
            </m:ctrlPr>
          </m:naryPr>
          <m:sub>
            <m:r>
              <m:rPr/>
              <w:rPr>
                <w:rFonts w:ascii="Cambria Math" w:hAnsi="Cambria Math" w:cstheme="minorBidi"/>
                <w:color w:val="000000" w:themeColor="text1"/>
                <w14:textFill>
                  <w14:solidFill>
                    <w14:schemeClr w14:val="tx1"/>
                  </w14:solidFill>
                </w14:textFill>
              </w:rPr>
              <m:t>i</m:t>
            </m:r>
            <m:r>
              <m:rPr>
                <m:sty m:val="p"/>
              </m:rPr>
              <w:rPr>
                <w:rFonts w:ascii="Cambria Math" w:hAnsi="Cambria Math" w:cstheme="minorBidi"/>
                <w:color w:val="000000" w:themeColor="text1"/>
                <w14:textFill>
                  <w14:solidFill>
                    <w14:schemeClr w14:val="tx1"/>
                  </w14:solidFill>
                </w14:textFill>
              </w:rPr>
              <m:t>=1</m:t>
            </m:r>
            <m:ctrlPr>
              <w:rPr>
                <w:rFonts w:ascii="Cambria Math" w:hAnsi="Cambria Math" w:cstheme="minorBidi"/>
                <w:bCs/>
                <w:color w:val="000000" w:themeColor="text1"/>
                <w14:textFill>
                  <w14:solidFill>
                    <w14:schemeClr w14:val="tx1"/>
                  </w14:solidFill>
                </w14:textFill>
              </w:rPr>
            </m:ctrlPr>
          </m:sub>
          <m:sup>
            <m:r>
              <m:rPr/>
              <w:rPr>
                <w:rFonts w:ascii="Cambria Math" w:hAnsi="Cambria Math" w:cstheme="minorBidi"/>
                <w:color w:val="000000" w:themeColor="text1"/>
                <w14:textFill>
                  <w14:solidFill>
                    <w14:schemeClr w14:val="tx1"/>
                  </w14:solidFill>
                </w14:textFill>
              </w:rPr>
              <m:t>n</m:t>
            </m:r>
            <m:ctrlPr>
              <w:rPr>
                <w:rFonts w:ascii="Cambria Math" w:hAnsi="Cambria Math" w:cstheme="minorBidi"/>
                <w:bCs/>
                <w:color w:val="000000" w:themeColor="text1"/>
                <w14:textFill>
                  <w14:solidFill>
                    <w14:schemeClr w14:val="tx1"/>
                  </w14:solidFill>
                </w14:textFill>
              </w:rPr>
            </m:ctrlPr>
          </m:sup>
          <m:e>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q</m:t>
                </m:r>
                <m:ctrlPr>
                  <w:rPr>
                    <w:rFonts w:ascii="Cambria Math" w:hAnsi="Cambria Math" w:cstheme="minorBidi"/>
                    <w:b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i</m:t>
                </m:r>
                <m:ctrlPr>
                  <w:rPr>
                    <w:rFonts w:ascii="Cambria Math" w:hAnsi="Cambria Math" w:cstheme="minorBidi"/>
                    <w:bCs/>
                    <w:color w:val="000000" w:themeColor="text1"/>
                    <w14:textFill>
                      <w14:solidFill>
                        <w14:schemeClr w14:val="tx1"/>
                      </w14:solidFill>
                    </w14:textFill>
                  </w:rPr>
                </m:ctrlPr>
              </m:sub>
            </m:sSub>
            <m:ctrlPr>
              <w:rPr>
                <w:rFonts w:ascii="Cambria Math" w:hAnsi="Cambria Math" w:cstheme="minorBidi"/>
                <w:bCs/>
                <w:color w:val="000000" w:themeColor="text1"/>
                <w14:textFill>
                  <w14:solidFill>
                    <w14:schemeClr w14:val="tx1"/>
                  </w14:solidFill>
                </w14:textFill>
              </w:rPr>
            </m:ctrlPr>
          </m:e>
        </m:nary>
      </m:oMath>
      <w:r>
        <w:rPr>
          <w:color w:val="000000" w:themeColor="text1"/>
          <w14:textFill>
            <w14:solidFill>
              <w14:schemeClr w14:val="tx1"/>
            </w14:solidFill>
          </w14:textFill>
        </w:rPr>
        <w:t xml:space="preserve">                           </w:t>
      </w:r>
      <w:r>
        <w:rPr>
          <w:rFonts w:hint="eastAsia"/>
        </w:rPr>
        <w:t>（</w:t>
      </w:r>
      <w:r>
        <w:t>8-5</w:t>
      </w:r>
      <w:r>
        <w:rPr>
          <w:rFonts w:hint="eastAsia"/>
        </w:rPr>
        <w:t>）</w:t>
      </w:r>
    </w:p>
    <w:p>
      <w:pPr>
        <w:pStyle w:val="70"/>
        <w:ind w:firstLine="0" w:firstLineChars="0"/>
        <w:rPr>
          <w:rFonts w:cstheme="minorBidi"/>
          <w:bCs/>
          <w:color w:val="000000" w:themeColor="text1"/>
          <w14:textFill>
            <w14:solidFill>
              <w14:schemeClr w14:val="tx1"/>
            </w14:solidFill>
          </w14:textFill>
        </w:rPr>
      </w:pPr>
      <w:bookmarkStart w:id="130" w:name="_Hlk148371129"/>
      <w:r>
        <w:rPr>
          <w:rFonts w:hint="eastAsia" w:cstheme="minorBidi"/>
          <w:bCs/>
          <w:color w:val="000000" w:themeColor="text1"/>
          <w14:textFill>
            <w14:solidFill>
              <w14:schemeClr w14:val="tx1"/>
            </w14:solidFill>
          </w14:textFill>
        </w:rPr>
        <w:t>式中：</w:t>
      </w:r>
      <m:oMath>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q</m:t>
            </m:r>
            <m:ctrlPr>
              <w:rPr>
                <w:rFonts w:ascii="Cambria Math" w:hAnsi="Cambria Math" w:cstheme="minorBidi"/>
                <w:bCs/>
                <w:color w:val="000000" w:themeColor="text1"/>
                <w14:textFill>
                  <w14:solidFill>
                    <w14:schemeClr w14:val="tx1"/>
                  </w14:solidFill>
                </w14:textFill>
              </w:rPr>
            </m:ctrlPr>
          </m:e>
          <m:sub>
            <m:r>
              <m:rPr/>
              <w:rPr>
                <w:rFonts w:ascii="Cambria Math" w:hAnsi="Cambria Math" w:cstheme="minorBidi"/>
                <w:color w:val="000000" w:themeColor="text1"/>
                <w14:textFill>
                  <w14:solidFill>
                    <w14:schemeClr w14:val="tx1"/>
                  </w14:solidFill>
                </w14:textFill>
              </w:rPr>
              <m:t>i</m:t>
            </m:r>
            <m:ctrlPr>
              <w:rPr>
                <w:rFonts w:ascii="Cambria Math" w:hAnsi="Cambria Math" w:cstheme="minorBidi"/>
                <w:bCs/>
                <w:color w:val="000000" w:themeColor="text1"/>
                <w14:textFill>
                  <w14:solidFill>
                    <w14:schemeClr w14:val="tx1"/>
                  </w14:solidFill>
                </w14:textFill>
              </w:rPr>
            </m:ctrlPr>
          </m:sub>
        </m:sSub>
      </m:oMath>
      <w:r>
        <w:rPr>
          <w:rFonts w:hint="eastAsia" w:cstheme="minorBidi"/>
          <w:color w:val="000000" w:themeColor="text1"/>
          <w14:textFill>
            <w14:solidFill>
              <w14:schemeClr w14:val="tx1"/>
            </w14:solidFill>
          </w14:textFill>
        </w:rPr>
        <w:t>—第i个地下病害体潜在风险系数，应按下式计算：</w:t>
      </w:r>
    </w:p>
    <w:bookmarkEnd w:id="130"/>
    <w:p>
      <w:pPr>
        <w:ind w:firstLine="482"/>
        <w:jc w:val="right"/>
        <w:rPr>
          <w:rFonts w:cstheme="minorBidi"/>
          <w:bCs/>
          <w:color w:val="000000" w:themeColor="text1"/>
          <w14:textFill>
            <w14:solidFill>
              <w14:schemeClr w14:val="tx1"/>
            </w14:solidFill>
          </w14:textFill>
        </w:rPr>
      </w:pPr>
      <m:oMath>
        <m:r>
          <m:rPr/>
          <w:rPr>
            <w:rFonts w:ascii="Cambria Math" w:hAnsi="Cambria Math" w:cstheme="minorBidi"/>
            <w:color w:val="000000" w:themeColor="text1"/>
            <w14:textFill>
              <w14:solidFill>
                <w14:schemeClr w14:val="tx1"/>
              </w14:solidFill>
            </w14:textFill>
          </w:rPr>
          <m:t>q</m:t>
        </m:r>
        <m:r>
          <m:rPr>
            <m:sty m:val="p"/>
          </m:rPr>
          <w:rPr>
            <w:rFonts w:ascii="Cambria Math" w:hAnsi="Cambria Math" w:cstheme="minorBidi"/>
            <w:color w:val="000000" w:themeColor="text1"/>
            <w14:textFill>
              <w14:solidFill>
                <w14:schemeClr w14:val="tx1"/>
              </w14:solidFill>
            </w14:textFill>
          </w:rPr>
          <m:t>=</m:t>
        </m:r>
        <m:f>
          <m:fPr>
            <m:ctrlPr>
              <w:rPr>
                <w:rFonts w:ascii="Cambria Math" w:hAnsi="Cambria Math" w:cstheme="minorBidi"/>
                <w:bCs/>
                <w:color w:val="000000" w:themeColor="text1"/>
                <w14:textFill>
                  <w14:solidFill>
                    <w14:schemeClr w14:val="tx1"/>
                  </w14:solidFill>
                </w14:textFill>
              </w:rPr>
            </m:ctrlPr>
          </m:fPr>
          <m:num>
            <m:r>
              <m:rPr/>
              <w:rPr>
                <w:rFonts w:ascii="Cambria Math" w:hAnsi="Cambria Math" w:cstheme="minorBidi"/>
                <w:color w:val="000000" w:themeColor="text1"/>
                <w14:textFill>
                  <w14:solidFill>
                    <w14:schemeClr w14:val="tx1"/>
                  </w14:solidFill>
                </w14:textFill>
              </w:rPr>
              <m:t>d</m:t>
            </m:r>
            <m:r>
              <m:rPr>
                <m:sty m:val="p"/>
              </m:rPr>
              <w:rPr>
                <w:rFonts w:ascii="Cambria Math" w:hAnsi="Cambria Math" w:cstheme="minorBidi"/>
                <w:color w:val="000000" w:themeColor="text1"/>
                <w14:textFill>
                  <w14:solidFill>
                    <w14:schemeClr w14:val="tx1"/>
                  </w14:solidFill>
                </w14:textFill>
              </w:rPr>
              <m:t>*</m:t>
            </m:r>
            <m:r>
              <m:rPr/>
              <w:rPr>
                <w:rFonts w:ascii="Cambria Math" w:hAnsi="Cambria Math" w:cstheme="minorBidi"/>
                <w:color w:val="000000" w:themeColor="text1"/>
                <w14:textFill>
                  <w14:solidFill>
                    <w14:schemeClr w14:val="tx1"/>
                  </w14:solidFill>
                </w14:textFill>
              </w:rPr>
              <m:t>A</m:t>
            </m:r>
            <m:ctrlPr>
              <w:rPr>
                <w:rFonts w:ascii="Cambria Math" w:hAnsi="Cambria Math" w:cstheme="minorBidi"/>
                <w:bCs/>
                <w:color w:val="000000" w:themeColor="text1"/>
                <w14:textFill>
                  <w14:solidFill>
                    <w14:schemeClr w14:val="tx1"/>
                  </w14:solidFill>
                </w14:textFill>
              </w:rPr>
            </m:ctrlPr>
          </m:num>
          <m:den>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eastAsia="MS Gothic" w:cs="MS Gothic"/>
                    <w:color w:val="000000" w:themeColor="text1"/>
                    <w14:textFill>
                      <w14:solidFill>
                        <w14:schemeClr w14:val="tx1"/>
                      </w14:solidFill>
                    </w14:textFill>
                  </w:rPr>
                  <m:t>ℎ</m:t>
                </m:r>
                <m:ctrlPr>
                  <w:rPr>
                    <w:rFonts w:ascii="Cambria Math" w:hAnsi="Cambria Math" w:cstheme="minorBidi"/>
                    <w:bCs/>
                    <w:color w:val="000000" w:themeColor="text1"/>
                    <w14:textFill>
                      <w14:solidFill>
                        <w14:schemeClr w14:val="tx1"/>
                      </w14:solidFill>
                    </w14:textFill>
                  </w:rPr>
                </m:ctrlPr>
              </m:e>
              <m:sub>
                <m:r>
                  <m:rPr>
                    <m:sty m:val="p"/>
                  </m:rPr>
                  <w:rPr>
                    <w:rFonts w:ascii="Cambria Math" w:hAnsi="Cambria Math" w:cstheme="minorBidi"/>
                    <w:color w:val="000000" w:themeColor="text1"/>
                    <w14:textFill>
                      <w14:solidFill>
                        <w14:schemeClr w14:val="tx1"/>
                      </w14:solidFill>
                    </w14:textFill>
                  </w:rPr>
                  <m:t>0</m:t>
                </m:r>
                <m:ctrlPr>
                  <w:rPr>
                    <w:rFonts w:ascii="Cambria Math" w:hAnsi="Cambria Math" w:cstheme="minorBidi"/>
                    <w:bCs/>
                    <w:color w:val="000000" w:themeColor="text1"/>
                    <w14:textFill>
                      <w14:solidFill>
                        <w14:schemeClr w14:val="tx1"/>
                      </w14:solidFill>
                    </w14:textFill>
                  </w:rPr>
                </m:ctrlPr>
              </m:sub>
            </m:sSub>
            <m:ctrlPr>
              <w:rPr>
                <w:rFonts w:ascii="Cambria Math" w:hAnsi="Cambria Math" w:cstheme="minorBidi"/>
                <w:bCs/>
                <w:color w:val="000000" w:themeColor="text1"/>
                <w14:textFill>
                  <w14:solidFill>
                    <w14:schemeClr w14:val="tx1"/>
                  </w14:solidFill>
                </w14:textFill>
              </w:rPr>
            </m:ctrlPr>
          </m:den>
        </m:f>
      </m:oMath>
      <w:r>
        <w:rPr>
          <w:color w:val="000000" w:themeColor="text1"/>
          <w14:textFill>
            <w14:solidFill>
              <w14:schemeClr w14:val="tx1"/>
            </w14:solidFill>
          </w14:textFill>
        </w:rPr>
        <w:t xml:space="preserve">                             </w:t>
      </w:r>
      <w:bookmarkStart w:id="131" w:name="_Hlk148461036"/>
      <w:r>
        <w:rPr>
          <w:color w:val="000000" w:themeColor="text1"/>
          <w14:textFill>
            <w14:solidFill>
              <w14:schemeClr w14:val="tx1"/>
            </w14:solidFill>
          </w14:textFill>
        </w:rPr>
        <w:t xml:space="preserve"> </w:t>
      </w:r>
      <w:r>
        <w:rPr>
          <w:rFonts w:hint="eastAsia"/>
        </w:rPr>
        <w:t>（</w:t>
      </w:r>
      <w:r>
        <w:t>8-6</w:t>
      </w:r>
      <w:r>
        <w:rPr>
          <w:rFonts w:hint="eastAsia"/>
        </w:rPr>
        <w:t>）</w:t>
      </w:r>
      <w:bookmarkEnd w:id="131"/>
    </w:p>
    <w:p>
      <w:pPr>
        <w:rPr>
          <w:rFonts w:cstheme="minorBidi"/>
          <w:bCs/>
          <w:color w:val="000000" w:themeColor="text1"/>
          <w14:textFill>
            <w14:solidFill>
              <w14:schemeClr w14:val="tx1"/>
            </w14:solidFill>
          </w14:textFill>
        </w:rPr>
      </w:pPr>
      <w:r>
        <w:rPr>
          <w:rFonts w:hint="eastAsia" w:cstheme="minorBidi"/>
          <w:bCs/>
          <w:color w:val="000000" w:themeColor="text1"/>
          <w14:textFill>
            <w14:solidFill>
              <w14:schemeClr w14:val="tx1"/>
            </w14:solidFill>
          </w14:textFill>
        </w:rPr>
        <w:t>式中：</w:t>
      </w:r>
      <w:r>
        <w:rPr>
          <w:rFonts w:cstheme="minorBidi"/>
          <w:bCs/>
          <w:color w:val="000000" w:themeColor="text1"/>
          <w14:textFill>
            <w14:solidFill>
              <w14:schemeClr w14:val="tx1"/>
            </w14:solidFill>
          </w14:textFill>
        </w:rPr>
        <w:t>d—</w:t>
      </w:r>
      <w:r>
        <w:rPr>
          <w:rFonts w:hint="eastAsia" w:cstheme="minorBidi"/>
          <w:bCs/>
          <w:color w:val="000000" w:themeColor="text1"/>
          <w14:textFill>
            <w14:solidFill>
              <w14:schemeClr w14:val="tx1"/>
            </w14:solidFill>
          </w14:textFill>
        </w:rPr>
        <w:t>病害体净深度；</w:t>
      </w:r>
    </w:p>
    <w:p>
      <w:pPr>
        <w:pStyle w:val="70"/>
        <w:numPr>
          <w:ilvl w:val="0"/>
          <w:numId w:val="6"/>
        </w:numPr>
        <w:tabs>
          <w:tab w:val="clear" w:pos="720"/>
        </w:tabs>
        <w:ind w:firstLineChars="0"/>
        <w:rPr>
          <w:rFonts w:cstheme="minorBidi"/>
          <w:bCs/>
          <w:color w:val="000000" w:themeColor="text1"/>
          <w14:textFill>
            <w14:solidFill>
              <w14:schemeClr w14:val="tx1"/>
            </w14:solidFill>
          </w14:textFill>
        </w:rPr>
      </w:pPr>
      <w:r>
        <w:rPr>
          <w:rFonts w:hint="eastAsia" w:cstheme="minorBidi"/>
          <w:bCs/>
          <w:color w:val="000000" w:themeColor="text1"/>
          <w14:textFill>
            <w14:solidFill>
              <w14:schemeClr w14:val="tx1"/>
            </w14:solidFill>
          </w14:textFill>
        </w:rPr>
        <w:t>病害体平面面积；</w:t>
      </w:r>
    </w:p>
    <w:p>
      <w:pPr>
        <w:ind w:left="630"/>
        <w:rPr>
          <w:rFonts w:cstheme="minorBidi"/>
          <w:bCs/>
          <w:color w:val="000000" w:themeColor="text1"/>
          <w14:textFill>
            <w14:solidFill>
              <w14:schemeClr w14:val="tx1"/>
            </w14:solidFill>
          </w14:textFill>
        </w:rPr>
      </w:pPr>
      <m:oMath>
        <m:sSub>
          <m:sSubPr>
            <m:ctrlPr>
              <w:rPr>
                <w:rFonts w:ascii="Cambria Math" w:hAnsi="Cambria Math" w:cstheme="minorBidi"/>
                <w:bCs/>
                <w:color w:val="000000" w:themeColor="text1"/>
                <w14:textFill>
                  <w14:solidFill>
                    <w14:schemeClr w14:val="tx1"/>
                  </w14:solidFill>
                </w14:textFill>
              </w:rPr>
            </m:ctrlPr>
          </m:sSubPr>
          <m:e>
            <m:r>
              <m:rPr/>
              <w:rPr>
                <w:rFonts w:ascii="Cambria Math" w:hAnsi="Cambria Math" w:cstheme="minorBidi"/>
                <w:color w:val="000000" w:themeColor="text1"/>
                <w14:textFill>
                  <w14:solidFill>
                    <w14:schemeClr w14:val="tx1"/>
                  </w14:solidFill>
                </w14:textFill>
              </w:rPr>
              <m:t>ℎ</m:t>
            </m:r>
            <m:ctrlPr>
              <w:rPr>
                <w:rFonts w:ascii="Cambria Math" w:hAnsi="Cambria Math" w:cstheme="minorBidi"/>
                <w:bCs/>
                <w:color w:val="000000" w:themeColor="text1"/>
                <w14:textFill>
                  <w14:solidFill>
                    <w14:schemeClr w14:val="tx1"/>
                  </w14:solidFill>
                </w14:textFill>
              </w:rPr>
            </m:ctrlPr>
          </m:e>
          <m:sub>
            <m:r>
              <m:rPr>
                <m:sty m:val="p"/>
              </m:rPr>
              <w:rPr>
                <w:rFonts w:ascii="Cambria Math" w:hAnsi="Cambria Math" w:cstheme="minorBidi"/>
                <w:color w:val="000000" w:themeColor="text1"/>
                <w14:textFill>
                  <w14:solidFill>
                    <w14:schemeClr w14:val="tx1"/>
                  </w14:solidFill>
                </w14:textFill>
              </w:rPr>
              <m:t>0</m:t>
            </m:r>
            <m:ctrlPr>
              <w:rPr>
                <w:rFonts w:ascii="Cambria Math" w:hAnsi="Cambria Math" w:cstheme="minorBidi"/>
                <w:bCs/>
                <w:color w:val="000000" w:themeColor="text1"/>
                <w14:textFill>
                  <w14:solidFill>
                    <w14:schemeClr w14:val="tx1"/>
                  </w14:solidFill>
                </w14:textFill>
              </w:rPr>
            </m:ctrlPr>
          </m:sub>
        </m:sSub>
      </m:oMath>
      <w:r>
        <w:rPr>
          <w:rFonts w:cstheme="minorBidi"/>
          <w:bCs/>
          <w:color w:val="000000" w:themeColor="text1"/>
          <w14:textFill>
            <w14:solidFill>
              <w14:schemeClr w14:val="tx1"/>
            </w14:solidFill>
          </w14:textFill>
        </w:rPr>
        <w:t>—</w:t>
      </w:r>
      <w:r>
        <w:rPr>
          <w:rFonts w:hint="eastAsia" w:cstheme="minorBidi"/>
          <w:bCs/>
          <w:color w:val="000000" w:themeColor="text1"/>
          <w14:textFill>
            <w14:solidFill>
              <w14:schemeClr w14:val="tx1"/>
            </w14:solidFill>
          </w14:textFill>
        </w:rPr>
        <w:t>病害体上覆介质厚度。</w:t>
      </w:r>
    </w:p>
    <w:p>
      <w:pPr>
        <w:autoSpaceDE w:val="0"/>
        <w:autoSpaceDN w:val="0"/>
        <w:adjustRightInd w:val="0"/>
        <w:snapToGrid w:val="0"/>
        <w:jc w:val="left"/>
      </w:pPr>
    </w:p>
    <w:p>
      <w:pPr>
        <w:widowControl/>
        <w:adjustRightInd w:val="0"/>
        <w:snapToGrid w:val="0"/>
        <w:jc w:val="center"/>
        <w:outlineLvl w:val="1"/>
        <w:rPr>
          <w:b/>
          <w:kern w:val="0"/>
        </w:rPr>
      </w:pPr>
      <w:bookmarkStart w:id="132" w:name="_Toc148468284"/>
      <w:r>
        <w:rPr>
          <w:b/>
          <w:kern w:val="0"/>
        </w:rPr>
        <w:t xml:space="preserve">8.5  </w:t>
      </w:r>
      <w:r>
        <w:rPr>
          <w:rFonts w:hint="eastAsia"/>
          <w:b/>
          <w:kern w:val="0"/>
        </w:rPr>
        <w:t>风险等级划分与控制对策</w:t>
      </w:r>
      <w:bookmarkEnd w:id="0"/>
      <w:bookmarkEnd w:id="132"/>
    </w:p>
    <w:p>
      <w:pPr>
        <w:autoSpaceDE w:val="0"/>
        <w:autoSpaceDN w:val="0"/>
        <w:adjustRightInd w:val="0"/>
        <w:snapToGrid w:val="0"/>
        <w:jc w:val="left"/>
      </w:pPr>
      <w:r>
        <w:rPr>
          <w:rFonts w:hint="eastAsia"/>
        </w:rPr>
        <w:t>8</w:t>
      </w:r>
      <w:r>
        <w:t xml:space="preserve">.5.1  </w:t>
      </w:r>
      <w:r>
        <w:rPr>
          <w:rFonts w:hint="eastAsia"/>
        </w:rPr>
        <w:t>计算示例</w:t>
      </w:r>
    </w:p>
    <w:p>
      <w:pPr>
        <w:autoSpaceDE w:val="0"/>
        <w:autoSpaceDN w:val="0"/>
        <w:adjustRightInd w:val="0"/>
        <w:snapToGrid w:val="0"/>
        <w:ind w:firstLine="420" w:firstLineChars="200"/>
        <w:jc w:val="left"/>
      </w:pPr>
      <w:r>
        <w:rPr>
          <w:rFonts w:hint="eastAsia"/>
        </w:rPr>
        <w:t>选取城市中某主干道进行评估单元划分，通过探测，发现</w:t>
      </w:r>
      <w:r>
        <w:t>LD_1</w:t>
      </w:r>
      <w:r>
        <w:rPr>
          <w:rFonts w:hint="eastAsia"/>
        </w:rPr>
        <w:t>评估单元存在两个地下病害体编号分别为</w:t>
      </w:r>
      <w:r>
        <w:t>BH-1</w:t>
      </w:r>
      <w:r>
        <w:rPr>
          <w:rFonts w:hint="eastAsia"/>
        </w:rPr>
        <w:t>和</w:t>
      </w:r>
      <w:r>
        <w:t>BH-2</w:t>
      </w:r>
      <w:r>
        <w:rPr>
          <w:rFonts w:hint="eastAsia"/>
        </w:rPr>
        <w:t>，风险评估计算如下：</w:t>
      </w:r>
    </w:p>
    <w:p>
      <w:pPr>
        <w:autoSpaceDE w:val="0"/>
        <w:autoSpaceDN w:val="0"/>
        <w:adjustRightInd w:val="0"/>
        <w:snapToGrid w:val="0"/>
        <w:ind w:firstLine="420" w:firstLineChars="200"/>
        <w:jc w:val="left"/>
      </w:pPr>
      <w:r>
        <w:rPr>
          <w:rFonts w:hint="eastAsia"/>
        </w:rPr>
        <w:t>1</w:t>
      </w:r>
      <w:r>
        <w:t xml:space="preserve">  </w:t>
      </w:r>
      <w:r>
        <w:rPr>
          <w:rFonts w:hint="eastAsia"/>
        </w:rPr>
        <w:t>基础数据</w:t>
      </w:r>
    </w:p>
    <w:p>
      <w:pPr>
        <w:autoSpaceDE w:val="0"/>
        <w:autoSpaceDN w:val="0"/>
        <w:adjustRightInd w:val="0"/>
        <w:snapToGrid w:val="0"/>
        <w:ind w:firstLine="420" w:firstLineChars="200"/>
        <w:jc w:val="left"/>
      </w:pPr>
      <w:r>
        <w:rPr>
          <w:rFonts w:hint="eastAsia"/>
        </w:rPr>
        <w:t>病害体相关数据：BH-1和BH-2病害体面积分别为10.74m</w:t>
      </w:r>
      <w:r>
        <w:rPr>
          <w:rFonts w:hint="eastAsia"/>
          <w:vertAlign w:val="superscript"/>
        </w:rPr>
        <w:t>2</w:t>
      </w:r>
      <w:r>
        <w:rPr>
          <w:rFonts w:hint="eastAsia"/>
        </w:rPr>
        <w:t>、66.51 m</w:t>
      </w:r>
      <w:r>
        <w:rPr>
          <w:rFonts w:hint="eastAsia"/>
          <w:vertAlign w:val="superscript"/>
        </w:rPr>
        <w:t>2</w:t>
      </w:r>
      <w:r>
        <w:rPr>
          <w:rFonts w:hint="eastAsia"/>
        </w:rPr>
        <w:t>，高度分别为0.1m和0.4m，处置情况均为已处置，病害体跨度均为11.6m，病害体埋深均为0.7m。</w:t>
      </w:r>
    </w:p>
    <w:p>
      <w:pPr>
        <w:autoSpaceDE w:val="0"/>
        <w:autoSpaceDN w:val="0"/>
        <w:adjustRightInd w:val="0"/>
        <w:snapToGrid w:val="0"/>
        <w:ind w:firstLine="420" w:firstLineChars="200"/>
        <w:jc w:val="left"/>
      </w:pPr>
      <w:r>
        <w:rPr>
          <w:rFonts w:hint="eastAsia"/>
        </w:rPr>
        <w:t>地质条件数据：病害体所处地层为中密填土、粉土、沙土，土层渗透系数K约为0.5m/d，地层压缩系数S为0.09Mpa</w:t>
      </w:r>
      <w:r>
        <w:rPr>
          <w:rFonts w:hint="eastAsia"/>
          <w:vertAlign w:val="superscript"/>
        </w:rPr>
        <w:t>-1</w:t>
      </w:r>
      <w:r>
        <w:rPr>
          <w:rFonts w:hint="eastAsia"/>
        </w:rPr>
        <w:t>，与断裂带最小水平距离L为160m。</w:t>
      </w:r>
    </w:p>
    <w:p>
      <w:pPr>
        <w:autoSpaceDE w:val="0"/>
        <w:autoSpaceDN w:val="0"/>
        <w:adjustRightInd w:val="0"/>
        <w:snapToGrid w:val="0"/>
        <w:ind w:firstLine="420" w:firstLineChars="200"/>
      </w:pPr>
      <w:r>
        <w:rPr>
          <w:rFonts w:hint="eastAsia"/>
        </w:rPr>
        <w:t>管网类数据：BH-1和BH-2附近管线管龄均为15年，管径分别为200mm和800mm，材质分别为其他材质和钢、镀锌管、普通铸铁材质，管线类别分别为电信管线和供水管线，埋深分别为0.41m和1.35m。</w:t>
      </w:r>
    </w:p>
    <w:p>
      <w:pPr>
        <w:autoSpaceDE w:val="0"/>
        <w:autoSpaceDN w:val="0"/>
        <w:adjustRightInd w:val="0"/>
        <w:snapToGrid w:val="0"/>
        <w:ind w:firstLine="420" w:firstLineChars="200"/>
        <w:jc w:val="left"/>
      </w:pPr>
      <w:r>
        <w:rPr>
          <w:rFonts w:hint="eastAsia"/>
        </w:rPr>
        <w:t>在建工程类数据：施工边界与病害体边界之间的距离l为150m，地下工程与地下病害体边界之间的距离99.11m，地面设施与地下病害体边界之间的距离93.57m。</w:t>
      </w:r>
    </w:p>
    <w:p>
      <w:pPr>
        <w:autoSpaceDE w:val="0"/>
        <w:autoSpaceDN w:val="0"/>
        <w:adjustRightInd w:val="0"/>
        <w:snapToGrid w:val="0"/>
        <w:ind w:firstLine="420" w:firstLineChars="200"/>
        <w:jc w:val="left"/>
      </w:pPr>
      <w:r>
        <w:rPr>
          <w:rFonts w:hint="eastAsia"/>
        </w:rPr>
        <w:t>参照基础数据可直接或间接计算得到各指标的对应分数。</w:t>
      </w:r>
    </w:p>
    <w:p>
      <w:pPr>
        <w:autoSpaceDE w:val="0"/>
        <w:autoSpaceDN w:val="0"/>
        <w:adjustRightInd w:val="0"/>
        <w:snapToGrid w:val="0"/>
        <w:ind w:firstLine="420" w:firstLineChars="200"/>
        <w:jc w:val="left"/>
      </w:pPr>
      <w:r>
        <w:rPr>
          <w:rFonts w:hint="eastAsia"/>
        </w:rPr>
        <w:t>2</w:t>
      </w:r>
      <w:r>
        <w:t xml:space="preserve">  </w:t>
      </w:r>
      <w:r>
        <w:rPr>
          <w:rFonts w:hint="eastAsia"/>
        </w:rPr>
        <w:t>风险可能性评价</w:t>
      </w:r>
    </w:p>
    <w:p>
      <w:pPr>
        <w:autoSpaceDE w:val="0"/>
        <w:autoSpaceDN w:val="0"/>
        <w:adjustRightInd w:val="0"/>
        <w:snapToGrid w:val="0"/>
        <w:ind w:firstLine="420" w:firstLineChars="200"/>
        <w:jc w:val="left"/>
      </w:pPr>
      <w:r>
        <w:rPr>
          <w:rFonts w:hint="eastAsia"/>
        </w:rPr>
        <w:t>（1）</w:t>
      </w:r>
      <w:bookmarkStart w:id="133" w:name="_Hlk148459205"/>
      <w:r>
        <w:rPr>
          <w:rFonts w:hint="eastAsia"/>
        </w:rPr>
        <w:t>单一地下病害体</w:t>
      </w:r>
      <w:bookmarkEnd w:id="133"/>
      <w:r>
        <w:rPr>
          <w:rFonts w:hint="eastAsia"/>
        </w:rPr>
        <w:t>风险评估</w:t>
      </w:r>
    </w:p>
    <w:p>
      <w:pPr>
        <w:autoSpaceDE w:val="0"/>
        <w:autoSpaceDN w:val="0"/>
        <w:adjustRightInd w:val="0"/>
        <w:snapToGrid w:val="0"/>
        <w:ind w:firstLine="420" w:firstLineChars="200"/>
        <w:jc w:val="left"/>
      </w:pPr>
      <w:r>
        <w:rPr>
          <w:rFonts w:hint="eastAsia"/>
        </w:rPr>
        <w:t>通过专家打分法确定了各级指标权重，基于基础数据，对照可得各指标评分如下：</w:t>
      </w:r>
    </w:p>
    <w:p>
      <w:pPr>
        <w:autoSpaceDE w:val="0"/>
        <w:autoSpaceDN w:val="0"/>
        <w:adjustRightInd w:val="0"/>
        <w:snapToGrid w:val="0"/>
        <w:jc w:val="center"/>
        <w:rPr>
          <w:b/>
        </w:rPr>
      </w:pPr>
      <w:r>
        <w:rPr>
          <w:rFonts w:hint="eastAsia"/>
          <w:b/>
        </w:rPr>
        <w:t>表</w:t>
      </w:r>
      <w:r>
        <w:rPr>
          <w:b/>
        </w:rPr>
        <w:t xml:space="preserve">8-2  </w:t>
      </w:r>
      <w:r>
        <w:rPr>
          <w:rFonts w:hint="eastAsia"/>
          <w:b/>
        </w:rPr>
        <w:t>单一地下病害体风险可能性评价指标</w:t>
      </w:r>
    </w:p>
    <w:tbl>
      <w:tblPr>
        <w:tblStyle w:val="27"/>
        <w:tblW w:w="0" w:type="auto"/>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7"/>
        <w:gridCol w:w="946"/>
        <w:gridCol w:w="2663"/>
        <w:gridCol w:w="1002"/>
        <w:gridCol w:w="1002"/>
        <w:gridCol w:w="10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一级指标</w:t>
            </w:r>
          </w:p>
        </w:tc>
        <w:tc>
          <w:tcPr>
            <w:tcW w:w="946"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一级权重</w:t>
            </w: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二级指标</w:t>
            </w:r>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二级权重</w:t>
            </w:r>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BH-1得分</w:t>
            </w:r>
          </w:p>
        </w:tc>
        <w:tc>
          <w:tcPr>
            <w:tcW w:w="100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BH-2得分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restart"/>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地下病害体规模</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A</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946" w:type="dxa"/>
            <w:vMerge w:val="restart"/>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0.35</w:t>
            </w: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地下病害体面积</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A1</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0.35</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70.1</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地下病害体高度</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A2</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0.25</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60</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62.2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地下病害体处理情况</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A3</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0.4</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35</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restart"/>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地质条件</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B</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946" w:type="dxa"/>
            <w:vMerge w:val="restart"/>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0.3</w:t>
            </w: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病害体所处地层</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B1</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0.2</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80</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病害体所处地层渗透性</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B2</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0.2</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15</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不利地质条件(岩溶地质)</w:t>
            </w:r>
            <w:r>
              <w:rPr>
                <w:rFonts w:ascii="Times New Roman" w:hAnsi="Times New Roman" w:cs="Times New Roman"/>
                <w:b w:val="0"/>
                <w:bCs/>
                <w:i/>
                <w:color w:val="000000" w:themeColor="text1"/>
                <w:sz w:val="18"/>
                <w:szCs w:val="18"/>
                <w14:textFill>
                  <w14:solidFill>
                    <w14:schemeClr w14:val="tx1"/>
                  </w14:solidFill>
                </w14:textFill>
              </w:rPr>
              <w:t xml:space="preserve"> </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B3</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0.2</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20</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不利地质条件(易压缩地层)</w:t>
            </w:r>
            <w:r>
              <w:rPr>
                <w:rFonts w:ascii="Times New Roman" w:hAnsi="Times New Roman" w:cs="Times New Roman"/>
                <w:b w:val="0"/>
                <w:bCs/>
                <w:i/>
                <w:color w:val="000000" w:themeColor="text1"/>
                <w:sz w:val="18"/>
                <w:szCs w:val="18"/>
                <w14:textFill>
                  <w14:solidFill>
                    <w14:schemeClr w14:val="tx1"/>
                  </w14:solidFill>
                </w14:textFill>
              </w:rPr>
              <w:t xml:space="preserve"> </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B4</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0.05</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53.8</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53.8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不利地质条件(易流失地层)</w:t>
            </w:r>
            <w:r>
              <w:rPr>
                <w:rFonts w:ascii="Times New Roman" w:hAnsi="Times New Roman" w:cs="Times New Roman"/>
                <w:b w:val="0"/>
                <w:bCs/>
                <w:i/>
                <w:color w:val="000000" w:themeColor="text1"/>
                <w:sz w:val="18"/>
                <w:szCs w:val="18"/>
                <w14:textFill>
                  <w14:solidFill>
                    <w14:schemeClr w14:val="tx1"/>
                  </w14:solidFill>
                </w14:textFill>
              </w:rPr>
              <w:t xml:space="preserve"> </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B5</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0.3</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60</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不利地质条件(断裂带)</w:t>
            </w:r>
            <w:r>
              <w:rPr>
                <w:rFonts w:ascii="Times New Roman" w:hAnsi="Times New Roman" w:cs="Times New Roman"/>
                <w:b w:val="0"/>
                <w:bCs/>
                <w:i/>
                <w:color w:val="000000" w:themeColor="text1"/>
                <w:sz w:val="18"/>
                <w:szCs w:val="18"/>
                <w14:textFill>
                  <w14:solidFill>
                    <w14:schemeClr w14:val="tx1"/>
                  </w14:solidFill>
                </w14:textFill>
              </w:rPr>
              <w:t xml:space="preserve"> </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B6</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0.05</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70.2</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70.2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restart"/>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邻近设施</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C</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946" w:type="dxa"/>
            <w:vMerge w:val="restart"/>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0.35</w:t>
            </w: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地下管线管龄</w:t>
            </w:r>
            <m:oMath>
              <m:sSub>
                <m:sSubPr>
                  <m:ctrlPr>
                    <w:rPr>
                      <w:rFonts w:ascii="Cambria Math" w:hAnsi="Cambria Math" w:cs="Times New Roman"/>
                      <w:b w:val="0"/>
                      <w:bCs/>
                      <w:i/>
                      <w:iCs/>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iCs/>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C1</m:t>
                  </m:r>
                  <m:ctrlPr>
                    <w:rPr>
                      <w:rFonts w:ascii="Cambria Math" w:hAnsi="Cambria Math" w:cs="Times New Roman"/>
                      <w:b w:val="0"/>
                      <w:bCs/>
                      <w:i/>
                      <w:iCs/>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0.2</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48.9</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48.9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地下管线</w:t>
            </w:r>
            <w:r>
              <w:rPr>
                <w:rFonts w:ascii="Times New Roman" w:hAnsi="Times New Roman" w:cs="Times New Roman"/>
                <w:b w:val="0"/>
                <w:bCs/>
                <w:iCs/>
                <w:color w:val="000000" w:themeColor="text1"/>
                <w:sz w:val="18"/>
                <w:szCs w:val="18"/>
                <w14:textFill>
                  <w14:solidFill>
                    <w14:schemeClr w14:val="tx1"/>
                  </w14:solidFill>
                </w14:textFill>
              </w:rPr>
              <w:t>管径</w:t>
            </w:r>
            <m:oMath>
              <m:sSub>
                <m:sSubPr>
                  <m:ctrlPr>
                    <w:rPr>
                      <w:rFonts w:ascii="Cambria Math" w:hAnsi="Cambria Math" w:cs="Times New Roman"/>
                      <w:b w:val="0"/>
                      <w:bCs/>
                      <w:i/>
                      <w:iCs/>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iCs/>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C2</m:t>
                  </m:r>
                  <m:ctrlPr>
                    <w:rPr>
                      <w:rFonts w:ascii="Cambria Math" w:hAnsi="Cambria Math" w:cs="Times New Roman"/>
                      <w:b w:val="0"/>
                      <w:bCs/>
                      <w:i/>
                      <w:iCs/>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0.1</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44.1</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地下管线材质</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C3</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0.3</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5</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地下管线类别</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W</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C4</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0.25</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20</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97"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946" w:type="dxa"/>
            <w:vMerge w:val="continue"/>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p>
        </w:tc>
        <w:tc>
          <w:tcPr>
            <w:tcW w:w="2663"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地下管线埋深</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W</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C5</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1002" w:type="dxa"/>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0.15</w:t>
            </w:r>
          </w:p>
        </w:tc>
        <w:tc>
          <w:tcPr>
            <w:tcW w:w="1002"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92.4</w:t>
            </w:r>
          </w:p>
        </w:tc>
        <w:tc>
          <w:tcPr>
            <w:tcW w:w="1003" w:type="dxa"/>
            <w:shd w:val="clear" w:color="auto" w:fill="auto"/>
            <w:vAlign w:val="center"/>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73.1</w:t>
            </w:r>
          </w:p>
        </w:tc>
      </w:tr>
    </w:tbl>
    <w:p>
      <w:pPr>
        <w:autoSpaceDE w:val="0"/>
        <w:autoSpaceDN w:val="0"/>
        <w:adjustRightInd w:val="0"/>
        <w:snapToGrid w:val="0"/>
        <w:spacing w:before="240"/>
        <w:ind w:firstLine="420" w:firstLineChars="200"/>
        <w:jc w:val="left"/>
      </w:pPr>
      <w:r>
        <w:rPr>
          <w:rFonts w:hint="eastAsia"/>
        </w:rPr>
        <w:t>分别计算单地下病害体风险发生可能性分值S</w:t>
      </w:r>
      <w:r>
        <w:rPr>
          <w:rFonts w:hint="eastAsia"/>
          <w:vertAlign w:val="subscript"/>
        </w:rPr>
        <w:t>T</w:t>
      </w:r>
      <w:r>
        <w:rPr>
          <w:rFonts w:hint="eastAsia"/>
        </w:rPr>
        <w:t>：</w:t>
      </w:r>
    </w:p>
    <w:p>
      <w:pPr>
        <w:autoSpaceDE w:val="0"/>
        <w:autoSpaceDN w:val="0"/>
        <w:adjustRightInd w:val="0"/>
        <w:snapToGrid w:val="0"/>
        <w:ind w:firstLine="420" w:firstLineChars="200"/>
        <w:jc w:val="left"/>
      </w:pPr>
      <w:r>
        <w:rPr>
          <w:rFonts w:hint="eastAsia"/>
        </w:rPr>
        <w:t>1）B</w:t>
      </w:r>
      <w:r>
        <w:t>H-1:</w:t>
      </w:r>
    </w:p>
    <w:p>
      <w:pPr>
        <w:pStyle w:val="85"/>
        <w:ind w:firstLine="420" w:firstLineChars="200"/>
        <w:jc w:val="both"/>
        <w:rPr>
          <w:rFonts w:cs="Times New Roman"/>
          <w:b w:val="0"/>
          <w:bCs/>
          <w:color w:val="000000" w:themeColor="text1"/>
          <w:szCs w:val="21"/>
          <w14:textFill>
            <w14:solidFill>
              <w14:schemeClr w14:val="tx1"/>
            </w14:solidFill>
          </w14:textFill>
        </w:rPr>
      </w:pPr>
      <m:oMath>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A1</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A1</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A2</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A2</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A3</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A3</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=0.35×70.1+0.25×60+0.4×35=53.54</m:t>
        </m:r>
      </m:oMath>
      <w:r>
        <w:rPr>
          <w:rFonts w:cs="Times New Roman"/>
          <w:b w:val="0"/>
          <w:bCs/>
          <w:color w:val="000000" w:themeColor="text1"/>
          <w:szCs w:val="21"/>
          <w14:textFill>
            <w14:solidFill>
              <w14:schemeClr w14:val="tx1"/>
            </w14:solidFill>
          </w14:textFill>
        </w:rPr>
        <w:t xml:space="preserve"> </w:t>
      </w:r>
    </w:p>
    <w:p>
      <w:pPr>
        <w:pStyle w:val="85"/>
        <w:ind w:firstLine="420" w:firstLineChars="200"/>
        <w:jc w:val="both"/>
        <w:rPr>
          <w:rFonts w:cs="Times New Roman"/>
          <w:b w:val="0"/>
          <w:bCs/>
          <w:color w:val="000000" w:themeColor="text1"/>
          <w:szCs w:val="21"/>
          <w14:textFill>
            <w14:solidFill>
              <w14:schemeClr w14:val="tx1"/>
            </w14:solidFill>
          </w14:textFill>
        </w:rPr>
      </w:pPr>
      <m:oMath>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B1</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B1</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B2</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B2</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B3</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B3</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B4</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B4</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B5</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B5</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B6</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B6</m:t>
            </m:r>
            <m:ctrlPr>
              <w:rPr>
                <w:rFonts w:ascii="Cambria Math" w:hAnsi="Cambria Math" w:cs="Times New Roman"/>
                <w:b w:val="0"/>
                <w:bCs/>
                <w:i/>
                <w:color w:val="000000" w:themeColor="text1"/>
                <w:szCs w:val="21"/>
                <w14:textFill>
                  <w14:solidFill>
                    <w14:schemeClr w14:val="tx1"/>
                  </w14:solidFill>
                </w14:textFill>
              </w:rPr>
            </m:ctrlPr>
          </m:sub>
        </m:sSub>
      </m:oMath>
      <w:r>
        <w:rPr>
          <w:rFonts w:cs="Times New Roman"/>
          <w:b w:val="0"/>
          <w:bCs/>
          <w:color w:val="000000" w:themeColor="text1"/>
          <w:szCs w:val="21"/>
          <w14:textFill>
            <w14:solidFill>
              <w14:schemeClr w14:val="tx1"/>
            </w14:solidFill>
          </w14:textFill>
        </w:rPr>
        <w:t xml:space="preserve"> </w:t>
      </w:r>
    </w:p>
    <w:p>
      <w:pPr>
        <w:pStyle w:val="85"/>
        <w:jc w:val="both"/>
        <w:rPr>
          <w:rFonts w:cs="Times New Roman"/>
          <w:b w:val="0"/>
          <w:bCs/>
          <w:color w:val="000000" w:themeColor="text1"/>
          <w:szCs w:val="21"/>
          <w14:textFill>
            <w14:solidFill>
              <w14:schemeClr w14:val="tx1"/>
            </w14:solidFill>
          </w14:textFill>
        </w:rPr>
      </w:pPr>
      <m:oMathPara>
        <m:oMath>
          <m:r>
            <m:rPr>
              <m:sty m:val="bi"/>
            </m:rPr>
            <w:rPr>
              <w:rFonts w:ascii="Cambria Math" w:hAnsi="Cambria Math" w:cs="Times New Roman"/>
              <w:color w:val="000000" w:themeColor="text1"/>
              <w:szCs w:val="21"/>
              <w14:textFill>
                <w14:solidFill>
                  <w14:schemeClr w14:val="tx1"/>
                </w14:solidFill>
              </w14:textFill>
            </w:rPr>
            <m:t>=0.2×80+0.2×15+0.2×20+0.05×53.8+0.3×60+0.05×70.2</m:t>
          </m:r>
        </m:oMath>
      </m:oMathPara>
    </w:p>
    <w:p>
      <w:pPr>
        <w:pStyle w:val="85"/>
        <w:ind w:firstLine="421" w:firstLineChars="200"/>
        <w:jc w:val="both"/>
        <w:rPr>
          <w:rFonts w:cs="Times New Roman"/>
          <w:b w:val="0"/>
          <w:bCs/>
          <w:color w:val="000000" w:themeColor="text1"/>
          <w:szCs w:val="21"/>
          <w14:textFill>
            <w14:solidFill>
              <w14:schemeClr w14:val="tx1"/>
            </w14:solidFill>
          </w14:textFill>
        </w:rPr>
      </w:pPr>
      <m:oMath>
        <m:r>
          <m:rPr>
            <m:sty m:val="bi"/>
          </m:rPr>
          <w:rPr>
            <w:rFonts w:ascii="Cambria Math" w:hAnsi="Cambria Math" w:cs="Times New Roman"/>
            <w:color w:val="000000" w:themeColor="text1"/>
            <w:szCs w:val="21"/>
            <w14:textFill>
              <w14:solidFill>
                <w14:schemeClr w14:val="tx1"/>
              </w14:solidFill>
            </w14:textFill>
          </w:rPr>
          <m:t xml:space="preserve">     =</m:t>
        </m:r>
      </m:oMath>
      <w:r>
        <w:rPr>
          <w:rFonts w:cs="Times New Roman"/>
          <w:b w:val="0"/>
          <w:bCs/>
          <w:color w:val="000000" w:themeColor="text1"/>
          <w:szCs w:val="21"/>
          <w14:textFill>
            <w14:solidFill>
              <w14:schemeClr w14:val="tx1"/>
            </w14:solidFill>
          </w14:textFill>
        </w:rPr>
        <w:t>47.20</w:t>
      </w:r>
    </w:p>
    <w:p>
      <w:pPr>
        <w:pStyle w:val="85"/>
        <w:ind w:firstLine="420" w:firstLineChars="200"/>
        <w:jc w:val="both"/>
        <w:rPr>
          <w:rFonts w:cs="Times New Roman"/>
          <w:b w:val="0"/>
          <w:bCs/>
          <w:color w:val="000000" w:themeColor="text1"/>
          <w:szCs w:val="21"/>
          <w14:textFill>
            <w14:solidFill>
              <w14:schemeClr w14:val="tx1"/>
            </w14:solidFill>
          </w14:textFill>
        </w:rPr>
      </w:pPr>
      <m:oMath>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C1</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C1</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C2</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C2</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C3</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C3</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C4</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C4</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C5</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C5</m:t>
            </m:r>
            <m:ctrlPr>
              <w:rPr>
                <w:rFonts w:ascii="Cambria Math" w:hAnsi="Cambria Math" w:cs="Times New Roman"/>
                <w:b w:val="0"/>
                <w:bCs/>
                <w:i/>
                <w:color w:val="000000" w:themeColor="text1"/>
                <w:szCs w:val="21"/>
                <w14:textFill>
                  <w14:solidFill>
                    <w14:schemeClr w14:val="tx1"/>
                  </w14:solidFill>
                </w14:textFill>
              </w:rPr>
            </m:ctrlPr>
          </m:sub>
        </m:sSub>
      </m:oMath>
      <w:r>
        <w:rPr>
          <w:rFonts w:cs="Times New Roman"/>
          <w:b w:val="0"/>
          <w:bCs/>
          <w:color w:val="000000" w:themeColor="text1"/>
          <w:szCs w:val="21"/>
          <w14:textFill>
            <w14:solidFill>
              <w14:schemeClr w14:val="tx1"/>
            </w14:solidFill>
          </w14:textFill>
        </w:rPr>
        <w:t xml:space="preserve"> </w:t>
      </w:r>
    </w:p>
    <w:p>
      <w:pPr>
        <w:pStyle w:val="85"/>
        <w:ind w:firstLine="421" w:firstLineChars="200"/>
        <w:jc w:val="both"/>
        <w:rPr>
          <w:rFonts w:cs="Times New Roman"/>
          <w:b w:val="0"/>
          <w:bCs/>
          <w:color w:val="000000" w:themeColor="text1"/>
          <w:szCs w:val="21"/>
          <w14:textFill>
            <w14:solidFill>
              <w14:schemeClr w14:val="tx1"/>
            </w14:solidFill>
          </w14:textFill>
        </w:rPr>
      </w:pPr>
      <m:oMath>
        <m:r>
          <m:rPr>
            <m:sty m:val="bi"/>
          </m:rPr>
          <w:rPr>
            <w:rFonts w:ascii="Cambria Math" w:hAnsi="Cambria Math" w:cs="Times New Roman"/>
            <w:color w:val="000000" w:themeColor="text1"/>
            <w:szCs w:val="21"/>
            <w14:textFill>
              <w14:solidFill>
                <w14:schemeClr w14:val="tx1"/>
              </w14:solidFill>
            </w14:textFill>
          </w:rPr>
          <m:t xml:space="preserve">      =0.2×48.9+0.1×44.1+0.3×5+0.25×20+0.15×92.4=34.55</m:t>
        </m:r>
      </m:oMath>
      <w:r>
        <w:rPr>
          <w:rFonts w:cs="Times New Roman"/>
          <w:b w:val="0"/>
          <w:bCs/>
          <w:color w:val="000000" w:themeColor="text1"/>
          <w:szCs w:val="21"/>
          <w14:textFill>
            <w14:solidFill>
              <w14:schemeClr w14:val="tx1"/>
            </w14:solidFill>
          </w14:textFill>
        </w:rPr>
        <w:t xml:space="preserve"> </w:t>
      </w:r>
    </w:p>
    <w:p>
      <w:pPr>
        <w:pStyle w:val="85"/>
        <w:ind w:firstLine="420" w:firstLineChars="200"/>
        <w:jc w:val="both"/>
        <w:rPr>
          <w:rFonts w:cs="Times New Roman"/>
          <w:b w:val="0"/>
          <w:bCs/>
          <w:i/>
          <w:color w:val="000000" w:themeColor="text1"/>
          <w:szCs w:val="21"/>
          <w14:textFill>
            <w14:solidFill>
              <w14:schemeClr w14:val="tx1"/>
            </w14:solidFill>
          </w14:textFill>
        </w:rPr>
      </w:pPr>
      <m:oMathPara>
        <m:oMath>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 xml:space="preserve">        S</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T</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A</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B</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m:t>
          </m:r>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W</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m:t>
              </m:r>
              <m:ctrlPr>
                <w:rPr>
                  <w:rFonts w:ascii="Cambria Math" w:hAnsi="Cambria Math" w:cs="Times New Roman"/>
                  <w:b w:val="0"/>
                  <w:bCs/>
                  <w:i/>
                  <w:color w:val="000000" w:themeColor="text1"/>
                  <w:szCs w:val="21"/>
                  <w14:textFill>
                    <w14:solidFill>
                      <w14:schemeClr w14:val="tx1"/>
                    </w14:solidFill>
                  </w14:textFill>
                </w:rPr>
              </m:ctrlPr>
            </m:sub>
          </m:sSub>
          <m:sSub>
            <m:sSubPr>
              <m:ctrlPr>
                <w:rPr>
                  <w:rFonts w:ascii="Cambria Math" w:hAnsi="Cambria Math" w:cs="Times New Roman"/>
                  <w:b w:val="0"/>
                  <w:bCs/>
                  <w:i/>
                  <w:color w:val="000000" w:themeColor="text1"/>
                  <w:szCs w:val="21"/>
                  <w14:textFill>
                    <w14:solidFill>
                      <w14:schemeClr w14:val="tx1"/>
                    </w14:solidFill>
                  </w14:textFill>
                </w:rPr>
              </m:ctrlPr>
            </m:sSubPr>
            <m:e>
              <m:r>
                <m:rPr>
                  <m:sty m:val="bi"/>
                </m:rPr>
                <w:rPr>
                  <w:rFonts w:ascii="Cambria Math" w:hAnsi="Cambria Math" w:cs="Times New Roman"/>
                  <w:color w:val="000000" w:themeColor="text1"/>
                  <w:szCs w:val="21"/>
                  <w14:textFill>
                    <w14:solidFill>
                      <w14:schemeClr w14:val="tx1"/>
                    </w14:solidFill>
                  </w14:textFill>
                </w:rPr>
                <m:t>P</m:t>
              </m:r>
              <m:ctrlPr>
                <w:rPr>
                  <w:rFonts w:ascii="Cambria Math" w:hAnsi="Cambria Math" w:cs="Times New Roman"/>
                  <w:b w:val="0"/>
                  <w:bCs/>
                  <w:i/>
                  <w:color w:val="000000" w:themeColor="text1"/>
                  <w:szCs w:val="21"/>
                  <w14:textFill>
                    <w14:solidFill>
                      <w14:schemeClr w14:val="tx1"/>
                    </w14:solidFill>
                  </w14:textFill>
                </w:rPr>
              </m:ctrlPr>
            </m:e>
            <m:sub>
              <m:r>
                <m:rPr>
                  <m:sty m:val="bi"/>
                </m:rPr>
                <w:rPr>
                  <w:rFonts w:ascii="Cambria Math" w:hAnsi="Cambria Math" w:cs="Times New Roman"/>
                  <w:color w:val="000000" w:themeColor="text1"/>
                  <w:szCs w:val="21"/>
                  <w14:textFill>
                    <w14:solidFill>
                      <w14:schemeClr w14:val="tx1"/>
                    </w14:solidFill>
                  </w14:textFill>
                </w:rPr>
                <m:t>C</m:t>
              </m:r>
              <m:ctrlPr>
                <w:rPr>
                  <w:rFonts w:ascii="Cambria Math" w:hAnsi="Cambria Math" w:cs="Times New Roman"/>
                  <w:b w:val="0"/>
                  <w:bCs/>
                  <w:i/>
                  <w:color w:val="000000" w:themeColor="text1"/>
                  <w:szCs w:val="21"/>
                  <w14:textFill>
                    <w14:solidFill>
                      <w14:schemeClr w14:val="tx1"/>
                    </w14:solidFill>
                  </w14:textFill>
                </w:rPr>
              </m:ctrlPr>
            </m:sub>
          </m:sSub>
          <m:r>
            <m:rPr>
              <m:sty m:val="bi"/>
            </m:rPr>
            <w:rPr>
              <w:rFonts w:ascii="Cambria Math" w:hAnsi="Cambria Math" w:cs="Times New Roman"/>
              <w:color w:val="000000" w:themeColor="text1"/>
              <w:szCs w:val="21"/>
              <w14:textFill>
                <w14:solidFill>
                  <w14:schemeClr w14:val="tx1"/>
                </w14:solidFill>
              </w14:textFill>
            </w:rPr>
            <m:t>=0.35×53.54+0.3×47.2+0.35×34.55=44.99</m:t>
          </m:r>
        </m:oMath>
      </m:oMathPara>
    </w:p>
    <w:p>
      <w:pPr>
        <w:autoSpaceDE w:val="0"/>
        <w:autoSpaceDN w:val="0"/>
        <w:adjustRightInd w:val="0"/>
        <w:snapToGrid w:val="0"/>
        <w:ind w:firstLine="420" w:firstLineChars="200"/>
        <w:jc w:val="left"/>
      </w:pPr>
      <w:r>
        <w:rPr>
          <w:rFonts w:hint="eastAsia"/>
        </w:rPr>
        <w:t>得分计算为44.99，对照风险可能性等级划分表可得BH-1单地下病害体风险等级为D级。</w:t>
      </w:r>
    </w:p>
    <w:p>
      <w:pPr>
        <w:autoSpaceDE w:val="0"/>
        <w:autoSpaceDN w:val="0"/>
        <w:adjustRightInd w:val="0"/>
        <w:snapToGrid w:val="0"/>
        <w:ind w:firstLine="420" w:firstLineChars="200"/>
        <w:jc w:val="left"/>
      </w:pPr>
      <w:r>
        <w:rPr>
          <w:rFonts w:hint="eastAsia"/>
        </w:rPr>
        <w:t>2）B</w:t>
      </w:r>
      <w:r>
        <w:t>H-2</w:t>
      </w:r>
      <w:r>
        <w:rPr>
          <w:rFonts w:hint="eastAsia"/>
        </w:rPr>
        <w:t>：</w:t>
      </w:r>
    </w:p>
    <w:p>
      <w:pPr>
        <w:autoSpaceDE w:val="0"/>
        <w:autoSpaceDN w:val="0"/>
        <w:adjustRightInd w:val="0"/>
        <w:snapToGrid w:val="0"/>
        <w:ind w:firstLine="420" w:firstLineChars="200"/>
        <w:jc w:val="left"/>
      </w:pPr>
      <w:r>
        <w:rPr>
          <w:rFonts w:hint="eastAsia"/>
        </w:rPr>
        <w:t>同理可计算得到BH-2的单地下病害体风险发生可能性得分为57.05，可得BH-2单地下病害体风险等级为C级。</w:t>
      </w:r>
    </w:p>
    <w:p>
      <w:pPr>
        <w:autoSpaceDE w:val="0"/>
        <w:autoSpaceDN w:val="0"/>
        <w:adjustRightInd w:val="0"/>
        <w:snapToGrid w:val="0"/>
        <w:ind w:firstLine="420" w:firstLineChars="200"/>
        <w:jc w:val="left"/>
      </w:pPr>
      <w:r>
        <w:rPr>
          <w:rFonts w:hint="eastAsia"/>
        </w:rPr>
        <w:t>（2）评估单元风险发生可能性评估</w:t>
      </w:r>
    </w:p>
    <w:p>
      <w:pPr>
        <w:pStyle w:val="85"/>
        <w:ind w:firstLine="420"/>
        <w:jc w:val="both"/>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根据单地下病害体风险情况对</w:t>
      </w:r>
      <w:r>
        <w:rPr>
          <w:rFonts w:hint="eastAsia"/>
          <w:b w:val="0"/>
          <w:color w:val="000000" w:themeColor="text1"/>
          <w:szCs w:val="21"/>
          <w14:textFill>
            <w14:solidFill>
              <w14:schemeClr w14:val="tx1"/>
            </w14:solidFill>
          </w14:textFill>
        </w:rPr>
        <w:t>评估单元内病害体情况</w:t>
      </w:r>
      <m:oMath>
        <m:sSub>
          <m:sSubPr>
            <m:ctrlPr>
              <w:rPr>
                <w:rFonts w:ascii="Cambria Math" w:hAnsi="Cambria Math"/>
                <w:b w:val="0"/>
                <w:i/>
                <w:color w:val="000000" w:themeColor="text1"/>
                <w:szCs w:val="18"/>
                <w14:textFill>
                  <w14:solidFill>
                    <w14:schemeClr w14:val="tx1"/>
                  </w14:solidFill>
                </w14:textFill>
              </w:rPr>
            </m:ctrlPr>
          </m:sSubPr>
          <m:e>
            <m:r>
              <m:rPr>
                <m:sty m:val="bi"/>
              </m:rPr>
              <w:rPr>
                <w:rFonts w:ascii="Cambria Math" w:hAnsi="Cambria Math"/>
                <w:color w:val="000000" w:themeColor="text1"/>
                <w:szCs w:val="18"/>
                <w14:textFill>
                  <w14:solidFill>
                    <w14:schemeClr w14:val="tx1"/>
                  </w14:solidFill>
                </w14:textFill>
              </w:rPr>
              <m:t>P</m:t>
            </m:r>
            <m:ctrlPr>
              <w:rPr>
                <w:rFonts w:ascii="Cambria Math" w:hAnsi="Cambria Math"/>
                <w:b w:val="0"/>
                <w:i/>
                <w:color w:val="000000" w:themeColor="text1"/>
                <w:szCs w:val="18"/>
                <w14:textFill>
                  <w14:solidFill>
                    <w14:schemeClr w14:val="tx1"/>
                  </w14:solidFill>
                </w14:textFill>
              </w:rPr>
            </m:ctrlPr>
          </m:e>
          <m:sub>
            <m:r>
              <m:rPr>
                <m:sty m:val="bi"/>
              </m:rPr>
              <w:rPr>
                <w:rFonts w:ascii="Cambria Math" w:hAnsi="Cambria Math"/>
                <w:color w:val="000000" w:themeColor="text1"/>
                <w:szCs w:val="18"/>
                <w14:textFill>
                  <w14:solidFill>
                    <w14:schemeClr w14:val="tx1"/>
                  </w14:solidFill>
                </w14:textFill>
              </w:rPr>
              <m:t>AE</m:t>
            </m:r>
            <m:ctrlPr>
              <w:rPr>
                <w:rFonts w:ascii="Cambria Math" w:hAnsi="Cambria Math"/>
                <w:b w:val="0"/>
                <w:i/>
                <w:color w:val="000000" w:themeColor="text1"/>
                <w:szCs w:val="18"/>
                <w14:textFill>
                  <w14:solidFill>
                    <w14:schemeClr w14:val="tx1"/>
                  </w14:solidFill>
                </w14:textFill>
              </w:rPr>
            </m:ctrlPr>
          </m:sub>
        </m:sSub>
      </m:oMath>
      <w:r>
        <w:rPr>
          <w:rFonts w:hint="eastAsia"/>
          <w:b w:val="0"/>
          <w:color w:val="000000" w:themeColor="text1"/>
          <w:szCs w:val="18"/>
          <w14:textFill>
            <w14:solidFill>
              <w14:schemeClr w14:val="tx1"/>
            </w14:solidFill>
          </w14:textFill>
        </w:rPr>
        <w:t>各指标进行取值，基于</w:t>
      </w:r>
      <w:r>
        <w:rPr>
          <w:rFonts w:hint="eastAsia"/>
          <w:b w:val="0"/>
          <w:bCs/>
          <w:color w:val="000000" w:themeColor="text1"/>
          <w:szCs w:val="21"/>
          <w14:textFill>
            <w14:solidFill>
              <w14:schemeClr w14:val="tx1"/>
            </w14:solidFill>
          </w14:textFill>
        </w:rPr>
        <w:t>地下病害体属性、周边工程、道路现状及路基沉降等数据确定各指标分值，具体如下：</w:t>
      </w:r>
    </w:p>
    <w:p>
      <w:pPr>
        <w:autoSpaceDE w:val="0"/>
        <w:autoSpaceDN w:val="0"/>
        <w:adjustRightInd w:val="0"/>
        <w:snapToGrid w:val="0"/>
        <w:jc w:val="center"/>
        <w:rPr>
          <w:b/>
        </w:rPr>
      </w:pPr>
      <w:r>
        <w:rPr>
          <w:rFonts w:hint="eastAsia"/>
          <w:b/>
        </w:rPr>
        <w:t>表</w:t>
      </w:r>
      <w:r>
        <w:rPr>
          <w:b/>
        </w:rPr>
        <w:t xml:space="preserve">8-3  </w:t>
      </w:r>
      <w:r>
        <w:rPr>
          <w:rFonts w:hint="eastAsia"/>
          <w:b/>
        </w:rPr>
        <w:t>地下病害体风险评估单元风险可能性评价指标</w:t>
      </w:r>
    </w:p>
    <w:tbl>
      <w:tblPr>
        <w:tblStyle w:val="26"/>
        <w:tblW w:w="5000" w:type="pct"/>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54"/>
        <w:gridCol w:w="718"/>
        <w:gridCol w:w="3071"/>
        <w:gridCol w:w="972"/>
        <w:gridCol w:w="15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一级指标</w:t>
            </w:r>
          </w:p>
        </w:tc>
        <w:tc>
          <w:tcPr>
            <w:tcW w:w="696" w:type="dxa"/>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一级</w:t>
            </w:r>
          </w:p>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权重</w:t>
            </w:r>
          </w:p>
        </w:tc>
        <w:tc>
          <w:tcPr>
            <w:tcW w:w="2977"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二级指标</w:t>
            </w:r>
          </w:p>
        </w:tc>
        <w:tc>
          <w:tcPr>
            <w:tcW w:w="942" w:type="dxa"/>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二级权重</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restart"/>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评估单元内病害体情况</w:t>
            </w:r>
            <m:oMath>
              <m:sSub>
                <m:sSubPr>
                  <m:ctrlPr>
                    <w:rPr>
                      <w:rFonts w:ascii="Cambria Math" w:hAnsi="Cambria Math"/>
                      <w:bCs/>
                      <w:i/>
                      <w:color w:val="000000" w:themeColor="text1"/>
                      <w:sz w:val="18"/>
                      <w:szCs w:val="18"/>
                      <w14:textFill>
                        <w14:solidFill>
                          <w14:schemeClr w14:val="tx1"/>
                        </w14:solidFill>
                      </w14:textFill>
                    </w:rPr>
                  </m:ctrlPr>
                </m:sSubPr>
                <m:e>
                  <m:r>
                    <m:rPr/>
                    <w:rPr>
                      <w:rFonts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AE</m:t>
                  </m:r>
                  <m:ctrlPr>
                    <w:rPr>
                      <w:rFonts w:ascii="Cambria Math" w:hAnsi="Cambria Math"/>
                      <w:bCs/>
                      <w:i/>
                      <w:color w:val="000000" w:themeColor="text1"/>
                      <w:sz w:val="18"/>
                      <w:szCs w:val="18"/>
                      <w14:textFill>
                        <w14:solidFill>
                          <w14:schemeClr w14:val="tx1"/>
                        </w14:solidFill>
                      </w14:textFill>
                    </w:rPr>
                  </m:ctrlPr>
                </m:sub>
              </m:sSub>
            </m:oMath>
          </w:p>
        </w:tc>
        <w:tc>
          <w:tcPr>
            <w:tcW w:w="696" w:type="dxa"/>
            <w:vMerge w:val="restart"/>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w:t>
            </w:r>
            <w:r>
              <w:rPr>
                <w:bCs/>
                <w:color w:val="000000" w:themeColor="text1"/>
                <w:sz w:val="18"/>
                <w:szCs w:val="18"/>
                <w14:textFill>
                  <w14:solidFill>
                    <w14:schemeClr w14:val="tx1"/>
                  </w14:solidFill>
                </w14:textFill>
              </w:rPr>
              <w:t>.35</w:t>
            </w: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评估单元内病害体风险等级情况</w:t>
            </w:r>
            <m:oMath>
              <m:sSub>
                <m:sSubPr>
                  <m:ctrlPr>
                    <w:rPr>
                      <w:rFonts w:ascii="Cambria Math" w:hAnsi="Cambria Math"/>
                      <w:bCs/>
                      <w:i/>
                      <w:color w:val="000000" w:themeColor="text1"/>
                      <w:sz w:val="18"/>
                      <w:szCs w:val="18"/>
                      <w14:textFill>
                        <w14:solidFill>
                          <w14:schemeClr w14:val="tx1"/>
                        </w14:solidFill>
                      </w14:textFill>
                    </w:rPr>
                  </m:ctrlPr>
                </m:sSubPr>
                <m:e>
                  <m:r>
                    <m:rPr/>
                    <w:rPr>
                      <w:rFonts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AE1</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0.5</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continue"/>
            <w:vAlign w:val="center"/>
          </w:tcPr>
          <w:p>
            <w:pPr>
              <w:spacing w:line="240" w:lineRule="auto"/>
              <w:jc w:val="center"/>
              <w:rPr>
                <w:bCs/>
                <w:color w:val="000000" w:themeColor="text1"/>
                <w:sz w:val="18"/>
                <w:szCs w:val="18"/>
                <w14:textFill>
                  <w14:solidFill>
                    <w14:schemeClr w14:val="tx1"/>
                  </w14:solidFill>
                </w14:textFill>
              </w:rPr>
            </w:pPr>
          </w:p>
        </w:tc>
        <w:tc>
          <w:tcPr>
            <w:tcW w:w="696" w:type="dxa"/>
            <w:vMerge w:val="continue"/>
            <w:shd w:val="clear" w:color="auto" w:fill="auto"/>
            <w:vAlign w:val="center"/>
          </w:tcPr>
          <w:p>
            <w:pPr>
              <w:spacing w:line="240" w:lineRule="auto"/>
              <w:jc w:val="center"/>
              <w:rPr>
                <w:bCs/>
                <w:color w:val="000000" w:themeColor="text1"/>
                <w:sz w:val="18"/>
                <w:szCs w:val="18"/>
                <w14:textFill>
                  <w14:solidFill>
                    <w14:schemeClr w14:val="tx1"/>
                  </w14:solidFill>
                </w14:textFill>
              </w:rPr>
            </w:pP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评估单元内病害体范围</w:t>
            </w:r>
            <m:oMath>
              <m:sSub>
                <m:sSubPr>
                  <m:ctrlPr>
                    <w:rPr>
                      <w:rFonts w:ascii="Cambria Math" w:hAnsi="Cambria Math"/>
                      <w:bCs/>
                      <w:i/>
                      <w:color w:val="000000" w:themeColor="text1"/>
                      <w:sz w:val="18"/>
                      <w:szCs w:val="18"/>
                      <w14:textFill>
                        <w14:solidFill>
                          <w14:schemeClr w14:val="tx1"/>
                        </w14:solidFill>
                      </w14:textFill>
                    </w:rPr>
                  </m:ctrlPr>
                </m:sSubPr>
                <m:e>
                  <m:r>
                    <m:rPr/>
                    <w:rPr>
                      <w:rFonts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AE2</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0.3</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83.3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continue"/>
            <w:vAlign w:val="center"/>
          </w:tcPr>
          <w:p>
            <w:pPr>
              <w:spacing w:line="240" w:lineRule="auto"/>
              <w:jc w:val="center"/>
              <w:rPr>
                <w:bCs/>
                <w:color w:val="000000" w:themeColor="text1"/>
                <w:sz w:val="18"/>
                <w:szCs w:val="18"/>
                <w14:textFill>
                  <w14:solidFill>
                    <w14:schemeClr w14:val="tx1"/>
                  </w14:solidFill>
                </w14:textFill>
              </w:rPr>
            </w:pPr>
          </w:p>
        </w:tc>
        <w:tc>
          <w:tcPr>
            <w:tcW w:w="696" w:type="dxa"/>
            <w:vMerge w:val="continue"/>
            <w:shd w:val="clear" w:color="auto" w:fill="auto"/>
            <w:vAlign w:val="center"/>
          </w:tcPr>
          <w:p>
            <w:pPr>
              <w:spacing w:line="240" w:lineRule="auto"/>
              <w:jc w:val="center"/>
              <w:rPr>
                <w:bCs/>
                <w:color w:val="000000" w:themeColor="text1"/>
                <w:sz w:val="18"/>
                <w:szCs w:val="18"/>
                <w14:textFill>
                  <w14:solidFill>
                    <w14:schemeClr w14:val="tx1"/>
                  </w14:solidFill>
                </w14:textFill>
              </w:rPr>
            </w:pP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评估单元位置情况</w:t>
            </w:r>
            <m:oMath>
              <m:sSub>
                <m:sSubPr>
                  <m:ctrlPr>
                    <w:rPr>
                      <w:rFonts w:ascii="Cambria Math" w:hAnsi="Cambria Math"/>
                      <w:bCs/>
                      <w:i/>
                      <w:color w:val="000000" w:themeColor="text1"/>
                      <w:sz w:val="18"/>
                      <w:szCs w:val="18"/>
                      <w14:textFill>
                        <w14:solidFill>
                          <w14:schemeClr w14:val="tx1"/>
                        </w14:solidFill>
                      </w14:textFill>
                    </w:rPr>
                  </m:ctrlPr>
                </m:sSubPr>
                <m:e>
                  <m:r>
                    <m:rPr/>
                    <w:rPr>
                      <w:rFonts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AE3</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0.2</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restart"/>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评估单元内病害体潜在风险</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hint="eastAsia" w:ascii="Cambria Math" w:hAnsi="Cambria Math"/>
                      <w:color w:val="000000" w:themeColor="text1"/>
                      <w:sz w:val="18"/>
                      <w:szCs w:val="18"/>
                      <w14:textFill>
                        <w14:solidFill>
                          <w14:schemeClr w14:val="tx1"/>
                        </w14:solidFill>
                      </w14:textFill>
                    </w:rPr>
                    <m:t>B</m:t>
                  </m:r>
                  <m:r>
                    <m:rPr/>
                    <w:rPr>
                      <w:rFonts w:ascii="Cambria Math" w:hAnsi="Cambria Math"/>
                      <w:color w:val="000000" w:themeColor="text1"/>
                      <w:sz w:val="18"/>
                      <w:szCs w:val="18"/>
                      <w14:textFill>
                        <w14:solidFill>
                          <w14:schemeClr w14:val="tx1"/>
                        </w14:solidFill>
                      </w14:textFill>
                    </w:rPr>
                    <m:t>E</m:t>
                  </m:r>
                  <m:ctrlPr>
                    <w:rPr>
                      <w:rFonts w:ascii="Cambria Math" w:hAnsi="Cambria Math"/>
                      <w:bCs/>
                      <w:i/>
                      <w:color w:val="000000" w:themeColor="text1"/>
                      <w:sz w:val="18"/>
                      <w:szCs w:val="18"/>
                      <w14:textFill>
                        <w14:solidFill>
                          <w14:schemeClr w14:val="tx1"/>
                        </w14:solidFill>
                      </w14:textFill>
                    </w:rPr>
                  </m:ctrlPr>
                </m:sub>
              </m:sSub>
            </m:oMath>
          </w:p>
        </w:tc>
        <w:tc>
          <w:tcPr>
            <w:tcW w:w="696" w:type="dxa"/>
            <w:vMerge w:val="restart"/>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w:t>
            </w:r>
            <w:r>
              <w:rPr>
                <w:bCs/>
                <w:color w:val="000000" w:themeColor="text1"/>
                <w:sz w:val="18"/>
                <w:szCs w:val="18"/>
                <w14:textFill>
                  <w14:solidFill>
                    <w14:schemeClr w14:val="tx1"/>
                  </w14:solidFill>
                </w14:textFill>
              </w:rPr>
              <w:t>.25</w:t>
            </w: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覆跨风险系数</w:t>
            </w:r>
            <m:oMath>
              <m:sSub>
                <m:sSubPr>
                  <m:ctrlPr>
                    <w:rPr>
                      <w:rFonts w:ascii="Cambria Math" w:hAnsi="Cambria Math"/>
                      <w:bCs/>
                      <w:i/>
                      <w:color w:val="000000" w:themeColor="text1"/>
                      <w:sz w:val="18"/>
                      <w:szCs w:val="18"/>
                      <w14:textFill>
                        <w14:solidFill>
                          <w14:schemeClr w14:val="tx1"/>
                        </w14:solidFill>
                      </w14:textFill>
                    </w:rPr>
                  </m:ctrlPr>
                </m:sSubPr>
                <m:e>
                  <m:r>
                    <m:rPr/>
                    <w:rPr>
                      <w:rFonts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hint="eastAsia" w:ascii="Cambria Math" w:hAnsi="Cambria Math"/>
                      <w:color w:val="000000" w:themeColor="text1"/>
                      <w:sz w:val="18"/>
                      <w:szCs w:val="18"/>
                      <w14:textFill>
                        <w14:solidFill>
                          <w14:schemeClr w14:val="tx1"/>
                        </w14:solidFill>
                      </w14:textFill>
                    </w:rPr>
                    <m:t>B</m:t>
                  </m:r>
                  <m:r>
                    <m:rPr/>
                    <w:rPr>
                      <w:rFonts w:ascii="Cambria Math" w:hAnsi="Cambria Math"/>
                      <w:color w:val="000000" w:themeColor="text1"/>
                      <w:sz w:val="18"/>
                      <w:szCs w:val="18"/>
                      <w14:textFill>
                        <w14:solidFill>
                          <w14:schemeClr w14:val="tx1"/>
                        </w14:solidFill>
                      </w14:textFill>
                    </w:rPr>
                    <m:t>E1</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0.6</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64.2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continue"/>
            <w:vAlign w:val="center"/>
          </w:tcPr>
          <w:p>
            <w:pPr>
              <w:spacing w:line="240" w:lineRule="auto"/>
              <w:jc w:val="center"/>
              <w:rPr>
                <w:bCs/>
                <w:color w:val="000000" w:themeColor="text1"/>
                <w:sz w:val="18"/>
                <w:szCs w:val="18"/>
                <w14:textFill>
                  <w14:solidFill>
                    <w14:schemeClr w14:val="tx1"/>
                  </w14:solidFill>
                </w14:textFill>
              </w:rPr>
            </w:pPr>
          </w:p>
        </w:tc>
        <w:tc>
          <w:tcPr>
            <w:tcW w:w="696" w:type="dxa"/>
            <w:vMerge w:val="continue"/>
            <w:shd w:val="clear" w:color="auto" w:fill="auto"/>
            <w:vAlign w:val="center"/>
          </w:tcPr>
          <w:p>
            <w:pPr>
              <w:spacing w:line="240" w:lineRule="auto"/>
              <w:jc w:val="center"/>
              <w:rPr>
                <w:bCs/>
                <w:color w:val="000000" w:themeColor="text1"/>
                <w:sz w:val="18"/>
                <w:szCs w:val="18"/>
                <w14:textFill>
                  <w14:solidFill>
                    <w14:schemeClr w14:val="tx1"/>
                  </w14:solidFill>
                </w14:textFill>
              </w:rPr>
            </w:pP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病害体发展趋势风险</w:t>
            </w:r>
            <m:oMath>
              <m:sSub>
                <m:sSubPr>
                  <m:ctrlPr>
                    <w:rPr>
                      <w:rFonts w:ascii="Cambria Math" w:hAnsi="Cambria Math"/>
                      <w:bCs/>
                      <w:i/>
                      <w:color w:val="000000" w:themeColor="text1"/>
                      <w:sz w:val="18"/>
                      <w:szCs w:val="18"/>
                      <w14:textFill>
                        <w14:solidFill>
                          <w14:schemeClr w14:val="tx1"/>
                        </w14:solidFill>
                      </w14:textFill>
                    </w:rPr>
                  </m:ctrlPr>
                </m:sSubPr>
                <m:e>
                  <m:r>
                    <m:rPr/>
                    <w:rPr>
                      <w:rFonts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hint="eastAsia" w:ascii="Cambria Math" w:hAnsi="Cambria Math"/>
                      <w:color w:val="000000" w:themeColor="text1"/>
                      <w:sz w:val="18"/>
                      <w:szCs w:val="18"/>
                      <w14:textFill>
                        <w14:solidFill>
                          <w14:schemeClr w14:val="tx1"/>
                        </w14:solidFill>
                      </w14:textFill>
                    </w:rPr>
                    <m:t>B</m:t>
                  </m:r>
                  <m:r>
                    <m:rPr/>
                    <w:rPr>
                      <w:rFonts w:ascii="Cambria Math" w:hAnsi="Cambria Math"/>
                      <w:color w:val="000000" w:themeColor="text1"/>
                      <w:sz w:val="18"/>
                      <w:szCs w:val="18"/>
                      <w14:textFill>
                        <w14:solidFill>
                          <w14:schemeClr w14:val="tx1"/>
                        </w14:solidFill>
                      </w14:textFill>
                    </w:rPr>
                    <m:t>E2</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0.4</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90.1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restart"/>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设施扰动</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CE</m:t>
                  </m:r>
                  <m:ctrlPr>
                    <w:rPr>
                      <w:rFonts w:ascii="Cambria Math" w:hAnsi="Cambria Math"/>
                      <w:bCs/>
                      <w:i/>
                      <w:color w:val="000000" w:themeColor="text1"/>
                      <w:sz w:val="18"/>
                      <w:szCs w:val="18"/>
                      <w14:textFill>
                        <w14:solidFill>
                          <w14:schemeClr w14:val="tx1"/>
                        </w14:solidFill>
                      </w14:textFill>
                    </w:rPr>
                  </m:ctrlPr>
                </m:sub>
              </m:sSub>
            </m:oMath>
          </w:p>
        </w:tc>
        <w:tc>
          <w:tcPr>
            <w:tcW w:w="696" w:type="dxa"/>
            <w:vMerge w:val="restart"/>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w:t>
            </w:r>
            <w:r>
              <w:rPr>
                <w:bCs/>
                <w:color w:val="000000" w:themeColor="text1"/>
                <w:sz w:val="18"/>
                <w:szCs w:val="18"/>
                <w14:textFill>
                  <w14:solidFill>
                    <w14:schemeClr w14:val="tx1"/>
                  </w14:solidFill>
                </w14:textFill>
              </w:rPr>
              <w:t>.2</w:t>
            </w: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施工干扰</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CE1</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0.35</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continue"/>
            <w:vAlign w:val="center"/>
          </w:tcPr>
          <w:p>
            <w:pPr>
              <w:spacing w:line="240" w:lineRule="auto"/>
              <w:jc w:val="center"/>
              <w:rPr>
                <w:bCs/>
                <w:color w:val="000000" w:themeColor="text1"/>
                <w:sz w:val="18"/>
                <w:szCs w:val="18"/>
                <w14:textFill>
                  <w14:solidFill>
                    <w14:schemeClr w14:val="tx1"/>
                  </w14:solidFill>
                </w14:textFill>
              </w:rPr>
            </w:pPr>
          </w:p>
        </w:tc>
        <w:tc>
          <w:tcPr>
            <w:tcW w:w="696" w:type="dxa"/>
            <w:vMerge w:val="continue"/>
            <w:shd w:val="clear" w:color="auto" w:fill="auto"/>
            <w:vAlign w:val="center"/>
          </w:tcPr>
          <w:p>
            <w:pPr>
              <w:spacing w:line="240" w:lineRule="auto"/>
              <w:jc w:val="center"/>
              <w:rPr>
                <w:bCs/>
                <w:color w:val="000000" w:themeColor="text1"/>
                <w:sz w:val="18"/>
                <w:szCs w:val="18"/>
                <w14:textFill>
                  <w14:solidFill>
                    <w14:schemeClr w14:val="tx1"/>
                  </w14:solidFill>
                </w14:textFill>
              </w:rPr>
            </w:pP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地面设施</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CE2</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0.15</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continue"/>
            <w:vAlign w:val="center"/>
          </w:tcPr>
          <w:p>
            <w:pPr>
              <w:spacing w:line="240" w:lineRule="auto"/>
              <w:jc w:val="center"/>
              <w:rPr>
                <w:bCs/>
                <w:color w:val="000000" w:themeColor="text1"/>
                <w:sz w:val="18"/>
                <w:szCs w:val="18"/>
                <w14:textFill>
                  <w14:solidFill>
                    <w14:schemeClr w14:val="tx1"/>
                  </w14:solidFill>
                </w14:textFill>
              </w:rPr>
            </w:pPr>
          </w:p>
        </w:tc>
        <w:tc>
          <w:tcPr>
            <w:tcW w:w="696" w:type="dxa"/>
            <w:vMerge w:val="continue"/>
            <w:shd w:val="clear" w:color="auto" w:fill="auto"/>
            <w:vAlign w:val="center"/>
          </w:tcPr>
          <w:p>
            <w:pPr>
              <w:spacing w:line="240" w:lineRule="auto"/>
              <w:jc w:val="center"/>
              <w:rPr>
                <w:bCs/>
                <w:color w:val="000000" w:themeColor="text1"/>
                <w:sz w:val="18"/>
                <w:szCs w:val="18"/>
                <w14:textFill>
                  <w14:solidFill>
                    <w14:schemeClr w14:val="tx1"/>
                  </w14:solidFill>
                </w14:textFill>
              </w:rPr>
            </w:pP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地下工程</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CE3</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0.5</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restart"/>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评估单元自身因</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DE</m:t>
                  </m:r>
                  <m:ctrlPr>
                    <w:rPr>
                      <w:rFonts w:ascii="Cambria Math" w:hAnsi="Cambria Math"/>
                      <w:bCs/>
                      <w:i/>
                      <w:color w:val="000000" w:themeColor="text1"/>
                      <w:sz w:val="18"/>
                      <w:szCs w:val="18"/>
                      <w14:textFill>
                        <w14:solidFill>
                          <w14:schemeClr w14:val="tx1"/>
                        </w14:solidFill>
                      </w14:textFill>
                    </w:rPr>
                  </m:ctrlPr>
                </m:sub>
              </m:sSub>
            </m:oMath>
          </w:p>
        </w:tc>
        <w:tc>
          <w:tcPr>
            <w:tcW w:w="696" w:type="dxa"/>
            <w:vMerge w:val="restart"/>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w:t>
            </w:r>
            <w:r>
              <w:rPr>
                <w:bCs/>
                <w:color w:val="000000" w:themeColor="text1"/>
                <w:sz w:val="18"/>
                <w:szCs w:val="18"/>
                <w14:textFill>
                  <w14:solidFill>
                    <w14:schemeClr w14:val="tx1"/>
                  </w14:solidFill>
                </w14:textFill>
              </w:rPr>
              <w:t>.2</w:t>
            </w: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道路现状</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DE1</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0.25</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continue"/>
            <w:vAlign w:val="center"/>
          </w:tcPr>
          <w:p>
            <w:pPr>
              <w:spacing w:line="240" w:lineRule="auto"/>
              <w:jc w:val="center"/>
              <w:rPr>
                <w:bCs/>
                <w:color w:val="000000" w:themeColor="text1"/>
                <w:sz w:val="18"/>
                <w:szCs w:val="18"/>
                <w14:textFill>
                  <w14:solidFill>
                    <w14:schemeClr w14:val="tx1"/>
                  </w14:solidFill>
                </w14:textFill>
              </w:rPr>
            </w:pPr>
          </w:p>
        </w:tc>
        <w:tc>
          <w:tcPr>
            <w:tcW w:w="696" w:type="dxa"/>
            <w:vMerge w:val="continue"/>
            <w:shd w:val="clear" w:color="auto" w:fill="auto"/>
            <w:vAlign w:val="center"/>
          </w:tcPr>
          <w:p>
            <w:pPr>
              <w:spacing w:line="240" w:lineRule="auto"/>
              <w:jc w:val="center"/>
              <w:rPr>
                <w:bCs/>
                <w:color w:val="000000" w:themeColor="text1"/>
                <w:sz w:val="18"/>
                <w:szCs w:val="18"/>
                <w14:textFill>
                  <w14:solidFill>
                    <w14:schemeClr w14:val="tx1"/>
                  </w14:solidFill>
                </w14:textFill>
              </w:rPr>
            </w:pP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评估单元环境风险</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DE2</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0.4</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continue"/>
            <w:vAlign w:val="center"/>
          </w:tcPr>
          <w:p>
            <w:pPr>
              <w:spacing w:line="240" w:lineRule="auto"/>
              <w:jc w:val="center"/>
              <w:rPr>
                <w:bCs/>
                <w:color w:val="000000" w:themeColor="text1"/>
                <w:sz w:val="18"/>
                <w:szCs w:val="18"/>
                <w14:textFill>
                  <w14:solidFill>
                    <w14:schemeClr w14:val="tx1"/>
                  </w14:solidFill>
                </w14:textFill>
              </w:rPr>
            </w:pPr>
          </w:p>
        </w:tc>
        <w:tc>
          <w:tcPr>
            <w:tcW w:w="696" w:type="dxa"/>
            <w:vMerge w:val="continue"/>
            <w:shd w:val="clear" w:color="auto" w:fill="auto"/>
            <w:vAlign w:val="center"/>
          </w:tcPr>
          <w:p>
            <w:pPr>
              <w:spacing w:line="240" w:lineRule="auto"/>
              <w:jc w:val="center"/>
              <w:rPr>
                <w:bCs/>
                <w:color w:val="000000" w:themeColor="text1"/>
                <w:sz w:val="18"/>
                <w:szCs w:val="18"/>
                <w14:textFill>
                  <w14:solidFill>
                    <w14:schemeClr w14:val="tx1"/>
                  </w14:solidFill>
                </w14:textFill>
              </w:rPr>
            </w:pP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路基平均沉降速率</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DE3</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0.1</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1701" w:type="dxa"/>
            <w:vMerge w:val="continue"/>
            <w:vAlign w:val="center"/>
          </w:tcPr>
          <w:p>
            <w:pPr>
              <w:spacing w:line="240" w:lineRule="auto"/>
              <w:jc w:val="center"/>
              <w:rPr>
                <w:bCs/>
                <w:color w:val="000000" w:themeColor="text1"/>
                <w:sz w:val="18"/>
                <w:szCs w:val="18"/>
                <w14:textFill>
                  <w14:solidFill>
                    <w14:schemeClr w14:val="tx1"/>
                  </w14:solidFill>
                </w14:textFill>
              </w:rPr>
            </w:pPr>
          </w:p>
        </w:tc>
        <w:tc>
          <w:tcPr>
            <w:tcW w:w="696" w:type="dxa"/>
            <w:vMerge w:val="continue"/>
            <w:shd w:val="clear" w:color="auto" w:fill="auto"/>
            <w:vAlign w:val="center"/>
          </w:tcPr>
          <w:p>
            <w:pPr>
              <w:spacing w:line="240" w:lineRule="auto"/>
              <w:jc w:val="center"/>
              <w:rPr>
                <w:bCs/>
                <w:color w:val="000000" w:themeColor="text1"/>
                <w:sz w:val="18"/>
                <w:szCs w:val="18"/>
                <w14:textFill>
                  <w14:solidFill>
                    <w14:schemeClr w14:val="tx1"/>
                  </w14:solidFill>
                </w14:textFill>
              </w:rPr>
            </w:pPr>
          </w:p>
        </w:tc>
        <w:tc>
          <w:tcPr>
            <w:tcW w:w="2977"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道路平均载荷</w:t>
            </w:r>
            <m:oMath>
              <m:sSub>
                <m:sSubPr>
                  <m:ctrlPr>
                    <w:rPr>
                      <w:rFonts w:ascii="Cambria Math" w:hAnsi="Cambria Math"/>
                      <w:bCs/>
                      <w:i/>
                      <w:color w:val="000000" w:themeColor="text1"/>
                      <w:sz w:val="18"/>
                      <w:szCs w:val="18"/>
                      <w14:textFill>
                        <w14:solidFill>
                          <w14:schemeClr w14:val="tx1"/>
                        </w14:solidFill>
                      </w14:textFill>
                    </w:rPr>
                  </m:ctrlPr>
                </m:sSubPr>
                <m:e>
                  <m:r>
                    <m:rPr/>
                    <w:rPr>
                      <w:rFonts w:hint="eastAsia" w:ascii="Cambria Math" w:hAnsi="Cambria Math"/>
                      <w:color w:val="000000" w:themeColor="text1"/>
                      <w:sz w:val="18"/>
                      <w:szCs w:val="18"/>
                      <w14:textFill>
                        <w14:solidFill>
                          <w14:schemeClr w14:val="tx1"/>
                        </w14:solidFill>
                      </w14:textFill>
                    </w:rPr>
                    <m:t>P</m:t>
                  </m:r>
                  <m:ctrlPr>
                    <w:rPr>
                      <w:rFonts w:ascii="Cambria Math" w:hAnsi="Cambria Math"/>
                      <w:bCs/>
                      <w:i/>
                      <w:color w:val="000000" w:themeColor="text1"/>
                      <w:sz w:val="18"/>
                      <w:szCs w:val="18"/>
                      <w14:textFill>
                        <w14:solidFill>
                          <w14:schemeClr w14:val="tx1"/>
                        </w14:solidFill>
                      </w14:textFill>
                    </w:rPr>
                  </m:ctrlPr>
                </m:e>
                <m:sub>
                  <m:r>
                    <m:rPr/>
                    <w:rPr>
                      <w:rFonts w:ascii="Cambria Math" w:hAnsi="Cambria Math"/>
                      <w:color w:val="000000" w:themeColor="text1"/>
                      <w:sz w:val="18"/>
                      <w:szCs w:val="18"/>
                      <w14:textFill>
                        <w14:solidFill>
                          <w14:schemeClr w14:val="tx1"/>
                        </w14:solidFill>
                      </w14:textFill>
                    </w:rPr>
                    <m:t>DE4</m:t>
                  </m:r>
                  <m:ctrlPr>
                    <w:rPr>
                      <w:rFonts w:ascii="Cambria Math" w:hAnsi="Cambria Math"/>
                      <w:bCs/>
                      <w:i/>
                      <w:color w:val="000000" w:themeColor="text1"/>
                      <w:sz w:val="18"/>
                      <w:szCs w:val="18"/>
                      <w14:textFill>
                        <w14:solidFill>
                          <w14:schemeClr w14:val="tx1"/>
                        </w14:solidFill>
                      </w14:textFill>
                    </w:rPr>
                  </m:ctrlPr>
                </m:sub>
              </m:sSub>
            </m:oMath>
          </w:p>
        </w:tc>
        <w:tc>
          <w:tcPr>
            <w:tcW w:w="942" w:type="dxa"/>
            <w:shd w:val="clear" w:color="auto" w:fill="auto"/>
            <w:vAlign w:val="center"/>
          </w:tcPr>
          <w:p>
            <w:pPr>
              <w:spacing w:line="240" w:lineRule="auto"/>
              <w:jc w:val="center"/>
              <w:rPr>
                <w:bCs/>
                <w:color w:val="000000" w:themeColor="text1"/>
                <w:sz w:val="18"/>
                <w:szCs w:val="18"/>
                <w14:textFill>
                  <w14:solidFill>
                    <w14:schemeClr w14:val="tx1"/>
                  </w14:solidFill>
                </w14:textFill>
              </w:rPr>
            </w:pPr>
            <w:r>
              <w:rPr>
                <w:rFonts w:eastAsia="等线"/>
                <w:bCs/>
                <w:color w:val="000000" w:themeColor="text1"/>
                <w:sz w:val="18"/>
                <w:szCs w:val="18"/>
                <w14:textFill>
                  <w14:solidFill>
                    <w14:schemeClr w14:val="tx1"/>
                  </w14:solidFill>
                </w14:textFill>
              </w:rPr>
              <w:t>0.25</w:t>
            </w:r>
          </w:p>
        </w:tc>
        <w:tc>
          <w:tcPr>
            <w:tcW w:w="1492" w:type="dxa"/>
            <w:shd w:val="clear" w:color="auto" w:fill="auto"/>
            <w:noWrap/>
            <w:vAlign w:val="center"/>
          </w:tcPr>
          <w:p>
            <w:pPr>
              <w:spacing w:line="240" w:lineRule="auto"/>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90</w:t>
            </w:r>
          </w:p>
        </w:tc>
      </w:tr>
    </w:tbl>
    <w:p>
      <w:pPr>
        <w:pStyle w:val="85"/>
        <w:spacing w:before="240"/>
        <w:ind w:left="420"/>
        <w:jc w:val="both"/>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计算该评估单元风险发生可能性分值</w:t>
      </w:r>
      <m:oMath>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S</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E</m:t>
            </m:r>
            <m:ctrlPr>
              <w:rPr>
                <w:rFonts w:ascii="Cambria Math" w:hAnsi="Cambria Math"/>
                <w:b w:val="0"/>
                <w:bCs/>
                <w:i/>
                <w:color w:val="000000" w:themeColor="text1"/>
                <w:szCs w:val="21"/>
                <w14:textFill>
                  <w14:solidFill>
                    <w14:schemeClr w14:val="tx1"/>
                  </w14:solidFill>
                </w14:textFill>
              </w:rPr>
            </m:ctrlPr>
          </m:sub>
        </m:sSub>
      </m:oMath>
      <w:r>
        <w:rPr>
          <w:rFonts w:hint="eastAsia"/>
          <w:b w:val="0"/>
          <w:bCs/>
          <w:color w:val="000000" w:themeColor="text1"/>
          <w:szCs w:val="21"/>
          <w14:textFill>
            <w14:solidFill>
              <w14:schemeClr w14:val="tx1"/>
            </w14:solidFill>
          </w14:textFill>
        </w:rPr>
        <w:t>：</w:t>
      </w:r>
    </w:p>
    <w:p>
      <w:pPr>
        <w:pStyle w:val="85"/>
        <w:jc w:val="both"/>
        <w:rPr>
          <w:b w:val="0"/>
          <w:bCs/>
          <w:color w:val="000000" w:themeColor="text1"/>
          <w:szCs w:val="21"/>
          <w14:textFill>
            <w14:solidFill>
              <w14:schemeClr w14:val="tx1"/>
            </w14:solidFill>
          </w14:textFill>
        </w:rPr>
      </w:pPr>
      <m:oMathPara>
        <m:oMath>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AE1</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AE1</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AE2</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AE2</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AE3</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AE3</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=0.5</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55+0.3</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83.3+0.2</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75</m:t>
          </m:r>
        </m:oMath>
      </m:oMathPara>
    </w:p>
    <w:p>
      <w:pPr>
        <w:pStyle w:val="85"/>
        <w:ind w:left="420"/>
        <w:jc w:val="both"/>
        <w:rPr>
          <w:b w:val="0"/>
          <w:bCs/>
          <w:color w:val="000000" w:themeColor="text1"/>
          <w:szCs w:val="21"/>
          <w14:textFill>
            <w14:solidFill>
              <w14:schemeClr w14:val="tx1"/>
            </w14:solidFill>
          </w14:textFill>
        </w:rPr>
      </w:pPr>
      <m:oMath>
        <m:r>
          <m:rPr>
            <m:sty m:val="bi"/>
          </m:rPr>
          <w:rPr>
            <w:rFonts w:ascii="Cambria Math" w:hAnsi="Cambria Math"/>
            <w:color w:val="000000" w:themeColor="text1"/>
            <w:szCs w:val="21"/>
            <w14:textFill>
              <w14:solidFill>
                <w14:schemeClr w14:val="tx1"/>
              </w14:solidFill>
            </w14:textFill>
          </w:rPr>
          <m:t xml:space="preserve">          =67.49</m:t>
        </m:r>
      </m:oMath>
      <w:r>
        <w:rPr>
          <w:rFonts w:hint="eastAsia"/>
          <w:b w:val="0"/>
          <w:bCs/>
          <w:color w:val="000000" w:themeColor="text1"/>
          <w:szCs w:val="21"/>
          <w14:textFill>
            <w14:solidFill>
              <w14:schemeClr w14:val="tx1"/>
            </w14:solidFill>
          </w14:textFill>
        </w:rPr>
        <w:t xml:space="preserve"> </w:t>
      </w:r>
    </w:p>
    <w:p>
      <w:pPr>
        <w:pStyle w:val="85"/>
        <w:ind w:left="420"/>
        <w:jc w:val="both"/>
        <w:rPr>
          <w:b w:val="0"/>
          <w:bCs/>
          <w:color w:val="000000" w:themeColor="text1"/>
          <w:szCs w:val="21"/>
          <w14:textFill>
            <w14:solidFill>
              <w14:schemeClr w14:val="tx1"/>
            </w14:solidFill>
          </w14:textFill>
        </w:rPr>
      </w:pPr>
      <m:oMath>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BE</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BE1</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BE1</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BE2</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BE2</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=0.6</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64.2+0.4</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90.1=74.56</m:t>
        </m:r>
      </m:oMath>
      <w:r>
        <w:rPr>
          <w:rFonts w:hint="eastAsia"/>
          <w:b w:val="0"/>
          <w:bCs/>
          <w:color w:val="000000" w:themeColor="text1"/>
          <w:szCs w:val="21"/>
          <w14:textFill>
            <w14:solidFill>
              <w14:schemeClr w14:val="tx1"/>
            </w14:solidFill>
          </w14:textFill>
        </w:rPr>
        <w:t xml:space="preserve"> </w:t>
      </w:r>
    </w:p>
    <w:p>
      <w:pPr>
        <w:pStyle w:val="85"/>
        <w:ind w:left="420"/>
        <w:jc w:val="both"/>
        <w:rPr>
          <w:b w:val="0"/>
          <w:bCs/>
          <w:color w:val="000000" w:themeColor="text1"/>
          <w:szCs w:val="21"/>
          <w14:textFill>
            <w14:solidFill>
              <w14:schemeClr w14:val="tx1"/>
            </w14:solidFill>
          </w14:textFill>
        </w:rPr>
      </w:pPr>
      <m:oMath>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CE1</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CE1</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CE2</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CE2</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CE3</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CE3</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=0.35</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0+0.15</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0+0.5</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0=0</m:t>
        </m:r>
      </m:oMath>
      <w:r>
        <w:rPr>
          <w:rFonts w:hint="eastAsia"/>
          <w:b w:val="0"/>
          <w:bCs/>
          <w:color w:val="000000" w:themeColor="text1"/>
          <w:szCs w:val="21"/>
          <w14:textFill>
            <w14:solidFill>
              <w14:schemeClr w14:val="tx1"/>
            </w14:solidFill>
          </w14:textFill>
        </w:rPr>
        <w:t xml:space="preserve"> </w:t>
      </w:r>
    </w:p>
    <w:p>
      <w:pPr>
        <w:pStyle w:val="85"/>
        <w:ind w:left="420"/>
        <w:jc w:val="both"/>
        <w:rPr>
          <w:b w:val="0"/>
          <w:bCs/>
          <w:color w:val="000000" w:themeColor="text1"/>
          <w:szCs w:val="21"/>
          <w14:textFill>
            <w14:solidFill>
              <w14:schemeClr w14:val="tx1"/>
            </w14:solidFill>
          </w14:textFill>
        </w:rPr>
      </w:pPr>
      <m:oMath>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DE1</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DE1</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DE2</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DE2</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DE3</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DE3</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DE4</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DE4</m:t>
            </m:r>
            <m:ctrlPr>
              <w:rPr>
                <w:rFonts w:ascii="Cambria Math" w:hAnsi="Cambria Math"/>
                <w:b w:val="0"/>
                <w:bCs/>
                <w:i/>
                <w:color w:val="000000" w:themeColor="text1"/>
                <w:szCs w:val="21"/>
                <w14:textFill>
                  <w14:solidFill>
                    <w14:schemeClr w14:val="tx1"/>
                  </w14:solidFill>
                </w14:textFill>
              </w:rPr>
            </m:ctrlPr>
          </m:sub>
        </m:sSub>
      </m:oMath>
      <w:r>
        <w:rPr>
          <w:rFonts w:hint="eastAsia"/>
          <w:b w:val="0"/>
          <w:bCs/>
          <w:color w:val="000000" w:themeColor="text1"/>
          <w:szCs w:val="21"/>
          <w14:textFill>
            <w14:solidFill>
              <w14:schemeClr w14:val="tx1"/>
            </w14:solidFill>
          </w14:textFill>
        </w:rPr>
        <w:t xml:space="preserve"> </w:t>
      </w:r>
    </w:p>
    <w:p>
      <w:pPr>
        <w:pStyle w:val="85"/>
        <w:ind w:left="420"/>
        <w:jc w:val="both"/>
        <w:rPr>
          <w:b w:val="0"/>
          <w:bCs/>
          <w:color w:val="000000" w:themeColor="text1"/>
          <w:szCs w:val="21"/>
          <w14:textFill>
            <w14:solidFill>
              <w14:schemeClr w14:val="tx1"/>
            </w14:solidFill>
          </w14:textFill>
        </w:rPr>
      </w:pPr>
      <m:oMath>
        <m:r>
          <m:rPr>
            <m:sty m:val="bi"/>
          </m:rPr>
          <w:rPr>
            <w:rFonts w:ascii="Cambria Math" w:hAnsi="Cambria Math"/>
            <w:color w:val="000000" w:themeColor="text1"/>
            <w:szCs w:val="21"/>
            <w14:textFill>
              <w14:solidFill>
                <w14:schemeClr w14:val="tx1"/>
              </w14:solidFill>
            </w14:textFill>
          </w:rPr>
          <m:t xml:space="preserve">         =0.25</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85+0.4</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0+0.1</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0+0.25</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90=43.75</m:t>
        </m:r>
      </m:oMath>
      <w:r>
        <w:rPr>
          <w:b w:val="0"/>
          <w:bCs/>
          <w:color w:val="000000" w:themeColor="text1"/>
          <w:szCs w:val="21"/>
          <w14:textFill>
            <w14:solidFill>
              <w14:schemeClr w14:val="tx1"/>
            </w14:solidFill>
          </w14:textFill>
        </w:rPr>
        <w:t xml:space="preserve">  </w:t>
      </w:r>
    </w:p>
    <w:p>
      <w:pPr>
        <w:pStyle w:val="85"/>
        <w:ind w:left="420"/>
        <w:jc w:val="both"/>
        <w:rPr>
          <w:b w:val="0"/>
          <w:bCs/>
          <w:color w:val="000000" w:themeColor="text1"/>
          <w:szCs w:val="21"/>
          <w14:textFill>
            <w14:solidFill>
              <w14:schemeClr w14:val="tx1"/>
            </w14:solidFill>
          </w14:textFill>
        </w:rPr>
      </w:pPr>
      <m:oMath>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 xml:space="preserve">  S</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E</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 xml:space="preserve"> =</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AE</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BE</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BE</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CE</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m:t>
            </m:r>
            <m:ctrlPr>
              <w:rPr>
                <w:rFonts w:ascii="Cambria Math" w:hAnsi="Cambria Math"/>
                <w:b w:val="0"/>
                <w:bCs/>
                <w:i/>
                <w:color w:val="000000" w:themeColor="text1"/>
                <w:szCs w:val="21"/>
                <w14:textFill>
                  <w14:solidFill>
                    <w14:schemeClr w14:val="tx1"/>
                  </w14:solidFill>
                </w14:textFill>
              </w:rPr>
            </m:ctrlPr>
          </m:sub>
        </m:sSub>
        <m:sSub>
          <m:sSubPr>
            <m:ctrlPr>
              <w:rPr>
                <w:rFonts w:ascii="Cambria Math" w:hAnsi="Cambria Math"/>
                <w:b w:val="0"/>
                <w:bCs/>
                <w:i/>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i/>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DE</m:t>
            </m:r>
            <m:ctrlPr>
              <w:rPr>
                <w:rFonts w:ascii="Cambria Math" w:hAnsi="Cambria Math"/>
                <w:b w:val="0"/>
                <w:bCs/>
                <w:i/>
                <w:color w:val="000000" w:themeColor="text1"/>
                <w:szCs w:val="21"/>
                <w14:textFill>
                  <w14:solidFill>
                    <w14:schemeClr w14:val="tx1"/>
                  </w14:solidFill>
                </w14:textFill>
              </w:rPr>
            </m:ctrlPr>
          </m:sub>
        </m:sSub>
      </m:oMath>
      <w:r>
        <w:rPr>
          <w:rFonts w:hint="eastAsia"/>
          <w:b w:val="0"/>
          <w:bCs/>
          <w:color w:val="000000" w:themeColor="text1"/>
          <w:szCs w:val="21"/>
          <w14:textFill>
            <w14:solidFill>
              <w14:schemeClr w14:val="tx1"/>
            </w14:solidFill>
          </w14:textFill>
        </w:rPr>
        <w:t xml:space="preserve"> </w:t>
      </w:r>
    </w:p>
    <w:p>
      <w:pPr>
        <w:pStyle w:val="85"/>
        <w:ind w:left="420"/>
        <w:jc w:val="both"/>
        <w:rPr>
          <w:b w:val="0"/>
          <w:bCs/>
          <w:color w:val="000000" w:themeColor="text1"/>
          <w:szCs w:val="21"/>
          <w14:textFill>
            <w14:solidFill>
              <w14:schemeClr w14:val="tx1"/>
            </w14:solidFill>
          </w14:textFill>
        </w:rPr>
      </w:pPr>
      <m:oMath>
        <m:r>
          <m:rPr>
            <m:sty m:val="bi"/>
          </m:rPr>
          <w:rPr>
            <w:rFonts w:ascii="Cambria Math" w:hAnsi="Cambria Math"/>
            <w:color w:val="000000" w:themeColor="text1"/>
            <w:szCs w:val="21"/>
            <w14:textFill>
              <w14:solidFill>
                <w14:schemeClr w14:val="tx1"/>
              </w14:solidFill>
            </w14:textFill>
          </w:rPr>
          <m:t xml:space="preserve">         =0.35</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67.49+0.25</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74.56+0.2</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0+0.2</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43.75=51.01</m:t>
        </m:r>
      </m:oMath>
      <w:r>
        <w:rPr>
          <w:rFonts w:hint="eastAsia"/>
          <w:b w:val="0"/>
          <w:bCs/>
          <w:color w:val="000000" w:themeColor="text1"/>
          <w:szCs w:val="21"/>
          <w14:textFill>
            <w14:solidFill>
              <w14:schemeClr w14:val="tx1"/>
            </w14:solidFill>
          </w14:textFill>
        </w:rPr>
        <w:t xml:space="preserve"> </w:t>
      </w:r>
    </w:p>
    <w:p>
      <w:pPr>
        <w:pStyle w:val="85"/>
        <w:ind w:left="420"/>
        <w:jc w:val="both"/>
        <w:rPr>
          <w:b w:val="0"/>
          <w:bCs/>
          <w:iCs/>
          <w:color w:val="000000" w:themeColor="text1"/>
          <w:szCs w:val="21"/>
          <w14:textFill>
            <w14:solidFill>
              <w14:schemeClr w14:val="tx1"/>
            </w14:solidFill>
          </w14:textFill>
        </w:rPr>
      </w:pPr>
      <w:r>
        <w:rPr>
          <w:rFonts w:hint="eastAsia"/>
          <w:b w:val="0"/>
          <w:bCs/>
          <w:iCs/>
          <w:color w:val="000000" w:themeColor="text1"/>
          <w:szCs w:val="21"/>
          <w14:textFill>
            <w14:solidFill>
              <w14:schemeClr w14:val="tx1"/>
            </w14:solidFill>
          </w14:textFill>
        </w:rPr>
        <w:t>得到</w:t>
      </w:r>
      <w:r>
        <w:rPr>
          <w:b w:val="0"/>
          <w:bCs/>
          <w:iCs/>
          <w:color w:val="000000" w:themeColor="text1"/>
          <w:szCs w:val="21"/>
          <w14:textFill>
            <w14:solidFill>
              <w14:schemeClr w14:val="tx1"/>
            </w14:solidFill>
          </w14:textFill>
        </w:rPr>
        <w:t>LD</w:t>
      </w:r>
      <w:r>
        <w:rPr>
          <w:rFonts w:hint="eastAsia"/>
          <w:b w:val="0"/>
          <w:bCs/>
          <w:iCs/>
          <w:color w:val="000000" w:themeColor="text1"/>
          <w:szCs w:val="21"/>
          <w14:textFill>
            <w14:solidFill>
              <w14:schemeClr w14:val="tx1"/>
            </w14:solidFill>
          </w14:textFill>
        </w:rPr>
        <w:t>_1评估单元的风险发生可能性分值为</w:t>
      </w:r>
      <w:r>
        <w:rPr>
          <w:b w:val="0"/>
          <w:bCs/>
          <w:iCs/>
          <w:color w:val="000000" w:themeColor="text1"/>
          <w:szCs w:val="21"/>
          <w14:textFill>
            <w14:solidFill>
              <w14:schemeClr w14:val="tx1"/>
            </w14:solidFill>
          </w14:textFill>
        </w:rPr>
        <w:t>51.01</w:t>
      </w:r>
      <w:r>
        <w:rPr>
          <w:rFonts w:hint="eastAsia"/>
          <w:b w:val="0"/>
          <w:bCs/>
          <w:iCs/>
          <w:color w:val="000000" w:themeColor="text1"/>
          <w:szCs w:val="21"/>
          <w14:textFill>
            <w14:solidFill>
              <w14:schemeClr w14:val="tx1"/>
            </w14:solidFill>
          </w14:textFill>
        </w:rPr>
        <w:t>，对应</w:t>
      </w:r>
      <w:r>
        <w:rPr>
          <w:b w:val="0"/>
          <w:bCs/>
          <w:iCs/>
          <w:color w:val="000000" w:themeColor="text1"/>
          <w:szCs w:val="21"/>
          <w14:textFill>
            <w14:solidFill>
              <w14:schemeClr w14:val="tx1"/>
            </w14:solidFill>
          </w14:textFill>
        </w:rPr>
        <w:t>C</w:t>
      </w:r>
      <w:r>
        <w:rPr>
          <w:rFonts w:hint="eastAsia"/>
          <w:b w:val="0"/>
          <w:bCs/>
          <w:iCs/>
          <w:color w:val="000000" w:themeColor="text1"/>
          <w:szCs w:val="21"/>
          <w14:textFill>
            <w14:solidFill>
              <w14:schemeClr w14:val="tx1"/>
            </w14:solidFill>
          </w14:textFill>
        </w:rPr>
        <w:t>级风险。</w:t>
      </w:r>
    </w:p>
    <w:p>
      <w:pPr>
        <w:pStyle w:val="85"/>
        <w:ind w:firstLine="420" w:firstLineChars="200"/>
        <w:jc w:val="both"/>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3</w:t>
      </w:r>
      <w:r>
        <w:rPr>
          <w:b w:val="0"/>
          <w:bCs/>
          <w:color w:val="000000" w:themeColor="text1"/>
          <w:szCs w:val="21"/>
          <w14:textFill>
            <w14:solidFill>
              <w14:schemeClr w14:val="tx1"/>
            </w14:solidFill>
          </w14:textFill>
        </w:rPr>
        <w:t xml:space="preserve">  </w:t>
      </w:r>
      <w:r>
        <w:rPr>
          <w:rFonts w:hint="eastAsia"/>
          <w:b w:val="0"/>
          <w:bCs/>
          <w:color w:val="000000" w:themeColor="text1"/>
          <w:szCs w:val="21"/>
          <w14:textFill>
            <w14:solidFill>
              <w14:schemeClr w14:val="tx1"/>
            </w14:solidFill>
          </w14:textFill>
        </w:rPr>
        <w:t>风险后果评价</w:t>
      </w:r>
    </w:p>
    <w:p>
      <w:pPr>
        <w:pStyle w:val="85"/>
        <w:ind w:left="780"/>
        <w:jc w:val="both"/>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依据路段周边情况，可得风险发生后果得分如下：</w:t>
      </w:r>
    </w:p>
    <w:p>
      <w:pPr>
        <w:autoSpaceDE w:val="0"/>
        <w:autoSpaceDN w:val="0"/>
        <w:adjustRightInd w:val="0"/>
        <w:snapToGrid w:val="0"/>
        <w:jc w:val="center"/>
        <w:rPr>
          <w:b/>
        </w:rPr>
      </w:pPr>
      <w:r>
        <w:rPr>
          <w:rFonts w:hint="eastAsia"/>
          <w:b/>
        </w:rPr>
        <w:t>表</w:t>
      </w:r>
      <w:r>
        <w:rPr>
          <w:b/>
        </w:rPr>
        <w:t xml:space="preserve">8-4  </w:t>
      </w:r>
      <w:r>
        <w:rPr>
          <w:rFonts w:hint="eastAsia"/>
          <w:b/>
        </w:rPr>
        <w:t>地下病害体风险评估单元风险发生后果评价指标</w:t>
      </w:r>
    </w:p>
    <w:tbl>
      <w:tblPr>
        <w:tblStyle w:val="27"/>
        <w:tblW w:w="0" w:type="auto"/>
        <w:tblInd w:w="42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69"/>
        <w:gridCol w:w="2533"/>
        <w:gridCol w:w="25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3"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指标</w:t>
            </w:r>
          </w:p>
        </w:tc>
        <w:tc>
          <w:tcPr>
            <w:tcW w:w="2616"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权重</w:t>
            </w:r>
          </w:p>
        </w:tc>
        <w:tc>
          <w:tcPr>
            <w:tcW w:w="2617"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3"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建（构）筑物分布情况</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r1</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2616"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0.2</w:t>
            </w:r>
          </w:p>
        </w:tc>
        <w:tc>
          <w:tcPr>
            <w:tcW w:w="2617" w:type="dxa"/>
            <w:shd w:val="clear" w:color="auto" w:fill="auto"/>
            <w:vAlign w:val="bottom"/>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643"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人员密集程度</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r2</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2616"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0.3</w:t>
            </w:r>
          </w:p>
        </w:tc>
        <w:tc>
          <w:tcPr>
            <w:tcW w:w="2617" w:type="dxa"/>
            <w:shd w:val="clear" w:color="auto" w:fill="auto"/>
            <w:vAlign w:val="bottom"/>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643"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财产及危化品设施分布</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r3</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2616"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0.3</w:t>
            </w:r>
          </w:p>
        </w:tc>
        <w:tc>
          <w:tcPr>
            <w:tcW w:w="2617" w:type="dxa"/>
            <w:shd w:val="clear" w:color="auto" w:fill="auto"/>
            <w:vAlign w:val="bottom"/>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43"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社会影响</w:t>
            </w:r>
            <m:oMath>
              <m:sSub>
                <m:sSubPr>
                  <m:ctrlPr>
                    <w:rPr>
                      <w:rFonts w:ascii="Cambria Math" w:hAnsi="Cambria Math" w:cs="Times New Roman"/>
                      <w:b w:val="0"/>
                      <w:bCs/>
                      <w:i/>
                      <w:color w:val="000000" w:themeColor="text1"/>
                      <w:sz w:val="18"/>
                      <w:szCs w:val="18"/>
                      <w14:textFill>
                        <w14:solidFill>
                          <w14:schemeClr w14:val="tx1"/>
                        </w14:solidFill>
                      </w14:textFill>
                    </w:rPr>
                  </m:ctrlPr>
                </m:sSubPr>
                <m:e>
                  <m:r>
                    <m:rPr>
                      <m:sty m:val="bi"/>
                    </m:rPr>
                    <w:rPr>
                      <w:rFonts w:ascii="Cambria Math" w:hAnsi="Cambria Math" w:cs="Times New Roman"/>
                      <w:color w:val="000000" w:themeColor="text1"/>
                      <w:sz w:val="18"/>
                      <w:szCs w:val="18"/>
                      <w14:textFill>
                        <w14:solidFill>
                          <w14:schemeClr w14:val="tx1"/>
                        </w14:solidFill>
                      </w14:textFill>
                    </w:rPr>
                    <m:t>P</m:t>
                  </m:r>
                  <m:ctrlPr>
                    <w:rPr>
                      <w:rFonts w:ascii="Cambria Math" w:hAnsi="Cambria Math" w:cs="Times New Roman"/>
                      <w:b w:val="0"/>
                      <w:bCs/>
                      <w:i/>
                      <w:color w:val="000000" w:themeColor="text1"/>
                      <w:sz w:val="18"/>
                      <w:szCs w:val="18"/>
                      <w14:textFill>
                        <w14:solidFill>
                          <w14:schemeClr w14:val="tx1"/>
                        </w14:solidFill>
                      </w14:textFill>
                    </w:rPr>
                  </m:ctrlPr>
                </m:e>
                <m:sub>
                  <m:r>
                    <m:rPr>
                      <m:sty m:val="bi"/>
                    </m:rPr>
                    <w:rPr>
                      <w:rFonts w:ascii="Cambria Math" w:hAnsi="Cambria Math" w:cs="Times New Roman"/>
                      <w:color w:val="000000" w:themeColor="text1"/>
                      <w:sz w:val="18"/>
                      <w:szCs w:val="18"/>
                      <w14:textFill>
                        <w14:solidFill>
                          <w14:schemeClr w14:val="tx1"/>
                        </w14:solidFill>
                      </w14:textFill>
                    </w:rPr>
                    <m:t>r4</m:t>
                  </m:r>
                  <m:ctrlPr>
                    <w:rPr>
                      <w:rFonts w:ascii="Cambria Math" w:hAnsi="Cambria Math" w:cs="Times New Roman"/>
                      <w:b w:val="0"/>
                      <w:bCs/>
                      <w:i/>
                      <w:color w:val="000000" w:themeColor="text1"/>
                      <w:sz w:val="18"/>
                      <w:szCs w:val="18"/>
                      <w14:textFill>
                        <w14:solidFill>
                          <w14:schemeClr w14:val="tx1"/>
                        </w14:solidFill>
                      </w14:textFill>
                    </w:rPr>
                  </m:ctrlPr>
                </m:sub>
              </m:sSub>
            </m:oMath>
          </w:p>
        </w:tc>
        <w:tc>
          <w:tcPr>
            <w:tcW w:w="2616" w:type="dxa"/>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0.2</w:t>
            </w:r>
          </w:p>
        </w:tc>
        <w:tc>
          <w:tcPr>
            <w:tcW w:w="2617" w:type="dxa"/>
            <w:shd w:val="clear" w:color="auto" w:fill="auto"/>
            <w:vAlign w:val="bottom"/>
          </w:tcPr>
          <w:p>
            <w:pPr>
              <w:pStyle w:val="85"/>
              <w:spacing w:line="240" w:lineRule="auto"/>
              <w:rPr>
                <w:rFonts w:ascii="Times New Roman" w:hAnsi="Times New Roman" w:cs="Times New Roman"/>
                <w:b w:val="0"/>
                <w:bCs/>
                <w:color w:val="000000" w:themeColor="text1"/>
                <w:sz w:val="18"/>
                <w:szCs w:val="18"/>
                <w14:textFill>
                  <w14:solidFill>
                    <w14:schemeClr w14:val="tx1"/>
                  </w14:solidFill>
                </w14:textFill>
              </w:rPr>
            </w:pPr>
            <w:r>
              <w:rPr>
                <w:rFonts w:ascii="Times New Roman" w:hAnsi="Times New Roman" w:cs="Times New Roman"/>
                <w:b w:val="0"/>
                <w:bCs/>
                <w:color w:val="000000" w:themeColor="text1"/>
                <w:sz w:val="18"/>
                <w:szCs w:val="18"/>
                <w14:textFill>
                  <w14:solidFill>
                    <w14:schemeClr w14:val="tx1"/>
                  </w14:solidFill>
                </w14:textFill>
              </w:rPr>
              <w:t>70</w:t>
            </w:r>
          </w:p>
        </w:tc>
      </w:tr>
    </w:tbl>
    <w:p>
      <w:pPr>
        <w:pStyle w:val="85"/>
        <w:ind w:left="420"/>
        <w:jc w:val="both"/>
        <w:rPr>
          <w:rFonts w:cs="Times New Roman"/>
          <w:b w:val="0"/>
          <w:bCs/>
          <w:color w:val="000000" w:themeColor="text1"/>
          <w:szCs w:val="21"/>
          <w14:textFill>
            <w14:solidFill>
              <w14:schemeClr w14:val="tx1"/>
            </w14:solidFill>
          </w14:textFill>
        </w:rPr>
      </w:pPr>
      <w:r>
        <w:rPr>
          <w:rFonts w:hint="eastAsia" w:cs="Times New Roman"/>
          <w:b w:val="0"/>
          <w:bCs/>
          <w:color w:val="000000" w:themeColor="text1"/>
          <w:szCs w:val="21"/>
          <w14:textFill>
            <w14:solidFill>
              <w14:schemeClr w14:val="tx1"/>
            </w14:solidFill>
          </w14:textFill>
        </w:rPr>
        <w:t>计算风险发生后果得分</w:t>
      </w:r>
      <m:oMath>
        <m:sSub>
          <m:sSubPr>
            <m:ctrlPr>
              <w:rPr>
                <w:rFonts w:ascii="Cambria Math" w:hAnsi="Cambria Math"/>
                <w:b w:val="0"/>
                <w:bCs/>
                <w:i/>
                <w:color w:val="000000" w:themeColor="text1"/>
                <w:szCs w:val="21"/>
                <w14:textFill>
                  <w14:solidFill>
                    <w14:schemeClr w14:val="tx1"/>
                  </w14:solidFill>
                </w14:textFill>
              </w:rPr>
            </m:ctrlPr>
          </m:sSubPr>
          <m:e>
            <m:r>
              <m:rPr>
                <m:sty m:val="bi"/>
              </m:rPr>
              <w:rPr>
                <w:rFonts w:hint="eastAsia" w:ascii="Cambria Math" w:hAnsi="Cambria Math"/>
                <w:color w:val="000000" w:themeColor="text1"/>
                <w:szCs w:val="21"/>
                <w14:textFill>
                  <w14:solidFill>
                    <w14:schemeClr w14:val="tx1"/>
                  </w14:solidFill>
                </w14:textFill>
              </w:rPr>
              <m:t>S</m:t>
            </m:r>
            <m:ctrlPr>
              <w:rPr>
                <w:rFonts w:ascii="Cambria Math" w:hAnsi="Cambria Math"/>
                <w:b w:val="0"/>
                <w:bCs/>
                <w:i/>
                <w:color w:val="000000" w:themeColor="text1"/>
                <w:szCs w:val="21"/>
                <w14:textFill>
                  <w14:solidFill>
                    <w14:schemeClr w14:val="tx1"/>
                  </w14:solidFill>
                </w14:textFill>
              </w:rPr>
            </m:ctrlPr>
          </m:e>
          <m:sub>
            <m:r>
              <m:rPr>
                <m:sty m:val="bi"/>
              </m:rPr>
              <w:rPr>
                <w:rFonts w:hint="eastAsia" w:ascii="Cambria Math" w:hAnsi="Cambria Math"/>
                <w:color w:val="000000" w:themeColor="text1"/>
                <w:szCs w:val="21"/>
                <w14:textFill>
                  <w14:solidFill>
                    <w14:schemeClr w14:val="tx1"/>
                  </w14:solidFill>
                </w14:textFill>
              </w:rPr>
              <m:t>G</m:t>
            </m:r>
            <m:ctrlPr>
              <w:rPr>
                <w:rFonts w:ascii="Cambria Math" w:hAnsi="Cambria Math"/>
                <w:b w:val="0"/>
                <w:bCs/>
                <w:i/>
                <w:color w:val="000000" w:themeColor="text1"/>
                <w:szCs w:val="21"/>
                <w14:textFill>
                  <w14:solidFill>
                    <w14:schemeClr w14:val="tx1"/>
                  </w14:solidFill>
                </w14:textFill>
              </w:rPr>
            </m:ctrlPr>
          </m:sub>
        </m:sSub>
      </m:oMath>
      <w:r>
        <w:rPr>
          <w:rFonts w:hint="eastAsia" w:cs="Times New Roman"/>
          <w:b w:val="0"/>
          <w:bCs/>
          <w:color w:val="000000" w:themeColor="text1"/>
          <w:szCs w:val="21"/>
          <w14:textFill>
            <w14:solidFill>
              <w14:schemeClr w14:val="tx1"/>
            </w14:solidFill>
          </w14:textFill>
        </w:rPr>
        <w:t>：</w:t>
      </w:r>
    </w:p>
    <w:p>
      <w:pPr>
        <w:pStyle w:val="85"/>
        <w:ind w:left="420"/>
        <w:jc w:val="both"/>
        <w:rPr>
          <w:rFonts w:cs="Times New Roman"/>
          <w:b w:val="0"/>
          <w:bCs/>
          <w:color w:val="000000" w:themeColor="text1"/>
          <w:szCs w:val="21"/>
          <w14:textFill>
            <w14:solidFill>
              <w14:schemeClr w14:val="tx1"/>
            </w14:solidFill>
          </w14:textFill>
        </w:rPr>
      </w:pPr>
      <m:oMath>
        <m:sSub>
          <m:sSubPr>
            <m:ctrlPr>
              <w:rPr>
                <w:rFonts w:ascii="Cambria Math" w:hAnsi="Cambria Math"/>
                <w:b w:val="0"/>
                <w:bCs/>
                <w:i/>
                <w:color w:val="000000" w:themeColor="text1"/>
                <w:szCs w:val="21"/>
                <w14:textFill>
                  <w14:solidFill>
                    <w14:schemeClr w14:val="tx1"/>
                  </w14:solidFill>
                </w14:textFill>
              </w:rPr>
            </m:ctrlPr>
          </m:sSubPr>
          <m:e>
            <m:r>
              <m:rPr>
                <m:sty m:val="bi"/>
              </m:rPr>
              <w:rPr>
                <w:rFonts w:hint="eastAsia" w:ascii="Cambria Math" w:hAnsi="Cambria Math"/>
                <w:color w:val="000000" w:themeColor="text1"/>
                <w:szCs w:val="21"/>
                <w14:textFill>
                  <w14:solidFill>
                    <w14:schemeClr w14:val="tx1"/>
                  </w14:solidFill>
                </w14:textFill>
              </w:rPr>
              <m:t>S</m:t>
            </m:r>
            <m:ctrlPr>
              <w:rPr>
                <w:rFonts w:ascii="Cambria Math" w:hAnsi="Cambria Math"/>
                <w:b w:val="0"/>
                <w:bCs/>
                <w:i/>
                <w:color w:val="000000" w:themeColor="text1"/>
                <w:szCs w:val="21"/>
                <w14:textFill>
                  <w14:solidFill>
                    <w14:schemeClr w14:val="tx1"/>
                  </w14:solidFill>
                </w14:textFill>
              </w:rPr>
            </m:ctrlPr>
          </m:e>
          <m:sub>
            <m:r>
              <m:rPr>
                <m:sty m:val="bi"/>
              </m:rPr>
              <w:rPr>
                <w:rFonts w:hint="eastAsia" w:ascii="Cambria Math" w:hAnsi="Cambria Math"/>
                <w:color w:val="000000" w:themeColor="text1"/>
                <w:szCs w:val="21"/>
                <w14:textFill>
                  <w14:solidFill>
                    <w14:schemeClr w14:val="tx1"/>
                  </w14:solidFill>
                </w14:textFill>
              </w:rPr>
              <m:t>G</m:t>
            </m:r>
            <m:ctrlPr>
              <w:rPr>
                <w:rFonts w:ascii="Cambria Math" w:hAnsi="Cambria Math"/>
                <w:b w:val="0"/>
                <w:bCs/>
                <w:i/>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r1</m:t>
            </m:r>
            <m:ctrlPr>
              <w:rPr>
                <w:rFonts w:ascii="Cambria Math" w:hAnsi="Cambria Math"/>
                <w:b w:val="0"/>
                <w:bCs/>
                <w:color w:val="000000" w:themeColor="text1"/>
                <w:szCs w:val="21"/>
                <w14:textFill>
                  <w14:solidFill>
                    <w14:schemeClr w14:val="tx1"/>
                  </w14:solidFill>
                </w14:textFill>
              </w:rPr>
            </m:ctrlPr>
          </m:sub>
        </m:sSub>
        <m:sSub>
          <m:sSubPr>
            <m:ctrlPr>
              <w:rPr>
                <w:rFonts w:ascii="Cambria Math" w:hAnsi="Cambria Math"/>
                <w:b w:val="0"/>
                <w:bCs/>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r1</m:t>
            </m:r>
            <m:ctrlPr>
              <w:rPr>
                <w:rFonts w:ascii="Cambria Math" w:hAnsi="Cambria Math"/>
                <w:b w:val="0"/>
                <w:bCs/>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r2</m:t>
            </m:r>
            <m:ctrlPr>
              <w:rPr>
                <w:rFonts w:ascii="Cambria Math" w:hAnsi="Cambria Math"/>
                <w:b w:val="0"/>
                <w:bCs/>
                <w:color w:val="000000" w:themeColor="text1"/>
                <w:szCs w:val="21"/>
                <w14:textFill>
                  <w14:solidFill>
                    <w14:schemeClr w14:val="tx1"/>
                  </w14:solidFill>
                </w14:textFill>
              </w:rPr>
            </m:ctrlPr>
          </m:sub>
        </m:sSub>
        <m:sSub>
          <m:sSubPr>
            <m:ctrlPr>
              <w:rPr>
                <w:rFonts w:ascii="Cambria Math" w:hAnsi="Cambria Math"/>
                <w:b w:val="0"/>
                <w:bCs/>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r2</m:t>
            </m:r>
            <m:ctrlPr>
              <w:rPr>
                <w:rFonts w:ascii="Cambria Math" w:hAnsi="Cambria Math"/>
                <w:b w:val="0"/>
                <w:bCs/>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r3</m:t>
            </m:r>
            <m:ctrlPr>
              <w:rPr>
                <w:rFonts w:ascii="Cambria Math" w:hAnsi="Cambria Math"/>
                <w:b w:val="0"/>
                <w:bCs/>
                <w:color w:val="000000" w:themeColor="text1"/>
                <w:szCs w:val="21"/>
                <w14:textFill>
                  <w14:solidFill>
                    <w14:schemeClr w14:val="tx1"/>
                  </w14:solidFill>
                </w14:textFill>
              </w:rPr>
            </m:ctrlPr>
          </m:sub>
        </m:sSub>
        <m:sSub>
          <m:sSubPr>
            <m:ctrlPr>
              <w:rPr>
                <w:rFonts w:ascii="Cambria Math" w:hAnsi="Cambria Math"/>
                <w:b w:val="0"/>
                <w:bCs/>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r3</m:t>
            </m:r>
            <m:ctrlPr>
              <w:rPr>
                <w:rFonts w:ascii="Cambria Math" w:hAnsi="Cambria Math"/>
                <w:b w:val="0"/>
                <w:bCs/>
                <w:color w:val="000000" w:themeColor="text1"/>
                <w:szCs w:val="21"/>
                <w14:textFill>
                  <w14:solidFill>
                    <w14:schemeClr w14:val="tx1"/>
                  </w14:solidFill>
                </w14:textFill>
              </w:rPr>
            </m:ctrlPr>
          </m:sub>
        </m:sSub>
        <m:r>
          <m:rPr>
            <m:sty m:val="bi"/>
          </m:rPr>
          <w:rPr>
            <w:rFonts w:ascii="Cambria Math" w:hAnsi="Cambria Math"/>
            <w:color w:val="000000" w:themeColor="text1"/>
            <w:szCs w:val="21"/>
            <w14:textFill>
              <w14:solidFill>
                <w14:schemeClr w14:val="tx1"/>
              </w14:solidFill>
            </w14:textFill>
          </w:rPr>
          <m:t>+</m:t>
        </m:r>
        <m:sSub>
          <m:sSubPr>
            <m:ctrlPr>
              <w:rPr>
                <w:rFonts w:ascii="Cambria Math" w:hAnsi="Cambria Math"/>
                <w:b w:val="0"/>
                <w:bCs/>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W</m:t>
            </m:r>
            <m:ctrlPr>
              <w:rPr>
                <w:rFonts w:ascii="Cambria Math" w:hAnsi="Cambria Math"/>
                <w:b w:val="0"/>
                <w:bCs/>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r4</m:t>
            </m:r>
            <m:ctrlPr>
              <w:rPr>
                <w:rFonts w:ascii="Cambria Math" w:hAnsi="Cambria Math"/>
                <w:b w:val="0"/>
                <w:bCs/>
                <w:color w:val="000000" w:themeColor="text1"/>
                <w:szCs w:val="21"/>
                <w14:textFill>
                  <w14:solidFill>
                    <w14:schemeClr w14:val="tx1"/>
                  </w14:solidFill>
                </w14:textFill>
              </w:rPr>
            </m:ctrlPr>
          </m:sub>
        </m:sSub>
        <m:sSub>
          <m:sSubPr>
            <m:ctrlPr>
              <w:rPr>
                <w:rFonts w:ascii="Cambria Math" w:hAnsi="Cambria Math"/>
                <w:b w:val="0"/>
                <w:bCs/>
                <w:color w:val="000000" w:themeColor="text1"/>
                <w:szCs w:val="21"/>
                <w14:textFill>
                  <w14:solidFill>
                    <w14:schemeClr w14:val="tx1"/>
                  </w14:solidFill>
                </w14:textFill>
              </w:rPr>
            </m:ctrlPr>
          </m:sSubPr>
          <m:e>
            <m:r>
              <m:rPr>
                <m:sty m:val="bi"/>
              </m:rPr>
              <w:rPr>
                <w:rFonts w:ascii="Cambria Math" w:hAnsi="Cambria Math"/>
                <w:color w:val="000000" w:themeColor="text1"/>
                <w:szCs w:val="21"/>
                <w14:textFill>
                  <w14:solidFill>
                    <w14:schemeClr w14:val="tx1"/>
                  </w14:solidFill>
                </w14:textFill>
              </w:rPr>
              <m:t>P</m:t>
            </m:r>
            <m:ctrlPr>
              <w:rPr>
                <w:rFonts w:ascii="Cambria Math" w:hAnsi="Cambria Math"/>
                <w:b w:val="0"/>
                <w:bCs/>
                <w:color w:val="000000" w:themeColor="text1"/>
                <w:szCs w:val="21"/>
                <w14:textFill>
                  <w14:solidFill>
                    <w14:schemeClr w14:val="tx1"/>
                  </w14:solidFill>
                </w14:textFill>
              </w:rPr>
            </m:ctrlPr>
          </m:e>
          <m:sub>
            <m:r>
              <m:rPr>
                <m:sty m:val="bi"/>
              </m:rPr>
              <w:rPr>
                <w:rFonts w:ascii="Cambria Math" w:hAnsi="Cambria Math"/>
                <w:color w:val="000000" w:themeColor="text1"/>
                <w:szCs w:val="21"/>
                <w14:textFill>
                  <w14:solidFill>
                    <w14:schemeClr w14:val="tx1"/>
                  </w14:solidFill>
                </w14:textFill>
              </w:rPr>
              <m:t>r4</m:t>
            </m:r>
            <m:ctrlPr>
              <w:rPr>
                <w:rFonts w:ascii="Cambria Math" w:hAnsi="Cambria Math"/>
                <w:b w:val="0"/>
                <w:bCs/>
                <w:color w:val="000000" w:themeColor="text1"/>
                <w:szCs w:val="21"/>
                <w14:textFill>
                  <w14:solidFill>
                    <w14:schemeClr w14:val="tx1"/>
                  </w14:solidFill>
                </w14:textFill>
              </w:rPr>
            </m:ctrlPr>
          </m:sub>
        </m:sSub>
      </m:oMath>
      <w:r>
        <w:rPr>
          <w:rFonts w:hint="eastAsia" w:cs="Times New Roman"/>
          <w:b w:val="0"/>
          <w:bCs/>
          <w:color w:val="000000" w:themeColor="text1"/>
          <w:szCs w:val="21"/>
          <w14:textFill>
            <w14:solidFill>
              <w14:schemeClr w14:val="tx1"/>
            </w14:solidFill>
          </w14:textFill>
        </w:rPr>
        <w:t xml:space="preserve"> </w:t>
      </w:r>
    </w:p>
    <w:p>
      <w:pPr>
        <w:pStyle w:val="85"/>
        <w:ind w:left="420"/>
        <w:jc w:val="both"/>
        <w:rPr>
          <w:rFonts w:cs="Times New Roman"/>
          <w:b w:val="0"/>
          <w:bCs/>
          <w:color w:val="000000" w:themeColor="text1"/>
          <w:szCs w:val="21"/>
          <w14:textFill>
            <w14:solidFill>
              <w14:schemeClr w14:val="tx1"/>
            </w14:solidFill>
          </w14:textFill>
        </w:rPr>
      </w:pPr>
      <m:oMath>
        <m:r>
          <m:rPr>
            <m:sty m:val="bi"/>
          </m:rPr>
          <w:rPr>
            <w:rFonts w:ascii="Cambria Math" w:hAnsi="Cambria Math"/>
            <w:color w:val="000000" w:themeColor="text1"/>
            <w:szCs w:val="21"/>
            <w14:textFill>
              <w14:solidFill>
                <w14:schemeClr w14:val="tx1"/>
              </w14:solidFill>
            </w14:textFill>
          </w:rPr>
          <m:t xml:space="preserve">      =0.2</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95+0.3</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45+0.3</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70+0.2</m:t>
        </m:r>
        <m:r>
          <m:rPr>
            <m:sty m:val="bi"/>
          </m:rPr>
          <w:rPr>
            <w:rFonts w:hint="eastAsia" w:ascii="Cambria Math" w:hAnsi="Cambria Math"/>
            <w:color w:val="000000" w:themeColor="text1"/>
            <w:szCs w:val="21"/>
            <w14:textFill>
              <w14:solidFill>
                <w14:schemeClr w14:val="tx1"/>
              </w14:solidFill>
            </w14:textFill>
          </w:rPr>
          <m:t>×</m:t>
        </m:r>
        <m:r>
          <m:rPr>
            <m:sty m:val="bi"/>
          </m:rPr>
          <w:rPr>
            <w:rFonts w:ascii="Cambria Math" w:hAnsi="Cambria Math"/>
            <w:color w:val="000000" w:themeColor="text1"/>
            <w:szCs w:val="21"/>
            <w14:textFill>
              <w14:solidFill>
                <w14:schemeClr w14:val="tx1"/>
              </w14:solidFill>
            </w14:textFill>
          </w:rPr>
          <m:t>70=67.5</m:t>
        </m:r>
      </m:oMath>
      <w:r>
        <w:rPr>
          <w:rFonts w:hint="eastAsia"/>
          <w:b w:val="0"/>
          <w:bCs/>
          <w:color w:val="000000" w:themeColor="text1"/>
          <w:szCs w:val="21"/>
          <w14:textFill>
            <w14:solidFill>
              <w14:schemeClr w14:val="tx1"/>
            </w14:solidFill>
          </w14:textFill>
        </w:rPr>
        <w:t xml:space="preserve"> </w:t>
      </w:r>
    </w:p>
    <w:p>
      <w:pPr>
        <w:pStyle w:val="85"/>
        <w:ind w:firstLine="420"/>
        <w:jc w:val="both"/>
        <w:rPr>
          <w:b w:val="0"/>
          <w:bCs/>
          <w:iCs/>
          <w:color w:val="000000" w:themeColor="text1"/>
          <w:szCs w:val="21"/>
          <w14:textFill>
            <w14:solidFill>
              <w14:schemeClr w14:val="tx1"/>
            </w14:solidFill>
          </w14:textFill>
        </w:rPr>
      </w:pPr>
      <w:r>
        <w:rPr>
          <w:rFonts w:hint="eastAsia"/>
          <w:b w:val="0"/>
          <w:bCs/>
          <w:iCs/>
          <w:color w:val="000000" w:themeColor="text1"/>
          <w:szCs w:val="21"/>
          <w14:textFill>
            <w14:solidFill>
              <w14:schemeClr w14:val="tx1"/>
            </w14:solidFill>
          </w14:textFill>
        </w:rPr>
        <w:t>得到</w:t>
      </w:r>
      <w:r>
        <w:rPr>
          <w:b w:val="0"/>
          <w:bCs/>
          <w:iCs/>
          <w:color w:val="000000" w:themeColor="text1"/>
          <w:szCs w:val="21"/>
          <w14:textFill>
            <w14:solidFill>
              <w14:schemeClr w14:val="tx1"/>
            </w14:solidFill>
          </w14:textFill>
        </w:rPr>
        <w:t>LD_1</w:t>
      </w:r>
      <w:r>
        <w:rPr>
          <w:rFonts w:hint="eastAsia"/>
          <w:b w:val="0"/>
          <w:bCs/>
          <w:iCs/>
          <w:color w:val="000000" w:themeColor="text1"/>
          <w:szCs w:val="21"/>
          <w14:textFill>
            <w14:solidFill>
              <w14:schemeClr w14:val="tx1"/>
            </w14:solidFill>
          </w14:textFill>
        </w:rPr>
        <w:t>评估单元的风险</w:t>
      </w:r>
      <w:r>
        <w:rPr>
          <w:b w:val="0"/>
          <w:bCs/>
          <w:iCs/>
          <w:color w:val="000000" w:themeColor="text1"/>
          <w:szCs w:val="21"/>
          <w14:textFill>
            <w14:solidFill>
              <w14:schemeClr w14:val="tx1"/>
            </w14:solidFill>
          </w14:textFill>
        </w:rPr>
        <w:t>发生</w:t>
      </w:r>
      <w:r>
        <w:rPr>
          <w:rFonts w:hint="eastAsia"/>
          <w:b w:val="0"/>
          <w:bCs/>
          <w:iCs/>
          <w:color w:val="000000" w:themeColor="text1"/>
          <w:szCs w:val="21"/>
          <w14:textFill>
            <w14:solidFill>
              <w14:schemeClr w14:val="tx1"/>
            </w14:solidFill>
          </w14:textFill>
        </w:rPr>
        <w:t>后果分值为</w:t>
      </w:r>
      <w:r>
        <w:rPr>
          <w:b w:val="0"/>
          <w:bCs/>
          <w:iCs/>
          <w:color w:val="000000" w:themeColor="text1"/>
          <w:szCs w:val="21"/>
          <w14:textFill>
            <w14:solidFill>
              <w14:schemeClr w14:val="tx1"/>
            </w14:solidFill>
          </w14:textFill>
        </w:rPr>
        <w:t>67.5</w:t>
      </w:r>
      <w:r>
        <w:rPr>
          <w:rFonts w:hint="eastAsia"/>
          <w:b w:val="0"/>
          <w:bCs/>
          <w:iCs/>
          <w:color w:val="000000" w:themeColor="text1"/>
          <w:szCs w:val="21"/>
          <w14:textFill>
            <w14:solidFill>
              <w14:schemeClr w14:val="tx1"/>
            </w14:solidFill>
          </w14:textFill>
        </w:rPr>
        <w:t>，对应评估单元风险发生后果等级划分表为</w:t>
      </w:r>
      <w:r>
        <w:rPr>
          <w:b w:val="0"/>
          <w:bCs/>
          <w:iCs/>
          <w:color w:val="000000" w:themeColor="text1"/>
          <w:szCs w:val="21"/>
          <w14:textFill>
            <w14:solidFill>
              <w14:schemeClr w14:val="tx1"/>
            </w14:solidFill>
          </w14:textFill>
        </w:rPr>
        <w:t>2级</w:t>
      </w:r>
      <w:r>
        <w:rPr>
          <w:rFonts w:hint="eastAsia"/>
          <w:b w:val="0"/>
          <w:bCs/>
          <w:iCs/>
          <w:color w:val="000000" w:themeColor="text1"/>
          <w:szCs w:val="21"/>
          <w14:textFill>
            <w14:solidFill>
              <w14:schemeClr w14:val="tx1"/>
            </w14:solidFill>
          </w14:textFill>
        </w:rPr>
        <w:t>。</w:t>
      </w:r>
    </w:p>
    <w:p>
      <w:pPr>
        <w:pStyle w:val="85"/>
        <w:ind w:firstLine="420" w:firstLineChars="200"/>
        <w:jc w:val="both"/>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4</w:t>
      </w:r>
      <w:r>
        <w:rPr>
          <w:b w:val="0"/>
          <w:bCs/>
          <w:color w:val="000000" w:themeColor="text1"/>
          <w:szCs w:val="21"/>
          <w14:textFill>
            <w14:solidFill>
              <w14:schemeClr w14:val="tx1"/>
            </w14:solidFill>
          </w14:textFill>
        </w:rPr>
        <w:t xml:space="preserve">  </w:t>
      </w:r>
      <w:r>
        <w:rPr>
          <w:rFonts w:hint="eastAsia"/>
          <w:b w:val="0"/>
          <w:bCs/>
          <w:color w:val="000000" w:themeColor="text1"/>
          <w:szCs w:val="21"/>
          <w14:textFill>
            <w14:solidFill>
              <w14:schemeClr w14:val="tx1"/>
            </w14:solidFill>
          </w14:textFill>
        </w:rPr>
        <w:t>风险评估单元综合风险等级确定</w:t>
      </w:r>
    </w:p>
    <w:p>
      <w:pPr>
        <w:pStyle w:val="85"/>
        <w:ind w:firstLine="420"/>
        <w:jc w:val="both"/>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对照地下病害体风险评估单元风险综合等级划分表，可以得到该路段综合风险等级为</w:t>
      </w:r>
      <w:r>
        <w:rPr>
          <w:rFonts w:cs="Times New Roman"/>
          <w:b w:val="0"/>
          <w:bCs/>
          <w:color w:val="000000" w:themeColor="text1"/>
          <w14:textFill>
            <w14:solidFill>
              <w14:schemeClr w14:val="tx1"/>
            </w14:solidFill>
          </w14:textFill>
        </w:rPr>
        <w:t>II</w:t>
      </w:r>
      <w:r>
        <w:rPr>
          <w:b w:val="0"/>
          <w:bCs/>
          <w:color w:val="000000" w:themeColor="text1"/>
          <w14:textFill>
            <w14:solidFill>
              <w14:schemeClr w14:val="tx1"/>
            </w14:solidFill>
          </w14:textFill>
        </w:rPr>
        <w:t>级</w:t>
      </w:r>
      <w:r>
        <w:rPr>
          <w:rFonts w:hint="eastAsia"/>
          <w:b w:val="0"/>
          <w:bCs/>
          <w:color w:val="000000" w:themeColor="text1"/>
          <w14:textFill>
            <w14:solidFill>
              <w14:schemeClr w14:val="tx1"/>
            </w14:solidFill>
          </w14:textFill>
        </w:rPr>
        <w:t>，属于较大风险。</w:t>
      </w:r>
    </w:p>
    <w:p>
      <w:pPr>
        <w:autoSpaceDE w:val="0"/>
        <w:autoSpaceDN w:val="0"/>
        <w:adjustRightInd w:val="0"/>
        <w:snapToGrid w:val="0"/>
        <w:jc w:val="left"/>
      </w:pPr>
      <w:r>
        <w:rPr>
          <w:rFonts w:hint="eastAsia"/>
        </w:rPr>
        <w:t>8</w:t>
      </w:r>
      <w:r>
        <w:t xml:space="preserve">.5.2  </w:t>
      </w:r>
      <w:r>
        <w:rPr>
          <w:rFonts w:hint="eastAsia"/>
        </w:rPr>
        <w:t>可采用可变模糊集隶属度方法量化各风险等级的概率。图</w:t>
      </w:r>
      <w:r>
        <w:t>8-2</w:t>
      </w:r>
      <w:r>
        <w:rPr>
          <w:rFonts w:hint="eastAsia"/>
        </w:rPr>
        <w:t>为可变模糊集结合风险矩阵的计算方式，可以看出结合了隶属度的风险矩阵法输出不再是定性的单一风险等级，而是定量化的各风险等级的概率值，输出的是该评估结果落在各风险等级的隶属度。</w:t>
      </w:r>
    </w:p>
    <w:p>
      <w:pPr>
        <w:autoSpaceDE w:val="0"/>
        <w:autoSpaceDN w:val="0"/>
        <w:adjustRightInd w:val="0"/>
        <w:snapToGrid w:val="0"/>
        <w:jc w:val="left"/>
      </w:pPr>
      <w:r>
        <w:drawing>
          <wp:inline distT="0" distB="0" distL="0" distR="0">
            <wp:extent cx="4977130" cy="1812290"/>
            <wp:effectExtent l="0" t="0" r="0" b="0"/>
            <wp:docPr id="1250262081" name="图片 12502620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0262081" name="图片 1250262081"/>
                    <pic:cNvPicPr>
                      <a:picLocks noChangeAspect="true"/>
                    </pic:cNvPicPr>
                  </pic:nvPicPr>
                  <pic:blipFill>
                    <a:blip r:embed="rId48"/>
                    <a:stretch>
                      <a:fillRect/>
                    </a:stretch>
                  </pic:blipFill>
                  <pic:spPr>
                    <a:xfrm>
                      <a:off x="0" y="0"/>
                      <a:ext cx="4977130" cy="1812644"/>
                    </a:xfrm>
                    <a:prstGeom prst="rect">
                      <a:avLst/>
                    </a:prstGeom>
                  </pic:spPr>
                </pic:pic>
              </a:graphicData>
            </a:graphic>
          </wp:inline>
        </w:drawing>
      </w:r>
    </w:p>
    <w:p>
      <w:pPr>
        <w:pStyle w:val="74"/>
        <w:spacing w:before="0" w:beforeAutospacing="0" w:after="0" w:afterAutospacing="0" w:line="360" w:lineRule="auto"/>
        <w:jc w:val="center"/>
        <w:rPr>
          <w:rFonts w:ascii="Times" w:hAnsi="Times"/>
          <w:b/>
          <w:sz w:val="21"/>
          <w:szCs w:val="21"/>
        </w:rPr>
      </w:pPr>
      <w:r>
        <w:rPr>
          <w:rFonts w:hint="eastAsia" w:ascii="Times" w:hAnsi="Times"/>
          <w:b/>
          <w:sz w:val="21"/>
          <w:szCs w:val="21"/>
        </w:rPr>
        <w:t>图</w:t>
      </w:r>
      <w:r>
        <w:rPr>
          <w:rFonts w:ascii="Times" w:hAnsi="Times"/>
          <w:b/>
          <w:sz w:val="21"/>
          <w:szCs w:val="21"/>
        </w:rPr>
        <w:t xml:space="preserve">8-2 </w:t>
      </w:r>
      <w:r>
        <w:rPr>
          <w:rFonts w:hint="eastAsia" w:ascii="Times" w:hAnsi="Times"/>
          <w:b/>
          <w:sz w:val="21"/>
          <w:szCs w:val="21"/>
        </w:rPr>
        <w:t>隶属度与风险矩阵计算方式</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可变模糊集隶属度计算公式如下：</w:t>
      </w:r>
    </w:p>
    <w:p>
      <w:pPr>
        <w:ind w:firstLine="480"/>
        <w:jc w:val="center"/>
        <w:rPr>
          <w:i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m:oMath>
        <m:d>
          <m:dPr>
            <m:begChr m:val="{"/>
            <m:endChr m:val=""/>
            <m:ctrlPr>
              <w:rPr>
                <w:rFonts w:ascii="Cambria Math" w:hAnsi="Cambria Math" w:eastAsia="等线"/>
                <w:i/>
                <w:color w:val="000000" w:themeColor="text1"/>
                <w14:textFill>
                  <w14:solidFill>
                    <w14:schemeClr w14:val="tx1"/>
                  </w14:solidFill>
                </w14:textFill>
              </w:rPr>
            </m:ctrlPr>
          </m:dPr>
          <m:e>
            <m:eqArr>
              <m:eqArrPr>
                <m:ctrlPr>
                  <w:rPr>
                    <w:rFonts w:ascii="Cambria Math" w:hAnsi="Cambria Math" w:eastAsia="等线"/>
                    <w:i/>
                    <w:color w:val="000000" w:themeColor="text1"/>
                    <w14:textFill>
                      <w14:solidFill>
                        <w14:schemeClr w14:val="tx1"/>
                      </w14:solidFill>
                    </w14:textFill>
                  </w:rPr>
                </m:ctrlPr>
              </m:eqArrPr>
              <m:e>
                <m:sSub>
                  <m:sSubPr>
                    <m:ctrlPr>
                      <w:rPr>
                        <w:rFonts w:ascii="Cambria Math" w:hAnsi="Cambria Math" w:eastAsia="等线"/>
                        <w:i/>
                        <w:color w:val="000000" w:themeColor="text1"/>
                        <w14:textFill>
                          <w14:solidFill>
                            <w14:schemeClr w14:val="tx1"/>
                          </w14:solidFill>
                        </w14:textFill>
                      </w:rPr>
                    </m:ctrlPr>
                  </m:sSubPr>
                  <m:e>
                    <m:r>
                      <m:rPr/>
                      <w:rPr>
                        <w:rFonts w:hint="eastAsia"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hint="eastAsia"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=0.5*</m:t>
                </m:r>
                <m:d>
                  <m:dPr>
                    <m:begChr m:val="["/>
                    <m:endChr m:val="]"/>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1+</m:t>
                    </m:r>
                    <m:sSup>
                      <m:sSupPr>
                        <m:ctrlPr>
                          <w:rPr>
                            <w:rFonts w:ascii="Cambria Math" w:hAnsi="Cambria Math" w:eastAsia="等线"/>
                            <w:i/>
                            <w:color w:val="000000" w:themeColor="text1"/>
                            <w14:textFill>
                              <w14:solidFill>
                                <w14:schemeClr w14:val="tx1"/>
                              </w14:solidFill>
                            </w14:textFill>
                          </w:rPr>
                        </m:ctrlPr>
                      </m:sSupPr>
                      <m:e>
                        <m:d>
                          <m:dPr>
                            <m:ctrlPr>
                              <w:rPr>
                                <w:rFonts w:ascii="Cambria Math" w:hAnsi="Cambria Math"/>
                                <w:i/>
                                <w:color w:val="000000" w:themeColor="text1"/>
                                <w14:textFill>
                                  <w14:solidFill>
                                    <w14:schemeClr w14:val="tx1"/>
                                  </w14:solidFill>
                                </w14:textFill>
                              </w:rPr>
                            </m:ctrlPr>
                          </m:dPr>
                          <m:e>
                            <m:f>
                              <m:fPr>
                                <m:ctrlPr>
                                  <w:rPr>
                                    <w:rFonts w:ascii="Cambria Math" w:hAnsi="Cambria Math" w:eastAsia="等线"/>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x−a</m:t>
                                </m:r>
                                <m:ctrlPr>
                                  <w:rPr>
                                    <w:rFonts w:ascii="Cambria Math" w:hAnsi="Cambria Math" w:eastAsia="等线"/>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M−a</m:t>
                                </m:r>
                                <m:ctrlPr>
                                  <w:rPr>
                                    <w:rFonts w:ascii="Cambria Math" w:hAnsi="Cambria Math" w:eastAsia="等线"/>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p</m:t>
                        </m:r>
                        <m:ctrlPr>
                          <w:rPr>
                            <w:rFonts w:ascii="Cambria Math" w:hAnsi="Cambria Math" w:eastAsia="等线"/>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 xml:space="preserve">        x∈[a,M]</m:t>
                </m:r>
                <m:ctrlPr>
                  <w:rPr>
                    <w:rFonts w:ascii="Cambria Math" w:hAnsi="Cambria Math" w:eastAsia="等线"/>
                    <w:i/>
                    <w:color w:val="000000" w:themeColor="text1"/>
                    <w14:textFill>
                      <w14:solidFill>
                        <w14:schemeClr w14:val="tx1"/>
                      </w14:solidFill>
                    </w14:textFill>
                  </w:rPr>
                </m:ctrlPr>
              </m:e>
              <m:e>
                <m:sSub>
                  <m:sSubPr>
                    <m:ctrlPr>
                      <w:rPr>
                        <w:rFonts w:ascii="Cambria Math" w:hAnsi="Cambria Math" w:eastAsia="等线"/>
                        <w:i/>
                        <w:color w:val="000000" w:themeColor="text1"/>
                        <w14:textFill>
                          <w14:solidFill>
                            <w14:schemeClr w14:val="tx1"/>
                          </w14:solidFill>
                        </w14:textFill>
                      </w:rPr>
                    </m:ctrlPr>
                  </m:sSubPr>
                  <m:e>
                    <m:r>
                      <m:rPr/>
                      <w:rPr>
                        <w:rFonts w:hint="eastAsia"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hint="eastAsia"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=0.5*</m:t>
                </m:r>
                <m:d>
                  <m:dPr>
                    <m:begChr m:val="["/>
                    <m:endChr m:val="]"/>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1−</m:t>
                    </m:r>
                    <m:sSup>
                      <m:sSupPr>
                        <m:ctrlPr>
                          <w:rPr>
                            <w:rFonts w:ascii="Cambria Math" w:hAnsi="Cambria Math" w:eastAsia="等线"/>
                            <w:i/>
                            <w:color w:val="000000" w:themeColor="text1"/>
                            <w14:textFill>
                              <w14:solidFill>
                                <w14:schemeClr w14:val="tx1"/>
                              </w14:solidFill>
                            </w14:textFill>
                          </w:rPr>
                        </m:ctrlPr>
                      </m:sSupPr>
                      <m:e>
                        <m:d>
                          <m:dPr>
                            <m:ctrlPr>
                              <w:rPr>
                                <w:rFonts w:ascii="Cambria Math" w:hAnsi="Cambria Math"/>
                                <w:i/>
                                <w:color w:val="000000" w:themeColor="text1"/>
                                <w14:textFill>
                                  <w14:solidFill>
                                    <w14:schemeClr w14:val="tx1"/>
                                  </w14:solidFill>
                                </w14:textFill>
                              </w:rPr>
                            </m:ctrlPr>
                          </m:dPr>
                          <m:e>
                            <m:f>
                              <m:fPr>
                                <m:ctrlPr>
                                  <w:rPr>
                                    <w:rFonts w:ascii="Cambria Math" w:hAnsi="Cambria Math" w:eastAsia="等线"/>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x−a</m:t>
                                </m:r>
                                <m:ctrlPr>
                                  <w:rPr>
                                    <w:rFonts w:ascii="Cambria Math" w:hAnsi="Cambria Math" w:eastAsia="等线"/>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c−a</m:t>
                                </m:r>
                                <m:ctrlPr>
                                  <w:rPr>
                                    <w:rFonts w:ascii="Cambria Math" w:hAnsi="Cambria Math" w:eastAsia="等线"/>
                                    <w:i/>
                                    <w:color w:val="000000" w:themeColor="text1"/>
                                    <w14:textFill>
                                      <w14:solidFill>
                                        <w14:schemeClr w14:val="tx1"/>
                                      </w14:solidFill>
                                    </w14:textFill>
                                  </w:rPr>
                                </m:ctrlPr>
                              </m:den>
                            </m:f>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p>
                        <m:r>
                          <m:rPr/>
                          <w:rPr>
                            <w:rFonts w:ascii="Cambria Math" w:hAnsi="Cambria Math"/>
                            <w:color w:val="000000" w:themeColor="text1"/>
                            <w14:textFill>
                              <w14:solidFill>
                                <w14:schemeClr w14:val="tx1"/>
                              </w14:solidFill>
                            </w14:textFill>
                          </w:rPr>
                          <m:t>p</m:t>
                        </m:r>
                        <m:ctrlPr>
                          <w:rPr>
                            <w:rFonts w:ascii="Cambria Math" w:hAnsi="Cambria Math" w:eastAsia="等线"/>
                            <w:i/>
                            <w:color w:val="000000" w:themeColor="text1"/>
                            <w14:textFill>
                              <w14:solidFill>
                                <w14:schemeClr w14:val="tx1"/>
                              </w14:solidFill>
                            </w14:textFill>
                          </w:rPr>
                        </m:ctrlPr>
                      </m:sup>
                    </m:sSup>
                    <m:ctrlPr>
                      <w:rPr>
                        <w:rFonts w:ascii="Cambria Math" w:hAnsi="Cambria Math"/>
                        <w:i/>
                        <w:color w:val="000000" w:themeColor="text1"/>
                        <w14:textFill>
                          <w14:solidFill>
                            <w14:schemeClr w14:val="tx1"/>
                          </w14:solidFill>
                        </w14:textFill>
                      </w:rPr>
                    </m:ctrlPr>
                  </m:e>
                </m:d>
                <m:r>
                  <m:rPr/>
                  <w:rPr>
                    <w:rFonts w:ascii="Cambria Math" w:hAnsi="Cambria Math"/>
                    <w:color w:val="000000" w:themeColor="text1"/>
                    <w14:textFill>
                      <w14:solidFill>
                        <w14:schemeClr w14:val="tx1"/>
                      </w14:solidFill>
                    </w14:textFill>
                  </w:rPr>
                  <m:t xml:space="preserve">           x∈[c,a]</m:t>
                </m:r>
                <m:ctrlPr>
                  <w:rPr>
                    <w:rFonts w:ascii="Cambria Math" w:hAnsi="Cambria Math" w:eastAsia="等线"/>
                    <w:i/>
                    <w:color w:val="000000" w:themeColor="text1"/>
                    <w14:textFill>
                      <w14:solidFill>
                        <w14:schemeClr w14:val="tx1"/>
                      </w14:solidFill>
                    </w14:textFill>
                  </w:rPr>
                </m:ctrlPr>
              </m:e>
            </m:eqArr>
            <m:ctrlPr>
              <w:rPr>
                <w:rFonts w:ascii="Cambria Math" w:hAnsi="Cambria Math" w:eastAsia="等线"/>
                <w:i/>
                <w:color w:val="000000" w:themeColor="text1"/>
                <w14:textFill>
                  <w14:solidFill>
                    <w14:schemeClr w14:val="tx1"/>
                  </w14:solidFill>
                </w14:textFill>
              </w:rPr>
            </m:ctrlPr>
          </m:e>
        </m:d>
      </m:oMath>
      <w:r>
        <w:rPr>
          <w:color w:val="000000" w:themeColor="text1"/>
          <w14:textFill>
            <w14:solidFill>
              <w14:schemeClr w14:val="tx1"/>
            </w14:solidFill>
          </w14:textFill>
        </w:rPr>
        <w:t xml:space="preserve">           </w:t>
      </w:r>
      <w:r>
        <w:rPr>
          <w:rFonts w:hint="eastAsia"/>
        </w:rPr>
        <w:t>（</w:t>
      </w:r>
      <w:r>
        <w:t>8-7</w:t>
      </w:r>
      <w:r>
        <w:rPr>
          <w:rFonts w:hint="eastAsia"/>
        </w:rPr>
        <w:t>）</w:t>
      </w:r>
    </w:p>
    <w:p>
      <w:pPr>
        <w:ind w:firstLine="480"/>
        <w:jc w:val="center"/>
        <w:rPr>
          <w:i/>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m:oMath>
        <m:r>
          <m:rPr/>
          <w:rPr>
            <w:rFonts w:hint="eastAsia" w:ascii="Cambria Math" w:hAnsi="Cambria Math"/>
            <w:color w:val="000000" w:themeColor="text1"/>
            <w14:textFill>
              <w14:solidFill>
                <w14:schemeClr w14:val="tx1"/>
              </w14:solidFill>
            </w14:textFill>
          </w:rPr>
          <m:t>M</m:t>
        </m:r>
        <m:r>
          <m:rPr/>
          <w:rPr>
            <w:rFonts w:ascii="Cambria Math" w:hAnsi="Cambria Math"/>
            <w:color w:val="000000" w:themeColor="text1"/>
            <w14:textFill>
              <w14:solidFill>
                <w14:schemeClr w14:val="tx1"/>
              </w14:solidFill>
            </w14:textFill>
          </w:rPr>
          <m:t>=</m:t>
        </m:r>
        <m:f>
          <m:fPr>
            <m:ctrlPr>
              <w:rPr>
                <w:rFonts w:ascii="Cambria Math" w:hAnsi="Cambria Math" w:eastAsia="等线"/>
                <w:i/>
                <w:color w:val="000000" w:themeColor="text1"/>
                <w14:textFill>
                  <w14:solidFill>
                    <w14:schemeClr w14:val="tx1"/>
                  </w14:solidFill>
                </w14:textFill>
              </w:rPr>
            </m:ctrlPr>
          </m:fPr>
          <m:num>
            <m:r>
              <m:rPr/>
              <w:rPr>
                <w:rFonts w:ascii="Cambria Math" w:hAnsi="Cambria Math"/>
                <w:color w:val="000000" w:themeColor="text1"/>
                <w14:textFill>
                  <w14:solidFill>
                    <w14:schemeClr w14:val="tx1"/>
                  </w14:solidFill>
                </w14:textFill>
              </w:rPr>
              <m:t>L−</m:t>
            </m:r>
            <m:r>
              <m:rPr/>
              <w:rPr>
                <w:rFonts w:hint="eastAsia" w:ascii="Cambria Math" w:hAnsi="Cambria Math"/>
                <w:color w:val="000000" w:themeColor="text1"/>
                <w14:textFill>
                  <w14:solidFill>
                    <w14:schemeClr w14:val="tx1"/>
                  </w14:solidFill>
                </w14:textFill>
              </w:rPr>
              <m:t>l</m:t>
            </m:r>
            <m:ctrlPr>
              <w:rPr>
                <w:rFonts w:ascii="Cambria Math" w:hAnsi="Cambria Math" w:eastAsia="等线"/>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L−1</m:t>
            </m:r>
            <m:ctrlPr>
              <w:rPr>
                <w:rFonts w:ascii="Cambria Math" w:hAnsi="Cambria Math" w:eastAsia="等线"/>
                <w:i/>
                <w:color w:val="000000" w:themeColor="text1"/>
                <w14:textFill>
                  <w14:solidFill>
                    <w14:schemeClr w14:val="tx1"/>
                  </w14:solidFill>
                </w14:textFill>
              </w:rPr>
            </m:ctrlPr>
          </m:den>
        </m:f>
        <m:r>
          <m:rPr/>
          <w:rPr>
            <w:rFonts w:hint="eastAsia" w:ascii="Cambria Math" w:hAnsi="Cambria Math" w:eastAsia="等线"/>
            <w:color w:val="000000" w:themeColor="text1"/>
            <w14:textFill>
              <w14:solidFill>
                <w14:schemeClr w14:val="tx1"/>
              </w14:solidFill>
            </w14:textFill>
          </w:rPr>
          <m:t>a</m:t>
        </m:r>
        <m:r>
          <m:rPr/>
          <w:rPr>
            <w:rFonts w:ascii="Cambria Math" w:hAnsi="Cambria Math"/>
            <w:color w:val="000000" w:themeColor="text1"/>
            <w14:textFill>
              <w14:solidFill>
                <w14:schemeClr w14:val="tx1"/>
              </w14:solidFill>
            </w14:textFill>
          </w:rPr>
          <m:t>+</m:t>
        </m:r>
        <m:f>
          <m:fPr>
            <m:ctrlPr>
              <w:rPr>
                <w:rFonts w:ascii="Cambria Math" w:hAnsi="Cambria Math" w:eastAsia="等线"/>
                <w:i/>
                <w:color w:val="000000" w:themeColor="text1"/>
                <w14:textFill>
                  <w14:solidFill>
                    <w14:schemeClr w14:val="tx1"/>
                  </w14:solidFill>
                </w14:textFill>
              </w:rPr>
            </m:ctrlPr>
          </m:fPr>
          <m:num>
            <m:r>
              <m:rPr/>
              <w:rPr>
                <w:rFonts w:hint="eastAsia" w:ascii="Cambria Math" w:hAnsi="Cambria Math"/>
                <w:color w:val="000000" w:themeColor="text1"/>
                <w14:textFill>
                  <w14:solidFill>
                    <w14:schemeClr w14:val="tx1"/>
                  </w14:solidFill>
                </w14:textFill>
              </w:rPr>
              <m:t>l</m:t>
            </m:r>
            <m:r>
              <m:rPr/>
              <w:rPr>
                <w:rFonts w:ascii="Cambria Math" w:hAnsi="Cambria Math"/>
                <w:color w:val="000000" w:themeColor="text1"/>
                <w14:textFill>
                  <w14:solidFill>
                    <w14:schemeClr w14:val="tx1"/>
                  </w14:solidFill>
                </w14:textFill>
              </w:rPr>
              <m:t>−1</m:t>
            </m:r>
            <m:ctrlPr>
              <w:rPr>
                <w:rFonts w:ascii="Cambria Math" w:hAnsi="Cambria Math" w:eastAsia="等线"/>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L−1</m:t>
            </m:r>
            <m:ctrlPr>
              <w:rPr>
                <w:rFonts w:ascii="Cambria Math" w:hAnsi="Cambria Math" w:eastAsia="等线"/>
                <w:i/>
                <w:color w:val="000000" w:themeColor="text1"/>
                <w14:textFill>
                  <w14:solidFill>
                    <w14:schemeClr w14:val="tx1"/>
                  </w14:solidFill>
                </w14:textFill>
              </w:rPr>
            </m:ctrlPr>
          </m:den>
        </m:f>
        <m:r>
          <m:rPr/>
          <w:rPr>
            <w:rFonts w:hint="eastAsia" w:ascii="Cambria Math" w:hAnsi="Cambria Math" w:eastAsia="等线"/>
            <w:color w:val="000000" w:themeColor="text1"/>
            <w14:textFill>
              <w14:solidFill>
                <w14:schemeClr w14:val="tx1"/>
              </w14:solidFill>
            </w14:textFill>
          </w:rPr>
          <m:t>b</m:t>
        </m:r>
      </m:oMath>
      <w:r>
        <w:rPr>
          <w:color w:val="000000" w:themeColor="text1"/>
          <w14:textFill>
            <w14:solidFill>
              <w14:schemeClr w14:val="tx1"/>
            </w14:solidFill>
          </w14:textFill>
        </w:rPr>
        <w:t xml:space="preserve">                      </w:t>
      </w:r>
      <w:r>
        <w:rPr>
          <w:rFonts w:hint="eastAsia"/>
        </w:rPr>
        <w:t>（</w:t>
      </w:r>
      <w:r>
        <w:t>8-8</w:t>
      </w:r>
      <w:r>
        <w:rPr>
          <w:rFonts w:hint="eastAsia"/>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m:oMath>
        <m:sSub>
          <m:sSubPr>
            <m:ctrlPr>
              <w:rPr>
                <w:rFonts w:ascii="Cambria Math" w:hAnsi="Cambria Math" w:eastAsia="等线"/>
                <w:i/>
                <w:color w:val="000000" w:themeColor="text1"/>
                <w14:textFill>
                  <w14:solidFill>
                    <w14:schemeClr w14:val="tx1"/>
                  </w14:solidFill>
                </w14:textFill>
              </w:rPr>
            </m:ctrlPr>
          </m:sSubPr>
          <m:e>
            <m:r>
              <m:rPr/>
              <w:rPr>
                <w:rFonts w:hint="eastAsia"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hint="eastAsia"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oMath>
      <w:r>
        <w:rPr>
          <w:rFonts w:hint="eastAsia"/>
          <w:color w:val="000000" w:themeColor="text1"/>
          <w14:textFill>
            <w14:solidFill>
              <w14:schemeClr w14:val="tx1"/>
            </w14:solidFill>
          </w14:textFill>
        </w:rPr>
        <w:t>为可变模糊集隶属度；</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x</w:t>
      </w:r>
      <w:r>
        <w:rPr>
          <w:rFonts w:hint="eastAsia"/>
          <w:color w:val="000000" w:themeColor="text1"/>
          <w14:textFill>
            <w14:solidFill>
              <w14:schemeClr w14:val="tx1"/>
            </w14:solidFill>
          </w14:textFill>
        </w:rPr>
        <w:t>为实际得分；</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为分数对应等级区间的左边界值；</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为分数对应左边界值再小一级的边界值；</w:t>
      </w:r>
      <w:r>
        <w:rPr>
          <w:color w:val="000000" w:themeColor="text1"/>
          <w14:textFill>
            <w14:solidFill>
              <w14:schemeClr w14:val="tx1"/>
            </w14:solidFill>
          </w14:textFill>
        </w:rPr>
        <w:t xml:space="preserve"> </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为分数对应等级区间的右边界值；</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为分数对应右边界值再大一级的边界值；</w:t>
      </w:r>
    </w:p>
    <w:p>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p为系数，可取0</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M</w:t>
      </w:r>
      <w:r>
        <w:rPr>
          <w:rFonts w:hint="eastAsia"/>
          <w:color w:val="000000" w:themeColor="text1"/>
          <w14:textFill>
            <w14:solidFill>
              <w14:schemeClr w14:val="tx1"/>
            </w14:solidFill>
          </w14:textFill>
        </w:rPr>
        <w:t>为区间边界值；</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14:textFill>
            <w14:solidFill>
              <w14:schemeClr w14:val="tx1"/>
            </w14:solidFill>
          </w14:textFill>
        </w:rPr>
        <w:t>为总风险等级级数；</w:t>
      </w:r>
    </w:p>
    <w:p>
      <w:pPr>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14:textFill>
            <w14:solidFill>
              <w14:schemeClr w14:val="tx1"/>
            </w14:solidFill>
          </w14:textFill>
        </w:rPr>
        <w:t>为当前风险等级序号。</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若x落在最低风险等级区间，则隶属度计算规则如下：</w:t>
      </w:r>
    </w:p>
    <w:p>
      <w:pPr>
        <w:ind w:firstLine="480"/>
        <w:jc w:val="center"/>
        <w:rPr>
          <w:iCs/>
          <w:color w:val="000000" w:themeColor="text1"/>
          <w:sz w:val="24"/>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m:oMath>
        <m:d>
          <m:dPr>
            <m:begChr m:val="{"/>
            <m:endChr m:val=""/>
            <m:ctrlPr>
              <w:rPr>
                <w:rFonts w:ascii="Cambria Math" w:hAnsi="Cambria Math" w:eastAsia="等线"/>
                <w:i/>
                <w:color w:val="000000" w:themeColor="text1"/>
                <w14:textFill>
                  <w14:solidFill>
                    <w14:schemeClr w14:val="tx1"/>
                  </w14:solidFill>
                </w14:textFill>
              </w:rPr>
            </m:ctrlPr>
          </m:dPr>
          <m:e>
            <m:eqArr>
              <m:eqArrPr>
                <m:ctrlPr>
                  <w:rPr>
                    <w:rFonts w:ascii="Cambria Math" w:hAnsi="Cambria Math" w:eastAsia="等线"/>
                    <w:i/>
                    <w:color w:val="000000" w:themeColor="text1"/>
                    <w14:textFill>
                      <w14:solidFill>
                        <w14:schemeClr w14:val="tx1"/>
                      </w14:solidFill>
                    </w14:textFill>
                  </w:rPr>
                </m:ctrlPr>
              </m:eqArrPr>
              <m:e>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12</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,0, 0,…]</m:t>
                </m:r>
                <m:ctrlPr>
                  <w:rPr>
                    <w:rFonts w:ascii="Cambria Math" w:hAnsi="Cambria Math" w:eastAsia="等线"/>
                    <w:i/>
                    <w:color w:val="000000" w:themeColor="text1"/>
                    <w14:textFill>
                      <w14:solidFill>
                        <w14:schemeClr w14:val="tx1"/>
                      </w14:solidFill>
                    </w14:textFill>
                  </w:rPr>
                </m:ctrlPr>
              </m:e>
              <m:e>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12</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=1</m:t>
                </m:r>
                <m:ctrlPr>
                  <w:rPr>
                    <w:rFonts w:ascii="Cambria Math" w:hAnsi="Cambria Math" w:eastAsia="等线"/>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0.5=&lt;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m:t>
                    </m:r>
                    <m:ctrlPr>
                      <w:rPr>
                        <w:rFonts w:ascii="Cambria Math" w:hAnsi="Cambria Math" w:eastAsia="等线"/>
                        <w:i/>
                        <w:color w:val="000000" w:themeColor="text1"/>
                        <w14:textFill>
                          <w14:solidFill>
                            <w14:schemeClr w14:val="tx1"/>
                          </w14:solidFill>
                        </w14:textFill>
                      </w:rPr>
                    </m:ctrlPr>
                  </m:sub>
                </m:sSub>
                <m:r>
                  <m:rPr/>
                  <w:rPr>
                    <w:rFonts w:hint="eastAsia"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1</m:t>
                </m:r>
                <m:ctrlPr>
                  <w:rPr>
                    <w:rFonts w:ascii="Cambria Math" w:hAnsi="Cambria Math" w:eastAsia="Cambria Math" w:cs="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0=&lt;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11</m:t>
                    </m:r>
                    <m:ctrlPr>
                      <w:rPr>
                        <w:rFonts w:ascii="Cambria Math" w:hAnsi="Cambria Math" w:eastAsia="等线"/>
                        <w:i/>
                        <w:color w:val="000000" w:themeColor="text1"/>
                        <w14:textFill>
                          <w14:solidFill>
                            <w14:schemeClr w14:val="tx1"/>
                          </w14:solidFill>
                        </w14:textFill>
                      </w:rPr>
                    </m:ctrlPr>
                  </m:sub>
                </m:sSub>
                <m:r>
                  <m:rPr/>
                  <w:rPr>
                    <w:rFonts w:hint="eastAsia"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0.5</m:t>
                </m:r>
                <m:ctrlPr>
                  <w:rPr>
                    <w:rFonts w:ascii="Cambria Math" w:hAnsi="Cambria Math" w:eastAsia="等线"/>
                    <w:i/>
                    <w:color w:val="000000" w:themeColor="text1"/>
                    <w14:textFill>
                      <w14:solidFill>
                        <w14:schemeClr w14:val="tx1"/>
                      </w14:solidFill>
                    </w14:textFill>
                  </w:rPr>
                </m:ctrlPr>
              </m:e>
            </m:eqArr>
            <m:ctrlPr>
              <w:rPr>
                <w:rFonts w:ascii="Cambria Math" w:hAnsi="Cambria Math" w:eastAsia="等线"/>
                <w:i/>
                <w:color w:val="000000" w:themeColor="text1"/>
                <w14:textFill>
                  <w14:solidFill>
                    <w14:schemeClr w14:val="tx1"/>
                  </w14:solidFill>
                </w14:textFill>
              </w:rPr>
            </m:ctrlPr>
          </m:e>
        </m:d>
      </m:oMath>
      <w:r>
        <w:rPr>
          <w:color w:val="000000" w:themeColor="text1"/>
          <w14:textFill>
            <w14:solidFill>
              <w14:schemeClr w14:val="tx1"/>
            </w14:solidFill>
          </w14:textFill>
        </w:rPr>
        <w:t xml:space="preserve">             </w:t>
      </w:r>
      <w:r>
        <w:rPr>
          <w:rFonts w:hint="eastAsia"/>
        </w:rPr>
        <w:t>（</w:t>
      </w:r>
      <w:r>
        <w:t>8-9</w:t>
      </w:r>
      <w:r>
        <w:rPr>
          <w:rFonts w:hint="eastAsia"/>
        </w:rPr>
        <w:t>）</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若x落在最高风险等级区间，则隶属度计算规则如下：</w:t>
      </w:r>
    </w:p>
    <w:p>
      <w:pPr>
        <w:ind w:firstLine="480"/>
        <w:jc w:val="center"/>
        <w:rPr>
          <w:iCs/>
          <w:color w:val="000000" w:themeColor="text1"/>
          <w14:textFill>
            <w14:solidFill>
              <w14:schemeClr w14:val="tx1"/>
            </w14:solidFill>
          </w14:textFill>
        </w:rPr>
      </w:pPr>
      <w:r>
        <w:rPr>
          <w:color w:val="000000" w:themeColor="text1"/>
          <w14:textFill>
            <w14:solidFill>
              <w14:schemeClr w14:val="tx1"/>
            </w14:solidFill>
          </w14:textFill>
        </w:rPr>
        <w:t xml:space="preserve">                 </w:t>
      </w:r>
      <m:oMath>
        <m:d>
          <m:dPr>
            <m:begChr m:val="{"/>
            <m:endChr m:val=""/>
            <m:ctrlPr>
              <w:rPr>
                <w:rFonts w:ascii="Cambria Math" w:hAnsi="Cambria Math" w:eastAsia="等线"/>
                <w:i/>
                <w:color w:val="000000" w:themeColor="text1"/>
                <w14:textFill>
                  <w14:solidFill>
                    <w14:schemeClr w14:val="tx1"/>
                  </w14:solidFill>
                </w14:textFill>
              </w:rPr>
            </m:ctrlPr>
          </m:dPr>
          <m:e>
            <m:eqArr>
              <m:eqArrPr>
                <m:ctrlPr>
                  <w:rPr>
                    <w:rFonts w:ascii="Cambria Math" w:hAnsi="Cambria Math" w:eastAsia="等线"/>
                    <w:i/>
                    <w:color w:val="000000" w:themeColor="text1"/>
                    <w14:textFill>
                      <w14:solidFill>
                        <w14:schemeClr w14:val="tx1"/>
                      </w14:solidFill>
                    </w14:textFill>
                  </w:rPr>
                </m:ctrlPr>
              </m:eqArrPr>
              <m:e>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=[0, 0,…,</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ctrlPr>
                  <w:rPr>
                    <w:rFonts w:ascii="Cambria Math" w:hAnsi="Cambria Math" w:eastAsia="等线"/>
                    <w:i/>
                    <w:color w:val="000000" w:themeColor="text1"/>
                    <w14:textFill>
                      <w14:solidFill>
                        <w14:schemeClr w14:val="tx1"/>
                      </w14:solidFill>
                    </w14:textFill>
                  </w:rPr>
                </m:ctrlPr>
              </m:e>
              <m:e>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m:t>
                    </m:r>
                    <m:ctrlPr>
                      <w:rPr>
                        <w:rFonts w:ascii="Cambria Math" w:hAnsi="Cambria Math" w:eastAsia="等线"/>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=1</m:t>
                </m:r>
                <m:ctrlPr>
                  <w:rPr>
                    <w:rFonts w:ascii="Cambria Math" w:hAnsi="Cambria Math" w:eastAsia="等线"/>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0.5=&lt;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m:t>
                    </m:r>
                    <m:ctrlPr>
                      <w:rPr>
                        <w:rFonts w:ascii="Cambria Math" w:hAnsi="Cambria Math" w:eastAsia="等线"/>
                        <w:i/>
                        <w:color w:val="000000" w:themeColor="text1"/>
                        <w14:textFill>
                          <w14:solidFill>
                            <w14:schemeClr w14:val="tx1"/>
                          </w14:solidFill>
                        </w14:textFill>
                      </w:rPr>
                    </m:ctrlPr>
                  </m:sub>
                </m:sSub>
                <m:r>
                  <m:rPr/>
                  <w:rPr>
                    <w:rFonts w:hint="eastAsia"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1</m:t>
                </m:r>
                <m:ctrlPr>
                  <w:rPr>
                    <w:rFonts w:ascii="Cambria Math" w:hAnsi="Cambria Math" w:eastAsia="Cambria Math" w:cs="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0=&lt;</m:t>
                </m:r>
                <m:sSub>
                  <m:sSubPr>
                    <m:ctrlPr>
                      <w:rPr>
                        <w:rFonts w:ascii="Cambria Math" w:hAnsi="Cambria Math" w:eastAsia="等线"/>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eastAsia="等线"/>
                        <w:i/>
                        <w:color w:val="000000" w:themeColor="text1"/>
                        <w14:textFill>
                          <w14:solidFill>
                            <w14:schemeClr w14:val="tx1"/>
                          </w14:solidFill>
                        </w14:textFill>
                      </w:rPr>
                    </m:ctrlPr>
                  </m:sub>
                </m:sSub>
                <m:sSub>
                  <m:sSubPr>
                    <m:ctrlPr>
                      <w:rPr>
                        <w:rFonts w:ascii="Cambria Math" w:hAnsi="Cambria Math" w:eastAsia="等线"/>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eastAsia="等线"/>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eastAsia="等线"/>
                        <w:i/>
                        <w:color w:val="000000" w:themeColor="text1"/>
                        <w14:textFill>
                          <w14:solidFill>
                            <w14:schemeClr w14:val="tx1"/>
                          </w14:solidFill>
                        </w14:textFill>
                      </w:rPr>
                    </m:ctrlPr>
                  </m:sub>
                </m:sSub>
                <m:r>
                  <m:rPr/>
                  <w:rPr>
                    <w:rFonts w:hint="eastAsia"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0.5</m:t>
                </m:r>
                <m:ctrlPr>
                  <w:rPr>
                    <w:rFonts w:ascii="Cambria Math" w:hAnsi="Cambria Math" w:eastAsia="等线"/>
                    <w:i/>
                    <w:color w:val="000000" w:themeColor="text1"/>
                    <w14:textFill>
                      <w14:solidFill>
                        <w14:schemeClr w14:val="tx1"/>
                      </w14:solidFill>
                    </w14:textFill>
                  </w:rPr>
                </m:ctrlPr>
              </m:e>
            </m:eqArr>
            <m:ctrlPr>
              <w:rPr>
                <w:rFonts w:ascii="Cambria Math" w:hAnsi="Cambria Math" w:eastAsia="等线"/>
                <w:i/>
                <w:color w:val="000000" w:themeColor="text1"/>
                <w14:textFill>
                  <w14:solidFill>
                    <w14:schemeClr w14:val="tx1"/>
                  </w14:solidFill>
                </w14:textFill>
              </w:rPr>
            </m:ctrlPr>
          </m:e>
        </m:d>
      </m:oMath>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rPr>
        <w:t>（</w:t>
      </w:r>
      <w:r>
        <w:t>8-10</w:t>
      </w:r>
      <w:r>
        <w:rPr>
          <w:rFonts w:hint="eastAsia"/>
        </w:rPr>
        <w:t>）</w:t>
      </w:r>
    </w:p>
    <w:p>
      <w:pPr>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若其落在中间风险区间，则隶属度计算规则如下：</w:t>
      </w:r>
    </w:p>
    <w:p>
      <w:pPr>
        <w:tabs>
          <w:tab w:val="left" w:pos="420"/>
        </w:tabs>
        <w:spacing w:line="300" w:lineRule="auto"/>
        <w:ind w:firstLine="1470" w:firstLineChars="700"/>
        <w:rPr>
          <w:rFonts w:eastAsiaTheme="majorEastAsia"/>
          <w:color w:val="000000" w:themeColor="text1"/>
          <w14:textFill>
            <w14:solidFill>
              <w14:schemeClr w14:val="tx1"/>
            </w14:solidFill>
          </w14:textFill>
        </w:rPr>
      </w:pPr>
      <m:oMath>
        <m:d>
          <m:dPr>
            <m:begChr m:val="{"/>
            <m:endChr m:val=""/>
            <m:ctrlPr>
              <w:rPr>
                <w:rFonts w:ascii="Cambria Math" w:hAnsi="Cambria Math"/>
                <w:i/>
                <w:color w:val="000000" w:themeColor="text1"/>
                <w14:textFill>
                  <w14:solidFill>
                    <w14:schemeClr w14:val="tx1"/>
                  </w14:solidFill>
                </w14:textFill>
              </w:rPr>
            </m:ctrlPr>
          </m:dPr>
          <m:e>
            <m:eqArr>
              <m:eqArrPr>
                <m:ctrlPr>
                  <w:rPr>
                    <w:rFonts w:ascii="Cambria Math" w:hAnsi="Cambria Math"/>
                    <w:i/>
                    <w:color w:val="000000" w:themeColor="text1"/>
                    <w14:textFill>
                      <w14:solidFill>
                        <w14:schemeClr w14:val="tx1"/>
                      </w14:solidFill>
                    </w14:textFill>
                  </w:rPr>
                </m:ctrlPr>
              </m:eqArrPr>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=[0, 0,…</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,0,…,0]</m:t>
                </m:r>
                <m:ctrlPr>
                  <w:rPr>
                    <w:rFonts w:ascii="Cambria Math" w:hAnsi="Cambria Math"/>
                    <w:i/>
                    <w:color w:val="000000" w:themeColor="text1"/>
                    <w14:textFill>
                      <w14:solidFill>
                        <w14:schemeClr w14:val="tx1"/>
                      </w14:solidFill>
                    </w14:textFill>
                  </w:rPr>
                </m:ctrlPr>
              </m:e>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=1</m:t>
                </m:r>
                <m:ctrlPr>
                  <w:rPr>
                    <w:rFonts w:ascii="Cambria Math" w:hAnsi="Cambria Math"/>
                    <w:i/>
                    <w:color w:val="000000" w:themeColor="text1"/>
                    <w14:textFill>
                      <w14:solidFill>
                        <w14:schemeClr w14:val="tx1"/>
                      </w14:solidFill>
                    </w14:textFill>
                  </w:rPr>
                </m:ctrlPr>
              </m:e>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=0.5</m:t>
                </m:r>
                <m:ctrlPr>
                  <w:rPr>
                    <w:rFonts w:ascii="Cambria Math" w:hAnsi="Cambria Math" w:eastAsia="Cambria Math" w:cs="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0=&lt;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i/>
                        <w:color w:val="000000" w:themeColor="text1"/>
                        <w14:textFill>
                          <w14:solidFill>
                            <w14:schemeClr w14:val="tx1"/>
                          </w14:solidFill>
                        </w14:textFill>
                      </w:rPr>
                    </m:ctrlPr>
                  </m:sub>
                </m:sSub>
                <m:r>
                  <m:rPr/>
                  <w:rPr>
                    <w:rFonts w:hint="eastAsia"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0.5</m:t>
                </m:r>
                <m:ctrlPr>
                  <w:rPr>
                    <w:rFonts w:ascii="Cambria Math" w:hAnsi="Cambria Math" w:eastAsia="Cambria Math" w:cs="Cambria Math"/>
                    <w:i/>
                    <w:color w:val="000000" w:themeColor="text1"/>
                    <w14:textFill>
                      <w14:solidFill>
                        <w14:schemeClr w14:val="tx1"/>
                      </w14:solidFill>
                    </w14:textFill>
                  </w:rPr>
                </m:ctrlPr>
              </m:e>
              <m:e>
                <m:r>
                  <m:rPr/>
                  <w:rPr>
                    <w:rFonts w:ascii="Cambria Math" w:hAnsi="Cambria Math"/>
                    <w:color w:val="000000" w:themeColor="text1"/>
                    <w14:textFill>
                      <w14:solidFill>
                        <w14:schemeClr w14:val="tx1"/>
                      </w14:solidFill>
                    </w14:textFill>
                  </w:rPr>
                  <m:t>0=&lt;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A</m:t>
                    </m:r>
                    <m:ctrlPr>
                      <w:rPr>
                        <w:rFonts w:ascii="Cambria Math" w:hAnsi="Cambria Math"/>
                        <w:i/>
                        <w:color w:val="000000" w:themeColor="text1"/>
                        <w14:textFill>
                          <w14:solidFill>
                            <w14:schemeClr w14:val="tx1"/>
                          </w14:solidFill>
                        </w14:textFill>
                      </w:rPr>
                    </m:ctrlPr>
                  </m:sub>
                </m:sSub>
                <m:sSub>
                  <m:sSubPr>
                    <m:ctrlPr>
                      <w:rPr>
                        <w:rFonts w:ascii="Cambria Math" w:hAnsi="Cambria Math"/>
                        <w:i/>
                        <w:color w:val="000000" w:themeColor="text1"/>
                        <w14:textFill>
                          <w14:solidFill>
                            <w14:schemeClr w14:val="tx1"/>
                          </w14:solidFill>
                        </w14:textFill>
                      </w:rPr>
                    </m:ctrlPr>
                  </m:sSubPr>
                  <m:e>
                    <m:d>
                      <m:dPr>
                        <m:ctrlPr>
                          <w:rPr>
                            <w:rFonts w:ascii="Cambria Math" w:hAnsi="Cambria Math"/>
                            <w:i/>
                            <w:color w:val="000000" w:themeColor="text1"/>
                            <w14:textFill>
                              <w14:solidFill>
                                <w14:schemeClr w14:val="tx1"/>
                              </w14:solidFill>
                            </w14:textFill>
                          </w:rPr>
                        </m:ctrlPr>
                      </m:d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d>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1,l+1</m:t>
                    </m:r>
                    <m:ctrlPr>
                      <w:rPr>
                        <w:rFonts w:ascii="Cambria Math" w:hAnsi="Cambria Math"/>
                        <w:i/>
                        <w:color w:val="000000" w:themeColor="text1"/>
                        <w14:textFill>
                          <w14:solidFill>
                            <w14:schemeClr w14:val="tx1"/>
                          </w14:solidFill>
                        </w14:textFill>
                      </w:rPr>
                    </m:ctrlPr>
                  </m:sub>
                </m:sSub>
                <m:r>
                  <m:rPr/>
                  <w:rPr>
                    <w:rFonts w:hint="eastAsia" w:ascii="Cambria Math" w:hAnsi="Cambria Math"/>
                    <w:color w:val="000000" w:themeColor="text1"/>
                    <w14:textFill>
                      <w14:solidFill>
                        <w14:schemeClr w14:val="tx1"/>
                      </w14:solidFill>
                    </w14:textFill>
                  </w:rPr>
                  <m:t>≤</m:t>
                </m:r>
                <m:r>
                  <m:rPr/>
                  <w:rPr>
                    <w:rFonts w:ascii="Cambria Math" w:hAnsi="Cambria Math"/>
                    <w:color w:val="000000" w:themeColor="text1"/>
                    <w14:textFill>
                      <w14:solidFill>
                        <w14:schemeClr w14:val="tx1"/>
                      </w14:solidFill>
                    </w14:textFill>
                  </w:rPr>
                  <m:t>0.5</m:t>
                </m:r>
                <m:ctrlPr>
                  <w:rPr>
                    <w:rFonts w:ascii="Cambria Math" w:hAnsi="Cambria Math"/>
                    <w:i/>
                    <w:color w:val="000000" w:themeColor="text1"/>
                    <w14:textFill>
                      <w14:solidFill>
                        <w14:schemeClr w14:val="tx1"/>
                      </w14:solidFill>
                    </w14:textFill>
                  </w:rPr>
                </m:ctrlPr>
              </m:e>
            </m:eqArr>
            <m:ctrlPr>
              <w:rPr>
                <w:rFonts w:ascii="Cambria Math" w:hAnsi="Cambria Math"/>
                <w:i/>
                <w:color w:val="000000" w:themeColor="text1"/>
                <w14:textFill>
                  <w14:solidFill>
                    <w14:schemeClr w14:val="tx1"/>
                  </w14:solidFill>
                </w14:textFill>
              </w:rPr>
            </m:ctrlPr>
          </m:e>
        </m:d>
      </m:oMath>
      <w:r>
        <w:rPr>
          <w:color w:val="000000" w:themeColor="text1"/>
          <w14:textFill>
            <w14:solidFill>
              <w14:schemeClr w14:val="tx1"/>
            </w14:solidFill>
          </w14:textFill>
        </w:rPr>
        <w:t xml:space="preserve">       </w:t>
      </w:r>
      <w:r>
        <w:rPr>
          <w:rFonts w:hint="eastAsia"/>
        </w:rPr>
        <w:t>（</w:t>
      </w:r>
      <w:r>
        <w:t>8-11</w:t>
      </w:r>
      <w:r>
        <w:rPr>
          <w:rFonts w:hint="eastAsia"/>
        </w:rPr>
        <w:t>）</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当得分落于中间风险区间时，设定p=0.6当前风险得分为45分，风险等级为一级[</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、二级[</w:t>
      </w:r>
      <w:r>
        <w:rPr>
          <w:color w:val="000000" w:themeColor="text1"/>
          <w14:textFill>
            <w14:solidFill>
              <w14:schemeClr w14:val="tx1"/>
            </w14:solidFill>
          </w14:textFill>
        </w:rPr>
        <w:t>20,40]</w:t>
      </w:r>
      <w:r>
        <w:rPr>
          <w:rFonts w:hint="eastAsia"/>
          <w:color w:val="000000" w:themeColor="text1"/>
          <w14:textFill>
            <w14:solidFill>
              <w14:schemeClr w14:val="tx1"/>
            </w14:solidFill>
          </w14:textFill>
        </w:rPr>
        <w:t>、三级[</w:t>
      </w:r>
      <w:r>
        <w:rPr>
          <w:color w:val="000000" w:themeColor="text1"/>
          <w14:textFill>
            <w14:solidFill>
              <w14:schemeClr w14:val="tx1"/>
            </w14:solidFill>
          </w14:textFill>
        </w:rPr>
        <w:t>40,60]</w:t>
      </w:r>
      <w:r>
        <w:rPr>
          <w:rFonts w:hint="eastAsia"/>
          <w:color w:val="000000" w:themeColor="text1"/>
          <w14:textFill>
            <w14:solidFill>
              <w14:schemeClr w14:val="tx1"/>
            </w14:solidFill>
          </w14:textFill>
        </w:rPr>
        <w:t>、四级</w:t>
      </w:r>
      <w:r>
        <w:rPr>
          <w:color w:val="000000" w:themeColor="text1"/>
          <w14:textFill>
            <w14:solidFill>
              <w14:schemeClr w14:val="tx1"/>
            </w14:solidFill>
          </w14:textFill>
        </w:rPr>
        <w:t>[60,80]</w:t>
      </w:r>
      <w:r>
        <w:rPr>
          <w:rFonts w:hint="eastAsia"/>
          <w:color w:val="000000" w:themeColor="text1"/>
          <w14:textFill>
            <w14:solidFill>
              <w14:schemeClr w14:val="tx1"/>
            </w14:solidFill>
          </w14:textFill>
        </w:rPr>
        <w:t>、五级[</w:t>
      </w:r>
      <w:r>
        <w:rPr>
          <w:color w:val="000000" w:themeColor="text1"/>
          <w14:textFill>
            <w14:solidFill>
              <w14:schemeClr w14:val="tx1"/>
            </w14:solidFill>
          </w14:textFill>
        </w:rPr>
        <w:t>80,100]</w:t>
      </w:r>
      <w:r>
        <w:rPr>
          <w:rFonts w:hint="eastAsia"/>
          <w:color w:val="000000" w:themeColor="text1"/>
          <w14:textFill>
            <w14:solidFill>
              <w14:schemeClr w14:val="tx1"/>
            </w14:solidFill>
          </w14:textFill>
        </w:rPr>
        <w:t>。45分属于三级风险，三级风险区间a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40， b=60，c=20，d=80，L</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，l</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，计算得到M</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所以对于三级风险而言，其位于三级风险的[a-M]即[40-50]区间内，代入对应隶属度计算公式可以计算出其属于三级风险的隶属度为0.8299。且风险得分45实际上还落在了四级风险的区间中，因为在四级风险的区间分值为a=60，b=80，c=40，d=100，风险得分45落于[c-a]即[40-60]区间中，代入对应隶属度计算公式可以计算出属于四级风险的隶属度值为0.0792，则其属于二级风险的隶属度为0.5-0.0792=0.4208；若得分不属于[</w:t>
      </w:r>
      <w:r>
        <w:rPr>
          <w:color w:val="000000" w:themeColor="text1"/>
          <w14:textFill>
            <w14:solidFill>
              <w14:schemeClr w14:val="tx1"/>
            </w14:solidFill>
          </w14:textFill>
        </w:rPr>
        <w:t>a,M]</w:t>
      </w:r>
      <w:r>
        <w:rPr>
          <w:rFonts w:hint="eastAsia"/>
          <w:color w:val="000000" w:themeColor="text1"/>
          <w14:textFill>
            <w14:solidFill>
              <w14:schemeClr w14:val="tx1"/>
            </w14:solidFill>
          </w14:textFill>
        </w:rPr>
        <w:t>区间，则需要利用上一级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c，a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区间计算式进行计算，例如设定p=0.6风险得分为5</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分时，落于三级风险区间[</w:t>
      </w:r>
      <w:r>
        <w:rPr>
          <w:color w:val="000000" w:themeColor="text1"/>
          <w14:textFill>
            <w14:solidFill>
              <w14:schemeClr w14:val="tx1"/>
            </w14:solidFill>
          </w14:textFill>
        </w:rPr>
        <w:t>40,60]</w:t>
      </w:r>
      <w:r>
        <w:rPr>
          <w:rFonts w:hint="eastAsia"/>
          <w:color w:val="000000" w:themeColor="text1"/>
          <w14:textFill>
            <w14:solidFill>
              <w14:schemeClr w14:val="tx1"/>
            </w14:solidFill>
          </w14:textFill>
        </w:rPr>
        <w:t>中，但由于M</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，所以5</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并不属于[</w:t>
      </w:r>
      <w:r>
        <w:rPr>
          <w:color w:val="000000" w:themeColor="text1"/>
          <w14:textFill>
            <w14:solidFill>
              <w14:schemeClr w14:val="tx1"/>
            </w14:solidFill>
          </w14:textFill>
        </w:rPr>
        <w:t>a,M]</w:t>
      </w:r>
      <w:r>
        <w:rPr>
          <w:rFonts w:hint="eastAsia"/>
          <w:color w:val="000000" w:themeColor="text1"/>
          <w14:textFill>
            <w14:solidFill>
              <w14:schemeClr w14:val="tx1"/>
            </w14:solidFill>
          </w14:textFill>
        </w:rPr>
        <w:t>区间，故取上一级四级区间[</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进行计算，其a</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=80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c=40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d=100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55</w:t>
      </w:r>
      <w:r>
        <w:rPr>
          <w:rFonts w:hint="eastAsia"/>
          <w:color w:val="000000" w:themeColor="text1"/>
          <w14:textFill>
            <w14:solidFill>
              <w14:schemeClr w14:val="tx1"/>
            </w14:solidFill>
          </w14:textFill>
        </w:rPr>
        <w:t>落于[</w:t>
      </w:r>
      <w:r>
        <w:rPr>
          <w:color w:val="000000" w:themeColor="text1"/>
          <w14:textFill>
            <w14:solidFill>
              <w14:schemeClr w14:val="tx1"/>
            </w14:solidFill>
          </w14:textFill>
        </w:rPr>
        <w:t>c,a]</w:t>
      </w:r>
      <w:r>
        <w:rPr>
          <w:rFonts w:hint="eastAsia"/>
          <w:color w:val="000000" w:themeColor="text1"/>
          <w14:textFill>
            <w14:solidFill>
              <w14:schemeClr w14:val="tx1"/>
            </w14:solidFill>
          </w14:textFill>
        </w:rPr>
        <w:t>区间，代入公式计算得到5</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对应的四级风险隶属度为0</w:t>
      </w:r>
      <w:r>
        <w:rPr>
          <w:color w:val="000000" w:themeColor="text1"/>
          <w14:textFill>
            <w14:solidFill>
              <w14:schemeClr w14:val="tx1"/>
            </w14:solidFill>
          </w14:textFill>
        </w:rPr>
        <w:t>.282</w:t>
      </w:r>
      <w:r>
        <w:rPr>
          <w:rFonts w:hint="eastAsia"/>
          <w:color w:val="000000" w:themeColor="text1"/>
          <w14:textFill>
            <w14:solidFill>
              <w14:schemeClr w14:val="tx1"/>
            </w14:solidFill>
          </w14:textFill>
        </w:rPr>
        <w:t>，三级风险区间为1</w:t>
      </w:r>
      <w:r>
        <w:rPr>
          <w:color w:val="000000" w:themeColor="text1"/>
          <w14:textFill>
            <w14:solidFill>
              <w14:schemeClr w14:val="tx1"/>
            </w14:solidFill>
          </w14:textFill>
        </w:rPr>
        <w:t>-0.282=0.718</w:t>
      </w:r>
      <w:r>
        <w:rPr>
          <w:rFonts w:hint="eastAsia"/>
          <w:color w:val="000000" w:themeColor="text1"/>
          <w14:textFill>
            <w14:solidFill>
              <w14:schemeClr w14:val="tx1"/>
            </w14:solidFill>
          </w14:textFill>
        </w:rPr>
        <w:t>，二级风险区间为</w:t>
      </w:r>
      <w:r>
        <w:rPr>
          <w:color w:val="000000" w:themeColor="text1"/>
          <w14:textFill>
            <w14:solidFill>
              <w14:schemeClr w14:val="tx1"/>
            </w14:solidFill>
          </w14:textFill>
        </w:rPr>
        <w:t>0.5-0.282=0.218</w:t>
      </w:r>
      <w:r>
        <w:rPr>
          <w:rFonts w:hint="eastAsia"/>
          <w:color w:val="000000" w:themeColor="text1"/>
          <w14:textFill>
            <w14:solidFill>
              <w14:schemeClr w14:val="tx1"/>
            </w14:solidFill>
          </w14:textFill>
        </w:rPr>
        <w:t>。</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当得分位于一级和五级风险时计算有所区别，例如，设定p=0.6当前风险得分为</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分，则位于一级风险区间，a</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，L</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l=5</w:t>
      </w:r>
      <w:r>
        <w:rPr>
          <w:rFonts w:hint="eastAsia"/>
          <w:color w:val="000000" w:themeColor="text1"/>
          <w14:textFill>
            <w14:solidFill>
              <w14:schemeClr w14:val="tx1"/>
            </w14:solidFill>
          </w14:textFill>
        </w:rPr>
        <w:t>，计算得M</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，M和</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值相等，此时不应用[</w:t>
      </w:r>
      <w:r>
        <w:rPr>
          <w:color w:val="000000" w:themeColor="text1"/>
          <w14:textFill>
            <w14:solidFill>
              <w14:schemeClr w14:val="tx1"/>
            </w14:solidFill>
          </w14:textFill>
        </w:rPr>
        <w:t>a,M]</w:t>
      </w:r>
      <w:r>
        <w:rPr>
          <w:rFonts w:hint="eastAsia"/>
          <w:color w:val="000000" w:themeColor="text1"/>
          <w14:textFill>
            <w14:solidFill>
              <w14:schemeClr w14:val="tx1"/>
            </w14:solidFill>
          </w14:textFill>
        </w:rPr>
        <w:t>区间上的计算式计算，而应改用二级风险区间[</w:t>
      </w:r>
      <w:r>
        <w:rPr>
          <w:color w:val="000000" w:themeColor="text1"/>
          <w14:textFill>
            <w14:solidFill>
              <w14:schemeClr w14:val="tx1"/>
            </w14:solidFill>
          </w14:textFill>
        </w:rPr>
        <w:t>20,40]</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c,a]</w:t>
      </w:r>
      <w:r>
        <w:rPr>
          <w:rFonts w:hint="eastAsia"/>
          <w:color w:val="000000" w:themeColor="text1"/>
          <w14:textFill>
            <w14:solidFill>
              <w14:schemeClr w14:val="tx1"/>
            </w14:solidFill>
          </w14:textFill>
        </w:rPr>
        <w:t>区间计算式进行间接计算，二级风险区间a</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，则1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分落在了二级风险区间的[c，a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上，代入对应隶属度计算公式计算得四级风险隶属度0</w:t>
      </w:r>
      <w:r>
        <w:rPr>
          <w:color w:val="000000" w:themeColor="text1"/>
          <w14:textFill>
            <w14:solidFill>
              <w14:schemeClr w14:val="tx1"/>
            </w14:solidFill>
          </w14:textFill>
        </w:rPr>
        <w:t>.282</w:t>
      </w:r>
      <w:r>
        <w:rPr>
          <w:rFonts w:hint="eastAsia"/>
          <w:color w:val="000000" w:themeColor="text1"/>
          <w14:textFill>
            <w14:solidFill>
              <w14:schemeClr w14:val="tx1"/>
            </w14:solidFill>
          </w14:textFill>
        </w:rPr>
        <w:t>，一级风险隶属度值为1</w:t>
      </w:r>
      <w:r>
        <w:rPr>
          <w:color w:val="000000" w:themeColor="text1"/>
          <w14:textFill>
            <w14:solidFill>
              <w14:schemeClr w14:val="tx1"/>
            </w14:solidFill>
          </w14:textFill>
        </w:rPr>
        <w:t>-0.282=0.718</w:t>
      </w:r>
      <w:r>
        <w:rPr>
          <w:rFonts w:hint="eastAsia"/>
          <w:color w:val="000000" w:themeColor="text1"/>
          <w14:textFill>
            <w14:solidFill>
              <w14:schemeClr w14:val="tx1"/>
            </w14:solidFill>
          </w14:textFill>
        </w:rPr>
        <w:t>。设定p=0.6当前风险得分为9</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分，位于五级风险区间，此时a</w:t>
      </w:r>
      <w:r>
        <w:rPr>
          <w:color w:val="000000" w:themeColor="text1"/>
          <w14:textFill>
            <w14:solidFill>
              <w14:schemeClr w14:val="tx1"/>
            </w14:solidFill>
          </w14:textFill>
        </w:rPr>
        <w:t>=80</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，L</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l=1</w:t>
      </w:r>
      <w:r>
        <w:rPr>
          <w:rFonts w:hint="eastAsia"/>
          <w:color w:val="000000" w:themeColor="text1"/>
          <w14:textFill>
            <w14:solidFill>
              <w14:schemeClr w14:val="tx1"/>
            </w14:solidFill>
          </w14:textFill>
        </w:rPr>
        <w:t>，计算得M</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，可直接用[</w:t>
      </w:r>
      <w:r>
        <w:rPr>
          <w:color w:val="000000" w:themeColor="text1"/>
          <w14:textFill>
            <w14:solidFill>
              <w14:schemeClr w14:val="tx1"/>
            </w14:solidFill>
          </w14:textFill>
        </w:rPr>
        <w:t>a,M]</w:t>
      </w:r>
      <w:r>
        <w:rPr>
          <w:rFonts w:hint="eastAsia"/>
          <w:color w:val="000000" w:themeColor="text1"/>
          <w14:textFill>
            <w14:solidFill>
              <w14:schemeClr w14:val="tx1"/>
            </w14:solidFill>
          </w14:textFill>
        </w:rPr>
        <w:t>区间的计算公式进行计算，代入可得对应五级风险区间隶属度为0</w:t>
      </w:r>
      <w:r>
        <w:rPr>
          <w:color w:val="000000" w:themeColor="text1"/>
          <w14:textFill>
            <w14:solidFill>
              <w14:schemeClr w14:val="tx1"/>
            </w14:solidFill>
          </w14:textFill>
        </w:rPr>
        <w:t>.83</w:t>
      </w:r>
      <w:r>
        <w:rPr>
          <w:rFonts w:hint="eastAsia"/>
          <w:color w:val="000000" w:themeColor="text1"/>
          <w14:textFill>
            <w14:solidFill>
              <w14:schemeClr w14:val="tx1"/>
            </w14:solidFill>
          </w14:textFill>
        </w:rPr>
        <w:t>，四级风险区间隶属度值为1</w:t>
      </w:r>
      <w:r>
        <w:rPr>
          <w:color w:val="000000" w:themeColor="text1"/>
          <w14:textFill>
            <w14:solidFill>
              <w14:schemeClr w14:val="tx1"/>
            </w14:solidFill>
          </w14:textFill>
        </w:rPr>
        <w:t>-0.83=0.17</w:t>
      </w:r>
      <w:r>
        <w:rPr>
          <w:rFonts w:hint="eastAsia"/>
          <w:color w:val="000000" w:themeColor="text1"/>
          <w14:textFill>
            <w14:solidFill>
              <w14:schemeClr w14:val="tx1"/>
            </w14:solidFill>
          </w14:textFill>
        </w:rPr>
        <w:t>。</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需要注意隶属度计算仅反映得分落于各风险等级区间的概率，实际风险评级不会因隶属度计算而产生影响。在实际风险评估中，计算得到的分数直接对应风险等级即可，例如计算得到1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分，可直接对应于风险区间[</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的等级，若得分刚好为风险区间的交界值，如6</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分，则可自行判定为上一级或下一级风险等级。</w:t>
      </w:r>
    </w:p>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基于实际需求，可运用可变模糊集等方法自行定义参数，计算风险分值对应等级的隶属度后判定风险等级。</w:t>
      </w:r>
    </w:p>
    <w:p>
      <w:pPr>
        <w:rPr>
          <w:color w:val="000000" w:themeColor="text1"/>
          <w14:textFill>
            <w14:solidFill>
              <w14:schemeClr w14:val="tx1"/>
            </w14:solidFill>
          </w14:textFill>
        </w:rPr>
      </w:pPr>
    </w:p>
    <w:p>
      <w:pPr>
        <w:autoSpaceDE w:val="0"/>
        <w:autoSpaceDN w:val="0"/>
        <w:adjustRightInd w:val="0"/>
        <w:snapToGrid w:val="0"/>
        <w:jc w:val="left"/>
        <w:rPr>
          <w:color w:val="000000" w:themeColor="text1"/>
          <w14:textFill>
            <w14:solidFill>
              <w14:schemeClr w14:val="tx1"/>
            </w14:solidFill>
          </w14:textFill>
        </w:rPr>
        <w:sectPr>
          <w:pgSz w:w="11906" w:h="16838"/>
          <w:pgMar w:top="1440" w:right="1800" w:bottom="1440" w:left="2268" w:header="851" w:footer="992" w:gutter="0"/>
          <w:cols w:space="425" w:num="1"/>
          <w:docGrid w:type="lines" w:linePitch="312" w:charSpace="0"/>
        </w:sectPr>
      </w:pPr>
    </w:p>
    <w:p>
      <w:pPr>
        <w:widowControl/>
        <w:adjustRightInd w:val="0"/>
        <w:snapToGrid w:val="0"/>
        <w:jc w:val="center"/>
        <w:outlineLvl w:val="0"/>
        <w:rPr>
          <w:b/>
          <w:kern w:val="0"/>
          <w:sz w:val="24"/>
        </w:rPr>
      </w:pPr>
      <w:bookmarkStart w:id="134" w:name="_Toc148468285"/>
      <w:r>
        <w:rPr>
          <w:b/>
          <w:kern w:val="0"/>
          <w:sz w:val="24"/>
        </w:rPr>
        <w:t>9</w:t>
      </w:r>
      <w:r>
        <w:rPr>
          <w:rFonts w:hint="eastAsia"/>
          <w:b/>
          <w:kern w:val="0"/>
          <w:sz w:val="24"/>
        </w:rPr>
        <w:t xml:space="preserve">  成果编制与信息化管理</w:t>
      </w:r>
      <w:bookmarkEnd w:id="134"/>
    </w:p>
    <w:p>
      <w:pPr>
        <w:widowControl/>
        <w:adjustRightInd w:val="0"/>
        <w:snapToGrid w:val="0"/>
        <w:jc w:val="center"/>
        <w:outlineLvl w:val="1"/>
        <w:rPr>
          <w:b/>
          <w:kern w:val="0"/>
        </w:rPr>
      </w:pPr>
      <w:bookmarkStart w:id="135" w:name="_Toc148468286"/>
      <w:r>
        <w:rPr>
          <w:b/>
          <w:kern w:val="0"/>
        </w:rPr>
        <w:t xml:space="preserve">9.2  </w:t>
      </w:r>
      <w:r>
        <w:rPr>
          <w:rFonts w:hint="eastAsia"/>
          <w:b/>
          <w:kern w:val="0"/>
        </w:rPr>
        <w:t>成果编制</w:t>
      </w:r>
      <w:bookmarkEnd w:id="135"/>
    </w:p>
    <w:p>
      <w:pPr>
        <w:autoSpaceDE w:val="0"/>
        <w:autoSpaceDN w:val="0"/>
        <w:adjustRightInd w:val="0"/>
        <w:snapToGrid w:val="0"/>
        <w:jc w:val="left"/>
      </w:pPr>
      <w:r>
        <w:t>9</w:t>
      </w:r>
      <w:r>
        <w:rPr>
          <w:rFonts w:hint="eastAsia"/>
        </w:rPr>
        <w:t>.</w:t>
      </w:r>
      <w:r>
        <w:t>2</w:t>
      </w:r>
      <w:r>
        <w:rPr>
          <w:rFonts w:hint="eastAsia"/>
        </w:rPr>
        <w:t>.</w:t>
      </w:r>
      <w:r>
        <w:t>1</w:t>
      </w:r>
      <w:r>
        <w:rPr>
          <w:rFonts w:hint="eastAsia"/>
        </w:rPr>
        <w:t xml:space="preserve"> </w:t>
      </w:r>
      <w:r>
        <w:t xml:space="preserve"> </w:t>
      </w:r>
      <w:r>
        <w:rPr>
          <w:rFonts w:hint="eastAsia"/>
        </w:rPr>
        <w:t>地下病害体探测成果附图宜采用统一坐标系。</w:t>
      </w:r>
    </w:p>
    <w:p>
      <w:pPr>
        <w:widowControl/>
        <w:adjustRightInd w:val="0"/>
        <w:snapToGrid w:val="0"/>
        <w:jc w:val="center"/>
        <w:outlineLvl w:val="1"/>
        <w:rPr>
          <w:b/>
          <w:kern w:val="0"/>
        </w:rPr>
      </w:pPr>
      <w:bookmarkStart w:id="136" w:name="_Toc148468287"/>
      <w:r>
        <w:rPr>
          <w:b/>
          <w:kern w:val="0"/>
        </w:rPr>
        <w:t xml:space="preserve">9.3  </w:t>
      </w:r>
      <w:r>
        <w:rPr>
          <w:rFonts w:hint="eastAsia"/>
          <w:b/>
          <w:kern w:val="0"/>
        </w:rPr>
        <w:t>信息化管理</w:t>
      </w:r>
      <w:bookmarkEnd w:id="136"/>
    </w:p>
    <w:p>
      <w:pPr>
        <w:autoSpaceDE w:val="0"/>
        <w:autoSpaceDN w:val="0"/>
        <w:adjustRightInd w:val="0"/>
        <w:snapToGrid w:val="0"/>
        <w:jc w:val="left"/>
      </w:pPr>
      <w:r>
        <w:t>9</w:t>
      </w:r>
      <w:r>
        <w:rPr>
          <w:rFonts w:hint="eastAsia"/>
        </w:rPr>
        <w:t>.</w:t>
      </w:r>
      <w:r>
        <w:t>3</w:t>
      </w:r>
      <w:r>
        <w:rPr>
          <w:rFonts w:hint="eastAsia"/>
        </w:rPr>
        <w:t>.</w:t>
      </w:r>
      <w:r>
        <w:t>1</w:t>
      </w:r>
      <w:r>
        <w:rPr>
          <w:rFonts w:hint="eastAsia"/>
        </w:rPr>
        <w:t xml:space="preserve"> </w:t>
      </w:r>
      <w:r>
        <w:t xml:space="preserve"> </w:t>
      </w:r>
      <w:r>
        <w:rPr>
          <w:rFonts w:hint="eastAsia"/>
        </w:rPr>
        <w:t>地下病害体风险评估标准智能化应用应实现与地下信息管理系统的互动与支撑。标准的制定，在充分考虑不同探查技术的特点及适用性基础上，建立起针对南方高水位地区探地雷达技术手段受限条件下的地下病害体风险探查综合技术体系，并形成具有广泛适用性和针对性的风险感知支撑技术以及辅助决策支撑体系，建立起数据深度挖掘、风险精准识别、专家库智能辅助决策、现场验证及处置结果反馈更新的智能化、主动化的防控管理模式。</w:t>
      </w:r>
    </w:p>
    <w:p>
      <w:pPr>
        <w:autoSpaceDE w:val="0"/>
        <w:autoSpaceDN w:val="0"/>
        <w:adjustRightInd w:val="0"/>
        <w:snapToGrid w:val="0"/>
        <w:jc w:val="left"/>
      </w:pPr>
    </w:p>
    <w:sectPr>
      <w:pgSz w:w="11906" w:h="16838"/>
      <w:pgMar w:top="1440" w:right="1800" w:bottom="1440" w:left="226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Times">
    <w:altName w:val="DejaVu Sans"/>
    <w:panose1 w:val="02020603050405020304"/>
    <w:charset w:val="00"/>
    <w:family w:val="roman"/>
    <w:pitch w:val="default"/>
    <w:sig w:usb0="00000000" w:usb1="00000000" w:usb2="00000009" w:usb3="00000000" w:csb0="000001FF" w:csb1="00000000"/>
  </w:font>
  <w:font w:name="楷体_GB2312">
    <w:altName w:val="方正楷体_GBK"/>
    <w:panose1 w:val="02010609030101010101"/>
    <w:charset w:val="86"/>
    <w:family w:val="modern"/>
    <w:pitch w:val="default"/>
    <w:sig w:usb0="00000000" w:usb1="00000000" w:usb2="00000010" w:usb3="00000000" w:csb0="00040000" w:csb1="00000000"/>
  </w:font>
  <w:font w:name="MingLiU">
    <w:altName w:val="方正书宋_GBK"/>
    <w:panose1 w:val="02010609000101010101"/>
    <w:charset w:val="88"/>
    <w:family w:val="modern"/>
    <w:pitch w:val="default"/>
    <w:sig w:usb0="00000000" w:usb1="00000000" w:usb2="00000016" w:usb3="00000000" w:csb0="00100001" w:csb1="00000000"/>
  </w:font>
  <w:font w:name="Tahoma">
    <w:altName w:val="DejaVu Sans"/>
    <w:panose1 w:val="020B0604030504040204"/>
    <w:charset w:val="00"/>
    <w:family w:val="swiss"/>
    <w:pitch w:val="default"/>
    <w:sig w:usb0="00000000" w:usb1="00000000" w:usb2="00000029" w:usb3="00000000" w:csb0="000101FF" w:csb1="00000000"/>
  </w:font>
  <w:font w:name="Cambria">
    <w:altName w:val="Noto Sans Syriac Eastern"/>
    <w:panose1 w:val="02040503050406030204"/>
    <w:charset w:val="00"/>
    <w:family w:val="roman"/>
    <w:pitch w:val="default"/>
    <w:sig w:usb0="00000000" w:usb1="00000000" w:usb2="02000000" w:usb3="00000000" w:csb0="0000019F" w:csb1="00000000"/>
  </w:font>
  <w:font w:name="Cambria Math">
    <w:altName w:val="DejaVu Math TeX Gyre"/>
    <w:panose1 w:val="02040503050406030204"/>
    <w:charset w:val="00"/>
    <w:family w:val="roman"/>
    <w:pitch w:val="default"/>
    <w:sig w:usb0="00000000" w:usb1="00000000" w:usb2="02000000" w:usb3="00000000" w:csb0="0000019F" w:csb1="00000000"/>
  </w:font>
  <w:font w:name="仿宋_GB2312">
    <w:panose1 w:val="02010609030101010101"/>
    <w:charset w:val="86"/>
    <w:family w:val="modern"/>
    <w:pitch w:val="default"/>
    <w:sig w:usb0="00000001" w:usb1="080E0000" w:usb2="00000000" w:usb3="00000000" w:csb0="00040000" w:csb1="00000000"/>
  </w:font>
  <w:font w:name="MS Gothic">
    <w:altName w:val="方正书宋_GBK"/>
    <w:panose1 w:val="020B0609070205080204"/>
    <w:charset w:val="80"/>
    <w:family w:val="modern"/>
    <w:pitch w:val="default"/>
    <w:sig w:usb0="00000000" w:usb1="00000000" w:usb2="08000012" w:usb3="00000000" w:csb0="0002009F" w:csb1="00000000"/>
  </w:font>
  <w:font w:name="等线">
    <w:altName w:val="汉仪中圆B5"/>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文泉驿正黑">
    <w:panose1 w:val="02000603000000000000"/>
    <w:charset w:val="86"/>
    <w:family w:val="auto"/>
    <w:pitch w:val="default"/>
    <w:sig w:usb0="900002BF" w:usb1="2BDF7DFB" w:usb2="00000036" w:usb3="00000000" w:csb0="603E000D" w:csb1="D2D70000"/>
  </w:font>
  <w:font w:name="方正黑体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汉仪中圆B5">
    <w:panose1 w:val="02010600000101010101"/>
    <w:charset w:val="88"/>
    <w:family w:val="auto"/>
    <w:pitch w:val="default"/>
    <w:sig w:usb0="00000001" w:usb1="080E0800" w:usb2="00000002"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1618011"/>
      <w:docPartObj>
        <w:docPartGallery w:val="autotext"/>
      </w:docPartObj>
    </w:sdtPr>
    <w:sdtContent>
      <w:p>
        <w:pPr>
          <w:pStyle w:val="17"/>
          <w:jc w:val="center"/>
        </w:pPr>
        <w:r>
          <w:fldChar w:fldCharType="begin"/>
        </w:r>
        <w:r>
          <w:instrText xml:space="preserve">PAGE   \* MERGEFORMAT</w:instrText>
        </w:r>
        <w:r>
          <w:fldChar w:fldCharType="separate"/>
        </w:r>
        <w:r>
          <w:t>2</w:t>
        </w:r>
        <w:r>
          <w:fldChar w:fldCharType="end"/>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77848658"/>
      <w:docPartObj>
        <w:docPartGallery w:val="autotext"/>
      </w:docPartObj>
    </w:sdtPr>
    <w:sdtEndPr>
      <w:rPr>
        <w:sz w:val="21"/>
      </w:rPr>
    </w:sdtEndPr>
    <w:sdtContent>
      <w:p>
        <w:pPr>
          <w:pStyle w:val="17"/>
          <w:jc w:val="center"/>
          <w:rPr>
            <w:sz w:val="21"/>
          </w:rPr>
        </w:pPr>
        <w:r>
          <w:rPr>
            <w:sz w:val="21"/>
          </w:rPr>
          <w:fldChar w:fldCharType="begin"/>
        </w:r>
        <w:r>
          <w:rPr>
            <w:sz w:val="21"/>
          </w:rPr>
          <w:instrText xml:space="preserve">PAGE   \* MERGEFORMAT</w:instrText>
        </w:r>
        <w:r>
          <w:rPr>
            <w:sz w:val="21"/>
          </w:rPr>
          <w:fldChar w:fldCharType="separate"/>
        </w:r>
        <w:r>
          <w:rPr>
            <w:sz w:val="21"/>
          </w:rPr>
          <w:t>17</w:t>
        </w:r>
        <w:r>
          <w:rPr>
            <w:sz w:val="2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6179657"/>
      <w:docPartObj>
        <w:docPartGallery w:val="autotext"/>
      </w:docPartObj>
    </w:sdtPr>
    <w:sdtContent>
      <w:p>
        <w:pPr>
          <w:pStyle w:val="17"/>
          <w:jc w:val="center"/>
        </w:pPr>
        <w:r>
          <w:fldChar w:fldCharType="begin"/>
        </w:r>
        <w:r>
          <w:instrText xml:space="preserve">PAGE   \* MERGEFORMAT</w:instrText>
        </w:r>
        <w:r>
          <w:fldChar w:fldCharType="separate"/>
        </w:r>
        <w:r>
          <w:t>32</w:t>
        </w:r>
        <w:r>
          <w:fldChar w:fldCharType="end"/>
        </w:r>
      </w:p>
    </w:sdtContent>
  </w:sdt>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t>21</w:t>
    </w:r>
    <w:r>
      <w:fldChar w:fldCharType="end"/>
    </w:r>
  </w:p>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3314980"/>
      <w:docPartObj>
        <w:docPartGallery w:val="autotext"/>
      </w:docPartObj>
    </w:sdtPr>
    <w:sdtContent>
      <w:p>
        <w:pPr>
          <w:pStyle w:val="17"/>
          <w:jc w:val="center"/>
        </w:pPr>
        <w:r>
          <w:fldChar w:fldCharType="begin"/>
        </w:r>
        <w:r>
          <w:instrText xml:space="preserve">PAGE   \* MERGEFORMAT</w:instrText>
        </w:r>
        <w:r>
          <w:fldChar w:fldCharType="separate"/>
        </w:r>
        <w:r>
          <w:t>33</w:t>
        </w:r>
        <w:r>
          <w:fldChar w:fldCharType="end"/>
        </w:r>
      </w:p>
    </w:sdtContent>
  </w:sdt>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before="0" w:beforeAutospacing="0" w:after="0" w:afterAutospacing="0"/>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D5CF4"/>
    <w:multiLevelType w:val="multilevel"/>
    <w:tmpl w:val="10AD5CF4"/>
    <w:lvl w:ilvl="0" w:tentative="0">
      <w:start w:val="1"/>
      <w:numFmt w:val="decimal"/>
      <w:lvlText w:val="7.%1"/>
      <w:lvlJc w:val="left"/>
      <w:pPr>
        <w:ind w:left="840" w:hanging="420"/>
      </w:pPr>
      <w:rPr>
        <w:rFonts w:hint="default" w:ascii="Times New Roman" w:hAnsi="Times New Roman" w:eastAsia="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48B5FA9"/>
    <w:multiLevelType w:val="multilevel"/>
    <w:tmpl w:val="148B5FA9"/>
    <w:lvl w:ilvl="0" w:tentative="0">
      <w:start w:val="1"/>
      <w:numFmt w:val="upperLetter"/>
      <w:lvlText w:val="%1—"/>
      <w:lvlJc w:val="left"/>
      <w:pPr>
        <w:ind w:left="999" w:hanging="369"/>
      </w:pPr>
      <w:rPr>
        <w:rFonts w:hint="default"/>
      </w:rPr>
    </w:lvl>
    <w:lvl w:ilvl="1" w:tentative="0">
      <w:start w:val="1"/>
      <w:numFmt w:val="lowerLetter"/>
      <w:lvlText w:val="%2)"/>
      <w:lvlJc w:val="left"/>
      <w:pPr>
        <w:ind w:left="1510" w:hanging="440"/>
      </w:pPr>
    </w:lvl>
    <w:lvl w:ilvl="2" w:tentative="0">
      <w:start w:val="1"/>
      <w:numFmt w:val="lowerRoman"/>
      <w:lvlText w:val="%3."/>
      <w:lvlJc w:val="right"/>
      <w:pPr>
        <w:ind w:left="1950" w:hanging="440"/>
      </w:pPr>
    </w:lvl>
    <w:lvl w:ilvl="3" w:tentative="0">
      <w:start w:val="1"/>
      <w:numFmt w:val="decimal"/>
      <w:lvlText w:val="%4."/>
      <w:lvlJc w:val="left"/>
      <w:pPr>
        <w:ind w:left="2390" w:hanging="440"/>
      </w:pPr>
    </w:lvl>
    <w:lvl w:ilvl="4" w:tentative="0">
      <w:start w:val="1"/>
      <w:numFmt w:val="lowerLetter"/>
      <w:lvlText w:val="%5)"/>
      <w:lvlJc w:val="left"/>
      <w:pPr>
        <w:ind w:left="2830" w:hanging="440"/>
      </w:pPr>
    </w:lvl>
    <w:lvl w:ilvl="5" w:tentative="0">
      <w:start w:val="1"/>
      <w:numFmt w:val="lowerRoman"/>
      <w:lvlText w:val="%6."/>
      <w:lvlJc w:val="right"/>
      <w:pPr>
        <w:ind w:left="3270" w:hanging="440"/>
      </w:pPr>
    </w:lvl>
    <w:lvl w:ilvl="6" w:tentative="0">
      <w:start w:val="1"/>
      <w:numFmt w:val="decimal"/>
      <w:lvlText w:val="%7."/>
      <w:lvlJc w:val="left"/>
      <w:pPr>
        <w:ind w:left="3710" w:hanging="440"/>
      </w:pPr>
    </w:lvl>
    <w:lvl w:ilvl="7" w:tentative="0">
      <w:start w:val="1"/>
      <w:numFmt w:val="lowerLetter"/>
      <w:lvlText w:val="%8)"/>
      <w:lvlJc w:val="left"/>
      <w:pPr>
        <w:ind w:left="4150" w:hanging="440"/>
      </w:pPr>
    </w:lvl>
    <w:lvl w:ilvl="8" w:tentative="0">
      <w:start w:val="1"/>
      <w:numFmt w:val="lowerRoman"/>
      <w:lvlText w:val="%9."/>
      <w:lvlJc w:val="right"/>
      <w:pPr>
        <w:ind w:left="4590" w:hanging="440"/>
      </w:pPr>
    </w:lvl>
  </w:abstractNum>
  <w:abstractNum w:abstractNumId="2">
    <w:nsid w:val="1E0F5680"/>
    <w:multiLevelType w:val="multilevel"/>
    <w:tmpl w:val="1E0F5680"/>
    <w:lvl w:ilvl="0" w:tentative="0">
      <w:start w:val="1"/>
      <w:numFmt w:val="decimal"/>
      <w:lvlText w:val="5.%1"/>
      <w:lvlJc w:val="left"/>
      <w:pPr>
        <w:ind w:left="840" w:hanging="420"/>
      </w:pPr>
      <w:rPr>
        <w:rFonts w:hint="default" w:ascii="Times New Roman" w:hAnsi="Times New Roman" w:eastAsia="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033468D"/>
    <w:multiLevelType w:val="multilevel"/>
    <w:tmpl w:val="3033468D"/>
    <w:lvl w:ilvl="0" w:tentative="0">
      <w:start w:val="1"/>
      <w:numFmt w:val="decimal"/>
      <w:lvlText w:val="6.%1"/>
      <w:lvlJc w:val="left"/>
      <w:pPr>
        <w:ind w:left="840" w:hanging="420"/>
      </w:pPr>
      <w:rPr>
        <w:rFonts w:hint="default" w:ascii="Times New Roman" w:hAnsi="Times New Roman" w:eastAsia="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03937D8"/>
    <w:multiLevelType w:val="multilevel"/>
    <w:tmpl w:val="303937D8"/>
    <w:lvl w:ilvl="0" w:tentative="0">
      <w:start w:val="1"/>
      <w:numFmt w:val="decimal"/>
      <w:lvlText w:val="%1"/>
      <w:lvlJc w:val="left"/>
      <w:pPr>
        <w:ind w:left="420" w:hanging="420"/>
      </w:pPr>
      <w:rPr>
        <w:rFonts w:hint="eastAsia"/>
      </w:rPr>
    </w:lvl>
    <w:lvl w:ilvl="1" w:tentative="0">
      <w:start w:val="1"/>
      <w:numFmt w:val="decimal"/>
      <w:isLgl/>
      <w:lvlText w:val="%1.%2"/>
      <w:lvlJc w:val="left"/>
      <w:pPr>
        <w:ind w:left="780" w:hanging="360"/>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1980" w:hanging="72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180" w:hanging="1080"/>
      </w:pPr>
      <w:rPr>
        <w:rFonts w:hint="default"/>
      </w:rPr>
    </w:lvl>
    <w:lvl w:ilvl="6" w:tentative="0">
      <w:start w:val="1"/>
      <w:numFmt w:val="decimal"/>
      <w:isLgl/>
      <w:lvlText w:val="%1.%2.%3.%4.%5.%6.%7"/>
      <w:lvlJc w:val="left"/>
      <w:pPr>
        <w:ind w:left="3600" w:hanging="1080"/>
      </w:pPr>
      <w:rPr>
        <w:rFonts w:hint="default"/>
      </w:rPr>
    </w:lvl>
    <w:lvl w:ilvl="7" w:tentative="0">
      <w:start w:val="1"/>
      <w:numFmt w:val="decimal"/>
      <w:isLgl/>
      <w:lvlText w:val="%1.%2.%3.%4.%5.%6.%7.%8"/>
      <w:lvlJc w:val="left"/>
      <w:pPr>
        <w:ind w:left="4380" w:hanging="1440"/>
      </w:pPr>
      <w:rPr>
        <w:rFonts w:hint="default"/>
      </w:rPr>
    </w:lvl>
    <w:lvl w:ilvl="8" w:tentative="0">
      <w:start w:val="1"/>
      <w:numFmt w:val="decimal"/>
      <w:isLgl/>
      <w:lvlText w:val="%1.%2.%3.%4.%5.%6.%7.%8.%9"/>
      <w:lvlJc w:val="left"/>
      <w:pPr>
        <w:ind w:left="4800" w:hanging="1440"/>
      </w:pPr>
      <w:rPr>
        <w:rFonts w:hint="default"/>
      </w:rPr>
    </w:lvl>
  </w:abstractNum>
  <w:abstractNum w:abstractNumId="5">
    <w:nsid w:val="3B126F54"/>
    <w:multiLevelType w:val="multilevel"/>
    <w:tmpl w:val="3B126F54"/>
    <w:lvl w:ilvl="0" w:tentative="0">
      <w:start w:val="1"/>
      <w:numFmt w:val="decimal"/>
      <w:pStyle w:val="2"/>
      <w:lvlText w:val="%1"/>
      <w:lvlJc w:val="left"/>
      <w:pPr>
        <w:tabs>
          <w:tab w:val="left" w:pos="2694"/>
        </w:tabs>
        <w:ind w:left="2694" w:hanging="425"/>
      </w:pPr>
      <w:rPr>
        <w:rFonts w:hint="default" w:ascii="Times New Roman" w:hAnsi="Times New Roman" w:eastAsia="宋体" w:cs="Times New Roman"/>
        <w:b/>
      </w:rPr>
    </w:lvl>
    <w:lvl w:ilvl="1" w:tentative="0">
      <w:start w:val="1"/>
      <w:numFmt w:val="decimal"/>
      <w:lvlText w:val="%1.%2"/>
      <w:lvlJc w:val="left"/>
      <w:pPr>
        <w:tabs>
          <w:tab w:val="left" w:pos="992"/>
        </w:tabs>
        <w:ind w:left="992" w:hanging="567"/>
      </w:pPr>
      <w:rPr>
        <w:rFonts w:hint="default" w:ascii="Times New Roman" w:hAnsi="Times New Roman" w:eastAsia="宋体" w:cs="Times New Roman"/>
        <w:b w:val="0"/>
        <w:sz w:val="24"/>
        <w:szCs w:val="24"/>
      </w:rPr>
    </w:lvl>
    <w:lvl w:ilvl="2" w:tentative="0">
      <w:start w:val="1"/>
      <w:numFmt w:val="decimal"/>
      <w:lvlText w:val="%1.%2.%3"/>
      <w:lvlJc w:val="left"/>
      <w:pPr>
        <w:tabs>
          <w:tab w:val="left" w:pos="1440"/>
        </w:tabs>
        <w:ind w:left="1287" w:hanging="567"/>
      </w:pPr>
      <w:rPr>
        <w:rFonts w:hint="eastAsia" w:ascii="宋体" w:hAnsi="宋体" w:eastAsia="宋体" w:cs="Times New Roman"/>
        <w:b w:val="0"/>
        <w:i w:val="0"/>
        <w:color w:val="auto"/>
        <w:sz w:val="21"/>
        <w:szCs w:val="21"/>
      </w:rPr>
    </w:lvl>
    <w:lvl w:ilvl="3" w:tentative="0">
      <w:start w:val="1"/>
      <w:numFmt w:val="decimal"/>
      <w:lvlText w:val="%1.%2.%3.%4"/>
      <w:lvlJc w:val="left"/>
      <w:pPr>
        <w:tabs>
          <w:tab w:val="left" w:pos="2356"/>
        </w:tabs>
        <w:ind w:left="1984" w:hanging="708"/>
      </w:pPr>
      <w:rPr>
        <w:rFonts w:hint="eastAsia" w:cs="Times New Roman"/>
      </w:rPr>
    </w:lvl>
    <w:lvl w:ilvl="4" w:tentative="0">
      <w:start w:val="1"/>
      <w:numFmt w:val="decimal"/>
      <w:lvlText w:val="%1.%2.%3.%4.%5"/>
      <w:lvlJc w:val="left"/>
      <w:pPr>
        <w:tabs>
          <w:tab w:val="left" w:pos="3141"/>
        </w:tabs>
        <w:ind w:left="2551" w:hanging="850"/>
      </w:pPr>
      <w:rPr>
        <w:rFonts w:hint="eastAsia" w:cs="Times New Roman"/>
      </w:rPr>
    </w:lvl>
    <w:lvl w:ilvl="5" w:tentative="0">
      <w:start w:val="1"/>
      <w:numFmt w:val="decimal"/>
      <w:lvlText w:val="%1.%2.%3.%4.%5.%6"/>
      <w:lvlJc w:val="left"/>
      <w:pPr>
        <w:tabs>
          <w:tab w:val="left" w:pos="3926"/>
        </w:tabs>
        <w:ind w:left="3260" w:hanging="1134"/>
      </w:pPr>
      <w:rPr>
        <w:rFonts w:hint="eastAsia" w:cs="Times New Roman"/>
      </w:rPr>
    </w:lvl>
    <w:lvl w:ilvl="6" w:tentative="0">
      <w:start w:val="1"/>
      <w:numFmt w:val="decimal"/>
      <w:lvlText w:val="%1.%2.%3.%4.%5.%6.%7"/>
      <w:lvlJc w:val="left"/>
      <w:pPr>
        <w:tabs>
          <w:tab w:val="left" w:pos="4711"/>
        </w:tabs>
        <w:ind w:left="3827" w:hanging="1276"/>
      </w:pPr>
      <w:rPr>
        <w:rFonts w:hint="eastAsia" w:cs="Times New Roman"/>
      </w:rPr>
    </w:lvl>
    <w:lvl w:ilvl="7" w:tentative="0">
      <w:start w:val="1"/>
      <w:numFmt w:val="decimal"/>
      <w:lvlText w:val="%1.%2.%3.%4.%5.%6.%7.%8"/>
      <w:lvlJc w:val="left"/>
      <w:pPr>
        <w:tabs>
          <w:tab w:val="left" w:pos="5136"/>
        </w:tabs>
        <w:ind w:left="4394" w:hanging="1418"/>
      </w:pPr>
      <w:rPr>
        <w:rFonts w:hint="eastAsia" w:cs="Times New Roman"/>
      </w:rPr>
    </w:lvl>
    <w:lvl w:ilvl="8" w:tentative="0">
      <w:start w:val="1"/>
      <w:numFmt w:val="decimal"/>
      <w:lvlText w:val="%1.%2.%3.%4.%5.%6.%7.%8.%9"/>
      <w:lvlJc w:val="left"/>
      <w:pPr>
        <w:tabs>
          <w:tab w:val="left" w:pos="5922"/>
        </w:tabs>
        <w:ind w:left="5102" w:hanging="1700"/>
      </w:pPr>
      <w:rPr>
        <w:rFonts w:hint="eastAsia" w:cs="Times New Roman"/>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true"/>
  <w:bordersDoNotSurroundFooter w:val="true"/>
  <w:hideSpellingErrors/>
  <w:documentProtection w:enforcement="0"/>
  <w:defaultTabStop w:val="420"/>
  <w:evenAndOddHeaders w:val="true"/>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10D"/>
    <w:rsid w:val="000002D9"/>
    <w:rsid w:val="00001598"/>
    <w:rsid w:val="00001B0C"/>
    <w:rsid w:val="00002B7B"/>
    <w:rsid w:val="00003CEA"/>
    <w:rsid w:val="00004757"/>
    <w:rsid w:val="00006DA2"/>
    <w:rsid w:val="00010114"/>
    <w:rsid w:val="00011181"/>
    <w:rsid w:val="000112C5"/>
    <w:rsid w:val="00011319"/>
    <w:rsid w:val="0001196F"/>
    <w:rsid w:val="00011E21"/>
    <w:rsid w:val="00012213"/>
    <w:rsid w:val="00012665"/>
    <w:rsid w:val="00012B43"/>
    <w:rsid w:val="00013848"/>
    <w:rsid w:val="00013CCE"/>
    <w:rsid w:val="0001655B"/>
    <w:rsid w:val="00017185"/>
    <w:rsid w:val="000174B0"/>
    <w:rsid w:val="00017586"/>
    <w:rsid w:val="000204C5"/>
    <w:rsid w:val="00022176"/>
    <w:rsid w:val="00022AE9"/>
    <w:rsid w:val="00023AAE"/>
    <w:rsid w:val="00023E16"/>
    <w:rsid w:val="00023E59"/>
    <w:rsid w:val="0002422F"/>
    <w:rsid w:val="00025131"/>
    <w:rsid w:val="000265BF"/>
    <w:rsid w:val="0002727A"/>
    <w:rsid w:val="00027491"/>
    <w:rsid w:val="00027666"/>
    <w:rsid w:val="000277F0"/>
    <w:rsid w:val="00030157"/>
    <w:rsid w:val="00030DFB"/>
    <w:rsid w:val="000314BE"/>
    <w:rsid w:val="0003162E"/>
    <w:rsid w:val="000318C1"/>
    <w:rsid w:val="00031FEE"/>
    <w:rsid w:val="00032660"/>
    <w:rsid w:val="00032B56"/>
    <w:rsid w:val="000335BF"/>
    <w:rsid w:val="00033A58"/>
    <w:rsid w:val="0003530E"/>
    <w:rsid w:val="000355FA"/>
    <w:rsid w:val="00035C03"/>
    <w:rsid w:val="000362EF"/>
    <w:rsid w:val="000369B7"/>
    <w:rsid w:val="0003737E"/>
    <w:rsid w:val="00037C34"/>
    <w:rsid w:val="00041194"/>
    <w:rsid w:val="000415C3"/>
    <w:rsid w:val="000416B0"/>
    <w:rsid w:val="00042579"/>
    <w:rsid w:val="0004278F"/>
    <w:rsid w:val="00042AB4"/>
    <w:rsid w:val="00043C8A"/>
    <w:rsid w:val="000445C5"/>
    <w:rsid w:val="00044743"/>
    <w:rsid w:val="00044785"/>
    <w:rsid w:val="000458F1"/>
    <w:rsid w:val="000468DC"/>
    <w:rsid w:val="00046ABB"/>
    <w:rsid w:val="00047954"/>
    <w:rsid w:val="00050DB1"/>
    <w:rsid w:val="00051298"/>
    <w:rsid w:val="000523EF"/>
    <w:rsid w:val="00053BEF"/>
    <w:rsid w:val="00054CAA"/>
    <w:rsid w:val="00054D12"/>
    <w:rsid w:val="00055850"/>
    <w:rsid w:val="00056C25"/>
    <w:rsid w:val="00056CE0"/>
    <w:rsid w:val="00057A63"/>
    <w:rsid w:val="00057E65"/>
    <w:rsid w:val="00057E66"/>
    <w:rsid w:val="0006021F"/>
    <w:rsid w:val="000607F6"/>
    <w:rsid w:val="00061169"/>
    <w:rsid w:val="00061C32"/>
    <w:rsid w:val="00061C91"/>
    <w:rsid w:val="00062155"/>
    <w:rsid w:val="00062CCB"/>
    <w:rsid w:val="000630B0"/>
    <w:rsid w:val="00064194"/>
    <w:rsid w:val="000641AD"/>
    <w:rsid w:val="00065BBB"/>
    <w:rsid w:val="000663DD"/>
    <w:rsid w:val="000665EE"/>
    <w:rsid w:val="00066B1A"/>
    <w:rsid w:val="00066DC3"/>
    <w:rsid w:val="00067448"/>
    <w:rsid w:val="000704D8"/>
    <w:rsid w:val="000711A7"/>
    <w:rsid w:val="00071496"/>
    <w:rsid w:val="00071919"/>
    <w:rsid w:val="00071DEE"/>
    <w:rsid w:val="00073D27"/>
    <w:rsid w:val="000740A5"/>
    <w:rsid w:val="0007447B"/>
    <w:rsid w:val="00074AEC"/>
    <w:rsid w:val="0007508D"/>
    <w:rsid w:val="00075D65"/>
    <w:rsid w:val="000764F5"/>
    <w:rsid w:val="00076871"/>
    <w:rsid w:val="00080305"/>
    <w:rsid w:val="00083BC5"/>
    <w:rsid w:val="00083EBB"/>
    <w:rsid w:val="00084C89"/>
    <w:rsid w:val="00087008"/>
    <w:rsid w:val="000875AC"/>
    <w:rsid w:val="000876CC"/>
    <w:rsid w:val="00087A6E"/>
    <w:rsid w:val="00090A5A"/>
    <w:rsid w:val="00090C03"/>
    <w:rsid w:val="00090CBC"/>
    <w:rsid w:val="00090F8C"/>
    <w:rsid w:val="00091267"/>
    <w:rsid w:val="00091F18"/>
    <w:rsid w:val="00091F8E"/>
    <w:rsid w:val="00092804"/>
    <w:rsid w:val="000929A2"/>
    <w:rsid w:val="000950F9"/>
    <w:rsid w:val="000958C7"/>
    <w:rsid w:val="00096BF3"/>
    <w:rsid w:val="00097B3B"/>
    <w:rsid w:val="00097E70"/>
    <w:rsid w:val="000A0EFF"/>
    <w:rsid w:val="000A1742"/>
    <w:rsid w:val="000A270E"/>
    <w:rsid w:val="000A2A14"/>
    <w:rsid w:val="000A2A4C"/>
    <w:rsid w:val="000A3002"/>
    <w:rsid w:val="000A3ACB"/>
    <w:rsid w:val="000A4C0C"/>
    <w:rsid w:val="000A5B9F"/>
    <w:rsid w:val="000A6750"/>
    <w:rsid w:val="000A6B23"/>
    <w:rsid w:val="000A6B4C"/>
    <w:rsid w:val="000B055A"/>
    <w:rsid w:val="000B1AE4"/>
    <w:rsid w:val="000B1F08"/>
    <w:rsid w:val="000B2A13"/>
    <w:rsid w:val="000B2D7E"/>
    <w:rsid w:val="000B3F0B"/>
    <w:rsid w:val="000B415E"/>
    <w:rsid w:val="000B56D3"/>
    <w:rsid w:val="000B581D"/>
    <w:rsid w:val="000B6040"/>
    <w:rsid w:val="000B62EC"/>
    <w:rsid w:val="000B6D94"/>
    <w:rsid w:val="000C0D52"/>
    <w:rsid w:val="000C0DBF"/>
    <w:rsid w:val="000C226F"/>
    <w:rsid w:val="000C576D"/>
    <w:rsid w:val="000C59A2"/>
    <w:rsid w:val="000C6A52"/>
    <w:rsid w:val="000C7E2F"/>
    <w:rsid w:val="000D01A5"/>
    <w:rsid w:val="000D27E8"/>
    <w:rsid w:val="000D2806"/>
    <w:rsid w:val="000D2DC2"/>
    <w:rsid w:val="000D2FC4"/>
    <w:rsid w:val="000D38DB"/>
    <w:rsid w:val="000D565D"/>
    <w:rsid w:val="000D6C2D"/>
    <w:rsid w:val="000D6EE9"/>
    <w:rsid w:val="000D6F48"/>
    <w:rsid w:val="000D70E5"/>
    <w:rsid w:val="000E04D7"/>
    <w:rsid w:val="000E0838"/>
    <w:rsid w:val="000E1BF2"/>
    <w:rsid w:val="000E1C34"/>
    <w:rsid w:val="000E22B4"/>
    <w:rsid w:val="000E28E1"/>
    <w:rsid w:val="000E2924"/>
    <w:rsid w:val="000E32A4"/>
    <w:rsid w:val="000E34F5"/>
    <w:rsid w:val="000E3937"/>
    <w:rsid w:val="000E4792"/>
    <w:rsid w:val="000E4A04"/>
    <w:rsid w:val="000E4CD5"/>
    <w:rsid w:val="000E4E66"/>
    <w:rsid w:val="000E6048"/>
    <w:rsid w:val="000E62C8"/>
    <w:rsid w:val="000E6CC8"/>
    <w:rsid w:val="000E70B2"/>
    <w:rsid w:val="000E763A"/>
    <w:rsid w:val="000F30DA"/>
    <w:rsid w:val="000F5B38"/>
    <w:rsid w:val="000F7563"/>
    <w:rsid w:val="000F780F"/>
    <w:rsid w:val="000F7FB8"/>
    <w:rsid w:val="00100417"/>
    <w:rsid w:val="00100BBE"/>
    <w:rsid w:val="00100DE3"/>
    <w:rsid w:val="00102B5A"/>
    <w:rsid w:val="00102B96"/>
    <w:rsid w:val="00104458"/>
    <w:rsid w:val="00104A18"/>
    <w:rsid w:val="00105357"/>
    <w:rsid w:val="0010577A"/>
    <w:rsid w:val="00106403"/>
    <w:rsid w:val="00106FA9"/>
    <w:rsid w:val="00107246"/>
    <w:rsid w:val="00107348"/>
    <w:rsid w:val="001077FC"/>
    <w:rsid w:val="00107B73"/>
    <w:rsid w:val="00107EA6"/>
    <w:rsid w:val="00112B08"/>
    <w:rsid w:val="00113BAC"/>
    <w:rsid w:val="001148A2"/>
    <w:rsid w:val="00115F4B"/>
    <w:rsid w:val="00116135"/>
    <w:rsid w:val="00116D67"/>
    <w:rsid w:val="00117515"/>
    <w:rsid w:val="00117B1A"/>
    <w:rsid w:val="00117DE3"/>
    <w:rsid w:val="00117FAE"/>
    <w:rsid w:val="001201A1"/>
    <w:rsid w:val="00120329"/>
    <w:rsid w:val="00120CD3"/>
    <w:rsid w:val="00121522"/>
    <w:rsid w:val="00121ADB"/>
    <w:rsid w:val="00121AF0"/>
    <w:rsid w:val="00122594"/>
    <w:rsid w:val="0012322C"/>
    <w:rsid w:val="00124438"/>
    <w:rsid w:val="00125BE5"/>
    <w:rsid w:val="00127373"/>
    <w:rsid w:val="00130066"/>
    <w:rsid w:val="001300D3"/>
    <w:rsid w:val="00130994"/>
    <w:rsid w:val="00130B9D"/>
    <w:rsid w:val="00130F37"/>
    <w:rsid w:val="00131CB6"/>
    <w:rsid w:val="00132457"/>
    <w:rsid w:val="00132973"/>
    <w:rsid w:val="00132AC4"/>
    <w:rsid w:val="00132AE3"/>
    <w:rsid w:val="00132C3D"/>
    <w:rsid w:val="00132F54"/>
    <w:rsid w:val="0013407D"/>
    <w:rsid w:val="0013410A"/>
    <w:rsid w:val="0013484B"/>
    <w:rsid w:val="00134A8E"/>
    <w:rsid w:val="00135325"/>
    <w:rsid w:val="00135938"/>
    <w:rsid w:val="00135A33"/>
    <w:rsid w:val="00135B0A"/>
    <w:rsid w:val="00136BA1"/>
    <w:rsid w:val="00140C65"/>
    <w:rsid w:val="001416DF"/>
    <w:rsid w:val="00141D6D"/>
    <w:rsid w:val="00142120"/>
    <w:rsid w:val="00142E15"/>
    <w:rsid w:val="00142FAD"/>
    <w:rsid w:val="00143E55"/>
    <w:rsid w:val="00144375"/>
    <w:rsid w:val="00147478"/>
    <w:rsid w:val="00150066"/>
    <w:rsid w:val="00150BA2"/>
    <w:rsid w:val="00151D68"/>
    <w:rsid w:val="00153019"/>
    <w:rsid w:val="001530DD"/>
    <w:rsid w:val="00153863"/>
    <w:rsid w:val="001538A5"/>
    <w:rsid w:val="00154431"/>
    <w:rsid w:val="0015507F"/>
    <w:rsid w:val="0015583E"/>
    <w:rsid w:val="00156F8B"/>
    <w:rsid w:val="0015779E"/>
    <w:rsid w:val="00160940"/>
    <w:rsid w:val="00160A31"/>
    <w:rsid w:val="001626B6"/>
    <w:rsid w:val="00163749"/>
    <w:rsid w:val="001640A0"/>
    <w:rsid w:val="0016446B"/>
    <w:rsid w:val="0016540B"/>
    <w:rsid w:val="00165993"/>
    <w:rsid w:val="00165A26"/>
    <w:rsid w:val="00165DBA"/>
    <w:rsid w:val="00165EDD"/>
    <w:rsid w:val="001664CD"/>
    <w:rsid w:val="00166AA1"/>
    <w:rsid w:val="001676EA"/>
    <w:rsid w:val="00167E32"/>
    <w:rsid w:val="00170925"/>
    <w:rsid w:val="00171807"/>
    <w:rsid w:val="00171C0B"/>
    <w:rsid w:val="00171D4D"/>
    <w:rsid w:val="00172493"/>
    <w:rsid w:val="001729B9"/>
    <w:rsid w:val="00173294"/>
    <w:rsid w:val="00173718"/>
    <w:rsid w:val="001747CF"/>
    <w:rsid w:val="001751C9"/>
    <w:rsid w:val="001755FF"/>
    <w:rsid w:val="001765C3"/>
    <w:rsid w:val="00177384"/>
    <w:rsid w:val="001774FA"/>
    <w:rsid w:val="00181437"/>
    <w:rsid w:val="001814C2"/>
    <w:rsid w:val="00182DA5"/>
    <w:rsid w:val="001833D7"/>
    <w:rsid w:val="00183629"/>
    <w:rsid w:val="001837D9"/>
    <w:rsid w:val="00183AC9"/>
    <w:rsid w:val="00184458"/>
    <w:rsid w:val="00184AFF"/>
    <w:rsid w:val="001854E7"/>
    <w:rsid w:val="001867EE"/>
    <w:rsid w:val="001876CE"/>
    <w:rsid w:val="001877DE"/>
    <w:rsid w:val="0018785E"/>
    <w:rsid w:val="001901F5"/>
    <w:rsid w:val="001906FB"/>
    <w:rsid w:val="00190B0E"/>
    <w:rsid w:val="00191492"/>
    <w:rsid w:val="001919FE"/>
    <w:rsid w:val="00192A3A"/>
    <w:rsid w:val="0019328B"/>
    <w:rsid w:val="001934FB"/>
    <w:rsid w:val="001937AC"/>
    <w:rsid w:val="0019461B"/>
    <w:rsid w:val="001947D7"/>
    <w:rsid w:val="00194898"/>
    <w:rsid w:val="0019495B"/>
    <w:rsid w:val="00195D12"/>
    <w:rsid w:val="001961E2"/>
    <w:rsid w:val="001967EC"/>
    <w:rsid w:val="0019723D"/>
    <w:rsid w:val="001976D1"/>
    <w:rsid w:val="001977E2"/>
    <w:rsid w:val="00197F65"/>
    <w:rsid w:val="001A1E9D"/>
    <w:rsid w:val="001A223C"/>
    <w:rsid w:val="001A32F3"/>
    <w:rsid w:val="001A3481"/>
    <w:rsid w:val="001A496F"/>
    <w:rsid w:val="001A58F5"/>
    <w:rsid w:val="001A6605"/>
    <w:rsid w:val="001A7784"/>
    <w:rsid w:val="001B04E1"/>
    <w:rsid w:val="001B0644"/>
    <w:rsid w:val="001B1AB1"/>
    <w:rsid w:val="001B26E1"/>
    <w:rsid w:val="001B2954"/>
    <w:rsid w:val="001B3B4A"/>
    <w:rsid w:val="001B4152"/>
    <w:rsid w:val="001B4BF8"/>
    <w:rsid w:val="001B4DC7"/>
    <w:rsid w:val="001B520B"/>
    <w:rsid w:val="001B578B"/>
    <w:rsid w:val="001B6EFD"/>
    <w:rsid w:val="001B7259"/>
    <w:rsid w:val="001B7545"/>
    <w:rsid w:val="001C00A2"/>
    <w:rsid w:val="001C0474"/>
    <w:rsid w:val="001C1457"/>
    <w:rsid w:val="001C1F50"/>
    <w:rsid w:val="001C2040"/>
    <w:rsid w:val="001C21E8"/>
    <w:rsid w:val="001C3B3A"/>
    <w:rsid w:val="001C3CCD"/>
    <w:rsid w:val="001C3FEE"/>
    <w:rsid w:val="001C44BF"/>
    <w:rsid w:val="001C66CA"/>
    <w:rsid w:val="001C73CE"/>
    <w:rsid w:val="001C780A"/>
    <w:rsid w:val="001D000A"/>
    <w:rsid w:val="001D0B8E"/>
    <w:rsid w:val="001D1484"/>
    <w:rsid w:val="001D2078"/>
    <w:rsid w:val="001D3533"/>
    <w:rsid w:val="001D55CC"/>
    <w:rsid w:val="001D5B81"/>
    <w:rsid w:val="001D6185"/>
    <w:rsid w:val="001D6342"/>
    <w:rsid w:val="001D6EF3"/>
    <w:rsid w:val="001D72CD"/>
    <w:rsid w:val="001D782D"/>
    <w:rsid w:val="001E0981"/>
    <w:rsid w:val="001E0BD1"/>
    <w:rsid w:val="001E1EAB"/>
    <w:rsid w:val="001E29B6"/>
    <w:rsid w:val="001E37CD"/>
    <w:rsid w:val="001E3E9A"/>
    <w:rsid w:val="001E3EE2"/>
    <w:rsid w:val="001E4333"/>
    <w:rsid w:val="001E4E69"/>
    <w:rsid w:val="001E5164"/>
    <w:rsid w:val="001E538C"/>
    <w:rsid w:val="001E5514"/>
    <w:rsid w:val="001E6A86"/>
    <w:rsid w:val="001E7068"/>
    <w:rsid w:val="001E7ABA"/>
    <w:rsid w:val="001F06DC"/>
    <w:rsid w:val="001F1552"/>
    <w:rsid w:val="001F1890"/>
    <w:rsid w:val="001F1C0A"/>
    <w:rsid w:val="001F28DB"/>
    <w:rsid w:val="001F2F64"/>
    <w:rsid w:val="001F4092"/>
    <w:rsid w:val="001F4534"/>
    <w:rsid w:val="001F54ED"/>
    <w:rsid w:val="001F5963"/>
    <w:rsid w:val="001F5A77"/>
    <w:rsid w:val="001F5DD3"/>
    <w:rsid w:val="001F6374"/>
    <w:rsid w:val="001F693A"/>
    <w:rsid w:val="001F6D45"/>
    <w:rsid w:val="001F7565"/>
    <w:rsid w:val="001F788C"/>
    <w:rsid w:val="00201C6C"/>
    <w:rsid w:val="002056EE"/>
    <w:rsid w:val="002060E4"/>
    <w:rsid w:val="00206FCE"/>
    <w:rsid w:val="002073EA"/>
    <w:rsid w:val="00211217"/>
    <w:rsid w:val="00211B32"/>
    <w:rsid w:val="002125B8"/>
    <w:rsid w:val="002137DB"/>
    <w:rsid w:val="00214E89"/>
    <w:rsid w:val="00215658"/>
    <w:rsid w:val="00215D23"/>
    <w:rsid w:val="0021619C"/>
    <w:rsid w:val="0021677A"/>
    <w:rsid w:val="00217C65"/>
    <w:rsid w:val="0022054C"/>
    <w:rsid w:val="0022069C"/>
    <w:rsid w:val="00220CD7"/>
    <w:rsid w:val="00221670"/>
    <w:rsid w:val="00222924"/>
    <w:rsid w:val="00222B0C"/>
    <w:rsid w:val="0022377B"/>
    <w:rsid w:val="002237DC"/>
    <w:rsid w:val="002239F4"/>
    <w:rsid w:val="00224818"/>
    <w:rsid w:val="00224AC4"/>
    <w:rsid w:val="00224C23"/>
    <w:rsid w:val="00225BB5"/>
    <w:rsid w:val="00226147"/>
    <w:rsid w:val="0022713B"/>
    <w:rsid w:val="0023081F"/>
    <w:rsid w:val="00230A0C"/>
    <w:rsid w:val="00230E6E"/>
    <w:rsid w:val="00232197"/>
    <w:rsid w:val="002357C2"/>
    <w:rsid w:val="00235B94"/>
    <w:rsid w:val="002369D5"/>
    <w:rsid w:val="00236D9B"/>
    <w:rsid w:val="00236FFC"/>
    <w:rsid w:val="0023772E"/>
    <w:rsid w:val="00240B92"/>
    <w:rsid w:val="00240FD9"/>
    <w:rsid w:val="00240FE9"/>
    <w:rsid w:val="0024136F"/>
    <w:rsid w:val="00241A15"/>
    <w:rsid w:val="00241C79"/>
    <w:rsid w:val="00241F47"/>
    <w:rsid w:val="00242C50"/>
    <w:rsid w:val="00243122"/>
    <w:rsid w:val="00243AEA"/>
    <w:rsid w:val="00243F81"/>
    <w:rsid w:val="002444EB"/>
    <w:rsid w:val="0024487C"/>
    <w:rsid w:val="00244EA4"/>
    <w:rsid w:val="00245541"/>
    <w:rsid w:val="0024579F"/>
    <w:rsid w:val="00245836"/>
    <w:rsid w:val="002459AD"/>
    <w:rsid w:val="0025018B"/>
    <w:rsid w:val="00250FAA"/>
    <w:rsid w:val="0025153C"/>
    <w:rsid w:val="00251609"/>
    <w:rsid w:val="00254493"/>
    <w:rsid w:val="00254988"/>
    <w:rsid w:val="00254ABC"/>
    <w:rsid w:val="00255399"/>
    <w:rsid w:val="00255921"/>
    <w:rsid w:val="00256875"/>
    <w:rsid w:val="0025688C"/>
    <w:rsid w:val="00256F4A"/>
    <w:rsid w:val="002576D3"/>
    <w:rsid w:val="00257788"/>
    <w:rsid w:val="0026057D"/>
    <w:rsid w:val="00260EDD"/>
    <w:rsid w:val="00262C47"/>
    <w:rsid w:val="00263B76"/>
    <w:rsid w:val="00264E04"/>
    <w:rsid w:val="00265366"/>
    <w:rsid w:val="00265530"/>
    <w:rsid w:val="00266717"/>
    <w:rsid w:val="00267373"/>
    <w:rsid w:val="00267450"/>
    <w:rsid w:val="002675EE"/>
    <w:rsid w:val="002712DB"/>
    <w:rsid w:val="00271CA2"/>
    <w:rsid w:val="00271FBF"/>
    <w:rsid w:val="0027242C"/>
    <w:rsid w:val="00273228"/>
    <w:rsid w:val="0027396E"/>
    <w:rsid w:val="002744C9"/>
    <w:rsid w:val="002749AE"/>
    <w:rsid w:val="00274BC2"/>
    <w:rsid w:val="00274E1A"/>
    <w:rsid w:val="00275491"/>
    <w:rsid w:val="0027599E"/>
    <w:rsid w:val="00276024"/>
    <w:rsid w:val="002766B5"/>
    <w:rsid w:val="00276E36"/>
    <w:rsid w:val="00277EDD"/>
    <w:rsid w:val="002802E2"/>
    <w:rsid w:val="0028091A"/>
    <w:rsid w:val="00280FEF"/>
    <w:rsid w:val="00281261"/>
    <w:rsid w:val="00283E45"/>
    <w:rsid w:val="00284C1E"/>
    <w:rsid w:val="00285439"/>
    <w:rsid w:val="00285E7B"/>
    <w:rsid w:val="002865E0"/>
    <w:rsid w:val="0028709D"/>
    <w:rsid w:val="00287284"/>
    <w:rsid w:val="00290724"/>
    <w:rsid w:val="00290ED1"/>
    <w:rsid w:val="00290FCF"/>
    <w:rsid w:val="002910D0"/>
    <w:rsid w:val="002912A2"/>
    <w:rsid w:val="00291E2A"/>
    <w:rsid w:val="00291EA8"/>
    <w:rsid w:val="00292091"/>
    <w:rsid w:val="002930C8"/>
    <w:rsid w:val="0029385D"/>
    <w:rsid w:val="002957D9"/>
    <w:rsid w:val="002961D8"/>
    <w:rsid w:val="0029633C"/>
    <w:rsid w:val="002963AC"/>
    <w:rsid w:val="00296580"/>
    <w:rsid w:val="0029676E"/>
    <w:rsid w:val="00296E38"/>
    <w:rsid w:val="00297E3D"/>
    <w:rsid w:val="002A0DD1"/>
    <w:rsid w:val="002A16E2"/>
    <w:rsid w:val="002A1D27"/>
    <w:rsid w:val="002A1D8C"/>
    <w:rsid w:val="002A231C"/>
    <w:rsid w:val="002A26A1"/>
    <w:rsid w:val="002A2E96"/>
    <w:rsid w:val="002A3B77"/>
    <w:rsid w:val="002A4E35"/>
    <w:rsid w:val="002A4FFB"/>
    <w:rsid w:val="002A75DD"/>
    <w:rsid w:val="002A7E90"/>
    <w:rsid w:val="002B14D6"/>
    <w:rsid w:val="002B16C6"/>
    <w:rsid w:val="002B1CF5"/>
    <w:rsid w:val="002B219B"/>
    <w:rsid w:val="002B223E"/>
    <w:rsid w:val="002B378D"/>
    <w:rsid w:val="002B3AED"/>
    <w:rsid w:val="002B521C"/>
    <w:rsid w:val="002B55DD"/>
    <w:rsid w:val="002B5F06"/>
    <w:rsid w:val="002B6049"/>
    <w:rsid w:val="002B6532"/>
    <w:rsid w:val="002B653C"/>
    <w:rsid w:val="002B7886"/>
    <w:rsid w:val="002B7F01"/>
    <w:rsid w:val="002C0B8E"/>
    <w:rsid w:val="002C0ED6"/>
    <w:rsid w:val="002C168B"/>
    <w:rsid w:val="002C1A4A"/>
    <w:rsid w:val="002C2687"/>
    <w:rsid w:val="002C2BC3"/>
    <w:rsid w:val="002C3DAA"/>
    <w:rsid w:val="002C415E"/>
    <w:rsid w:val="002C4FE5"/>
    <w:rsid w:val="002C615F"/>
    <w:rsid w:val="002C61D9"/>
    <w:rsid w:val="002C61DD"/>
    <w:rsid w:val="002D0F1D"/>
    <w:rsid w:val="002D13AE"/>
    <w:rsid w:val="002D282B"/>
    <w:rsid w:val="002D330D"/>
    <w:rsid w:val="002D3A2F"/>
    <w:rsid w:val="002D4719"/>
    <w:rsid w:val="002D5129"/>
    <w:rsid w:val="002D5500"/>
    <w:rsid w:val="002D5651"/>
    <w:rsid w:val="002D6B38"/>
    <w:rsid w:val="002D779E"/>
    <w:rsid w:val="002E008D"/>
    <w:rsid w:val="002E0F58"/>
    <w:rsid w:val="002E0FD9"/>
    <w:rsid w:val="002E1584"/>
    <w:rsid w:val="002E1CE3"/>
    <w:rsid w:val="002E2A88"/>
    <w:rsid w:val="002E2C6F"/>
    <w:rsid w:val="002E323E"/>
    <w:rsid w:val="002E38D1"/>
    <w:rsid w:val="002E3D83"/>
    <w:rsid w:val="002E40C0"/>
    <w:rsid w:val="002E49B9"/>
    <w:rsid w:val="002E4AF6"/>
    <w:rsid w:val="002E4B30"/>
    <w:rsid w:val="002E4E48"/>
    <w:rsid w:val="002E530F"/>
    <w:rsid w:val="002E53D1"/>
    <w:rsid w:val="002E5402"/>
    <w:rsid w:val="002E59BE"/>
    <w:rsid w:val="002E5A27"/>
    <w:rsid w:val="002E61AD"/>
    <w:rsid w:val="002F06B1"/>
    <w:rsid w:val="002F154E"/>
    <w:rsid w:val="002F1C24"/>
    <w:rsid w:val="002F2541"/>
    <w:rsid w:val="002F2662"/>
    <w:rsid w:val="002F2F16"/>
    <w:rsid w:val="002F3008"/>
    <w:rsid w:val="002F5256"/>
    <w:rsid w:val="002F76C4"/>
    <w:rsid w:val="00301219"/>
    <w:rsid w:val="0030126D"/>
    <w:rsid w:val="00301927"/>
    <w:rsid w:val="003027C1"/>
    <w:rsid w:val="00305484"/>
    <w:rsid w:val="0030624F"/>
    <w:rsid w:val="00306A30"/>
    <w:rsid w:val="00306FA8"/>
    <w:rsid w:val="0030710B"/>
    <w:rsid w:val="00307B22"/>
    <w:rsid w:val="00307EF1"/>
    <w:rsid w:val="00310207"/>
    <w:rsid w:val="00310C46"/>
    <w:rsid w:val="00310EF6"/>
    <w:rsid w:val="00311DC9"/>
    <w:rsid w:val="00312226"/>
    <w:rsid w:val="0031224A"/>
    <w:rsid w:val="00312672"/>
    <w:rsid w:val="00312DCC"/>
    <w:rsid w:val="00313067"/>
    <w:rsid w:val="00313CF8"/>
    <w:rsid w:val="00313ECD"/>
    <w:rsid w:val="00314146"/>
    <w:rsid w:val="00314BCD"/>
    <w:rsid w:val="00315ECB"/>
    <w:rsid w:val="00316F8E"/>
    <w:rsid w:val="0031759E"/>
    <w:rsid w:val="00317849"/>
    <w:rsid w:val="00320791"/>
    <w:rsid w:val="003213CC"/>
    <w:rsid w:val="00321413"/>
    <w:rsid w:val="00321D87"/>
    <w:rsid w:val="00322482"/>
    <w:rsid w:val="00322565"/>
    <w:rsid w:val="003227EC"/>
    <w:rsid w:val="00322B0C"/>
    <w:rsid w:val="00322BD0"/>
    <w:rsid w:val="003233B2"/>
    <w:rsid w:val="003236BE"/>
    <w:rsid w:val="00324011"/>
    <w:rsid w:val="00325359"/>
    <w:rsid w:val="0032553A"/>
    <w:rsid w:val="00325ACD"/>
    <w:rsid w:val="00325D0A"/>
    <w:rsid w:val="00325FFE"/>
    <w:rsid w:val="00326A51"/>
    <w:rsid w:val="0032724E"/>
    <w:rsid w:val="00327C14"/>
    <w:rsid w:val="00327E47"/>
    <w:rsid w:val="00330886"/>
    <w:rsid w:val="00331B6D"/>
    <w:rsid w:val="003321D3"/>
    <w:rsid w:val="003329DD"/>
    <w:rsid w:val="00333C29"/>
    <w:rsid w:val="0033499D"/>
    <w:rsid w:val="00335D5F"/>
    <w:rsid w:val="0033730D"/>
    <w:rsid w:val="0034066D"/>
    <w:rsid w:val="003407E9"/>
    <w:rsid w:val="00342048"/>
    <w:rsid w:val="00342416"/>
    <w:rsid w:val="00343767"/>
    <w:rsid w:val="00343788"/>
    <w:rsid w:val="00343ECF"/>
    <w:rsid w:val="00344013"/>
    <w:rsid w:val="00344310"/>
    <w:rsid w:val="0034463F"/>
    <w:rsid w:val="00345452"/>
    <w:rsid w:val="00345B3D"/>
    <w:rsid w:val="00346208"/>
    <w:rsid w:val="003464BC"/>
    <w:rsid w:val="00346556"/>
    <w:rsid w:val="00346629"/>
    <w:rsid w:val="00346F34"/>
    <w:rsid w:val="00347B3E"/>
    <w:rsid w:val="003500DC"/>
    <w:rsid w:val="00351AE5"/>
    <w:rsid w:val="00352CFE"/>
    <w:rsid w:val="00352D11"/>
    <w:rsid w:val="003534D9"/>
    <w:rsid w:val="00353A53"/>
    <w:rsid w:val="00357E9E"/>
    <w:rsid w:val="00357EB9"/>
    <w:rsid w:val="00360E65"/>
    <w:rsid w:val="00361708"/>
    <w:rsid w:val="00361F32"/>
    <w:rsid w:val="00362064"/>
    <w:rsid w:val="00362657"/>
    <w:rsid w:val="00362D0C"/>
    <w:rsid w:val="00363249"/>
    <w:rsid w:val="003638EA"/>
    <w:rsid w:val="0036446A"/>
    <w:rsid w:val="0036493E"/>
    <w:rsid w:val="00364B1B"/>
    <w:rsid w:val="0036509B"/>
    <w:rsid w:val="00365492"/>
    <w:rsid w:val="00365E22"/>
    <w:rsid w:val="00366FAD"/>
    <w:rsid w:val="0036777F"/>
    <w:rsid w:val="00367791"/>
    <w:rsid w:val="00367DD6"/>
    <w:rsid w:val="0037041F"/>
    <w:rsid w:val="0037097F"/>
    <w:rsid w:val="00371629"/>
    <w:rsid w:val="0037165F"/>
    <w:rsid w:val="0037188B"/>
    <w:rsid w:val="00371B24"/>
    <w:rsid w:val="00372434"/>
    <w:rsid w:val="003724C0"/>
    <w:rsid w:val="00373197"/>
    <w:rsid w:val="00373AFE"/>
    <w:rsid w:val="00374ADB"/>
    <w:rsid w:val="00375204"/>
    <w:rsid w:val="003763BE"/>
    <w:rsid w:val="00376E7D"/>
    <w:rsid w:val="003778BC"/>
    <w:rsid w:val="0038091F"/>
    <w:rsid w:val="003810CF"/>
    <w:rsid w:val="003867DB"/>
    <w:rsid w:val="00386D0C"/>
    <w:rsid w:val="00391357"/>
    <w:rsid w:val="00391454"/>
    <w:rsid w:val="00391D47"/>
    <w:rsid w:val="0039368E"/>
    <w:rsid w:val="003939C2"/>
    <w:rsid w:val="00393FE4"/>
    <w:rsid w:val="00395441"/>
    <w:rsid w:val="003963F4"/>
    <w:rsid w:val="00396405"/>
    <w:rsid w:val="0039681E"/>
    <w:rsid w:val="003973F1"/>
    <w:rsid w:val="00397F56"/>
    <w:rsid w:val="003A05A4"/>
    <w:rsid w:val="003A1279"/>
    <w:rsid w:val="003A1F18"/>
    <w:rsid w:val="003A2010"/>
    <w:rsid w:val="003A2512"/>
    <w:rsid w:val="003A29F8"/>
    <w:rsid w:val="003A6AF8"/>
    <w:rsid w:val="003A6DAC"/>
    <w:rsid w:val="003A731D"/>
    <w:rsid w:val="003A7757"/>
    <w:rsid w:val="003A7D8A"/>
    <w:rsid w:val="003B0439"/>
    <w:rsid w:val="003B046E"/>
    <w:rsid w:val="003B06E7"/>
    <w:rsid w:val="003B0BFB"/>
    <w:rsid w:val="003B27A9"/>
    <w:rsid w:val="003B29C2"/>
    <w:rsid w:val="003B3827"/>
    <w:rsid w:val="003B4507"/>
    <w:rsid w:val="003B5141"/>
    <w:rsid w:val="003B6957"/>
    <w:rsid w:val="003B6E3B"/>
    <w:rsid w:val="003B74F3"/>
    <w:rsid w:val="003B75B6"/>
    <w:rsid w:val="003C060D"/>
    <w:rsid w:val="003C0799"/>
    <w:rsid w:val="003C11F7"/>
    <w:rsid w:val="003C174A"/>
    <w:rsid w:val="003C1A97"/>
    <w:rsid w:val="003C1D66"/>
    <w:rsid w:val="003C300A"/>
    <w:rsid w:val="003C31F9"/>
    <w:rsid w:val="003C40A2"/>
    <w:rsid w:val="003C4780"/>
    <w:rsid w:val="003C4BB0"/>
    <w:rsid w:val="003C68E0"/>
    <w:rsid w:val="003C76BC"/>
    <w:rsid w:val="003D0E0C"/>
    <w:rsid w:val="003D1E42"/>
    <w:rsid w:val="003D2A54"/>
    <w:rsid w:val="003D2DD8"/>
    <w:rsid w:val="003D3AEB"/>
    <w:rsid w:val="003D487F"/>
    <w:rsid w:val="003D5466"/>
    <w:rsid w:val="003D55DF"/>
    <w:rsid w:val="003D5A11"/>
    <w:rsid w:val="003D7AF4"/>
    <w:rsid w:val="003E03CE"/>
    <w:rsid w:val="003E07BF"/>
    <w:rsid w:val="003E0FD3"/>
    <w:rsid w:val="003E106C"/>
    <w:rsid w:val="003E12A7"/>
    <w:rsid w:val="003E1306"/>
    <w:rsid w:val="003E17EF"/>
    <w:rsid w:val="003E1976"/>
    <w:rsid w:val="003E1C2C"/>
    <w:rsid w:val="003E1F1E"/>
    <w:rsid w:val="003E209F"/>
    <w:rsid w:val="003E258A"/>
    <w:rsid w:val="003E2DFA"/>
    <w:rsid w:val="003E343A"/>
    <w:rsid w:val="003E3A69"/>
    <w:rsid w:val="003E3CB3"/>
    <w:rsid w:val="003E4135"/>
    <w:rsid w:val="003E58BC"/>
    <w:rsid w:val="003E5B4D"/>
    <w:rsid w:val="003E5D62"/>
    <w:rsid w:val="003E600B"/>
    <w:rsid w:val="003E639B"/>
    <w:rsid w:val="003E647D"/>
    <w:rsid w:val="003E67B9"/>
    <w:rsid w:val="003E68F7"/>
    <w:rsid w:val="003F027C"/>
    <w:rsid w:val="003F12D7"/>
    <w:rsid w:val="003F21A4"/>
    <w:rsid w:val="003F28A8"/>
    <w:rsid w:val="003F2C35"/>
    <w:rsid w:val="003F30EB"/>
    <w:rsid w:val="003F439B"/>
    <w:rsid w:val="003F46F9"/>
    <w:rsid w:val="003F4DAC"/>
    <w:rsid w:val="003F6D69"/>
    <w:rsid w:val="003F79BF"/>
    <w:rsid w:val="003F7C1F"/>
    <w:rsid w:val="004001E1"/>
    <w:rsid w:val="0040072D"/>
    <w:rsid w:val="00402BFF"/>
    <w:rsid w:val="00402CFC"/>
    <w:rsid w:val="004037ED"/>
    <w:rsid w:val="0040394B"/>
    <w:rsid w:val="00403ED3"/>
    <w:rsid w:val="0040464D"/>
    <w:rsid w:val="00404C42"/>
    <w:rsid w:val="00405064"/>
    <w:rsid w:val="00405195"/>
    <w:rsid w:val="00405CB8"/>
    <w:rsid w:val="00406C63"/>
    <w:rsid w:val="00407E10"/>
    <w:rsid w:val="004109A8"/>
    <w:rsid w:val="00411714"/>
    <w:rsid w:val="00411D8A"/>
    <w:rsid w:val="00412197"/>
    <w:rsid w:val="004126C0"/>
    <w:rsid w:val="00412CC2"/>
    <w:rsid w:val="00412D53"/>
    <w:rsid w:val="00412E42"/>
    <w:rsid w:val="00413920"/>
    <w:rsid w:val="00413AAF"/>
    <w:rsid w:val="00414C9E"/>
    <w:rsid w:val="00414E9F"/>
    <w:rsid w:val="00415148"/>
    <w:rsid w:val="0041622E"/>
    <w:rsid w:val="0041698D"/>
    <w:rsid w:val="00416B92"/>
    <w:rsid w:val="0041724D"/>
    <w:rsid w:val="00420312"/>
    <w:rsid w:val="00421E08"/>
    <w:rsid w:val="0042217A"/>
    <w:rsid w:val="00423748"/>
    <w:rsid w:val="00423DA7"/>
    <w:rsid w:val="00424CA0"/>
    <w:rsid w:val="0042765D"/>
    <w:rsid w:val="00427B6D"/>
    <w:rsid w:val="004303CC"/>
    <w:rsid w:val="004309ED"/>
    <w:rsid w:val="00430D62"/>
    <w:rsid w:val="00430DD0"/>
    <w:rsid w:val="0043111F"/>
    <w:rsid w:val="00431140"/>
    <w:rsid w:val="004311B4"/>
    <w:rsid w:val="00431E3C"/>
    <w:rsid w:val="004328DC"/>
    <w:rsid w:val="00433014"/>
    <w:rsid w:val="00434EEB"/>
    <w:rsid w:val="00436AE6"/>
    <w:rsid w:val="00440104"/>
    <w:rsid w:val="0044032B"/>
    <w:rsid w:val="00440600"/>
    <w:rsid w:val="0044061B"/>
    <w:rsid w:val="00440651"/>
    <w:rsid w:val="004407B4"/>
    <w:rsid w:val="00440E79"/>
    <w:rsid w:val="004412DA"/>
    <w:rsid w:val="00442FD1"/>
    <w:rsid w:val="004437F5"/>
    <w:rsid w:val="00443B97"/>
    <w:rsid w:val="00443CF7"/>
    <w:rsid w:val="00443E06"/>
    <w:rsid w:val="00444165"/>
    <w:rsid w:val="00444A25"/>
    <w:rsid w:val="0044588B"/>
    <w:rsid w:val="00446401"/>
    <w:rsid w:val="004465A0"/>
    <w:rsid w:val="00450B1E"/>
    <w:rsid w:val="004512B4"/>
    <w:rsid w:val="004526F0"/>
    <w:rsid w:val="0045291C"/>
    <w:rsid w:val="00452C2B"/>
    <w:rsid w:val="00452CD3"/>
    <w:rsid w:val="0045302B"/>
    <w:rsid w:val="004531B3"/>
    <w:rsid w:val="00454ABD"/>
    <w:rsid w:val="00455055"/>
    <w:rsid w:val="004554DE"/>
    <w:rsid w:val="004574E2"/>
    <w:rsid w:val="0045773B"/>
    <w:rsid w:val="00457EC6"/>
    <w:rsid w:val="00457EDC"/>
    <w:rsid w:val="00460425"/>
    <w:rsid w:val="004604CF"/>
    <w:rsid w:val="00460EDF"/>
    <w:rsid w:val="0046161E"/>
    <w:rsid w:val="004616BE"/>
    <w:rsid w:val="004619A9"/>
    <w:rsid w:val="00461DAF"/>
    <w:rsid w:val="0046381D"/>
    <w:rsid w:val="004645B8"/>
    <w:rsid w:val="004645FD"/>
    <w:rsid w:val="00464664"/>
    <w:rsid w:val="004647D0"/>
    <w:rsid w:val="00464AB3"/>
    <w:rsid w:val="00465160"/>
    <w:rsid w:val="00465BD8"/>
    <w:rsid w:val="00465EE3"/>
    <w:rsid w:val="00466660"/>
    <w:rsid w:val="00466F53"/>
    <w:rsid w:val="004700EF"/>
    <w:rsid w:val="00470209"/>
    <w:rsid w:val="004707CF"/>
    <w:rsid w:val="00470D0B"/>
    <w:rsid w:val="00471382"/>
    <w:rsid w:val="004714CB"/>
    <w:rsid w:val="00471789"/>
    <w:rsid w:val="004718C4"/>
    <w:rsid w:val="004721C4"/>
    <w:rsid w:val="00472AA0"/>
    <w:rsid w:val="00472F0D"/>
    <w:rsid w:val="00473420"/>
    <w:rsid w:val="00474D1F"/>
    <w:rsid w:val="00474F48"/>
    <w:rsid w:val="00475224"/>
    <w:rsid w:val="004811ED"/>
    <w:rsid w:val="00481FB7"/>
    <w:rsid w:val="00482243"/>
    <w:rsid w:val="00482BA6"/>
    <w:rsid w:val="004833F0"/>
    <w:rsid w:val="00485D71"/>
    <w:rsid w:val="004875A6"/>
    <w:rsid w:val="00491CCC"/>
    <w:rsid w:val="00492213"/>
    <w:rsid w:val="004922F2"/>
    <w:rsid w:val="004926B2"/>
    <w:rsid w:val="004927E3"/>
    <w:rsid w:val="00492C30"/>
    <w:rsid w:val="00493935"/>
    <w:rsid w:val="00494BE3"/>
    <w:rsid w:val="00494E7E"/>
    <w:rsid w:val="00497264"/>
    <w:rsid w:val="00497363"/>
    <w:rsid w:val="004979BD"/>
    <w:rsid w:val="004A15EA"/>
    <w:rsid w:val="004A178A"/>
    <w:rsid w:val="004A1F63"/>
    <w:rsid w:val="004A2235"/>
    <w:rsid w:val="004A23E5"/>
    <w:rsid w:val="004A25FA"/>
    <w:rsid w:val="004A3416"/>
    <w:rsid w:val="004A3F2C"/>
    <w:rsid w:val="004A5912"/>
    <w:rsid w:val="004A6BE6"/>
    <w:rsid w:val="004A789E"/>
    <w:rsid w:val="004B0B2D"/>
    <w:rsid w:val="004B1A65"/>
    <w:rsid w:val="004B2B2E"/>
    <w:rsid w:val="004B336F"/>
    <w:rsid w:val="004B33EF"/>
    <w:rsid w:val="004B3E4A"/>
    <w:rsid w:val="004B3E82"/>
    <w:rsid w:val="004B4E2D"/>
    <w:rsid w:val="004B66A7"/>
    <w:rsid w:val="004B6CE9"/>
    <w:rsid w:val="004C046D"/>
    <w:rsid w:val="004C05D2"/>
    <w:rsid w:val="004C07A8"/>
    <w:rsid w:val="004C1B9A"/>
    <w:rsid w:val="004C1BCE"/>
    <w:rsid w:val="004C1E5F"/>
    <w:rsid w:val="004C263C"/>
    <w:rsid w:val="004C35A5"/>
    <w:rsid w:val="004C3C18"/>
    <w:rsid w:val="004C468C"/>
    <w:rsid w:val="004C5483"/>
    <w:rsid w:val="004C555C"/>
    <w:rsid w:val="004C610B"/>
    <w:rsid w:val="004C68BD"/>
    <w:rsid w:val="004C7662"/>
    <w:rsid w:val="004C7965"/>
    <w:rsid w:val="004C797E"/>
    <w:rsid w:val="004D0B85"/>
    <w:rsid w:val="004D194F"/>
    <w:rsid w:val="004D1D2A"/>
    <w:rsid w:val="004D2915"/>
    <w:rsid w:val="004D297D"/>
    <w:rsid w:val="004D2DE7"/>
    <w:rsid w:val="004D2F0F"/>
    <w:rsid w:val="004D332E"/>
    <w:rsid w:val="004D34E3"/>
    <w:rsid w:val="004D39DC"/>
    <w:rsid w:val="004D3AF1"/>
    <w:rsid w:val="004D43D2"/>
    <w:rsid w:val="004D55E5"/>
    <w:rsid w:val="004D65FD"/>
    <w:rsid w:val="004D7042"/>
    <w:rsid w:val="004D7830"/>
    <w:rsid w:val="004D7AFD"/>
    <w:rsid w:val="004E0A1F"/>
    <w:rsid w:val="004E11D2"/>
    <w:rsid w:val="004E307B"/>
    <w:rsid w:val="004E371C"/>
    <w:rsid w:val="004E38BE"/>
    <w:rsid w:val="004E4F05"/>
    <w:rsid w:val="004E53A7"/>
    <w:rsid w:val="004E585B"/>
    <w:rsid w:val="004E65B5"/>
    <w:rsid w:val="004E71AE"/>
    <w:rsid w:val="004E7ADE"/>
    <w:rsid w:val="004F0543"/>
    <w:rsid w:val="004F131F"/>
    <w:rsid w:val="004F13AC"/>
    <w:rsid w:val="004F1FED"/>
    <w:rsid w:val="004F21CB"/>
    <w:rsid w:val="004F29BB"/>
    <w:rsid w:val="004F2C7F"/>
    <w:rsid w:val="004F2FB9"/>
    <w:rsid w:val="004F3025"/>
    <w:rsid w:val="004F3149"/>
    <w:rsid w:val="004F36A8"/>
    <w:rsid w:val="004F427C"/>
    <w:rsid w:val="004F4AD5"/>
    <w:rsid w:val="004F4B16"/>
    <w:rsid w:val="004F5983"/>
    <w:rsid w:val="004F68B5"/>
    <w:rsid w:val="004F6ABE"/>
    <w:rsid w:val="004F6EF8"/>
    <w:rsid w:val="004F723C"/>
    <w:rsid w:val="004F750A"/>
    <w:rsid w:val="00501615"/>
    <w:rsid w:val="005017A1"/>
    <w:rsid w:val="00503FA8"/>
    <w:rsid w:val="00504216"/>
    <w:rsid w:val="005045EB"/>
    <w:rsid w:val="005047D5"/>
    <w:rsid w:val="005049C1"/>
    <w:rsid w:val="00505435"/>
    <w:rsid w:val="00505E2B"/>
    <w:rsid w:val="005067CD"/>
    <w:rsid w:val="00506C75"/>
    <w:rsid w:val="00506F2B"/>
    <w:rsid w:val="00507856"/>
    <w:rsid w:val="005113AC"/>
    <w:rsid w:val="00511FDA"/>
    <w:rsid w:val="00512BCF"/>
    <w:rsid w:val="00512D0F"/>
    <w:rsid w:val="00513AC9"/>
    <w:rsid w:val="00514174"/>
    <w:rsid w:val="00514866"/>
    <w:rsid w:val="00514989"/>
    <w:rsid w:val="00515EED"/>
    <w:rsid w:val="00516843"/>
    <w:rsid w:val="00517829"/>
    <w:rsid w:val="0051790B"/>
    <w:rsid w:val="005207A5"/>
    <w:rsid w:val="00520E70"/>
    <w:rsid w:val="00520F55"/>
    <w:rsid w:val="00521488"/>
    <w:rsid w:val="0052187D"/>
    <w:rsid w:val="00522CC8"/>
    <w:rsid w:val="00522DC2"/>
    <w:rsid w:val="00523C59"/>
    <w:rsid w:val="00525CFB"/>
    <w:rsid w:val="00525F54"/>
    <w:rsid w:val="00526173"/>
    <w:rsid w:val="00526466"/>
    <w:rsid w:val="00527CD9"/>
    <w:rsid w:val="005300F4"/>
    <w:rsid w:val="005307D4"/>
    <w:rsid w:val="005313CE"/>
    <w:rsid w:val="00531C5B"/>
    <w:rsid w:val="00532521"/>
    <w:rsid w:val="0053345F"/>
    <w:rsid w:val="00533824"/>
    <w:rsid w:val="00534045"/>
    <w:rsid w:val="0053467E"/>
    <w:rsid w:val="00534A23"/>
    <w:rsid w:val="0053598A"/>
    <w:rsid w:val="0053671B"/>
    <w:rsid w:val="00536C5B"/>
    <w:rsid w:val="0053794A"/>
    <w:rsid w:val="005424ED"/>
    <w:rsid w:val="0054383B"/>
    <w:rsid w:val="00544343"/>
    <w:rsid w:val="005444ED"/>
    <w:rsid w:val="005452A9"/>
    <w:rsid w:val="00545AD8"/>
    <w:rsid w:val="00546761"/>
    <w:rsid w:val="0054748B"/>
    <w:rsid w:val="00553571"/>
    <w:rsid w:val="005540A3"/>
    <w:rsid w:val="0055419D"/>
    <w:rsid w:val="0055465C"/>
    <w:rsid w:val="005573E8"/>
    <w:rsid w:val="00557ABC"/>
    <w:rsid w:val="005602DD"/>
    <w:rsid w:val="00563501"/>
    <w:rsid w:val="005636A3"/>
    <w:rsid w:val="00564D48"/>
    <w:rsid w:val="00566403"/>
    <w:rsid w:val="00566D70"/>
    <w:rsid w:val="005672BD"/>
    <w:rsid w:val="00567E8A"/>
    <w:rsid w:val="00570703"/>
    <w:rsid w:val="00570779"/>
    <w:rsid w:val="00570C72"/>
    <w:rsid w:val="00570C86"/>
    <w:rsid w:val="00571E0F"/>
    <w:rsid w:val="005723E8"/>
    <w:rsid w:val="00574581"/>
    <w:rsid w:val="005749CD"/>
    <w:rsid w:val="00575DD8"/>
    <w:rsid w:val="00577857"/>
    <w:rsid w:val="00580766"/>
    <w:rsid w:val="005807E6"/>
    <w:rsid w:val="00581153"/>
    <w:rsid w:val="00581662"/>
    <w:rsid w:val="00583269"/>
    <w:rsid w:val="005835C9"/>
    <w:rsid w:val="0058387F"/>
    <w:rsid w:val="00586046"/>
    <w:rsid w:val="00586426"/>
    <w:rsid w:val="0058650F"/>
    <w:rsid w:val="00586970"/>
    <w:rsid w:val="00586B0D"/>
    <w:rsid w:val="00586E27"/>
    <w:rsid w:val="00587826"/>
    <w:rsid w:val="0059112B"/>
    <w:rsid w:val="005911D6"/>
    <w:rsid w:val="005913CB"/>
    <w:rsid w:val="00591C38"/>
    <w:rsid w:val="00593267"/>
    <w:rsid w:val="00593591"/>
    <w:rsid w:val="005936FD"/>
    <w:rsid w:val="00594647"/>
    <w:rsid w:val="0059499D"/>
    <w:rsid w:val="00594F79"/>
    <w:rsid w:val="00595181"/>
    <w:rsid w:val="00595281"/>
    <w:rsid w:val="005962FB"/>
    <w:rsid w:val="00596B07"/>
    <w:rsid w:val="00596B68"/>
    <w:rsid w:val="00596BAB"/>
    <w:rsid w:val="00596E6D"/>
    <w:rsid w:val="005971ED"/>
    <w:rsid w:val="0059761C"/>
    <w:rsid w:val="005A0D1B"/>
    <w:rsid w:val="005A1532"/>
    <w:rsid w:val="005A18C3"/>
    <w:rsid w:val="005A1B26"/>
    <w:rsid w:val="005A23D6"/>
    <w:rsid w:val="005A6D6D"/>
    <w:rsid w:val="005A7232"/>
    <w:rsid w:val="005A7BD4"/>
    <w:rsid w:val="005B0959"/>
    <w:rsid w:val="005B13DD"/>
    <w:rsid w:val="005B2073"/>
    <w:rsid w:val="005B3C09"/>
    <w:rsid w:val="005B6376"/>
    <w:rsid w:val="005C16C6"/>
    <w:rsid w:val="005C1EC4"/>
    <w:rsid w:val="005C1F75"/>
    <w:rsid w:val="005C22AC"/>
    <w:rsid w:val="005C3D3C"/>
    <w:rsid w:val="005C4BC4"/>
    <w:rsid w:val="005C5DFA"/>
    <w:rsid w:val="005D0C0D"/>
    <w:rsid w:val="005D135B"/>
    <w:rsid w:val="005D1F1C"/>
    <w:rsid w:val="005D3A2C"/>
    <w:rsid w:val="005D4438"/>
    <w:rsid w:val="005D45F4"/>
    <w:rsid w:val="005D48C5"/>
    <w:rsid w:val="005D4EDC"/>
    <w:rsid w:val="005D4F7D"/>
    <w:rsid w:val="005D557C"/>
    <w:rsid w:val="005D57E5"/>
    <w:rsid w:val="005D6A75"/>
    <w:rsid w:val="005D7568"/>
    <w:rsid w:val="005D75B4"/>
    <w:rsid w:val="005D7FDD"/>
    <w:rsid w:val="005E08A3"/>
    <w:rsid w:val="005E0F3A"/>
    <w:rsid w:val="005E1068"/>
    <w:rsid w:val="005E1E6C"/>
    <w:rsid w:val="005E23AA"/>
    <w:rsid w:val="005E37B9"/>
    <w:rsid w:val="005E4525"/>
    <w:rsid w:val="005E4C04"/>
    <w:rsid w:val="005E5C53"/>
    <w:rsid w:val="005E71EE"/>
    <w:rsid w:val="005E7501"/>
    <w:rsid w:val="005E7E89"/>
    <w:rsid w:val="005F0B1F"/>
    <w:rsid w:val="005F11CD"/>
    <w:rsid w:val="005F1926"/>
    <w:rsid w:val="005F1B06"/>
    <w:rsid w:val="005F1C49"/>
    <w:rsid w:val="005F1D43"/>
    <w:rsid w:val="005F301A"/>
    <w:rsid w:val="005F3175"/>
    <w:rsid w:val="005F4695"/>
    <w:rsid w:val="005F617A"/>
    <w:rsid w:val="005F711F"/>
    <w:rsid w:val="005F7BF6"/>
    <w:rsid w:val="005F7D5F"/>
    <w:rsid w:val="006005F8"/>
    <w:rsid w:val="0060140B"/>
    <w:rsid w:val="0060253C"/>
    <w:rsid w:val="006066B9"/>
    <w:rsid w:val="00606938"/>
    <w:rsid w:val="00606D31"/>
    <w:rsid w:val="00606D36"/>
    <w:rsid w:val="00606DE8"/>
    <w:rsid w:val="0060786F"/>
    <w:rsid w:val="006107D9"/>
    <w:rsid w:val="00610D90"/>
    <w:rsid w:val="0061172E"/>
    <w:rsid w:val="006117DE"/>
    <w:rsid w:val="00612542"/>
    <w:rsid w:val="00612D59"/>
    <w:rsid w:val="006132D6"/>
    <w:rsid w:val="00614925"/>
    <w:rsid w:val="006149E6"/>
    <w:rsid w:val="00615D6D"/>
    <w:rsid w:val="00615F4F"/>
    <w:rsid w:val="0062052C"/>
    <w:rsid w:val="0062053D"/>
    <w:rsid w:val="006205E2"/>
    <w:rsid w:val="006209D8"/>
    <w:rsid w:val="00621073"/>
    <w:rsid w:val="0062122E"/>
    <w:rsid w:val="0062181B"/>
    <w:rsid w:val="0062232B"/>
    <w:rsid w:val="006226EB"/>
    <w:rsid w:val="00622BA7"/>
    <w:rsid w:val="00624187"/>
    <w:rsid w:val="006251CF"/>
    <w:rsid w:val="00625235"/>
    <w:rsid w:val="006258CF"/>
    <w:rsid w:val="00625996"/>
    <w:rsid w:val="0062733F"/>
    <w:rsid w:val="00627D56"/>
    <w:rsid w:val="00627DB7"/>
    <w:rsid w:val="00630207"/>
    <w:rsid w:val="00630D24"/>
    <w:rsid w:val="00630F36"/>
    <w:rsid w:val="00631168"/>
    <w:rsid w:val="00631D0B"/>
    <w:rsid w:val="00632BE4"/>
    <w:rsid w:val="0063405A"/>
    <w:rsid w:val="006341C1"/>
    <w:rsid w:val="00635387"/>
    <w:rsid w:val="006366FE"/>
    <w:rsid w:val="00636EF4"/>
    <w:rsid w:val="00637650"/>
    <w:rsid w:val="006376BA"/>
    <w:rsid w:val="0063773B"/>
    <w:rsid w:val="006377C1"/>
    <w:rsid w:val="00640921"/>
    <w:rsid w:val="00641173"/>
    <w:rsid w:val="006422B5"/>
    <w:rsid w:val="00642DA2"/>
    <w:rsid w:val="00644843"/>
    <w:rsid w:val="006448CF"/>
    <w:rsid w:val="0064606E"/>
    <w:rsid w:val="0064620F"/>
    <w:rsid w:val="00646691"/>
    <w:rsid w:val="0064686F"/>
    <w:rsid w:val="006473ED"/>
    <w:rsid w:val="00647AB1"/>
    <w:rsid w:val="00650327"/>
    <w:rsid w:val="00652B4C"/>
    <w:rsid w:val="00652D0E"/>
    <w:rsid w:val="00652D62"/>
    <w:rsid w:val="006530B1"/>
    <w:rsid w:val="006536EA"/>
    <w:rsid w:val="00653A02"/>
    <w:rsid w:val="00653A20"/>
    <w:rsid w:val="00654136"/>
    <w:rsid w:val="00656A08"/>
    <w:rsid w:val="00657C97"/>
    <w:rsid w:val="00657DB5"/>
    <w:rsid w:val="00660C38"/>
    <w:rsid w:val="006625D8"/>
    <w:rsid w:val="00662A86"/>
    <w:rsid w:val="00662FAA"/>
    <w:rsid w:val="00663BBE"/>
    <w:rsid w:val="00663BC2"/>
    <w:rsid w:val="006642CD"/>
    <w:rsid w:val="0066436C"/>
    <w:rsid w:val="00664B53"/>
    <w:rsid w:val="00664F89"/>
    <w:rsid w:val="006653BB"/>
    <w:rsid w:val="0066569B"/>
    <w:rsid w:val="006658C2"/>
    <w:rsid w:val="00665D9E"/>
    <w:rsid w:val="00667502"/>
    <w:rsid w:val="00667DA4"/>
    <w:rsid w:val="006710E5"/>
    <w:rsid w:val="00671145"/>
    <w:rsid w:val="00671498"/>
    <w:rsid w:val="006714AB"/>
    <w:rsid w:val="006715E9"/>
    <w:rsid w:val="00671740"/>
    <w:rsid w:val="00671ACF"/>
    <w:rsid w:val="0067330B"/>
    <w:rsid w:val="00673511"/>
    <w:rsid w:val="006736A4"/>
    <w:rsid w:val="00673CE5"/>
    <w:rsid w:val="006748A7"/>
    <w:rsid w:val="00675B53"/>
    <w:rsid w:val="00675C58"/>
    <w:rsid w:val="00675CEF"/>
    <w:rsid w:val="00677D6C"/>
    <w:rsid w:val="00677EB4"/>
    <w:rsid w:val="00680C09"/>
    <w:rsid w:val="00680E93"/>
    <w:rsid w:val="006813FF"/>
    <w:rsid w:val="00681EB1"/>
    <w:rsid w:val="00681F61"/>
    <w:rsid w:val="006823F9"/>
    <w:rsid w:val="006826D1"/>
    <w:rsid w:val="0068277A"/>
    <w:rsid w:val="00684709"/>
    <w:rsid w:val="00684923"/>
    <w:rsid w:val="00684DCC"/>
    <w:rsid w:val="00685350"/>
    <w:rsid w:val="00685C56"/>
    <w:rsid w:val="00686CB8"/>
    <w:rsid w:val="00687DCA"/>
    <w:rsid w:val="00692F14"/>
    <w:rsid w:val="00693037"/>
    <w:rsid w:val="0069362B"/>
    <w:rsid w:val="0069396B"/>
    <w:rsid w:val="00693B9A"/>
    <w:rsid w:val="00694749"/>
    <w:rsid w:val="006954FC"/>
    <w:rsid w:val="00696465"/>
    <w:rsid w:val="006965D1"/>
    <w:rsid w:val="00696E8A"/>
    <w:rsid w:val="00697020"/>
    <w:rsid w:val="006A036E"/>
    <w:rsid w:val="006A0A06"/>
    <w:rsid w:val="006A12EA"/>
    <w:rsid w:val="006A1300"/>
    <w:rsid w:val="006A28FC"/>
    <w:rsid w:val="006A31D0"/>
    <w:rsid w:val="006A3EB5"/>
    <w:rsid w:val="006A483F"/>
    <w:rsid w:val="006A5558"/>
    <w:rsid w:val="006A6F44"/>
    <w:rsid w:val="006A6FF3"/>
    <w:rsid w:val="006B1D3C"/>
    <w:rsid w:val="006B2BF5"/>
    <w:rsid w:val="006B2C4D"/>
    <w:rsid w:val="006B3C1B"/>
    <w:rsid w:val="006B4B7F"/>
    <w:rsid w:val="006B4BF9"/>
    <w:rsid w:val="006B5677"/>
    <w:rsid w:val="006B5CCA"/>
    <w:rsid w:val="006B5E2E"/>
    <w:rsid w:val="006B60B9"/>
    <w:rsid w:val="006B61A4"/>
    <w:rsid w:val="006B6691"/>
    <w:rsid w:val="006B7D74"/>
    <w:rsid w:val="006C1187"/>
    <w:rsid w:val="006C39EF"/>
    <w:rsid w:val="006C43B8"/>
    <w:rsid w:val="006C465F"/>
    <w:rsid w:val="006C4E72"/>
    <w:rsid w:val="006C54B0"/>
    <w:rsid w:val="006C57CB"/>
    <w:rsid w:val="006C63FC"/>
    <w:rsid w:val="006C6484"/>
    <w:rsid w:val="006C6E9E"/>
    <w:rsid w:val="006C7BC1"/>
    <w:rsid w:val="006C7CE3"/>
    <w:rsid w:val="006D0DDC"/>
    <w:rsid w:val="006D19DD"/>
    <w:rsid w:val="006D23BF"/>
    <w:rsid w:val="006D393D"/>
    <w:rsid w:val="006D52E5"/>
    <w:rsid w:val="006D5717"/>
    <w:rsid w:val="006D716A"/>
    <w:rsid w:val="006D71DA"/>
    <w:rsid w:val="006D72A7"/>
    <w:rsid w:val="006D782D"/>
    <w:rsid w:val="006D7D8D"/>
    <w:rsid w:val="006E0489"/>
    <w:rsid w:val="006E1223"/>
    <w:rsid w:val="006E1488"/>
    <w:rsid w:val="006E17AD"/>
    <w:rsid w:val="006E3284"/>
    <w:rsid w:val="006E3966"/>
    <w:rsid w:val="006E4B40"/>
    <w:rsid w:val="006E56D7"/>
    <w:rsid w:val="006E62CD"/>
    <w:rsid w:val="006E62FB"/>
    <w:rsid w:val="006F0B72"/>
    <w:rsid w:val="006F1E96"/>
    <w:rsid w:val="006F226B"/>
    <w:rsid w:val="006F2AB0"/>
    <w:rsid w:val="006F2DB8"/>
    <w:rsid w:val="006F3783"/>
    <w:rsid w:val="006F4799"/>
    <w:rsid w:val="006F4BB2"/>
    <w:rsid w:val="006F4E6B"/>
    <w:rsid w:val="006F6104"/>
    <w:rsid w:val="006F6450"/>
    <w:rsid w:val="00700488"/>
    <w:rsid w:val="007008B6"/>
    <w:rsid w:val="00700AC5"/>
    <w:rsid w:val="0070158B"/>
    <w:rsid w:val="00701E22"/>
    <w:rsid w:val="0070421D"/>
    <w:rsid w:val="0070435C"/>
    <w:rsid w:val="00705CDB"/>
    <w:rsid w:val="007065F0"/>
    <w:rsid w:val="00706E21"/>
    <w:rsid w:val="007071CA"/>
    <w:rsid w:val="007072DB"/>
    <w:rsid w:val="00707525"/>
    <w:rsid w:val="00707CE3"/>
    <w:rsid w:val="00711C70"/>
    <w:rsid w:val="00712C16"/>
    <w:rsid w:val="00713D96"/>
    <w:rsid w:val="007145EE"/>
    <w:rsid w:val="0071492E"/>
    <w:rsid w:val="00714D4B"/>
    <w:rsid w:val="007157A3"/>
    <w:rsid w:val="007157D1"/>
    <w:rsid w:val="00715CBB"/>
    <w:rsid w:val="00716CEE"/>
    <w:rsid w:val="00717452"/>
    <w:rsid w:val="00717536"/>
    <w:rsid w:val="007215C0"/>
    <w:rsid w:val="00722222"/>
    <w:rsid w:val="007223F1"/>
    <w:rsid w:val="007224D4"/>
    <w:rsid w:val="00723B2C"/>
    <w:rsid w:val="00724033"/>
    <w:rsid w:val="00725053"/>
    <w:rsid w:val="00725172"/>
    <w:rsid w:val="0072585A"/>
    <w:rsid w:val="00725F82"/>
    <w:rsid w:val="0072750D"/>
    <w:rsid w:val="007275CA"/>
    <w:rsid w:val="007279F1"/>
    <w:rsid w:val="00727F54"/>
    <w:rsid w:val="00730132"/>
    <w:rsid w:val="00730951"/>
    <w:rsid w:val="00730C83"/>
    <w:rsid w:val="007314F1"/>
    <w:rsid w:val="007319B0"/>
    <w:rsid w:val="0073262F"/>
    <w:rsid w:val="00732A92"/>
    <w:rsid w:val="007340DB"/>
    <w:rsid w:val="0073414C"/>
    <w:rsid w:val="007349AC"/>
    <w:rsid w:val="00734B12"/>
    <w:rsid w:val="00734E15"/>
    <w:rsid w:val="007359B8"/>
    <w:rsid w:val="007359EE"/>
    <w:rsid w:val="00737143"/>
    <w:rsid w:val="00740A5C"/>
    <w:rsid w:val="00740BBC"/>
    <w:rsid w:val="00741A03"/>
    <w:rsid w:val="00741C28"/>
    <w:rsid w:val="00741F89"/>
    <w:rsid w:val="0074301B"/>
    <w:rsid w:val="0074495B"/>
    <w:rsid w:val="007458B5"/>
    <w:rsid w:val="00746A12"/>
    <w:rsid w:val="007476B3"/>
    <w:rsid w:val="00747860"/>
    <w:rsid w:val="00750D80"/>
    <w:rsid w:val="00751075"/>
    <w:rsid w:val="007512BF"/>
    <w:rsid w:val="007515FA"/>
    <w:rsid w:val="007523B3"/>
    <w:rsid w:val="007523C1"/>
    <w:rsid w:val="007528A0"/>
    <w:rsid w:val="00753212"/>
    <w:rsid w:val="007532CE"/>
    <w:rsid w:val="0075390D"/>
    <w:rsid w:val="00753D5B"/>
    <w:rsid w:val="00754DAF"/>
    <w:rsid w:val="00755344"/>
    <w:rsid w:val="00755F13"/>
    <w:rsid w:val="0075612D"/>
    <w:rsid w:val="007568A3"/>
    <w:rsid w:val="00757012"/>
    <w:rsid w:val="007571F9"/>
    <w:rsid w:val="007575CC"/>
    <w:rsid w:val="007577DB"/>
    <w:rsid w:val="00757954"/>
    <w:rsid w:val="007609D8"/>
    <w:rsid w:val="00761056"/>
    <w:rsid w:val="00762288"/>
    <w:rsid w:val="00762412"/>
    <w:rsid w:val="00763B03"/>
    <w:rsid w:val="00764E54"/>
    <w:rsid w:val="00764EBA"/>
    <w:rsid w:val="00764FE4"/>
    <w:rsid w:val="00765D4A"/>
    <w:rsid w:val="00766658"/>
    <w:rsid w:val="00766B2D"/>
    <w:rsid w:val="00767C5F"/>
    <w:rsid w:val="0077062A"/>
    <w:rsid w:val="0077064F"/>
    <w:rsid w:val="00770AAE"/>
    <w:rsid w:val="00772234"/>
    <w:rsid w:val="007722E2"/>
    <w:rsid w:val="00772483"/>
    <w:rsid w:val="0077282C"/>
    <w:rsid w:val="0077306D"/>
    <w:rsid w:val="00774673"/>
    <w:rsid w:val="0077467D"/>
    <w:rsid w:val="00775B1A"/>
    <w:rsid w:val="00775C57"/>
    <w:rsid w:val="0077655D"/>
    <w:rsid w:val="007771AD"/>
    <w:rsid w:val="007773EC"/>
    <w:rsid w:val="00777CE9"/>
    <w:rsid w:val="0078060E"/>
    <w:rsid w:val="0078238B"/>
    <w:rsid w:val="00783015"/>
    <w:rsid w:val="00783B8E"/>
    <w:rsid w:val="0078510D"/>
    <w:rsid w:val="0078603A"/>
    <w:rsid w:val="007863D7"/>
    <w:rsid w:val="007864E5"/>
    <w:rsid w:val="007868A7"/>
    <w:rsid w:val="00787313"/>
    <w:rsid w:val="007910F7"/>
    <w:rsid w:val="00791376"/>
    <w:rsid w:val="007915AC"/>
    <w:rsid w:val="00791E8F"/>
    <w:rsid w:val="0079210A"/>
    <w:rsid w:val="00792619"/>
    <w:rsid w:val="00793B38"/>
    <w:rsid w:val="00795081"/>
    <w:rsid w:val="00796707"/>
    <w:rsid w:val="00797199"/>
    <w:rsid w:val="007978FF"/>
    <w:rsid w:val="00797BFD"/>
    <w:rsid w:val="007A2573"/>
    <w:rsid w:val="007A2725"/>
    <w:rsid w:val="007A3131"/>
    <w:rsid w:val="007A4191"/>
    <w:rsid w:val="007A45D7"/>
    <w:rsid w:val="007A46CE"/>
    <w:rsid w:val="007A5465"/>
    <w:rsid w:val="007A5C26"/>
    <w:rsid w:val="007A5E78"/>
    <w:rsid w:val="007A5F86"/>
    <w:rsid w:val="007A7249"/>
    <w:rsid w:val="007A7288"/>
    <w:rsid w:val="007B1262"/>
    <w:rsid w:val="007B161C"/>
    <w:rsid w:val="007B1FF6"/>
    <w:rsid w:val="007B32FA"/>
    <w:rsid w:val="007B427D"/>
    <w:rsid w:val="007B43E3"/>
    <w:rsid w:val="007B45E5"/>
    <w:rsid w:val="007B5204"/>
    <w:rsid w:val="007B5E8B"/>
    <w:rsid w:val="007B5E99"/>
    <w:rsid w:val="007B6F02"/>
    <w:rsid w:val="007B70F8"/>
    <w:rsid w:val="007B7755"/>
    <w:rsid w:val="007C0A00"/>
    <w:rsid w:val="007C0EF1"/>
    <w:rsid w:val="007C2726"/>
    <w:rsid w:val="007C2E50"/>
    <w:rsid w:val="007C371F"/>
    <w:rsid w:val="007C4D3F"/>
    <w:rsid w:val="007C5F5F"/>
    <w:rsid w:val="007C6096"/>
    <w:rsid w:val="007C69F5"/>
    <w:rsid w:val="007C6B59"/>
    <w:rsid w:val="007D0580"/>
    <w:rsid w:val="007D1684"/>
    <w:rsid w:val="007D182C"/>
    <w:rsid w:val="007D3F6E"/>
    <w:rsid w:val="007D4AD2"/>
    <w:rsid w:val="007D5793"/>
    <w:rsid w:val="007D57F2"/>
    <w:rsid w:val="007D63B1"/>
    <w:rsid w:val="007D6C15"/>
    <w:rsid w:val="007E0E6E"/>
    <w:rsid w:val="007E2A9D"/>
    <w:rsid w:val="007E3547"/>
    <w:rsid w:val="007E5B47"/>
    <w:rsid w:val="007E6BC9"/>
    <w:rsid w:val="007E7306"/>
    <w:rsid w:val="007E7C88"/>
    <w:rsid w:val="007E7FE4"/>
    <w:rsid w:val="007F0E06"/>
    <w:rsid w:val="007F1FBE"/>
    <w:rsid w:val="007F230B"/>
    <w:rsid w:val="007F268C"/>
    <w:rsid w:val="007F2F58"/>
    <w:rsid w:val="007F344B"/>
    <w:rsid w:val="007F37AF"/>
    <w:rsid w:val="007F3918"/>
    <w:rsid w:val="007F486A"/>
    <w:rsid w:val="007F4F78"/>
    <w:rsid w:val="007F59C0"/>
    <w:rsid w:val="007F5A01"/>
    <w:rsid w:val="007F67CC"/>
    <w:rsid w:val="007F6B28"/>
    <w:rsid w:val="007F7671"/>
    <w:rsid w:val="007F7785"/>
    <w:rsid w:val="007F7E91"/>
    <w:rsid w:val="00800338"/>
    <w:rsid w:val="008006B9"/>
    <w:rsid w:val="00800782"/>
    <w:rsid w:val="00800C13"/>
    <w:rsid w:val="00800EF0"/>
    <w:rsid w:val="008012A4"/>
    <w:rsid w:val="00801A7C"/>
    <w:rsid w:val="0080411B"/>
    <w:rsid w:val="008054FE"/>
    <w:rsid w:val="00806B38"/>
    <w:rsid w:val="008074FD"/>
    <w:rsid w:val="0080781C"/>
    <w:rsid w:val="00807C28"/>
    <w:rsid w:val="00810FB5"/>
    <w:rsid w:val="0081131C"/>
    <w:rsid w:val="008116AD"/>
    <w:rsid w:val="008118F7"/>
    <w:rsid w:val="00812312"/>
    <w:rsid w:val="00812517"/>
    <w:rsid w:val="00813073"/>
    <w:rsid w:val="008135BE"/>
    <w:rsid w:val="008139AE"/>
    <w:rsid w:val="0081498E"/>
    <w:rsid w:val="008150BD"/>
    <w:rsid w:val="00815BC9"/>
    <w:rsid w:val="0081732F"/>
    <w:rsid w:val="00820BF6"/>
    <w:rsid w:val="00820E84"/>
    <w:rsid w:val="00821018"/>
    <w:rsid w:val="0082223C"/>
    <w:rsid w:val="00822254"/>
    <w:rsid w:val="00822346"/>
    <w:rsid w:val="0082278A"/>
    <w:rsid w:val="00822AE6"/>
    <w:rsid w:val="00822F36"/>
    <w:rsid w:val="00823A8D"/>
    <w:rsid w:val="008240AE"/>
    <w:rsid w:val="0082569F"/>
    <w:rsid w:val="008257EA"/>
    <w:rsid w:val="00825CC4"/>
    <w:rsid w:val="00826333"/>
    <w:rsid w:val="0082649E"/>
    <w:rsid w:val="00826C99"/>
    <w:rsid w:val="00826F6B"/>
    <w:rsid w:val="0083031B"/>
    <w:rsid w:val="0083084A"/>
    <w:rsid w:val="00830A1E"/>
    <w:rsid w:val="00830B30"/>
    <w:rsid w:val="008315E9"/>
    <w:rsid w:val="008318E5"/>
    <w:rsid w:val="00831A89"/>
    <w:rsid w:val="0083309D"/>
    <w:rsid w:val="008338DE"/>
    <w:rsid w:val="00833AD0"/>
    <w:rsid w:val="00835D61"/>
    <w:rsid w:val="008370B4"/>
    <w:rsid w:val="00837E92"/>
    <w:rsid w:val="00840575"/>
    <w:rsid w:val="00840CF5"/>
    <w:rsid w:val="00840F86"/>
    <w:rsid w:val="008412DA"/>
    <w:rsid w:val="00841663"/>
    <w:rsid w:val="0084183C"/>
    <w:rsid w:val="00841ECE"/>
    <w:rsid w:val="0084468E"/>
    <w:rsid w:val="008451BD"/>
    <w:rsid w:val="008462EB"/>
    <w:rsid w:val="008465B4"/>
    <w:rsid w:val="0084742C"/>
    <w:rsid w:val="0085068A"/>
    <w:rsid w:val="00850E3B"/>
    <w:rsid w:val="008513C9"/>
    <w:rsid w:val="0085166B"/>
    <w:rsid w:val="0085177B"/>
    <w:rsid w:val="0085219D"/>
    <w:rsid w:val="008529A7"/>
    <w:rsid w:val="00853DC1"/>
    <w:rsid w:val="00854FED"/>
    <w:rsid w:val="00855102"/>
    <w:rsid w:val="00855C23"/>
    <w:rsid w:val="00856715"/>
    <w:rsid w:val="00856C49"/>
    <w:rsid w:val="00856F9A"/>
    <w:rsid w:val="008570B3"/>
    <w:rsid w:val="00857174"/>
    <w:rsid w:val="00857414"/>
    <w:rsid w:val="00860910"/>
    <w:rsid w:val="00861C5B"/>
    <w:rsid w:val="00861DA4"/>
    <w:rsid w:val="00862428"/>
    <w:rsid w:val="00862BF1"/>
    <w:rsid w:val="008631BE"/>
    <w:rsid w:val="00863776"/>
    <w:rsid w:val="00863899"/>
    <w:rsid w:val="008668FD"/>
    <w:rsid w:val="00866B19"/>
    <w:rsid w:val="00867101"/>
    <w:rsid w:val="00867112"/>
    <w:rsid w:val="00870F5A"/>
    <w:rsid w:val="008712F2"/>
    <w:rsid w:val="0087171D"/>
    <w:rsid w:val="008731C7"/>
    <w:rsid w:val="00874157"/>
    <w:rsid w:val="008742DF"/>
    <w:rsid w:val="00874311"/>
    <w:rsid w:val="00874385"/>
    <w:rsid w:val="00877E3A"/>
    <w:rsid w:val="00880024"/>
    <w:rsid w:val="00880E62"/>
    <w:rsid w:val="00880FD2"/>
    <w:rsid w:val="00881965"/>
    <w:rsid w:val="00883070"/>
    <w:rsid w:val="00883094"/>
    <w:rsid w:val="008831B4"/>
    <w:rsid w:val="008846F3"/>
    <w:rsid w:val="008868D0"/>
    <w:rsid w:val="008871B3"/>
    <w:rsid w:val="00887837"/>
    <w:rsid w:val="00890627"/>
    <w:rsid w:val="00890AC4"/>
    <w:rsid w:val="00890CA7"/>
    <w:rsid w:val="008913AD"/>
    <w:rsid w:val="00891BA2"/>
    <w:rsid w:val="00891BF4"/>
    <w:rsid w:val="00892081"/>
    <w:rsid w:val="00892212"/>
    <w:rsid w:val="0089274A"/>
    <w:rsid w:val="00892E40"/>
    <w:rsid w:val="008936CB"/>
    <w:rsid w:val="00893D35"/>
    <w:rsid w:val="00893E14"/>
    <w:rsid w:val="00894FBE"/>
    <w:rsid w:val="0089536D"/>
    <w:rsid w:val="00895578"/>
    <w:rsid w:val="00895EFD"/>
    <w:rsid w:val="00896958"/>
    <w:rsid w:val="00896E4C"/>
    <w:rsid w:val="00897491"/>
    <w:rsid w:val="008A00C4"/>
    <w:rsid w:val="008A0AB5"/>
    <w:rsid w:val="008A0B02"/>
    <w:rsid w:val="008A24AC"/>
    <w:rsid w:val="008A2848"/>
    <w:rsid w:val="008A2E31"/>
    <w:rsid w:val="008A2E4C"/>
    <w:rsid w:val="008A43AC"/>
    <w:rsid w:val="008A4F7B"/>
    <w:rsid w:val="008A6367"/>
    <w:rsid w:val="008A684B"/>
    <w:rsid w:val="008A6F44"/>
    <w:rsid w:val="008A7052"/>
    <w:rsid w:val="008A73B2"/>
    <w:rsid w:val="008A774E"/>
    <w:rsid w:val="008B03E8"/>
    <w:rsid w:val="008B0E85"/>
    <w:rsid w:val="008B21E9"/>
    <w:rsid w:val="008B28F9"/>
    <w:rsid w:val="008B2CDB"/>
    <w:rsid w:val="008B2DA3"/>
    <w:rsid w:val="008B3CE3"/>
    <w:rsid w:val="008B3DDA"/>
    <w:rsid w:val="008B4FEC"/>
    <w:rsid w:val="008B5525"/>
    <w:rsid w:val="008B60DC"/>
    <w:rsid w:val="008B69C3"/>
    <w:rsid w:val="008B7027"/>
    <w:rsid w:val="008C0285"/>
    <w:rsid w:val="008C06B9"/>
    <w:rsid w:val="008C06DB"/>
    <w:rsid w:val="008C0CDB"/>
    <w:rsid w:val="008C2748"/>
    <w:rsid w:val="008C31F0"/>
    <w:rsid w:val="008C35EA"/>
    <w:rsid w:val="008C4517"/>
    <w:rsid w:val="008C4731"/>
    <w:rsid w:val="008C4B70"/>
    <w:rsid w:val="008C568A"/>
    <w:rsid w:val="008C6712"/>
    <w:rsid w:val="008C7F44"/>
    <w:rsid w:val="008D0203"/>
    <w:rsid w:val="008D0F45"/>
    <w:rsid w:val="008D31B8"/>
    <w:rsid w:val="008D3680"/>
    <w:rsid w:val="008D54D7"/>
    <w:rsid w:val="008D585D"/>
    <w:rsid w:val="008D633A"/>
    <w:rsid w:val="008D6801"/>
    <w:rsid w:val="008D7764"/>
    <w:rsid w:val="008E0B71"/>
    <w:rsid w:val="008E0B77"/>
    <w:rsid w:val="008E1004"/>
    <w:rsid w:val="008E1E74"/>
    <w:rsid w:val="008E293A"/>
    <w:rsid w:val="008E2B86"/>
    <w:rsid w:val="008E3728"/>
    <w:rsid w:val="008E40CC"/>
    <w:rsid w:val="008E64AF"/>
    <w:rsid w:val="008E6AB1"/>
    <w:rsid w:val="008E6B45"/>
    <w:rsid w:val="008F0DEC"/>
    <w:rsid w:val="008F15C3"/>
    <w:rsid w:val="008F20D1"/>
    <w:rsid w:val="008F28B6"/>
    <w:rsid w:val="008F2928"/>
    <w:rsid w:val="008F3D4C"/>
    <w:rsid w:val="008F3E51"/>
    <w:rsid w:val="008F428D"/>
    <w:rsid w:val="008F4D9C"/>
    <w:rsid w:val="008F625B"/>
    <w:rsid w:val="008F6744"/>
    <w:rsid w:val="008F6AAB"/>
    <w:rsid w:val="008F6E96"/>
    <w:rsid w:val="008F711F"/>
    <w:rsid w:val="008F7141"/>
    <w:rsid w:val="008F74CF"/>
    <w:rsid w:val="008F769E"/>
    <w:rsid w:val="008F7D57"/>
    <w:rsid w:val="009006AF"/>
    <w:rsid w:val="00900B3A"/>
    <w:rsid w:val="00901983"/>
    <w:rsid w:val="00901B09"/>
    <w:rsid w:val="0090200D"/>
    <w:rsid w:val="009020C0"/>
    <w:rsid w:val="009024AF"/>
    <w:rsid w:val="0090266B"/>
    <w:rsid w:val="00902A30"/>
    <w:rsid w:val="00903317"/>
    <w:rsid w:val="0090410A"/>
    <w:rsid w:val="00904567"/>
    <w:rsid w:val="009046A9"/>
    <w:rsid w:val="0090486A"/>
    <w:rsid w:val="0090632E"/>
    <w:rsid w:val="009074E6"/>
    <w:rsid w:val="00910A2A"/>
    <w:rsid w:val="00910BD2"/>
    <w:rsid w:val="00911EF9"/>
    <w:rsid w:val="00912862"/>
    <w:rsid w:val="00912B86"/>
    <w:rsid w:val="00914D1B"/>
    <w:rsid w:val="00914EC2"/>
    <w:rsid w:val="009151D2"/>
    <w:rsid w:val="00915273"/>
    <w:rsid w:val="009160C4"/>
    <w:rsid w:val="009167E9"/>
    <w:rsid w:val="00920669"/>
    <w:rsid w:val="00920F73"/>
    <w:rsid w:val="00921393"/>
    <w:rsid w:val="00922135"/>
    <w:rsid w:val="00922CC6"/>
    <w:rsid w:val="00922EE6"/>
    <w:rsid w:val="0092387B"/>
    <w:rsid w:val="00923A67"/>
    <w:rsid w:val="00924EE5"/>
    <w:rsid w:val="00927643"/>
    <w:rsid w:val="00930499"/>
    <w:rsid w:val="00930B1D"/>
    <w:rsid w:val="00931181"/>
    <w:rsid w:val="0093131E"/>
    <w:rsid w:val="00931E84"/>
    <w:rsid w:val="00932098"/>
    <w:rsid w:val="00932347"/>
    <w:rsid w:val="00932349"/>
    <w:rsid w:val="009323BF"/>
    <w:rsid w:val="0093264F"/>
    <w:rsid w:val="00933054"/>
    <w:rsid w:val="009333CC"/>
    <w:rsid w:val="00933E39"/>
    <w:rsid w:val="00933E74"/>
    <w:rsid w:val="00937BFD"/>
    <w:rsid w:val="00940F35"/>
    <w:rsid w:val="00941E94"/>
    <w:rsid w:val="00941F7F"/>
    <w:rsid w:val="00942344"/>
    <w:rsid w:val="009429FB"/>
    <w:rsid w:val="00942D4B"/>
    <w:rsid w:val="00945890"/>
    <w:rsid w:val="0094677D"/>
    <w:rsid w:val="00947757"/>
    <w:rsid w:val="009501EC"/>
    <w:rsid w:val="00950377"/>
    <w:rsid w:val="009513E6"/>
    <w:rsid w:val="00953959"/>
    <w:rsid w:val="00953EF9"/>
    <w:rsid w:val="009578B9"/>
    <w:rsid w:val="00957A8E"/>
    <w:rsid w:val="00957B18"/>
    <w:rsid w:val="00961083"/>
    <w:rsid w:val="00961706"/>
    <w:rsid w:val="00962515"/>
    <w:rsid w:val="00962C2B"/>
    <w:rsid w:val="009637DF"/>
    <w:rsid w:val="0096433C"/>
    <w:rsid w:val="00965905"/>
    <w:rsid w:val="00966CA2"/>
    <w:rsid w:val="00967704"/>
    <w:rsid w:val="009677B9"/>
    <w:rsid w:val="00967B0C"/>
    <w:rsid w:val="00970ACE"/>
    <w:rsid w:val="00970B8E"/>
    <w:rsid w:val="00971D41"/>
    <w:rsid w:val="009722C0"/>
    <w:rsid w:val="00972E13"/>
    <w:rsid w:val="00972E5E"/>
    <w:rsid w:val="00973022"/>
    <w:rsid w:val="0097368B"/>
    <w:rsid w:val="0097392E"/>
    <w:rsid w:val="009746AA"/>
    <w:rsid w:val="00974757"/>
    <w:rsid w:val="00974FB9"/>
    <w:rsid w:val="00975DE5"/>
    <w:rsid w:val="00976272"/>
    <w:rsid w:val="009763D7"/>
    <w:rsid w:val="00976817"/>
    <w:rsid w:val="00976DC9"/>
    <w:rsid w:val="00980F50"/>
    <w:rsid w:val="00981253"/>
    <w:rsid w:val="00981571"/>
    <w:rsid w:val="00981C2A"/>
    <w:rsid w:val="00983FAA"/>
    <w:rsid w:val="00984161"/>
    <w:rsid w:val="00985D6C"/>
    <w:rsid w:val="009872FC"/>
    <w:rsid w:val="009876CF"/>
    <w:rsid w:val="00987743"/>
    <w:rsid w:val="00987DC1"/>
    <w:rsid w:val="009905D3"/>
    <w:rsid w:val="00990D8F"/>
    <w:rsid w:val="00991803"/>
    <w:rsid w:val="00991CC3"/>
    <w:rsid w:val="00992AD1"/>
    <w:rsid w:val="00993330"/>
    <w:rsid w:val="00993601"/>
    <w:rsid w:val="009936F2"/>
    <w:rsid w:val="00993A75"/>
    <w:rsid w:val="00993EBF"/>
    <w:rsid w:val="0099444C"/>
    <w:rsid w:val="0099476B"/>
    <w:rsid w:val="00994925"/>
    <w:rsid w:val="00994DB9"/>
    <w:rsid w:val="0099683A"/>
    <w:rsid w:val="009A176C"/>
    <w:rsid w:val="009A1A60"/>
    <w:rsid w:val="009A276A"/>
    <w:rsid w:val="009A2C4B"/>
    <w:rsid w:val="009A3FD1"/>
    <w:rsid w:val="009A471A"/>
    <w:rsid w:val="009A581B"/>
    <w:rsid w:val="009A668D"/>
    <w:rsid w:val="009A7BB0"/>
    <w:rsid w:val="009B08E5"/>
    <w:rsid w:val="009B1090"/>
    <w:rsid w:val="009B14FE"/>
    <w:rsid w:val="009B1E8E"/>
    <w:rsid w:val="009B23FE"/>
    <w:rsid w:val="009B2416"/>
    <w:rsid w:val="009B2F62"/>
    <w:rsid w:val="009B4326"/>
    <w:rsid w:val="009B439B"/>
    <w:rsid w:val="009B5970"/>
    <w:rsid w:val="009B628C"/>
    <w:rsid w:val="009B6F6B"/>
    <w:rsid w:val="009B7BC8"/>
    <w:rsid w:val="009C12DE"/>
    <w:rsid w:val="009C1497"/>
    <w:rsid w:val="009C18E9"/>
    <w:rsid w:val="009C24FB"/>
    <w:rsid w:val="009C2CD5"/>
    <w:rsid w:val="009C3088"/>
    <w:rsid w:val="009C3E7C"/>
    <w:rsid w:val="009C493D"/>
    <w:rsid w:val="009C4AF2"/>
    <w:rsid w:val="009C51C4"/>
    <w:rsid w:val="009C5A10"/>
    <w:rsid w:val="009C5CC5"/>
    <w:rsid w:val="009C604C"/>
    <w:rsid w:val="009C66A5"/>
    <w:rsid w:val="009C6829"/>
    <w:rsid w:val="009C6AA2"/>
    <w:rsid w:val="009C6B11"/>
    <w:rsid w:val="009C7738"/>
    <w:rsid w:val="009C7DF6"/>
    <w:rsid w:val="009D044B"/>
    <w:rsid w:val="009D0455"/>
    <w:rsid w:val="009D116E"/>
    <w:rsid w:val="009D3C7A"/>
    <w:rsid w:val="009D49F9"/>
    <w:rsid w:val="009D4D76"/>
    <w:rsid w:val="009D4EC3"/>
    <w:rsid w:val="009D5329"/>
    <w:rsid w:val="009D5C8C"/>
    <w:rsid w:val="009D6FD3"/>
    <w:rsid w:val="009E0F0D"/>
    <w:rsid w:val="009E0F84"/>
    <w:rsid w:val="009E1348"/>
    <w:rsid w:val="009E13C0"/>
    <w:rsid w:val="009E16B6"/>
    <w:rsid w:val="009E2788"/>
    <w:rsid w:val="009E3177"/>
    <w:rsid w:val="009E3BC4"/>
    <w:rsid w:val="009E3F80"/>
    <w:rsid w:val="009E455F"/>
    <w:rsid w:val="009E6259"/>
    <w:rsid w:val="009E759B"/>
    <w:rsid w:val="009F0628"/>
    <w:rsid w:val="009F0BA3"/>
    <w:rsid w:val="009F0EE6"/>
    <w:rsid w:val="009F225B"/>
    <w:rsid w:val="009F2557"/>
    <w:rsid w:val="009F2BF9"/>
    <w:rsid w:val="009F33DF"/>
    <w:rsid w:val="009F53BC"/>
    <w:rsid w:val="009F551F"/>
    <w:rsid w:val="009F61C6"/>
    <w:rsid w:val="009F625C"/>
    <w:rsid w:val="009F6CF4"/>
    <w:rsid w:val="009F6D76"/>
    <w:rsid w:val="00A0151C"/>
    <w:rsid w:val="00A02F0E"/>
    <w:rsid w:val="00A02F95"/>
    <w:rsid w:val="00A0342B"/>
    <w:rsid w:val="00A036C7"/>
    <w:rsid w:val="00A037E4"/>
    <w:rsid w:val="00A03AFC"/>
    <w:rsid w:val="00A05AE3"/>
    <w:rsid w:val="00A05D99"/>
    <w:rsid w:val="00A108FE"/>
    <w:rsid w:val="00A10937"/>
    <w:rsid w:val="00A110D1"/>
    <w:rsid w:val="00A112C4"/>
    <w:rsid w:val="00A121CC"/>
    <w:rsid w:val="00A12713"/>
    <w:rsid w:val="00A12DB0"/>
    <w:rsid w:val="00A13548"/>
    <w:rsid w:val="00A13A20"/>
    <w:rsid w:val="00A13A96"/>
    <w:rsid w:val="00A14068"/>
    <w:rsid w:val="00A14445"/>
    <w:rsid w:val="00A154D8"/>
    <w:rsid w:val="00A15DFE"/>
    <w:rsid w:val="00A16064"/>
    <w:rsid w:val="00A160E2"/>
    <w:rsid w:val="00A17339"/>
    <w:rsid w:val="00A17CA0"/>
    <w:rsid w:val="00A17D4C"/>
    <w:rsid w:val="00A2012A"/>
    <w:rsid w:val="00A21BD4"/>
    <w:rsid w:val="00A22044"/>
    <w:rsid w:val="00A221B9"/>
    <w:rsid w:val="00A22871"/>
    <w:rsid w:val="00A23B83"/>
    <w:rsid w:val="00A2412D"/>
    <w:rsid w:val="00A24584"/>
    <w:rsid w:val="00A25049"/>
    <w:rsid w:val="00A25D4E"/>
    <w:rsid w:val="00A26205"/>
    <w:rsid w:val="00A262FF"/>
    <w:rsid w:val="00A263AD"/>
    <w:rsid w:val="00A269D0"/>
    <w:rsid w:val="00A30AA0"/>
    <w:rsid w:val="00A32961"/>
    <w:rsid w:val="00A33445"/>
    <w:rsid w:val="00A3398B"/>
    <w:rsid w:val="00A3440D"/>
    <w:rsid w:val="00A35F76"/>
    <w:rsid w:val="00A36289"/>
    <w:rsid w:val="00A37577"/>
    <w:rsid w:val="00A37DAC"/>
    <w:rsid w:val="00A40ED5"/>
    <w:rsid w:val="00A411A2"/>
    <w:rsid w:val="00A41767"/>
    <w:rsid w:val="00A417D6"/>
    <w:rsid w:val="00A41938"/>
    <w:rsid w:val="00A41FCF"/>
    <w:rsid w:val="00A42361"/>
    <w:rsid w:val="00A4387D"/>
    <w:rsid w:val="00A44777"/>
    <w:rsid w:val="00A44F63"/>
    <w:rsid w:val="00A45037"/>
    <w:rsid w:val="00A45DC5"/>
    <w:rsid w:val="00A461FE"/>
    <w:rsid w:val="00A46614"/>
    <w:rsid w:val="00A47F45"/>
    <w:rsid w:val="00A5039B"/>
    <w:rsid w:val="00A50AAF"/>
    <w:rsid w:val="00A511B4"/>
    <w:rsid w:val="00A51B2F"/>
    <w:rsid w:val="00A51BE1"/>
    <w:rsid w:val="00A51DA3"/>
    <w:rsid w:val="00A52543"/>
    <w:rsid w:val="00A5256E"/>
    <w:rsid w:val="00A52BCF"/>
    <w:rsid w:val="00A53B2B"/>
    <w:rsid w:val="00A53DB5"/>
    <w:rsid w:val="00A546A1"/>
    <w:rsid w:val="00A54FF5"/>
    <w:rsid w:val="00A556F9"/>
    <w:rsid w:val="00A55C54"/>
    <w:rsid w:val="00A56216"/>
    <w:rsid w:val="00A60DDD"/>
    <w:rsid w:val="00A623D4"/>
    <w:rsid w:val="00A62B95"/>
    <w:rsid w:val="00A63493"/>
    <w:rsid w:val="00A6397C"/>
    <w:rsid w:val="00A63E6D"/>
    <w:rsid w:val="00A640FD"/>
    <w:rsid w:val="00A64403"/>
    <w:rsid w:val="00A65299"/>
    <w:rsid w:val="00A660A0"/>
    <w:rsid w:val="00A6644D"/>
    <w:rsid w:val="00A67210"/>
    <w:rsid w:val="00A70B80"/>
    <w:rsid w:val="00A70DCD"/>
    <w:rsid w:val="00A71210"/>
    <w:rsid w:val="00A71D63"/>
    <w:rsid w:val="00A721A1"/>
    <w:rsid w:val="00A7334B"/>
    <w:rsid w:val="00A736A1"/>
    <w:rsid w:val="00A73A0A"/>
    <w:rsid w:val="00A73B17"/>
    <w:rsid w:val="00A73C3B"/>
    <w:rsid w:val="00A74021"/>
    <w:rsid w:val="00A7441B"/>
    <w:rsid w:val="00A74621"/>
    <w:rsid w:val="00A74914"/>
    <w:rsid w:val="00A76C30"/>
    <w:rsid w:val="00A80946"/>
    <w:rsid w:val="00A80FFD"/>
    <w:rsid w:val="00A81683"/>
    <w:rsid w:val="00A81879"/>
    <w:rsid w:val="00A8219C"/>
    <w:rsid w:val="00A8220E"/>
    <w:rsid w:val="00A82276"/>
    <w:rsid w:val="00A82436"/>
    <w:rsid w:val="00A826EF"/>
    <w:rsid w:val="00A82D19"/>
    <w:rsid w:val="00A84818"/>
    <w:rsid w:val="00A855B9"/>
    <w:rsid w:val="00A85671"/>
    <w:rsid w:val="00A86933"/>
    <w:rsid w:val="00A86ADA"/>
    <w:rsid w:val="00A9072F"/>
    <w:rsid w:val="00A90CF6"/>
    <w:rsid w:val="00A90CFA"/>
    <w:rsid w:val="00A90FAB"/>
    <w:rsid w:val="00A913F1"/>
    <w:rsid w:val="00A91F4D"/>
    <w:rsid w:val="00A92008"/>
    <w:rsid w:val="00A93190"/>
    <w:rsid w:val="00A93C30"/>
    <w:rsid w:val="00A9519C"/>
    <w:rsid w:val="00A96182"/>
    <w:rsid w:val="00A96DC2"/>
    <w:rsid w:val="00A96F6D"/>
    <w:rsid w:val="00A97AC1"/>
    <w:rsid w:val="00AA0B68"/>
    <w:rsid w:val="00AA0CA4"/>
    <w:rsid w:val="00AA1C72"/>
    <w:rsid w:val="00AA23D7"/>
    <w:rsid w:val="00AA2840"/>
    <w:rsid w:val="00AA2CF2"/>
    <w:rsid w:val="00AA31FE"/>
    <w:rsid w:val="00AA321F"/>
    <w:rsid w:val="00AA3D27"/>
    <w:rsid w:val="00AA43ED"/>
    <w:rsid w:val="00AA454F"/>
    <w:rsid w:val="00AA4632"/>
    <w:rsid w:val="00AA4669"/>
    <w:rsid w:val="00AA55B6"/>
    <w:rsid w:val="00AA61EE"/>
    <w:rsid w:val="00AA63BC"/>
    <w:rsid w:val="00AA6852"/>
    <w:rsid w:val="00AB0721"/>
    <w:rsid w:val="00AB09B9"/>
    <w:rsid w:val="00AB0B6F"/>
    <w:rsid w:val="00AB156D"/>
    <w:rsid w:val="00AB2226"/>
    <w:rsid w:val="00AB2CFD"/>
    <w:rsid w:val="00AB2EB5"/>
    <w:rsid w:val="00AB3562"/>
    <w:rsid w:val="00AB4AFE"/>
    <w:rsid w:val="00AB4E86"/>
    <w:rsid w:val="00AB57AD"/>
    <w:rsid w:val="00AB67C4"/>
    <w:rsid w:val="00AB7C6D"/>
    <w:rsid w:val="00AC0E59"/>
    <w:rsid w:val="00AC1FE9"/>
    <w:rsid w:val="00AC2C99"/>
    <w:rsid w:val="00AC2D0C"/>
    <w:rsid w:val="00AC3337"/>
    <w:rsid w:val="00AC3A0F"/>
    <w:rsid w:val="00AC3A7C"/>
    <w:rsid w:val="00AC5A99"/>
    <w:rsid w:val="00AC5F81"/>
    <w:rsid w:val="00AC5FF7"/>
    <w:rsid w:val="00AC6107"/>
    <w:rsid w:val="00AD019D"/>
    <w:rsid w:val="00AD04B8"/>
    <w:rsid w:val="00AD08F4"/>
    <w:rsid w:val="00AD0DD6"/>
    <w:rsid w:val="00AD0F1C"/>
    <w:rsid w:val="00AD1CFA"/>
    <w:rsid w:val="00AD33D7"/>
    <w:rsid w:val="00AD3801"/>
    <w:rsid w:val="00AD3E84"/>
    <w:rsid w:val="00AD461B"/>
    <w:rsid w:val="00AD5214"/>
    <w:rsid w:val="00AE054F"/>
    <w:rsid w:val="00AE0A3E"/>
    <w:rsid w:val="00AE136A"/>
    <w:rsid w:val="00AE138A"/>
    <w:rsid w:val="00AE1634"/>
    <w:rsid w:val="00AE18EF"/>
    <w:rsid w:val="00AE193B"/>
    <w:rsid w:val="00AE1CA8"/>
    <w:rsid w:val="00AE1E13"/>
    <w:rsid w:val="00AE3AFA"/>
    <w:rsid w:val="00AE42B7"/>
    <w:rsid w:val="00AE4DFB"/>
    <w:rsid w:val="00AE4F90"/>
    <w:rsid w:val="00AE5209"/>
    <w:rsid w:val="00AE5588"/>
    <w:rsid w:val="00AE5DF8"/>
    <w:rsid w:val="00AE6DD5"/>
    <w:rsid w:val="00AE7736"/>
    <w:rsid w:val="00AF0DCA"/>
    <w:rsid w:val="00AF1275"/>
    <w:rsid w:val="00AF1556"/>
    <w:rsid w:val="00AF1697"/>
    <w:rsid w:val="00AF1E39"/>
    <w:rsid w:val="00AF24A3"/>
    <w:rsid w:val="00AF28EB"/>
    <w:rsid w:val="00AF2E06"/>
    <w:rsid w:val="00AF314B"/>
    <w:rsid w:val="00AF4071"/>
    <w:rsid w:val="00AF5651"/>
    <w:rsid w:val="00AF5919"/>
    <w:rsid w:val="00AF595E"/>
    <w:rsid w:val="00AF6053"/>
    <w:rsid w:val="00AF651D"/>
    <w:rsid w:val="00AF691E"/>
    <w:rsid w:val="00AF6DB8"/>
    <w:rsid w:val="00AF742C"/>
    <w:rsid w:val="00AF7913"/>
    <w:rsid w:val="00AF7AFB"/>
    <w:rsid w:val="00AF7E51"/>
    <w:rsid w:val="00AF7F47"/>
    <w:rsid w:val="00B00438"/>
    <w:rsid w:val="00B005B7"/>
    <w:rsid w:val="00B01CE8"/>
    <w:rsid w:val="00B01ED1"/>
    <w:rsid w:val="00B0242C"/>
    <w:rsid w:val="00B028F2"/>
    <w:rsid w:val="00B02FE5"/>
    <w:rsid w:val="00B05550"/>
    <w:rsid w:val="00B0707D"/>
    <w:rsid w:val="00B07653"/>
    <w:rsid w:val="00B10278"/>
    <w:rsid w:val="00B103A0"/>
    <w:rsid w:val="00B10B99"/>
    <w:rsid w:val="00B110B0"/>
    <w:rsid w:val="00B11F63"/>
    <w:rsid w:val="00B13BC5"/>
    <w:rsid w:val="00B14381"/>
    <w:rsid w:val="00B14828"/>
    <w:rsid w:val="00B14D15"/>
    <w:rsid w:val="00B14E33"/>
    <w:rsid w:val="00B1527C"/>
    <w:rsid w:val="00B15323"/>
    <w:rsid w:val="00B15B7D"/>
    <w:rsid w:val="00B15CBE"/>
    <w:rsid w:val="00B16107"/>
    <w:rsid w:val="00B1758A"/>
    <w:rsid w:val="00B17771"/>
    <w:rsid w:val="00B200CB"/>
    <w:rsid w:val="00B2018D"/>
    <w:rsid w:val="00B20F03"/>
    <w:rsid w:val="00B20F19"/>
    <w:rsid w:val="00B2158F"/>
    <w:rsid w:val="00B21BA2"/>
    <w:rsid w:val="00B22928"/>
    <w:rsid w:val="00B22EC3"/>
    <w:rsid w:val="00B24C1C"/>
    <w:rsid w:val="00B2553C"/>
    <w:rsid w:val="00B26CB8"/>
    <w:rsid w:val="00B27830"/>
    <w:rsid w:val="00B27B43"/>
    <w:rsid w:val="00B27C03"/>
    <w:rsid w:val="00B308AD"/>
    <w:rsid w:val="00B314BF"/>
    <w:rsid w:val="00B319B1"/>
    <w:rsid w:val="00B323C3"/>
    <w:rsid w:val="00B324B3"/>
    <w:rsid w:val="00B3282D"/>
    <w:rsid w:val="00B32A6F"/>
    <w:rsid w:val="00B33E69"/>
    <w:rsid w:val="00B34390"/>
    <w:rsid w:val="00B3450E"/>
    <w:rsid w:val="00B34524"/>
    <w:rsid w:val="00B34CF5"/>
    <w:rsid w:val="00B35507"/>
    <w:rsid w:val="00B3576B"/>
    <w:rsid w:val="00B357EF"/>
    <w:rsid w:val="00B35EEE"/>
    <w:rsid w:val="00B36C3E"/>
    <w:rsid w:val="00B37398"/>
    <w:rsid w:val="00B37F1D"/>
    <w:rsid w:val="00B401DC"/>
    <w:rsid w:val="00B4054D"/>
    <w:rsid w:val="00B40E11"/>
    <w:rsid w:val="00B40F1C"/>
    <w:rsid w:val="00B41662"/>
    <w:rsid w:val="00B429E9"/>
    <w:rsid w:val="00B42C7E"/>
    <w:rsid w:val="00B431CA"/>
    <w:rsid w:val="00B434DC"/>
    <w:rsid w:val="00B43CBF"/>
    <w:rsid w:val="00B43F55"/>
    <w:rsid w:val="00B4447D"/>
    <w:rsid w:val="00B44C66"/>
    <w:rsid w:val="00B44EAA"/>
    <w:rsid w:val="00B45474"/>
    <w:rsid w:val="00B454AE"/>
    <w:rsid w:val="00B46B95"/>
    <w:rsid w:val="00B47DFD"/>
    <w:rsid w:val="00B50817"/>
    <w:rsid w:val="00B50AC1"/>
    <w:rsid w:val="00B50DAB"/>
    <w:rsid w:val="00B51E7E"/>
    <w:rsid w:val="00B52B36"/>
    <w:rsid w:val="00B53178"/>
    <w:rsid w:val="00B53CBE"/>
    <w:rsid w:val="00B53F0B"/>
    <w:rsid w:val="00B53F1F"/>
    <w:rsid w:val="00B5408B"/>
    <w:rsid w:val="00B5441B"/>
    <w:rsid w:val="00B5459F"/>
    <w:rsid w:val="00B547AD"/>
    <w:rsid w:val="00B557EB"/>
    <w:rsid w:val="00B55CFE"/>
    <w:rsid w:val="00B56039"/>
    <w:rsid w:val="00B5628F"/>
    <w:rsid w:val="00B578C0"/>
    <w:rsid w:val="00B61263"/>
    <w:rsid w:val="00B61A62"/>
    <w:rsid w:val="00B62574"/>
    <w:rsid w:val="00B62686"/>
    <w:rsid w:val="00B629E4"/>
    <w:rsid w:val="00B633E3"/>
    <w:rsid w:val="00B636EE"/>
    <w:rsid w:val="00B645AC"/>
    <w:rsid w:val="00B64E18"/>
    <w:rsid w:val="00B64FD5"/>
    <w:rsid w:val="00B6595F"/>
    <w:rsid w:val="00B65A62"/>
    <w:rsid w:val="00B66CFD"/>
    <w:rsid w:val="00B673B0"/>
    <w:rsid w:val="00B7451E"/>
    <w:rsid w:val="00B75298"/>
    <w:rsid w:val="00B75EB1"/>
    <w:rsid w:val="00B76615"/>
    <w:rsid w:val="00B7746D"/>
    <w:rsid w:val="00B77857"/>
    <w:rsid w:val="00B77C63"/>
    <w:rsid w:val="00B80033"/>
    <w:rsid w:val="00B80771"/>
    <w:rsid w:val="00B82180"/>
    <w:rsid w:val="00B826CB"/>
    <w:rsid w:val="00B8373D"/>
    <w:rsid w:val="00B85479"/>
    <w:rsid w:val="00B8576F"/>
    <w:rsid w:val="00B86F29"/>
    <w:rsid w:val="00B87450"/>
    <w:rsid w:val="00B87FCF"/>
    <w:rsid w:val="00B92356"/>
    <w:rsid w:val="00B92A05"/>
    <w:rsid w:val="00B9347E"/>
    <w:rsid w:val="00B938D5"/>
    <w:rsid w:val="00B947C1"/>
    <w:rsid w:val="00B95D15"/>
    <w:rsid w:val="00B961C8"/>
    <w:rsid w:val="00BA0660"/>
    <w:rsid w:val="00BA07F0"/>
    <w:rsid w:val="00BA0B20"/>
    <w:rsid w:val="00BA0BE3"/>
    <w:rsid w:val="00BA1246"/>
    <w:rsid w:val="00BA13FF"/>
    <w:rsid w:val="00BA218B"/>
    <w:rsid w:val="00BA2318"/>
    <w:rsid w:val="00BA311E"/>
    <w:rsid w:val="00BA44CC"/>
    <w:rsid w:val="00BA52E2"/>
    <w:rsid w:val="00BA5575"/>
    <w:rsid w:val="00BA5AE5"/>
    <w:rsid w:val="00BA5CA5"/>
    <w:rsid w:val="00BA5E75"/>
    <w:rsid w:val="00BA64BB"/>
    <w:rsid w:val="00BA67C4"/>
    <w:rsid w:val="00BA7048"/>
    <w:rsid w:val="00BA7A50"/>
    <w:rsid w:val="00BA7C63"/>
    <w:rsid w:val="00BB0320"/>
    <w:rsid w:val="00BB121E"/>
    <w:rsid w:val="00BB136E"/>
    <w:rsid w:val="00BB1A48"/>
    <w:rsid w:val="00BB22B1"/>
    <w:rsid w:val="00BB2CD8"/>
    <w:rsid w:val="00BB3F22"/>
    <w:rsid w:val="00BB4FB7"/>
    <w:rsid w:val="00BB546A"/>
    <w:rsid w:val="00BB555F"/>
    <w:rsid w:val="00BB5EBF"/>
    <w:rsid w:val="00BB6CF0"/>
    <w:rsid w:val="00BB7B21"/>
    <w:rsid w:val="00BB7C33"/>
    <w:rsid w:val="00BC040B"/>
    <w:rsid w:val="00BC0986"/>
    <w:rsid w:val="00BC0CD2"/>
    <w:rsid w:val="00BC1890"/>
    <w:rsid w:val="00BC1B5D"/>
    <w:rsid w:val="00BC208E"/>
    <w:rsid w:val="00BC2155"/>
    <w:rsid w:val="00BC2538"/>
    <w:rsid w:val="00BC3C7E"/>
    <w:rsid w:val="00BC4AF7"/>
    <w:rsid w:val="00BC60A4"/>
    <w:rsid w:val="00BC669B"/>
    <w:rsid w:val="00BC733D"/>
    <w:rsid w:val="00BC7EE0"/>
    <w:rsid w:val="00BD0499"/>
    <w:rsid w:val="00BD05CB"/>
    <w:rsid w:val="00BD0AEF"/>
    <w:rsid w:val="00BD0E21"/>
    <w:rsid w:val="00BD133E"/>
    <w:rsid w:val="00BD14C1"/>
    <w:rsid w:val="00BD16EA"/>
    <w:rsid w:val="00BD1D32"/>
    <w:rsid w:val="00BD1DEB"/>
    <w:rsid w:val="00BD2A64"/>
    <w:rsid w:val="00BD39F8"/>
    <w:rsid w:val="00BD4166"/>
    <w:rsid w:val="00BD4B54"/>
    <w:rsid w:val="00BD4BED"/>
    <w:rsid w:val="00BD55D1"/>
    <w:rsid w:val="00BD65A4"/>
    <w:rsid w:val="00BD66F3"/>
    <w:rsid w:val="00BD6B28"/>
    <w:rsid w:val="00BD7DC2"/>
    <w:rsid w:val="00BE1E12"/>
    <w:rsid w:val="00BE2297"/>
    <w:rsid w:val="00BE3A1D"/>
    <w:rsid w:val="00BE520C"/>
    <w:rsid w:val="00BE5318"/>
    <w:rsid w:val="00BE6894"/>
    <w:rsid w:val="00BE68E2"/>
    <w:rsid w:val="00BE7071"/>
    <w:rsid w:val="00BE7698"/>
    <w:rsid w:val="00BE7795"/>
    <w:rsid w:val="00BF0999"/>
    <w:rsid w:val="00BF0A6E"/>
    <w:rsid w:val="00BF0C69"/>
    <w:rsid w:val="00BF1A0B"/>
    <w:rsid w:val="00BF22EC"/>
    <w:rsid w:val="00BF313F"/>
    <w:rsid w:val="00BF3621"/>
    <w:rsid w:val="00BF3CD3"/>
    <w:rsid w:val="00BF3E1A"/>
    <w:rsid w:val="00BF42E5"/>
    <w:rsid w:val="00BF4986"/>
    <w:rsid w:val="00BF49AF"/>
    <w:rsid w:val="00BF57FE"/>
    <w:rsid w:val="00BF6C67"/>
    <w:rsid w:val="00BF7262"/>
    <w:rsid w:val="00BF7A5C"/>
    <w:rsid w:val="00BF7C6E"/>
    <w:rsid w:val="00C002F3"/>
    <w:rsid w:val="00C0412F"/>
    <w:rsid w:val="00C047E4"/>
    <w:rsid w:val="00C0487D"/>
    <w:rsid w:val="00C06A71"/>
    <w:rsid w:val="00C078AF"/>
    <w:rsid w:val="00C07C7F"/>
    <w:rsid w:val="00C10418"/>
    <w:rsid w:val="00C1099E"/>
    <w:rsid w:val="00C10B2F"/>
    <w:rsid w:val="00C10DAE"/>
    <w:rsid w:val="00C11169"/>
    <w:rsid w:val="00C11496"/>
    <w:rsid w:val="00C13856"/>
    <w:rsid w:val="00C13A7D"/>
    <w:rsid w:val="00C14B9B"/>
    <w:rsid w:val="00C150BE"/>
    <w:rsid w:val="00C15153"/>
    <w:rsid w:val="00C15DC7"/>
    <w:rsid w:val="00C17252"/>
    <w:rsid w:val="00C173A8"/>
    <w:rsid w:val="00C17B83"/>
    <w:rsid w:val="00C223EC"/>
    <w:rsid w:val="00C229DA"/>
    <w:rsid w:val="00C22EF5"/>
    <w:rsid w:val="00C2424C"/>
    <w:rsid w:val="00C25370"/>
    <w:rsid w:val="00C2634E"/>
    <w:rsid w:val="00C31254"/>
    <w:rsid w:val="00C32049"/>
    <w:rsid w:val="00C3258E"/>
    <w:rsid w:val="00C328B8"/>
    <w:rsid w:val="00C32C7D"/>
    <w:rsid w:val="00C32DE0"/>
    <w:rsid w:val="00C32E92"/>
    <w:rsid w:val="00C336CA"/>
    <w:rsid w:val="00C33DB1"/>
    <w:rsid w:val="00C341AE"/>
    <w:rsid w:val="00C35EDD"/>
    <w:rsid w:val="00C36779"/>
    <w:rsid w:val="00C402D3"/>
    <w:rsid w:val="00C415D9"/>
    <w:rsid w:val="00C434CD"/>
    <w:rsid w:val="00C44738"/>
    <w:rsid w:val="00C4490F"/>
    <w:rsid w:val="00C45156"/>
    <w:rsid w:val="00C46391"/>
    <w:rsid w:val="00C514F4"/>
    <w:rsid w:val="00C51F04"/>
    <w:rsid w:val="00C5204F"/>
    <w:rsid w:val="00C523E4"/>
    <w:rsid w:val="00C5250B"/>
    <w:rsid w:val="00C53E71"/>
    <w:rsid w:val="00C558C4"/>
    <w:rsid w:val="00C56C6E"/>
    <w:rsid w:val="00C56F03"/>
    <w:rsid w:val="00C60385"/>
    <w:rsid w:val="00C60481"/>
    <w:rsid w:val="00C60CE1"/>
    <w:rsid w:val="00C62E1E"/>
    <w:rsid w:val="00C633DB"/>
    <w:rsid w:val="00C641A5"/>
    <w:rsid w:val="00C648EE"/>
    <w:rsid w:val="00C64913"/>
    <w:rsid w:val="00C65040"/>
    <w:rsid w:val="00C65746"/>
    <w:rsid w:val="00C6625C"/>
    <w:rsid w:val="00C6686B"/>
    <w:rsid w:val="00C671B7"/>
    <w:rsid w:val="00C7132B"/>
    <w:rsid w:val="00C717D0"/>
    <w:rsid w:val="00C720B5"/>
    <w:rsid w:val="00C72556"/>
    <w:rsid w:val="00C72893"/>
    <w:rsid w:val="00C72BDE"/>
    <w:rsid w:val="00C73629"/>
    <w:rsid w:val="00C73DCF"/>
    <w:rsid w:val="00C74099"/>
    <w:rsid w:val="00C74297"/>
    <w:rsid w:val="00C75421"/>
    <w:rsid w:val="00C76A5E"/>
    <w:rsid w:val="00C76B05"/>
    <w:rsid w:val="00C77D10"/>
    <w:rsid w:val="00C81173"/>
    <w:rsid w:val="00C817E6"/>
    <w:rsid w:val="00C824D0"/>
    <w:rsid w:val="00C8262C"/>
    <w:rsid w:val="00C83329"/>
    <w:rsid w:val="00C83B4F"/>
    <w:rsid w:val="00C83CED"/>
    <w:rsid w:val="00C83F0E"/>
    <w:rsid w:val="00C84C3C"/>
    <w:rsid w:val="00C8522B"/>
    <w:rsid w:val="00C854EE"/>
    <w:rsid w:val="00C85ACA"/>
    <w:rsid w:val="00C86538"/>
    <w:rsid w:val="00C865F6"/>
    <w:rsid w:val="00C86F24"/>
    <w:rsid w:val="00C87216"/>
    <w:rsid w:val="00C9001E"/>
    <w:rsid w:val="00C90E1A"/>
    <w:rsid w:val="00C9175D"/>
    <w:rsid w:val="00C9254F"/>
    <w:rsid w:val="00C92818"/>
    <w:rsid w:val="00C93298"/>
    <w:rsid w:val="00C940B7"/>
    <w:rsid w:val="00C9440F"/>
    <w:rsid w:val="00C9458D"/>
    <w:rsid w:val="00C949DB"/>
    <w:rsid w:val="00C950DA"/>
    <w:rsid w:val="00C951B8"/>
    <w:rsid w:val="00C95A51"/>
    <w:rsid w:val="00C95DAF"/>
    <w:rsid w:val="00C95F12"/>
    <w:rsid w:val="00C96570"/>
    <w:rsid w:val="00C97592"/>
    <w:rsid w:val="00C9777B"/>
    <w:rsid w:val="00C978E0"/>
    <w:rsid w:val="00C979FE"/>
    <w:rsid w:val="00CA1113"/>
    <w:rsid w:val="00CA1A86"/>
    <w:rsid w:val="00CA28F0"/>
    <w:rsid w:val="00CA2AB1"/>
    <w:rsid w:val="00CA30B1"/>
    <w:rsid w:val="00CA4921"/>
    <w:rsid w:val="00CA5483"/>
    <w:rsid w:val="00CA790E"/>
    <w:rsid w:val="00CA7C05"/>
    <w:rsid w:val="00CB0E03"/>
    <w:rsid w:val="00CB1888"/>
    <w:rsid w:val="00CB2663"/>
    <w:rsid w:val="00CB280A"/>
    <w:rsid w:val="00CB31F0"/>
    <w:rsid w:val="00CB363E"/>
    <w:rsid w:val="00CB43BE"/>
    <w:rsid w:val="00CB53D6"/>
    <w:rsid w:val="00CB5AE8"/>
    <w:rsid w:val="00CB5E75"/>
    <w:rsid w:val="00CB626B"/>
    <w:rsid w:val="00CB67A9"/>
    <w:rsid w:val="00CB6BBA"/>
    <w:rsid w:val="00CB6E16"/>
    <w:rsid w:val="00CC0926"/>
    <w:rsid w:val="00CC0FE9"/>
    <w:rsid w:val="00CC13D5"/>
    <w:rsid w:val="00CC18C2"/>
    <w:rsid w:val="00CC2335"/>
    <w:rsid w:val="00CC2B47"/>
    <w:rsid w:val="00CC4529"/>
    <w:rsid w:val="00CC4575"/>
    <w:rsid w:val="00CC69A0"/>
    <w:rsid w:val="00CC6B30"/>
    <w:rsid w:val="00CC72BA"/>
    <w:rsid w:val="00CC73E9"/>
    <w:rsid w:val="00CD0E25"/>
    <w:rsid w:val="00CD0FBD"/>
    <w:rsid w:val="00CD1CB3"/>
    <w:rsid w:val="00CD2173"/>
    <w:rsid w:val="00CD26C6"/>
    <w:rsid w:val="00CD27F2"/>
    <w:rsid w:val="00CD2E52"/>
    <w:rsid w:val="00CD4AAE"/>
    <w:rsid w:val="00CD615E"/>
    <w:rsid w:val="00CD6F45"/>
    <w:rsid w:val="00CD7D29"/>
    <w:rsid w:val="00CE14A1"/>
    <w:rsid w:val="00CE24A5"/>
    <w:rsid w:val="00CE24D0"/>
    <w:rsid w:val="00CE25CC"/>
    <w:rsid w:val="00CE2B03"/>
    <w:rsid w:val="00CE3126"/>
    <w:rsid w:val="00CE34BB"/>
    <w:rsid w:val="00CE36BC"/>
    <w:rsid w:val="00CE3F5A"/>
    <w:rsid w:val="00CE5777"/>
    <w:rsid w:val="00CE58C7"/>
    <w:rsid w:val="00CE5F30"/>
    <w:rsid w:val="00CE6E9F"/>
    <w:rsid w:val="00CE731E"/>
    <w:rsid w:val="00CF1B55"/>
    <w:rsid w:val="00CF22DC"/>
    <w:rsid w:val="00CF23AB"/>
    <w:rsid w:val="00CF27D5"/>
    <w:rsid w:val="00CF3412"/>
    <w:rsid w:val="00CF4CB2"/>
    <w:rsid w:val="00CF4D8A"/>
    <w:rsid w:val="00CF66AF"/>
    <w:rsid w:val="00CF6BF5"/>
    <w:rsid w:val="00CF7BB6"/>
    <w:rsid w:val="00D00439"/>
    <w:rsid w:val="00D02B07"/>
    <w:rsid w:val="00D033DA"/>
    <w:rsid w:val="00D03C20"/>
    <w:rsid w:val="00D04AA1"/>
    <w:rsid w:val="00D052D6"/>
    <w:rsid w:val="00D0588F"/>
    <w:rsid w:val="00D06F9E"/>
    <w:rsid w:val="00D07115"/>
    <w:rsid w:val="00D07A3E"/>
    <w:rsid w:val="00D07F26"/>
    <w:rsid w:val="00D07F8B"/>
    <w:rsid w:val="00D1052F"/>
    <w:rsid w:val="00D1061C"/>
    <w:rsid w:val="00D112CD"/>
    <w:rsid w:val="00D1138E"/>
    <w:rsid w:val="00D12353"/>
    <w:rsid w:val="00D132D5"/>
    <w:rsid w:val="00D1330D"/>
    <w:rsid w:val="00D136BC"/>
    <w:rsid w:val="00D13708"/>
    <w:rsid w:val="00D13E20"/>
    <w:rsid w:val="00D151A3"/>
    <w:rsid w:val="00D1550A"/>
    <w:rsid w:val="00D1611D"/>
    <w:rsid w:val="00D166A2"/>
    <w:rsid w:val="00D1677A"/>
    <w:rsid w:val="00D16A15"/>
    <w:rsid w:val="00D16CA7"/>
    <w:rsid w:val="00D17ADA"/>
    <w:rsid w:val="00D2031D"/>
    <w:rsid w:val="00D21620"/>
    <w:rsid w:val="00D218BC"/>
    <w:rsid w:val="00D21BA0"/>
    <w:rsid w:val="00D23665"/>
    <w:rsid w:val="00D237A7"/>
    <w:rsid w:val="00D23C4D"/>
    <w:rsid w:val="00D24328"/>
    <w:rsid w:val="00D24375"/>
    <w:rsid w:val="00D2475B"/>
    <w:rsid w:val="00D24E78"/>
    <w:rsid w:val="00D27109"/>
    <w:rsid w:val="00D27327"/>
    <w:rsid w:val="00D277D6"/>
    <w:rsid w:val="00D27C0F"/>
    <w:rsid w:val="00D27C6B"/>
    <w:rsid w:val="00D30EFB"/>
    <w:rsid w:val="00D3158C"/>
    <w:rsid w:val="00D3164A"/>
    <w:rsid w:val="00D32184"/>
    <w:rsid w:val="00D331E4"/>
    <w:rsid w:val="00D3360A"/>
    <w:rsid w:val="00D348A2"/>
    <w:rsid w:val="00D35607"/>
    <w:rsid w:val="00D356A9"/>
    <w:rsid w:val="00D36B03"/>
    <w:rsid w:val="00D36D6E"/>
    <w:rsid w:val="00D40472"/>
    <w:rsid w:val="00D413F0"/>
    <w:rsid w:val="00D41907"/>
    <w:rsid w:val="00D41AD0"/>
    <w:rsid w:val="00D431A7"/>
    <w:rsid w:val="00D43945"/>
    <w:rsid w:val="00D43ED0"/>
    <w:rsid w:val="00D44BAB"/>
    <w:rsid w:val="00D45E46"/>
    <w:rsid w:val="00D45FB8"/>
    <w:rsid w:val="00D50A0E"/>
    <w:rsid w:val="00D50BC9"/>
    <w:rsid w:val="00D50D8A"/>
    <w:rsid w:val="00D54685"/>
    <w:rsid w:val="00D5471A"/>
    <w:rsid w:val="00D547AA"/>
    <w:rsid w:val="00D54930"/>
    <w:rsid w:val="00D54FA0"/>
    <w:rsid w:val="00D551C6"/>
    <w:rsid w:val="00D5759B"/>
    <w:rsid w:val="00D57841"/>
    <w:rsid w:val="00D57AC5"/>
    <w:rsid w:val="00D57D3E"/>
    <w:rsid w:val="00D606DB"/>
    <w:rsid w:val="00D612DC"/>
    <w:rsid w:val="00D61E93"/>
    <w:rsid w:val="00D6216B"/>
    <w:rsid w:val="00D62854"/>
    <w:rsid w:val="00D62D2B"/>
    <w:rsid w:val="00D63B84"/>
    <w:rsid w:val="00D64746"/>
    <w:rsid w:val="00D64D8F"/>
    <w:rsid w:val="00D6582E"/>
    <w:rsid w:val="00D6587B"/>
    <w:rsid w:val="00D65E38"/>
    <w:rsid w:val="00D67E86"/>
    <w:rsid w:val="00D70D5A"/>
    <w:rsid w:val="00D70FE9"/>
    <w:rsid w:val="00D71BCD"/>
    <w:rsid w:val="00D72357"/>
    <w:rsid w:val="00D72625"/>
    <w:rsid w:val="00D72A7F"/>
    <w:rsid w:val="00D72DAB"/>
    <w:rsid w:val="00D72DEF"/>
    <w:rsid w:val="00D7331B"/>
    <w:rsid w:val="00D74123"/>
    <w:rsid w:val="00D74161"/>
    <w:rsid w:val="00D74FEF"/>
    <w:rsid w:val="00D75393"/>
    <w:rsid w:val="00D761AD"/>
    <w:rsid w:val="00D76A84"/>
    <w:rsid w:val="00D76CFF"/>
    <w:rsid w:val="00D80F8E"/>
    <w:rsid w:val="00D81576"/>
    <w:rsid w:val="00D83BB5"/>
    <w:rsid w:val="00D83E55"/>
    <w:rsid w:val="00D84AD2"/>
    <w:rsid w:val="00D84B51"/>
    <w:rsid w:val="00D84C38"/>
    <w:rsid w:val="00D850D1"/>
    <w:rsid w:val="00D86261"/>
    <w:rsid w:val="00D86442"/>
    <w:rsid w:val="00D86888"/>
    <w:rsid w:val="00D8705E"/>
    <w:rsid w:val="00D87146"/>
    <w:rsid w:val="00D8776C"/>
    <w:rsid w:val="00D90033"/>
    <w:rsid w:val="00D901DE"/>
    <w:rsid w:val="00D91CE5"/>
    <w:rsid w:val="00D91E4D"/>
    <w:rsid w:val="00D91F1E"/>
    <w:rsid w:val="00D9286A"/>
    <w:rsid w:val="00D93C99"/>
    <w:rsid w:val="00D93DE5"/>
    <w:rsid w:val="00D94665"/>
    <w:rsid w:val="00D9477B"/>
    <w:rsid w:val="00D94E51"/>
    <w:rsid w:val="00D94FA0"/>
    <w:rsid w:val="00D95C5D"/>
    <w:rsid w:val="00D9685F"/>
    <w:rsid w:val="00D9789A"/>
    <w:rsid w:val="00DA02D5"/>
    <w:rsid w:val="00DA32AF"/>
    <w:rsid w:val="00DA43B2"/>
    <w:rsid w:val="00DA4F40"/>
    <w:rsid w:val="00DA50A1"/>
    <w:rsid w:val="00DA5617"/>
    <w:rsid w:val="00DA5849"/>
    <w:rsid w:val="00DA6E5D"/>
    <w:rsid w:val="00DA6F71"/>
    <w:rsid w:val="00DA7772"/>
    <w:rsid w:val="00DB11BE"/>
    <w:rsid w:val="00DB1243"/>
    <w:rsid w:val="00DB160C"/>
    <w:rsid w:val="00DB1B18"/>
    <w:rsid w:val="00DB2F3D"/>
    <w:rsid w:val="00DB3569"/>
    <w:rsid w:val="00DB3954"/>
    <w:rsid w:val="00DB455A"/>
    <w:rsid w:val="00DB4F16"/>
    <w:rsid w:val="00DB5DC9"/>
    <w:rsid w:val="00DB627D"/>
    <w:rsid w:val="00DB66CF"/>
    <w:rsid w:val="00DB6CEE"/>
    <w:rsid w:val="00DB789B"/>
    <w:rsid w:val="00DB7DF0"/>
    <w:rsid w:val="00DB7E30"/>
    <w:rsid w:val="00DC05A6"/>
    <w:rsid w:val="00DC0CCE"/>
    <w:rsid w:val="00DC0E48"/>
    <w:rsid w:val="00DC1587"/>
    <w:rsid w:val="00DC161A"/>
    <w:rsid w:val="00DC31FC"/>
    <w:rsid w:val="00DC35DF"/>
    <w:rsid w:val="00DC3891"/>
    <w:rsid w:val="00DC51BB"/>
    <w:rsid w:val="00DC526C"/>
    <w:rsid w:val="00DC55B4"/>
    <w:rsid w:val="00DC55D8"/>
    <w:rsid w:val="00DC56FF"/>
    <w:rsid w:val="00DC5CDF"/>
    <w:rsid w:val="00DC7B89"/>
    <w:rsid w:val="00DD06C5"/>
    <w:rsid w:val="00DD0856"/>
    <w:rsid w:val="00DD09CC"/>
    <w:rsid w:val="00DD0CD5"/>
    <w:rsid w:val="00DD0D4A"/>
    <w:rsid w:val="00DD20FB"/>
    <w:rsid w:val="00DD2BD6"/>
    <w:rsid w:val="00DD2D98"/>
    <w:rsid w:val="00DD2EA1"/>
    <w:rsid w:val="00DD305E"/>
    <w:rsid w:val="00DD30A1"/>
    <w:rsid w:val="00DD33D2"/>
    <w:rsid w:val="00DD37C8"/>
    <w:rsid w:val="00DD3922"/>
    <w:rsid w:val="00DD48E5"/>
    <w:rsid w:val="00DD52D5"/>
    <w:rsid w:val="00DD5493"/>
    <w:rsid w:val="00DD556C"/>
    <w:rsid w:val="00DD55AE"/>
    <w:rsid w:val="00DD5A29"/>
    <w:rsid w:val="00DD5BC4"/>
    <w:rsid w:val="00DD6A2B"/>
    <w:rsid w:val="00DD6B98"/>
    <w:rsid w:val="00DD7B03"/>
    <w:rsid w:val="00DE02A2"/>
    <w:rsid w:val="00DE17C9"/>
    <w:rsid w:val="00DE2BE3"/>
    <w:rsid w:val="00DE5A3D"/>
    <w:rsid w:val="00DE65C8"/>
    <w:rsid w:val="00DE6E94"/>
    <w:rsid w:val="00DE7201"/>
    <w:rsid w:val="00DE7558"/>
    <w:rsid w:val="00DE755B"/>
    <w:rsid w:val="00DF02DF"/>
    <w:rsid w:val="00DF04F8"/>
    <w:rsid w:val="00DF07BB"/>
    <w:rsid w:val="00DF0FB2"/>
    <w:rsid w:val="00DF1547"/>
    <w:rsid w:val="00DF181D"/>
    <w:rsid w:val="00DF1D10"/>
    <w:rsid w:val="00DF2431"/>
    <w:rsid w:val="00DF41C6"/>
    <w:rsid w:val="00DF5F2F"/>
    <w:rsid w:val="00DF63AB"/>
    <w:rsid w:val="00DF63FC"/>
    <w:rsid w:val="00DF6F8B"/>
    <w:rsid w:val="00DF7045"/>
    <w:rsid w:val="00DF7B23"/>
    <w:rsid w:val="00DF7EFC"/>
    <w:rsid w:val="00E001BE"/>
    <w:rsid w:val="00E017C0"/>
    <w:rsid w:val="00E01B53"/>
    <w:rsid w:val="00E01ECC"/>
    <w:rsid w:val="00E04249"/>
    <w:rsid w:val="00E04352"/>
    <w:rsid w:val="00E04880"/>
    <w:rsid w:val="00E05E63"/>
    <w:rsid w:val="00E065A6"/>
    <w:rsid w:val="00E079B4"/>
    <w:rsid w:val="00E1049E"/>
    <w:rsid w:val="00E10D7C"/>
    <w:rsid w:val="00E114D1"/>
    <w:rsid w:val="00E11748"/>
    <w:rsid w:val="00E11BBD"/>
    <w:rsid w:val="00E11D60"/>
    <w:rsid w:val="00E12238"/>
    <w:rsid w:val="00E1234A"/>
    <w:rsid w:val="00E131BA"/>
    <w:rsid w:val="00E1336B"/>
    <w:rsid w:val="00E143B9"/>
    <w:rsid w:val="00E14A70"/>
    <w:rsid w:val="00E155F8"/>
    <w:rsid w:val="00E157FC"/>
    <w:rsid w:val="00E16378"/>
    <w:rsid w:val="00E16A60"/>
    <w:rsid w:val="00E17AC2"/>
    <w:rsid w:val="00E17EE1"/>
    <w:rsid w:val="00E200EF"/>
    <w:rsid w:val="00E21027"/>
    <w:rsid w:val="00E225D5"/>
    <w:rsid w:val="00E22AC3"/>
    <w:rsid w:val="00E2307A"/>
    <w:rsid w:val="00E243E8"/>
    <w:rsid w:val="00E250CC"/>
    <w:rsid w:val="00E25845"/>
    <w:rsid w:val="00E25B3C"/>
    <w:rsid w:val="00E25F04"/>
    <w:rsid w:val="00E27182"/>
    <w:rsid w:val="00E27F3E"/>
    <w:rsid w:val="00E30B9E"/>
    <w:rsid w:val="00E31657"/>
    <w:rsid w:val="00E31EF4"/>
    <w:rsid w:val="00E32111"/>
    <w:rsid w:val="00E326DF"/>
    <w:rsid w:val="00E344E1"/>
    <w:rsid w:val="00E3455B"/>
    <w:rsid w:val="00E34987"/>
    <w:rsid w:val="00E34CAC"/>
    <w:rsid w:val="00E353BE"/>
    <w:rsid w:val="00E35D0B"/>
    <w:rsid w:val="00E37483"/>
    <w:rsid w:val="00E403A5"/>
    <w:rsid w:val="00E4137D"/>
    <w:rsid w:val="00E41CE8"/>
    <w:rsid w:val="00E41DF4"/>
    <w:rsid w:val="00E42220"/>
    <w:rsid w:val="00E42F33"/>
    <w:rsid w:val="00E43571"/>
    <w:rsid w:val="00E43D24"/>
    <w:rsid w:val="00E453A6"/>
    <w:rsid w:val="00E46232"/>
    <w:rsid w:val="00E47916"/>
    <w:rsid w:val="00E47949"/>
    <w:rsid w:val="00E50183"/>
    <w:rsid w:val="00E501DF"/>
    <w:rsid w:val="00E50F33"/>
    <w:rsid w:val="00E517C4"/>
    <w:rsid w:val="00E5202D"/>
    <w:rsid w:val="00E52467"/>
    <w:rsid w:val="00E52951"/>
    <w:rsid w:val="00E53F24"/>
    <w:rsid w:val="00E5433A"/>
    <w:rsid w:val="00E56635"/>
    <w:rsid w:val="00E5685C"/>
    <w:rsid w:val="00E56885"/>
    <w:rsid w:val="00E57443"/>
    <w:rsid w:val="00E60CC7"/>
    <w:rsid w:val="00E6110E"/>
    <w:rsid w:val="00E62364"/>
    <w:rsid w:val="00E6457F"/>
    <w:rsid w:val="00E64992"/>
    <w:rsid w:val="00E65219"/>
    <w:rsid w:val="00E65592"/>
    <w:rsid w:val="00E65A2B"/>
    <w:rsid w:val="00E6663A"/>
    <w:rsid w:val="00E6698F"/>
    <w:rsid w:val="00E711BF"/>
    <w:rsid w:val="00E7132C"/>
    <w:rsid w:val="00E72C6D"/>
    <w:rsid w:val="00E73E63"/>
    <w:rsid w:val="00E741D9"/>
    <w:rsid w:val="00E74A00"/>
    <w:rsid w:val="00E74C26"/>
    <w:rsid w:val="00E75A2E"/>
    <w:rsid w:val="00E76616"/>
    <w:rsid w:val="00E76765"/>
    <w:rsid w:val="00E77A80"/>
    <w:rsid w:val="00E77D56"/>
    <w:rsid w:val="00E77E8C"/>
    <w:rsid w:val="00E814EC"/>
    <w:rsid w:val="00E820D6"/>
    <w:rsid w:val="00E853BE"/>
    <w:rsid w:val="00E867A3"/>
    <w:rsid w:val="00E86A2E"/>
    <w:rsid w:val="00E87151"/>
    <w:rsid w:val="00E87483"/>
    <w:rsid w:val="00E90A42"/>
    <w:rsid w:val="00E91AB6"/>
    <w:rsid w:val="00E92308"/>
    <w:rsid w:val="00E93706"/>
    <w:rsid w:val="00E94D05"/>
    <w:rsid w:val="00E95213"/>
    <w:rsid w:val="00E95380"/>
    <w:rsid w:val="00E95E6E"/>
    <w:rsid w:val="00E962BA"/>
    <w:rsid w:val="00E974E1"/>
    <w:rsid w:val="00EA05CD"/>
    <w:rsid w:val="00EA074E"/>
    <w:rsid w:val="00EA1791"/>
    <w:rsid w:val="00EA20BD"/>
    <w:rsid w:val="00EA2113"/>
    <w:rsid w:val="00EA213E"/>
    <w:rsid w:val="00EA2306"/>
    <w:rsid w:val="00EA243B"/>
    <w:rsid w:val="00EA25E4"/>
    <w:rsid w:val="00EA4F38"/>
    <w:rsid w:val="00EA56E3"/>
    <w:rsid w:val="00EA61E8"/>
    <w:rsid w:val="00EA703E"/>
    <w:rsid w:val="00EA7934"/>
    <w:rsid w:val="00EA7BB2"/>
    <w:rsid w:val="00EB00A3"/>
    <w:rsid w:val="00EB03DC"/>
    <w:rsid w:val="00EB08D5"/>
    <w:rsid w:val="00EB15F0"/>
    <w:rsid w:val="00EB251B"/>
    <w:rsid w:val="00EB31D9"/>
    <w:rsid w:val="00EB3206"/>
    <w:rsid w:val="00EB3307"/>
    <w:rsid w:val="00EB3797"/>
    <w:rsid w:val="00EB399C"/>
    <w:rsid w:val="00EB497C"/>
    <w:rsid w:val="00EB49BD"/>
    <w:rsid w:val="00EB520E"/>
    <w:rsid w:val="00EB634B"/>
    <w:rsid w:val="00EB6440"/>
    <w:rsid w:val="00EB6798"/>
    <w:rsid w:val="00EB7138"/>
    <w:rsid w:val="00EB7AE4"/>
    <w:rsid w:val="00EC0AFE"/>
    <w:rsid w:val="00EC219F"/>
    <w:rsid w:val="00EC2576"/>
    <w:rsid w:val="00EC29CB"/>
    <w:rsid w:val="00EC2DFD"/>
    <w:rsid w:val="00EC34DF"/>
    <w:rsid w:val="00EC3835"/>
    <w:rsid w:val="00EC4699"/>
    <w:rsid w:val="00EC4939"/>
    <w:rsid w:val="00EC5167"/>
    <w:rsid w:val="00EC647C"/>
    <w:rsid w:val="00EC7DB9"/>
    <w:rsid w:val="00EC7DDC"/>
    <w:rsid w:val="00ED03A4"/>
    <w:rsid w:val="00ED0DA9"/>
    <w:rsid w:val="00ED0FB1"/>
    <w:rsid w:val="00ED1CF2"/>
    <w:rsid w:val="00ED23D3"/>
    <w:rsid w:val="00ED3009"/>
    <w:rsid w:val="00ED3874"/>
    <w:rsid w:val="00ED465A"/>
    <w:rsid w:val="00ED49C3"/>
    <w:rsid w:val="00ED50A0"/>
    <w:rsid w:val="00ED61FE"/>
    <w:rsid w:val="00ED6989"/>
    <w:rsid w:val="00ED6E44"/>
    <w:rsid w:val="00EE053D"/>
    <w:rsid w:val="00EE0846"/>
    <w:rsid w:val="00EE12C8"/>
    <w:rsid w:val="00EE132C"/>
    <w:rsid w:val="00EE27D4"/>
    <w:rsid w:val="00EE2EB7"/>
    <w:rsid w:val="00EE43D5"/>
    <w:rsid w:val="00EE5E76"/>
    <w:rsid w:val="00EE6DE2"/>
    <w:rsid w:val="00EE74D9"/>
    <w:rsid w:val="00EE79A9"/>
    <w:rsid w:val="00EF00EE"/>
    <w:rsid w:val="00EF11F2"/>
    <w:rsid w:val="00EF2D26"/>
    <w:rsid w:val="00EF3023"/>
    <w:rsid w:val="00EF369F"/>
    <w:rsid w:val="00EF5601"/>
    <w:rsid w:val="00EF7DB5"/>
    <w:rsid w:val="00EF7E61"/>
    <w:rsid w:val="00F011C4"/>
    <w:rsid w:val="00F024F9"/>
    <w:rsid w:val="00F0330E"/>
    <w:rsid w:val="00F04055"/>
    <w:rsid w:val="00F040CF"/>
    <w:rsid w:val="00F05628"/>
    <w:rsid w:val="00F071B5"/>
    <w:rsid w:val="00F07D63"/>
    <w:rsid w:val="00F07F36"/>
    <w:rsid w:val="00F102BD"/>
    <w:rsid w:val="00F10581"/>
    <w:rsid w:val="00F10AA1"/>
    <w:rsid w:val="00F1112A"/>
    <w:rsid w:val="00F11420"/>
    <w:rsid w:val="00F116F2"/>
    <w:rsid w:val="00F12035"/>
    <w:rsid w:val="00F127E2"/>
    <w:rsid w:val="00F12E80"/>
    <w:rsid w:val="00F13AD6"/>
    <w:rsid w:val="00F13BA5"/>
    <w:rsid w:val="00F14E98"/>
    <w:rsid w:val="00F156AD"/>
    <w:rsid w:val="00F15FBE"/>
    <w:rsid w:val="00F16568"/>
    <w:rsid w:val="00F17140"/>
    <w:rsid w:val="00F17FC6"/>
    <w:rsid w:val="00F2005A"/>
    <w:rsid w:val="00F20792"/>
    <w:rsid w:val="00F20AD0"/>
    <w:rsid w:val="00F21210"/>
    <w:rsid w:val="00F2197B"/>
    <w:rsid w:val="00F21A65"/>
    <w:rsid w:val="00F22458"/>
    <w:rsid w:val="00F22650"/>
    <w:rsid w:val="00F24D36"/>
    <w:rsid w:val="00F25571"/>
    <w:rsid w:val="00F25D40"/>
    <w:rsid w:val="00F26677"/>
    <w:rsid w:val="00F26AC6"/>
    <w:rsid w:val="00F271C4"/>
    <w:rsid w:val="00F3055F"/>
    <w:rsid w:val="00F32BBE"/>
    <w:rsid w:val="00F33A45"/>
    <w:rsid w:val="00F344CC"/>
    <w:rsid w:val="00F3484A"/>
    <w:rsid w:val="00F34B1E"/>
    <w:rsid w:val="00F34D08"/>
    <w:rsid w:val="00F37F62"/>
    <w:rsid w:val="00F40BA1"/>
    <w:rsid w:val="00F40C95"/>
    <w:rsid w:val="00F40D74"/>
    <w:rsid w:val="00F41AA9"/>
    <w:rsid w:val="00F42673"/>
    <w:rsid w:val="00F427C1"/>
    <w:rsid w:val="00F432A6"/>
    <w:rsid w:val="00F4374F"/>
    <w:rsid w:val="00F43828"/>
    <w:rsid w:val="00F441B9"/>
    <w:rsid w:val="00F44F35"/>
    <w:rsid w:val="00F45CCF"/>
    <w:rsid w:val="00F45E88"/>
    <w:rsid w:val="00F46913"/>
    <w:rsid w:val="00F46E38"/>
    <w:rsid w:val="00F47B34"/>
    <w:rsid w:val="00F47FBB"/>
    <w:rsid w:val="00F507F0"/>
    <w:rsid w:val="00F50A2F"/>
    <w:rsid w:val="00F52297"/>
    <w:rsid w:val="00F52DC5"/>
    <w:rsid w:val="00F52F38"/>
    <w:rsid w:val="00F53148"/>
    <w:rsid w:val="00F54401"/>
    <w:rsid w:val="00F54A36"/>
    <w:rsid w:val="00F561D1"/>
    <w:rsid w:val="00F56AE3"/>
    <w:rsid w:val="00F56FE6"/>
    <w:rsid w:val="00F57817"/>
    <w:rsid w:val="00F578F7"/>
    <w:rsid w:val="00F57961"/>
    <w:rsid w:val="00F57B3B"/>
    <w:rsid w:val="00F57D90"/>
    <w:rsid w:val="00F608BF"/>
    <w:rsid w:val="00F60B33"/>
    <w:rsid w:val="00F60E2F"/>
    <w:rsid w:val="00F618F8"/>
    <w:rsid w:val="00F622AD"/>
    <w:rsid w:val="00F63129"/>
    <w:rsid w:val="00F6456C"/>
    <w:rsid w:val="00F64F89"/>
    <w:rsid w:val="00F65756"/>
    <w:rsid w:val="00F6634B"/>
    <w:rsid w:val="00F66B76"/>
    <w:rsid w:val="00F679E5"/>
    <w:rsid w:val="00F67B7D"/>
    <w:rsid w:val="00F703C2"/>
    <w:rsid w:val="00F71528"/>
    <w:rsid w:val="00F71AFA"/>
    <w:rsid w:val="00F72E90"/>
    <w:rsid w:val="00F73834"/>
    <w:rsid w:val="00F739C0"/>
    <w:rsid w:val="00F73AF2"/>
    <w:rsid w:val="00F74E68"/>
    <w:rsid w:val="00F75CCD"/>
    <w:rsid w:val="00F75D98"/>
    <w:rsid w:val="00F76816"/>
    <w:rsid w:val="00F80833"/>
    <w:rsid w:val="00F8154A"/>
    <w:rsid w:val="00F83129"/>
    <w:rsid w:val="00F84400"/>
    <w:rsid w:val="00F845DD"/>
    <w:rsid w:val="00F84E2C"/>
    <w:rsid w:val="00F84F04"/>
    <w:rsid w:val="00F8511E"/>
    <w:rsid w:val="00F851C1"/>
    <w:rsid w:val="00F85A0B"/>
    <w:rsid w:val="00F85A4A"/>
    <w:rsid w:val="00F87636"/>
    <w:rsid w:val="00F9064C"/>
    <w:rsid w:val="00F91BE1"/>
    <w:rsid w:val="00F91EBE"/>
    <w:rsid w:val="00F91F93"/>
    <w:rsid w:val="00F92507"/>
    <w:rsid w:val="00F9308D"/>
    <w:rsid w:val="00F93750"/>
    <w:rsid w:val="00F95847"/>
    <w:rsid w:val="00F95AA6"/>
    <w:rsid w:val="00F95D5C"/>
    <w:rsid w:val="00F95DDB"/>
    <w:rsid w:val="00F961F9"/>
    <w:rsid w:val="00F965A4"/>
    <w:rsid w:val="00F973C1"/>
    <w:rsid w:val="00F97951"/>
    <w:rsid w:val="00F9796B"/>
    <w:rsid w:val="00F97B01"/>
    <w:rsid w:val="00FA0266"/>
    <w:rsid w:val="00FA3B7F"/>
    <w:rsid w:val="00FA3C69"/>
    <w:rsid w:val="00FA3D9E"/>
    <w:rsid w:val="00FA46EB"/>
    <w:rsid w:val="00FA47A9"/>
    <w:rsid w:val="00FA51CB"/>
    <w:rsid w:val="00FA662F"/>
    <w:rsid w:val="00FA6961"/>
    <w:rsid w:val="00FA7DA2"/>
    <w:rsid w:val="00FA7EEF"/>
    <w:rsid w:val="00FB0C03"/>
    <w:rsid w:val="00FB1037"/>
    <w:rsid w:val="00FB10A1"/>
    <w:rsid w:val="00FB2CF3"/>
    <w:rsid w:val="00FB34A3"/>
    <w:rsid w:val="00FB3CF9"/>
    <w:rsid w:val="00FB51D0"/>
    <w:rsid w:val="00FB5BCF"/>
    <w:rsid w:val="00FB7A2B"/>
    <w:rsid w:val="00FC074B"/>
    <w:rsid w:val="00FC0AE1"/>
    <w:rsid w:val="00FC137E"/>
    <w:rsid w:val="00FC3454"/>
    <w:rsid w:val="00FC4275"/>
    <w:rsid w:val="00FC619E"/>
    <w:rsid w:val="00FC69F2"/>
    <w:rsid w:val="00FD1027"/>
    <w:rsid w:val="00FD19B3"/>
    <w:rsid w:val="00FD2A0B"/>
    <w:rsid w:val="00FD2B88"/>
    <w:rsid w:val="00FD3241"/>
    <w:rsid w:val="00FD4173"/>
    <w:rsid w:val="00FD5A11"/>
    <w:rsid w:val="00FD68A0"/>
    <w:rsid w:val="00FD69FA"/>
    <w:rsid w:val="00FD6D91"/>
    <w:rsid w:val="00FD7379"/>
    <w:rsid w:val="00FE05D4"/>
    <w:rsid w:val="00FE0E15"/>
    <w:rsid w:val="00FE0E9B"/>
    <w:rsid w:val="00FE1EEC"/>
    <w:rsid w:val="00FE28F7"/>
    <w:rsid w:val="00FE2AD9"/>
    <w:rsid w:val="00FE2B7B"/>
    <w:rsid w:val="00FE4018"/>
    <w:rsid w:val="00FE4339"/>
    <w:rsid w:val="00FE4A2E"/>
    <w:rsid w:val="00FE55C3"/>
    <w:rsid w:val="00FE6071"/>
    <w:rsid w:val="00FE71DA"/>
    <w:rsid w:val="00FE7B4B"/>
    <w:rsid w:val="00FF190D"/>
    <w:rsid w:val="00FF21CB"/>
    <w:rsid w:val="00FF2A36"/>
    <w:rsid w:val="00FF2AF9"/>
    <w:rsid w:val="00FF37E4"/>
    <w:rsid w:val="00FF3CC7"/>
    <w:rsid w:val="00FF3D6A"/>
    <w:rsid w:val="00FF4799"/>
    <w:rsid w:val="00FF4FC1"/>
    <w:rsid w:val="00FF61EC"/>
    <w:rsid w:val="00FF61F3"/>
    <w:rsid w:val="00FF6512"/>
    <w:rsid w:val="00FF6A2D"/>
    <w:rsid w:val="00FF7B52"/>
    <w:rsid w:val="00FF7FBA"/>
    <w:rsid w:val="04762C49"/>
    <w:rsid w:val="0B5E5377"/>
    <w:rsid w:val="0BFDE376"/>
    <w:rsid w:val="0E7F7AE9"/>
    <w:rsid w:val="1EFCDA8B"/>
    <w:rsid w:val="340C6869"/>
    <w:rsid w:val="389C31B1"/>
    <w:rsid w:val="3BDF2A01"/>
    <w:rsid w:val="5BEFB88E"/>
    <w:rsid w:val="5BEFE3FE"/>
    <w:rsid w:val="5FFFF5FC"/>
    <w:rsid w:val="677CD23E"/>
    <w:rsid w:val="67BB8DFE"/>
    <w:rsid w:val="775F644F"/>
    <w:rsid w:val="7CED7A1C"/>
    <w:rsid w:val="AFB77D3D"/>
    <w:rsid w:val="BDD77B36"/>
    <w:rsid w:val="BF5B1A92"/>
    <w:rsid w:val="C5EF6B5B"/>
    <w:rsid w:val="DFDBD664"/>
    <w:rsid w:val="EE76E99E"/>
    <w:rsid w:val="EEBF8797"/>
    <w:rsid w:val="EFF522F0"/>
    <w:rsid w:val="F7D12D48"/>
    <w:rsid w:val="FDFF3A5C"/>
    <w:rsid w:val="FEF71527"/>
    <w:rsid w:val="FF11B097"/>
    <w:rsid w:val="FF5F5E35"/>
    <w:rsid w:val="FFEFC9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nhideWhenUsed="0"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unhideWhenUsed="0" w:uiPriority="0" w:semiHidden="0" w:name="Strong" w:locked="1"/>
    <w:lsdException w:qFormat="1" w:unhideWhenUsed="0" w:uiPriority="20" w:semiHidden="0" w:name="Emphasis" w:locked="1"/>
    <w:lsdException w:qFormat="1" w:unhideWhenUsed="0"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abs>
        <w:tab w:val="left" w:pos="720"/>
      </w:tabs>
      <w:spacing w:line="360" w:lineRule="auto"/>
      <w:jc w:val="both"/>
    </w:pPr>
    <w:rPr>
      <w:rFonts w:ascii="Times New Roman" w:hAnsi="Times New Roman" w:eastAsia="宋体" w:cs="Times New Roman"/>
      <w:kern w:val="2"/>
      <w:sz w:val="21"/>
      <w:szCs w:val="21"/>
      <w:lang w:val="en-US" w:eastAsia="zh-CN" w:bidi="ar-SA"/>
    </w:rPr>
  </w:style>
  <w:style w:type="paragraph" w:styleId="2">
    <w:name w:val="heading 1"/>
    <w:basedOn w:val="3"/>
    <w:next w:val="1"/>
    <w:link w:val="45"/>
    <w:qFormat/>
    <w:uiPriority w:val="9"/>
    <w:pPr>
      <w:numPr>
        <w:ilvl w:val="0"/>
        <w:numId w:val="1"/>
      </w:numPr>
      <w:tabs>
        <w:tab w:val="left" w:pos="425"/>
        <w:tab w:val="clear" w:pos="2694"/>
      </w:tabs>
      <w:spacing w:line="360" w:lineRule="auto"/>
      <w:ind w:left="487" w:hanging="487" w:hangingChars="202"/>
      <w:jc w:val="center"/>
      <w:outlineLvl w:val="0"/>
    </w:pPr>
    <w:rPr>
      <w:b w:val="0"/>
    </w:rPr>
  </w:style>
  <w:style w:type="paragraph" w:styleId="4">
    <w:name w:val="heading 2"/>
    <w:basedOn w:val="3"/>
    <w:next w:val="1"/>
    <w:link w:val="71"/>
    <w:unhideWhenUsed/>
    <w:qFormat/>
    <w:locked/>
    <w:uiPriority w:val="0"/>
    <w:pPr>
      <w:spacing w:line="360" w:lineRule="auto"/>
      <w:ind w:left="426" w:hanging="426"/>
      <w:jc w:val="center"/>
      <w:outlineLvl w:val="1"/>
    </w:pPr>
    <w:rPr>
      <w:rFonts w:ascii="Times"/>
      <w:b w:val="0"/>
      <w:sz w:val="21"/>
    </w:rPr>
  </w:style>
  <w:style w:type="paragraph" w:styleId="5">
    <w:name w:val="heading 3"/>
    <w:basedOn w:val="1"/>
    <w:next w:val="1"/>
    <w:link w:val="66"/>
    <w:unhideWhenUsed/>
    <w:qFormat/>
    <w:locked/>
    <w:uiPriority w:val="0"/>
    <w:pPr>
      <w:keepNext/>
      <w:keepLines/>
      <w:spacing w:before="260" w:after="260" w:line="416" w:lineRule="auto"/>
      <w:outlineLvl w:val="2"/>
    </w:pPr>
    <w:rPr>
      <w:b/>
      <w:bCs/>
      <w:sz w:val="32"/>
      <w:szCs w:val="32"/>
    </w:rPr>
  </w:style>
  <w:style w:type="paragraph" w:styleId="6">
    <w:name w:val="heading 9"/>
    <w:basedOn w:val="1"/>
    <w:next w:val="1"/>
    <w:link w:val="72"/>
    <w:qFormat/>
    <w:locked/>
    <w:uiPriority w:val="0"/>
    <w:pPr>
      <w:keepNext/>
      <w:keepLines/>
      <w:tabs>
        <w:tab w:val="clear" w:pos="720"/>
      </w:tabs>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3">
    <w:name w:val="toc 1"/>
    <w:basedOn w:val="1"/>
    <w:next w:val="1"/>
    <w:qFormat/>
    <w:uiPriority w:val="39"/>
    <w:pPr>
      <w:tabs>
        <w:tab w:val="clear" w:pos="720"/>
      </w:tabs>
      <w:spacing w:before="120" w:after="120" w:line="240" w:lineRule="auto"/>
      <w:jc w:val="left"/>
    </w:pPr>
    <w:rPr>
      <w:rFonts w:asciiTheme="minorHAnsi" w:hAnsiTheme="minorHAnsi"/>
      <w:b/>
      <w:bCs/>
      <w:caps/>
      <w:sz w:val="24"/>
      <w:szCs w:val="20"/>
    </w:rPr>
  </w:style>
  <w:style w:type="paragraph" w:styleId="7">
    <w:name w:val="toc 7"/>
    <w:basedOn w:val="1"/>
    <w:next w:val="1"/>
    <w:unhideWhenUsed/>
    <w:qFormat/>
    <w:uiPriority w:val="39"/>
    <w:pPr>
      <w:tabs>
        <w:tab w:val="clear" w:pos="720"/>
      </w:tabs>
      <w:ind w:left="1260"/>
      <w:jc w:val="left"/>
    </w:pPr>
    <w:rPr>
      <w:rFonts w:asciiTheme="minorHAnsi" w:hAnsiTheme="minorHAnsi"/>
      <w:sz w:val="18"/>
      <w:szCs w:val="18"/>
    </w:rPr>
  </w:style>
  <w:style w:type="paragraph" w:styleId="8">
    <w:name w:val="Document Map"/>
    <w:basedOn w:val="1"/>
    <w:link w:val="51"/>
    <w:semiHidden/>
    <w:qFormat/>
    <w:uiPriority w:val="99"/>
    <w:pPr>
      <w:shd w:val="clear" w:color="auto" w:fill="000080"/>
    </w:pPr>
    <w:rPr>
      <w:kern w:val="0"/>
      <w:sz w:val="24"/>
      <w:lang w:val="zh-CN"/>
    </w:rPr>
  </w:style>
  <w:style w:type="paragraph" w:styleId="9">
    <w:name w:val="annotation text"/>
    <w:basedOn w:val="1"/>
    <w:link w:val="56"/>
    <w:semiHidden/>
    <w:qFormat/>
    <w:uiPriority w:val="99"/>
    <w:pPr>
      <w:jc w:val="left"/>
    </w:pPr>
    <w:rPr>
      <w:sz w:val="24"/>
      <w:szCs w:val="20"/>
    </w:rPr>
  </w:style>
  <w:style w:type="paragraph" w:styleId="10">
    <w:name w:val="Body Text"/>
    <w:basedOn w:val="1"/>
    <w:link w:val="81"/>
    <w:unhideWhenUsed/>
    <w:qFormat/>
    <w:uiPriority w:val="0"/>
    <w:pPr>
      <w:tabs>
        <w:tab w:val="clear" w:pos="720"/>
      </w:tabs>
      <w:spacing w:after="120" w:line="240" w:lineRule="auto"/>
    </w:pPr>
    <w:rPr>
      <w:szCs w:val="24"/>
    </w:rPr>
  </w:style>
  <w:style w:type="paragraph" w:styleId="11">
    <w:name w:val="Body Text Indent"/>
    <w:basedOn w:val="1"/>
    <w:link w:val="50"/>
    <w:qFormat/>
    <w:uiPriority w:val="99"/>
    <w:pPr>
      <w:adjustRightInd w:val="0"/>
      <w:spacing w:line="360" w:lineRule="exact"/>
      <w:ind w:firstLine="680"/>
      <w:jc w:val="left"/>
      <w:textAlignment w:val="baseline"/>
    </w:pPr>
    <w:rPr>
      <w:rFonts w:eastAsia="楷体_GB2312"/>
      <w:spacing w:val="20"/>
      <w:kern w:val="0"/>
      <w:sz w:val="28"/>
      <w:szCs w:val="20"/>
    </w:rPr>
  </w:style>
  <w:style w:type="paragraph" w:styleId="12">
    <w:name w:val="toc 5"/>
    <w:basedOn w:val="1"/>
    <w:next w:val="1"/>
    <w:unhideWhenUsed/>
    <w:qFormat/>
    <w:uiPriority w:val="39"/>
    <w:pPr>
      <w:tabs>
        <w:tab w:val="clear" w:pos="720"/>
      </w:tabs>
      <w:ind w:left="840"/>
      <w:jc w:val="left"/>
    </w:pPr>
    <w:rPr>
      <w:rFonts w:asciiTheme="minorHAnsi" w:hAnsiTheme="minorHAnsi"/>
      <w:sz w:val="18"/>
      <w:szCs w:val="18"/>
    </w:rPr>
  </w:style>
  <w:style w:type="paragraph" w:styleId="13">
    <w:name w:val="toc 3"/>
    <w:basedOn w:val="1"/>
    <w:next w:val="1"/>
    <w:unhideWhenUsed/>
    <w:qFormat/>
    <w:uiPriority w:val="39"/>
    <w:pPr>
      <w:tabs>
        <w:tab w:val="clear" w:pos="720"/>
      </w:tabs>
      <w:ind w:left="420"/>
      <w:jc w:val="left"/>
    </w:pPr>
    <w:rPr>
      <w:rFonts w:asciiTheme="minorHAnsi" w:hAnsiTheme="minorHAnsi"/>
      <w:i/>
      <w:iCs/>
      <w:sz w:val="20"/>
      <w:szCs w:val="20"/>
    </w:rPr>
  </w:style>
  <w:style w:type="paragraph" w:styleId="14">
    <w:name w:val="toc 8"/>
    <w:basedOn w:val="1"/>
    <w:next w:val="1"/>
    <w:unhideWhenUsed/>
    <w:qFormat/>
    <w:uiPriority w:val="39"/>
    <w:pPr>
      <w:tabs>
        <w:tab w:val="clear" w:pos="720"/>
      </w:tabs>
      <w:ind w:left="1470"/>
      <w:jc w:val="left"/>
    </w:pPr>
    <w:rPr>
      <w:rFonts w:asciiTheme="minorHAnsi" w:hAnsiTheme="minorHAnsi"/>
      <w:sz w:val="18"/>
      <w:szCs w:val="18"/>
    </w:rPr>
  </w:style>
  <w:style w:type="paragraph" w:styleId="15">
    <w:name w:val="Date"/>
    <w:basedOn w:val="1"/>
    <w:next w:val="1"/>
    <w:link w:val="55"/>
    <w:qFormat/>
    <w:uiPriority w:val="99"/>
    <w:pPr>
      <w:ind w:left="100" w:leftChars="2500"/>
    </w:pPr>
    <w:rPr>
      <w:rFonts w:ascii="Calibri" w:hAnsi="Calibri"/>
      <w:sz w:val="22"/>
      <w:szCs w:val="20"/>
      <w:lang w:val="zh-CN"/>
    </w:rPr>
  </w:style>
  <w:style w:type="paragraph" w:styleId="16">
    <w:name w:val="Balloon Text"/>
    <w:basedOn w:val="1"/>
    <w:link w:val="54"/>
    <w:semiHidden/>
    <w:qFormat/>
    <w:uiPriority w:val="99"/>
    <w:rPr>
      <w:kern w:val="0"/>
      <w:sz w:val="16"/>
      <w:szCs w:val="16"/>
      <w:lang w:val="zh-CN"/>
    </w:rPr>
  </w:style>
  <w:style w:type="paragraph" w:styleId="17">
    <w:name w:val="footer"/>
    <w:basedOn w:val="1"/>
    <w:link w:val="47"/>
    <w:qFormat/>
    <w:uiPriority w:val="99"/>
    <w:pPr>
      <w:tabs>
        <w:tab w:val="center" w:pos="4153"/>
        <w:tab w:val="right" w:pos="8306"/>
      </w:tabs>
      <w:snapToGrid w:val="0"/>
      <w:jc w:val="left"/>
    </w:pPr>
    <w:rPr>
      <w:sz w:val="18"/>
      <w:szCs w:val="20"/>
      <w:lang w:val="zh-CN"/>
    </w:rPr>
  </w:style>
  <w:style w:type="paragraph" w:styleId="18">
    <w:name w:val="header"/>
    <w:basedOn w:val="1"/>
    <w:link w:val="46"/>
    <w:qFormat/>
    <w:uiPriority w:val="99"/>
    <w:pPr>
      <w:pBdr>
        <w:bottom w:val="single" w:color="auto" w:sz="6" w:space="1"/>
      </w:pBdr>
      <w:tabs>
        <w:tab w:val="center" w:pos="4153"/>
        <w:tab w:val="right" w:pos="8306"/>
      </w:tabs>
      <w:snapToGrid w:val="0"/>
      <w:jc w:val="center"/>
    </w:pPr>
    <w:rPr>
      <w:sz w:val="18"/>
      <w:szCs w:val="20"/>
      <w:lang w:val="zh-CN"/>
    </w:rPr>
  </w:style>
  <w:style w:type="paragraph" w:styleId="19">
    <w:name w:val="toc 4"/>
    <w:basedOn w:val="1"/>
    <w:next w:val="1"/>
    <w:unhideWhenUsed/>
    <w:qFormat/>
    <w:uiPriority w:val="39"/>
    <w:pPr>
      <w:tabs>
        <w:tab w:val="clear" w:pos="720"/>
      </w:tabs>
      <w:ind w:left="630"/>
      <w:jc w:val="left"/>
    </w:pPr>
    <w:rPr>
      <w:rFonts w:asciiTheme="minorHAnsi" w:hAnsiTheme="minorHAnsi"/>
      <w:sz w:val="18"/>
      <w:szCs w:val="18"/>
    </w:rPr>
  </w:style>
  <w:style w:type="paragraph" w:styleId="20">
    <w:name w:val="toc 6"/>
    <w:basedOn w:val="1"/>
    <w:next w:val="1"/>
    <w:unhideWhenUsed/>
    <w:qFormat/>
    <w:uiPriority w:val="39"/>
    <w:pPr>
      <w:tabs>
        <w:tab w:val="clear" w:pos="720"/>
      </w:tabs>
      <w:ind w:left="1050"/>
      <w:jc w:val="left"/>
    </w:pPr>
    <w:rPr>
      <w:rFonts w:asciiTheme="minorHAnsi" w:hAnsiTheme="minorHAnsi"/>
      <w:sz w:val="18"/>
      <w:szCs w:val="18"/>
    </w:rPr>
  </w:style>
  <w:style w:type="paragraph" w:styleId="21">
    <w:name w:val="toc 2"/>
    <w:basedOn w:val="1"/>
    <w:next w:val="1"/>
    <w:qFormat/>
    <w:uiPriority w:val="39"/>
    <w:pPr>
      <w:tabs>
        <w:tab w:val="clear" w:pos="720"/>
      </w:tabs>
      <w:spacing w:line="240" w:lineRule="auto"/>
      <w:ind w:left="210"/>
      <w:jc w:val="left"/>
    </w:pPr>
    <w:rPr>
      <w:rFonts w:asciiTheme="minorHAnsi" w:hAnsiTheme="minorHAnsi"/>
      <w:smallCaps/>
      <w:szCs w:val="20"/>
    </w:rPr>
  </w:style>
  <w:style w:type="paragraph" w:styleId="22">
    <w:name w:val="toc 9"/>
    <w:basedOn w:val="1"/>
    <w:next w:val="1"/>
    <w:unhideWhenUsed/>
    <w:qFormat/>
    <w:uiPriority w:val="39"/>
    <w:pPr>
      <w:tabs>
        <w:tab w:val="clear" w:pos="720"/>
      </w:tabs>
      <w:ind w:left="1680"/>
      <w:jc w:val="left"/>
    </w:pPr>
    <w:rPr>
      <w:rFonts w:asciiTheme="minorHAnsi" w:hAnsiTheme="minorHAnsi"/>
      <w:sz w:val="18"/>
      <w:szCs w:val="18"/>
    </w:rPr>
  </w:style>
  <w:style w:type="paragraph" w:styleId="23">
    <w:name w:val="HTML Preformatted"/>
    <w:basedOn w:val="1"/>
    <w:link w:val="5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lang w:val="zh-CN"/>
    </w:r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5">
    <w:name w:val="annotation subject"/>
    <w:basedOn w:val="9"/>
    <w:next w:val="9"/>
    <w:link w:val="53"/>
    <w:semiHidden/>
    <w:qFormat/>
    <w:uiPriority w:val="99"/>
    <w:rPr>
      <w:b/>
      <w:bCs/>
      <w:szCs w:val="24"/>
    </w:rPr>
  </w:style>
  <w:style w:type="table" w:styleId="27">
    <w:name w:val="Table Grid"/>
    <w:basedOn w:val="2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99"/>
    <w:rPr>
      <w:rFonts w:cs="Times New Roman"/>
    </w:rPr>
  </w:style>
  <w:style w:type="character" w:styleId="30">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1">
    <w:name w:val="Emphasis"/>
    <w:qFormat/>
    <w:locked/>
    <w:uiPriority w:val="20"/>
    <w:rPr>
      <w:i/>
      <w:iCs/>
    </w:rPr>
  </w:style>
  <w:style w:type="character" w:styleId="32">
    <w:name w:val="Hyperlink"/>
    <w:qFormat/>
    <w:uiPriority w:val="99"/>
    <w:rPr>
      <w:rFonts w:cs="Times New Roman"/>
    </w:rPr>
  </w:style>
  <w:style w:type="character" w:styleId="33">
    <w:name w:val="annotation reference"/>
    <w:semiHidden/>
    <w:qFormat/>
    <w:uiPriority w:val="99"/>
    <w:rPr>
      <w:rFonts w:cs="Times New Roman"/>
      <w:sz w:val="21"/>
    </w:rPr>
  </w:style>
  <w:style w:type="paragraph" w:customStyle="1" w:styleId="34">
    <w:name w:val="Char3"/>
    <w:basedOn w:val="1"/>
    <w:qFormat/>
    <w:uiPriority w:val="99"/>
    <w:pPr>
      <w:spacing w:line="480" w:lineRule="exact"/>
    </w:pPr>
    <w:rPr>
      <w:sz w:val="24"/>
    </w:rPr>
  </w:style>
  <w:style w:type="paragraph" w:customStyle="1" w:styleId="35">
    <w:name w:val="样式 首行缩进:  2 字符"/>
    <w:basedOn w:val="1"/>
    <w:qFormat/>
    <w:uiPriority w:val="99"/>
    <w:pPr>
      <w:ind w:firstLine="200" w:firstLineChars="200"/>
    </w:pPr>
    <w:rPr>
      <w:rFonts w:cs="宋体"/>
      <w:sz w:val="24"/>
      <w:szCs w:val="20"/>
    </w:rPr>
  </w:style>
  <w:style w:type="paragraph" w:customStyle="1" w:styleId="36">
    <w:name w:val="Char3 Char Char Char Char Char Char"/>
    <w:basedOn w:val="1"/>
    <w:qFormat/>
    <w:uiPriority w:val="99"/>
    <w:pPr>
      <w:spacing w:line="480" w:lineRule="exact"/>
    </w:pPr>
    <w:rPr>
      <w:sz w:val="24"/>
    </w:rPr>
  </w:style>
  <w:style w:type="paragraph" w:customStyle="1" w:styleId="37">
    <w:name w:val="Char31"/>
    <w:basedOn w:val="1"/>
    <w:qFormat/>
    <w:uiPriority w:val="99"/>
    <w:pPr>
      <w:spacing w:line="480" w:lineRule="exact"/>
    </w:pPr>
    <w:rPr>
      <w:sz w:val="24"/>
    </w:rPr>
  </w:style>
  <w:style w:type="paragraph" w:customStyle="1" w:styleId="38">
    <w:name w:val="Char4"/>
    <w:basedOn w:val="1"/>
    <w:qFormat/>
    <w:uiPriority w:val="99"/>
    <w:pPr>
      <w:spacing w:line="480" w:lineRule="exact"/>
    </w:pPr>
    <w:rPr>
      <w:sz w:val="24"/>
    </w:rPr>
  </w:style>
  <w:style w:type="paragraph" w:customStyle="1" w:styleId="39">
    <w:name w:val="Char1"/>
    <w:basedOn w:val="1"/>
    <w:qFormat/>
    <w:uiPriority w:val="99"/>
    <w:pPr>
      <w:spacing w:line="480" w:lineRule="exact"/>
    </w:pPr>
    <w:rPr>
      <w:sz w:val="24"/>
    </w:rPr>
  </w:style>
  <w:style w:type="paragraph" w:customStyle="1" w:styleId="40">
    <w:name w:val="列出段落1"/>
    <w:basedOn w:val="1"/>
    <w:qFormat/>
    <w:uiPriority w:val="99"/>
    <w:pPr>
      <w:ind w:firstLine="420" w:firstLineChars="200"/>
    </w:pPr>
    <w:rPr>
      <w:rFonts w:ascii="Calibri" w:hAnsi="Calibri"/>
      <w:szCs w:val="22"/>
    </w:rPr>
  </w:style>
  <w:style w:type="paragraph" w:customStyle="1" w:styleId="41">
    <w:name w:val="_Style 28"/>
    <w:basedOn w:val="1"/>
    <w:qFormat/>
    <w:uiPriority w:val="99"/>
    <w:pPr>
      <w:ind w:firstLine="420" w:firstLineChars="200"/>
    </w:pPr>
  </w:style>
  <w:style w:type="paragraph" w:customStyle="1" w:styleId="42">
    <w:name w:val="Style2"/>
    <w:basedOn w:val="1"/>
    <w:qFormat/>
    <w:uiPriority w:val="99"/>
    <w:pPr>
      <w:adjustRightInd w:val="0"/>
      <w:jc w:val="center"/>
    </w:pPr>
    <w:rPr>
      <w:rFonts w:ascii="宋体"/>
      <w:kern w:val="0"/>
      <w:sz w:val="24"/>
    </w:rPr>
  </w:style>
  <w:style w:type="paragraph" w:customStyle="1" w:styleId="43">
    <w:name w:val="Style23"/>
    <w:basedOn w:val="1"/>
    <w:qFormat/>
    <w:uiPriority w:val="0"/>
    <w:pPr>
      <w:adjustRightInd w:val="0"/>
      <w:spacing w:line="292" w:lineRule="exact"/>
    </w:pPr>
    <w:rPr>
      <w:rFonts w:ascii="宋体"/>
      <w:kern w:val="0"/>
      <w:sz w:val="24"/>
    </w:rPr>
  </w:style>
  <w:style w:type="paragraph" w:customStyle="1" w:styleId="44">
    <w:name w:val="_Style 31"/>
    <w:hidden/>
    <w:semiHidden/>
    <w:qFormat/>
    <w:uiPriority w:val="99"/>
    <w:rPr>
      <w:rFonts w:ascii="Times New Roman" w:hAnsi="Times New Roman" w:eastAsia="宋体" w:cs="Times New Roman"/>
      <w:kern w:val="2"/>
      <w:sz w:val="21"/>
      <w:szCs w:val="24"/>
      <w:lang w:val="en-US" w:eastAsia="zh-CN" w:bidi="ar-SA"/>
    </w:rPr>
  </w:style>
  <w:style w:type="character" w:customStyle="1" w:styleId="45">
    <w:name w:val="标题 1 字符"/>
    <w:link w:val="2"/>
    <w:qFormat/>
    <w:locked/>
    <w:uiPriority w:val="9"/>
    <w:rPr>
      <w:rFonts w:asciiTheme="minorHAnsi" w:hAnsiTheme="minorHAnsi"/>
      <w:bCs/>
      <w:caps/>
      <w:kern w:val="2"/>
      <w:sz w:val="24"/>
    </w:rPr>
  </w:style>
  <w:style w:type="character" w:customStyle="1" w:styleId="46">
    <w:name w:val="页眉 字符"/>
    <w:link w:val="18"/>
    <w:qFormat/>
    <w:locked/>
    <w:uiPriority w:val="99"/>
    <w:rPr>
      <w:kern w:val="2"/>
      <w:sz w:val="18"/>
    </w:rPr>
  </w:style>
  <w:style w:type="character" w:customStyle="1" w:styleId="47">
    <w:name w:val="页脚 字符"/>
    <w:link w:val="17"/>
    <w:qFormat/>
    <w:locked/>
    <w:uiPriority w:val="99"/>
    <w:rPr>
      <w:kern w:val="2"/>
      <w:sz w:val="18"/>
    </w:rPr>
  </w:style>
  <w:style w:type="character" w:customStyle="1" w:styleId="48">
    <w:name w:val="dash6b63_6587__char1"/>
    <w:qFormat/>
    <w:uiPriority w:val="99"/>
    <w:rPr>
      <w:rFonts w:ascii="Times New Roman" w:hAnsi="Times New Roman"/>
      <w:sz w:val="20"/>
      <w:u w:val="none"/>
    </w:rPr>
  </w:style>
  <w:style w:type="character" w:customStyle="1" w:styleId="49">
    <w:name w:val="dash6b63_005f6587_005f_005fchar1__char1"/>
    <w:qFormat/>
    <w:uiPriority w:val="99"/>
    <w:rPr>
      <w:rFonts w:ascii="Times New Roman" w:hAnsi="Times New Roman"/>
      <w:sz w:val="20"/>
      <w:u w:val="none"/>
    </w:rPr>
  </w:style>
  <w:style w:type="character" w:customStyle="1" w:styleId="50">
    <w:name w:val="正文文本缩进 字符"/>
    <w:link w:val="11"/>
    <w:qFormat/>
    <w:locked/>
    <w:uiPriority w:val="99"/>
    <w:rPr>
      <w:rFonts w:eastAsia="楷体_GB2312"/>
      <w:spacing w:val="20"/>
      <w:sz w:val="28"/>
      <w:lang w:val="en-US" w:eastAsia="zh-CN"/>
    </w:rPr>
  </w:style>
  <w:style w:type="character" w:customStyle="1" w:styleId="51">
    <w:name w:val="文档结构图 字符"/>
    <w:link w:val="8"/>
    <w:semiHidden/>
    <w:qFormat/>
    <w:uiPriority w:val="99"/>
    <w:rPr>
      <w:sz w:val="24"/>
      <w:szCs w:val="24"/>
      <w:shd w:val="clear" w:color="auto" w:fill="000080"/>
    </w:rPr>
  </w:style>
  <w:style w:type="character" w:customStyle="1" w:styleId="52">
    <w:name w:val="Comment Text Char"/>
    <w:semiHidden/>
    <w:qFormat/>
    <w:locked/>
    <w:uiPriority w:val="99"/>
    <w:rPr>
      <w:rFonts w:eastAsia="宋体"/>
      <w:kern w:val="2"/>
      <w:sz w:val="24"/>
      <w:lang w:val="en-US" w:eastAsia="zh-CN"/>
    </w:rPr>
  </w:style>
  <w:style w:type="character" w:customStyle="1" w:styleId="53">
    <w:name w:val="批注主题 字符"/>
    <w:link w:val="25"/>
    <w:semiHidden/>
    <w:qFormat/>
    <w:uiPriority w:val="99"/>
    <w:rPr>
      <w:rFonts w:eastAsia="宋体"/>
      <w:b/>
      <w:bCs/>
      <w:kern w:val="2"/>
      <w:sz w:val="24"/>
      <w:szCs w:val="24"/>
      <w:lang w:val="en-US" w:eastAsia="zh-CN"/>
    </w:rPr>
  </w:style>
  <w:style w:type="character" w:customStyle="1" w:styleId="54">
    <w:name w:val="批注框文本 字符"/>
    <w:link w:val="16"/>
    <w:semiHidden/>
    <w:qFormat/>
    <w:uiPriority w:val="99"/>
    <w:rPr>
      <w:sz w:val="16"/>
      <w:szCs w:val="16"/>
    </w:rPr>
  </w:style>
  <w:style w:type="character" w:customStyle="1" w:styleId="55">
    <w:name w:val="日期 字符"/>
    <w:link w:val="15"/>
    <w:qFormat/>
    <w:locked/>
    <w:uiPriority w:val="99"/>
    <w:rPr>
      <w:rFonts w:ascii="Calibri" w:hAnsi="Calibri" w:eastAsia="宋体"/>
      <w:kern w:val="2"/>
      <w:sz w:val="22"/>
    </w:rPr>
  </w:style>
  <w:style w:type="character" w:customStyle="1" w:styleId="56">
    <w:name w:val="批注文字 字符"/>
    <w:link w:val="9"/>
    <w:semiHidden/>
    <w:qFormat/>
    <w:locked/>
    <w:uiPriority w:val="99"/>
    <w:rPr>
      <w:rFonts w:eastAsia="宋体"/>
      <w:kern w:val="2"/>
      <w:sz w:val="24"/>
      <w:lang w:val="en-US" w:eastAsia="zh-CN"/>
    </w:rPr>
  </w:style>
  <w:style w:type="character" w:customStyle="1" w:styleId="57">
    <w:name w:val="HTML 预设格式 字符"/>
    <w:link w:val="23"/>
    <w:qFormat/>
    <w:uiPriority w:val="99"/>
    <w:rPr>
      <w:rFonts w:ascii="Courier New" w:hAnsi="Courier New" w:cs="Courier New"/>
      <w:sz w:val="20"/>
      <w:szCs w:val="20"/>
    </w:rPr>
  </w:style>
  <w:style w:type="character" w:customStyle="1" w:styleId="58">
    <w:name w:val="Font Style68"/>
    <w:qFormat/>
    <w:uiPriority w:val="0"/>
    <w:rPr>
      <w:rFonts w:ascii="宋体" w:eastAsia="宋体" w:cs="宋体"/>
      <w:sz w:val="20"/>
      <w:szCs w:val="20"/>
    </w:rPr>
  </w:style>
  <w:style w:type="character" w:customStyle="1" w:styleId="59">
    <w:name w:val="Font Style96"/>
    <w:qFormat/>
    <w:uiPriority w:val="0"/>
    <w:rPr>
      <w:rFonts w:ascii="MingLiU" w:eastAsia="MingLiU" w:cs="MingLiU"/>
      <w:b/>
      <w:bCs/>
      <w:spacing w:val="-10"/>
      <w:w w:val="300"/>
      <w:sz w:val="8"/>
      <w:szCs w:val="8"/>
    </w:rPr>
  </w:style>
  <w:style w:type="paragraph" w:customStyle="1" w:styleId="60">
    <w:name w:val="列出段落2"/>
    <w:basedOn w:val="1"/>
    <w:unhideWhenUsed/>
    <w:qFormat/>
    <w:uiPriority w:val="99"/>
    <w:pPr>
      <w:ind w:firstLine="420" w:firstLineChars="200"/>
    </w:pPr>
  </w:style>
  <w:style w:type="paragraph" w:customStyle="1" w:styleId="61">
    <w:name w:val="Style38"/>
    <w:basedOn w:val="1"/>
    <w:qFormat/>
    <w:uiPriority w:val="0"/>
    <w:pPr>
      <w:adjustRightInd w:val="0"/>
      <w:spacing w:line="305" w:lineRule="exact"/>
      <w:ind w:firstLine="422"/>
      <w:jc w:val="left"/>
    </w:pPr>
    <w:rPr>
      <w:rFonts w:ascii="宋体"/>
      <w:kern w:val="0"/>
      <w:sz w:val="24"/>
    </w:rPr>
  </w:style>
  <w:style w:type="paragraph" w:customStyle="1" w:styleId="62">
    <w:name w:val="TOC 标题1"/>
    <w:basedOn w:val="2"/>
    <w:next w:val="1"/>
    <w:unhideWhenUsed/>
    <w:qFormat/>
    <w:uiPriority w:val="39"/>
    <w:pPr>
      <w:outlineLvl w:val="9"/>
    </w:pPr>
  </w:style>
  <w:style w:type="character" w:customStyle="1" w:styleId="63">
    <w:name w:val="已访问的超链接1"/>
    <w:unhideWhenUsed/>
    <w:qFormat/>
    <w:uiPriority w:val="99"/>
    <w:rPr>
      <w:color w:val="800080"/>
      <w:u w:val="single"/>
    </w:rPr>
  </w:style>
  <w:style w:type="character" w:customStyle="1" w:styleId="64">
    <w:name w:val="op_dict_text1"/>
    <w:basedOn w:val="28"/>
    <w:qFormat/>
    <w:uiPriority w:val="0"/>
  </w:style>
  <w:style w:type="character" w:customStyle="1" w:styleId="65">
    <w:name w:val="op_dict_text2"/>
    <w:basedOn w:val="28"/>
    <w:qFormat/>
    <w:uiPriority w:val="0"/>
  </w:style>
  <w:style w:type="character" w:customStyle="1" w:styleId="66">
    <w:name w:val="标题 3 字符"/>
    <w:link w:val="5"/>
    <w:semiHidden/>
    <w:qFormat/>
    <w:uiPriority w:val="0"/>
    <w:rPr>
      <w:b/>
      <w:bCs/>
      <w:kern w:val="2"/>
      <w:sz w:val="32"/>
      <w:szCs w:val="32"/>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8">
    <w:name w:val="题1"/>
    <w:basedOn w:val="1"/>
    <w:qFormat/>
    <w:uiPriority w:val="0"/>
    <w:pPr>
      <w:widowControl/>
      <w:adjustRightInd w:val="0"/>
      <w:snapToGrid w:val="0"/>
      <w:jc w:val="center"/>
      <w:outlineLvl w:val="0"/>
    </w:pPr>
    <w:rPr>
      <w:rFonts w:ascii="宋体" w:hAnsi="宋体" w:cs="Tahoma"/>
      <w:b/>
      <w:kern w:val="0"/>
      <w:sz w:val="24"/>
    </w:rPr>
  </w:style>
  <w:style w:type="paragraph" w:customStyle="1" w:styleId="69">
    <w:name w:val="题2"/>
    <w:basedOn w:val="1"/>
    <w:qFormat/>
    <w:uiPriority w:val="0"/>
    <w:pPr>
      <w:widowControl/>
      <w:adjustRightInd w:val="0"/>
      <w:snapToGrid w:val="0"/>
      <w:jc w:val="center"/>
      <w:outlineLvl w:val="1"/>
    </w:pPr>
    <w:rPr>
      <w:rFonts w:ascii="宋体" w:hAnsi="宋体" w:cs="Tahoma"/>
      <w:b/>
      <w:kern w:val="0"/>
    </w:rPr>
  </w:style>
  <w:style w:type="paragraph" w:styleId="70">
    <w:name w:val="List Paragraph"/>
    <w:basedOn w:val="1"/>
    <w:link w:val="79"/>
    <w:qFormat/>
    <w:uiPriority w:val="34"/>
    <w:pPr>
      <w:ind w:firstLine="420" w:firstLineChars="200"/>
    </w:pPr>
  </w:style>
  <w:style w:type="character" w:customStyle="1" w:styleId="71">
    <w:name w:val="标题 2 字符"/>
    <w:basedOn w:val="28"/>
    <w:link w:val="4"/>
    <w:qFormat/>
    <w:uiPriority w:val="0"/>
    <w:rPr>
      <w:rFonts w:ascii="Times" w:hAnsi="宋体" w:cs="宋体"/>
      <w:b/>
      <w:sz w:val="21"/>
      <w:szCs w:val="21"/>
    </w:rPr>
  </w:style>
  <w:style w:type="character" w:customStyle="1" w:styleId="72">
    <w:name w:val="标题 9 字符"/>
    <w:basedOn w:val="28"/>
    <w:link w:val="6"/>
    <w:qFormat/>
    <w:uiPriority w:val="0"/>
    <w:rPr>
      <w:rFonts w:ascii="Arial" w:hAnsi="Arial" w:eastAsia="黑体"/>
      <w:kern w:val="2"/>
      <w:sz w:val="21"/>
      <w:szCs w:val="21"/>
    </w:rPr>
  </w:style>
  <w:style w:type="paragraph" w:customStyle="1" w:styleId="73">
    <w:name w:val="TOC 标题2"/>
    <w:basedOn w:val="2"/>
    <w:next w:val="1"/>
    <w:unhideWhenUsed/>
    <w:qFormat/>
    <w:uiPriority w:val="39"/>
    <w:pPr>
      <w:keepNext/>
      <w:keepLines/>
      <w:tabs>
        <w:tab w:val="clear" w:pos="425"/>
      </w:tabs>
      <w:spacing w:before="480" w:line="276" w:lineRule="auto"/>
      <w:jc w:val="left"/>
      <w:outlineLvl w:val="9"/>
    </w:pPr>
    <w:rPr>
      <w:rFonts w:asciiTheme="majorHAnsi" w:hAnsiTheme="majorHAnsi" w:eastAsiaTheme="majorEastAsia" w:cstheme="majorBidi"/>
      <w:bCs w:val="0"/>
      <w:color w:val="376092" w:themeColor="accent1" w:themeShade="BF"/>
      <w:sz w:val="28"/>
      <w:szCs w:val="28"/>
    </w:rPr>
  </w:style>
  <w:style w:type="paragraph" w:customStyle="1" w:styleId="74">
    <w:name w:val="paragraph"/>
    <w:basedOn w:val="1"/>
    <w:qFormat/>
    <w:uiPriority w:val="0"/>
    <w:pPr>
      <w:widowControl/>
      <w:tabs>
        <w:tab w:val="clear" w:pos="720"/>
      </w:tabs>
      <w:spacing w:before="100" w:beforeAutospacing="1" w:after="100" w:afterAutospacing="1" w:line="240" w:lineRule="auto"/>
      <w:jc w:val="left"/>
    </w:pPr>
    <w:rPr>
      <w:rFonts w:ascii="宋体" w:hAnsi="宋体" w:cs="宋体"/>
      <w:kern w:val="0"/>
      <w:sz w:val="24"/>
      <w:szCs w:val="24"/>
    </w:rPr>
  </w:style>
  <w:style w:type="paragraph" w:customStyle="1" w:styleId="75">
    <w:name w:val="修订2"/>
    <w:hidden/>
    <w:semiHidden/>
    <w:qFormat/>
    <w:uiPriority w:val="99"/>
    <w:rPr>
      <w:rFonts w:ascii="Times New Roman" w:hAnsi="Times New Roman" w:eastAsia="宋体" w:cs="Times New Roman"/>
      <w:kern w:val="2"/>
      <w:sz w:val="21"/>
      <w:szCs w:val="21"/>
      <w:lang w:val="en-US" w:eastAsia="zh-CN" w:bidi="ar-SA"/>
    </w:rPr>
  </w:style>
  <w:style w:type="paragraph" w:customStyle="1" w:styleId="76">
    <w:name w:val="省标正文"/>
    <w:basedOn w:val="1"/>
    <w:qFormat/>
    <w:uiPriority w:val="0"/>
    <w:pPr>
      <w:tabs>
        <w:tab w:val="left" w:pos="900"/>
      </w:tabs>
    </w:pPr>
    <w:rPr>
      <w:color w:val="000000" w:themeColor="text1"/>
      <w14:textFill>
        <w14:solidFill>
          <w14:schemeClr w14:val="tx1"/>
        </w14:solidFill>
      </w14:textFill>
    </w:rPr>
  </w:style>
  <w:style w:type="paragraph" w:customStyle="1" w:styleId="77">
    <w:name w:val="段"/>
    <w:link w:val="7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78">
    <w:name w:val="段 Char"/>
    <w:link w:val="77"/>
    <w:qFormat/>
    <w:uiPriority w:val="0"/>
    <w:rPr>
      <w:rFonts w:ascii="宋体"/>
      <w:sz w:val="21"/>
    </w:rPr>
  </w:style>
  <w:style w:type="character" w:customStyle="1" w:styleId="79">
    <w:name w:val="列表段落 字符"/>
    <w:link w:val="70"/>
    <w:qFormat/>
    <w:uiPriority w:val="34"/>
    <w:rPr>
      <w:kern w:val="2"/>
      <w:sz w:val="21"/>
      <w:szCs w:val="21"/>
    </w:rPr>
  </w:style>
  <w:style w:type="paragraph" w:customStyle="1" w:styleId="80">
    <w:name w:val="_Style 5"/>
    <w:qFormat/>
    <w:uiPriority w:val="0"/>
    <w:pPr>
      <w:widowControl w:val="0"/>
      <w:ind w:firstLine="200" w:firstLineChars="200"/>
      <w:jc w:val="both"/>
    </w:pPr>
    <w:rPr>
      <w:rFonts w:ascii="Times New Roman" w:hAnsi="Times New Roman" w:eastAsia="宋体" w:cs="Times New Roman"/>
      <w:kern w:val="2"/>
      <w:sz w:val="24"/>
      <w:lang w:val="en-US" w:eastAsia="zh-CN" w:bidi="ar-SA"/>
    </w:rPr>
  </w:style>
  <w:style w:type="character" w:customStyle="1" w:styleId="81">
    <w:name w:val="正文文本 字符"/>
    <w:basedOn w:val="28"/>
    <w:link w:val="10"/>
    <w:qFormat/>
    <w:uiPriority w:val="0"/>
    <w:rPr>
      <w:kern w:val="2"/>
      <w:sz w:val="21"/>
      <w:szCs w:val="24"/>
    </w:rPr>
  </w:style>
  <w:style w:type="paragraph" w:customStyle="1" w:styleId="82">
    <w:name w:val="ZZ"/>
    <w:basedOn w:val="1"/>
    <w:link w:val="83"/>
    <w:qFormat/>
    <w:uiPriority w:val="0"/>
    <w:pPr>
      <w:widowControl/>
      <w:tabs>
        <w:tab w:val="clear" w:pos="720"/>
      </w:tabs>
      <w:ind w:firstLine="480" w:firstLineChars="200"/>
      <w:jc w:val="left"/>
    </w:pPr>
    <w:rPr>
      <w:rFonts w:ascii="宋体" w:hAnsi="宋体"/>
      <w:kern w:val="0"/>
      <w:sz w:val="24"/>
      <w:szCs w:val="24"/>
      <w:lang w:val="zh-CN"/>
    </w:rPr>
  </w:style>
  <w:style w:type="character" w:customStyle="1" w:styleId="83">
    <w:name w:val="ZZ Char"/>
    <w:link w:val="82"/>
    <w:qFormat/>
    <w:uiPriority w:val="0"/>
    <w:rPr>
      <w:rFonts w:ascii="宋体" w:hAnsi="宋体"/>
      <w:sz w:val="24"/>
      <w:szCs w:val="24"/>
      <w:lang w:val="zh-CN"/>
    </w:rPr>
  </w:style>
  <w:style w:type="paragraph" w:customStyle="1" w:styleId="84">
    <w:name w:val="省标的表内容"/>
    <w:basedOn w:val="1"/>
    <w:qFormat/>
    <w:uiPriority w:val="0"/>
    <w:pPr>
      <w:tabs>
        <w:tab w:val="clear" w:pos="720"/>
      </w:tabs>
      <w:spacing w:line="240" w:lineRule="auto"/>
      <w:jc w:val="center"/>
    </w:pPr>
    <w:rPr>
      <w:rFonts w:cstheme="minorBidi"/>
      <w:sz w:val="18"/>
    </w:rPr>
  </w:style>
  <w:style w:type="paragraph" w:customStyle="1" w:styleId="85">
    <w:name w:val="图表标题"/>
    <w:basedOn w:val="1"/>
    <w:link w:val="86"/>
    <w:qFormat/>
    <w:uiPriority w:val="0"/>
    <w:pPr>
      <w:tabs>
        <w:tab w:val="clear" w:pos="720"/>
      </w:tabs>
      <w:jc w:val="center"/>
    </w:pPr>
    <w:rPr>
      <w:rFonts w:cstheme="minorBidi"/>
      <w:b/>
      <w:szCs w:val="24"/>
    </w:rPr>
  </w:style>
  <w:style w:type="character" w:customStyle="1" w:styleId="86">
    <w:name w:val="图表标题 Char"/>
    <w:link w:val="85"/>
    <w:qFormat/>
    <w:uiPriority w:val="0"/>
    <w:rPr>
      <w:rFonts w:cstheme="minorBidi"/>
      <w:b/>
      <w:kern w:val="2"/>
      <w:sz w:val="21"/>
      <w:szCs w:val="24"/>
    </w:rPr>
  </w:style>
  <w:style w:type="table" w:customStyle="1" w:styleId="87">
    <w:name w:val="网格型5"/>
    <w:basedOn w:val="26"/>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emf"/><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jpe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9313</Words>
  <Characters>53087</Characters>
  <Lines>442</Lines>
  <Paragraphs>124</Paragraphs>
  <TotalTime>11</TotalTime>
  <ScaleCrop>false</ScaleCrop>
  <LinksUpToDate>false</LinksUpToDate>
  <CharactersWithSpaces>62276</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2023-11-22T18:28:00Z</dcterms:created>
  <dc:creator>徐世杨</dc:creator>
  <cp:lastModifiedBy>huawei</cp:lastModifiedBy>
  <cp:lastPrinted>2022-05-14T05:59:00Z</cp:lastPrinted>
  <dcterms:modified xsi:type="dcterms:W3CDTF">2024-01-12T09:46:13Z</dcterms:modified>
  <dc:title>企业标准题目：广州市轨道交通结构安全保护控制标准（暂定）</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