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仿宋" w:hAnsi="仿宋" w:eastAsia="仿宋"/>
          <w:sz w:val="30"/>
          <w:szCs w:val="30"/>
        </w:rPr>
      </w:pPr>
      <w:r>
        <w:rPr>
          <w:rFonts w:hint="eastAsia" w:ascii="仿宋" w:hAnsi="仿宋" w:eastAsia="仿宋"/>
          <w:sz w:val="30"/>
          <w:szCs w:val="30"/>
        </w:rPr>
        <w:t>建科规〔</w:t>
      </w:r>
      <w:r>
        <w:rPr>
          <w:rFonts w:ascii="仿宋" w:hAnsi="仿宋" w:eastAsia="仿宋"/>
          <w:sz w:val="30"/>
          <w:szCs w:val="30"/>
        </w:rPr>
        <w:t>2020〕7号</w:t>
      </w:r>
    </w:p>
    <w:p/>
    <w:p>
      <w:pPr>
        <w:jc w:val="center"/>
        <w:rPr>
          <w:rFonts w:ascii="宋体" w:hAnsi="宋体" w:eastAsia="宋体"/>
          <w:b/>
          <w:bCs/>
          <w:sz w:val="44"/>
          <w:szCs w:val="44"/>
        </w:rPr>
      </w:pPr>
      <w:r>
        <w:rPr>
          <w:rFonts w:hint="eastAsia" w:ascii="宋体" w:hAnsi="宋体" w:eastAsia="宋体"/>
          <w:b/>
          <w:bCs/>
          <w:sz w:val="44"/>
          <w:szCs w:val="44"/>
        </w:rPr>
        <w:t>住房和城乡建设部等部门关于开展</w:t>
      </w:r>
    </w:p>
    <w:p>
      <w:pPr>
        <w:jc w:val="center"/>
        <w:rPr>
          <w:rFonts w:ascii="宋体" w:hAnsi="宋体" w:eastAsia="宋体"/>
          <w:b/>
          <w:bCs/>
          <w:sz w:val="44"/>
          <w:szCs w:val="44"/>
        </w:rPr>
      </w:pPr>
      <w:r>
        <w:rPr>
          <w:rFonts w:hint="eastAsia" w:ascii="宋体" w:hAnsi="宋体" w:eastAsia="宋体"/>
          <w:b/>
          <w:bCs/>
          <w:sz w:val="44"/>
          <w:szCs w:val="44"/>
        </w:rPr>
        <w:t>城市居住社区建设补短板行动的意见</w:t>
      </w:r>
    </w:p>
    <w:p>
      <w:pPr>
        <w:jc w:val="center"/>
      </w:pPr>
    </w:p>
    <w:p>
      <w:pPr>
        <w:jc w:val="left"/>
        <w:rPr>
          <w:rFonts w:hint="eastAsia" w:ascii="仿宋" w:hAnsi="仿宋" w:eastAsia="仿宋"/>
          <w:sz w:val="30"/>
          <w:szCs w:val="30"/>
        </w:rPr>
      </w:pPr>
      <w:r>
        <w:rPr>
          <w:rFonts w:hint="eastAsia" w:ascii="仿宋" w:hAnsi="仿宋" w:eastAsia="仿宋"/>
          <w:sz w:val="30"/>
          <w:szCs w:val="30"/>
        </w:rPr>
        <w:t>各省、自治区、直辖市住房和城乡建设厅（委、管委）、教育厅（委）、通信管理局、公安厅（局）、商务主管部门、文化和旅游厅（局）、卫生健康委、市场监管局（厅、委）、体育局、能源局、邮政局、残联，国家税务总局各省、自治区、直辖市和计划单列市税务局，新疆生产建设兵</w:t>
      </w:r>
      <w:bookmarkStart w:id="0" w:name="_GoBack"/>
      <w:bookmarkEnd w:id="0"/>
      <w:r>
        <w:rPr>
          <w:rFonts w:hint="eastAsia" w:ascii="仿宋" w:hAnsi="仿宋" w:eastAsia="仿宋"/>
          <w:sz w:val="30"/>
          <w:szCs w:val="30"/>
        </w:rPr>
        <w:t>团住房和城乡建设局、教育局、公安局、商务主管部门、文化和旅游局、卫生健康委、市场监管局、体育局、能源局、邮政局、残联：</w:t>
      </w:r>
    </w:p>
    <w:p>
      <w:pPr>
        <w:jc w:val="left"/>
        <w:rPr>
          <w:rFonts w:hint="eastAsia" w:ascii="仿宋" w:hAnsi="仿宋" w:eastAsia="仿宋"/>
          <w:sz w:val="30"/>
          <w:szCs w:val="30"/>
        </w:rPr>
      </w:pPr>
      <w:r>
        <w:rPr>
          <w:rFonts w:hint="eastAsia" w:ascii="仿宋" w:hAnsi="仿宋" w:eastAsia="仿宋"/>
          <w:sz w:val="30"/>
          <w:szCs w:val="30"/>
        </w:rPr>
        <w:t>　　居住社区是城市居民生活和城市治理的基本单元，是党和政府联系、服务人民群众的“最后一公里”。当前，居住社区存在规模不合理、设施不完善、公共活动空间不足、物业管理覆盖面不高、管理机制不健全等突出问题和短板，与人民日益增长的美好生活需要还有较大差距。为贯彻落实习近平总书记关于更好为社区居民提供精准化、精细化服务的重要指示精神，建设让人民群众满意的完整居住社区，现就开展居住社区建设补短板行动提出以下意见：</w:t>
      </w:r>
    </w:p>
    <w:p>
      <w:pPr>
        <w:jc w:val="left"/>
        <w:rPr>
          <w:rFonts w:hint="eastAsia" w:ascii="仿宋" w:hAnsi="仿宋" w:eastAsia="仿宋"/>
          <w:sz w:val="30"/>
          <w:szCs w:val="30"/>
        </w:rPr>
      </w:pPr>
      <w:r>
        <w:rPr>
          <w:rFonts w:hint="eastAsia" w:ascii="仿宋" w:hAnsi="仿宋" w:eastAsia="仿宋"/>
          <w:sz w:val="30"/>
          <w:szCs w:val="30"/>
        </w:rPr>
        <w:t>　　一、总体要求</w:t>
      </w:r>
    </w:p>
    <w:p>
      <w:pPr>
        <w:jc w:val="left"/>
        <w:rPr>
          <w:rFonts w:hint="eastAsia" w:ascii="仿宋" w:hAnsi="仿宋" w:eastAsia="仿宋"/>
          <w:sz w:val="30"/>
          <w:szCs w:val="30"/>
        </w:rPr>
      </w:pPr>
      <w:r>
        <w:rPr>
          <w:rFonts w:hint="eastAsia" w:ascii="仿宋" w:hAnsi="仿宋" w:eastAsia="仿宋"/>
          <w:sz w:val="30"/>
          <w:szCs w:val="30"/>
        </w:rPr>
        <w:t>　　（一）指导思想。以习近平新时代中国特色社会主义思想为指导，全面贯彻党的十九大和十九届二中、三中、四中全会精神，坚持以人民为中心的发展思想，坚持新发展理念，以建设安全健康、设施完善、管理有序的完整居住社区为目标，以完善居住社区配套设施为着力点，大力开展居住社区建设补短板行动，提升居住社区建设质量、服务水平和管理能力，增强人民群众获得感、幸福感、安全感。</w:t>
      </w:r>
    </w:p>
    <w:p>
      <w:pPr>
        <w:jc w:val="left"/>
        <w:rPr>
          <w:rFonts w:hint="eastAsia" w:ascii="仿宋" w:hAnsi="仿宋" w:eastAsia="仿宋"/>
          <w:sz w:val="30"/>
          <w:szCs w:val="30"/>
        </w:rPr>
      </w:pPr>
      <w:r>
        <w:rPr>
          <w:rFonts w:hint="eastAsia" w:ascii="仿宋" w:hAnsi="仿宋" w:eastAsia="仿宋"/>
          <w:sz w:val="30"/>
          <w:szCs w:val="30"/>
        </w:rPr>
        <w:t>　　（二）工作目标。到</w:t>
      </w:r>
      <w:r>
        <w:rPr>
          <w:rFonts w:ascii="仿宋" w:hAnsi="仿宋" w:eastAsia="仿宋"/>
          <w:sz w:val="30"/>
          <w:szCs w:val="30"/>
        </w:rPr>
        <w:t>2025年，基本补齐既有居住社区设施短板，新建居住社区同步配建各类设施，城市居住社区环境明显改善，共建共治共享机制不断健全，全国地级及以上城市完整居住社区覆盖率显著提升。</w:t>
      </w:r>
    </w:p>
    <w:p>
      <w:pPr>
        <w:jc w:val="left"/>
        <w:rPr>
          <w:rFonts w:hint="eastAsia" w:ascii="仿宋" w:hAnsi="仿宋" w:eastAsia="仿宋"/>
          <w:sz w:val="30"/>
          <w:szCs w:val="30"/>
        </w:rPr>
      </w:pPr>
      <w:r>
        <w:rPr>
          <w:rFonts w:hint="eastAsia" w:ascii="仿宋" w:hAnsi="仿宋" w:eastAsia="仿宋"/>
          <w:sz w:val="30"/>
          <w:szCs w:val="30"/>
        </w:rPr>
        <w:t>　　二、重点任务</w:t>
      </w:r>
    </w:p>
    <w:p>
      <w:pPr>
        <w:jc w:val="left"/>
        <w:rPr>
          <w:rFonts w:hint="eastAsia" w:ascii="仿宋" w:hAnsi="仿宋" w:eastAsia="仿宋"/>
          <w:sz w:val="30"/>
          <w:szCs w:val="30"/>
        </w:rPr>
      </w:pPr>
      <w:r>
        <w:rPr>
          <w:rFonts w:hint="eastAsia" w:ascii="仿宋" w:hAnsi="仿宋" w:eastAsia="仿宋"/>
          <w:sz w:val="30"/>
          <w:szCs w:val="30"/>
        </w:rPr>
        <w:t>　　（一）合理确定居住社区规模。以居民步行</w:t>
      </w:r>
      <w:r>
        <w:rPr>
          <w:rFonts w:ascii="仿宋" w:hAnsi="仿宋" w:eastAsia="仿宋"/>
          <w:sz w:val="30"/>
          <w:szCs w:val="30"/>
        </w:rPr>
        <w:t>5—10分钟到达幼儿园、老年服务站等社区基本公共服务设施为原则，以城市道路网、自然地形地貌和现状居住小区等为基础，与社区居民委员会管理和服务范围相对接，因地制宜合理确定居住社区规模，原则上单个居住社区以0.5—1.2万人口规模为宜。要结合实际统筹划定和调整居住社区范围，明确居住社区建设补短板行动的实施单元。</w:t>
      </w:r>
    </w:p>
    <w:p>
      <w:pPr>
        <w:jc w:val="left"/>
        <w:rPr>
          <w:rFonts w:hint="eastAsia" w:ascii="仿宋" w:hAnsi="仿宋" w:eastAsia="仿宋"/>
          <w:sz w:val="30"/>
          <w:szCs w:val="30"/>
        </w:rPr>
      </w:pPr>
      <w:r>
        <w:rPr>
          <w:rFonts w:hint="eastAsia" w:ascii="仿宋" w:hAnsi="仿宋" w:eastAsia="仿宋"/>
          <w:sz w:val="30"/>
          <w:szCs w:val="30"/>
        </w:rPr>
        <w:t>　　（二）落实完整居住社区建设标准。按照《完整居住社区建设标准（试行）》（附件），结合地方实际，细化完善居住社区基本公共服务设施、便民商业服务设施、市政配套基础设施和公共活动空间建设内容和形式，作为开展居住社区建设补短板行动的主要依据。</w:t>
      </w:r>
    </w:p>
    <w:p>
      <w:pPr>
        <w:jc w:val="left"/>
        <w:rPr>
          <w:rFonts w:hint="eastAsia" w:ascii="仿宋" w:hAnsi="仿宋" w:eastAsia="仿宋"/>
          <w:sz w:val="30"/>
          <w:szCs w:val="30"/>
        </w:rPr>
      </w:pPr>
      <w:r>
        <w:rPr>
          <w:rFonts w:hint="eastAsia" w:ascii="仿宋" w:hAnsi="仿宋" w:eastAsia="仿宋"/>
          <w:sz w:val="30"/>
          <w:szCs w:val="30"/>
        </w:rPr>
        <w:t>　　（三）因地制宜补齐既有居住社区建设短板。结合城镇老旧小区改造等城市更新改造工作，通过补建、购置、置换、租赁、改造等方式，因地制宜补齐既有居住社区建设短板。优先实施排水防涝设施建设、雨污水管网混错接改造。充分利用居住社区内空地、荒地及拆除违法建设腾空土地等配建设施，增加公共活动空间。统筹利用公有住房、社区居民委员会办公用房和社区综合服务设施、闲置锅炉房等存量房屋资源，增设基本公共服务设施和便民商业服务设施。要区分轻重缓急，优先在居住社区内配建居民最需要的设施。推进相邻居住社区及周边地区统筹建设、联动改造，加强各类配套设施和公共活动空间共建共享。加强居住社区无障碍环境建设和改造，为居民出行、生活提供便利。</w:t>
      </w:r>
    </w:p>
    <w:p>
      <w:pPr>
        <w:jc w:val="left"/>
        <w:rPr>
          <w:rFonts w:hint="eastAsia" w:ascii="仿宋" w:hAnsi="仿宋" w:eastAsia="仿宋"/>
          <w:sz w:val="30"/>
          <w:szCs w:val="30"/>
        </w:rPr>
      </w:pPr>
      <w:r>
        <w:rPr>
          <w:rFonts w:hint="eastAsia" w:ascii="仿宋" w:hAnsi="仿宋" w:eastAsia="仿宋"/>
          <w:sz w:val="30"/>
          <w:szCs w:val="30"/>
        </w:rPr>
        <w:t>　　（四）确保新建住宅项目同步配建设施。新建住宅项目要按照完整居住社区建设标准，将基本公共服务、便民商业服务等设施和公共活动空间建设作为开发建设配套要求，明确规模、产权和移交等规定，确保与住宅同步规划、同步建设、同步验收和同步交付，并按照有关规定和合同约定做好产权移交。规模较小的新建住宅项目，要在科学评估周边既有设施基础上按需配建；规模较大的，要合理划分成几个规模适宜的居住社区，按照标准配齐设施。地方相关行政主管部门要切实履行监督职责，确保产权人按照规定使用配套设施，未经法定程序，任何组织和个人不得擅自改变用途和性质。</w:t>
      </w:r>
    </w:p>
    <w:p>
      <w:pPr>
        <w:jc w:val="left"/>
        <w:rPr>
          <w:rFonts w:hint="eastAsia" w:ascii="仿宋" w:hAnsi="仿宋" w:eastAsia="仿宋"/>
          <w:sz w:val="30"/>
          <w:szCs w:val="30"/>
        </w:rPr>
      </w:pPr>
      <w:r>
        <w:rPr>
          <w:rFonts w:hint="eastAsia" w:ascii="仿宋" w:hAnsi="仿宋" w:eastAsia="仿宋"/>
          <w:sz w:val="30"/>
          <w:szCs w:val="30"/>
        </w:rPr>
        <w:t>　　（五）健全共建共治共享机制。按照基层党组织领导下的多方参与治理要求，推动建立“党委领导、政府组织、业主参与、企业服务”的居住社区管理机制。鼓励引入专业化物业服务，暂不具备条件的，通过社区托管、社会组织代管或居民自管等方式，提高物业管理覆盖率。推动城市管理进社区，将城市综合管理服务平台与物业管理服务平台相衔接，提高城市管理覆盖面，依法依规查处私搭乱建等违法违规行为，协助开展社区环境整治活动。</w:t>
      </w:r>
    </w:p>
    <w:p>
      <w:pPr>
        <w:jc w:val="left"/>
        <w:rPr>
          <w:rFonts w:hint="eastAsia" w:ascii="仿宋" w:hAnsi="仿宋" w:eastAsia="仿宋"/>
          <w:sz w:val="30"/>
          <w:szCs w:val="30"/>
        </w:rPr>
      </w:pPr>
      <w:r>
        <w:rPr>
          <w:rFonts w:hint="eastAsia" w:ascii="仿宋" w:hAnsi="仿宋" w:eastAsia="仿宋"/>
          <w:sz w:val="30"/>
          <w:szCs w:val="30"/>
        </w:rPr>
        <w:t>　　三、组织实施</w:t>
      </w:r>
    </w:p>
    <w:p>
      <w:pPr>
        <w:jc w:val="left"/>
        <w:rPr>
          <w:rFonts w:hint="eastAsia" w:ascii="仿宋" w:hAnsi="仿宋" w:eastAsia="仿宋"/>
          <w:sz w:val="30"/>
          <w:szCs w:val="30"/>
        </w:rPr>
      </w:pPr>
      <w:r>
        <w:rPr>
          <w:rFonts w:hint="eastAsia" w:ascii="仿宋" w:hAnsi="仿宋" w:eastAsia="仿宋"/>
          <w:sz w:val="30"/>
          <w:szCs w:val="30"/>
        </w:rPr>
        <w:t>　　（一）加强组织领导和部门协调。各级住房和城乡建设部门要会同教育、工业和信息化、公安、商务、文化和旅游、卫生健康、税务、市场监管、体育、能源、邮政管理、残联等部门建立协同机制，统筹整合涉及居住社区建设的各类资源、资金和力量，有序开展居住社区建设补短板行动。住房和城乡建设部门要结合城镇老旧小区改造、绿色社区创建、棚户区改造等同步推进居住社区建设补短板行动，建立居住社区建设项目审批绿色通道，加强对幼儿园、养老等基本公共服务设施的设计、建设、验收、移交的监管落实，提高物业管理覆盖率，推动城市管理进社区。教育部门要配合有关部门做好居住社区配套幼儿园规划、建设、验收、移交等工作。工业和信息化部门要加快光纤入户和多网融合。公安机关要加强社区警务工作及警务室建设，推进社区智能安防设施及系统建设。商务部门要支持便民商业服务设施建设，鼓励小店“一店多能”提供多样化便民服务，引导连锁企业进社区提供优质服务。文化和旅游部门要支持社区文化设施建设。卫生健康部门要协调有关部门加强社区卫生服务机构建设，完善婴幼儿照护服务政策规范。税务部门要落实社区服务税收优惠政策。市场监管部门要依法对住宅加装的电梯实施监督检验和使用登记。体育部门要加大对社区健身场地设施建设的指导支持力度，协调有关资金向居住社区倾斜。能源部门要支持居住社区充电桩等设施建设。邮政管理部门要加强对居住社区快递末端网点的监督管理。残联要积极组织残疾人代表开展体验活动，配合推进社区无障碍环境建设和改造工作。</w:t>
      </w:r>
    </w:p>
    <w:p>
      <w:pPr>
        <w:jc w:val="left"/>
        <w:rPr>
          <w:rFonts w:hint="eastAsia" w:ascii="仿宋" w:hAnsi="仿宋" w:eastAsia="仿宋"/>
          <w:sz w:val="30"/>
          <w:szCs w:val="30"/>
        </w:rPr>
      </w:pPr>
      <w:r>
        <w:rPr>
          <w:rFonts w:hint="eastAsia" w:ascii="仿宋" w:hAnsi="仿宋" w:eastAsia="仿宋"/>
          <w:sz w:val="30"/>
          <w:szCs w:val="30"/>
        </w:rPr>
        <w:t>　　（二）制定行动计划。各城市住房和城乡建设部门要会同有关部门按照完整居住社区建设标准，开展居住社区建设情况调查，摸清居住社区规模和数量，找准各类设施和公共活动空间建设短板，制定居住社区建设补短板行动计划，明确行动目标、重点任务和推进时序，并与城镇老旧小区改造计划等相衔接。按照行动计划，细化年度工作任务和建设项目库，纳入政府重点工作统筹推进。</w:t>
      </w:r>
    </w:p>
    <w:p>
      <w:pPr>
        <w:jc w:val="left"/>
        <w:rPr>
          <w:rFonts w:hint="eastAsia" w:ascii="仿宋" w:hAnsi="仿宋" w:eastAsia="仿宋"/>
          <w:sz w:val="30"/>
          <w:szCs w:val="30"/>
        </w:rPr>
      </w:pPr>
      <w:r>
        <w:rPr>
          <w:rFonts w:hint="eastAsia" w:ascii="仿宋" w:hAnsi="仿宋" w:eastAsia="仿宋"/>
          <w:sz w:val="30"/>
          <w:szCs w:val="30"/>
        </w:rPr>
        <w:t>　　（三）推动社会力量参与。通过政府采购、新增设施有偿使用、落实资产权益等方式，吸引各类专业机构等社会力量参与居住社区配套设施建设和运营。支持规范各类企业以政府和社会资本合作模式开展设施建设和改造。引导供水、供气、供热、供电、通信等专业经营单位履行社会责任，出资参与相关管线设施设备的改造提升及维护更新管理。建立物业管理服务平台，推动物业服务企业发展线上线下社区服务业，接入电子商务、健身、文化、旅游、家装、租赁等各类优质服务，拓展家政、教育、护理、养老等增值服务。</w:t>
      </w:r>
    </w:p>
    <w:p>
      <w:pPr>
        <w:jc w:val="left"/>
        <w:rPr>
          <w:rFonts w:hint="eastAsia" w:ascii="仿宋" w:hAnsi="仿宋" w:eastAsia="仿宋"/>
          <w:sz w:val="30"/>
          <w:szCs w:val="30"/>
        </w:rPr>
      </w:pPr>
      <w:r>
        <w:rPr>
          <w:rFonts w:hint="eastAsia" w:ascii="仿宋" w:hAnsi="仿宋" w:eastAsia="仿宋"/>
          <w:sz w:val="30"/>
          <w:szCs w:val="30"/>
        </w:rPr>
        <w:t>　　（四）动员居民广泛参与。以开展居住社区建设补短板行动为载体，大力推进美好环境与幸福生活共同缔造活动，搭建沟通议事平台，充分发挥居民主体作用，推动实现决策共谋、发展共建、建设共管、效果共评、成果共享。引导各类专业人员进社区，辅导居民参与居住社区建设和管理。加强培训和宣传，发掘和培养一批懂建设、会管理的老模范、老党员、老干部等社区能人。建立激励机制，引导和鼓励居民通过捐资捐物、投工投劳等方式参与居住社区建设。发布社区居民公约，促进居民自我管理、自我服务。</w:t>
      </w:r>
    </w:p>
    <w:p>
      <w:pPr>
        <w:ind w:firstLine="420"/>
        <w:jc w:val="left"/>
        <w:rPr>
          <w:rFonts w:ascii="仿宋" w:hAnsi="仿宋" w:eastAsia="仿宋"/>
          <w:sz w:val="30"/>
          <w:szCs w:val="30"/>
        </w:rPr>
      </w:pPr>
      <w:r>
        <w:rPr>
          <w:rFonts w:hint="eastAsia" w:ascii="仿宋" w:hAnsi="仿宋" w:eastAsia="仿宋"/>
          <w:sz w:val="30"/>
          <w:szCs w:val="30"/>
        </w:rPr>
        <w:t>（五）做好评估和总结。各省级住房和城乡建设部门要会同有关部门加强跟踪督导，定期开展本辖区居住社区建设补短板行动评估，每年</w:t>
      </w:r>
      <w:r>
        <w:rPr>
          <w:rFonts w:ascii="仿宋" w:hAnsi="仿宋" w:eastAsia="仿宋"/>
          <w:sz w:val="30"/>
          <w:szCs w:val="30"/>
        </w:rPr>
        <w:t>11月30日前将工作进展情况报送住房和城乡建设部，2025年底前对城市居住社区建设补短板行动进行总结。住房和城乡建设部会同有关部门将定期对全国居住社区建设补短板行动进行调研评估。</w:t>
      </w:r>
    </w:p>
    <w:p>
      <w:pPr>
        <w:ind w:firstLine="420"/>
        <w:jc w:val="left"/>
        <w:rPr>
          <w:rFonts w:hint="eastAsia" w:ascii="仿宋" w:hAnsi="仿宋" w:eastAsia="仿宋"/>
          <w:sz w:val="30"/>
          <w:szCs w:val="30"/>
        </w:rPr>
      </w:pPr>
    </w:p>
    <w:p>
      <w:pPr>
        <w:jc w:val="left"/>
        <w:rPr>
          <w:rFonts w:hint="eastAsia" w:ascii="仿宋" w:hAnsi="仿宋" w:eastAsia="仿宋"/>
          <w:sz w:val="30"/>
          <w:szCs w:val="30"/>
        </w:rPr>
      </w:pPr>
      <w:r>
        <w:rPr>
          <w:rFonts w:hint="eastAsia" w:ascii="仿宋" w:hAnsi="仿宋" w:eastAsia="仿宋"/>
          <w:sz w:val="30"/>
          <w:szCs w:val="30"/>
        </w:rPr>
        <w:t>　　附件：完整居住社区建设标准（试行）</w:t>
      </w:r>
    </w:p>
    <w:p>
      <w:pPr>
        <w:jc w:val="left"/>
        <w:rPr>
          <w:rFonts w:ascii="仿宋" w:hAnsi="仿宋" w:eastAsia="仿宋"/>
          <w:sz w:val="30"/>
          <w:szCs w:val="30"/>
        </w:rPr>
      </w:pPr>
    </w:p>
    <w:p>
      <w:pPr>
        <w:jc w:val="left"/>
        <w:rPr>
          <w:rFonts w:hint="eastAsia" w:ascii="仿宋" w:hAnsi="仿宋" w:eastAsia="仿宋"/>
          <w:sz w:val="30"/>
          <w:szCs w:val="30"/>
        </w:rPr>
      </w:pPr>
    </w:p>
    <w:p>
      <w:pPr>
        <w:jc w:val="right"/>
        <w:rPr>
          <w:rFonts w:ascii="仿宋" w:hAnsi="仿宋" w:eastAsia="仿宋"/>
          <w:sz w:val="30"/>
          <w:szCs w:val="30"/>
        </w:rPr>
      </w:pPr>
      <w:r>
        <w:rPr>
          <w:rFonts w:hint="eastAsia" w:ascii="仿宋" w:hAnsi="仿宋" w:eastAsia="仿宋"/>
          <w:sz w:val="30"/>
          <w:szCs w:val="30"/>
        </w:rPr>
        <w:t>中华人民共和国住房和城乡建设部</w:t>
      </w:r>
    </w:p>
    <w:p>
      <w:pPr>
        <w:wordWrap w:val="0"/>
        <w:jc w:val="right"/>
        <w:rPr>
          <w:rFonts w:ascii="仿宋" w:hAnsi="仿宋" w:eastAsia="仿宋"/>
          <w:sz w:val="30"/>
          <w:szCs w:val="30"/>
        </w:rPr>
      </w:pPr>
      <w:r>
        <w:rPr>
          <w:rFonts w:hint="eastAsia" w:ascii="仿宋" w:hAnsi="仿宋" w:eastAsia="仿宋"/>
          <w:sz w:val="30"/>
          <w:szCs w:val="30"/>
        </w:rPr>
        <w:t>中华人民共和国教育部　　</w:t>
      </w:r>
    </w:p>
    <w:p>
      <w:pPr>
        <w:jc w:val="right"/>
        <w:rPr>
          <w:rFonts w:ascii="仿宋" w:hAnsi="仿宋" w:eastAsia="仿宋"/>
          <w:sz w:val="30"/>
          <w:szCs w:val="30"/>
        </w:rPr>
      </w:pPr>
      <w:r>
        <w:rPr>
          <w:rFonts w:hint="eastAsia" w:ascii="仿宋" w:hAnsi="仿宋" w:eastAsia="仿宋"/>
          <w:sz w:val="30"/>
          <w:szCs w:val="30"/>
        </w:rPr>
        <w:t>中华人民共和国工业和信息化部</w:t>
      </w:r>
    </w:p>
    <w:p>
      <w:pPr>
        <w:wordWrap w:val="0"/>
        <w:jc w:val="right"/>
        <w:rPr>
          <w:rFonts w:ascii="仿宋" w:hAnsi="仿宋" w:eastAsia="仿宋"/>
          <w:sz w:val="30"/>
          <w:szCs w:val="30"/>
        </w:rPr>
      </w:pPr>
      <w:r>
        <w:rPr>
          <w:rFonts w:hint="eastAsia" w:ascii="仿宋" w:hAnsi="仿宋" w:eastAsia="仿宋"/>
          <w:sz w:val="30"/>
          <w:szCs w:val="30"/>
        </w:rPr>
        <w:t>中华人民共和国公安部　　</w:t>
      </w:r>
    </w:p>
    <w:p>
      <w:pPr>
        <w:wordWrap w:val="0"/>
        <w:jc w:val="right"/>
        <w:rPr>
          <w:rFonts w:ascii="仿宋" w:hAnsi="仿宋" w:eastAsia="仿宋"/>
          <w:sz w:val="30"/>
          <w:szCs w:val="30"/>
        </w:rPr>
      </w:pPr>
      <w:r>
        <w:rPr>
          <w:rFonts w:hint="eastAsia" w:ascii="仿宋" w:hAnsi="仿宋" w:eastAsia="仿宋"/>
          <w:sz w:val="30"/>
          <w:szCs w:val="30"/>
        </w:rPr>
        <w:t>中华人民共和国商务部　　</w:t>
      </w:r>
    </w:p>
    <w:p>
      <w:pPr>
        <w:jc w:val="right"/>
        <w:rPr>
          <w:rFonts w:ascii="仿宋" w:hAnsi="仿宋" w:eastAsia="仿宋"/>
          <w:sz w:val="30"/>
          <w:szCs w:val="30"/>
        </w:rPr>
      </w:pPr>
      <w:r>
        <w:rPr>
          <w:rFonts w:hint="eastAsia" w:ascii="仿宋" w:hAnsi="仿宋" w:eastAsia="仿宋"/>
          <w:sz w:val="30"/>
          <w:szCs w:val="30"/>
        </w:rPr>
        <w:t>中华人民共和国文化和旅游部</w:t>
      </w:r>
      <w:r>
        <w:rPr>
          <w:rFonts w:ascii="仿宋" w:hAnsi="仿宋" w:eastAsia="仿宋"/>
          <w:sz w:val="30"/>
          <w:szCs w:val="30"/>
        </w:rPr>
        <w:t xml:space="preserve">     </w:t>
      </w:r>
    </w:p>
    <w:p>
      <w:pPr>
        <w:jc w:val="right"/>
        <w:rPr>
          <w:rFonts w:ascii="仿宋" w:hAnsi="仿宋" w:eastAsia="仿宋"/>
          <w:sz w:val="30"/>
          <w:szCs w:val="30"/>
        </w:rPr>
      </w:pPr>
      <w:r>
        <w:rPr>
          <w:rFonts w:hint="eastAsia" w:ascii="仿宋" w:hAnsi="仿宋" w:eastAsia="仿宋"/>
          <w:sz w:val="30"/>
          <w:szCs w:val="30"/>
        </w:rPr>
        <w:t>中华人民共和国国家卫生健康委员会</w:t>
      </w:r>
    </w:p>
    <w:p>
      <w:pPr>
        <w:wordWrap w:val="0"/>
        <w:jc w:val="right"/>
        <w:rPr>
          <w:rFonts w:ascii="仿宋" w:hAnsi="仿宋" w:eastAsia="仿宋"/>
          <w:sz w:val="30"/>
          <w:szCs w:val="30"/>
        </w:rPr>
      </w:pPr>
      <w:r>
        <w:rPr>
          <w:rFonts w:hint="eastAsia" w:ascii="仿宋" w:hAnsi="仿宋" w:eastAsia="仿宋"/>
          <w:sz w:val="30"/>
          <w:szCs w:val="30"/>
        </w:rPr>
        <w:t>国家税务总局　　　　</w:t>
      </w:r>
    </w:p>
    <w:p>
      <w:pPr>
        <w:wordWrap w:val="0"/>
        <w:jc w:val="right"/>
        <w:rPr>
          <w:rFonts w:ascii="仿宋" w:hAnsi="仿宋" w:eastAsia="仿宋"/>
          <w:sz w:val="30"/>
          <w:szCs w:val="30"/>
        </w:rPr>
      </w:pPr>
      <w:r>
        <w:rPr>
          <w:rFonts w:hint="eastAsia" w:ascii="仿宋" w:hAnsi="仿宋" w:eastAsia="仿宋"/>
          <w:sz w:val="30"/>
          <w:szCs w:val="30"/>
        </w:rPr>
        <w:t>国家市场监督管理总局　　</w:t>
      </w:r>
    </w:p>
    <w:p>
      <w:pPr>
        <w:wordWrap w:val="0"/>
        <w:jc w:val="right"/>
        <w:rPr>
          <w:rFonts w:ascii="仿宋" w:hAnsi="仿宋" w:eastAsia="仿宋"/>
          <w:sz w:val="30"/>
          <w:szCs w:val="30"/>
        </w:rPr>
      </w:pPr>
      <w:r>
        <w:rPr>
          <w:rFonts w:hint="eastAsia" w:ascii="仿宋" w:hAnsi="仿宋" w:eastAsia="仿宋"/>
          <w:sz w:val="30"/>
          <w:szCs w:val="30"/>
        </w:rPr>
        <w:t>国家体育总局　　　　</w:t>
      </w:r>
    </w:p>
    <w:p>
      <w:pPr>
        <w:wordWrap w:val="0"/>
        <w:jc w:val="right"/>
        <w:rPr>
          <w:rFonts w:ascii="仿宋" w:hAnsi="仿宋" w:eastAsia="仿宋"/>
          <w:sz w:val="30"/>
          <w:szCs w:val="30"/>
        </w:rPr>
      </w:pPr>
      <w:r>
        <w:rPr>
          <w:rFonts w:hint="eastAsia" w:ascii="仿宋" w:hAnsi="仿宋" w:eastAsia="仿宋"/>
          <w:sz w:val="30"/>
          <w:szCs w:val="30"/>
        </w:rPr>
        <w:t>国家能源局　　　　</w:t>
      </w:r>
    </w:p>
    <w:p>
      <w:pPr>
        <w:wordWrap w:val="0"/>
        <w:jc w:val="right"/>
        <w:rPr>
          <w:rFonts w:ascii="仿宋" w:hAnsi="仿宋" w:eastAsia="仿宋"/>
          <w:sz w:val="30"/>
          <w:szCs w:val="30"/>
        </w:rPr>
      </w:pPr>
      <w:r>
        <w:rPr>
          <w:rFonts w:hint="eastAsia" w:ascii="仿宋" w:hAnsi="仿宋" w:eastAsia="仿宋"/>
          <w:sz w:val="30"/>
          <w:szCs w:val="30"/>
        </w:rPr>
        <w:t>国家邮政局　　　　</w:t>
      </w:r>
    </w:p>
    <w:p>
      <w:pPr>
        <w:wordWrap w:val="0"/>
        <w:jc w:val="right"/>
        <w:rPr>
          <w:rFonts w:ascii="仿宋" w:hAnsi="仿宋" w:eastAsia="仿宋"/>
          <w:sz w:val="30"/>
          <w:szCs w:val="30"/>
        </w:rPr>
      </w:pPr>
      <w:r>
        <w:rPr>
          <w:rFonts w:hint="eastAsia" w:ascii="仿宋" w:hAnsi="仿宋" w:eastAsia="仿宋"/>
          <w:sz w:val="30"/>
          <w:szCs w:val="30"/>
        </w:rPr>
        <w:t>中国残疾人联合会　　</w:t>
      </w:r>
    </w:p>
    <w:p>
      <w:pPr>
        <w:wordWrap w:val="0"/>
        <w:jc w:val="right"/>
        <w:rPr>
          <w:rFonts w:hint="eastAsia" w:ascii="仿宋" w:hAnsi="仿宋" w:eastAsia="仿宋"/>
          <w:sz w:val="30"/>
          <w:szCs w:val="30"/>
        </w:rPr>
      </w:pPr>
      <w:r>
        <w:rPr>
          <w:rFonts w:ascii="仿宋" w:hAnsi="仿宋" w:eastAsia="仿宋"/>
          <w:sz w:val="30"/>
          <w:szCs w:val="30"/>
        </w:rPr>
        <w:t>2020年8月18日</w:t>
      </w:r>
      <w:r>
        <w:rPr>
          <w:rFonts w:hint="eastAsia" w:ascii="仿宋" w:hAnsi="仿宋" w:eastAsia="仿宋"/>
          <w:sz w:val="30"/>
          <w:szCs w:val="30"/>
        </w:rPr>
        <w:t>　　</w:t>
      </w:r>
    </w:p>
    <w:p>
      <w:pPr>
        <w:jc w:val="left"/>
        <w:rPr>
          <w:rFonts w:ascii="仿宋" w:hAnsi="仿宋" w:eastAsia="仿宋"/>
          <w:sz w:val="30"/>
          <w:szCs w:val="30"/>
        </w:rPr>
      </w:pPr>
    </w:p>
    <w:p>
      <w:pPr>
        <w:jc w:val="left"/>
        <w:rPr>
          <w:rFonts w:ascii="仿宋" w:hAnsi="仿宋" w:eastAsia="仿宋"/>
          <w:sz w:val="30"/>
          <w:szCs w:val="30"/>
        </w:rPr>
      </w:pPr>
    </w:p>
    <w:p>
      <w:pPr>
        <w:ind w:firstLine="600"/>
        <w:jc w:val="left"/>
        <w:rPr>
          <w:rFonts w:ascii="仿宋" w:hAnsi="仿宋" w:eastAsia="仿宋"/>
          <w:sz w:val="30"/>
          <w:szCs w:val="30"/>
        </w:rPr>
      </w:pPr>
      <w:r>
        <w:rPr>
          <w:rFonts w:hint="eastAsia" w:ascii="仿宋" w:hAnsi="仿宋" w:eastAsia="仿宋"/>
          <w:sz w:val="30"/>
          <w:szCs w:val="30"/>
        </w:rPr>
        <w:t>（此件公开发布）</w:t>
      </w:r>
    </w:p>
    <w:p>
      <w:pPr>
        <w:ind w:firstLine="600"/>
        <w:jc w:val="left"/>
        <w:rPr>
          <w:rFonts w:ascii="仿宋" w:hAnsi="仿宋" w:eastAsia="仿宋"/>
          <w:sz w:val="30"/>
          <w:szCs w:val="30"/>
        </w:rPr>
      </w:pPr>
    </w:p>
    <w:p>
      <w:pPr>
        <w:ind w:firstLine="600"/>
        <w:jc w:val="left"/>
        <w:rPr>
          <w:rFonts w:ascii="仿宋" w:hAnsi="仿宋" w:eastAsia="仿宋"/>
          <w:sz w:val="30"/>
          <w:szCs w:val="30"/>
        </w:rPr>
      </w:pPr>
    </w:p>
    <w:p>
      <w:pPr>
        <w:ind w:firstLine="600"/>
        <w:jc w:val="left"/>
        <w:rPr>
          <w:rFonts w:ascii="仿宋" w:hAnsi="仿宋" w:eastAsia="仿宋"/>
          <w:sz w:val="30"/>
          <w:szCs w:val="30"/>
        </w:rPr>
      </w:pPr>
    </w:p>
    <w:tbl>
      <w:tblPr>
        <w:tblStyle w:val="2"/>
        <w:tblW w:w="0" w:type="auto"/>
        <w:jc w:val="center"/>
        <w:tblLayout w:type="autofit"/>
        <w:tblCellMar>
          <w:top w:w="15" w:type="dxa"/>
          <w:left w:w="15" w:type="dxa"/>
          <w:bottom w:w="15" w:type="dxa"/>
          <w:right w:w="15" w:type="dxa"/>
        </w:tblCellMar>
      </w:tblPr>
      <w:tblGrid>
        <w:gridCol w:w="1082"/>
        <w:gridCol w:w="749"/>
        <w:gridCol w:w="1477"/>
        <w:gridCol w:w="4992"/>
        <w:gridCol w:w="36"/>
      </w:tblGrid>
      <w:tr>
        <w:tblPrEx>
          <w:tblCellMar>
            <w:top w:w="15" w:type="dxa"/>
            <w:left w:w="15" w:type="dxa"/>
            <w:bottom w:w="15" w:type="dxa"/>
            <w:right w:w="15" w:type="dxa"/>
          </w:tblCellMar>
        </w:tblPrEx>
        <w:trPr>
          <w:gridAfter w:val="1"/>
          <w:wAfter w:w="36" w:type="dxa"/>
          <w:trHeight w:val="1446" w:hRule="atLeast"/>
          <w:jc w:val="center"/>
        </w:trPr>
        <w:tc>
          <w:tcPr>
            <w:tcW w:w="8532" w:type="dxa"/>
            <w:gridSpan w:val="4"/>
            <w:tcBorders>
              <w:top w:val="nil"/>
              <w:left w:val="nil"/>
              <w:bottom w:val="single" w:color="000000" w:sz="4" w:space="0"/>
              <w:right w:val="nil"/>
            </w:tcBorders>
            <w:shd w:val="clear" w:color="auto" w:fill="FFFFFF"/>
            <w:vAlign w:val="center"/>
          </w:tcPr>
          <w:p>
            <w:pPr>
              <w:widowControl/>
              <w:autoSpaceDE w:val="0"/>
              <w:spacing w:line="520" w:lineRule="exact"/>
              <w:textAlignment w:val="center"/>
              <w:rPr>
                <w:rFonts w:ascii="仿宋_GB2312" w:eastAsia="仿宋_GB2312"/>
                <w:bCs/>
                <w:color w:val="000000"/>
                <w:kern w:val="0"/>
                <w:sz w:val="32"/>
                <w:szCs w:val="32"/>
              </w:rPr>
            </w:pPr>
            <w:r>
              <w:rPr>
                <w:rFonts w:hint="eastAsia" w:ascii="仿宋_GB2312" w:eastAsia="仿宋_GB2312"/>
                <w:bCs/>
                <w:color w:val="000000"/>
                <w:kern w:val="0"/>
                <w:sz w:val="32"/>
                <w:szCs w:val="32"/>
              </w:rPr>
              <w:t>附件</w:t>
            </w:r>
          </w:p>
          <w:p>
            <w:pPr>
              <w:widowControl/>
              <w:autoSpaceDE w:val="0"/>
              <w:spacing w:line="520" w:lineRule="exact"/>
              <w:jc w:val="center"/>
              <w:textAlignment w:val="center"/>
              <w:rPr>
                <w:rFonts w:hint="eastAsia" w:ascii="方正小标宋简体" w:eastAsia="方正小标宋简体"/>
                <w:b/>
                <w:color w:val="000000"/>
                <w:sz w:val="32"/>
                <w:szCs w:val="32"/>
              </w:rPr>
            </w:pPr>
            <w:r>
              <w:rPr>
                <w:rFonts w:hint="eastAsia" w:ascii="方正小标宋简体" w:eastAsia="方正小标宋简体"/>
                <w:b/>
                <w:color w:val="000000"/>
                <w:kern w:val="0"/>
                <w:sz w:val="32"/>
                <w:szCs w:val="32"/>
              </w:rPr>
              <w:t>完整居住社区建设标准（试行）</w:t>
            </w:r>
          </w:p>
        </w:tc>
      </w:tr>
      <w:tr>
        <w:tblPrEx>
          <w:tblCellMar>
            <w:top w:w="15" w:type="dxa"/>
            <w:left w:w="15" w:type="dxa"/>
            <w:bottom w:w="15" w:type="dxa"/>
            <w:right w:w="15" w:type="dxa"/>
          </w:tblCellMar>
        </w:tblPrEx>
        <w:trPr>
          <w:gridAfter w:val="1"/>
          <w:wAfter w:w="36" w:type="dxa"/>
          <w:trHeight w:val="690" w:hRule="atLeast"/>
          <w:jc w:val="center"/>
        </w:trPr>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黑体" w:hAnsi="宋体" w:eastAsia="黑体"/>
                <w:color w:val="000000"/>
                <w:sz w:val="32"/>
                <w:szCs w:val="32"/>
              </w:rPr>
            </w:pPr>
            <w:r>
              <w:rPr>
                <w:rFonts w:hint="eastAsia" w:ascii="黑体" w:hAnsi="黑体" w:eastAsia="黑体"/>
                <w:color w:val="000000"/>
                <w:kern w:val="0"/>
                <w:sz w:val="32"/>
                <w:szCs w:val="32"/>
              </w:rPr>
              <w:t>目标</w:t>
            </w: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黑体" w:hAnsi="宋体" w:eastAsia="黑体"/>
                <w:color w:val="000000"/>
                <w:sz w:val="32"/>
                <w:szCs w:val="32"/>
              </w:rPr>
            </w:pPr>
            <w:r>
              <w:rPr>
                <w:rFonts w:hint="eastAsia" w:ascii="黑体" w:hAnsi="黑体" w:eastAsia="黑体"/>
                <w:color w:val="000000"/>
                <w:kern w:val="0"/>
                <w:sz w:val="32"/>
                <w:szCs w:val="32"/>
              </w:rPr>
              <w:t>序号</w:t>
            </w:r>
          </w:p>
        </w:tc>
        <w:tc>
          <w:tcPr>
            <w:tcW w:w="1512"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黑体" w:hAnsi="宋体" w:eastAsia="黑体"/>
                <w:color w:val="000000"/>
                <w:sz w:val="32"/>
                <w:szCs w:val="32"/>
              </w:rPr>
            </w:pPr>
            <w:r>
              <w:rPr>
                <w:rFonts w:hint="eastAsia" w:ascii="黑体" w:hAnsi="黑体" w:eastAsia="黑体"/>
                <w:color w:val="000000"/>
                <w:kern w:val="0"/>
                <w:sz w:val="32"/>
                <w:szCs w:val="32"/>
              </w:rPr>
              <w:t>建设内容</w:t>
            </w:r>
          </w:p>
        </w:tc>
        <w:tc>
          <w:tcPr>
            <w:tcW w:w="5153"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黑体" w:hAnsi="宋体" w:eastAsia="黑体"/>
                <w:color w:val="000000"/>
                <w:sz w:val="32"/>
                <w:szCs w:val="32"/>
              </w:rPr>
            </w:pPr>
            <w:r>
              <w:rPr>
                <w:rFonts w:hint="eastAsia" w:ascii="黑体" w:hAnsi="黑体" w:eastAsia="黑体"/>
                <w:color w:val="000000"/>
                <w:kern w:val="0"/>
                <w:sz w:val="32"/>
                <w:szCs w:val="32"/>
              </w:rPr>
              <w:t>建设要求</w:t>
            </w:r>
          </w:p>
        </w:tc>
      </w:tr>
      <w:tr>
        <w:tblPrEx>
          <w:tblCellMar>
            <w:top w:w="15" w:type="dxa"/>
            <w:left w:w="15" w:type="dxa"/>
            <w:bottom w:w="15" w:type="dxa"/>
            <w:right w:w="15" w:type="dxa"/>
          </w:tblCellMar>
        </w:tblPrEx>
        <w:trPr>
          <w:gridAfter w:val="1"/>
          <w:wAfter w:w="36" w:type="dxa"/>
          <w:trHeight w:val="2063" w:hRule="atLeast"/>
          <w:jc w:val="center"/>
        </w:trPr>
        <w:tc>
          <w:tcPr>
            <w:tcW w:w="1101"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楷体_GB2312" w:hAnsi="等线" w:eastAsia="楷体_GB2312"/>
                <w:color w:val="000000"/>
                <w:sz w:val="32"/>
                <w:szCs w:val="32"/>
              </w:rPr>
            </w:pPr>
            <w:r>
              <w:rPr>
                <w:rFonts w:hint="eastAsia" w:ascii="楷体_GB2312" w:hAnsi="等线" w:eastAsia="楷体_GB2312"/>
                <w:color w:val="000000"/>
                <w:kern w:val="0"/>
                <w:sz w:val="32"/>
                <w:szCs w:val="32"/>
              </w:rPr>
              <w:t>一、基本公共服务设施完善</w:t>
            </w: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1</w:t>
            </w:r>
          </w:p>
        </w:tc>
        <w:tc>
          <w:tcPr>
            <w:tcW w:w="1512"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一个社区综合服务站</w:t>
            </w:r>
          </w:p>
        </w:tc>
        <w:tc>
          <w:tcPr>
            <w:tcW w:w="5153"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建筑面积以800平方米为宜，设置社区服务大厅、警务室、社区居委会办公室、居民活动用房、阅览室、党群活动中心等。</w:t>
            </w:r>
          </w:p>
        </w:tc>
      </w:tr>
      <w:tr>
        <w:tblPrEx>
          <w:tblCellMar>
            <w:top w:w="15" w:type="dxa"/>
            <w:left w:w="15" w:type="dxa"/>
            <w:bottom w:w="15" w:type="dxa"/>
            <w:right w:w="15" w:type="dxa"/>
          </w:tblCellMar>
        </w:tblPrEx>
        <w:trPr>
          <w:gridAfter w:val="1"/>
          <w:wAfter w:w="36" w:type="dxa"/>
          <w:trHeight w:val="2117"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楷体_GB2312" w:hAnsi="等线" w:eastAsia="楷体_GB2312"/>
                <w:color w:val="000000"/>
                <w:sz w:val="32"/>
                <w:szCs w:val="32"/>
              </w:rPr>
            </w:pP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2</w:t>
            </w:r>
          </w:p>
        </w:tc>
        <w:tc>
          <w:tcPr>
            <w:tcW w:w="1512"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一个幼儿园</w:t>
            </w:r>
          </w:p>
        </w:tc>
        <w:tc>
          <w:tcPr>
            <w:tcW w:w="5153"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不小于6班，建筑面积不小于2200平方米，用地面积不小于3500平方米，为3—6岁幼儿提供普惠性学前教育服务。</w:t>
            </w:r>
          </w:p>
        </w:tc>
      </w:tr>
      <w:tr>
        <w:tblPrEx>
          <w:tblCellMar>
            <w:top w:w="15" w:type="dxa"/>
            <w:left w:w="15" w:type="dxa"/>
            <w:bottom w:w="15" w:type="dxa"/>
            <w:right w:w="15" w:type="dxa"/>
          </w:tblCellMar>
        </w:tblPrEx>
        <w:trPr>
          <w:gridAfter w:val="1"/>
          <w:wAfter w:w="36" w:type="dxa"/>
          <w:trHeight w:val="3224"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楷体_GB2312" w:hAnsi="等线" w:eastAsia="楷体_GB2312"/>
                <w:color w:val="000000"/>
                <w:sz w:val="32"/>
                <w:szCs w:val="32"/>
              </w:rPr>
            </w:pP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3</w:t>
            </w:r>
          </w:p>
        </w:tc>
        <w:tc>
          <w:tcPr>
            <w:tcW w:w="1512"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一个托儿所</w:t>
            </w:r>
          </w:p>
        </w:tc>
        <w:tc>
          <w:tcPr>
            <w:tcW w:w="5153"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建筑面积不小于200平方米，为0—3岁婴幼儿提供安全可靠的托育服务。可以结合社区综合服务站、社区卫生服务站、住宅楼、企事业单位办公楼等建设托儿所等婴幼儿照护服务设施。</w:t>
            </w:r>
          </w:p>
        </w:tc>
      </w:tr>
      <w:tr>
        <w:tblPrEx>
          <w:tblCellMar>
            <w:top w:w="15" w:type="dxa"/>
            <w:left w:w="15" w:type="dxa"/>
            <w:bottom w:w="15" w:type="dxa"/>
            <w:right w:w="15" w:type="dxa"/>
          </w:tblCellMar>
        </w:tblPrEx>
        <w:trPr>
          <w:gridAfter w:val="1"/>
          <w:wAfter w:w="36" w:type="dxa"/>
          <w:trHeight w:val="4115"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楷体_GB2312" w:hAnsi="等线" w:eastAsia="楷体_GB2312"/>
                <w:color w:val="000000"/>
                <w:sz w:val="32"/>
                <w:szCs w:val="32"/>
              </w:rPr>
            </w:pP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4</w:t>
            </w:r>
          </w:p>
        </w:tc>
        <w:tc>
          <w:tcPr>
            <w:tcW w:w="1512"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一个老年服务站</w:t>
            </w:r>
          </w:p>
        </w:tc>
        <w:tc>
          <w:tcPr>
            <w:tcW w:w="5153"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与社区综合服务站统筹建设，为老年人、残疾人提供居家日间生活辅助照料、助餐、保健、文化娱乐等服务。具备条件的居住社区，可以建设1个建筑面积不小于350平方米的老年人日间照料中心，为生活不能完全自理的老年人、残疾人提供膳食供应、保健康复、交通接送等日间服务。</w:t>
            </w:r>
          </w:p>
        </w:tc>
      </w:tr>
      <w:tr>
        <w:tblPrEx>
          <w:tblCellMar>
            <w:top w:w="15" w:type="dxa"/>
            <w:left w:w="15" w:type="dxa"/>
            <w:bottom w:w="15" w:type="dxa"/>
            <w:right w:w="15" w:type="dxa"/>
          </w:tblCellMar>
        </w:tblPrEx>
        <w:trPr>
          <w:gridAfter w:val="1"/>
          <w:wAfter w:w="36" w:type="dxa"/>
          <w:trHeight w:val="1833"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楷体_GB2312" w:hAnsi="等线" w:eastAsia="楷体_GB2312"/>
                <w:color w:val="000000"/>
                <w:sz w:val="32"/>
                <w:szCs w:val="32"/>
              </w:rPr>
            </w:pP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5</w:t>
            </w:r>
          </w:p>
        </w:tc>
        <w:tc>
          <w:tcPr>
            <w:tcW w:w="1512"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一个社区卫生服务站</w:t>
            </w:r>
          </w:p>
        </w:tc>
        <w:tc>
          <w:tcPr>
            <w:tcW w:w="5153"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建筑面积不小于120平方米，提供预防、医疗、计生、康复、防疫等服务。</w:t>
            </w:r>
          </w:p>
        </w:tc>
      </w:tr>
      <w:tr>
        <w:tblPrEx>
          <w:tblCellMar>
            <w:top w:w="15" w:type="dxa"/>
            <w:left w:w="15" w:type="dxa"/>
            <w:bottom w:w="15" w:type="dxa"/>
            <w:right w:w="15" w:type="dxa"/>
          </w:tblCellMar>
        </w:tblPrEx>
        <w:trPr>
          <w:gridAfter w:val="1"/>
          <w:wAfter w:w="36" w:type="dxa"/>
          <w:trHeight w:val="2939" w:hRule="atLeast"/>
          <w:jc w:val="center"/>
        </w:trPr>
        <w:tc>
          <w:tcPr>
            <w:tcW w:w="1101"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楷体_GB2312" w:hAnsi="等线" w:eastAsia="楷体_GB2312"/>
                <w:color w:val="000000"/>
                <w:sz w:val="32"/>
                <w:szCs w:val="32"/>
              </w:rPr>
            </w:pPr>
            <w:r>
              <w:rPr>
                <w:rFonts w:hint="eastAsia" w:ascii="楷体_GB2312" w:hAnsi="等线" w:eastAsia="楷体_GB2312"/>
                <w:color w:val="000000"/>
                <w:kern w:val="0"/>
                <w:sz w:val="32"/>
                <w:szCs w:val="32"/>
              </w:rPr>
              <w:t>二、便民商业服务设施健全</w:t>
            </w: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6</w:t>
            </w:r>
          </w:p>
        </w:tc>
        <w:tc>
          <w:tcPr>
            <w:tcW w:w="1512"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一个综合超市</w:t>
            </w:r>
          </w:p>
        </w:tc>
        <w:tc>
          <w:tcPr>
            <w:tcW w:w="5153"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建筑面积不小于300平方米，提供蔬菜、水果、生鲜、日常生活用品等销售服务。城镇老旧小区等受场地条件约束的既有居住社区，可以建设2—3个50—100平方米的便利店提供相应服务。</w:t>
            </w:r>
          </w:p>
        </w:tc>
      </w:tr>
      <w:tr>
        <w:tblPrEx>
          <w:tblCellMar>
            <w:top w:w="15" w:type="dxa"/>
            <w:left w:w="15" w:type="dxa"/>
            <w:bottom w:w="15" w:type="dxa"/>
            <w:right w:w="15" w:type="dxa"/>
          </w:tblCellMar>
        </w:tblPrEx>
        <w:trPr>
          <w:gridAfter w:val="1"/>
          <w:wAfter w:w="36" w:type="dxa"/>
          <w:trHeight w:val="388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楷体_GB2312" w:hAnsi="等线" w:eastAsia="楷体_GB2312"/>
                <w:color w:val="000000"/>
                <w:sz w:val="32"/>
                <w:szCs w:val="32"/>
              </w:rPr>
            </w:pP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7</w:t>
            </w:r>
          </w:p>
        </w:tc>
        <w:tc>
          <w:tcPr>
            <w:tcW w:w="1512"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多个邮件和快件寄递服务设施</w:t>
            </w:r>
          </w:p>
        </w:tc>
        <w:tc>
          <w:tcPr>
            <w:tcW w:w="5153"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建设多组智能信包箱、智能快递箱，提供邮件快件收寄、投递服务，格口数量为社区日均投递量的1—1.3倍。新建居住社区应建设使用面积不小于15平方米的邮政快递末端综合服务站。城镇老旧小区等受场地条件约束的既有居住社区，因地制宜建设邮政快递末端综合服务站。</w:t>
            </w:r>
          </w:p>
        </w:tc>
      </w:tr>
      <w:tr>
        <w:tblPrEx>
          <w:tblCellMar>
            <w:top w:w="15" w:type="dxa"/>
            <w:left w:w="15" w:type="dxa"/>
            <w:bottom w:w="15" w:type="dxa"/>
            <w:right w:w="15" w:type="dxa"/>
          </w:tblCellMar>
        </w:tblPrEx>
        <w:trPr>
          <w:gridAfter w:val="1"/>
          <w:wAfter w:w="36" w:type="dxa"/>
          <w:trHeight w:val="1798"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楷体_GB2312" w:hAnsi="等线" w:eastAsia="楷体_GB2312"/>
                <w:color w:val="000000"/>
                <w:sz w:val="32"/>
                <w:szCs w:val="32"/>
              </w:rPr>
            </w:pP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8</w:t>
            </w:r>
          </w:p>
        </w:tc>
        <w:tc>
          <w:tcPr>
            <w:tcW w:w="1512"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其他便民商业网点</w:t>
            </w:r>
          </w:p>
        </w:tc>
        <w:tc>
          <w:tcPr>
            <w:tcW w:w="5153"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建设理发店、洗衣店、药店、维修点、家政服务网点、餐饮店等便民商业网点。</w:t>
            </w:r>
          </w:p>
        </w:tc>
      </w:tr>
      <w:tr>
        <w:tblPrEx>
          <w:tblCellMar>
            <w:top w:w="15" w:type="dxa"/>
            <w:left w:w="15" w:type="dxa"/>
            <w:bottom w:w="15" w:type="dxa"/>
            <w:right w:w="15" w:type="dxa"/>
          </w:tblCellMar>
        </w:tblPrEx>
        <w:trPr>
          <w:gridAfter w:val="1"/>
          <w:wAfter w:w="36" w:type="dxa"/>
          <w:trHeight w:val="3287" w:hRule="atLeast"/>
          <w:jc w:val="center"/>
        </w:trPr>
        <w:tc>
          <w:tcPr>
            <w:tcW w:w="1101"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楷体_GB2312" w:hAnsi="等线" w:eastAsia="楷体_GB2312"/>
                <w:color w:val="000000"/>
                <w:sz w:val="32"/>
                <w:szCs w:val="32"/>
              </w:rPr>
            </w:pPr>
            <w:r>
              <w:rPr>
                <w:rFonts w:hint="eastAsia" w:ascii="楷体_GB2312" w:hAnsi="等线" w:eastAsia="楷体_GB2312"/>
                <w:color w:val="000000"/>
                <w:kern w:val="0"/>
                <w:sz w:val="32"/>
                <w:szCs w:val="32"/>
              </w:rPr>
              <w:t>三、市政配套基础设施完备</w:t>
            </w: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9</w:t>
            </w:r>
          </w:p>
        </w:tc>
        <w:tc>
          <w:tcPr>
            <w:tcW w:w="1512"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水、电、路、气、热、信等设施</w:t>
            </w:r>
          </w:p>
        </w:tc>
        <w:tc>
          <w:tcPr>
            <w:tcW w:w="5153"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建设供水、排水、供电、道路、供气、供热（集中供热地区）、通信等设施，达到设施完好、运行安全、供给稳定等要求。实现光纤入户和多网融合，推动5G网络进社区。建设社区智能安防设施及系统。</w:t>
            </w:r>
          </w:p>
        </w:tc>
      </w:tr>
      <w:tr>
        <w:tblPrEx>
          <w:tblCellMar>
            <w:top w:w="15" w:type="dxa"/>
            <w:left w:w="15" w:type="dxa"/>
            <w:bottom w:w="15" w:type="dxa"/>
            <w:right w:w="15" w:type="dxa"/>
          </w:tblCellMar>
        </w:tblPrEx>
        <w:trPr>
          <w:gridAfter w:val="1"/>
          <w:wAfter w:w="36" w:type="dxa"/>
          <w:trHeight w:val="4298"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楷体_GB2312" w:hAnsi="等线" w:eastAsia="楷体_GB2312"/>
                <w:color w:val="000000"/>
                <w:sz w:val="32"/>
                <w:szCs w:val="32"/>
              </w:rPr>
            </w:pP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10</w:t>
            </w:r>
          </w:p>
        </w:tc>
        <w:tc>
          <w:tcPr>
            <w:tcW w:w="1512"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停车及充电设施</w:t>
            </w:r>
          </w:p>
        </w:tc>
        <w:tc>
          <w:tcPr>
            <w:tcW w:w="5153"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新建居住社区按照不低于1车位/户配建机动车停车位，100%停车位建设充电设施或者预留建设安装条件。既有居住社区统筹空间资源和管理措施，协调解决停车问题，防止乱停车和占用消防通道现象。建设非机动车停车棚、停放架等设施。具备条件的居住社区，建设电动车集中停放和充电场所，并做好消防安全管理。</w:t>
            </w:r>
          </w:p>
        </w:tc>
      </w:tr>
      <w:tr>
        <w:tblPrEx>
          <w:tblCellMar>
            <w:top w:w="15" w:type="dxa"/>
            <w:left w:w="15" w:type="dxa"/>
            <w:bottom w:w="15" w:type="dxa"/>
            <w:right w:w="15" w:type="dxa"/>
          </w:tblCellMar>
        </w:tblPrEx>
        <w:trPr>
          <w:gridAfter w:val="1"/>
          <w:wAfter w:w="36" w:type="dxa"/>
          <w:trHeight w:val="2134"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楷体_GB2312" w:hAnsi="等线" w:eastAsia="楷体_GB2312"/>
                <w:color w:val="000000"/>
                <w:sz w:val="32"/>
                <w:szCs w:val="32"/>
              </w:rPr>
            </w:pP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11</w:t>
            </w:r>
          </w:p>
        </w:tc>
        <w:tc>
          <w:tcPr>
            <w:tcW w:w="1512"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慢行系统</w:t>
            </w:r>
          </w:p>
        </w:tc>
        <w:tc>
          <w:tcPr>
            <w:tcW w:w="5153"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建设联贯各类配套设施、公共活动空间与住宅的慢行系统，与城市慢行系统相衔接。社区居民步行10分钟可以到达公交站点。</w:t>
            </w:r>
          </w:p>
        </w:tc>
      </w:tr>
      <w:tr>
        <w:tblPrEx>
          <w:tblCellMar>
            <w:top w:w="15" w:type="dxa"/>
            <w:left w:w="15" w:type="dxa"/>
            <w:bottom w:w="15" w:type="dxa"/>
            <w:right w:w="15" w:type="dxa"/>
          </w:tblCellMar>
        </w:tblPrEx>
        <w:trPr>
          <w:gridAfter w:val="1"/>
          <w:wAfter w:w="36" w:type="dxa"/>
          <w:trHeight w:val="3816"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楷体_GB2312" w:hAnsi="等线" w:eastAsia="楷体_GB2312"/>
                <w:color w:val="000000"/>
                <w:sz w:val="32"/>
                <w:szCs w:val="32"/>
              </w:rPr>
            </w:pP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12</w:t>
            </w:r>
          </w:p>
        </w:tc>
        <w:tc>
          <w:tcPr>
            <w:tcW w:w="1512"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无障碍设施</w:t>
            </w:r>
          </w:p>
        </w:tc>
        <w:tc>
          <w:tcPr>
            <w:tcW w:w="5153"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住宅和公共建筑出入口设置轮椅坡道和扶手，公共活动场地、道路等户外环境建设符合无障碍设计要求。具备条件的居住社区，实施加装电梯等适老化改造。对有条件的服务设施，设置低位服务柜台、信息屏幕显示系统、盲文或有声提示标识和无障碍厕所（厕位）。</w:t>
            </w:r>
          </w:p>
        </w:tc>
      </w:tr>
      <w:tr>
        <w:tblPrEx>
          <w:tblCellMar>
            <w:top w:w="15" w:type="dxa"/>
            <w:left w:w="15" w:type="dxa"/>
            <w:bottom w:w="15" w:type="dxa"/>
            <w:right w:w="15" w:type="dxa"/>
          </w:tblCellMar>
        </w:tblPrEx>
        <w:trPr>
          <w:gridAfter w:val="1"/>
          <w:wAfter w:w="36" w:type="dxa"/>
          <w:trHeight w:val="3293"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楷体_GB2312" w:hAnsi="等线" w:eastAsia="楷体_GB2312"/>
                <w:color w:val="000000"/>
                <w:sz w:val="32"/>
                <w:szCs w:val="32"/>
              </w:rPr>
            </w:pP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13</w:t>
            </w:r>
          </w:p>
        </w:tc>
        <w:tc>
          <w:tcPr>
            <w:tcW w:w="1512"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环境卫生设施</w:t>
            </w:r>
          </w:p>
        </w:tc>
        <w:tc>
          <w:tcPr>
            <w:tcW w:w="5153"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实行生活垃圾分类，设置多处垃圾分类收集点，新建居住社区宜建设一个用地面积不小于120平方米的生活垃圾收集站。建设一个建筑面积不小于30平方米的公共厕所，城镇老旧小区等受场地条件约束的既有居住社区，可以采用集成箱体式公共厕所。</w:t>
            </w:r>
          </w:p>
        </w:tc>
      </w:tr>
      <w:tr>
        <w:tblPrEx>
          <w:tblCellMar>
            <w:top w:w="15" w:type="dxa"/>
            <w:left w:w="15" w:type="dxa"/>
            <w:bottom w:w="15" w:type="dxa"/>
            <w:right w:w="15" w:type="dxa"/>
          </w:tblCellMar>
        </w:tblPrEx>
        <w:trPr>
          <w:gridAfter w:val="1"/>
          <w:wAfter w:w="36" w:type="dxa"/>
          <w:trHeight w:val="312" w:hRule="atLeast"/>
          <w:jc w:val="center"/>
        </w:trPr>
        <w:tc>
          <w:tcPr>
            <w:tcW w:w="1101"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楷体_GB2312" w:hAnsi="等线" w:eastAsia="楷体_GB2312"/>
                <w:color w:val="000000"/>
                <w:sz w:val="32"/>
                <w:szCs w:val="32"/>
              </w:rPr>
            </w:pPr>
            <w:r>
              <w:rPr>
                <w:rFonts w:hint="eastAsia" w:ascii="楷体_GB2312" w:hAnsi="等线" w:eastAsia="楷体_GB2312"/>
                <w:color w:val="000000"/>
                <w:kern w:val="0"/>
                <w:sz w:val="32"/>
                <w:szCs w:val="32"/>
              </w:rPr>
              <w:t>四、公共活动空间充足</w:t>
            </w:r>
          </w:p>
        </w:tc>
        <w:tc>
          <w:tcPr>
            <w:tcW w:w="766" w:type="dxa"/>
            <w:vMerge w:val="restart"/>
            <w:tcBorders>
              <w:top w:val="nil"/>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14</w:t>
            </w:r>
          </w:p>
        </w:tc>
        <w:tc>
          <w:tcPr>
            <w:tcW w:w="1512" w:type="dxa"/>
            <w:vMerge w:val="restart"/>
            <w:tcBorders>
              <w:top w:val="nil"/>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公共活动场地</w:t>
            </w:r>
          </w:p>
        </w:tc>
        <w:tc>
          <w:tcPr>
            <w:tcW w:w="5153" w:type="dxa"/>
            <w:vMerge w:val="restart"/>
            <w:tcBorders>
              <w:top w:val="nil"/>
              <w:left w:val="nil"/>
              <w:bottom w:val="single" w:color="000000" w:sz="4" w:space="0"/>
              <w:right w:val="single" w:color="000000" w:sz="4" w:space="0"/>
            </w:tcBorders>
            <w:shd w:val="clear" w:color="auto" w:fill="FFFFFF"/>
            <w:vAlign w:val="center"/>
          </w:tcPr>
          <w:p>
            <w:pPr>
              <w:widowControl/>
              <w:autoSpaceDE w:val="0"/>
              <w:spacing w:line="440" w:lineRule="exact"/>
              <w:jc w:val="left"/>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至少有一片公共活动场地（含室外综合健身场地），用地面积不小于150平方米，配置健身器材、健身步道、休息座椅等设施以及沙坑等儿童娱乐设施。新建居住社区建设一片不小于800平方米的多功能运动场地，配置5人制足球、篮球、排球、乒乓球、门球等球类场地，在紧急情况下可以转换为应急避难场所。既有居住社区要因地制宜改造宅间绿地、空地等，增加公共活动场地。</w:t>
            </w:r>
          </w:p>
        </w:tc>
      </w:tr>
      <w:tr>
        <w:tblPrEx>
          <w:tblCellMar>
            <w:top w:w="15" w:type="dxa"/>
            <w:left w:w="15" w:type="dxa"/>
            <w:bottom w:w="15" w:type="dxa"/>
            <w:right w:w="15" w:type="dxa"/>
          </w:tblCellMar>
        </w:tblPrEx>
        <w:trPr>
          <w:trHeight w:val="4896"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楷体_GB2312" w:hAnsi="等线" w:eastAsia="楷体_GB2312"/>
                <w:color w:val="000000"/>
                <w:sz w:val="32"/>
                <w:szCs w:val="3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仿宋_GB2312" w:hAnsi="等线" w:eastAsia="仿宋_GB2312"/>
                <w:color w:val="000000"/>
                <w:sz w:val="32"/>
                <w:szCs w:val="3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仿宋_GB2312" w:hAnsi="等线" w:eastAsia="仿宋_GB2312"/>
                <w:color w:val="000000"/>
                <w:sz w:val="32"/>
                <w:szCs w:val="32"/>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仿宋_GB2312" w:hAnsi="等线" w:eastAsia="仿宋_GB2312"/>
                <w:color w:val="000000"/>
                <w:sz w:val="32"/>
                <w:szCs w:val="32"/>
              </w:rPr>
            </w:pPr>
          </w:p>
        </w:tc>
        <w:tc>
          <w:tcPr>
            <w:tcW w:w="0" w:type="auto"/>
            <w:vAlign w:val="center"/>
          </w:tcPr>
          <w:p>
            <w:pPr>
              <w:rPr>
                <w:rFonts w:hint="eastAsia" w:ascii="仿宋_GB2312" w:hAnsi="等线" w:eastAsia="仿宋_GB2312"/>
                <w:color w:val="000000"/>
                <w:sz w:val="32"/>
                <w:szCs w:val="32"/>
              </w:rPr>
            </w:pPr>
          </w:p>
        </w:tc>
      </w:tr>
      <w:tr>
        <w:tblPrEx>
          <w:tblCellMar>
            <w:top w:w="15" w:type="dxa"/>
            <w:left w:w="15" w:type="dxa"/>
            <w:bottom w:w="15" w:type="dxa"/>
            <w:right w:w="15" w:type="dxa"/>
          </w:tblCellMar>
        </w:tblPrEx>
        <w:trPr>
          <w:trHeight w:val="444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楷体_GB2312" w:hAnsi="等线" w:eastAsia="楷体_GB2312"/>
                <w:color w:val="000000"/>
                <w:sz w:val="32"/>
                <w:szCs w:val="32"/>
              </w:rPr>
            </w:pP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ascii="仿宋_GB2312" w:hAnsi="等线" w:eastAsia="仿宋_GB2312"/>
                <w:color w:val="000000"/>
                <w:sz w:val="32"/>
                <w:szCs w:val="32"/>
              </w:rPr>
            </w:pPr>
            <w:r>
              <w:rPr>
                <w:rFonts w:hint="eastAsia" w:ascii="仿宋_GB2312" w:hAnsi="等线" w:eastAsia="仿宋_GB2312"/>
                <w:color w:val="000000"/>
                <w:kern w:val="0"/>
                <w:sz w:val="32"/>
                <w:szCs w:val="32"/>
              </w:rPr>
              <w:t>15</w:t>
            </w:r>
          </w:p>
        </w:tc>
        <w:tc>
          <w:tcPr>
            <w:tcW w:w="1512"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公共绿地</w:t>
            </w:r>
          </w:p>
        </w:tc>
        <w:tc>
          <w:tcPr>
            <w:tcW w:w="5153"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至少有一片开放的公共绿地。新建居住社区至少建设一个不小于4000平方米的社区游园，设置10%—15%的体育活动场地。既有居住社区应结合边角地、废弃地、闲置地等改造建设“口袋公园”、“袖珍公园”等。社区公共绿地应配备休憩设施，景观环境优美，体现文化内涵，在紧急情况下可转换为应急避难场所。</w:t>
            </w:r>
          </w:p>
        </w:tc>
        <w:tc>
          <w:tcPr>
            <w:tcW w:w="0" w:type="auto"/>
            <w:vAlign w:val="center"/>
          </w:tcPr>
          <w:p>
            <w:pPr>
              <w:widowControl/>
              <w:jc w:val="left"/>
              <w:rPr>
                <w:rFonts w:ascii="Times New Roman" w:hAnsi="Times New Roman" w:eastAsia="Times New Roman"/>
                <w:kern w:val="0"/>
                <w:sz w:val="20"/>
                <w:szCs w:val="20"/>
              </w:rPr>
            </w:pPr>
          </w:p>
        </w:tc>
      </w:tr>
      <w:tr>
        <w:tblPrEx>
          <w:tblCellMar>
            <w:top w:w="15" w:type="dxa"/>
            <w:left w:w="15" w:type="dxa"/>
            <w:bottom w:w="15" w:type="dxa"/>
            <w:right w:w="15" w:type="dxa"/>
          </w:tblCellMar>
        </w:tblPrEx>
        <w:trPr>
          <w:trHeight w:val="3784" w:hRule="atLeast"/>
          <w:jc w:val="center"/>
        </w:trPr>
        <w:tc>
          <w:tcPr>
            <w:tcW w:w="1101"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楷体_GB2312" w:hAnsi="等线" w:eastAsia="楷体_GB2312"/>
                <w:color w:val="000000"/>
                <w:sz w:val="32"/>
                <w:szCs w:val="32"/>
              </w:rPr>
            </w:pPr>
            <w:r>
              <w:rPr>
                <w:rFonts w:hint="eastAsia" w:ascii="楷体_GB2312" w:hAnsi="等线" w:eastAsia="楷体_GB2312"/>
                <w:color w:val="000000"/>
                <w:kern w:val="0"/>
                <w:sz w:val="32"/>
                <w:szCs w:val="32"/>
              </w:rPr>
              <w:t>五、物业管理全覆盖</w:t>
            </w: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16</w:t>
            </w:r>
          </w:p>
        </w:tc>
        <w:tc>
          <w:tcPr>
            <w:tcW w:w="1512"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物业服务</w:t>
            </w:r>
          </w:p>
        </w:tc>
        <w:tc>
          <w:tcPr>
            <w:tcW w:w="5153"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textAlignment w:val="center"/>
              <w:rPr>
                <w:rFonts w:hint="eastAsia" w:ascii="仿宋_GB2312" w:hAnsi="等线" w:eastAsia="仿宋_GB2312"/>
                <w:color w:val="000000"/>
                <w:sz w:val="32"/>
                <w:szCs w:val="32"/>
              </w:rPr>
            </w:pPr>
            <w:r>
              <w:rPr>
                <w:rFonts w:hint="eastAsia" w:ascii="仿宋_GB2312" w:hAnsi="等线" w:eastAsia="仿宋_GB2312"/>
                <w:color w:val="000000"/>
                <w:sz w:val="32"/>
                <w:szCs w:val="32"/>
              </w:rPr>
              <w:t>鼓励引入专业化物业服务，暂不具备条件的，通过社区托管、社会组织代管或居民自管等方式，提高物业管理覆盖率。新建居住社区按照不低于物业总建筑面积2‰比例且不低于50平方米配置物业管理用房，既有居住社区因地制宜配置物业管理用房。</w:t>
            </w:r>
          </w:p>
        </w:tc>
        <w:tc>
          <w:tcPr>
            <w:tcW w:w="0" w:type="auto"/>
            <w:vAlign w:val="center"/>
          </w:tcPr>
          <w:p>
            <w:pPr>
              <w:widowControl/>
              <w:jc w:val="left"/>
              <w:rPr>
                <w:rFonts w:ascii="Times New Roman" w:hAnsi="Times New Roman" w:eastAsia="Times New Roman"/>
                <w:kern w:val="0"/>
                <w:sz w:val="20"/>
                <w:szCs w:val="20"/>
              </w:rPr>
            </w:pPr>
          </w:p>
        </w:tc>
      </w:tr>
      <w:tr>
        <w:tblPrEx>
          <w:tblCellMar>
            <w:top w:w="15" w:type="dxa"/>
            <w:left w:w="15" w:type="dxa"/>
            <w:bottom w:w="15" w:type="dxa"/>
            <w:right w:w="15" w:type="dxa"/>
          </w:tblCellMar>
        </w:tblPrEx>
        <w:trPr>
          <w:trHeight w:val="2514"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楷体_GB2312" w:hAnsi="等线" w:eastAsia="楷体_GB2312"/>
                <w:color w:val="000000"/>
                <w:sz w:val="32"/>
                <w:szCs w:val="32"/>
              </w:rPr>
            </w:pP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17</w:t>
            </w:r>
          </w:p>
        </w:tc>
        <w:tc>
          <w:tcPr>
            <w:tcW w:w="1512"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物业管理服务平台</w:t>
            </w:r>
          </w:p>
        </w:tc>
        <w:tc>
          <w:tcPr>
            <w:tcW w:w="5153"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建立物业管理服务平台，推动物业服务企业发展线上线下社区服务业，实现数字化、智能化、精细化管理和服务。</w:t>
            </w:r>
          </w:p>
        </w:tc>
        <w:tc>
          <w:tcPr>
            <w:tcW w:w="0" w:type="auto"/>
            <w:vAlign w:val="center"/>
          </w:tcPr>
          <w:p>
            <w:pPr>
              <w:widowControl/>
              <w:jc w:val="left"/>
              <w:rPr>
                <w:rFonts w:ascii="Times New Roman" w:hAnsi="Times New Roman" w:eastAsia="Times New Roman"/>
                <w:kern w:val="0"/>
                <w:sz w:val="20"/>
                <w:szCs w:val="20"/>
              </w:rPr>
            </w:pPr>
          </w:p>
        </w:tc>
      </w:tr>
      <w:tr>
        <w:tblPrEx>
          <w:tblCellMar>
            <w:top w:w="15" w:type="dxa"/>
            <w:left w:w="15" w:type="dxa"/>
            <w:bottom w:w="15" w:type="dxa"/>
            <w:right w:w="15" w:type="dxa"/>
          </w:tblCellMar>
        </w:tblPrEx>
        <w:trPr>
          <w:trHeight w:val="3013" w:hRule="atLeast"/>
          <w:jc w:val="center"/>
        </w:trPr>
        <w:tc>
          <w:tcPr>
            <w:tcW w:w="1101"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楷体_GB2312" w:hAnsi="等线" w:eastAsia="楷体_GB2312"/>
                <w:color w:val="000000"/>
                <w:sz w:val="32"/>
                <w:szCs w:val="32"/>
              </w:rPr>
            </w:pPr>
            <w:r>
              <w:rPr>
                <w:rFonts w:hint="eastAsia" w:ascii="楷体_GB2312" w:hAnsi="等线" w:eastAsia="楷体_GB2312"/>
                <w:color w:val="000000"/>
                <w:kern w:val="0"/>
                <w:sz w:val="32"/>
                <w:szCs w:val="32"/>
              </w:rPr>
              <w:t>六、社区管理机制健全</w:t>
            </w: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18</w:t>
            </w:r>
          </w:p>
        </w:tc>
        <w:tc>
          <w:tcPr>
            <w:tcW w:w="1512"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管理机制</w:t>
            </w:r>
          </w:p>
        </w:tc>
        <w:tc>
          <w:tcPr>
            <w:tcW w:w="5153"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建立“党委领导、政府组织、业主参与、企业服务”的居住社区管理机制。推动城市管理进社区，将城市综合管理服务平台与物业管理服务平台相衔接，提高城市管理覆盖面。</w:t>
            </w:r>
          </w:p>
        </w:tc>
        <w:tc>
          <w:tcPr>
            <w:tcW w:w="0" w:type="auto"/>
            <w:vAlign w:val="center"/>
          </w:tcPr>
          <w:p>
            <w:pPr>
              <w:widowControl/>
              <w:jc w:val="left"/>
              <w:rPr>
                <w:rFonts w:ascii="Times New Roman" w:hAnsi="Times New Roman" w:eastAsia="Times New Roman"/>
                <w:kern w:val="0"/>
                <w:sz w:val="20"/>
                <w:szCs w:val="20"/>
              </w:rPr>
            </w:pPr>
          </w:p>
        </w:tc>
      </w:tr>
      <w:tr>
        <w:tblPrEx>
          <w:tblCellMar>
            <w:top w:w="15" w:type="dxa"/>
            <w:left w:w="15" w:type="dxa"/>
            <w:bottom w:w="15" w:type="dxa"/>
            <w:right w:w="15" w:type="dxa"/>
          </w:tblCellMar>
        </w:tblPrEx>
        <w:trPr>
          <w:trHeight w:val="2377"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楷体_GB2312" w:hAnsi="等线" w:eastAsia="楷体_GB2312"/>
                <w:color w:val="000000"/>
                <w:sz w:val="32"/>
                <w:szCs w:val="32"/>
              </w:rPr>
            </w:pP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19</w:t>
            </w:r>
          </w:p>
        </w:tc>
        <w:tc>
          <w:tcPr>
            <w:tcW w:w="1512"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综合管理服务</w:t>
            </w:r>
          </w:p>
        </w:tc>
        <w:tc>
          <w:tcPr>
            <w:tcW w:w="5153"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依法依规查处私搭乱建等违法违规行为。组织引导居民参与社区环境整治、生活垃圾分类等活动。</w:t>
            </w:r>
          </w:p>
        </w:tc>
        <w:tc>
          <w:tcPr>
            <w:tcW w:w="0" w:type="auto"/>
            <w:vAlign w:val="center"/>
          </w:tcPr>
          <w:p>
            <w:pPr>
              <w:widowControl/>
              <w:jc w:val="left"/>
              <w:rPr>
                <w:rFonts w:ascii="Times New Roman" w:hAnsi="Times New Roman" w:eastAsia="Times New Roman"/>
                <w:kern w:val="0"/>
                <w:sz w:val="20"/>
                <w:szCs w:val="20"/>
              </w:rPr>
            </w:pPr>
          </w:p>
        </w:tc>
      </w:tr>
      <w:tr>
        <w:tblPrEx>
          <w:tblCellMar>
            <w:top w:w="15" w:type="dxa"/>
            <w:left w:w="15" w:type="dxa"/>
            <w:bottom w:w="15" w:type="dxa"/>
            <w:right w:w="15" w:type="dxa"/>
          </w:tblCellMar>
        </w:tblPrEx>
        <w:trPr>
          <w:trHeight w:val="2283"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楷体_GB2312" w:hAnsi="等线" w:eastAsia="楷体_GB2312"/>
                <w:color w:val="000000"/>
                <w:sz w:val="32"/>
                <w:szCs w:val="32"/>
              </w:rPr>
            </w:pPr>
          </w:p>
        </w:tc>
        <w:tc>
          <w:tcPr>
            <w:tcW w:w="766"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20</w:t>
            </w:r>
          </w:p>
        </w:tc>
        <w:tc>
          <w:tcPr>
            <w:tcW w:w="1512"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jc w:val="center"/>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社区文化</w:t>
            </w:r>
          </w:p>
        </w:tc>
        <w:tc>
          <w:tcPr>
            <w:tcW w:w="5153" w:type="dxa"/>
            <w:tcBorders>
              <w:top w:val="single" w:color="000000" w:sz="4" w:space="0"/>
              <w:left w:val="nil"/>
              <w:bottom w:val="single" w:color="000000" w:sz="4" w:space="0"/>
              <w:right w:val="single" w:color="000000" w:sz="4" w:space="0"/>
            </w:tcBorders>
            <w:shd w:val="clear" w:color="auto" w:fill="FFFFFF"/>
            <w:vAlign w:val="center"/>
          </w:tcPr>
          <w:p>
            <w:pPr>
              <w:widowControl/>
              <w:autoSpaceDE w:val="0"/>
              <w:spacing w:line="440" w:lineRule="exact"/>
              <w:textAlignment w:val="center"/>
              <w:rPr>
                <w:rFonts w:hint="eastAsia" w:ascii="仿宋_GB2312" w:hAnsi="等线" w:eastAsia="仿宋_GB2312"/>
                <w:color w:val="000000"/>
                <w:sz w:val="32"/>
                <w:szCs w:val="32"/>
              </w:rPr>
            </w:pPr>
            <w:r>
              <w:rPr>
                <w:rFonts w:hint="eastAsia" w:ascii="仿宋_GB2312" w:hAnsi="等线" w:eastAsia="仿宋_GB2312"/>
                <w:color w:val="000000"/>
                <w:kern w:val="0"/>
                <w:sz w:val="32"/>
                <w:szCs w:val="32"/>
              </w:rPr>
              <w:t>举办文化活动，制定发布社区居民公约，营造富有特色的社区文化。</w:t>
            </w:r>
          </w:p>
        </w:tc>
        <w:tc>
          <w:tcPr>
            <w:tcW w:w="0" w:type="auto"/>
            <w:vAlign w:val="center"/>
          </w:tcPr>
          <w:p>
            <w:pPr>
              <w:widowControl/>
              <w:jc w:val="left"/>
              <w:rPr>
                <w:rFonts w:ascii="Times New Roman" w:hAnsi="Times New Roman" w:eastAsia="Times New Roman"/>
                <w:kern w:val="0"/>
                <w:sz w:val="20"/>
                <w:szCs w:val="20"/>
              </w:rPr>
            </w:pPr>
          </w:p>
        </w:tc>
      </w:tr>
    </w:tbl>
    <w:p>
      <w:pPr>
        <w:rPr>
          <w:rFonts w:hint="eastAsia" w:ascii="Calibri" w:hAnsi="Calibri" w:eastAsia="宋体" w:cs="Times New Roman"/>
          <w:szCs w:val="21"/>
        </w:rPr>
      </w:pPr>
      <w:r>
        <w:rPr>
          <w:rFonts w:hint="eastAsia" w:ascii="仿宋_GB2312" w:hAnsi="等线" w:eastAsia="仿宋_GB2312"/>
          <w:color w:val="000000"/>
          <w:kern w:val="0"/>
          <w:sz w:val="32"/>
          <w:szCs w:val="32"/>
        </w:rPr>
        <w:t xml:space="preserve">说明：完整居住社区是指为群众日常生活提供基本服务和设施的生活单元，也是社区治理的基本单元。本标准以0.5—1.2万人口规模的完整居住社区为基本单元，依据《城市居住区规划设计标准》等有关标准规范和政策文件编制。若干个完整居住社区构成街区，统筹配建中小学、养老院、社区医院、运动场馆、公园等设施，与十五分钟生活圈相衔接，为居民提供更加完善的公共服务。 </w:t>
      </w:r>
    </w:p>
    <w:p>
      <w:pPr>
        <w:ind w:firstLine="600"/>
        <w:jc w:val="left"/>
        <w:rPr>
          <w:rFonts w:hint="eastAsia"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yZDYzZjBiMmU3NWRjZWExODk4YjZlZWQ5MTZlODYifQ=="/>
  </w:docVars>
  <w:rsids>
    <w:rsidRoot w:val="00436C56"/>
    <w:rsid w:val="002D6244"/>
    <w:rsid w:val="00436C56"/>
    <w:rsid w:val="007012B5"/>
    <w:rsid w:val="00C95C37"/>
    <w:rsid w:val="09180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856</Words>
  <Characters>4885</Characters>
  <Lines>40</Lines>
  <Paragraphs>11</Paragraphs>
  <TotalTime>12</TotalTime>
  <ScaleCrop>false</ScaleCrop>
  <LinksUpToDate>false</LinksUpToDate>
  <CharactersWithSpaces>5730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2022-03-11T09:40:00Z</dcterms:created>
  <dc:creator>jdb</dc:creator>
  <cp:lastModifiedBy>鸡蛋饼b</cp:lastModifiedBy>
  <dcterms:modified xsi:type="dcterms:W3CDTF">2024-01-26T07:23:40Z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ECCFE7ABA1EA41DBAD7FC0B5CA53976B_12</vt:lpwstr>
  </property>
</Properties>
</file>