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line="360" w:lineRule="auto"/>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bookmarkStart w:id="133" w:name="_GoBack"/>
      <w:bookmarkEnd w:id="133"/>
    </w:p>
    <w:p>
      <w:pPr>
        <w:spacing w:line="360" w:lineRule="auto"/>
        <w:ind w:firstLine="480" w:firstLineChars="150"/>
        <w:rPr>
          <w:rFonts w:hint="eastAsia" w:ascii="仿宋_GB2312" w:eastAsia="仿宋_GB2312"/>
          <w:sz w:val="32"/>
          <w:szCs w:val="32"/>
        </w:rPr>
      </w:pPr>
      <w:r>
        <w:rPr>
          <w:rFonts w:hint="eastAsia" w:ascii="仿宋_GB2312" w:eastAsia="仿宋_GB2312"/>
          <w:sz w:val="32"/>
          <w:szCs w:val="32"/>
        </w:rPr>
        <w:t xml:space="preserve">     </w:t>
      </w:r>
    </w:p>
    <w:p>
      <w:pPr>
        <w:pStyle w:val="2"/>
      </w:pPr>
    </w:p>
    <w:p>
      <w:pPr>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项目绩效自评报告</w:t>
      </w:r>
    </w:p>
    <w:p>
      <w:pPr>
        <w:spacing w:line="360" w:lineRule="auto"/>
        <w:jc w:val="center"/>
        <w:rPr>
          <w:rFonts w:ascii="方正小标宋简体" w:hAnsi="方正小标宋简体" w:eastAsia="方正小标宋简体" w:cs="方正小标宋简体"/>
          <w:sz w:val="32"/>
          <w:szCs w:val="32"/>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widowControl/>
        <w:ind w:firstLine="640" w:firstLineChars="200"/>
        <w:jc w:val="left"/>
        <w:rPr>
          <w:rFonts w:ascii="仿宋_GB2312" w:eastAsia="仿宋_GB2312"/>
          <w:sz w:val="32"/>
          <w:szCs w:val="32"/>
        </w:rPr>
      </w:pPr>
      <w:r>
        <w:rPr>
          <w:rFonts w:ascii="仿宋_GB2312" w:eastAsia="仿宋_GB2312"/>
          <w:sz w:val="32"/>
          <w:szCs w:val="32"/>
        </w:rPr>
        <w:t>财政事权名称：</w:t>
      </w:r>
      <w:r>
        <w:rPr>
          <w:rFonts w:hint="eastAsia" w:ascii="仿宋_GB2312" w:eastAsia="仿宋_GB2312"/>
          <w:sz w:val="32"/>
          <w:szCs w:val="32"/>
        </w:rPr>
        <w:t>住房和城乡建设</w:t>
      </w:r>
    </w:p>
    <w:p>
      <w:pPr>
        <w:widowControl/>
        <w:ind w:left="638" w:leftChars="304"/>
        <w:jc w:val="left"/>
        <w:rPr>
          <w:rFonts w:hint="eastAsia" w:ascii="仿宋_GB2312" w:eastAsia="仿宋_GB2312"/>
          <w:sz w:val="32"/>
          <w:szCs w:val="32"/>
          <w:lang w:eastAsia="zh-CN"/>
        </w:rPr>
      </w:pPr>
      <w:r>
        <w:rPr>
          <w:rFonts w:ascii="仿宋_GB2312" w:eastAsia="仿宋_GB2312"/>
          <w:sz w:val="32"/>
          <w:szCs w:val="32"/>
        </w:rPr>
        <w:t>对应政策任务个数：</w:t>
      </w:r>
      <w:r>
        <w:rPr>
          <w:rFonts w:hint="eastAsia" w:ascii="仿宋_GB2312" w:eastAsia="仿宋_GB2312"/>
          <w:sz w:val="32"/>
          <w:szCs w:val="32"/>
        </w:rPr>
        <w:t xml:space="preserve">1个 </w:t>
      </w:r>
      <w:r>
        <w:rPr>
          <w:rFonts w:ascii="仿宋_GB2312" w:eastAsia="仿宋_GB2312"/>
          <w:sz w:val="32"/>
          <w:szCs w:val="32"/>
        </w:rPr>
        <w:t>及具体名称：</w:t>
      </w:r>
      <w:r>
        <w:rPr>
          <w:rFonts w:hint="eastAsia" w:ascii="仿宋_GB2312" w:eastAsia="仿宋_GB2312"/>
          <w:sz w:val="32"/>
          <w:szCs w:val="32"/>
          <w:lang w:eastAsia="zh-CN"/>
        </w:rPr>
        <w:t>城镇保障性安居工程</w:t>
      </w:r>
    </w:p>
    <w:p>
      <w:pPr>
        <w:widowControl/>
        <w:ind w:firstLine="640" w:firstLineChars="200"/>
        <w:jc w:val="left"/>
        <w:rPr>
          <w:rFonts w:ascii="仿宋_GB2312" w:eastAsia="仿宋_GB2312"/>
          <w:sz w:val="32"/>
          <w:szCs w:val="32"/>
        </w:rPr>
      </w:pPr>
      <w:r>
        <w:rPr>
          <w:rFonts w:ascii="仿宋_GB2312" w:eastAsia="仿宋_GB2312"/>
          <w:sz w:val="32"/>
          <w:szCs w:val="32"/>
        </w:rPr>
        <w:t>预算单位：（公章）</w:t>
      </w:r>
      <w:r>
        <w:rPr>
          <w:rFonts w:hint="eastAsia" w:ascii="仿宋_GB2312" w:eastAsia="仿宋_GB2312"/>
          <w:sz w:val="32"/>
          <w:szCs w:val="32"/>
        </w:rPr>
        <w:t>广东省住房和城乡建设厅</w:t>
      </w:r>
    </w:p>
    <w:p>
      <w:pPr>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填报人姓名：</w:t>
      </w:r>
      <w:r>
        <w:rPr>
          <w:rFonts w:hint="eastAsia" w:ascii="仿宋_GB2312" w:eastAsia="仿宋_GB2312"/>
          <w:sz w:val="32"/>
          <w:szCs w:val="32"/>
          <w:lang w:eastAsia="zh-CN"/>
        </w:rPr>
        <w:t>黄泳怡</w:t>
      </w:r>
    </w:p>
    <w:p>
      <w:pPr>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020-83133509</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填报日期：202</w:t>
      </w:r>
      <w:r>
        <w:rPr>
          <w:rFonts w:ascii="仿宋_GB2312" w:eastAsia="仿宋_GB2312"/>
          <w:sz w:val="32"/>
          <w:szCs w:val="32"/>
        </w:rPr>
        <w:t>3</w:t>
      </w:r>
      <w:r>
        <w:rPr>
          <w:rFonts w:hint="eastAsia" w:ascii="仿宋_GB2312" w:eastAsia="仿宋_GB2312"/>
          <w:sz w:val="32"/>
          <w:szCs w:val="32"/>
        </w:rPr>
        <w:t>年7月</w:t>
      </w:r>
      <w:r>
        <w:rPr>
          <w:rFonts w:hint="eastAsia" w:ascii="仿宋_GB2312" w:eastAsia="仿宋_GB2312"/>
          <w:sz w:val="32"/>
          <w:szCs w:val="32"/>
          <w:lang w:val="en-US" w:eastAsia="zh-CN"/>
        </w:rPr>
        <w:t>30</w:t>
      </w:r>
      <w:r>
        <w:rPr>
          <w:rFonts w:hint="eastAsia" w:ascii="仿宋_GB2312" w:eastAsia="仿宋_GB2312"/>
          <w:sz w:val="32"/>
          <w:szCs w:val="32"/>
        </w:rPr>
        <w:t>日</w:t>
      </w:r>
    </w:p>
    <w:p>
      <w:pPr>
        <w:pStyle w:val="2"/>
      </w:pPr>
    </w:p>
    <w:sdt>
      <w:sdtPr>
        <w:rPr>
          <w:rFonts w:ascii="宋体" w:hAnsi="宋体" w:eastAsia="宋体" w:cstheme="minorBidi"/>
          <w:kern w:val="2"/>
          <w:sz w:val="21"/>
          <w:szCs w:val="24"/>
          <w:lang w:val="en-US" w:eastAsia="zh-CN" w:bidi="ar-SA"/>
        </w:rPr>
        <w:id w:val="147470233"/>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rPr>
          </w:pPr>
          <w:r>
            <w:rPr>
              <w:rFonts w:hint="eastAsia" w:ascii="方正小标宋简体" w:hAnsi="方正小标宋简体" w:eastAsia="方正小标宋简体" w:cs="方正小标宋简体"/>
              <w:sz w:val="44"/>
              <w:szCs w:val="44"/>
            </w:rPr>
            <w:t>目录</w:t>
          </w:r>
        </w:p>
        <w:p>
          <w:pPr>
            <w:pStyle w:val="12"/>
            <w:tabs>
              <w:tab w:val="right" w:leader="dot" w:pos="8306"/>
            </w:tabs>
            <w:rPr>
              <w:rFonts w:hint="eastAsia" w:ascii="仿宋_GB2312" w:hAnsi="仿宋_GB2312" w:eastAsia="仿宋_GB2312" w:cs="仿宋_GB2312"/>
              <w:sz w:val="32"/>
              <w:szCs w:val="32"/>
            </w:rPr>
          </w:pPr>
          <w:r>
            <w:rPr>
              <w:sz w:val="32"/>
              <w:szCs w:val="32"/>
            </w:rPr>
            <w:fldChar w:fldCharType="begin"/>
          </w:r>
          <w:r>
            <w:rPr>
              <w:sz w:val="32"/>
              <w:szCs w:val="32"/>
            </w:rPr>
            <w:instrText xml:space="preserve">TOC \o "1-3" \h \u </w:instrText>
          </w:r>
          <w:r>
            <w:rPr>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_Toc10346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一</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项目</w:t>
          </w:r>
          <w:r>
            <w:rPr>
              <w:rFonts w:hint="eastAsia" w:ascii="仿宋_GB2312" w:hAnsi="仿宋_GB2312" w:eastAsia="仿宋_GB2312" w:cs="仿宋_GB2312"/>
              <w:bCs/>
              <w:kern w:val="0"/>
              <w:sz w:val="32"/>
              <w:szCs w:val="32"/>
              <w:lang w:eastAsia="zh-CN"/>
            </w:rPr>
            <w:t>基本</w:t>
          </w:r>
          <w:r>
            <w:rPr>
              <w:rFonts w:hint="eastAsia" w:ascii="仿宋_GB2312" w:hAnsi="仿宋_GB2312" w:eastAsia="仿宋_GB2312" w:cs="仿宋_GB2312"/>
              <w:bCs/>
              <w:kern w:val="0"/>
              <w:sz w:val="32"/>
              <w:szCs w:val="32"/>
            </w:rPr>
            <w:t>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_Toc10346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rPr>
            <w:t>（二）项目决策情况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_Toc10664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highlight w:val="none"/>
            </w:rPr>
            <w:t>（三）绩效目标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rPr>
            <w:t>二、绩效自评工作组织情况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rPr>
            <w:t>三、绩效自评结论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_Toc21593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_Toc23638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rPr>
            <w:t>四、绩效指标分析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_Toc23638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_Toc23252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rPr>
            <w:t>（一）决策分析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_Toc23252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_Toc15451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rPr>
            <w:t>（二）过程分析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_Toc15451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rPr>
            <w:t>（三）产出分析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_Toc17181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val="en-US" w:eastAsia="zh-CN"/>
            </w:rPr>
            <w:t>四</w:t>
          </w:r>
          <w:r>
            <w:rPr>
              <w:rFonts w:hint="eastAsia" w:ascii="仿宋_GB2312" w:hAnsi="仿宋_GB2312" w:eastAsia="仿宋_GB2312" w:cs="仿宋_GB2312"/>
              <w:bCs/>
              <w:kern w:val="0"/>
              <w:sz w:val="32"/>
              <w:szCs w:val="32"/>
              <w:highlight w:val="none"/>
            </w:rPr>
            <w:t>）效益分析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_Toc17181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0"/>
              <w:sz w:val="32"/>
              <w:szCs w:val="32"/>
              <w:highlight w:val="none"/>
            </w:rPr>
            <w:t>五、主要绩效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_Toc31331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rPr>
            <w:t>六、存在问题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_Toc11361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highlight w:val="none"/>
              <w:lang w:val="en-US" w:eastAsia="zh-CN"/>
            </w:rPr>
            <w:t>七</w:t>
          </w:r>
          <w:r>
            <w:rPr>
              <w:rFonts w:hint="eastAsia" w:ascii="仿宋_GB2312" w:hAnsi="仿宋_GB2312" w:eastAsia="仿宋_GB2312" w:cs="仿宋_GB2312"/>
              <w:kern w:val="0"/>
              <w:sz w:val="32"/>
              <w:szCs w:val="32"/>
              <w:highlight w:val="none"/>
            </w:rPr>
            <w:t>、下一步工作计划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r>
            <w:rPr>
              <w:sz w:val="32"/>
              <w:szCs w:val="32"/>
            </w:rPr>
            <w:fldChar w:fldCharType="end"/>
          </w:r>
        </w:p>
      </w:sdtContent>
    </w:sdt>
    <w:p>
      <w:pPr>
        <w:pStyle w:val="41"/>
        <w:pageBreakBefore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rPr>
      </w:pPr>
    </w:p>
    <w:p>
      <w:pPr>
        <w:pStyle w:val="41"/>
        <w:pageBreakBefore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rPr>
      </w:pPr>
    </w:p>
    <w:p>
      <w:pPr>
        <w:pStyle w:val="41"/>
        <w:pageBreakBefore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pStyle w:val="41"/>
        <w:pageBreakBefore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为深入贯彻落实《中共中央国务院关于全面实施预算绩效管理的意见》和预算法及其实施条例的有关要求，检验</w:t>
      </w:r>
      <w:r>
        <w:rPr>
          <w:rFonts w:hint="default" w:ascii="Times New Roman" w:hAnsi="Times New Roman" w:eastAsia="仿宋_GB2312" w:cs="Times New Roman"/>
          <w:color w:val="auto"/>
          <w:kern w:val="0"/>
          <w:sz w:val="32"/>
          <w:szCs w:val="32"/>
          <w:highlight w:val="none"/>
        </w:rPr>
        <w:t>202</w:t>
      </w:r>
      <w:r>
        <w:rPr>
          <w:rFonts w:hint="default" w:ascii="Times New Roman" w:hAnsi="Times New Roman" w:eastAsia="仿宋_GB2312" w:cs="Times New Roman"/>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保障性安居工程</w:t>
      </w:r>
      <w:r>
        <w:rPr>
          <w:rFonts w:hint="eastAsia" w:ascii="仿宋_GB2312" w:hAnsi="仿宋_GB2312" w:eastAsia="仿宋_GB2312" w:cs="仿宋_GB2312"/>
          <w:color w:val="auto"/>
          <w:kern w:val="0"/>
          <w:sz w:val="32"/>
          <w:szCs w:val="32"/>
          <w:highlight w:val="none"/>
          <w:lang w:eastAsia="zh-CN"/>
        </w:rPr>
        <w:t>专项</w:t>
      </w:r>
      <w:r>
        <w:rPr>
          <w:rFonts w:hint="eastAsia" w:ascii="仿宋_GB2312" w:hAnsi="仿宋_GB2312" w:eastAsia="仿宋_GB2312" w:cs="仿宋_GB2312"/>
          <w:color w:val="auto"/>
          <w:kern w:val="0"/>
          <w:sz w:val="32"/>
          <w:szCs w:val="32"/>
          <w:highlight w:val="none"/>
        </w:rPr>
        <w:t>补助</w:t>
      </w:r>
      <w:r>
        <w:rPr>
          <w:rFonts w:hint="eastAsia" w:ascii="仿宋_GB2312" w:hAnsi="仿宋_GB2312" w:eastAsia="仿宋_GB2312" w:cs="仿宋_GB2312"/>
          <w:color w:val="auto"/>
          <w:kern w:val="0"/>
          <w:sz w:val="32"/>
          <w:szCs w:val="32"/>
          <w:highlight w:val="none"/>
          <w:lang w:eastAsia="zh-CN"/>
        </w:rPr>
        <w:t>资金</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以下简称</w:t>
      </w:r>
      <w:r>
        <w:rPr>
          <w:rFonts w:hint="eastAsia" w:ascii="仿宋_GB2312" w:hAnsi="仿宋_GB2312" w:eastAsia="仿宋_GB2312" w:cs="仿宋_GB2312"/>
          <w:color w:val="auto"/>
          <w:kern w:val="0"/>
          <w:sz w:val="32"/>
          <w:szCs w:val="32"/>
          <w:highlight w:val="none"/>
        </w:rPr>
        <w:t>专项资金）使用效益，考核绩效目标实现程度、支出效率和综合效果，进一步强化绩效管理，根据《广东省财政厅关于做好</w:t>
      </w:r>
      <w:r>
        <w:rPr>
          <w:rFonts w:hint="default" w:ascii="Times New Roman" w:hAnsi="Times New Roman" w:eastAsia="仿宋_GB2312" w:cs="Times New Roman"/>
          <w:color w:val="auto"/>
          <w:kern w:val="0"/>
          <w:sz w:val="32"/>
          <w:szCs w:val="32"/>
          <w:highlight w:val="none"/>
        </w:rPr>
        <w:t>2023</w:t>
      </w:r>
      <w:r>
        <w:rPr>
          <w:rFonts w:hint="eastAsia" w:ascii="仿宋_GB2312" w:hAnsi="仿宋_GB2312" w:eastAsia="仿宋_GB2312" w:cs="仿宋_GB2312"/>
          <w:color w:val="auto"/>
          <w:kern w:val="0"/>
          <w:sz w:val="32"/>
          <w:szCs w:val="32"/>
          <w:highlight w:val="none"/>
        </w:rPr>
        <w:t>年省级财政重点绩效评价工作的预通知》（粤财绩便〔</w:t>
      </w:r>
      <w:r>
        <w:rPr>
          <w:rFonts w:hint="default" w:ascii="Times New Roman" w:hAnsi="Times New Roman" w:eastAsia="仿宋_GB2312" w:cs="Times New Roman"/>
          <w:color w:val="auto"/>
          <w:kern w:val="0"/>
          <w:sz w:val="32"/>
          <w:szCs w:val="32"/>
          <w:highlight w:val="none"/>
        </w:rPr>
        <w:t>2023</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2</w:t>
      </w:r>
      <w:r>
        <w:rPr>
          <w:rFonts w:hint="eastAsia" w:ascii="仿宋_GB2312" w:hAnsi="仿宋_GB2312" w:eastAsia="仿宋_GB2312" w:cs="仿宋_GB2312"/>
          <w:color w:val="auto"/>
          <w:kern w:val="0"/>
          <w:sz w:val="32"/>
          <w:szCs w:val="32"/>
          <w:highlight w:val="none"/>
        </w:rPr>
        <w:t xml:space="preserve"> 号）</w:t>
      </w:r>
      <w:r>
        <w:rPr>
          <w:rFonts w:hint="eastAsia" w:ascii="仿宋_GB2312" w:hAnsi="仿宋_GB2312" w:eastAsia="仿宋_GB2312" w:cs="仿宋_GB2312"/>
          <w:color w:val="auto"/>
          <w:kern w:val="0"/>
          <w:sz w:val="32"/>
          <w:szCs w:val="32"/>
          <w:highlight w:val="none"/>
          <w:lang w:eastAsia="zh-CN"/>
        </w:rPr>
        <w:t>和《</w:t>
      </w:r>
      <w:r>
        <w:rPr>
          <w:rFonts w:hint="eastAsia" w:ascii="仿宋_GB2312" w:hAnsi="仿宋_GB2312" w:eastAsia="仿宋_GB2312" w:cs="仿宋_GB2312"/>
          <w:kern w:val="0"/>
          <w:sz w:val="32"/>
          <w:szCs w:val="32"/>
          <w:highlight w:val="none"/>
        </w:rPr>
        <w:t>广东省住房和城乡建</w:t>
      </w:r>
      <w:r>
        <w:rPr>
          <w:rFonts w:hint="eastAsia" w:ascii="仿宋_GB2312" w:hAnsi="仿宋_GB2312" w:eastAsia="仿宋_GB2312" w:cs="仿宋_GB2312"/>
          <w:kern w:val="0"/>
          <w:sz w:val="32"/>
          <w:szCs w:val="32"/>
        </w:rPr>
        <w:t>设厅关于开展</w:t>
      </w:r>
      <w:r>
        <w:rPr>
          <w:rFonts w:hint="default" w:ascii="Times New Roman" w:hAnsi="Times New Roman" w:eastAsia="仿宋_GB2312" w:cs="Times New Roman"/>
          <w:kern w:val="0"/>
          <w:sz w:val="32"/>
          <w:szCs w:val="32"/>
        </w:rPr>
        <w:t>2022</w:t>
      </w:r>
      <w:r>
        <w:rPr>
          <w:rFonts w:hint="eastAsia" w:ascii="仿宋_GB2312" w:hAnsi="仿宋_GB2312" w:eastAsia="仿宋_GB2312" w:cs="仿宋_GB2312"/>
          <w:kern w:val="0"/>
          <w:sz w:val="32"/>
          <w:szCs w:val="32"/>
        </w:rPr>
        <w:t>年省级保障性安居工程专项资金绩效评价工作的通知</w:t>
      </w:r>
      <w:r>
        <w:rPr>
          <w:rFonts w:hint="eastAsia" w:ascii="仿宋_GB2312" w:hAnsi="仿宋_GB2312" w:eastAsia="仿宋_GB2312" w:cs="仿宋_GB2312"/>
          <w:color w:val="auto"/>
          <w:kern w:val="0"/>
          <w:sz w:val="32"/>
          <w:szCs w:val="32"/>
          <w:highlight w:val="none"/>
          <w:lang w:eastAsia="zh-CN"/>
        </w:rPr>
        <w:t>》，我厅对</w:t>
      </w:r>
      <w:r>
        <w:rPr>
          <w:rFonts w:hint="eastAsia" w:ascii="仿宋_GB2312" w:hAnsi="仿宋_GB2312" w:eastAsia="仿宋_GB2312" w:cs="仿宋_GB2312"/>
          <w:color w:val="auto"/>
          <w:kern w:val="0"/>
          <w:sz w:val="32"/>
          <w:szCs w:val="32"/>
          <w:highlight w:val="none"/>
          <w:lang w:val="en-US" w:eastAsia="zh-CN"/>
        </w:rPr>
        <w:t>专项</w:t>
      </w:r>
      <w:r>
        <w:rPr>
          <w:rFonts w:hint="eastAsia" w:ascii="仿宋_GB2312" w:hAnsi="仿宋_GB2312" w:eastAsia="仿宋_GB2312" w:cs="仿宋_GB2312"/>
          <w:kern w:val="0"/>
          <w:sz w:val="32"/>
          <w:szCs w:val="32"/>
        </w:rPr>
        <w:t>资金</w:t>
      </w:r>
      <w:r>
        <w:rPr>
          <w:rFonts w:hint="eastAsia" w:ascii="仿宋_GB2312" w:hAnsi="仿宋_GB2312" w:eastAsia="仿宋_GB2312" w:cs="仿宋_GB2312"/>
          <w:color w:val="auto"/>
          <w:kern w:val="0"/>
          <w:sz w:val="32"/>
          <w:szCs w:val="32"/>
          <w:highlight w:val="none"/>
          <w:lang w:eastAsia="zh-CN"/>
        </w:rPr>
        <w:t>使用情况组织开展了绩效自评。</w:t>
      </w:r>
    </w:p>
    <w:p>
      <w:pPr>
        <w:pStyle w:val="41"/>
        <w:pageBreakBefore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评价基准日为</w:t>
      </w:r>
      <w:r>
        <w:rPr>
          <w:rFonts w:hint="default" w:ascii="Times New Roman" w:hAnsi="Times New Roman" w:eastAsia="仿宋_GB2312" w:cs="Times New Roman"/>
          <w:color w:val="auto"/>
          <w:kern w:val="0"/>
          <w:sz w:val="32"/>
          <w:szCs w:val="32"/>
          <w:highlight w:val="none"/>
        </w:rPr>
        <w:t>202</w:t>
      </w:r>
      <w:r>
        <w:rPr>
          <w:rFonts w:hint="default" w:ascii="Times New Roman" w:hAnsi="Times New Roman" w:eastAsia="仿宋_GB2312" w:cs="Times New Roman"/>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w:t>
      </w:r>
      <w:r>
        <w:rPr>
          <w:rFonts w:hint="default" w:ascii="Times New Roman" w:hAnsi="Times New Roman" w:eastAsia="仿宋_GB2312" w:cs="Times New Roman"/>
          <w:color w:val="auto"/>
          <w:kern w:val="0"/>
          <w:sz w:val="32"/>
          <w:szCs w:val="32"/>
          <w:highlight w:val="none"/>
        </w:rPr>
        <w:t>12</w:t>
      </w:r>
      <w:r>
        <w:rPr>
          <w:rFonts w:hint="eastAsia" w:ascii="仿宋_GB2312" w:hAnsi="仿宋_GB2312" w:eastAsia="仿宋_GB2312" w:cs="仿宋_GB2312"/>
          <w:color w:val="auto"/>
          <w:kern w:val="0"/>
          <w:sz w:val="32"/>
          <w:szCs w:val="32"/>
          <w:highlight w:val="none"/>
        </w:rPr>
        <w:t>月</w:t>
      </w:r>
      <w:r>
        <w:rPr>
          <w:rFonts w:hint="default" w:ascii="Times New Roman" w:hAnsi="Times New Roman" w:eastAsia="仿宋_GB2312" w:cs="Times New Roman"/>
          <w:color w:val="auto"/>
          <w:kern w:val="0"/>
          <w:sz w:val="32"/>
          <w:szCs w:val="32"/>
          <w:highlight w:val="none"/>
        </w:rPr>
        <w:t>31</w:t>
      </w:r>
      <w:r>
        <w:rPr>
          <w:rFonts w:hint="eastAsia" w:ascii="仿宋_GB2312" w:hAnsi="仿宋_GB2312" w:eastAsia="仿宋_GB2312" w:cs="仿宋_GB2312"/>
          <w:color w:val="auto"/>
          <w:kern w:val="0"/>
          <w:sz w:val="32"/>
          <w:szCs w:val="32"/>
          <w:highlight w:val="none"/>
        </w:rPr>
        <w:t>日。</w:t>
      </w:r>
    </w:p>
    <w:p>
      <w:pPr>
        <w:pageBreakBefore w:val="0"/>
        <w:kinsoku/>
        <w:wordWrap/>
        <w:overflowPunct/>
        <w:topLinePunct w:val="0"/>
        <w:autoSpaceDE/>
        <w:autoSpaceDN/>
        <w:bidi w:val="0"/>
        <w:adjustRightInd/>
        <w:spacing w:line="600" w:lineRule="exact"/>
        <w:ind w:firstLine="640" w:firstLineChars="200"/>
        <w:textAlignment w:val="auto"/>
        <w:outlineLvl w:val="0"/>
        <w:rPr>
          <w:rFonts w:eastAsia="楷体_GB2312"/>
          <w:b/>
          <w:bCs/>
          <w:sz w:val="32"/>
        </w:rPr>
      </w:pPr>
      <w:bookmarkStart w:id="0" w:name="_Toc8906"/>
      <w:r>
        <w:rPr>
          <w:rFonts w:hint="eastAsia" w:ascii="黑体" w:hAnsi="黑体" w:eastAsia="黑体" w:cs="黑体"/>
          <w:sz w:val="32"/>
          <w:szCs w:val="32"/>
        </w:rPr>
        <w:t>一、基本情况</w:t>
      </w:r>
      <w:bookmarkEnd w:id="0"/>
      <w:bookmarkStart w:id="1" w:name="_Toc62248802"/>
    </w:p>
    <w:p>
      <w:pPr>
        <w:keepNext/>
        <w:keepLines/>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1"/>
        <w:rPr>
          <w:rFonts w:hint="eastAsia" w:ascii="Times New Roman" w:hAnsi="Times New Roman" w:eastAsia="楷体_GB2312" w:cs="仿宋"/>
          <w:b/>
          <w:bCs/>
          <w:kern w:val="0"/>
          <w:sz w:val="32"/>
          <w:szCs w:val="32"/>
        </w:rPr>
      </w:pPr>
      <w:bookmarkStart w:id="2" w:name="_Toc512491956"/>
      <w:bookmarkStart w:id="3" w:name="_Toc15195"/>
      <w:bookmarkStart w:id="4" w:name="_Toc29650"/>
      <w:bookmarkStart w:id="5" w:name="_Toc10346"/>
      <w:bookmarkStart w:id="6" w:name="_Toc14529"/>
      <w:bookmarkStart w:id="7" w:name="_Toc11032"/>
      <w:r>
        <w:rPr>
          <w:rFonts w:hint="eastAsia" w:ascii="Times New Roman" w:hAnsi="Times New Roman" w:eastAsia="楷体_GB2312" w:cs="仿宋"/>
          <w:b/>
          <w:bCs/>
          <w:kern w:val="0"/>
          <w:sz w:val="32"/>
          <w:szCs w:val="32"/>
        </w:rPr>
        <w:t>（</w:t>
      </w:r>
      <w:r>
        <w:rPr>
          <w:rFonts w:hint="eastAsia" w:ascii="Times New Roman" w:hAnsi="Times New Roman" w:eastAsia="楷体_GB2312" w:cs="仿宋"/>
          <w:b/>
          <w:bCs/>
          <w:kern w:val="0"/>
          <w:sz w:val="32"/>
          <w:szCs w:val="32"/>
          <w:lang w:eastAsia="zh-CN"/>
        </w:rPr>
        <w:t>一</w:t>
      </w:r>
      <w:r>
        <w:rPr>
          <w:rFonts w:hint="eastAsia" w:ascii="Times New Roman" w:hAnsi="Times New Roman" w:eastAsia="楷体_GB2312" w:cs="仿宋"/>
          <w:b/>
          <w:bCs/>
          <w:kern w:val="0"/>
          <w:sz w:val="32"/>
          <w:szCs w:val="32"/>
        </w:rPr>
        <w:t>）</w:t>
      </w:r>
      <w:r>
        <w:rPr>
          <w:rFonts w:hint="eastAsia" w:eastAsia="楷体_GB2312" w:cs="仿宋"/>
          <w:b/>
          <w:bCs/>
          <w:kern w:val="0"/>
          <w:sz w:val="32"/>
          <w:szCs w:val="32"/>
          <w:lang w:val="en-US" w:eastAsia="zh-CN"/>
        </w:rPr>
        <w:t>项目</w:t>
      </w:r>
      <w:r>
        <w:rPr>
          <w:rFonts w:hint="eastAsia" w:ascii="Times New Roman" w:hAnsi="Times New Roman" w:eastAsia="楷体_GB2312" w:cs="仿宋"/>
          <w:b/>
          <w:bCs/>
          <w:kern w:val="0"/>
          <w:sz w:val="32"/>
          <w:szCs w:val="32"/>
          <w:lang w:eastAsia="zh-CN"/>
        </w:rPr>
        <w:t>基本</w:t>
      </w:r>
      <w:r>
        <w:rPr>
          <w:rFonts w:hint="eastAsia" w:ascii="Times New Roman" w:hAnsi="Times New Roman" w:eastAsia="楷体_GB2312" w:cs="仿宋"/>
          <w:b/>
          <w:bCs/>
          <w:kern w:val="0"/>
          <w:sz w:val="32"/>
          <w:szCs w:val="32"/>
        </w:rPr>
        <w:t>情况</w:t>
      </w:r>
      <w:bookmarkEnd w:id="2"/>
      <w:bookmarkEnd w:id="3"/>
      <w:bookmarkEnd w:id="4"/>
      <w:bookmarkEnd w:id="5"/>
      <w:bookmarkEnd w:id="6"/>
    </w:p>
    <w:p>
      <w:pPr>
        <w:pageBreakBefore w:val="0"/>
        <w:widowControl/>
        <w:numPr>
          <w:ilvl w:val="-1"/>
          <w:numId w:val="0"/>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Times New Roman" w:eastAsia="仿宋_GB2312"/>
          <w:color w:val="auto"/>
          <w:kern w:val="2"/>
          <w:sz w:val="32"/>
          <w:highlight w:val="none"/>
          <w:lang w:val="en-US" w:eastAsia="zh-CN"/>
        </w:rPr>
      </w:pPr>
      <w:r>
        <w:rPr>
          <w:rFonts w:hint="eastAsia" w:ascii="仿宋_GB2312" w:hAnsi="Times New Roman" w:eastAsia="仿宋_GB2312" w:cstheme="minorBidi"/>
          <w:color w:val="auto"/>
          <w:sz w:val="32"/>
          <w:szCs w:val="24"/>
          <w:highlight w:val="none"/>
        </w:rPr>
        <w:t>为贯彻落实</w:t>
      </w:r>
      <w:r>
        <w:rPr>
          <w:rFonts w:hint="eastAsia" w:ascii="仿宋_GB2312" w:hAnsi="Times New Roman" w:eastAsia="仿宋_GB2312"/>
          <w:color w:val="auto"/>
          <w:kern w:val="2"/>
          <w:sz w:val="32"/>
          <w:highlight w:val="none"/>
          <w:lang w:val="en-US" w:eastAsia="zh-CN"/>
        </w:rPr>
        <w:t>党中央、国务院和省委、省政府有</w:t>
      </w:r>
      <w:r>
        <w:rPr>
          <w:rFonts w:hint="eastAsia" w:ascii="仿宋_GB2312" w:hAnsi="Times New Roman" w:eastAsia="仿宋_GB2312"/>
          <w:color w:val="auto"/>
          <w:sz w:val="32"/>
          <w:szCs w:val="24"/>
          <w:highlight w:val="none"/>
        </w:rPr>
        <w:t>关</w:t>
      </w:r>
      <w:r>
        <w:rPr>
          <w:rFonts w:hint="eastAsia" w:ascii="仿宋_GB2312" w:hAnsi="Times New Roman" w:eastAsia="仿宋_GB2312"/>
          <w:bCs w:val="0"/>
          <w:color w:val="auto"/>
          <w:sz w:val="32"/>
          <w:szCs w:val="24"/>
          <w:highlight w:val="none"/>
        </w:rPr>
        <w:t>保障性安居工程</w:t>
      </w:r>
      <w:r>
        <w:rPr>
          <w:rFonts w:hint="eastAsia" w:ascii="仿宋_GB2312" w:hAnsi="Times New Roman" w:eastAsia="仿宋_GB2312"/>
          <w:color w:val="auto"/>
          <w:sz w:val="32"/>
          <w:szCs w:val="24"/>
          <w:highlight w:val="none"/>
        </w:rPr>
        <w:t>的决策部署</w:t>
      </w:r>
      <w:r>
        <w:rPr>
          <w:rFonts w:hint="eastAsia" w:ascii="仿宋_GB2312" w:hAnsi="Times New Roman" w:eastAsia="仿宋_GB2312" w:cstheme="minorBidi"/>
          <w:color w:val="auto"/>
          <w:sz w:val="32"/>
          <w:szCs w:val="24"/>
          <w:highlight w:val="none"/>
        </w:rPr>
        <w:t>，</w:t>
      </w:r>
      <w:r>
        <w:rPr>
          <w:rFonts w:hint="eastAsia" w:ascii="仿宋_GB2312" w:hAnsi="Times New Roman" w:eastAsia="仿宋_GB2312" w:cstheme="minorBidi"/>
          <w:color w:val="auto"/>
          <w:sz w:val="32"/>
          <w:szCs w:val="24"/>
          <w:highlight w:val="none"/>
          <w:lang w:val="en-US" w:eastAsia="zh-CN"/>
        </w:rPr>
        <w:t>我厅</w:t>
      </w:r>
      <w:r>
        <w:rPr>
          <w:rFonts w:hint="eastAsia" w:ascii="仿宋_GB2312" w:hAnsi="Times New Roman" w:eastAsia="仿宋_GB2312" w:cstheme="minorBidi"/>
          <w:color w:val="auto"/>
          <w:sz w:val="32"/>
          <w:szCs w:val="24"/>
          <w:highlight w:val="none"/>
        </w:rPr>
        <w:t>立足</w:t>
      </w:r>
      <w:r>
        <w:rPr>
          <w:rFonts w:hint="eastAsia" w:ascii="仿宋_GB2312" w:hAnsi="Times New Roman" w:eastAsia="仿宋_GB2312" w:cstheme="minorBidi"/>
          <w:color w:val="auto"/>
          <w:sz w:val="32"/>
          <w:szCs w:val="24"/>
          <w:highlight w:val="none"/>
          <w:lang w:val="en-US" w:eastAsia="zh-CN"/>
        </w:rPr>
        <w:t>于</w:t>
      </w:r>
      <w:r>
        <w:rPr>
          <w:rFonts w:hint="eastAsia" w:ascii="仿宋_GB2312" w:hAnsi="Times New Roman" w:eastAsia="仿宋_GB2312" w:cstheme="minorBidi"/>
          <w:color w:val="auto"/>
          <w:sz w:val="32"/>
          <w:szCs w:val="24"/>
          <w:highlight w:val="none"/>
        </w:rPr>
        <w:t>新发展阶段、贯彻新发展理念、构建新发展格局</w:t>
      </w:r>
      <w:r>
        <w:rPr>
          <w:rFonts w:hint="eastAsia" w:ascii="仿宋_GB2312" w:hAnsi="Times New Roman" w:eastAsia="仿宋_GB2312" w:cstheme="minorBidi"/>
          <w:color w:val="auto"/>
          <w:sz w:val="32"/>
          <w:szCs w:val="24"/>
          <w:highlight w:val="none"/>
          <w:lang w:eastAsia="zh-CN"/>
        </w:rPr>
        <w:t>，</w:t>
      </w:r>
      <w:r>
        <w:rPr>
          <w:rFonts w:hint="eastAsia" w:ascii="仿宋_GB2312" w:hAnsi="Times New Roman" w:eastAsia="仿宋_GB2312" w:cstheme="minorBidi"/>
          <w:color w:val="auto"/>
          <w:sz w:val="32"/>
          <w:szCs w:val="24"/>
          <w:highlight w:val="none"/>
        </w:rPr>
        <w:t>扩大</w:t>
      </w:r>
      <w:r>
        <w:rPr>
          <w:rFonts w:hint="eastAsia" w:ascii="仿宋_GB2312" w:hAnsi="仿宋_GB2312" w:eastAsia="仿宋_GB2312" w:cs="仿宋_GB2312"/>
          <w:sz w:val="32"/>
          <w:szCs w:val="32"/>
        </w:rPr>
        <w:t>租赁住房供给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缓解住房租赁市场结构性供给不足</w:t>
      </w:r>
      <w:r>
        <w:rPr>
          <w:rFonts w:hint="eastAsia" w:ascii="仿宋_GB2312" w:hAnsi="仿宋_GB2312" w:eastAsia="仿宋_GB2312" w:cs="仿宋_GB2312"/>
          <w:sz w:val="32"/>
          <w:szCs w:val="32"/>
          <w:lang w:eastAsia="zh-CN"/>
        </w:rPr>
        <w:t>，</w:t>
      </w:r>
      <w:r>
        <w:rPr>
          <w:rFonts w:hint="eastAsia" w:ascii="仿宋_GB2312" w:hAnsi="Times New Roman" w:eastAsia="仿宋_GB2312"/>
          <w:color w:val="auto"/>
          <w:kern w:val="2"/>
          <w:sz w:val="32"/>
          <w:highlight w:val="none"/>
          <w:lang w:val="en-US" w:eastAsia="zh-CN"/>
        </w:rPr>
        <w:t>大力</w:t>
      </w:r>
      <w:r>
        <w:rPr>
          <w:rFonts w:hint="eastAsia" w:ascii="仿宋_GB2312" w:hAnsi="仿宋" w:eastAsia="仿宋_GB2312"/>
          <w:color w:val="auto"/>
          <w:sz w:val="32"/>
          <w:szCs w:val="32"/>
          <w:highlight w:val="none"/>
        </w:rPr>
        <w:t>推进全省棚户区改造安置住房建设，</w:t>
      </w:r>
      <w:r>
        <w:rPr>
          <w:rFonts w:hint="eastAsia" w:ascii="仿宋_GB2312" w:hAnsi="Times New Roman" w:eastAsia="仿宋_GB2312"/>
          <w:color w:val="auto"/>
          <w:kern w:val="2"/>
          <w:sz w:val="32"/>
          <w:highlight w:val="none"/>
          <w:lang w:val="en-US" w:eastAsia="zh-CN"/>
        </w:rPr>
        <w:t>坚持以人民为中心，始终将改善人民群众居住条件，把实现住房困难群众“住有所居”作为住房保障工作的出发点和落脚点。</w:t>
      </w:r>
    </w:p>
    <w:p>
      <w:pPr>
        <w:pageBreakBefore w:val="0"/>
        <w:widowControl/>
        <w:numPr>
          <w:ilvl w:val="-1"/>
          <w:numId w:val="0"/>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Times New Roman" w:eastAsia="仿宋_GB2312"/>
          <w:color w:val="auto"/>
          <w:kern w:val="2"/>
          <w:sz w:val="32"/>
          <w:highlight w:val="none"/>
          <w:lang w:val="en-US" w:eastAsia="zh-CN"/>
        </w:rPr>
      </w:pPr>
      <w:r>
        <w:rPr>
          <w:rFonts w:hint="default" w:ascii="Times New Roman" w:hAnsi="Times New Roman" w:eastAsia="仿宋_GB2312" w:cs="Times New Roman"/>
          <w:color w:val="auto"/>
          <w:kern w:val="2"/>
          <w:sz w:val="32"/>
          <w:highlight w:val="none"/>
          <w:lang w:val="en-US" w:eastAsia="zh-CN"/>
        </w:rPr>
        <w:t>2022</w:t>
      </w:r>
      <w:r>
        <w:rPr>
          <w:rFonts w:hint="eastAsia" w:ascii="仿宋_GB2312" w:hAnsi="Times New Roman" w:eastAsia="仿宋_GB2312"/>
          <w:color w:val="auto"/>
          <w:kern w:val="2"/>
          <w:sz w:val="32"/>
          <w:highlight w:val="none"/>
          <w:lang w:val="en-US" w:eastAsia="zh-CN"/>
        </w:rPr>
        <w:t>年，省政府与国务院签订住房保障任务目标考核责任书，我省的住房保障任务，是国家下达我省的约束性指标，是必须保质保量完成的硬任务。</w:t>
      </w:r>
    </w:p>
    <w:p>
      <w:pPr>
        <w:pStyle w:val="16"/>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bookmarkStart w:id="8" w:name="_Toc9252"/>
      <w:bookmarkStart w:id="9" w:name="_Toc2222"/>
      <w:r>
        <w:rPr>
          <w:rFonts w:hint="eastAsia" w:ascii="仿宋_GB2312" w:hAnsi="Times New Roman" w:eastAsia="仿宋_GB2312"/>
          <w:color w:val="auto"/>
          <w:kern w:val="2"/>
          <w:sz w:val="32"/>
          <w:highlight w:val="none"/>
          <w:lang w:eastAsia="zh-CN"/>
        </w:rPr>
        <w:t>根据国家和我省有关</w:t>
      </w:r>
      <w:r>
        <w:rPr>
          <w:rFonts w:hint="eastAsia" w:ascii="仿宋_GB2312" w:hAnsi="仿宋_GB2312" w:eastAsia="仿宋_GB2312" w:cs="仿宋_GB2312"/>
          <w:color w:val="auto"/>
          <w:kern w:val="0"/>
          <w:sz w:val="32"/>
          <w:szCs w:val="32"/>
          <w:highlight w:val="none"/>
          <w:lang w:val="en-US" w:eastAsia="zh-CN"/>
        </w:rPr>
        <w:t>保障性安居工程</w:t>
      </w:r>
      <w:r>
        <w:rPr>
          <w:rFonts w:hint="eastAsia" w:ascii="仿宋_GB2312" w:hAnsi="Times New Roman" w:eastAsia="仿宋_GB2312"/>
          <w:color w:val="auto"/>
          <w:kern w:val="2"/>
          <w:sz w:val="32"/>
          <w:highlight w:val="none"/>
          <w:lang w:eastAsia="zh-CN"/>
        </w:rPr>
        <w:t>的政策及指导意见，我省设立专项资金，用于支持各市</w:t>
      </w:r>
      <w:r>
        <w:rPr>
          <w:rFonts w:hint="eastAsia" w:ascii="仿宋_GB2312" w:hAnsi="仿宋_GB2312" w:eastAsia="仿宋_GB2312" w:cs="仿宋_GB2312"/>
          <w:color w:val="auto"/>
          <w:kern w:val="0"/>
          <w:sz w:val="32"/>
          <w:szCs w:val="32"/>
          <w:highlight w:val="none"/>
          <w:lang w:val="en-US" w:eastAsia="zh-CN"/>
        </w:rPr>
        <w:t>保障性安居工程建设。《广东省财政厅关于提前下达</w:t>
      </w:r>
      <w:r>
        <w:rPr>
          <w:rFonts w:hint="default" w:ascii="Times New Roman" w:hAnsi="Times New Roman" w:eastAsia="仿宋_GB2312" w:cs="Times New Roman"/>
          <w:color w:val="auto"/>
          <w:kern w:val="0"/>
          <w:sz w:val="32"/>
          <w:szCs w:val="32"/>
          <w:highlight w:val="none"/>
          <w:lang w:val="en-US" w:eastAsia="zh-CN"/>
        </w:rPr>
        <w:t>2022</w:t>
      </w:r>
      <w:r>
        <w:rPr>
          <w:rFonts w:hint="eastAsia" w:ascii="仿宋_GB2312" w:hAnsi="仿宋_GB2312" w:eastAsia="仿宋_GB2312" w:cs="仿宋_GB2312"/>
          <w:color w:val="auto"/>
          <w:kern w:val="0"/>
          <w:sz w:val="32"/>
          <w:szCs w:val="32"/>
          <w:highlight w:val="none"/>
          <w:lang w:val="en-US" w:eastAsia="zh-CN"/>
        </w:rPr>
        <w:t>年省住房城乡建设厅主管专项资金的通知》（粤财建〔</w:t>
      </w:r>
      <w:r>
        <w:rPr>
          <w:rFonts w:hint="default" w:ascii="Times New Roman" w:hAnsi="Times New Roman" w:eastAsia="仿宋_GB2312" w:cs="Times New Roman"/>
          <w:color w:val="auto"/>
          <w:kern w:val="0"/>
          <w:sz w:val="32"/>
          <w:szCs w:val="32"/>
          <w:highlight w:val="none"/>
          <w:lang w:val="en-US" w:eastAsia="zh-CN"/>
        </w:rPr>
        <w:t>2021</w:t>
      </w:r>
      <w:r>
        <w:rPr>
          <w:rFonts w:hint="eastAsia" w:ascii="仿宋_GB2312" w:hAnsi="仿宋_GB2312" w:eastAsia="仿宋_GB2312" w:cs="仿宋_GB2312"/>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70</w:t>
      </w:r>
      <w:r>
        <w:rPr>
          <w:rFonts w:hint="eastAsia" w:ascii="仿宋_GB2312" w:hAnsi="仿宋_GB2312" w:eastAsia="仿宋_GB2312" w:cs="仿宋_GB2312"/>
          <w:color w:val="auto"/>
          <w:kern w:val="0"/>
          <w:sz w:val="32"/>
          <w:szCs w:val="32"/>
          <w:highlight w:val="none"/>
          <w:lang w:val="en-US" w:eastAsia="zh-CN"/>
        </w:rPr>
        <w:t>号）共安排</w:t>
      </w:r>
      <w:r>
        <w:rPr>
          <w:rFonts w:hint="eastAsia" w:ascii="仿宋_GB2312" w:hAnsi="Times New Roman" w:eastAsia="仿宋_GB2312"/>
          <w:color w:val="auto"/>
          <w:kern w:val="2"/>
          <w:sz w:val="32"/>
          <w:highlight w:val="none"/>
          <w:lang w:val="en-US" w:eastAsia="zh-CN"/>
        </w:rPr>
        <w:t>下达</w:t>
      </w:r>
      <w:r>
        <w:rPr>
          <w:rFonts w:hint="default" w:ascii="Times New Roman" w:hAnsi="Times New Roman" w:eastAsia="仿宋_GB2312" w:cs="Times New Roman"/>
          <w:color w:val="auto"/>
          <w:kern w:val="2"/>
          <w:sz w:val="32"/>
          <w:highlight w:val="none"/>
          <w:lang w:eastAsia="zh-CN"/>
        </w:rPr>
        <w:t>202</w:t>
      </w:r>
      <w:r>
        <w:rPr>
          <w:rFonts w:hint="default" w:ascii="Times New Roman" w:hAnsi="Times New Roman" w:eastAsia="仿宋_GB2312" w:cs="Times New Roman"/>
          <w:color w:val="auto"/>
          <w:kern w:val="2"/>
          <w:sz w:val="32"/>
          <w:highlight w:val="none"/>
          <w:lang w:val="en-US" w:eastAsia="zh-CN"/>
        </w:rPr>
        <w:t>2</w:t>
      </w:r>
      <w:r>
        <w:rPr>
          <w:rFonts w:hint="eastAsia" w:ascii="仿宋_GB2312" w:hAnsi="Times New Roman" w:eastAsia="仿宋_GB2312"/>
          <w:color w:val="auto"/>
          <w:kern w:val="2"/>
          <w:sz w:val="32"/>
          <w:highlight w:val="none"/>
          <w:lang w:eastAsia="zh-CN"/>
        </w:rPr>
        <w:t>年专项资金</w:t>
      </w:r>
      <w:r>
        <w:rPr>
          <w:rFonts w:hint="default" w:ascii="Times New Roman" w:hAnsi="Times New Roman" w:eastAsia="仿宋_GB2312" w:cs="Times New Roman"/>
          <w:sz w:val="32"/>
          <w:highlight w:val="none"/>
          <w:lang w:val="en-US" w:eastAsia="zh-CN"/>
        </w:rPr>
        <w:t>54</w:t>
      </w:r>
      <w:r>
        <w:rPr>
          <w:rFonts w:hint="eastAsia" w:ascii="仿宋_GB2312" w:hAnsi="Times New Roman" w:eastAsia="仿宋_GB2312"/>
          <w:sz w:val="32"/>
          <w:highlight w:val="none"/>
          <w:lang w:val="en-US" w:eastAsia="zh-CN"/>
        </w:rPr>
        <w:t>,</w:t>
      </w:r>
      <w:r>
        <w:rPr>
          <w:rFonts w:hint="default" w:ascii="Times New Roman" w:hAnsi="Times New Roman" w:eastAsia="仿宋_GB2312" w:cs="Times New Roman"/>
          <w:sz w:val="32"/>
          <w:highlight w:val="none"/>
          <w:lang w:val="en-US" w:eastAsia="zh-CN"/>
        </w:rPr>
        <w:t>235</w:t>
      </w:r>
      <w:r>
        <w:rPr>
          <w:rFonts w:hint="eastAsia" w:ascii="Times New Roman" w:hAnsi="Times New Roman" w:eastAsia="仿宋_GB2312" w:cs="Times New Roman"/>
          <w:sz w:val="32"/>
          <w:highlight w:val="none"/>
          <w:lang w:val="en-US" w:eastAsia="zh-CN"/>
        </w:rPr>
        <w:t>.00</w:t>
      </w:r>
      <w:r>
        <w:rPr>
          <w:rFonts w:hint="eastAsia" w:ascii="仿宋_GB2312" w:hAnsi="Times New Roman" w:eastAsia="仿宋_GB2312"/>
          <w:sz w:val="32"/>
          <w:highlight w:val="none"/>
        </w:rPr>
        <w:t>万元</w:t>
      </w:r>
      <w:r>
        <w:rPr>
          <w:rFonts w:hint="eastAsia" w:ascii="仿宋_GB2312" w:hAnsi="Times New Roman" w:eastAsia="仿宋_GB2312"/>
          <w:sz w:val="32"/>
          <w:highlight w:val="none"/>
          <w:lang w:eastAsia="zh-CN"/>
        </w:rPr>
        <w:t>，用于</w:t>
      </w:r>
      <w:r>
        <w:rPr>
          <w:rFonts w:hint="eastAsia" w:ascii="仿宋_GB2312" w:hAnsi="Times New Roman" w:eastAsia="仿宋_GB2312"/>
          <w:color w:val="auto"/>
          <w:kern w:val="2"/>
          <w:sz w:val="32"/>
          <w:highlight w:val="none"/>
          <w:lang w:eastAsia="zh-CN"/>
        </w:rPr>
        <w:t>补助我省除深圳市以外的</w:t>
      </w:r>
      <w:r>
        <w:rPr>
          <w:rFonts w:hint="default" w:ascii="Times New Roman" w:hAnsi="Times New Roman" w:eastAsia="仿宋_GB2312" w:cs="Times New Roman"/>
          <w:color w:val="auto"/>
          <w:kern w:val="2"/>
          <w:sz w:val="32"/>
          <w:highlight w:val="none"/>
          <w:lang w:val="en-US" w:eastAsia="zh-CN"/>
        </w:rPr>
        <w:t>20</w:t>
      </w:r>
      <w:r>
        <w:rPr>
          <w:rFonts w:hint="eastAsia" w:ascii="仿宋_GB2312" w:hAnsi="Times New Roman" w:eastAsia="仿宋_GB2312"/>
          <w:color w:val="auto"/>
          <w:kern w:val="2"/>
          <w:sz w:val="32"/>
          <w:highlight w:val="none"/>
          <w:lang w:val="en-US" w:eastAsia="zh-CN"/>
        </w:rPr>
        <w:t>个地级以上市（下同）</w:t>
      </w:r>
      <w:r>
        <w:rPr>
          <w:rFonts w:hint="eastAsia" w:ascii="仿宋_GB2312" w:hAnsi="仿宋_GB2312" w:eastAsia="仿宋_GB2312" w:cs="仿宋_GB2312"/>
          <w:color w:val="auto"/>
          <w:kern w:val="0"/>
          <w:sz w:val="32"/>
          <w:szCs w:val="32"/>
          <w:highlight w:val="none"/>
          <w:lang w:val="en-US" w:eastAsia="zh-CN"/>
        </w:rPr>
        <w:t>保障性安居工程项目，主要内容包括公租房、保障性租赁住房、共有产权住房、租赁补贴、棚户区改造及相关支出等支出方向。</w:t>
      </w:r>
      <w:bookmarkEnd w:id="8"/>
      <w:bookmarkEnd w:id="9"/>
    </w:p>
    <w:p>
      <w:pPr>
        <w:pageBreakBefore w:val="0"/>
        <w:kinsoku/>
        <w:wordWrap/>
        <w:overflowPunct/>
        <w:topLinePunct w:val="0"/>
        <w:autoSpaceDE/>
        <w:autoSpaceDN/>
        <w:bidi w:val="0"/>
        <w:adjustRightInd/>
        <w:snapToGrid w:val="0"/>
        <w:spacing w:before="0" w:after="0" w:line="600" w:lineRule="exact"/>
        <w:ind w:firstLine="642" w:firstLineChars="200"/>
        <w:textAlignment w:val="auto"/>
        <w:outlineLvl w:val="1"/>
        <w:rPr>
          <w:rFonts w:hint="eastAsia" w:ascii="Calibri" w:hAnsi="宋体" w:eastAsia="楷体_GB2312" w:cs="Times New Roman"/>
          <w:b/>
          <w:bCs/>
          <w:color w:val="auto"/>
          <w:kern w:val="44"/>
          <w:sz w:val="32"/>
          <w:szCs w:val="44"/>
          <w:highlight w:val="none"/>
          <w:lang w:val="en-US" w:eastAsia="zh-CN" w:bidi="ar-SA"/>
        </w:rPr>
      </w:pPr>
      <w:bookmarkStart w:id="10" w:name="_Toc10664"/>
      <w:bookmarkStart w:id="11" w:name="_Toc2726"/>
      <w:bookmarkStart w:id="12" w:name="_Toc6650"/>
      <w:bookmarkStart w:id="13" w:name="_Toc5492"/>
      <w:r>
        <w:rPr>
          <w:rFonts w:hint="eastAsia" w:eastAsia="楷体_GB2312" w:cs="仿宋"/>
          <w:b/>
          <w:bCs/>
          <w:color w:val="auto"/>
          <w:kern w:val="0"/>
          <w:sz w:val="32"/>
          <w:szCs w:val="32"/>
          <w:highlight w:val="none"/>
        </w:rPr>
        <w:t>（二）项目决策情况</w:t>
      </w:r>
      <w:bookmarkEnd w:id="10"/>
      <w:bookmarkEnd w:id="11"/>
      <w:bookmarkEnd w:id="12"/>
      <w:bookmarkEnd w:id="13"/>
    </w:p>
    <w:p>
      <w:pPr>
        <w:pageBreakBefore w:val="0"/>
        <w:widowControl/>
        <w:numPr>
          <w:ilvl w:val="0"/>
          <w:numId w:val="0"/>
        </w:numPr>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Times New Roman" w:eastAsia="仿宋_GB2312" w:cstheme="minorBidi"/>
          <w:color w:val="auto"/>
          <w:kern w:val="2"/>
          <w:sz w:val="32"/>
          <w:szCs w:val="24"/>
          <w:highlight w:val="none"/>
          <w:lang w:val="en-US" w:eastAsia="zh-CN" w:bidi="ar"/>
        </w:rPr>
      </w:pPr>
      <w:r>
        <w:rPr>
          <w:rFonts w:hint="eastAsia" w:ascii="仿宋_GB2312" w:hAnsi="仿宋_GB2312" w:eastAsia="仿宋_GB2312" w:cs="仿宋_GB2312"/>
          <w:color w:val="auto"/>
          <w:sz w:val="32"/>
          <w:szCs w:val="32"/>
          <w:highlight w:val="none"/>
        </w:rPr>
        <w:t>党中央、国务院高度重视</w:t>
      </w:r>
      <w:r>
        <w:rPr>
          <w:rFonts w:hint="eastAsia" w:ascii="仿宋_GB2312" w:hAnsi="仿宋_GB2312" w:eastAsia="仿宋_GB2312" w:cs="仿宋_GB2312"/>
          <w:sz w:val="32"/>
          <w:szCs w:val="32"/>
        </w:rPr>
        <w:t>保障性安居工程</w:t>
      </w:r>
      <w:r>
        <w:rPr>
          <w:rFonts w:hint="eastAsia" w:ascii="仿宋_GB2312" w:hAnsi="仿宋_GB2312" w:eastAsia="仿宋_GB2312" w:cs="仿宋_GB2312"/>
          <w:color w:val="auto"/>
          <w:sz w:val="32"/>
          <w:szCs w:val="32"/>
          <w:highlight w:val="none"/>
        </w:rPr>
        <w:t>工作，习近平总书记多次作出重要指示批示，李克强总理在《政府工作报告》和多次国务院常务会议中作出明确部署。广东省委、省政府高度重视</w:t>
      </w:r>
      <w:r>
        <w:rPr>
          <w:rFonts w:hint="eastAsia" w:ascii="仿宋_GB2312" w:hAnsi="仿宋_GB2312" w:eastAsia="仿宋_GB2312" w:cs="仿宋_GB2312"/>
          <w:sz w:val="32"/>
          <w:szCs w:val="32"/>
        </w:rPr>
        <w:t>保障性安居工程工作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认真贯彻落实习近平总书记重要指示批示精神。</w:t>
      </w:r>
      <w:r>
        <w:rPr>
          <w:rFonts w:hint="eastAsia" w:ascii="仿宋_GB2312" w:hAnsi="Times New Roman" w:eastAsia="仿宋_GB2312"/>
          <w:color w:val="auto"/>
          <w:sz w:val="32"/>
          <w:highlight w:val="none"/>
          <w:lang w:val="en-US" w:eastAsia="zh-CN"/>
        </w:rPr>
        <w:t>《</w:t>
      </w:r>
      <w:r>
        <w:rPr>
          <w:rFonts w:hint="eastAsia" w:ascii="仿宋_GB2312" w:hAnsi="Times New Roman" w:eastAsia="仿宋_GB2312" w:cstheme="minorBidi"/>
          <w:color w:val="auto"/>
          <w:kern w:val="2"/>
          <w:sz w:val="32"/>
          <w:szCs w:val="24"/>
          <w:highlight w:val="none"/>
          <w:lang w:val="en-US" w:eastAsia="zh-CN" w:bidi="ar"/>
        </w:rPr>
        <w:t>广东省人民政府办公厅关于加快发展保障性租赁住房的实施意见》（粤府办</w:t>
      </w:r>
      <w:r>
        <w:rPr>
          <w:rFonts w:hint="eastAsia" w:ascii="仿宋_GB2312" w:hAnsi="Times New Roman" w:eastAsia="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2021</w:t>
      </w:r>
      <w:r>
        <w:rPr>
          <w:rFonts w:hint="eastAsia" w:ascii="仿宋_GB2312" w:hAnsi="Times New Roman" w:eastAsia="仿宋_GB2312" w:cstheme="minorBidi"/>
          <w:color w:val="auto"/>
          <w:sz w:val="32"/>
          <w:szCs w:val="24"/>
          <w:highlight w:val="none"/>
        </w:rPr>
        <w:t>〕</w:t>
      </w:r>
      <w:r>
        <w:rPr>
          <w:rFonts w:hint="default" w:ascii="Times New Roman" w:hAnsi="Times New Roman" w:eastAsia="仿宋_GB2312" w:cs="Times New Roman"/>
          <w:color w:val="auto"/>
          <w:kern w:val="2"/>
          <w:sz w:val="32"/>
          <w:szCs w:val="24"/>
          <w:highlight w:val="none"/>
          <w:lang w:val="en-US" w:eastAsia="zh-CN" w:bidi="ar"/>
        </w:rPr>
        <w:t>39</w:t>
      </w:r>
      <w:r>
        <w:rPr>
          <w:rFonts w:hint="eastAsia" w:ascii="仿宋_GB2312" w:hAnsi="Times New Roman" w:eastAsia="仿宋_GB2312" w:cstheme="minorBidi"/>
          <w:color w:val="auto"/>
          <w:kern w:val="2"/>
          <w:sz w:val="32"/>
          <w:szCs w:val="24"/>
          <w:highlight w:val="none"/>
          <w:lang w:val="en-US" w:eastAsia="zh-CN" w:bidi="ar"/>
        </w:rPr>
        <w:t>号）要求：“以习近平新时代中国特色社会主义思想为指导，坚持以人民为中心的发展思想，坚持房子是用来住的、不是用来炒的定位，突出住房的民生属性，加快构建我省以公租房、保障性租赁住房和共有产权住房为主体的住房保障体系，进一步加快发展保障性租赁住房，扩大保障性租赁住房供给，优化住房租赁市场供给结构，缓解住房租赁市场结构性供给不足，推进以人为核心的新型城镇化，促进实现全体人民住有所居”。</w:t>
      </w:r>
      <w:r>
        <w:rPr>
          <w:rFonts w:hint="default" w:ascii="Times New Roman" w:hAnsi="Times New Roman" w:eastAsia="仿宋_GB2312" w:cs="Times New Roman"/>
          <w:color w:val="auto"/>
          <w:kern w:val="2"/>
          <w:sz w:val="32"/>
          <w:szCs w:val="24"/>
          <w:highlight w:val="none"/>
          <w:lang w:val="en-US" w:eastAsia="zh-CN" w:bidi="ar"/>
        </w:rPr>
        <w:t>2022</w:t>
      </w:r>
      <w:r>
        <w:rPr>
          <w:rFonts w:hint="eastAsia" w:ascii="仿宋_GB2312" w:hAnsi="Times New Roman" w:eastAsia="仿宋_GB2312" w:cstheme="minorBidi"/>
          <w:color w:val="auto"/>
          <w:kern w:val="2"/>
          <w:sz w:val="32"/>
          <w:szCs w:val="24"/>
          <w:highlight w:val="none"/>
          <w:lang w:val="en-US" w:eastAsia="zh-CN" w:bidi="ar"/>
        </w:rPr>
        <w:t>年广东省政府工作报告将“推进保障性租赁住房建设”列入省十件民生实事，我省加大资金和人力投入，切实把保障性安居工程作为重要工作抓紧抓实。</w:t>
      </w:r>
    </w:p>
    <w:p>
      <w:pPr>
        <w:pageBreakBefore w:val="0"/>
        <w:widowControl/>
        <w:numPr>
          <w:ilvl w:val="0"/>
          <w:numId w:val="0"/>
        </w:numPr>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等线" w:eastAsia="仿宋_GB2312"/>
          <w:color w:val="auto"/>
          <w:sz w:val="32"/>
          <w:highlight w:val="none"/>
        </w:rPr>
      </w:pPr>
      <w:r>
        <w:rPr>
          <w:rFonts w:hint="default" w:ascii="Times New Roman" w:hAnsi="Times New Roman" w:eastAsia="仿宋_GB2312" w:cs="Times New Roman"/>
          <w:color w:val="auto"/>
          <w:kern w:val="2"/>
          <w:sz w:val="32"/>
          <w:szCs w:val="24"/>
          <w:highlight w:val="none"/>
          <w:lang w:val="en-US" w:eastAsia="zh-CN" w:bidi="ar"/>
        </w:rPr>
        <w:t>2021</w:t>
      </w:r>
      <w:r>
        <w:rPr>
          <w:rFonts w:hint="eastAsia" w:ascii="仿宋_GB2312" w:hAnsi="Times New Roman" w:eastAsia="仿宋_GB2312" w:cstheme="minorBidi"/>
          <w:color w:val="auto"/>
          <w:kern w:val="2"/>
          <w:sz w:val="32"/>
          <w:szCs w:val="24"/>
          <w:highlight w:val="none"/>
          <w:lang w:val="en-US" w:eastAsia="zh-CN" w:bidi="ar"/>
        </w:rPr>
        <w:t>年</w:t>
      </w:r>
      <w:r>
        <w:rPr>
          <w:rFonts w:hint="default" w:ascii="Times New Roman" w:hAnsi="Times New Roman" w:eastAsia="仿宋_GB2312" w:cs="Times New Roman"/>
          <w:color w:val="auto"/>
          <w:kern w:val="2"/>
          <w:sz w:val="32"/>
          <w:szCs w:val="24"/>
          <w:highlight w:val="none"/>
          <w:lang w:val="en-US" w:eastAsia="zh-CN" w:bidi="ar"/>
        </w:rPr>
        <w:t>5</w:t>
      </w:r>
      <w:r>
        <w:rPr>
          <w:rFonts w:hint="eastAsia" w:ascii="仿宋_GB2312" w:hAnsi="Times New Roman" w:eastAsia="仿宋_GB2312" w:cstheme="minorBidi"/>
          <w:color w:val="auto"/>
          <w:kern w:val="2"/>
          <w:sz w:val="32"/>
          <w:szCs w:val="24"/>
          <w:highlight w:val="none"/>
          <w:lang w:val="en-US" w:eastAsia="zh-CN" w:bidi="ar"/>
        </w:rPr>
        <w:t>月，《广东省住房和城乡建设厅关于做好</w:t>
      </w:r>
      <w:r>
        <w:rPr>
          <w:rFonts w:hint="default" w:ascii="Times New Roman" w:hAnsi="Times New Roman" w:eastAsia="仿宋_GB2312" w:cs="Times New Roman"/>
          <w:color w:val="auto"/>
          <w:kern w:val="2"/>
          <w:sz w:val="32"/>
          <w:szCs w:val="24"/>
          <w:highlight w:val="none"/>
          <w:lang w:val="en-US" w:eastAsia="zh-CN" w:bidi="ar"/>
        </w:rPr>
        <w:t>20</w:t>
      </w:r>
      <w:r>
        <w:rPr>
          <w:rFonts w:hint="default" w:ascii="Times New Roman" w:hAnsi="Times New Roman" w:eastAsia="仿宋_GB2312" w:cs="Times New Roman"/>
          <w:color w:val="auto"/>
          <w:sz w:val="32"/>
          <w:highlight w:val="none"/>
        </w:rPr>
        <w:t>22</w:t>
      </w:r>
      <w:r>
        <w:rPr>
          <w:rFonts w:hint="eastAsia" w:ascii="仿宋_GB2312" w:hAnsi="Times New Roman" w:eastAsia="仿宋_GB2312"/>
          <w:color w:val="auto"/>
          <w:sz w:val="32"/>
          <w:highlight w:val="none"/>
        </w:rPr>
        <w:t>年省级财政资金项目入库储备工作的通知</w:t>
      </w:r>
      <w:r>
        <w:rPr>
          <w:rFonts w:hint="eastAsia" w:ascii="仿宋_GB2312" w:hAnsi="Times New Roman" w:eastAsia="仿宋_GB2312"/>
          <w:color w:val="auto"/>
          <w:sz w:val="32"/>
          <w:highlight w:val="none"/>
          <w:lang w:eastAsia="zh-CN"/>
        </w:rPr>
        <w:t>》</w:t>
      </w:r>
      <w:r>
        <w:rPr>
          <w:rFonts w:hint="eastAsia" w:ascii="仿宋_GB2312" w:hAnsi="Times New Roman" w:eastAsia="仿宋_GB2312"/>
          <w:color w:val="auto"/>
          <w:sz w:val="32"/>
          <w:highlight w:val="none"/>
        </w:rPr>
        <w:t>（粤建计函〔</w:t>
      </w:r>
      <w:r>
        <w:rPr>
          <w:rFonts w:hint="default" w:ascii="Times New Roman" w:hAnsi="Times New Roman" w:eastAsia="仿宋_GB2312" w:cs="Times New Roman"/>
          <w:color w:val="auto"/>
          <w:sz w:val="32"/>
          <w:highlight w:val="none"/>
        </w:rPr>
        <w:t>2021</w:t>
      </w:r>
      <w:r>
        <w:rPr>
          <w:rFonts w:hint="eastAsia" w:ascii="仿宋_GB2312" w:hAnsi="Times New Roman" w:eastAsia="仿宋_GB2312"/>
          <w:color w:val="auto"/>
          <w:sz w:val="32"/>
          <w:highlight w:val="none"/>
        </w:rPr>
        <w:t>〕</w:t>
      </w:r>
      <w:r>
        <w:rPr>
          <w:rFonts w:hint="default" w:ascii="Times New Roman" w:hAnsi="Times New Roman" w:eastAsia="仿宋_GB2312" w:cs="Times New Roman"/>
          <w:color w:val="auto"/>
          <w:sz w:val="32"/>
          <w:highlight w:val="none"/>
        </w:rPr>
        <w:t>372</w:t>
      </w:r>
      <w:r>
        <w:rPr>
          <w:rFonts w:hint="eastAsia" w:ascii="仿宋_GB2312" w:hAnsi="Times New Roman" w:eastAsia="仿宋_GB2312"/>
          <w:color w:val="auto"/>
          <w:sz w:val="32"/>
          <w:highlight w:val="none"/>
        </w:rPr>
        <w:t>号）</w:t>
      </w:r>
      <w:r>
        <w:rPr>
          <w:rFonts w:hint="eastAsia" w:ascii="仿宋_GB2312" w:hAnsi="Times New Roman" w:eastAsia="仿宋_GB2312"/>
          <w:color w:val="auto"/>
          <w:sz w:val="32"/>
          <w:highlight w:val="none"/>
          <w:lang w:eastAsia="zh-CN"/>
        </w:rPr>
        <w:t>组织各市开展</w:t>
      </w:r>
      <w:r>
        <w:rPr>
          <w:rFonts w:hint="default" w:ascii="Times New Roman" w:hAnsi="Times New Roman" w:eastAsia="仿宋_GB2312" w:cs="Times New Roman"/>
          <w:color w:val="auto"/>
          <w:sz w:val="32"/>
          <w:highlight w:val="none"/>
          <w:lang w:val="en-US" w:eastAsia="zh-CN"/>
        </w:rPr>
        <w:t>2022</w:t>
      </w:r>
      <w:r>
        <w:rPr>
          <w:rFonts w:hint="eastAsia" w:ascii="仿宋_GB2312" w:hAnsi="Times New Roman" w:eastAsia="仿宋_GB2312"/>
          <w:color w:val="auto"/>
          <w:sz w:val="32"/>
          <w:highlight w:val="none"/>
          <w:lang w:val="en-US" w:eastAsia="zh-CN"/>
        </w:rPr>
        <w:t>年</w:t>
      </w:r>
      <w:r>
        <w:rPr>
          <w:rFonts w:hint="eastAsia" w:ascii="仿宋_GB2312" w:hAnsi="Times New Roman" w:eastAsia="仿宋_GB2312"/>
          <w:color w:val="auto"/>
          <w:sz w:val="32"/>
          <w:highlight w:val="none"/>
          <w:lang w:eastAsia="zh-CN"/>
        </w:rPr>
        <w:t>项目入库申报工作。</w:t>
      </w:r>
      <w:r>
        <w:rPr>
          <w:rFonts w:hint="eastAsia" w:ascii="仿宋_GB2312" w:hAnsi="Times New Roman" w:eastAsia="仿宋_GB2312"/>
          <w:color w:val="auto"/>
          <w:sz w:val="32"/>
          <w:highlight w:val="none"/>
        </w:rPr>
        <w:t>根据</w:t>
      </w:r>
      <w:r>
        <w:rPr>
          <w:rFonts w:hint="default" w:ascii="Times New Roman" w:hAnsi="Times New Roman" w:eastAsia="仿宋_GB2312" w:cs="Times New Roman"/>
          <w:color w:val="auto"/>
          <w:sz w:val="32"/>
          <w:highlight w:val="none"/>
        </w:rPr>
        <w:t>202</w:t>
      </w:r>
      <w:r>
        <w:rPr>
          <w:rFonts w:hint="default" w:ascii="Times New Roman" w:hAnsi="Times New Roman" w:eastAsia="仿宋_GB2312" w:cs="Times New Roman"/>
          <w:color w:val="auto"/>
          <w:sz w:val="32"/>
          <w:highlight w:val="none"/>
          <w:lang w:val="en-US" w:eastAsia="zh-CN"/>
        </w:rPr>
        <w:t>2</w:t>
      </w:r>
      <w:r>
        <w:rPr>
          <w:rFonts w:hint="eastAsia" w:ascii="仿宋_GB2312" w:hAnsi="Times New Roman" w:eastAsia="仿宋_GB2312"/>
          <w:color w:val="auto"/>
          <w:sz w:val="32"/>
          <w:highlight w:val="none"/>
        </w:rPr>
        <w:t>年</w:t>
      </w:r>
      <w:r>
        <w:rPr>
          <w:rFonts w:hint="eastAsia" w:ascii="仿宋_GB2312" w:hAnsi="Times New Roman" w:eastAsia="仿宋_GB2312"/>
          <w:color w:val="auto"/>
          <w:sz w:val="32"/>
          <w:highlight w:val="none"/>
          <w:lang w:eastAsia="zh-CN"/>
        </w:rPr>
        <w:t>全省</w:t>
      </w:r>
      <w:r>
        <w:rPr>
          <w:rFonts w:hint="eastAsia" w:ascii="仿宋_GB2312" w:hAnsi="Times New Roman" w:eastAsia="仿宋_GB2312" w:cstheme="minorBidi"/>
          <w:color w:val="auto"/>
          <w:kern w:val="2"/>
          <w:sz w:val="32"/>
          <w:szCs w:val="24"/>
          <w:highlight w:val="none"/>
          <w:lang w:val="en-US" w:eastAsia="zh-CN" w:bidi="ar"/>
        </w:rPr>
        <w:t>保障性安居工程</w:t>
      </w:r>
      <w:r>
        <w:rPr>
          <w:rFonts w:hint="eastAsia" w:ascii="仿宋_GB2312" w:hAnsi="Times New Roman" w:eastAsia="仿宋_GB2312"/>
          <w:color w:val="auto"/>
          <w:sz w:val="32"/>
          <w:highlight w:val="none"/>
        </w:rPr>
        <w:t>省级补助资金总盘子和各市申报的计划任务</w:t>
      </w:r>
      <w:r>
        <w:rPr>
          <w:rFonts w:hint="eastAsia" w:ascii="仿宋_GB2312" w:hAnsi="Times New Roman" w:eastAsia="仿宋_GB2312"/>
          <w:color w:val="auto"/>
          <w:sz w:val="32"/>
          <w:highlight w:val="none"/>
          <w:lang w:bidi="ar"/>
        </w:rPr>
        <w:t>，采用因素法，</w:t>
      </w:r>
      <w:r>
        <w:rPr>
          <w:rFonts w:hint="eastAsia" w:ascii="仿宋_GB2312" w:hAnsi="Times New Roman" w:eastAsia="仿宋_GB2312"/>
          <w:color w:val="auto"/>
          <w:sz w:val="32"/>
          <w:highlight w:val="none"/>
        </w:rPr>
        <w:t>以各市申报的</w:t>
      </w:r>
      <w:r>
        <w:rPr>
          <w:rFonts w:hint="eastAsia" w:ascii="仿宋_GB2312" w:hAnsi="Times New Roman" w:eastAsia="仿宋_GB2312"/>
          <w:color w:val="auto"/>
          <w:sz w:val="32"/>
          <w:highlight w:val="none"/>
          <w:lang w:bidi="ar"/>
        </w:rPr>
        <w:t>年度保障性租赁住房</w:t>
      </w:r>
      <w:r>
        <w:rPr>
          <w:rFonts w:hint="eastAsia" w:ascii="仿宋_GB2312" w:hAnsi="Times New Roman" w:eastAsia="仿宋_GB2312"/>
          <w:color w:val="auto"/>
          <w:sz w:val="32"/>
          <w:highlight w:val="none"/>
          <w:lang w:val="en-US" w:eastAsia="zh-CN" w:bidi="ar"/>
        </w:rPr>
        <w:t>筹建</w:t>
      </w:r>
      <w:r>
        <w:rPr>
          <w:rFonts w:hint="eastAsia" w:ascii="仿宋_GB2312" w:hAnsi="Times New Roman" w:eastAsia="仿宋_GB2312"/>
          <w:color w:val="auto"/>
          <w:sz w:val="32"/>
          <w:highlight w:val="none"/>
        </w:rPr>
        <w:t>套数</w:t>
      </w:r>
      <w:r>
        <w:rPr>
          <w:rFonts w:hint="eastAsia" w:ascii="仿宋_GB2312" w:hAnsi="Times New Roman" w:eastAsia="仿宋_GB2312"/>
          <w:color w:val="auto"/>
          <w:sz w:val="32"/>
          <w:highlight w:val="none"/>
          <w:lang w:eastAsia="zh-CN"/>
        </w:rPr>
        <w:t>、</w:t>
      </w:r>
      <w:r>
        <w:rPr>
          <w:rFonts w:hint="eastAsia" w:ascii="仿宋_GB2312" w:hAnsi="Times New Roman" w:eastAsia="仿宋_GB2312"/>
          <w:color w:val="auto"/>
          <w:sz w:val="32"/>
          <w:highlight w:val="none"/>
          <w:lang w:val="en-US" w:eastAsia="zh-CN"/>
        </w:rPr>
        <w:t>公租房筹建</w:t>
      </w:r>
      <w:r>
        <w:rPr>
          <w:rFonts w:hint="eastAsia" w:ascii="仿宋_GB2312" w:hAnsi="Times New Roman" w:eastAsia="仿宋_GB2312"/>
          <w:color w:val="auto"/>
          <w:sz w:val="32"/>
          <w:highlight w:val="none"/>
        </w:rPr>
        <w:t>套数</w:t>
      </w:r>
      <w:r>
        <w:rPr>
          <w:rFonts w:hint="eastAsia" w:ascii="仿宋_GB2312" w:hAnsi="Times New Roman" w:eastAsia="仿宋_GB2312"/>
          <w:color w:val="auto"/>
          <w:sz w:val="32"/>
          <w:highlight w:val="none"/>
          <w:lang w:val="en-US" w:eastAsia="zh-CN"/>
        </w:rPr>
        <w:t>、共有产权住</w:t>
      </w:r>
      <w:r>
        <w:rPr>
          <w:rFonts w:hint="eastAsia" w:ascii="仿宋_GB2312" w:hAnsi="等线" w:eastAsia="仿宋_GB2312"/>
          <w:sz w:val="32"/>
          <w:lang w:val="en-US" w:eastAsia="zh-CN"/>
        </w:rPr>
        <w:t>房筹建</w:t>
      </w:r>
      <w:r>
        <w:rPr>
          <w:rFonts w:hint="eastAsia" w:ascii="仿宋_GB2312" w:hAnsi="等线" w:eastAsia="仿宋_GB2312"/>
          <w:sz w:val="32"/>
        </w:rPr>
        <w:t>套数、租赁补贴实施发放户数</w:t>
      </w:r>
      <w:r>
        <w:rPr>
          <w:rFonts w:hint="eastAsia" w:ascii="仿宋_GB2312" w:hAnsi="等线" w:eastAsia="仿宋_GB2312"/>
          <w:sz w:val="32"/>
          <w:lang w:eastAsia="zh-CN"/>
        </w:rPr>
        <w:t>、</w:t>
      </w:r>
      <w:r>
        <w:rPr>
          <w:rFonts w:hint="eastAsia" w:ascii="仿宋_GB2312" w:hAnsi="等线" w:eastAsia="仿宋_GB2312"/>
          <w:color w:val="auto"/>
          <w:sz w:val="32"/>
          <w:highlight w:val="none"/>
          <w:lang w:val="en-US" w:eastAsia="zh-CN"/>
        </w:rPr>
        <w:t>棚户区计划</w:t>
      </w:r>
      <w:r>
        <w:rPr>
          <w:rFonts w:hint="eastAsia" w:ascii="仿宋_GB2312" w:hAnsi="等线" w:eastAsia="仿宋_GB2312"/>
          <w:color w:val="auto"/>
          <w:sz w:val="32"/>
          <w:szCs w:val="24"/>
          <w:highlight w:val="none"/>
        </w:rPr>
        <w:t>改造套数</w:t>
      </w:r>
      <w:r>
        <w:rPr>
          <w:rFonts w:hint="eastAsia" w:ascii="仿宋_GB2312" w:hAnsi="等线" w:eastAsia="仿宋_GB2312"/>
          <w:sz w:val="32"/>
        </w:rPr>
        <w:t>等因素，</w:t>
      </w:r>
      <w:r>
        <w:rPr>
          <w:rFonts w:hint="eastAsia" w:ascii="仿宋_GB2312" w:hAnsi="等线" w:eastAsia="仿宋_GB2312"/>
          <w:color w:val="auto"/>
          <w:sz w:val="32"/>
          <w:highlight w:val="none"/>
          <w:lang w:eastAsia="zh-CN"/>
        </w:rPr>
        <w:t>经集体研究，</w:t>
      </w:r>
      <w:r>
        <w:rPr>
          <w:rFonts w:hint="default" w:ascii="Times New Roman" w:hAnsi="Times New Roman" w:eastAsia="仿宋_GB2312" w:cs="Times New Roman"/>
          <w:color w:val="auto"/>
          <w:sz w:val="32"/>
          <w:highlight w:val="none"/>
          <w:lang w:val="en-US" w:eastAsia="zh-CN"/>
        </w:rPr>
        <w:t>2021</w:t>
      </w:r>
      <w:r>
        <w:rPr>
          <w:rFonts w:hint="eastAsia" w:ascii="仿宋_GB2312" w:hAnsi="等线" w:eastAsia="仿宋_GB2312"/>
          <w:color w:val="auto"/>
          <w:sz w:val="32"/>
          <w:highlight w:val="none"/>
          <w:lang w:val="en-US" w:eastAsia="zh-CN"/>
        </w:rPr>
        <w:t>年</w:t>
      </w:r>
      <w:r>
        <w:rPr>
          <w:rFonts w:hint="default" w:ascii="Times New Roman" w:hAnsi="Times New Roman" w:eastAsia="仿宋_GB2312" w:cs="Times New Roman"/>
          <w:color w:val="auto"/>
          <w:sz w:val="32"/>
          <w:highlight w:val="none"/>
          <w:lang w:val="en-US" w:eastAsia="zh-CN"/>
        </w:rPr>
        <w:t>12</w:t>
      </w:r>
      <w:r>
        <w:rPr>
          <w:rFonts w:hint="eastAsia" w:ascii="仿宋_GB2312" w:hAnsi="等线" w:eastAsia="仿宋_GB2312"/>
          <w:color w:val="auto"/>
          <w:sz w:val="32"/>
          <w:highlight w:val="none"/>
          <w:lang w:val="en-US" w:eastAsia="zh-CN"/>
        </w:rPr>
        <w:t>月，</w:t>
      </w:r>
      <w:r>
        <w:rPr>
          <w:rFonts w:hint="eastAsia" w:ascii="仿宋_GB2312" w:hAnsi="等线" w:eastAsia="仿宋_GB2312"/>
          <w:color w:val="auto"/>
          <w:sz w:val="32"/>
          <w:highlight w:val="none"/>
          <w:lang w:eastAsia="zh-CN"/>
        </w:rPr>
        <w:t>《广东省住房和城乡建设厅关于报送</w:t>
      </w:r>
      <w:r>
        <w:rPr>
          <w:rFonts w:hint="default" w:ascii="Times New Roman" w:hAnsi="Times New Roman" w:eastAsia="仿宋_GB2312" w:cs="Times New Roman"/>
          <w:color w:val="auto"/>
          <w:sz w:val="32"/>
          <w:highlight w:val="none"/>
          <w:lang w:eastAsia="zh-CN"/>
        </w:rPr>
        <w:t>2022</w:t>
      </w:r>
      <w:r>
        <w:rPr>
          <w:rFonts w:hint="eastAsia" w:ascii="仿宋_GB2312" w:hAnsi="等线" w:eastAsia="仿宋_GB2312"/>
          <w:color w:val="auto"/>
          <w:sz w:val="32"/>
          <w:highlight w:val="none"/>
          <w:lang w:eastAsia="zh-CN"/>
        </w:rPr>
        <w:t>年主管省级财政转移支付资金提前下达分配方案和绩效目标的函》（粤建计函〔</w:t>
      </w:r>
      <w:r>
        <w:rPr>
          <w:rFonts w:hint="default" w:ascii="Times New Roman" w:hAnsi="Times New Roman" w:eastAsia="仿宋_GB2312" w:cs="Times New Roman"/>
          <w:color w:val="auto"/>
          <w:sz w:val="32"/>
          <w:highlight w:val="none"/>
          <w:lang w:eastAsia="zh-CN"/>
        </w:rPr>
        <w:t>2021</w:t>
      </w:r>
      <w:r>
        <w:rPr>
          <w:rFonts w:hint="eastAsia" w:ascii="仿宋_GB2312" w:hAnsi="等线" w:eastAsia="仿宋_GB2312"/>
          <w:color w:val="auto"/>
          <w:sz w:val="32"/>
          <w:highlight w:val="none"/>
          <w:lang w:eastAsia="zh-CN"/>
        </w:rPr>
        <w:t>〕</w:t>
      </w:r>
      <w:r>
        <w:rPr>
          <w:rFonts w:hint="default" w:ascii="Times New Roman" w:hAnsi="Times New Roman" w:eastAsia="仿宋_GB2312" w:cs="Times New Roman"/>
          <w:color w:val="auto"/>
          <w:sz w:val="32"/>
          <w:highlight w:val="none"/>
          <w:lang w:eastAsia="zh-CN"/>
        </w:rPr>
        <w:t>869</w:t>
      </w:r>
      <w:r>
        <w:rPr>
          <w:rFonts w:hint="eastAsia" w:ascii="仿宋_GB2312" w:hAnsi="等线" w:eastAsia="仿宋_GB2312"/>
          <w:color w:val="auto"/>
          <w:sz w:val="32"/>
          <w:highlight w:val="none"/>
          <w:lang w:eastAsia="zh-CN"/>
        </w:rPr>
        <w:t>号）向</w:t>
      </w:r>
      <w:r>
        <w:rPr>
          <w:rFonts w:hint="eastAsia" w:ascii="仿宋_GB2312" w:hAnsi="等线" w:eastAsia="仿宋_GB2312"/>
          <w:color w:val="auto"/>
          <w:sz w:val="32"/>
          <w:highlight w:val="none"/>
          <w:lang w:val="en-US" w:eastAsia="zh-CN"/>
        </w:rPr>
        <w:t>省财政厅报送专项资金</w:t>
      </w:r>
      <w:r>
        <w:rPr>
          <w:rFonts w:hint="eastAsia" w:ascii="仿宋_GB2312" w:hAnsi="等线" w:eastAsia="仿宋_GB2312"/>
          <w:color w:val="auto"/>
          <w:sz w:val="32"/>
          <w:highlight w:val="none"/>
          <w:lang w:eastAsia="zh-CN"/>
        </w:rPr>
        <w:t>分配方案。</w:t>
      </w:r>
      <w:r>
        <w:rPr>
          <w:rFonts w:hint="default" w:ascii="Times New Roman" w:hAnsi="Times New Roman" w:eastAsia="仿宋_GB2312" w:cs="Times New Roman"/>
          <w:color w:val="auto"/>
          <w:sz w:val="32"/>
          <w:highlight w:val="none"/>
        </w:rPr>
        <w:t>202</w:t>
      </w:r>
      <w:r>
        <w:rPr>
          <w:rFonts w:hint="default" w:ascii="Times New Roman" w:hAnsi="Times New Roman" w:eastAsia="仿宋_GB2312" w:cs="Times New Roman"/>
          <w:color w:val="auto"/>
          <w:sz w:val="32"/>
          <w:highlight w:val="none"/>
          <w:lang w:val="en-US" w:eastAsia="zh-CN"/>
        </w:rPr>
        <w:t>1</w:t>
      </w:r>
      <w:r>
        <w:rPr>
          <w:rFonts w:hint="eastAsia" w:ascii="仿宋_GB2312" w:hAnsi="等线" w:eastAsia="仿宋_GB2312"/>
          <w:color w:val="auto"/>
          <w:sz w:val="32"/>
          <w:highlight w:val="none"/>
        </w:rPr>
        <w:t>年</w:t>
      </w:r>
      <w:r>
        <w:rPr>
          <w:rFonts w:hint="default" w:ascii="Times New Roman" w:hAnsi="Times New Roman" w:eastAsia="仿宋_GB2312" w:cs="Times New Roman"/>
          <w:color w:val="auto"/>
          <w:sz w:val="32"/>
          <w:highlight w:val="none"/>
          <w:lang w:val="en-US" w:eastAsia="zh-CN"/>
        </w:rPr>
        <w:t>12</w:t>
      </w:r>
      <w:r>
        <w:rPr>
          <w:rFonts w:hint="eastAsia" w:ascii="仿宋_GB2312" w:hAnsi="等线" w:eastAsia="仿宋_GB2312"/>
          <w:color w:val="auto"/>
          <w:sz w:val="32"/>
          <w:highlight w:val="none"/>
        </w:rPr>
        <w:t>月，</w:t>
      </w:r>
      <w:r>
        <w:rPr>
          <w:rFonts w:hint="eastAsia" w:ascii="仿宋_GB2312" w:hAnsi="等线" w:eastAsia="仿宋_GB2312"/>
          <w:color w:val="auto"/>
          <w:sz w:val="32"/>
          <w:highlight w:val="none"/>
          <w:lang w:val="en-US" w:eastAsia="zh-CN"/>
        </w:rPr>
        <w:t>经省级财政资金预算管理程序，《广东省财政厅关</w:t>
      </w:r>
      <w:r>
        <w:rPr>
          <w:rFonts w:hint="eastAsia" w:ascii="仿宋_GB2312" w:hAnsi="等线" w:eastAsia="仿宋_GB2312"/>
          <w:color w:val="auto"/>
          <w:sz w:val="32"/>
          <w:highlight w:val="none"/>
        </w:rPr>
        <w:t>于提前下达</w:t>
      </w:r>
      <w:r>
        <w:rPr>
          <w:rFonts w:hint="default" w:ascii="Times New Roman" w:hAnsi="Times New Roman" w:eastAsia="仿宋_GB2312" w:cs="Times New Roman"/>
          <w:color w:val="auto"/>
          <w:sz w:val="32"/>
          <w:highlight w:val="none"/>
        </w:rPr>
        <w:t>2022</w:t>
      </w:r>
      <w:r>
        <w:rPr>
          <w:rFonts w:hint="eastAsia" w:ascii="仿宋_GB2312" w:hAnsi="等线" w:eastAsia="仿宋_GB2312"/>
          <w:color w:val="auto"/>
          <w:sz w:val="32"/>
          <w:highlight w:val="none"/>
        </w:rPr>
        <w:t>年省住房城乡建设厅主管专项资金的通知》（粤财建〔</w:t>
      </w:r>
      <w:r>
        <w:rPr>
          <w:rFonts w:hint="default" w:ascii="Times New Roman" w:hAnsi="Times New Roman" w:eastAsia="仿宋_GB2312" w:cs="Times New Roman"/>
          <w:color w:val="auto"/>
          <w:sz w:val="32"/>
          <w:highlight w:val="none"/>
        </w:rPr>
        <w:t>2021</w:t>
      </w:r>
      <w:r>
        <w:rPr>
          <w:rFonts w:hint="eastAsia" w:ascii="仿宋_GB2312" w:hAnsi="等线" w:eastAsia="仿宋_GB2312"/>
          <w:color w:val="auto"/>
          <w:sz w:val="32"/>
          <w:highlight w:val="none"/>
        </w:rPr>
        <w:t>〕</w:t>
      </w:r>
      <w:r>
        <w:rPr>
          <w:rFonts w:hint="default" w:ascii="Times New Roman" w:hAnsi="Times New Roman" w:eastAsia="仿宋_GB2312" w:cs="Times New Roman"/>
          <w:color w:val="auto"/>
          <w:sz w:val="32"/>
          <w:highlight w:val="none"/>
        </w:rPr>
        <w:t>70</w:t>
      </w:r>
      <w:r>
        <w:rPr>
          <w:rFonts w:hint="eastAsia" w:ascii="仿宋_GB2312" w:hAnsi="等线" w:eastAsia="仿宋_GB2312"/>
          <w:color w:val="auto"/>
          <w:sz w:val="32"/>
          <w:highlight w:val="none"/>
        </w:rPr>
        <w:t>号）</w:t>
      </w:r>
      <w:r>
        <w:rPr>
          <w:rFonts w:hint="eastAsia" w:ascii="仿宋_GB2312" w:hAnsi="等线" w:eastAsia="仿宋_GB2312"/>
          <w:color w:val="auto"/>
          <w:sz w:val="32"/>
          <w:highlight w:val="none"/>
          <w:lang w:eastAsia="zh-CN"/>
        </w:rPr>
        <w:t>下达了省级专项资金。</w:t>
      </w:r>
      <w:r>
        <w:rPr>
          <w:rFonts w:hint="default" w:ascii="Times New Roman" w:hAnsi="Times New Roman" w:eastAsia="仿宋_GB2312" w:cs="Times New Roman"/>
          <w:color w:val="auto"/>
          <w:sz w:val="32"/>
          <w:highlight w:val="none"/>
          <w:lang w:val="en-US" w:eastAsia="zh-CN"/>
        </w:rPr>
        <w:t>2022</w:t>
      </w:r>
      <w:r>
        <w:rPr>
          <w:rFonts w:hint="eastAsia" w:ascii="仿宋_GB2312" w:hAnsi="等线" w:eastAsia="仿宋_GB2312"/>
          <w:color w:val="auto"/>
          <w:sz w:val="32"/>
          <w:highlight w:val="none"/>
          <w:lang w:val="en-US" w:eastAsia="zh-CN"/>
        </w:rPr>
        <w:t>年</w:t>
      </w:r>
      <w:r>
        <w:rPr>
          <w:rFonts w:hint="default" w:ascii="Times New Roman" w:hAnsi="Times New Roman" w:eastAsia="仿宋_GB2312" w:cs="Times New Roman"/>
          <w:color w:val="auto"/>
          <w:sz w:val="32"/>
          <w:highlight w:val="none"/>
          <w:lang w:val="en-US" w:eastAsia="zh-CN"/>
        </w:rPr>
        <w:t>4</w:t>
      </w:r>
      <w:r>
        <w:rPr>
          <w:rFonts w:hint="eastAsia" w:ascii="仿宋_GB2312" w:hAnsi="等线" w:eastAsia="仿宋_GB2312"/>
          <w:color w:val="auto"/>
          <w:sz w:val="32"/>
          <w:highlight w:val="none"/>
          <w:lang w:val="en-US" w:eastAsia="zh-CN"/>
        </w:rPr>
        <w:t>月，《广东省住房和城乡建设厅关于印发</w:t>
      </w:r>
      <w:r>
        <w:rPr>
          <w:rFonts w:hint="default" w:ascii="Times New Roman" w:hAnsi="Times New Roman" w:eastAsia="仿宋_GB2312" w:cs="Times New Roman"/>
          <w:color w:val="auto"/>
          <w:sz w:val="32"/>
          <w:highlight w:val="none"/>
          <w:lang w:val="en-US" w:eastAsia="zh-CN"/>
        </w:rPr>
        <w:t>2022</w:t>
      </w:r>
      <w:r>
        <w:rPr>
          <w:rFonts w:hint="eastAsia" w:ascii="仿宋_GB2312" w:hAnsi="等线" w:eastAsia="仿宋_GB2312"/>
          <w:color w:val="auto"/>
          <w:sz w:val="32"/>
          <w:highlight w:val="none"/>
          <w:lang w:val="en-US" w:eastAsia="zh-CN"/>
        </w:rPr>
        <w:t>年保障性租赁住房、公租房保障和城镇棚户区改造等计划的通知》（粤建保〔</w:t>
      </w:r>
      <w:r>
        <w:rPr>
          <w:rFonts w:hint="default" w:ascii="Times New Roman" w:hAnsi="Times New Roman" w:eastAsia="仿宋_GB2312" w:cs="Times New Roman"/>
          <w:color w:val="auto"/>
          <w:sz w:val="32"/>
          <w:highlight w:val="none"/>
          <w:lang w:val="en-US" w:eastAsia="zh-CN"/>
        </w:rPr>
        <w:t>2022</w:t>
      </w:r>
      <w:r>
        <w:rPr>
          <w:rFonts w:hint="eastAsia" w:ascii="仿宋_GB2312" w:hAnsi="等线" w:eastAsia="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83</w:t>
      </w:r>
      <w:r>
        <w:rPr>
          <w:rFonts w:hint="eastAsia" w:ascii="仿宋_GB2312" w:hAnsi="等线" w:eastAsia="仿宋_GB2312"/>
          <w:color w:val="auto"/>
          <w:sz w:val="32"/>
          <w:highlight w:val="none"/>
          <w:lang w:val="en-US" w:eastAsia="zh-CN"/>
        </w:rPr>
        <w:t>号）向各市下达了保障性租赁住房、公租房保障和城镇棚户区改造等计划任务。</w:t>
      </w:r>
      <w:r>
        <w:rPr>
          <w:rFonts w:hint="eastAsia" w:ascii="仿宋_GB2312" w:hAnsi="等线" w:eastAsia="仿宋_GB2312"/>
          <w:color w:val="auto"/>
          <w:sz w:val="32"/>
          <w:highlight w:val="none"/>
          <w:lang w:eastAsia="zh-CN"/>
        </w:rPr>
        <w:t>专项资金</w:t>
      </w:r>
      <w:r>
        <w:rPr>
          <w:rFonts w:hint="eastAsia" w:ascii="仿宋_GB2312" w:hAnsi="等线" w:eastAsia="仿宋_GB2312"/>
          <w:color w:val="auto"/>
          <w:sz w:val="32"/>
          <w:highlight w:val="none"/>
        </w:rPr>
        <w:t>和</w:t>
      </w:r>
      <w:r>
        <w:rPr>
          <w:rFonts w:hint="eastAsia" w:ascii="仿宋_GB2312" w:hAnsi="等线" w:eastAsia="仿宋_GB2312"/>
          <w:color w:val="auto"/>
          <w:sz w:val="32"/>
          <w:highlight w:val="none"/>
          <w:lang w:eastAsia="zh-CN"/>
        </w:rPr>
        <w:t>计划任务</w:t>
      </w:r>
      <w:r>
        <w:rPr>
          <w:rFonts w:hint="eastAsia" w:ascii="仿宋_GB2312" w:hAnsi="等线" w:eastAsia="仿宋_GB2312"/>
          <w:color w:val="auto"/>
          <w:sz w:val="32"/>
          <w:highlight w:val="none"/>
        </w:rPr>
        <w:t>逐级下达到市县后，由有关市县住房城乡建设主管部门组织实施。</w:t>
      </w:r>
    </w:p>
    <w:bookmarkEnd w:id="1"/>
    <w:bookmarkEnd w:id="7"/>
    <w:p>
      <w:pPr>
        <w:pStyle w:val="14"/>
        <w:pageBreakBefore w:val="0"/>
        <w:kinsoku/>
        <w:wordWrap/>
        <w:overflowPunct/>
        <w:topLinePunct w:val="0"/>
        <w:autoSpaceDE/>
        <w:autoSpaceDN/>
        <w:bidi w:val="0"/>
        <w:adjustRightInd/>
        <w:spacing w:line="600" w:lineRule="exact"/>
        <w:ind w:left="0" w:leftChars="0" w:firstLine="642" w:firstLineChars="200"/>
        <w:textAlignment w:val="auto"/>
        <w:outlineLvl w:val="1"/>
        <w:rPr>
          <w:rFonts w:ascii="Times New Roman" w:hAnsi="Times New Roman" w:eastAsia="楷体_GB2312" w:cs="仿宋"/>
          <w:b/>
          <w:bCs/>
          <w:color w:val="auto"/>
          <w:sz w:val="32"/>
          <w:highlight w:val="none"/>
        </w:rPr>
      </w:pPr>
      <w:bookmarkStart w:id="14" w:name="_Toc473"/>
      <w:r>
        <w:rPr>
          <w:rFonts w:hint="eastAsia" w:ascii="Times New Roman" w:hAnsi="Times New Roman" w:eastAsia="楷体_GB2312" w:cs="仿宋"/>
          <w:b/>
          <w:bCs/>
          <w:color w:val="auto"/>
          <w:sz w:val="32"/>
          <w:highlight w:val="none"/>
        </w:rPr>
        <w:t>（三）绩效目标</w:t>
      </w:r>
      <w:bookmarkEnd w:id="14"/>
    </w:p>
    <w:p>
      <w:pPr>
        <w:pageBreakBefore w:val="0"/>
        <w:widowControl/>
        <w:numPr>
          <w:ilvl w:val="-1"/>
          <w:numId w:val="0"/>
        </w:numPr>
        <w:kinsoku/>
        <w:wordWrap/>
        <w:overflowPunct/>
        <w:topLinePunct w:val="0"/>
        <w:autoSpaceDE/>
        <w:autoSpaceDN/>
        <w:bidi w:val="0"/>
        <w:adjustRightInd/>
        <w:spacing w:line="600" w:lineRule="exact"/>
        <w:ind w:firstLine="640" w:firstLineChars="200"/>
        <w:jc w:val="left"/>
        <w:textAlignment w:val="auto"/>
        <w:rPr>
          <w:rFonts w:hint="eastAsia" w:ascii="仿宋_GB2312" w:hAnsi="Times New Roman" w:eastAsia="仿宋_GB2312"/>
          <w:sz w:val="32"/>
          <w:lang w:eastAsia="zh-CN"/>
        </w:rPr>
      </w:pPr>
      <w:r>
        <w:rPr>
          <w:rFonts w:hint="eastAsia" w:ascii="仿宋_GB2312" w:hAnsi="Times New Roman" w:eastAsia="仿宋_GB2312"/>
          <w:sz w:val="32"/>
        </w:rPr>
        <w:t>总体绩效目标</w:t>
      </w:r>
      <w:r>
        <w:rPr>
          <w:rFonts w:hint="eastAsia" w:ascii="仿宋_GB2312" w:hAnsi="Times New Roman" w:eastAsia="仿宋_GB2312"/>
          <w:b w:val="0"/>
          <w:bCs w:val="0"/>
          <w:sz w:val="32"/>
          <w:lang w:val="en-US" w:eastAsia="zh-CN"/>
        </w:rPr>
        <w:t>是：</w:t>
      </w:r>
      <w:r>
        <w:rPr>
          <w:rFonts w:hint="eastAsia" w:ascii="仿宋_GB2312" w:hAnsi="Times New Roman" w:eastAsia="仿宋_GB2312" w:cstheme="minorBidi"/>
          <w:color w:val="auto"/>
          <w:kern w:val="2"/>
          <w:sz w:val="32"/>
          <w:szCs w:val="24"/>
          <w:lang w:val="en-US" w:eastAsia="zh-CN" w:bidi="ar"/>
        </w:rPr>
        <w:t>用于棚户区改造、公共租赁住房、保障性租赁住房、共有产权住房、租赁补贴等保障性安居工程计划，确保</w:t>
      </w:r>
      <w:r>
        <w:rPr>
          <w:rFonts w:hint="default" w:ascii="Times New Roman" w:hAnsi="Times New Roman" w:eastAsia="仿宋_GB2312" w:cs="Times New Roman"/>
          <w:color w:val="auto"/>
          <w:kern w:val="2"/>
          <w:sz w:val="32"/>
          <w:szCs w:val="24"/>
          <w:lang w:val="en-US" w:eastAsia="zh-CN" w:bidi="ar"/>
        </w:rPr>
        <w:t>2022</w:t>
      </w:r>
      <w:r>
        <w:rPr>
          <w:rFonts w:hint="eastAsia" w:ascii="仿宋_GB2312" w:hAnsi="Times New Roman" w:eastAsia="仿宋_GB2312" w:cstheme="minorBidi"/>
          <w:color w:val="auto"/>
          <w:kern w:val="2"/>
          <w:sz w:val="32"/>
          <w:szCs w:val="24"/>
          <w:lang w:val="en-US" w:eastAsia="zh-CN" w:bidi="ar"/>
        </w:rPr>
        <w:t>年完成</w:t>
      </w:r>
      <w:r>
        <w:rPr>
          <w:rFonts w:hint="default" w:ascii="Times New Roman" w:hAnsi="Times New Roman" w:eastAsia="仿宋_GB2312" w:cs="Times New Roman"/>
          <w:color w:val="auto"/>
          <w:kern w:val="2"/>
          <w:sz w:val="32"/>
          <w:szCs w:val="24"/>
          <w:lang w:val="en-US" w:eastAsia="zh-CN" w:bidi="ar"/>
        </w:rPr>
        <w:t>100</w:t>
      </w:r>
      <w:r>
        <w:rPr>
          <w:rFonts w:hint="eastAsia" w:ascii="仿宋_GB2312" w:hAnsi="Times New Roman" w:eastAsia="仿宋_GB2312" w:cstheme="minorBidi"/>
          <w:color w:val="auto"/>
          <w:kern w:val="2"/>
          <w:sz w:val="32"/>
          <w:szCs w:val="24"/>
          <w:lang w:val="en-US" w:eastAsia="zh-CN" w:bidi="ar"/>
        </w:rPr>
        <w:t>%的棚改、公租房、保障性租赁住房、共有产权住房等项目开工，完成</w:t>
      </w:r>
      <w:r>
        <w:rPr>
          <w:rFonts w:hint="default" w:ascii="Times New Roman" w:hAnsi="Times New Roman" w:eastAsia="仿宋_GB2312" w:cs="Times New Roman"/>
          <w:color w:val="auto"/>
          <w:kern w:val="2"/>
          <w:sz w:val="32"/>
          <w:szCs w:val="24"/>
          <w:lang w:val="en-US" w:eastAsia="zh-CN" w:bidi="ar"/>
        </w:rPr>
        <w:t>100</w:t>
      </w:r>
      <w:r>
        <w:rPr>
          <w:rFonts w:hint="eastAsia" w:ascii="仿宋_GB2312" w:hAnsi="Times New Roman" w:eastAsia="仿宋_GB2312" w:cstheme="minorBidi"/>
          <w:color w:val="auto"/>
          <w:kern w:val="2"/>
          <w:sz w:val="32"/>
          <w:szCs w:val="24"/>
          <w:lang w:val="en-US" w:eastAsia="zh-CN" w:bidi="ar"/>
        </w:rPr>
        <w:t>%的租赁补贴发放，保障性安居工程居民满意度≥</w:t>
      </w:r>
      <w:r>
        <w:rPr>
          <w:rFonts w:hint="default" w:ascii="Times New Roman" w:hAnsi="Times New Roman" w:eastAsia="仿宋_GB2312" w:cs="Times New Roman"/>
          <w:color w:val="auto"/>
          <w:kern w:val="2"/>
          <w:sz w:val="32"/>
          <w:szCs w:val="24"/>
          <w:lang w:val="en-US" w:eastAsia="zh-CN" w:bidi="ar"/>
        </w:rPr>
        <w:t>80</w:t>
      </w:r>
      <w:r>
        <w:rPr>
          <w:rFonts w:hint="eastAsia" w:ascii="仿宋_GB2312" w:hAnsi="Times New Roman" w:eastAsia="仿宋_GB2312" w:cstheme="minorBidi"/>
          <w:color w:val="auto"/>
          <w:kern w:val="2"/>
          <w:sz w:val="32"/>
          <w:szCs w:val="24"/>
          <w:lang w:val="en-US" w:eastAsia="zh-CN" w:bidi="ar"/>
        </w:rPr>
        <w:t>%等，支持符合条件的城镇居民保障其基本居住需求，改善其居住条件。</w:t>
      </w:r>
      <w:r>
        <w:rPr>
          <w:rFonts w:hint="eastAsia" w:ascii="仿宋_GB2312" w:hAnsi="Times New Roman" w:eastAsia="仿宋_GB2312"/>
          <w:sz w:val="32"/>
        </w:rPr>
        <w:t>具体绩效指标</w:t>
      </w:r>
      <w:r>
        <w:rPr>
          <w:rFonts w:hint="eastAsia" w:ascii="仿宋_GB2312" w:hAnsi="Times New Roman" w:eastAsia="仿宋_GB2312"/>
          <w:sz w:val="32"/>
          <w:lang w:eastAsia="zh-CN"/>
        </w:rPr>
        <w:t>见</w:t>
      </w:r>
      <w:r>
        <w:rPr>
          <w:rFonts w:hint="eastAsia" w:ascii="仿宋_GB2312" w:hAnsi="Times New Roman" w:eastAsia="仿宋_GB2312"/>
          <w:sz w:val="32"/>
        </w:rPr>
        <w:t>表</w:t>
      </w:r>
      <w:r>
        <w:rPr>
          <w:rFonts w:hint="default" w:ascii="Times New Roman" w:hAnsi="Times New Roman" w:eastAsia="仿宋_GB2312" w:cs="Times New Roman"/>
          <w:sz w:val="32"/>
          <w:lang w:val="en-US" w:eastAsia="zh-CN"/>
        </w:rPr>
        <w:t>1</w:t>
      </w:r>
      <w:r>
        <w:rPr>
          <w:rFonts w:hint="eastAsia" w:ascii="仿宋_GB2312" w:hAnsi="Times New Roman" w:eastAsia="仿宋_GB2312"/>
          <w:sz w:val="32"/>
          <w:lang w:val="en-US" w:eastAsia="zh-CN"/>
        </w:rPr>
        <w:t>-</w:t>
      </w:r>
      <w:r>
        <w:rPr>
          <w:rFonts w:hint="default" w:ascii="Times New Roman" w:hAnsi="Times New Roman" w:eastAsia="仿宋_GB2312" w:cs="Times New Roman"/>
          <w:sz w:val="32"/>
        </w:rPr>
        <w:t>1</w:t>
      </w:r>
      <w:r>
        <w:rPr>
          <w:rFonts w:hint="eastAsia" w:ascii="仿宋_GB2312" w:hAnsi="Times New Roman" w:eastAsia="仿宋_GB2312"/>
          <w:sz w:val="32"/>
          <w:lang w:eastAsia="zh-CN"/>
        </w:rPr>
        <w:t>。</w:t>
      </w:r>
    </w:p>
    <w:p>
      <w:pPr>
        <w:widowControl/>
        <w:numPr>
          <w:ilvl w:val="255"/>
          <w:numId w:val="0"/>
        </w:numPr>
        <w:spacing w:beforeLines="0"/>
        <w:ind w:firstLine="420" w:firstLineChars="200"/>
      </w:pPr>
    </w:p>
    <w:p>
      <w:pPr>
        <w:widowControl/>
        <w:numPr>
          <w:ilvl w:val="255"/>
          <w:numId w:val="0"/>
        </w:numPr>
        <w:spacing w:beforeLines="0"/>
        <w:jc w:val="center"/>
        <w:rPr>
          <w:rFonts w:hint="eastAsia" w:ascii="黑体" w:hAnsi="黑体" w:eastAsia="黑体" w:cs="黑体"/>
          <w:sz w:val="28"/>
          <w:szCs w:val="28"/>
        </w:rPr>
      </w:pPr>
      <w:r>
        <w:rPr>
          <w:rFonts w:hint="eastAsia" w:ascii="黑体" w:hAnsi="黑体" w:eastAsia="黑体" w:cs="黑体"/>
          <w:sz w:val="28"/>
          <w:szCs w:val="28"/>
        </w:rPr>
        <w:t>表</w:t>
      </w:r>
      <w:r>
        <w:rPr>
          <w:rFonts w:hint="default" w:ascii="Times New Roman" w:hAnsi="Times New Roman" w:eastAsia="黑体" w:cs="Times New Roman"/>
          <w:sz w:val="28"/>
          <w:szCs w:val="28"/>
          <w:lang w:val="en-US" w:eastAsia="zh-CN"/>
        </w:rPr>
        <w:t>1</w:t>
      </w:r>
      <w:r>
        <w:rPr>
          <w:rFonts w:hint="eastAsia" w:ascii="黑体" w:hAnsi="黑体" w:eastAsia="黑体" w:cs="黑体"/>
          <w:sz w:val="28"/>
          <w:szCs w:val="28"/>
          <w:lang w:val="en-US" w:eastAsia="zh-CN"/>
        </w:rPr>
        <w:t>-</w:t>
      </w:r>
      <w:r>
        <w:rPr>
          <w:rFonts w:hint="default" w:ascii="Times New Roman" w:hAnsi="Times New Roman" w:eastAsia="黑体" w:cs="Times New Roman"/>
          <w:sz w:val="28"/>
          <w:szCs w:val="28"/>
        </w:rPr>
        <w:t>1</w:t>
      </w:r>
      <w:r>
        <w:rPr>
          <w:rFonts w:hint="eastAsia" w:ascii="黑体" w:hAnsi="黑体" w:eastAsia="黑体" w:cs="黑体"/>
          <w:sz w:val="28"/>
          <w:szCs w:val="28"/>
        </w:rPr>
        <w:t xml:space="preserve"> </w:t>
      </w:r>
      <w:r>
        <w:rPr>
          <w:rFonts w:hint="default" w:ascii="Times New Roman" w:hAnsi="Times New Roman" w:eastAsia="黑体" w:cs="Times New Roman"/>
          <w:sz w:val="28"/>
          <w:szCs w:val="28"/>
        </w:rPr>
        <w:t>2022</w:t>
      </w:r>
      <w:r>
        <w:rPr>
          <w:rFonts w:hint="eastAsia" w:ascii="黑体" w:hAnsi="黑体" w:eastAsia="黑体" w:cs="黑体"/>
          <w:sz w:val="28"/>
          <w:szCs w:val="28"/>
        </w:rPr>
        <w:t>年</w:t>
      </w:r>
      <w:r>
        <w:rPr>
          <w:rFonts w:hint="eastAsia" w:ascii="黑体" w:hAnsi="黑体" w:eastAsia="黑体" w:cs="黑体"/>
          <w:sz w:val="28"/>
          <w:szCs w:val="28"/>
          <w:lang w:val="en-US" w:eastAsia="zh-CN"/>
        </w:rPr>
        <w:t>保障性安居工程</w:t>
      </w:r>
      <w:r>
        <w:rPr>
          <w:rFonts w:hint="eastAsia" w:ascii="黑体" w:hAnsi="黑体" w:eastAsia="黑体" w:cs="黑体"/>
          <w:sz w:val="28"/>
          <w:szCs w:val="28"/>
          <w:lang w:eastAsia="zh-CN"/>
        </w:rPr>
        <w:t>专项</w:t>
      </w:r>
      <w:r>
        <w:rPr>
          <w:rFonts w:hint="eastAsia" w:ascii="黑体" w:hAnsi="黑体" w:eastAsia="黑体" w:cs="黑体"/>
          <w:sz w:val="28"/>
          <w:szCs w:val="28"/>
        </w:rPr>
        <w:t>补助</w:t>
      </w:r>
      <w:r>
        <w:rPr>
          <w:rFonts w:hint="eastAsia" w:ascii="黑体" w:hAnsi="黑体" w:eastAsia="黑体" w:cs="黑体"/>
          <w:sz w:val="28"/>
          <w:szCs w:val="28"/>
          <w:lang w:eastAsia="zh-CN"/>
        </w:rPr>
        <w:t>资金</w:t>
      </w:r>
      <w:r>
        <w:rPr>
          <w:rFonts w:hint="eastAsia" w:ascii="黑体" w:hAnsi="黑体" w:eastAsia="黑体" w:cs="黑体"/>
          <w:sz w:val="28"/>
          <w:szCs w:val="28"/>
        </w:rPr>
        <w:t>绩效</w:t>
      </w:r>
      <w:r>
        <w:rPr>
          <w:rFonts w:hint="eastAsia" w:ascii="黑体" w:hAnsi="黑体" w:eastAsia="黑体" w:cs="黑体"/>
          <w:sz w:val="28"/>
          <w:szCs w:val="28"/>
          <w:lang w:eastAsia="zh-CN"/>
        </w:rPr>
        <w:t>指</w:t>
      </w:r>
      <w:r>
        <w:rPr>
          <w:rFonts w:hint="eastAsia" w:ascii="黑体" w:hAnsi="黑体" w:eastAsia="黑体" w:cs="黑体"/>
          <w:sz w:val="28"/>
          <w:szCs w:val="28"/>
        </w:rPr>
        <w:t>标表</w:t>
      </w:r>
    </w:p>
    <w:tbl>
      <w:tblPr>
        <w:tblStyle w:val="19"/>
        <w:tblW w:w="9139"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505"/>
        <w:gridCol w:w="4744"/>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trPr>
        <w:tc>
          <w:tcPr>
            <w:tcW w:w="1012" w:type="dxa"/>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一级指标</w:t>
            </w:r>
          </w:p>
        </w:tc>
        <w:tc>
          <w:tcPr>
            <w:tcW w:w="1505" w:type="dxa"/>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二级指标</w:t>
            </w:r>
          </w:p>
        </w:tc>
        <w:tc>
          <w:tcPr>
            <w:tcW w:w="4744" w:type="dxa"/>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三级指标</w:t>
            </w:r>
          </w:p>
        </w:tc>
        <w:tc>
          <w:tcPr>
            <w:tcW w:w="1878" w:type="dxa"/>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restart"/>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产出指标</w:t>
            </w:r>
          </w:p>
        </w:tc>
        <w:tc>
          <w:tcPr>
            <w:tcW w:w="1505" w:type="dxa"/>
            <w:vMerge w:val="restart"/>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数量指标</w:t>
            </w:r>
          </w:p>
        </w:tc>
        <w:tc>
          <w:tcPr>
            <w:tcW w:w="4744" w:type="dxa"/>
            <w:vAlign w:val="center"/>
          </w:tcPr>
          <w:p>
            <w:pPr>
              <w:widowControl/>
              <w:numPr>
                <w:ilvl w:val="255"/>
                <w:numId w:val="0"/>
              </w:numPr>
              <w:spacing w:beforeLines="0"/>
              <w:ind w:left="0" w:leftChars="0" w:firstLine="0" w:firstLineChars="0"/>
              <w:jc w:val="center"/>
              <w:rPr>
                <w:rFonts w:hint="default" w:ascii="仿宋_GB2312" w:hAnsi="Times New Roman" w:eastAsia="仿宋_GB2312" w:cstheme="minorBidi"/>
                <w:kern w:val="2"/>
                <w:sz w:val="24"/>
                <w:szCs w:val="24"/>
                <w:lang w:val="en-US" w:eastAsia="zh-CN" w:bidi="ar-SA"/>
              </w:rPr>
            </w:pPr>
            <w:r>
              <w:rPr>
                <w:rFonts w:hint="eastAsia" w:ascii="仿宋_GB2312" w:hAnsi="仿宋" w:eastAsia="仿宋_GB2312" w:cs="仿宋"/>
                <w:spacing w:val="-6"/>
                <w:sz w:val="24"/>
                <w:szCs w:val="21"/>
              </w:rPr>
              <w:t>新开工棚户区改造安置住房套数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万套</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ind w:left="0" w:leftChars="0" w:firstLine="0" w:firstLineChars="0"/>
              <w:jc w:val="center"/>
              <w:rPr>
                <w:rFonts w:hint="default"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pacing w:val="-6"/>
                <w:sz w:val="24"/>
                <w:szCs w:val="21"/>
                <w:lang w:val="en-US" w:eastAsia="zh-CN"/>
              </w:rPr>
              <w:t>0</w:t>
            </w:r>
            <w:r>
              <w:rPr>
                <w:rFonts w:hint="eastAsia" w:ascii="仿宋_GB2312" w:hAnsi="仿宋" w:eastAsia="仿宋_GB2312" w:cs="仿宋"/>
                <w:spacing w:val="-6"/>
                <w:sz w:val="24"/>
                <w:szCs w:val="21"/>
                <w:lang w:val="en-US" w:eastAsia="zh-CN"/>
              </w:rPr>
              <w:t>.</w:t>
            </w:r>
            <w:r>
              <w:rPr>
                <w:rFonts w:hint="default" w:ascii="Times New Roman" w:hAnsi="Times New Roman" w:eastAsia="仿宋_GB2312" w:cs="Times New Roman"/>
                <w:spacing w:val="-6"/>
                <w:sz w:val="24"/>
                <w:szCs w:val="21"/>
                <w:lang w:val="en-US" w:eastAsia="zh-CN"/>
              </w:rPr>
              <w:t>02</w:t>
            </w:r>
            <w:r>
              <w:rPr>
                <w:rFonts w:hint="eastAsia" w:ascii="仿宋_GB2312" w:hAnsi="仿宋" w:eastAsia="仿宋_GB2312" w:cs="仿宋"/>
                <w:spacing w:val="-6"/>
                <w:sz w:val="24"/>
                <w:szCs w:val="21"/>
              </w:rPr>
              <w:t>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4744"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eastAsia" w:ascii="仿宋_GB2312" w:hAnsi="仿宋" w:eastAsia="仿宋_GB2312" w:cs="仿宋"/>
                <w:spacing w:val="-6"/>
                <w:sz w:val="24"/>
                <w:szCs w:val="21"/>
                <w:lang w:val="en-US" w:eastAsia="zh-CN"/>
              </w:rPr>
              <w:t>建设</w:t>
            </w:r>
            <w:r>
              <w:rPr>
                <w:rFonts w:hint="eastAsia" w:ascii="仿宋_GB2312" w:hAnsi="仿宋" w:eastAsia="仿宋_GB2312" w:cs="仿宋"/>
                <w:spacing w:val="-6"/>
                <w:sz w:val="24"/>
                <w:szCs w:val="21"/>
              </w:rPr>
              <w:t>棚户区改造安置住房套数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万套</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pacing w:val="-6"/>
                <w:sz w:val="24"/>
                <w:szCs w:val="21"/>
                <w:lang w:val="en-US" w:eastAsia="zh-CN"/>
              </w:rPr>
              <w:t>0</w:t>
            </w:r>
            <w:r>
              <w:rPr>
                <w:rFonts w:hint="eastAsia" w:ascii="仿宋_GB2312" w:hAnsi="仿宋" w:eastAsia="仿宋_GB2312" w:cs="仿宋"/>
                <w:spacing w:val="-6"/>
                <w:sz w:val="24"/>
                <w:szCs w:val="21"/>
                <w:lang w:val="en-US" w:eastAsia="zh-CN"/>
              </w:rPr>
              <w:t>.</w:t>
            </w:r>
            <w:r>
              <w:rPr>
                <w:rFonts w:hint="default" w:ascii="Times New Roman" w:hAnsi="Times New Roman" w:eastAsia="仿宋_GB2312" w:cs="Times New Roman"/>
                <w:spacing w:val="-6"/>
                <w:sz w:val="24"/>
                <w:szCs w:val="21"/>
                <w:lang w:val="en-US" w:eastAsia="zh-CN"/>
              </w:rPr>
              <w:t>0</w:t>
            </w:r>
            <w:r>
              <w:rPr>
                <w:rFonts w:hint="eastAsia" w:ascii="Times New Roman" w:hAnsi="Times New Roman" w:eastAsia="仿宋_GB2312" w:cs="Times New Roman"/>
                <w:spacing w:val="-6"/>
                <w:sz w:val="24"/>
                <w:szCs w:val="21"/>
                <w:lang w:val="en-US" w:eastAsia="zh-CN"/>
              </w:rPr>
              <w:t>222</w:t>
            </w:r>
            <w:r>
              <w:rPr>
                <w:rFonts w:hint="eastAsia" w:ascii="仿宋_GB2312" w:hAnsi="仿宋" w:eastAsia="仿宋_GB2312" w:cs="仿宋"/>
                <w:spacing w:val="-6"/>
                <w:sz w:val="24"/>
                <w:szCs w:val="21"/>
              </w:rPr>
              <w:t>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4744" w:type="dxa"/>
            <w:vAlign w:val="center"/>
          </w:tcPr>
          <w:p>
            <w:pPr>
              <w:widowControl/>
              <w:numPr>
                <w:ilvl w:val="-1"/>
                <w:numId w:val="0"/>
              </w:numPr>
              <w:spacing w:beforeLines="0"/>
              <w:ind w:left="0" w:leftChars="0" w:firstLine="456" w:firstLineChars="200"/>
              <w:jc w:val="left"/>
              <w:rPr>
                <w:rFonts w:hint="default" w:ascii="仿宋_GB2312" w:hAnsi="Times New Roman" w:eastAsia="仿宋_GB2312" w:cstheme="minorBidi"/>
                <w:kern w:val="2"/>
                <w:sz w:val="24"/>
                <w:szCs w:val="24"/>
                <w:lang w:val="en-US" w:eastAsia="zh-CN" w:bidi="ar-SA"/>
              </w:rPr>
            </w:pPr>
            <w:r>
              <w:rPr>
                <w:rFonts w:hint="eastAsia" w:ascii="仿宋_GB2312" w:hAnsi="仿宋" w:eastAsia="仿宋_GB2312" w:cs="仿宋"/>
                <w:spacing w:val="-6"/>
                <w:sz w:val="24"/>
                <w:szCs w:val="21"/>
              </w:rPr>
              <w:t>建设公共租赁住房套数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万套</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pacing w:val="-6"/>
                <w:sz w:val="24"/>
                <w:szCs w:val="21"/>
                <w:lang w:val="en-US" w:eastAsia="zh-CN"/>
              </w:rPr>
              <w:t>0</w:t>
            </w:r>
            <w:r>
              <w:rPr>
                <w:rFonts w:hint="eastAsia" w:ascii="仿宋_GB2312" w:hAnsi="仿宋" w:eastAsia="仿宋_GB2312" w:cs="仿宋"/>
                <w:spacing w:val="-6"/>
                <w:sz w:val="24"/>
                <w:szCs w:val="21"/>
                <w:lang w:val="en-US" w:eastAsia="zh-CN"/>
              </w:rPr>
              <w:t>.</w:t>
            </w:r>
            <w:r>
              <w:rPr>
                <w:rFonts w:hint="default" w:ascii="Times New Roman" w:hAnsi="Times New Roman" w:eastAsia="仿宋_GB2312" w:cs="Times New Roman"/>
                <w:spacing w:val="-6"/>
                <w:sz w:val="24"/>
                <w:szCs w:val="21"/>
                <w:lang w:val="en-US" w:eastAsia="zh-CN"/>
              </w:rPr>
              <w:t>485</w:t>
            </w:r>
            <w:r>
              <w:rPr>
                <w:rFonts w:hint="eastAsia" w:ascii="仿宋_GB2312" w:hAnsi="仿宋" w:eastAsia="仿宋_GB2312" w:cs="仿宋"/>
                <w:spacing w:val="-6"/>
                <w:sz w:val="24"/>
                <w:szCs w:val="21"/>
              </w:rPr>
              <w:t>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4744" w:type="dxa"/>
            <w:vAlign w:val="center"/>
          </w:tcPr>
          <w:p>
            <w:pPr>
              <w:widowControl/>
              <w:numPr>
                <w:ilvl w:val="-1"/>
                <w:numId w:val="0"/>
              </w:numPr>
              <w:spacing w:beforeLines="0"/>
              <w:ind w:left="0" w:leftChars="0" w:firstLine="456" w:firstLineChars="200"/>
              <w:jc w:val="left"/>
              <w:rPr>
                <w:rFonts w:hint="eastAsia" w:ascii="仿宋_GB2312" w:hAnsi="Times New Roman" w:eastAsia="仿宋_GB2312" w:cstheme="minorBidi"/>
                <w:kern w:val="2"/>
                <w:sz w:val="24"/>
                <w:szCs w:val="24"/>
                <w:lang w:val="en-US" w:eastAsia="zh-CN" w:bidi="ar-SA"/>
              </w:rPr>
            </w:pPr>
            <w:r>
              <w:rPr>
                <w:rFonts w:hint="eastAsia" w:ascii="仿宋_GB2312" w:hAnsi="仿宋" w:eastAsia="仿宋_GB2312" w:cs="仿宋"/>
                <w:spacing w:val="-6"/>
                <w:sz w:val="24"/>
                <w:szCs w:val="21"/>
              </w:rPr>
              <w:t>新筹建保障性租赁住房套数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万套/间</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pacing w:val="-6"/>
                <w:sz w:val="24"/>
                <w:szCs w:val="21"/>
                <w:lang w:val="en-US" w:eastAsia="zh-CN"/>
              </w:rPr>
              <w:t>1</w:t>
            </w:r>
            <w:r>
              <w:rPr>
                <w:rFonts w:hint="eastAsia" w:ascii="仿宋_GB2312" w:hAnsi="仿宋" w:eastAsia="仿宋_GB2312" w:cs="仿宋"/>
                <w:spacing w:val="-6"/>
                <w:sz w:val="24"/>
                <w:szCs w:val="21"/>
                <w:lang w:val="en-US" w:eastAsia="zh-CN"/>
              </w:rPr>
              <w:t>.</w:t>
            </w:r>
            <w:r>
              <w:rPr>
                <w:rFonts w:hint="default" w:ascii="Times New Roman" w:hAnsi="Times New Roman" w:eastAsia="仿宋_GB2312" w:cs="Times New Roman"/>
                <w:spacing w:val="-6"/>
                <w:sz w:val="24"/>
                <w:szCs w:val="21"/>
                <w:lang w:val="en-US" w:eastAsia="zh-CN"/>
              </w:rPr>
              <w:t>115</w:t>
            </w:r>
            <w:r>
              <w:rPr>
                <w:rFonts w:hint="eastAsia" w:ascii="仿宋_GB2312" w:hAnsi="仿宋" w:eastAsia="仿宋_GB2312" w:cs="仿宋"/>
                <w:spacing w:val="-6"/>
                <w:sz w:val="24"/>
                <w:szCs w:val="21"/>
              </w:rPr>
              <w:t>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4744"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eastAsia" w:ascii="仿宋_GB2312" w:hAnsi="仿宋" w:eastAsia="仿宋_GB2312" w:cs="仿宋"/>
                <w:spacing w:val="-6"/>
                <w:sz w:val="24"/>
                <w:szCs w:val="21"/>
              </w:rPr>
              <w:t>新开工共有产权住房套数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万套</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pacing w:val="-6"/>
                <w:sz w:val="24"/>
                <w:szCs w:val="21"/>
                <w:lang w:val="en-US" w:eastAsia="zh-CN"/>
              </w:rPr>
              <w:t>0</w:t>
            </w:r>
            <w:r>
              <w:rPr>
                <w:rFonts w:hint="eastAsia" w:ascii="仿宋_GB2312" w:hAnsi="仿宋" w:eastAsia="仿宋_GB2312" w:cs="仿宋"/>
                <w:spacing w:val="-6"/>
                <w:sz w:val="24"/>
                <w:szCs w:val="21"/>
                <w:lang w:val="en-US" w:eastAsia="zh-CN"/>
              </w:rPr>
              <w:t>.</w:t>
            </w:r>
            <w:r>
              <w:rPr>
                <w:rFonts w:hint="default" w:ascii="Times New Roman" w:hAnsi="Times New Roman" w:eastAsia="仿宋_GB2312" w:cs="Times New Roman"/>
                <w:spacing w:val="-6"/>
                <w:sz w:val="24"/>
                <w:szCs w:val="21"/>
                <w:lang w:val="en-US" w:eastAsia="zh-CN"/>
              </w:rPr>
              <w:t>40</w:t>
            </w:r>
            <w:r>
              <w:rPr>
                <w:rFonts w:hint="eastAsia" w:ascii="仿宋_GB2312" w:hAnsi="仿宋" w:eastAsia="仿宋_GB2312" w:cs="仿宋"/>
                <w:spacing w:val="-6"/>
                <w:sz w:val="24"/>
                <w:szCs w:val="21"/>
              </w:rPr>
              <w:t>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tc>
        <w:tc>
          <w:tcPr>
            <w:tcW w:w="1505" w:type="dxa"/>
            <w:vMerge w:val="continue"/>
            <w:vAlign w:val="center"/>
          </w:tcPr>
          <w:p/>
        </w:tc>
        <w:tc>
          <w:tcPr>
            <w:tcW w:w="4744"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eastAsia" w:ascii="仿宋_GB2312" w:hAnsi="Times New Roman" w:eastAsia="仿宋_GB2312"/>
                <w:sz w:val="24"/>
                <w:lang w:val="en-US" w:eastAsia="zh-CN"/>
              </w:rPr>
              <w:t>实施发放租赁补贴户数（万户）</w:t>
            </w:r>
          </w:p>
        </w:tc>
        <w:tc>
          <w:tcPr>
            <w:tcW w:w="1878" w:type="dxa"/>
            <w:vAlign w:val="center"/>
          </w:tcPr>
          <w:p>
            <w:pPr>
              <w:widowControl/>
              <w:numPr>
                <w:ilvl w:val="255"/>
                <w:numId w:val="0"/>
              </w:numPr>
              <w:spacing w:beforeLines="0"/>
              <w:ind w:left="0" w:leftChars="0" w:firstLine="0" w:firstLineChars="0"/>
              <w:jc w:val="center"/>
              <w:rPr>
                <w:rFonts w:hint="eastAsia" w:ascii="仿宋_GB2312" w:hAnsi="Times New Roman" w:eastAsia="仿宋_GB2312" w:cstheme="minorBidi"/>
                <w:kern w:val="2"/>
                <w:sz w:val="24"/>
                <w:szCs w:val="24"/>
                <w:lang w:val="en-US" w:eastAsia="zh-CN" w:bidi="ar-SA"/>
              </w:rPr>
            </w:pPr>
            <w:r>
              <w:rPr>
                <w:rFonts w:hint="default" w:ascii="Times New Roman" w:hAnsi="Times New Roman" w:eastAsia="仿宋_GB2312" w:cs="Times New Roman"/>
                <w:sz w:val="24"/>
                <w:lang w:val="en-US" w:eastAsia="zh-CN"/>
              </w:rPr>
              <w:t>3</w:t>
            </w:r>
            <w:r>
              <w:rPr>
                <w:rFonts w:hint="eastAsia" w:ascii="仿宋_GB2312" w:hAnsi="Times New Roman" w:eastAsia="仿宋_GB2312"/>
                <w:sz w:val="24"/>
                <w:lang w:val="en-US" w:eastAsia="zh-CN"/>
              </w:rPr>
              <w:t>.</w:t>
            </w:r>
            <w:r>
              <w:rPr>
                <w:rFonts w:hint="default" w:ascii="Times New Roman" w:hAnsi="Times New Roman" w:eastAsia="仿宋_GB2312" w:cs="Times New Roman"/>
                <w:sz w:val="24"/>
                <w:lang w:val="en-US" w:eastAsia="zh-CN"/>
              </w:rPr>
              <w:t>40</w:t>
            </w:r>
            <w:r>
              <w:rPr>
                <w:rFonts w:hint="eastAsia" w:ascii="仿宋_GB2312" w:hAnsi="Times New Roman" w:eastAsia="仿宋_GB2312"/>
                <w:sz w:val="24"/>
                <w:lang w:val="en-US" w:eastAsia="zh-CN"/>
              </w:rPr>
              <w:t>万户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restart"/>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时效指标</w:t>
            </w:r>
          </w:p>
        </w:tc>
        <w:tc>
          <w:tcPr>
            <w:tcW w:w="4744" w:type="dxa"/>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仿宋" w:eastAsia="仿宋_GB2312" w:cs="仿宋"/>
                <w:spacing w:val="-6"/>
                <w:sz w:val="24"/>
                <w:szCs w:val="21"/>
                <w:lang w:val="en-US" w:eastAsia="zh-CN"/>
              </w:rPr>
              <w:t>筹建</w:t>
            </w:r>
            <w:r>
              <w:rPr>
                <w:rFonts w:hint="eastAsia" w:ascii="仿宋_GB2312" w:hAnsi="仿宋" w:eastAsia="仿宋_GB2312" w:cs="仿宋"/>
                <w:spacing w:val="-6"/>
                <w:sz w:val="24"/>
                <w:szCs w:val="21"/>
              </w:rPr>
              <w:t>目标完成率</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jc w:val="center"/>
              <w:rPr>
                <w:rFonts w:ascii="仿宋_GB2312" w:hAnsi="Times New Roman" w:eastAsia="仿宋_GB2312"/>
                <w:sz w:val="24"/>
              </w:rPr>
            </w:pPr>
            <w:r>
              <w:rPr>
                <w:rFonts w:hint="default" w:ascii="Times New Roman" w:hAnsi="Times New Roman" w:eastAsia="仿宋_GB2312" w:cs="Times New Roman"/>
                <w:sz w:val="24"/>
              </w:rPr>
              <w:t>100</w:t>
            </w:r>
            <w:r>
              <w:rPr>
                <w:rFonts w:hint="eastAsia" w:ascii="仿宋_GB2312"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12"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1505" w:type="dxa"/>
            <w:vMerge w:val="continue"/>
            <w:vAlign w:val="center"/>
          </w:tcPr>
          <w:p>
            <w:pPr>
              <w:widowControl/>
              <w:numPr>
                <w:ilvl w:val="255"/>
                <w:numId w:val="0"/>
              </w:numPr>
              <w:spacing w:beforeLines="0"/>
              <w:jc w:val="center"/>
              <w:rPr>
                <w:rFonts w:ascii="仿宋_GB2312" w:hAnsi="Times New Roman" w:eastAsia="仿宋_GB2312"/>
                <w:sz w:val="24"/>
              </w:rPr>
            </w:pPr>
          </w:p>
        </w:tc>
        <w:tc>
          <w:tcPr>
            <w:tcW w:w="4744" w:type="dxa"/>
            <w:vAlign w:val="center"/>
          </w:tcPr>
          <w:p>
            <w:pPr>
              <w:widowControl/>
              <w:numPr>
                <w:ilvl w:val="255"/>
                <w:numId w:val="0"/>
              </w:numPr>
              <w:spacing w:beforeLines="0"/>
              <w:ind w:left="0" w:leftChars="0" w:firstLine="0" w:firstLineChars="0"/>
              <w:jc w:val="center"/>
              <w:rPr>
                <w:rFonts w:ascii="仿宋_GB2312" w:hAnsi="Times New Roman" w:eastAsia="仿宋_GB2312" w:cstheme="minorBidi"/>
                <w:kern w:val="2"/>
                <w:sz w:val="24"/>
                <w:szCs w:val="24"/>
                <w:lang w:val="en-US" w:eastAsia="zh-CN" w:bidi="ar-SA"/>
              </w:rPr>
            </w:pPr>
            <w:r>
              <w:rPr>
                <w:rFonts w:hint="eastAsia" w:ascii="仿宋_GB2312" w:hAnsi="Times New Roman" w:eastAsia="仿宋_GB2312"/>
                <w:sz w:val="24"/>
                <w:lang w:val="en-US" w:eastAsia="zh-CN"/>
              </w:rPr>
              <w:t>补贴发放目标完成率</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jc w:val="center"/>
              <w:rPr>
                <w:rFonts w:ascii="仿宋_GB2312" w:hAnsi="Times New Roman" w:eastAsia="仿宋_GB2312"/>
                <w:sz w:val="24"/>
              </w:rPr>
            </w:pPr>
            <w:r>
              <w:rPr>
                <w:rFonts w:hint="default" w:ascii="Times New Roman" w:hAnsi="Times New Roman" w:eastAsia="仿宋_GB2312" w:cs="Times New Roman"/>
                <w:sz w:val="24"/>
              </w:rPr>
              <w:t>100</w:t>
            </w:r>
            <w:r>
              <w:rPr>
                <w:rFonts w:hint="eastAsia" w:ascii="仿宋_GB2312"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12" w:type="dxa"/>
            <w:vMerge w:val="restart"/>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效益指标</w:t>
            </w:r>
          </w:p>
        </w:tc>
        <w:tc>
          <w:tcPr>
            <w:tcW w:w="1505" w:type="dxa"/>
            <w:vMerge w:val="restart"/>
            <w:vAlign w:val="center"/>
          </w:tcPr>
          <w:p>
            <w:pPr>
              <w:widowControl/>
              <w:numPr>
                <w:ilvl w:val="255"/>
                <w:numId w:val="0"/>
              </w:numPr>
              <w:spacing w:beforeLines="0"/>
              <w:jc w:val="center"/>
              <w:rPr>
                <w:rFonts w:ascii="仿宋_GB2312" w:hAnsi="Times New Roman" w:eastAsia="仿宋_GB2312"/>
                <w:sz w:val="24"/>
              </w:rPr>
            </w:pPr>
            <w:r>
              <w:rPr>
                <w:rFonts w:hint="eastAsia" w:ascii="仿宋_GB2312" w:hAnsi="Times New Roman" w:eastAsia="仿宋_GB2312"/>
                <w:sz w:val="24"/>
              </w:rPr>
              <w:t>社会效益指标</w:t>
            </w:r>
          </w:p>
        </w:tc>
        <w:tc>
          <w:tcPr>
            <w:tcW w:w="4744" w:type="dxa"/>
            <w:vAlign w:val="center"/>
          </w:tcPr>
          <w:p>
            <w:pPr>
              <w:widowControl/>
              <w:numPr>
                <w:ilvl w:val="-1"/>
                <w:numId w:val="0"/>
              </w:numPr>
              <w:spacing w:beforeLines="0"/>
              <w:ind w:firstLine="456" w:firstLineChars="200"/>
              <w:jc w:val="left"/>
              <w:rPr>
                <w:rFonts w:ascii="仿宋_GB2312" w:hAnsi="Times New Roman" w:eastAsia="仿宋_GB2312"/>
                <w:sz w:val="24"/>
              </w:rPr>
            </w:pPr>
            <w:r>
              <w:rPr>
                <w:rFonts w:hint="eastAsia" w:ascii="仿宋_GB2312" w:hAnsi="仿宋" w:eastAsia="仿宋_GB2312" w:cs="仿宋"/>
                <w:spacing w:val="-6"/>
                <w:sz w:val="24"/>
                <w:szCs w:val="21"/>
              </w:rPr>
              <w:t>将有效解决住房困难家庭户数</w:t>
            </w:r>
            <w:r>
              <w:rPr>
                <w:rFonts w:hint="eastAsia" w:ascii="仿宋_GB2312" w:hAnsi="仿宋" w:eastAsia="仿宋_GB2312" w:cs="仿宋"/>
                <w:spacing w:val="-6"/>
                <w:sz w:val="24"/>
                <w:szCs w:val="21"/>
                <w:lang w:eastAsia="zh-CN"/>
              </w:rPr>
              <w:t>（</w:t>
            </w:r>
            <w:r>
              <w:rPr>
                <w:rFonts w:hint="eastAsia" w:ascii="仿宋_GB2312" w:hAnsi="仿宋" w:eastAsia="仿宋_GB2312" w:cs="仿宋"/>
                <w:spacing w:val="-6"/>
                <w:sz w:val="24"/>
                <w:szCs w:val="21"/>
              </w:rPr>
              <w:t>万户</w:t>
            </w:r>
            <w:r>
              <w:rPr>
                <w:rFonts w:hint="eastAsia" w:ascii="仿宋_GB2312" w:hAnsi="仿宋" w:eastAsia="仿宋_GB2312" w:cs="仿宋"/>
                <w:spacing w:val="-6"/>
                <w:sz w:val="24"/>
                <w:szCs w:val="21"/>
                <w:lang w:eastAsia="zh-CN"/>
              </w:rPr>
              <w:t>）</w:t>
            </w:r>
          </w:p>
        </w:tc>
        <w:tc>
          <w:tcPr>
            <w:tcW w:w="1878" w:type="dxa"/>
            <w:vAlign w:val="center"/>
          </w:tcPr>
          <w:p>
            <w:pPr>
              <w:widowControl/>
              <w:numPr>
                <w:ilvl w:val="255"/>
                <w:numId w:val="0"/>
              </w:numPr>
              <w:spacing w:beforeLines="0"/>
              <w:jc w:val="center"/>
              <w:rPr>
                <w:rFonts w:ascii="仿宋_GB2312" w:hAnsi="Times New Roman" w:eastAsia="仿宋_GB2312"/>
                <w:sz w:val="24"/>
              </w:rPr>
            </w:pPr>
            <w:r>
              <w:rPr>
                <w:rFonts w:hint="default" w:ascii="Times New Roman" w:hAnsi="Times New Roman" w:eastAsia="仿宋_GB2312" w:cs="Times New Roman"/>
                <w:sz w:val="24"/>
                <w:lang w:val="en-US" w:eastAsia="zh-CN"/>
              </w:rPr>
              <w:t>5</w:t>
            </w:r>
            <w:r>
              <w:rPr>
                <w:rFonts w:hint="eastAsia" w:ascii="仿宋_GB2312" w:hAnsi="Times New Roman" w:eastAsia="仿宋_GB2312"/>
                <w:sz w:val="24"/>
                <w:lang w:val="en-US" w:eastAsia="zh-CN"/>
              </w:rPr>
              <w:t>.</w:t>
            </w:r>
            <w:r>
              <w:rPr>
                <w:rFonts w:hint="default" w:ascii="Times New Roman" w:hAnsi="Times New Roman" w:eastAsia="仿宋_GB2312" w:cs="Times New Roman"/>
                <w:sz w:val="24"/>
                <w:lang w:val="en-US" w:eastAsia="zh-CN"/>
              </w:rPr>
              <w:t>03</w:t>
            </w:r>
            <w:r>
              <w:rPr>
                <w:rFonts w:hint="eastAsia" w:ascii="仿宋_GB2312" w:hAnsi="Times New Roman" w:eastAsia="仿宋_GB2312"/>
                <w:sz w:val="24"/>
                <w:lang w:val="en-US" w:eastAsia="zh-CN"/>
              </w:rPr>
              <w:t>万户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2" w:type="dxa"/>
            <w:vMerge w:val="restart"/>
            <w:vAlign w:val="center"/>
          </w:tcPr>
          <w:p>
            <w:pPr>
              <w:widowControl/>
              <w:numPr>
                <w:ilvl w:val="255"/>
                <w:numId w:val="0"/>
              </w:numPr>
              <w:spacing w:beforeLines="0"/>
              <w:jc w:val="center"/>
              <w:rPr>
                <w:rFonts w:ascii="仿宋_GB2312" w:hAnsi="Times New Roman" w:eastAsia="仿宋_GB2312"/>
                <w:sz w:val="24"/>
                <w:highlight w:val="none"/>
              </w:rPr>
            </w:pPr>
            <w:r>
              <w:rPr>
                <w:rFonts w:hint="eastAsia" w:ascii="仿宋_GB2312" w:hAnsi="Times New Roman" w:eastAsia="仿宋_GB2312"/>
                <w:sz w:val="24"/>
                <w:highlight w:val="none"/>
              </w:rPr>
              <w:t>满意度指标</w:t>
            </w:r>
          </w:p>
        </w:tc>
        <w:tc>
          <w:tcPr>
            <w:tcW w:w="1505" w:type="dxa"/>
            <w:vMerge w:val="restart"/>
            <w:vAlign w:val="center"/>
          </w:tcPr>
          <w:p>
            <w:pPr>
              <w:widowControl/>
              <w:numPr>
                <w:ilvl w:val="255"/>
                <w:numId w:val="0"/>
              </w:numPr>
              <w:spacing w:beforeLines="0"/>
              <w:jc w:val="center"/>
              <w:rPr>
                <w:rFonts w:ascii="仿宋_GB2312" w:hAnsi="Times New Roman" w:eastAsia="仿宋_GB2312"/>
                <w:sz w:val="24"/>
                <w:highlight w:val="none"/>
              </w:rPr>
            </w:pPr>
            <w:r>
              <w:rPr>
                <w:rFonts w:hint="eastAsia" w:ascii="仿宋_GB2312" w:hAnsi="Times New Roman" w:eastAsia="仿宋_GB2312"/>
                <w:sz w:val="24"/>
                <w:highlight w:val="none"/>
              </w:rPr>
              <w:t>服务对象满意度指标</w:t>
            </w:r>
          </w:p>
        </w:tc>
        <w:tc>
          <w:tcPr>
            <w:tcW w:w="4744" w:type="dxa"/>
            <w:vAlign w:val="center"/>
          </w:tcPr>
          <w:p>
            <w:pPr>
              <w:widowControl/>
              <w:numPr>
                <w:ilvl w:val="255"/>
                <w:numId w:val="0"/>
              </w:numPr>
              <w:spacing w:beforeLines="0"/>
              <w:jc w:val="center"/>
              <w:rPr>
                <w:rFonts w:ascii="仿宋_GB2312" w:hAnsi="Times New Roman" w:eastAsia="仿宋_GB2312"/>
                <w:sz w:val="24"/>
                <w:highlight w:val="none"/>
              </w:rPr>
            </w:pPr>
            <w:r>
              <w:rPr>
                <w:rFonts w:hint="eastAsia" w:ascii="仿宋_GB2312" w:hAnsi="仿宋" w:eastAsia="仿宋_GB2312" w:cs="仿宋"/>
                <w:spacing w:val="-6"/>
                <w:sz w:val="24"/>
                <w:szCs w:val="21"/>
                <w:highlight w:val="none"/>
              </w:rPr>
              <w:t>城镇低保低收入住房困难家庭满意度</w:t>
            </w:r>
            <w:r>
              <w:rPr>
                <w:rFonts w:hint="eastAsia" w:ascii="仿宋_GB2312" w:hAnsi="仿宋" w:eastAsia="仿宋_GB2312" w:cs="仿宋"/>
                <w:spacing w:val="-6"/>
                <w:sz w:val="24"/>
                <w:szCs w:val="21"/>
                <w:highlight w:val="none"/>
                <w:lang w:eastAsia="zh-CN"/>
              </w:rPr>
              <w:t>（</w:t>
            </w:r>
            <w:r>
              <w:rPr>
                <w:rFonts w:hint="eastAsia" w:ascii="仿宋_GB2312" w:hAnsi="仿宋" w:eastAsia="仿宋_GB2312" w:cs="仿宋"/>
                <w:spacing w:val="-6"/>
                <w:sz w:val="24"/>
                <w:szCs w:val="21"/>
                <w:highlight w:val="none"/>
              </w:rPr>
              <w:t>%</w:t>
            </w:r>
            <w:r>
              <w:rPr>
                <w:rFonts w:hint="eastAsia" w:ascii="仿宋_GB2312" w:hAnsi="仿宋" w:eastAsia="仿宋_GB2312" w:cs="仿宋"/>
                <w:spacing w:val="-6"/>
                <w:sz w:val="24"/>
                <w:szCs w:val="21"/>
                <w:highlight w:val="none"/>
                <w:lang w:eastAsia="zh-CN"/>
              </w:rPr>
              <w:t>）</w:t>
            </w:r>
          </w:p>
        </w:tc>
        <w:tc>
          <w:tcPr>
            <w:tcW w:w="1878" w:type="dxa"/>
            <w:vAlign w:val="center"/>
          </w:tcPr>
          <w:p>
            <w:pPr>
              <w:widowControl/>
              <w:numPr>
                <w:ilvl w:val="255"/>
                <w:numId w:val="0"/>
              </w:numPr>
              <w:spacing w:beforeLines="0"/>
              <w:jc w:val="center"/>
              <w:rPr>
                <w:rFonts w:ascii="仿宋_GB2312" w:hAnsi="Times New Roman" w:eastAsia="仿宋_GB2312"/>
                <w:sz w:val="24"/>
                <w:highlight w:val="none"/>
              </w:rPr>
            </w:pPr>
            <w:r>
              <w:rPr>
                <w:rFonts w:hint="eastAsia" w:ascii="仿宋_GB2312" w:hAnsi="Times New Roman" w:eastAsia="仿宋_GB2312"/>
                <w:sz w:val="24"/>
                <w:highlight w:val="none"/>
              </w:rPr>
              <w:t>≥</w:t>
            </w:r>
            <w:r>
              <w:rPr>
                <w:rFonts w:hint="default" w:ascii="Times New Roman" w:hAnsi="Times New Roman" w:eastAsia="仿宋_GB2312" w:cs="Times New Roman"/>
                <w:sz w:val="24"/>
                <w:highlight w:val="none"/>
              </w:rPr>
              <w:t>80</w:t>
            </w:r>
            <w:r>
              <w:rPr>
                <w:rFonts w:hint="eastAsia" w:ascii="仿宋_GB2312" w:hAnsi="Times New Roman"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12" w:type="dxa"/>
            <w:vMerge w:val="continue"/>
            <w:vAlign w:val="center"/>
          </w:tcPr>
          <w:p>
            <w:pPr>
              <w:widowControl/>
              <w:numPr>
                <w:ilvl w:val="255"/>
                <w:numId w:val="0"/>
              </w:numPr>
              <w:spacing w:beforeLines="0"/>
              <w:jc w:val="center"/>
              <w:rPr>
                <w:rFonts w:hint="eastAsia" w:ascii="仿宋_GB2312" w:hAnsi="Times New Roman" w:eastAsia="仿宋_GB2312"/>
                <w:sz w:val="24"/>
                <w:highlight w:val="none"/>
              </w:rPr>
            </w:pPr>
          </w:p>
        </w:tc>
        <w:tc>
          <w:tcPr>
            <w:tcW w:w="1505" w:type="dxa"/>
            <w:vMerge w:val="continue"/>
            <w:vAlign w:val="center"/>
          </w:tcPr>
          <w:p>
            <w:pPr>
              <w:widowControl/>
              <w:numPr>
                <w:ilvl w:val="255"/>
                <w:numId w:val="0"/>
              </w:numPr>
              <w:spacing w:beforeLines="0"/>
              <w:jc w:val="center"/>
              <w:rPr>
                <w:rFonts w:hint="eastAsia" w:ascii="仿宋_GB2312" w:hAnsi="Times New Roman" w:eastAsia="仿宋_GB2312"/>
                <w:sz w:val="24"/>
                <w:highlight w:val="none"/>
              </w:rPr>
            </w:pPr>
          </w:p>
        </w:tc>
        <w:tc>
          <w:tcPr>
            <w:tcW w:w="4744" w:type="dxa"/>
            <w:vAlign w:val="center"/>
          </w:tcPr>
          <w:p>
            <w:pPr>
              <w:widowControl/>
              <w:numPr>
                <w:ilvl w:val="255"/>
                <w:numId w:val="0"/>
              </w:numPr>
              <w:spacing w:beforeLines="0"/>
              <w:jc w:val="center"/>
              <w:rPr>
                <w:rFonts w:hint="eastAsia" w:ascii="仿宋_GB2312" w:hAnsi="Times New Roman" w:eastAsia="仿宋_GB2312"/>
                <w:sz w:val="24"/>
                <w:highlight w:val="none"/>
                <w:lang w:val="en-US" w:eastAsia="zh-CN"/>
              </w:rPr>
            </w:pPr>
            <w:r>
              <w:rPr>
                <w:rFonts w:hint="eastAsia" w:ascii="仿宋_GB2312" w:hAnsi="仿宋" w:eastAsia="仿宋_GB2312" w:cs="仿宋"/>
                <w:spacing w:val="-6"/>
                <w:sz w:val="24"/>
                <w:szCs w:val="21"/>
                <w:highlight w:val="none"/>
              </w:rPr>
              <w:t>已入住保租房的青年人、新市民满意度</w:t>
            </w:r>
            <w:r>
              <w:rPr>
                <w:rFonts w:hint="eastAsia" w:ascii="仿宋_GB2312" w:hAnsi="仿宋" w:eastAsia="仿宋_GB2312" w:cs="仿宋"/>
                <w:spacing w:val="-6"/>
                <w:sz w:val="24"/>
                <w:szCs w:val="21"/>
                <w:highlight w:val="none"/>
                <w:lang w:eastAsia="zh-CN"/>
              </w:rPr>
              <w:t>（</w:t>
            </w:r>
            <w:r>
              <w:rPr>
                <w:rFonts w:hint="eastAsia" w:ascii="仿宋_GB2312" w:hAnsi="仿宋" w:eastAsia="仿宋_GB2312" w:cs="仿宋"/>
                <w:spacing w:val="-6"/>
                <w:sz w:val="24"/>
                <w:szCs w:val="21"/>
                <w:highlight w:val="none"/>
              </w:rPr>
              <w:t>%</w:t>
            </w:r>
            <w:r>
              <w:rPr>
                <w:rFonts w:hint="eastAsia" w:ascii="仿宋_GB2312" w:hAnsi="仿宋" w:eastAsia="仿宋_GB2312" w:cs="仿宋"/>
                <w:spacing w:val="-6"/>
                <w:sz w:val="24"/>
                <w:szCs w:val="21"/>
                <w:highlight w:val="none"/>
                <w:lang w:eastAsia="zh-CN"/>
              </w:rPr>
              <w:t>）</w:t>
            </w:r>
          </w:p>
        </w:tc>
        <w:tc>
          <w:tcPr>
            <w:tcW w:w="1878" w:type="dxa"/>
            <w:vAlign w:val="center"/>
          </w:tcPr>
          <w:p>
            <w:pPr>
              <w:widowControl/>
              <w:numPr>
                <w:ilvl w:val="255"/>
                <w:numId w:val="0"/>
              </w:numPr>
              <w:spacing w:beforeLines="0"/>
              <w:jc w:val="center"/>
              <w:rPr>
                <w:rFonts w:hint="eastAsia" w:ascii="仿宋_GB2312" w:hAnsi="Times New Roman" w:eastAsia="仿宋_GB2312"/>
                <w:sz w:val="24"/>
                <w:highlight w:val="none"/>
              </w:rPr>
            </w:pPr>
            <w:r>
              <w:rPr>
                <w:rFonts w:hint="eastAsia" w:ascii="仿宋_GB2312" w:hAnsi="Times New Roman" w:eastAsia="仿宋_GB2312"/>
                <w:sz w:val="24"/>
                <w:highlight w:val="none"/>
              </w:rPr>
              <w:t>≥</w:t>
            </w:r>
            <w:r>
              <w:rPr>
                <w:rFonts w:hint="default" w:ascii="Times New Roman" w:hAnsi="Times New Roman" w:eastAsia="仿宋_GB2312" w:cs="Times New Roman"/>
                <w:sz w:val="24"/>
                <w:highlight w:val="none"/>
              </w:rPr>
              <w:t>80</w:t>
            </w:r>
            <w:r>
              <w:rPr>
                <w:rFonts w:hint="eastAsia" w:ascii="仿宋_GB2312" w:hAnsi="Times New Roman"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12" w:type="dxa"/>
            <w:vMerge w:val="continue"/>
            <w:vAlign w:val="center"/>
          </w:tcPr>
          <w:p>
            <w:pPr>
              <w:widowControl/>
              <w:numPr>
                <w:ilvl w:val="255"/>
                <w:numId w:val="0"/>
              </w:numPr>
              <w:spacing w:beforeLines="0"/>
              <w:jc w:val="center"/>
              <w:rPr>
                <w:rFonts w:hint="eastAsia" w:ascii="仿宋_GB2312" w:hAnsi="Times New Roman" w:eastAsia="仿宋_GB2312"/>
                <w:sz w:val="24"/>
                <w:highlight w:val="none"/>
              </w:rPr>
            </w:pPr>
          </w:p>
        </w:tc>
        <w:tc>
          <w:tcPr>
            <w:tcW w:w="1505" w:type="dxa"/>
            <w:vMerge w:val="continue"/>
            <w:vAlign w:val="center"/>
          </w:tcPr>
          <w:p>
            <w:pPr>
              <w:widowControl/>
              <w:numPr>
                <w:ilvl w:val="255"/>
                <w:numId w:val="0"/>
              </w:numPr>
              <w:spacing w:beforeLines="0"/>
              <w:jc w:val="center"/>
              <w:rPr>
                <w:rFonts w:hint="eastAsia" w:ascii="仿宋_GB2312" w:hAnsi="Times New Roman" w:eastAsia="仿宋_GB2312"/>
                <w:sz w:val="24"/>
                <w:highlight w:val="none"/>
              </w:rPr>
            </w:pPr>
          </w:p>
        </w:tc>
        <w:tc>
          <w:tcPr>
            <w:tcW w:w="4744" w:type="dxa"/>
            <w:vAlign w:val="center"/>
          </w:tcPr>
          <w:p>
            <w:pPr>
              <w:widowControl/>
              <w:numPr>
                <w:ilvl w:val="-1"/>
                <w:numId w:val="0"/>
              </w:numPr>
              <w:spacing w:beforeLines="0"/>
              <w:ind w:firstLine="456" w:firstLineChars="200"/>
              <w:jc w:val="left"/>
              <w:rPr>
                <w:rFonts w:hint="eastAsia" w:ascii="仿宋_GB2312" w:hAnsi="Times New Roman" w:eastAsia="仿宋_GB2312"/>
                <w:sz w:val="24"/>
                <w:highlight w:val="none"/>
                <w:lang w:val="en-US" w:eastAsia="zh-CN"/>
              </w:rPr>
            </w:pPr>
            <w:r>
              <w:rPr>
                <w:rFonts w:hint="eastAsia" w:ascii="仿宋_GB2312" w:hAnsi="仿宋" w:eastAsia="仿宋_GB2312" w:cs="仿宋"/>
                <w:spacing w:val="-6"/>
                <w:sz w:val="24"/>
                <w:szCs w:val="21"/>
                <w:highlight w:val="none"/>
              </w:rPr>
              <w:t>棚户区改造被拆迁居民满意度</w:t>
            </w:r>
            <w:r>
              <w:rPr>
                <w:rFonts w:hint="eastAsia" w:ascii="仿宋_GB2312" w:hAnsi="仿宋" w:eastAsia="仿宋_GB2312" w:cs="仿宋"/>
                <w:spacing w:val="-6"/>
                <w:sz w:val="24"/>
                <w:szCs w:val="21"/>
                <w:highlight w:val="none"/>
                <w:lang w:eastAsia="zh-CN"/>
              </w:rPr>
              <w:t>（</w:t>
            </w:r>
            <w:r>
              <w:rPr>
                <w:rFonts w:hint="eastAsia" w:ascii="仿宋_GB2312" w:hAnsi="仿宋" w:eastAsia="仿宋_GB2312" w:cs="仿宋"/>
                <w:spacing w:val="-6"/>
                <w:sz w:val="24"/>
                <w:szCs w:val="21"/>
                <w:highlight w:val="none"/>
              </w:rPr>
              <w:t>%</w:t>
            </w:r>
            <w:r>
              <w:rPr>
                <w:rFonts w:hint="eastAsia" w:ascii="仿宋_GB2312" w:hAnsi="仿宋" w:eastAsia="仿宋_GB2312" w:cs="仿宋"/>
                <w:spacing w:val="-6"/>
                <w:sz w:val="24"/>
                <w:szCs w:val="21"/>
                <w:highlight w:val="none"/>
                <w:lang w:eastAsia="zh-CN"/>
              </w:rPr>
              <w:t>）</w:t>
            </w:r>
          </w:p>
        </w:tc>
        <w:tc>
          <w:tcPr>
            <w:tcW w:w="1878" w:type="dxa"/>
            <w:vAlign w:val="center"/>
          </w:tcPr>
          <w:p>
            <w:pPr>
              <w:widowControl/>
              <w:numPr>
                <w:ilvl w:val="255"/>
                <w:numId w:val="0"/>
              </w:numPr>
              <w:spacing w:beforeLines="0"/>
              <w:jc w:val="center"/>
              <w:rPr>
                <w:rFonts w:hint="eastAsia" w:ascii="仿宋_GB2312" w:hAnsi="Times New Roman" w:eastAsia="仿宋_GB2312"/>
                <w:sz w:val="24"/>
                <w:highlight w:val="none"/>
              </w:rPr>
            </w:pPr>
            <w:r>
              <w:rPr>
                <w:rFonts w:hint="eastAsia" w:ascii="仿宋_GB2312" w:hAnsi="Times New Roman" w:eastAsia="仿宋_GB2312"/>
                <w:sz w:val="24"/>
                <w:highlight w:val="none"/>
              </w:rPr>
              <w:t>≥</w:t>
            </w:r>
            <w:r>
              <w:rPr>
                <w:rFonts w:hint="default" w:ascii="Times New Roman" w:hAnsi="Times New Roman" w:eastAsia="仿宋_GB2312" w:cs="Times New Roman"/>
                <w:sz w:val="24"/>
                <w:highlight w:val="none"/>
              </w:rPr>
              <w:t>80</w:t>
            </w:r>
            <w:r>
              <w:rPr>
                <w:rFonts w:hint="eastAsia" w:ascii="仿宋_GB2312" w:hAnsi="Times New Roman" w:eastAsia="仿宋_GB2312"/>
                <w:sz w:val="24"/>
                <w:highlight w:val="none"/>
              </w:rPr>
              <w:t>%</w:t>
            </w:r>
          </w:p>
        </w:tc>
      </w:tr>
    </w:tbl>
    <w:p>
      <w:pPr>
        <w:widowControl/>
        <w:numPr>
          <w:ilvl w:val="255"/>
          <w:numId w:val="0"/>
        </w:numPr>
        <w:spacing w:beforeLines="0"/>
        <w:ind w:firstLine="480" w:firstLineChars="200"/>
        <w:jc w:val="left"/>
        <w:rPr>
          <w:rFonts w:hint="default" w:ascii="仿宋_GB2312" w:hAnsi="仿宋" w:eastAsia="仿宋_GB2312" w:cs="仿宋"/>
          <w:spacing w:val="-6"/>
          <w:sz w:val="24"/>
          <w:szCs w:val="21"/>
          <w:highlight w:val="yellow"/>
          <w:lang w:val="en-US" w:eastAsia="zh-CN"/>
        </w:rPr>
      </w:pPr>
      <w:r>
        <w:rPr>
          <w:rFonts w:hint="eastAsia" w:ascii="仿宋_GB2312" w:hAnsi="Times New Roman" w:eastAsia="仿宋_GB2312"/>
          <w:sz w:val="24"/>
          <w:highlight w:val="yellow"/>
          <w:lang w:val="en-US" w:eastAsia="zh-CN"/>
        </w:rPr>
        <w:t>注：其中潮州市原数量指标“</w:t>
      </w:r>
      <w:r>
        <w:rPr>
          <w:rFonts w:hint="eastAsia" w:ascii="仿宋_GB2312" w:hAnsi="仿宋" w:eastAsia="仿宋_GB2312" w:cs="仿宋"/>
          <w:spacing w:val="-6"/>
          <w:sz w:val="24"/>
          <w:szCs w:val="21"/>
          <w:highlight w:val="yellow"/>
          <w:lang w:val="en-US" w:eastAsia="zh-CN"/>
        </w:rPr>
        <w:t>建设</w:t>
      </w:r>
      <w:r>
        <w:rPr>
          <w:rFonts w:hint="eastAsia" w:ascii="仿宋_GB2312" w:hAnsi="仿宋" w:eastAsia="仿宋_GB2312" w:cs="仿宋"/>
          <w:spacing w:val="-6"/>
          <w:sz w:val="24"/>
          <w:szCs w:val="21"/>
          <w:highlight w:val="yellow"/>
        </w:rPr>
        <w:t>棚户区改造安置住房套数</w:t>
      </w:r>
      <w:r>
        <w:rPr>
          <w:rFonts w:hint="eastAsia" w:ascii="Times New Roman" w:hAnsi="Times New Roman" w:eastAsia="仿宋_GB2312" w:cs="Times New Roman"/>
          <w:spacing w:val="-6"/>
          <w:sz w:val="24"/>
          <w:szCs w:val="21"/>
          <w:highlight w:val="yellow"/>
          <w:lang w:val="en-US" w:eastAsia="zh-CN"/>
        </w:rPr>
        <w:t>400</w:t>
      </w:r>
      <w:r>
        <w:rPr>
          <w:rFonts w:hint="eastAsia" w:ascii="仿宋_GB2312" w:hAnsi="仿宋" w:eastAsia="仿宋_GB2312" w:cs="仿宋"/>
          <w:spacing w:val="-6"/>
          <w:sz w:val="24"/>
          <w:szCs w:val="21"/>
          <w:highlight w:val="yellow"/>
        </w:rPr>
        <w:t>套</w:t>
      </w:r>
      <w:r>
        <w:rPr>
          <w:rFonts w:hint="eastAsia" w:ascii="仿宋_GB2312" w:hAnsi="仿宋" w:eastAsia="仿宋_GB2312" w:cs="仿宋"/>
          <w:spacing w:val="-6"/>
          <w:sz w:val="24"/>
          <w:szCs w:val="21"/>
          <w:highlight w:val="yellow"/>
          <w:lang w:eastAsia="zh-CN"/>
        </w:rPr>
        <w:t>”</w:t>
      </w:r>
      <w:r>
        <w:rPr>
          <w:rFonts w:hint="eastAsia" w:ascii="仿宋_GB2312" w:hAnsi="仿宋" w:eastAsia="仿宋_GB2312" w:cs="仿宋"/>
          <w:spacing w:val="-6"/>
          <w:sz w:val="24"/>
          <w:szCs w:val="21"/>
          <w:highlight w:val="yellow"/>
          <w:lang w:val="en-US" w:eastAsia="zh-CN"/>
        </w:rPr>
        <w:t>经省政府同意已调整为222套，核销178套任务数，原下达的棚户区改造资金944万元，调出300万元为公租房运维资金，余644万元为棚户区改造资金。</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0"/>
        <w:rPr>
          <w:rFonts w:eastAsia="黑体"/>
          <w:color w:val="auto"/>
          <w:kern w:val="0"/>
          <w:sz w:val="32"/>
          <w:szCs w:val="32"/>
          <w:highlight w:val="none"/>
        </w:rPr>
      </w:pPr>
      <w:r>
        <w:rPr>
          <w:rFonts w:hint="eastAsia" w:ascii="仿宋_GB2312" w:hAnsi="仿宋" w:eastAsia="仿宋_GB2312" w:cs="仿宋"/>
          <w:spacing w:val="-6"/>
          <w:sz w:val="32"/>
          <w:lang w:val="en-US" w:eastAsia="zh-CN"/>
        </w:rPr>
        <w:t xml:space="preserve">     </w:t>
      </w:r>
      <w:bookmarkStart w:id="15" w:name="_Toc1688"/>
      <w:bookmarkStart w:id="16" w:name="_Toc13955"/>
      <w:bookmarkStart w:id="17" w:name="_Toc62248809"/>
      <w:bookmarkStart w:id="18" w:name="_Toc13813"/>
      <w:bookmarkStart w:id="19" w:name="_Toc27259"/>
      <w:r>
        <w:rPr>
          <w:rFonts w:hint="eastAsia" w:eastAsia="黑体"/>
          <w:color w:val="auto"/>
          <w:kern w:val="0"/>
          <w:sz w:val="32"/>
          <w:szCs w:val="32"/>
          <w:highlight w:val="none"/>
        </w:rPr>
        <w:t>二、绩效自评工作组织情况</w:t>
      </w:r>
      <w:bookmarkEnd w:id="15"/>
    </w:p>
    <w:bookmarkEnd w:id="16"/>
    <w:bookmarkEnd w:id="17"/>
    <w:bookmarkEnd w:id="18"/>
    <w:bookmarkEnd w:id="19"/>
    <w:p>
      <w:pPr>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_GB2312" w:hAnsi="Times New Roman" w:eastAsia="仿宋_GB2312"/>
          <w:color w:val="auto"/>
          <w:sz w:val="32"/>
          <w:highlight w:val="none"/>
        </w:rPr>
      </w:pPr>
      <w:r>
        <w:rPr>
          <w:rFonts w:hint="eastAsia" w:ascii="仿宋_GB2312" w:hAnsi="Times New Roman" w:eastAsia="仿宋_GB2312"/>
          <w:color w:val="auto"/>
          <w:sz w:val="32"/>
          <w:highlight w:val="none"/>
        </w:rPr>
        <w:t>按照《广东省财政厅关于做好</w:t>
      </w:r>
      <w:r>
        <w:rPr>
          <w:rFonts w:hint="default" w:ascii="Times New Roman" w:hAnsi="Times New Roman" w:eastAsia="仿宋_GB2312" w:cs="Times New Roman"/>
          <w:color w:val="auto"/>
          <w:sz w:val="32"/>
          <w:highlight w:val="none"/>
        </w:rPr>
        <w:t>2023</w:t>
      </w:r>
      <w:r>
        <w:rPr>
          <w:rFonts w:hint="eastAsia" w:ascii="仿宋_GB2312" w:hAnsi="Times New Roman" w:eastAsia="仿宋_GB2312"/>
          <w:color w:val="auto"/>
          <w:sz w:val="32"/>
          <w:highlight w:val="none"/>
        </w:rPr>
        <w:t>年省级财政重点绩效评价工作的预通知》（粤财绩便〔</w:t>
      </w:r>
      <w:r>
        <w:rPr>
          <w:rFonts w:hint="default" w:ascii="Times New Roman" w:hAnsi="Times New Roman" w:eastAsia="仿宋_GB2312" w:cs="Times New Roman"/>
          <w:color w:val="auto"/>
          <w:sz w:val="32"/>
          <w:highlight w:val="none"/>
        </w:rPr>
        <w:t>2023</w:t>
      </w:r>
      <w:r>
        <w:rPr>
          <w:rFonts w:hint="eastAsia" w:ascii="仿宋_GB2312" w:hAnsi="Times New Roman" w:eastAsia="仿宋_GB2312"/>
          <w:color w:val="auto"/>
          <w:sz w:val="32"/>
          <w:highlight w:val="none"/>
        </w:rPr>
        <w:t>〕</w:t>
      </w:r>
      <w:r>
        <w:rPr>
          <w:rFonts w:hint="default" w:ascii="Times New Roman" w:hAnsi="Times New Roman" w:eastAsia="仿宋_GB2312" w:cs="Times New Roman"/>
          <w:color w:val="auto"/>
          <w:sz w:val="32"/>
          <w:highlight w:val="none"/>
        </w:rPr>
        <w:t>2</w:t>
      </w:r>
      <w:r>
        <w:rPr>
          <w:rFonts w:hint="eastAsia" w:ascii="仿宋_GB2312" w:hAnsi="Times New Roman" w:eastAsia="仿宋_GB2312"/>
          <w:color w:val="auto"/>
          <w:sz w:val="32"/>
          <w:highlight w:val="none"/>
        </w:rPr>
        <w:t>号）要求，我厅印发《</w:t>
      </w:r>
      <w:r>
        <w:rPr>
          <w:rFonts w:hint="eastAsia" w:ascii="仿宋_GB2312" w:hAnsi="Times New Roman" w:eastAsia="仿宋_GB2312" w:cstheme="minorBidi"/>
          <w:kern w:val="2"/>
          <w:sz w:val="32"/>
          <w:szCs w:val="24"/>
          <w:highlight w:val="none"/>
        </w:rPr>
        <w:t>广东省住房和城乡建设厅关于开展</w:t>
      </w:r>
      <w:r>
        <w:rPr>
          <w:rFonts w:hint="default" w:ascii="Times New Roman" w:hAnsi="Times New Roman" w:eastAsia="仿宋_GB2312" w:cs="Times New Roman"/>
          <w:kern w:val="2"/>
          <w:sz w:val="32"/>
          <w:szCs w:val="24"/>
          <w:highlight w:val="none"/>
        </w:rPr>
        <w:t>2022</w:t>
      </w:r>
      <w:r>
        <w:rPr>
          <w:rFonts w:hint="eastAsia" w:ascii="仿宋_GB2312" w:hAnsi="Times New Roman" w:eastAsia="仿宋_GB2312" w:cstheme="minorBidi"/>
          <w:kern w:val="2"/>
          <w:sz w:val="32"/>
          <w:szCs w:val="24"/>
        </w:rPr>
        <w:t>年省级保障性安居工程补助资金绩效评价工作的通知</w:t>
      </w:r>
      <w:r>
        <w:rPr>
          <w:rFonts w:hint="eastAsia" w:ascii="仿宋_GB2312" w:hAnsi="Times New Roman" w:eastAsia="仿宋_GB2312"/>
          <w:color w:val="auto"/>
          <w:sz w:val="32"/>
          <w:highlight w:val="none"/>
        </w:rPr>
        <w:t>》，组织开展了绩效自评工作，要求有关地市</w:t>
      </w:r>
      <w:r>
        <w:rPr>
          <w:rFonts w:hint="eastAsia" w:ascii="仿宋_GB2312" w:hAnsi="Times New Roman" w:eastAsia="仿宋_GB2312" w:cstheme="minorBidi"/>
          <w:color w:val="auto"/>
          <w:sz w:val="32"/>
          <w:highlight w:val="none"/>
        </w:rPr>
        <w:t>主管部门要高度重视，加强对县（市、区）的指导督导，严格按照要求落实相关工作内容，对资金使用情况开展绩效自评工作。</w:t>
      </w:r>
      <w:r>
        <w:rPr>
          <w:rFonts w:hint="eastAsia" w:ascii="仿宋_GB2312" w:hAnsi="Times New Roman" w:eastAsia="仿宋_GB2312"/>
          <w:color w:val="auto"/>
          <w:sz w:val="32"/>
          <w:highlight w:val="none"/>
        </w:rPr>
        <w:t>有关地市按要求</w:t>
      </w:r>
      <w:r>
        <w:rPr>
          <w:rFonts w:hint="eastAsia" w:ascii="仿宋_GB2312" w:hAnsi="Times New Roman" w:eastAsia="仿宋_GB2312" w:cstheme="minorBidi"/>
          <w:color w:val="auto"/>
          <w:sz w:val="32"/>
          <w:highlight w:val="none"/>
        </w:rPr>
        <w:t>开展绩效自评，</w:t>
      </w:r>
      <w:r>
        <w:rPr>
          <w:rFonts w:hint="eastAsia" w:ascii="仿宋_GB2312" w:hAnsi="Times New Roman" w:eastAsia="仿宋_GB2312"/>
          <w:color w:val="auto"/>
          <w:sz w:val="32"/>
          <w:highlight w:val="none"/>
        </w:rPr>
        <w:t>提交了自评报告、绩效目标自评表及佐证材料。根据对各地市自评材料的审核分析汇总情况，综合形成了</w:t>
      </w:r>
      <w:r>
        <w:rPr>
          <w:rFonts w:hint="eastAsia" w:ascii="仿宋_GB2312" w:hAnsi="Times New Roman" w:eastAsia="仿宋_GB2312"/>
          <w:color w:val="auto"/>
          <w:sz w:val="32"/>
          <w:highlight w:val="none"/>
          <w:lang w:eastAsia="zh-CN"/>
        </w:rPr>
        <w:t>本</w:t>
      </w:r>
      <w:r>
        <w:rPr>
          <w:rFonts w:hint="eastAsia" w:ascii="仿宋_GB2312" w:hAnsi="Times New Roman" w:eastAsia="仿宋_GB2312"/>
          <w:color w:val="auto"/>
          <w:sz w:val="32"/>
          <w:highlight w:val="none"/>
        </w:rPr>
        <w:t>绩效自评报告。</w:t>
      </w:r>
    </w:p>
    <w:p>
      <w:pPr>
        <w:keepNext/>
        <w:keepLines/>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eastAsia="黑体"/>
          <w:color w:val="auto"/>
          <w:kern w:val="0"/>
          <w:sz w:val="32"/>
          <w:szCs w:val="32"/>
          <w:highlight w:val="none"/>
        </w:rPr>
      </w:pPr>
      <w:bookmarkStart w:id="20" w:name="_Toc31936"/>
      <w:bookmarkStart w:id="21" w:name="_Toc5290"/>
      <w:bookmarkStart w:id="22" w:name="_Toc18563"/>
      <w:bookmarkStart w:id="23" w:name="_Toc21593"/>
      <w:r>
        <w:rPr>
          <w:rFonts w:hint="eastAsia" w:eastAsia="黑体"/>
          <w:color w:val="auto"/>
          <w:kern w:val="0"/>
          <w:sz w:val="32"/>
          <w:szCs w:val="32"/>
          <w:highlight w:val="none"/>
        </w:rPr>
        <w:t>三、绩效自评结论</w:t>
      </w:r>
      <w:bookmarkEnd w:id="20"/>
      <w:bookmarkEnd w:id="21"/>
      <w:bookmarkEnd w:id="22"/>
      <w:bookmarkEnd w:id="23"/>
    </w:p>
    <w:p>
      <w:pPr>
        <w:pStyle w:val="16"/>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eastAsia" w:ascii="仿宋_GB2312" w:hAnsi="Times New Roman" w:eastAsia="仿宋_GB2312" w:cstheme="minorBidi"/>
          <w:color w:val="auto"/>
          <w:sz w:val="32"/>
          <w:highlight w:val="none"/>
        </w:rPr>
      </w:pPr>
      <w:bookmarkStart w:id="24" w:name="_Toc23351"/>
      <w:bookmarkStart w:id="25" w:name="_Toc2889"/>
      <w:r>
        <w:rPr>
          <w:rFonts w:hint="eastAsia" w:ascii="仿宋_GB2312" w:hAnsi="Times New Roman" w:eastAsia="仿宋_GB2312" w:cstheme="minorBidi"/>
          <w:color w:val="auto"/>
          <w:sz w:val="32"/>
          <w:highlight w:val="none"/>
        </w:rPr>
        <w:t>根据</w:t>
      </w:r>
      <w:r>
        <w:rPr>
          <w:rFonts w:hint="eastAsia" w:ascii="仿宋_GB2312" w:hAnsi="Times New Roman" w:eastAsia="仿宋_GB2312" w:cstheme="minorBidi"/>
          <w:sz w:val="32"/>
          <w:lang w:val="en-US" w:eastAsia="zh-CN"/>
        </w:rPr>
        <w:t>对</w:t>
      </w:r>
      <w:r>
        <w:rPr>
          <w:rFonts w:hint="eastAsia" w:ascii="仿宋_GB2312" w:hAnsi="Times New Roman" w:eastAsia="仿宋_GB2312"/>
          <w:color w:val="auto"/>
          <w:sz w:val="32"/>
          <w:highlight w:val="none"/>
        </w:rPr>
        <w:t>有关市县</w:t>
      </w:r>
      <w:r>
        <w:rPr>
          <w:rFonts w:hint="eastAsia" w:ascii="仿宋_GB2312" w:hAnsi="Times New Roman" w:eastAsia="仿宋_GB2312" w:cstheme="minorBidi"/>
          <w:color w:val="auto"/>
          <w:sz w:val="32"/>
          <w:highlight w:val="none"/>
        </w:rPr>
        <w:t>自评</w:t>
      </w:r>
      <w:r>
        <w:rPr>
          <w:rFonts w:hint="eastAsia" w:ascii="仿宋_GB2312" w:hAnsi="Times New Roman" w:eastAsia="仿宋_GB2312"/>
          <w:color w:val="auto"/>
          <w:sz w:val="32"/>
          <w:highlight w:val="none"/>
        </w:rPr>
        <w:t>材料的审核分析汇总，依据既定的评价指标体系和评分标准，</w:t>
      </w:r>
      <w:r>
        <w:rPr>
          <w:rFonts w:hint="default" w:ascii="Times New Roman" w:hAnsi="Times New Roman" w:eastAsia="仿宋_GB2312" w:cs="Times New Roman"/>
          <w:color w:val="auto"/>
          <w:sz w:val="32"/>
          <w:highlight w:val="none"/>
        </w:rPr>
        <w:t>2022</w:t>
      </w:r>
      <w:r>
        <w:rPr>
          <w:rFonts w:hint="eastAsia" w:ascii="仿宋_GB2312" w:hAnsi="Times New Roman" w:eastAsia="仿宋_GB2312"/>
          <w:color w:val="auto"/>
          <w:sz w:val="32"/>
          <w:highlight w:val="none"/>
        </w:rPr>
        <w:t>年</w:t>
      </w:r>
      <w:r>
        <w:rPr>
          <w:rFonts w:hint="eastAsia" w:ascii="仿宋_GB2312" w:hAnsi="Times New Roman" w:eastAsia="仿宋_GB2312"/>
          <w:color w:val="auto"/>
          <w:sz w:val="32"/>
          <w:highlight w:val="none"/>
          <w:lang w:val="en-US" w:eastAsia="zh-CN"/>
        </w:rPr>
        <w:t>保障性安居工程</w:t>
      </w:r>
      <w:r>
        <w:rPr>
          <w:rFonts w:hint="eastAsia" w:ascii="仿宋_GB2312" w:hAnsi="Times New Roman" w:eastAsia="仿宋_GB2312"/>
          <w:color w:val="auto"/>
          <w:sz w:val="32"/>
          <w:highlight w:val="none"/>
          <w:lang w:eastAsia="zh-CN"/>
        </w:rPr>
        <w:t>专项</w:t>
      </w:r>
      <w:r>
        <w:rPr>
          <w:rFonts w:hint="eastAsia" w:ascii="仿宋_GB2312" w:hAnsi="Times New Roman" w:eastAsia="仿宋_GB2312"/>
          <w:color w:val="auto"/>
          <w:sz w:val="32"/>
          <w:highlight w:val="none"/>
        </w:rPr>
        <w:t>补助</w:t>
      </w:r>
      <w:r>
        <w:rPr>
          <w:rFonts w:hint="eastAsia" w:ascii="仿宋_GB2312" w:hAnsi="Times New Roman" w:eastAsia="仿宋_GB2312"/>
          <w:color w:val="auto"/>
          <w:sz w:val="32"/>
          <w:highlight w:val="none"/>
          <w:lang w:eastAsia="zh-CN"/>
        </w:rPr>
        <w:t>资金</w:t>
      </w:r>
      <w:r>
        <w:rPr>
          <w:rFonts w:hint="eastAsia" w:ascii="仿宋_GB2312" w:hAnsi="Times New Roman" w:eastAsia="仿宋_GB2312"/>
          <w:color w:val="auto"/>
          <w:sz w:val="32"/>
          <w:highlight w:val="none"/>
        </w:rPr>
        <w:t>绩效自评得分</w:t>
      </w:r>
      <w:r>
        <w:rPr>
          <w:rFonts w:hint="eastAsia" w:ascii="仿宋_GB2312" w:hAnsi="Times New Roman" w:eastAsia="仿宋_GB2312"/>
          <w:color w:val="auto"/>
          <w:sz w:val="32"/>
          <w:szCs w:val="24"/>
          <w:highlight w:val="none"/>
        </w:rPr>
        <w:t>为</w:t>
      </w:r>
      <w:r>
        <w:rPr>
          <w:rFonts w:hint="default" w:ascii="Times New Roman" w:hAnsi="Times New Roman" w:eastAsia="仿宋_GB2312" w:cs="Times New Roman"/>
          <w:sz w:val="32"/>
          <w:szCs w:val="24"/>
          <w:lang w:val="en-US" w:eastAsia="zh-CN"/>
        </w:rPr>
        <w:t>99</w:t>
      </w:r>
      <w:r>
        <w:rPr>
          <w:rFonts w:hint="eastAsia" w:ascii="仿宋_GB2312" w:hAnsi="Times New Roman" w:eastAsia="仿宋_GB2312"/>
          <w:sz w:val="32"/>
          <w:szCs w:val="24"/>
          <w:lang w:val="en-US" w:eastAsia="zh-CN"/>
        </w:rPr>
        <w:t>.</w:t>
      </w:r>
      <w:r>
        <w:rPr>
          <w:rFonts w:hint="eastAsia" w:ascii="Times New Roman" w:hAnsi="Times New Roman" w:eastAsia="仿宋_GB2312" w:cs="Times New Roman"/>
          <w:sz w:val="32"/>
          <w:szCs w:val="24"/>
          <w:lang w:val="en-US" w:eastAsia="zh-CN"/>
        </w:rPr>
        <w:t>61</w:t>
      </w:r>
      <w:r>
        <w:rPr>
          <w:rFonts w:hint="eastAsia" w:ascii="仿宋_GB2312" w:hAnsi="Times New Roman" w:eastAsia="仿宋_GB2312"/>
          <w:color w:val="auto"/>
          <w:sz w:val="32"/>
          <w:highlight w:val="none"/>
        </w:rPr>
        <w:t>分，绩效等级为“优</w:t>
      </w:r>
      <w:r>
        <w:rPr>
          <w:rFonts w:hint="eastAsia" w:ascii="仿宋_GB2312" w:hAnsi="Times New Roman" w:eastAsia="仿宋_GB2312"/>
          <w:color w:val="auto"/>
          <w:sz w:val="32"/>
          <w:szCs w:val="24"/>
          <w:highlight w:val="none"/>
        </w:rPr>
        <w:t>”（一级指标评价得分情况见表</w:t>
      </w:r>
      <w:r>
        <w:rPr>
          <w:rFonts w:hint="default" w:ascii="Times New Roman" w:hAnsi="Times New Roman" w:eastAsia="仿宋_GB2312" w:cs="Times New Roman"/>
          <w:color w:val="auto"/>
          <w:sz w:val="32"/>
          <w:szCs w:val="24"/>
          <w:highlight w:val="none"/>
        </w:rPr>
        <w:t>3</w:t>
      </w:r>
      <w:r>
        <w:rPr>
          <w:rFonts w:hint="eastAsia" w:ascii="仿宋_GB2312" w:hAnsi="Times New Roman" w:eastAsia="仿宋_GB2312"/>
          <w:color w:val="auto"/>
          <w:sz w:val="32"/>
          <w:szCs w:val="24"/>
          <w:highlight w:val="none"/>
        </w:rPr>
        <w:t>-</w:t>
      </w:r>
      <w:r>
        <w:rPr>
          <w:rFonts w:hint="default" w:ascii="Times New Roman" w:hAnsi="Times New Roman" w:eastAsia="仿宋_GB2312" w:cs="Times New Roman"/>
          <w:color w:val="auto"/>
          <w:sz w:val="32"/>
          <w:szCs w:val="24"/>
          <w:highlight w:val="none"/>
        </w:rPr>
        <w:t>1</w:t>
      </w:r>
      <w:r>
        <w:rPr>
          <w:rFonts w:hint="eastAsia" w:ascii="仿宋_GB2312" w:hAnsi="Times New Roman" w:eastAsia="仿宋_GB2312"/>
          <w:color w:val="auto"/>
          <w:sz w:val="32"/>
          <w:szCs w:val="24"/>
          <w:highlight w:val="none"/>
        </w:rPr>
        <w:t>，三级指标评价得分情况见图</w:t>
      </w:r>
      <w:r>
        <w:rPr>
          <w:rFonts w:hint="default" w:ascii="Times New Roman" w:hAnsi="Times New Roman" w:eastAsia="仿宋_GB2312" w:cs="Times New Roman"/>
          <w:color w:val="auto"/>
          <w:sz w:val="32"/>
          <w:szCs w:val="24"/>
          <w:highlight w:val="none"/>
        </w:rPr>
        <w:t>3</w:t>
      </w:r>
      <w:r>
        <w:rPr>
          <w:rFonts w:hint="eastAsia" w:ascii="仿宋_GB2312" w:hAnsi="Times New Roman" w:eastAsia="仿宋_GB2312"/>
          <w:color w:val="auto"/>
          <w:sz w:val="32"/>
          <w:szCs w:val="24"/>
          <w:highlight w:val="none"/>
        </w:rPr>
        <w:t>-</w:t>
      </w:r>
      <w:r>
        <w:rPr>
          <w:rFonts w:hint="default" w:ascii="Times New Roman" w:hAnsi="Times New Roman" w:eastAsia="仿宋_GB2312" w:cs="Times New Roman"/>
          <w:color w:val="auto"/>
          <w:sz w:val="32"/>
          <w:szCs w:val="24"/>
          <w:highlight w:val="none"/>
        </w:rPr>
        <w:t>1</w:t>
      </w:r>
      <w:r>
        <w:rPr>
          <w:rFonts w:hint="eastAsia" w:ascii="仿宋_GB2312" w:hAnsi="Times New Roman" w:eastAsia="仿宋_GB2312"/>
          <w:color w:val="auto"/>
          <w:sz w:val="32"/>
          <w:szCs w:val="24"/>
          <w:highlight w:val="none"/>
          <w:lang w:eastAsia="zh-CN"/>
        </w:rPr>
        <w:t>，四级指标</w:t>
      </w:r>
      <w:r>
        <w:rPr>
          <w:rFonts w:hint="eastAsia" w:ascii="仿宋_GB2312" w:hAnsi="Times New Roman" w:eastAsia="仿宋_GB2312"/>
          <w:color w:val="auto"/>
          <w:sz w:val="32"/>
          <w:szCs w:val="24"/>
          <w:highlight w:val="none"/>
        </w:rPr>
        <w:t>评价得分情况</w:t>
      </w:r>
      <w:r>
        <w:rPr>
          <w:rFonts w:hint="eastAsia" w:ascii="仿宋_GB2312" w:hAnsi="Times New Roman" w:eastAsia="仿宋_GB2312"/>
          <w:color w:val="auto"/>
          <w:sz w:val="32"/>
          <w:szCs w:val="24"/>
          <w:highlight w:val="none"/>
          <w:lang w:eastAsia="zh-CN"/>
        </w:rPr>
        <w:t>详见项目绩效自评指标评分表</w:t>
      </w:r>
      <w:r>
        <w:rPr>
          <w:rFonts w:hint="eastAsia" w:ascii="仿宋_GB2312" w:hAnsi="Times New Roman" w:eastAsia="仿宋_GB2312"/>
          <w:color w:val="auto"/>
          <w:sz w:val="32"/>
          <w:highlight w:val="none"/>
        </w:rPr>
        <w:t>）</w:t>
      </w:r>
      <w:r>
        <w:rPr>
          <w:rFonts w:hint="eastAsia" w:ascii="仿宋_GB2312" w:hAnsi="Times New Roman" w:eastAsia="仿宋_GB2312" w:cstheme="minorBidi"/>
          <w:color w:val="auto"/>
          <w:sz w:val="32"/>
          <w:highlight w:val="none"/>
        </w:rPr>
        <w:t>。</w:t>
      </w:r>
      <w:bookmarkEnd w:id="24"/>
      <w:bookmarkEnd w:id="25"/>
    </w:p>
    <w:p>
      <w:pPr>
        <w:rPr>
          <w:rFonts w:hint="eastAsia"/>
        </w:rPr>
      </w:pPr>
    </w:p>
    <w:p>
      <w:pPr>
        <w:pStyle w:val="16"/>
        <w:pageBreakBefore w:val="0"/>
        <w:widowControl w:val="0"/>
        <w:kinsoku/>
        <w:wordWrap/>
        <w:overflowPunct/>
        <w:topLinePunct w:val="0"/>
        <w:autoSpaceDE/>
        <w:autoSpaceDN/>
        <w:bidi w:val="0"/>
        <w:adjustRightInd/>
        <w:spacing w:before="0" w:after="0" w:line="240" w:lineRule="auto"/>
        <w:ind w:firstLine="560" w:firstLineChars="200"/>
        <w:jc w:val="center"/>
        <w:textAlignment w:val="auto"/>
        <w:outlineLvl w:val="1"/>
        <w:rPr>
          <w:rFonts w:ascii="黑体" w:hAnsi="黑体" w:eastAsia="黑体" w:cs="黑体"/>
          <w:color w:val="auto"/>
          <w:sz w:val="28"/>
          <w:szCs w:val="28"/>
          <w:highlight w:val="none"/>
        </w:rPr>
      </w:pPr>
      <w:bookmarkStart w:id="26" w:name="_Toc10579"/>
      <w:bookmarkStart w:id="27" w:name="_Toc6642"/>
      <w:r>
        <w:rPr>
          <w:rFonts w:hint="eastAsia" w:ascii="黑体" w:hAnsi="黑体" w:eastAsia="黑体" w:cs="黑体"/>
          <w:color w:val="auto"/>
          <w:sz w:val="28"/>
          <w:szCs w:val="28"/>
          <w:highlight w:val="none"/>
        </w:rPr>
        <w:t>表</w:t>
      </w:r>
      <w:r>
        <w:rPr>
          <w:rFonts w:hint="default" w:ascii="Times New Roman" w:hAnsi="Times New Roman" w:eastAsia="黑体" w:cs="Times New Roman"/>
          <w:color w:val="auto"/>
          <w:sz w:val="28"/>
          <w:szCs w:val="28"/>
          <w:highlight w:val="none"/>
        </w:rPr>
        <w:t>3</w:t>
      </w:r>
      <w:r>
        <w:rPr>
          <w:rFonts w:hint="eastAsia" w:ascii="黑体" w:hAnsi="黑体" w:eastAsia="黑体" w:cs="黑体"/>
          <w:color w:val="auto"/>
          <w:sz w:val="28"/>
          <w:szCs w:val="28"/>
          <w:highlight w:val="none"/>
        </w:rPr>
        <w:t>-</w:t>
      </w:r>
      <w:r>
        <w:rPr>
          <w:rFonts w:hint="default" w:ascii="Times New Roman" w:hAnsi="Times New Roman" w:eastAsia="黑体" w:cs="Times New Roman"/>
          <w:color w:val="auto"/>
          <w:sz w:val="28"/>
          <w:szCs w:val="28"/>
          <w:highlight w:val="none"/>
        </w:rPr>
        <w:t>1</w:t>
      </w:r>
      <w:r>
        <w:rPr>
          <w:rFonts w:hint="eastAsia" w:ascii="黑体" w:hAnsi="黑体" w:eastAsia="黑体" w:cs="黑体"/>
          <w:color w:val="auto"/>
          <w:sz w:val="28"/>
          <w:szCs w:val="28"/>
          <w:highlight w:val="none"/>
        </w:rPr>
        <w:t xml:space="preserve"> 一级指标评价得分情况表</w:t>
      </w:r>
      <w:bookmarkEnd w:id="26"/>
      <w:bookmarkEnd w:id="27"/>
    </w:p>
    <w:tbl>
      <w:tblPr>
        <w:tblStyle w:val="18"/>
        <w:tblW w:w="867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1777"/>
        <w:gridCol w:w="1998"/>
        <w:gridCol w:w="20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904" w:type="dxa"/>
            <w:tcBorders>
              <w:lef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一级指标（评价因素）</w:t>
            </w:r>
          </w:p>
        </w:tc>
        <w:tc>
          <w:tcPr>
            <w:tcW w:w="1777" w:type="dxa"/>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分值</w:t>
            </w:r>
          </w:p>
        </w:tc>
        <w:tc>
          <w:tcPr>
            <w:tcW w:w="1998" w:type="dxa"/>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w:t>
            </w:r>
          </w:p>
        </w:tc>
        <w:tc>
          <w:tcPr>
            <w:tcW w:w="2000" w:type="dxa"/>
            <w:tcBorders>
              <w:righ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904" w:type="dxa"/>
            <w:tcBorders>
              <w:lef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总得分</w:t>
            </w:r>
          </w:p>
        </w:tc>
        <w:tc>
          <w:tcPr>
            <w:tcW w:w="1777" w:type="dxa"/>
            <w:vAlign w:val="center"/>
          </w:tcPr>
          <w:p>
            <w:pPr>
              <w:widowControl/>
              <w:spacing w:beforeLines="0"/>
              <w:jc w:val="center"/>
              <w:rPr>
                <w:rFonts w:hint="eastAsia" w:ascii="仿宋_GB2312" w:hAnsi="仿宋_GB2312" w:eastAsia="仿宋_GB2312" w:cs="仿宋_GB2312"/>
                <w:color w:val="auto"/>
                <w:sz w:val="24"/>
                <w:highlight w:val="none"/>
              </w:rPr>
            </w:pPr>
            <w:r>
              <w:rPr>
                <w:rFonts w:hint="default" w:ascii="Times New Roman" w:hAnsi="Times New Roman" w:eastAsia="仿宋_GB2312" w:cs="Times New Roman"/>
                <w:color w:val="auto"/>
                <w:sz w:val="24"/>
                <w:highlight w:val="none"/>
              </w:rPr>
              <w:t>100</w:t>
            </w:r>
          </w:p>
        </w:tc>
        <w:tc>
          <w:tcPr>
            <w:tcW w:w="1998" w:type="dxa"/>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99</w:t>
            </w:r>
            <w:r>
              <w:rPr>
                <w:rFonts w:hint="eastAsia" w:ascii="Times New Roman" w:hAnsi="Times New Roman" w:eastAsia="仿宋_GB2312" w:cs="Times New Roman"/>
                <w:color w:val="auto"/>
                <w:sz w:val="24"/>
                <w:highlight w:val="none"/>
                <w:lang w:val="en-US" w:eastAsia="zh-CN"/>
              </w:rPr>
              <w:t>.61</w:t>
            </w:r>
          </w:p>
        </w:tc>
        <w:tc>
          <w:tcPr>
            <w:tcW w:w="2000" w:type="dxa"/>
            <w:tcBorders>
              <w:right w:val="single" w:color="auto" w:sz="4" w:space="0"/>
            </w:tcBorders>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99</w:t>
            </w:r>
            <w:r>
              <w:rPr>
                <w:rFonts w:hint="eastAsia" w:ascii="仿宋_GB2312" w:hAnsi="仿宋_GB2312" w:eastAsia="仿宋_GB2312" w:cs="仿宋_GB2312"/>
                <w:color w:val="auto"/>
                <w:sz w:val="24"/>
                <w:highlight w:val="none"/>
                <w:lang w:val="en-US" w:eastAsia="zh-CN"/>
              </w:rPr>
              <w:t>.</w:t>
            </w:r>
            <w:r>
              <w:rPr>
                <w:rFonts w:hint="eastAsia" w:ascii="Times New Roman" w:hAnsi="Times New Roman" w:eastAsia="仿宋_GB2312" w:cs="Times New Roman"/>
                <w:color w:val="auto"/>
                <w:sz w:val="24"/>
                <w:highlight w:val="none"/>
                <w:lang w:val="en-US" w:eastAsia="zh-CN"/>
              </w:rPr>
              <w:t>61</w:t>
            </w:r>
            <w:r>
              <w:rPr>
                <w:rFonts w:hint="eastAsia" w:ascii="仿宋_GB2312" w:hAnsi="仿宋_GB2312" w:eastAsia="仿宋_GB2312" w:cs="仿宋_GB2312"/>
                <w:color w:val="auto"/>
                <w:sz w:val="24"/>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904" w:type="dxa"/>
            <w:tcBorders>
              <w:lef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决策</w:t>
            </w:r>
          </w:p>
        </w:tc>
        <w:tc>
          <w:tcPr>
            <w:tcW w:w="1777" w:type="dxa"/>
            <w:vAlign w:val="center"/>
          </w:tcPr>
          <w:p>
            <w:pPr>
              <w:widowControl/>
              <w:spacing w:beforeLines="0"/>
              <w:jc w:val="center"/>
              <w:textAlignment w:val="center"/>
              <w:rPr>
                <w:rFonts w:hint="eastAsia" w:ascii="仿宋_GB2312" w:hAnsi="仿宋_GB2312" w:eastAsia="仿宋_GB2312" w:cs="仿宋_GB2312"/>
                <w:color w:val="auto"/>
                <w:sz w:val="24"/>
                <w:highlight w:val="none"/>
              </w:rPr>
            </w:pPr>
            <w:r>
              <w:rPr>
                <w:rFonts w:hint="default" w:ascii="Times New Roman" w:hAnsi="Times New Roman" w:eastAsia="仿宋_GB2312" w:cs="Times New Roman"/>
                <w:color w:val="auto"/>
                <w:kern w:val="0"/>
                <w:sz w:val="24"/>
                <w:highlight w:val="none"/>
                <w:lang w:bidi="ar"/>
              </w:rPr>
              <w:t>20</w:t>
            </w:r>
          </w:p>
        </w:tc>
        <w:tc>
          <w:tcPr>
            <w:tcW w:w="1998" w:type="dxa"/>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20</w:t>
            </w:r>
            <w:r>
              <w:rPr>
                <w:rFonts w:hint="eastAsia" w:ascii="仿宋_GB2312" w:hAnsi="仿宋_GB2312" w:eastAsia="仿宋_GB2312" w:cs="仿宋_GB2312"/>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00</w:t>
            </w:r>
          </w:p>
        </w:tc>
        <w:tc>
          <w:tcPr>
            <w:tcW w:w="2000" w:type="dxa"/>
            <w:tcBorders>
              <w:right w:val="single" w:color="auto" w:sz="4" w:space="0"/>
            </w:tcBorders>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100</w:t>
            </w:r>
            <w:r>
              <w:rPr>
                <w:rFonts w:hint="eastAsia" w:ascii="仿宋_GB2312" w:hAnsi="仿宋_GB2312" w:eastAsia="仿宋_GB2312" w:cs="仿宋_GB2312"/>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00</w:t>
            </w:r>
            <w:r>
              <w:rPr>
                <w:rFonts w:hint="eastAsia" w:ascii="仿宋_GB2312" w:hAnsi="仿宋_GB2312" w:eastAsia="仿宋_GB2312" w:cs="仿宋_GB2312"/>
                <w:color w:val="auto"/>
                <w:sz w:val="24"/>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904" w:type="dxa"/>
            <w:tcBorders>
              <w:lef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过程</w:t>
            </w:r>
          </w:p>
        </w:tc>
        <w:tc>
          <w:tcPr>
            <w:tcW w:w="1777" w:type="dxa"/>
            <w:vAlign w:val="center"/>
          </w:tcPr>
          <w:p>
            <w:pPr>
              <w:widowControl/>
              <w:spacing w:beforeLines="0"/>
              <w:jc w:val="center"/>
              <w:textAlignment w:val="center"/>
              <w:rPr>
                <w:rFonts w:hint="eastAsia" w:ascii="仿宋_GB2312" w:hAnsi="仿宋_GB2312" w:eastAsia="仿宋_GB2312" w:cs="仿宋_GB2312"/>
                <w:color w:val="auto"/>
                <w:sz w:val="24"/>
                <w:highlight w:val="none"/>
              </w:rPr>
            </w:pPr>
            <w:r>
              <w:rPr>
                <w:rFonts w:hint="default" w:ascii="Times New Roman" w:hAnsi="Times New Roman" w:eastAsia="仿宋_GB2312" w:cs="Times New Roman"/>
                <w:color w:val="auto"/>
                <w:kern w:val="0"/>
                <w:sz w:val="24"/>
                <w:highlight w:val="none"/>
                <w:lang w:bidi="ar"/>
              </w:rPr>
              <w:t>20</w:t>
            </w:r>
          </w:p>
        </w:tc>
        <w:tc>
          <w:tcPr>
            <w:tcW w:w="1998" w:type="dxa"/>
            <w:vAlign w:val="center"/>
          </w:tcPr>
          <w:p>
            <w:pPr>
              <w:widowControl/>
              <w:spacing w:beforeLines="0"/>
              <w:jc w:val="center"/>
              <w:textAlignment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19</w:t>
            </w:r>
            <w:r>
              <w:rPr>
                <w:rFonts w:hint="eastAsia" w:ascii="仿宋_GB2312" w:hAnsi="仿宋_GB2312" w:eastAsia="仿宋_GB2312" w:cs="仿宋_GB2312"/>
                <w:color w:val="auto"/>
                <w:sz w:val="24"/>
                <w:highlight w:val="none"/>
                <w:lang w:val="en-US" w:eastAsia="zh-CN"/>
              </w:rPr>
              <w:t>.</w:t>
            </w:r>
            <w:r>
              <w:rPr>
                <w:rFonts w:hint="eastAsia" w:ascii="Times New Roman" w:hAnsi="Times New Roman" w:eastAsia="仿宋_GB2312" w:cs="Times New Roman"/>
                <w:color w:val="auto"/>
                <w:sz w:val="24"/>
                <w:highlight w:val="none"/>
                <w:lang w:val="en-US" w:eastAsia="zh-CN"/>
              </w:rPr>
              <w:t>61</w:t>
            </w:r>
          </w:p>
        </w:tc>
        <w:tc>
          <w:tcPr>
            <w:tcW w:w="2000" w:type="dxa"/>
            <w:tcBorders>
              <w:right w:val="single" w:color="auto" w:sz="4" w:space="0"/>
            </w:tcBorders>
            <w:vAlign w:val="center"/>
          </w:tcPr>
          <w:p>
            <w:pPr>
              <w:widowControl/>
              <w:spacing w:beforeLines="0"/>
              <w:jc w:val="center"/>
              <w:textAlignment w:val="center"/>
              <w:rPr>
                <w:rFonts w:hint="default" w:ascii="仿宋_GB2312" w:hAnsi="仿宋_GB2312" w:eastAsia="仿宋_GB2312" w:cs="仿宋_GB2312"/>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9</w:t>
            </w:r>
            <w:r>
              <w:rPr>
                <w:rFonts w:hint="eastAsia" w:ascii="Times New Roman" w:hAnsi="Times New Roman" w:eastAsia="仿宋_GB2312" w:cs="Times New Roman"/>
                <w:color w:val="auto"/>
                <w:kern w:val="0"/>
                <w:sz w:val="24"/>
                <w:highlight w:val="none"/>
                <w:lang w:val="en-US" w:eastAsia="zh-CN" w:bidi="ar"/>
              </w:rPr>
              <w:t>8.07</w:t>
            </w:r>
            <w:r>
              <w:rPr>
                <w:rFonts w:hint="eastAsia" w:ascii="仿宋_GB2312" w:hAnsi="仿宋_GB2312" w:eastAsia="仿宋_GB2312" w:cs="仿宋_GB2312"/>
                <w:color w:val="auto"/>
                <w:kern w:val="0"/>
                <w:sz w:val="24"/>
                <w:highlight w:val="none"/>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04" w:type="dxa"/>
            <w:tcBorders>
              <w:left w:val="single" w:color="auto" w:sz="4" w:space="0"/>
            </w:tcBorders>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产出</w:t>
            </w:r>
          </w:p>
        </w:tc>
        <w:tc>
          <w:tcPr>
            <w:tcW w:w="1777" w:type="dxa"/>
            <w:vAlign w:val="center"/>
          </w:tcPr>
          <w:p>
            <w:pPr>
              <w:widowControl/>
              <w:spacing w:beforeLines="0"/>
              <w:jc w:val="center"/>
              <w:textAlignment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35</w:t>
            </w:r>
          </w:p>
        </w:tc>
        <w:tc>
          <w:tcPr>
            <w:tcW w:w="1998" w:type="dxa"/>
            <w:vAlign w:val="center"/>
          </w:tcPr>
          <w:p>
            <w:pPr>
              <w:widowControl/>
              <w:spacing w:beforeLines="0"/>
              <w:jc w:val="center"/>
              <w:textAlignment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w:t>
            </w:r>
            <w:r>
              <w:rPr>
                <w:rFonts w:hint="eastAsia" w:ascii="Times New Roman" w:hAnsi="Times New Roman" w:eastAsia="仿宋_GB2312" w:cs="Times New Roman"/>
                <w:color w:val="auto"/>
                <w:sz w:val="24"/>
                <w:highlight w:val="none"/>
                <w:lang w:val="en-US" w:eastAsia="zh-CN"/>
              </w:rPr>
              <w:t>5</w:t>
            </w:r>
            <w:r>
              <w:rPr>
                <w:rFonts w:hint="eastAsia" w:ascii="仿宋_GB2312" w:hAnsi="仿宋_GB2312" w:eastAsia="仿宋_GB2312" w:cs="仿宋_GB2312"/>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00</w:t>
            </w:r>
          </w:p>
        </w:tc>
        <w:tc>
          <w:tcPr>
            <w:tcW w:w="2000" w:type="dxa"/>
            <w:tcBorders>
              <w:right w:val="single" w:color="auto" w:sz="4" w:space="0"/>
            </w:tcBorders>
            <w:vAlign w:val="center"/>
          </w:tcPr>
          <w:p>
            <w:pPr>
              <w:widowControl/>
              <w:spacing w:beforeLines="0"/>
              <w:jc w:val="center"/>
              <w:textAlignment w:val="center"/>
              <w:rPr>
                <w:rFonts w:hint="default" w:ascii="仿宋_GB2312" w:hAnsi="仿宋_GB2312" w:eastAsia="仿宋_GB2312" w:cs="仿宋_GB2312"/>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100</w:t>
            </w:r>
            <w:r>
              <w:rPr>
                <w:rFonts w:hint="eastAsia" w:ascii="仿宋_GB2312" w:hAnsi="仿宋_GB2312" w:eastAsia="仿宋_GB2312" w:cs="仿宋_GB2312"/>
                <w:color w:val="auto"/>
                <w:kern w:val="0"/>
                <w:sz w:val="24"/>
                <w:highlight w:val="none"/>
                <w:lang w:val="en-US" w:eastAsia="zh-CN" w:bidi="ar"/>
              </w:rPr>
              <w:t>.</w:t>
            </w:r>
            <w:r>
              <w:rPr>
                <w:rFonts w:hint="default" w:ascii="Times New Roman" w:hAnsi="Times New Roman" w:eastAsia="仿宋_GB2312" w:cs="Times New Roman"/>
                <w:color w:val="auto"/>
                <w:kern w:val="0"/>
                <w:sz w:val="24"/>
                <w:highlight w:val="none"/>
                <w:lang w:val="en-US" w:eastAsia="zh-CN" w:bidi="ar"/>
              </w:rPr>
              <w:t>00</w:t>
            </w:r>
            <w:r>
              <w:rPr>
                <w:rFonts w:hint="eastAsia" w:ascii="仿宋_GB2312" w:hAnsi="仿宋_GB2312" w:eastAsia="仿宋_GB2312" w:cs="仿宋_GB2312"/>
                <w:color w:val="auto"/>
                <w:kern w:val="0"/>
                <w:sz w:val="24"/>
                <w:highlight w:val="none"/>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04" w:type="dxa"/>
            <w:tcBorders>
              <w:left w:val="single" w:color="auto" w:sz="4" w:space="0"/>
            </w:tcBorders>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效益</w:t>
            </w:r>
          </w:p>
        </w:tc>
        <w:tc>
          <w:tcPr>
            <w:tcW w:w="1777" w:type="dxa"/>
            <w:vAlign w:val="center"/>
          </w:tcPr>
          <w:p>
            <w:pPr>
              <w:widowControl/>
              <w:spacing w:beforeLines="0"/>
              <w:jc w:val="center"/>
              <w:textAlignment w:val="center"/>
              <w:rPr>
                <w:rFonts w:hint="default" w:ascii="仿宋_GB2312" w:hAnsi="仿宋_GB2312" w:eastAsia="仿宋_GB2312" w:cs="仿宋_GB2312"/>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25</w:t>
            </w:r>
          </w:p>
        </w:tc>
        <w:tc>
          <w:tcPr>
            <w:tcW w:w="1998" w:type="dxa"/>
            <w:vAlign w:val="center"/>
          </w:tcPr>
          <w:p>
            <w:pPr>
              <w:widowControl/>
              <w:spacing w:beforeLines="0"/>
              <w:jc w:val="center"/>
              <w:textAlignment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25</w:t>
            </w:r>
            <w:r>
              <w:rPr>
                <w:rFonts w:hint="eastAsia" w:ascii="仿宋_GB2312" w:hAnsi="仿宋_GB2312" w:eastAsia="仿宋_GB2312" w:cs="仿宋_GB2312"/>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00</w:t>
            </w:r>
          </w:p>
        </w:tc>
        <w:tc>
          <w:tcPr>
            <w:tcW w:w="2000" w:type="dxa"/>
            <w:tcBorders>
              <w:right w:val="single" w:color="auto" w:sz="4" w:space="0"/>
            </w:tcBorders>
            <w:vAlign w:val="center"/>
          </w:tcPr>
          <w:p>
            <w:pPr>
              <w:widowControl/>
              <w:spacing w:beforeLines="0"/>
              <w:jc w:val="center"/>
              <w:textAlignment w:val="center"/>
              <w:rPr>
                <w:rFonts w:hint="default" w:ascii="仿宋_GB2312" w:hAnsi="仿宋_GB2312" w:eastAsia="仿宋_GB2312" w:cs="仿宋_GB2312"/>
                <w:color w:val="auto"/>
                <w:kern w:val="0"/>
                <w:sz w:val="24"/>
                <w:highlight w:val="none"/>
                <w:lang w:val="en-US" w:eastAsia="zh-CN" w:bidi="ar"/>
              </w:rPr>
            </w:pPr>
            <w:r>
              <w:rPr>
                <w:rFonts w:hint="default" w:ascii="Times New Roman" w:hAnsi="Times New Roman" w:eastAsia="仿宋_GB2312" w:cs="Times New Roman"/>
                <w:color w:val="auto"/>
                <w:kern w:val="0"/>
                <w:sz w:val="24"/>
                <w:highlight w:val="none"/>
                <w:lang w:val="en-US" w:eastAsia="zh-CN" w:bidi="ar"/>
              </w:rPr>
              <w:t>100</w:t>
            </w:r>
            <w:r>
              <w:rPr>
                <w:rFonts w:hint="eastAsia" w:ascii="仿宋_GB2312" w:hAnsi="仿宋_GB2312" w:eastAsia="仿宋_GB2312" w:cs="仿宋_GB2312"/>
                <w:color w:val="auto"/>
                <w:kern w:val="0"/>
                <w:sz w:val="24"/>
                <w:highlight w:val="none"/>
                <w:lang w:val="en-US" w:eastAsia="zh-CN" w:bidi="ar"/>
              </w:rPr>
              <w:t>.</w:t>
            </w:r>
            <w:r>
              <w:rPr>
                <w:rFonts w:hint="default" w:ascii="Times New Roman" w:hAnsi="Times New Roman" w:eastAsia="仿宋_GB2312" w:cs="Times New Roman"/>
                <w:color w:val="auto"/>
                <w:kern w:val="0"/>
                <w:sz w:val="24"/>
                <w:highlight w:val="none"/>
                <w:lang w:val="en-US" w:eastAsia="zh-CN" w:bidi="ar"/>
              </w:rPr>
              <w:t>00</w:t>
            </w:r>
            <w:r>
              <w:rPr>
                <w:rFonts w:hint="eastAsia" w:ascii="仿宋_GB2312" w:hAnsi="仿宋_GB2312" w:eastAsia="仿宋_GB2312" w:cs="仿宋_GB2312"/>
                <w:color w:val="auto"/>
                <w:kern w:val="0"/>
                <w:sz w:val="24"/>
                <w:highlight w:val="none"/>
                <w:lang w:val="en-US" w:eastAsia="zh-CN" w:bidi="ar"/>
              </w:rPr>
              <w:t>%</w:t>
            </w:r>
          </w:p>
        </w:tc>
      </w:tr>
    </w:tbl>
    <w:p>
      <w:pPr>
        <w:keepNext/>
        <w:keepLines/>
        <w:snapToGrid w:val="0"/>
        <w:spacing w:beforeLines="0" w:line="360" w:lineRule="auto"/>
        <w:jc w:val="both"/>
        <w:outlineLvl w:val="9"/>
      </w:pPr>
      <w:r>
        <w:drawing>
          <wp:inline distT="0" distB="0" distL="114300" distR="114300">
            <wp:extent cx="5560695" cy="3741420"/>
            <wp:effectExtent l="0" t="0" r="1905" b="762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8"/>
                    <a:stretch>
                      <a:fillRect/>
                    </a:stretch>
                  </pic:blipFill>
                  <pic:spPr>
                    <a:xfrm>
                      <a:off x="0" y="0"/>
                      <a:ext cx="5560695" cy="3741420"/>
                    </a:xfrm>
                    <a:prstGeom prst="rect">
                      <a:avLst/>
                    </a:prstGeom>
                    <a:noFill/>
                    <a:ln>
                      <a:noFill/>
                    </a:ln>
                  </pic:spPr>
                </pic:pic>
              </a:graphicData>
            </a:graphic>
          </wp:inline>
        </w:drawing>
      </w:r>
    </w:p>
    <w:p>
      <w:pPr>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图</w:t>
      </w:r>
      <w:r>
        <w:rPr>
          <w:rFonts w:hint="default" w:ascii="Times New Roman" w:hAnsi="Times New Roman" w:eastAsia="黑体" w:cs="Times New Roman"/>
          <w:color w:val="auto"/>
          <w:sz w:val="28"/>
          <w:szCs w:val="28"/>
          <w:highlight w:val="none"/>
        </w:rPr>
        <w:t>3</w:t>
      </w:r>
      <w:r>
        <w:rPr>
          <w:rFonts w:hint="eastAsia" w:ascii="黑体" w:hAnsi="黑体" w:eastAsia="黑体" w:cs="黑体"/>
          <w:color w:val="auto"/>
          <w:sz w:val="28"/>
          <w:szCs w:val="28"/>
          <w:highlight w:val="none"/>
        </w:rPr>
        <w:t>-</w:t>
      </w:r>
      <w:r>
        <w:rPr>
          <w:rFonts w:hint="default" w:ascii="Times New Roman" w:hAnsi="Times New Roman" w:eastAsia="黑体" w:cs="Times New Roman"/>
          <w:color w:val="auto"/>
          <w:sz w:val="28"/>
          <w:szCs w:val="28"/>
          <w:highlight w:val="none"/>
        </w:rPr>
        <w:t>1</w:t>
      </w:r>
      <w:r>
        <w:rPr>
          <w:rFonts w:hint="eastAsia" w:ascii="黑体" w:hAnsi="黑体" w:eastAsia="黑体" w:cs="黑体"/>
          <w:color w:val="auto"/>
          <w:sz w:val="28"/>
          <w:szCs w:val="28"/>
          <w:highlight w:val="none"/>
        </w:rPr>
        <w:t xml:space="preserve"> 三级指标得分情况图</w:t>
      </w:r>
    </w:p>
    <w:p>
      <w:pPr>
        <w:pStyle w:val="8"/>
      </w:pPr>
    </w:p>
    <w:p>
      <w:pPr>
        <w:keepNext/>
        <w:keepLines/>
        <w:pageBreakBefore w:val="0"/>
        <w:kinsoku/>
        <w:wordWrap/>
        <w:overflowPunct/>
        <w:topLinePunct w:val="0"/>
        <w:autoSpaceDE/>
        <w:autoSpaceDN/>
        <w:bidi w:val="0"/>
        <w:adjustRightInd/>
        <w:snapToGrid w:val="0"/>
        <w:spacing w:beforeLines="0" w:line="600" w:lineRule="exact"/>
        <w:ind w:firstLine="640" w:firstLineChars="200"/>
        <w:textAlignment w:val="auto"/>
        <w:outlineLvl w:val="0"/>
        <w:rPr>
          <w:rFonts w:eastAsia="黑体"/>
          <w:color w:val="auto"/>
          <w:kern w:val="0"/>
          <w:sz w:val="32"/>
          <w:szCs w:val="32"/>
          <w:highlight w:val="none"/>
        </w:rPr>
      </w:pPr>
      <w:bookmarkStart w:id="28" w:name="_Toc23638"/>
      <w:r>
        <w:rPr>
          <w:rFonts w:hint="eastAsia" w:eastAsia="黑体"/>
          <w:color w:val="auto"/>
          <w:kern w:val="0"/>
          <w:sz w:val="32"/>
          <w:szCs w:val="32"/>
          <w:highlight w:val="none"/>
        </w:rPr>
        <w:t>四、绩效指标分析</w:t>
      </w:r>
      <w:bookmarkEnd w:id="28"/>
      <w:bookmarkStart w:id="29" w:name="_Toc453_WPSOffice_Level3"/>
    </w:p>
    <w:p>
      <w:pPr>
        <w:keepNext/>
        <w:keepLines/>
        <w:pageBreakBefore w:val="0"/>
        <w:kinsoku/>
        <w:wordWrap/>
        <w:overflowPunct/>
        <w:topLinePunct w:val="0"/>
        <w:autoSpaceDE/>
        <w:autoSpaceDN/>
        <w:bidi w:val="0"/>
        <w:adjustRightInd/>
        <w:snapToGrid w:val="0"/>
        <w:spacing w:beforeLines="0" w:line="600" w:lineRule="exact"/>
        <w:ind w:firstLine="642" w:firstLineChars="200"/>
        <w:textAlignment w:val="auto"/>
        <w:outlineLvl w:val="1"/>
        <w:rPr>
          <w:rFonts w:eastAsia="楷体_GB2312" w:cs="仿宋"/>
          <w:b/>
          <w:bCs/>
          <w:color w:val="auto"/>
          <w:kern w:val="0"/>
          <w:sz w:val="32"/>
          <w:szCs w:val="32"/>
          <w:highlight w:val="none"/>
        </w:rPr>
      </w:pPr>
      <w:bookmarkStart w:id="30" w:name="_Toc20118"/>
      <w:bookmarkStart w:id="31" w:name="_Toc23252"/>
      <w:bookmarkStart w:id="32" w:name="_Toc12570"/>
      <w:bookmarkStart w:id="33" w:name="_Toc1940"/>
      <w:bookmarkStart w:id="34" w:name="_Toc1426"/>
      <w:bookmarkStart w:id="35" w:name="_Toc18928"/>
      <w:bookmarkStart w:id="36" w:name="_Toc32668"/>
      <w:r>
        <w:rPr>
          <w:rFonts w:hint="eastAsia" w:eastAsia="楷体_GB2312" w:cs="仿宋"/>
          <w:b/>
          <w:bCs/>
          <w:color w:val="auto"/>
          <w:kern w:val="0"/>
          <w:sz w:val="32"/>
          <w:szCs w:val="32"/>
          <w:highlight w:val="none"/>
        </w:rPr>
        <w:t>（一）决策分析</w:t>
      </w:r>
      <w:bookmarkEnd w:id="29"/>
      <w:bookmarkEnd w:id="30"/>
      <w:bookmarkEnd w:id="31"/>
      <w:bookmarkEnd w:id="32"/>
      <w:bookmarkEnd w:id="33"/>
      <w:bookmarkEnd w:id="34"/>
      <w:bookmarkEnd w:id="35"/>
      <w:bookmarkEnd w:id="36"/>
    </w:p>
    <w:p>
      <w:pPr>
        <w:pStyle w:val="8"/>
        <w:pageBreakBefore w:val="0"/>
        <w:kinsoku/>
        <w:wordWrap/>
        <w:overflowPunct/>
        <w:topLinePunct w:val="0"/>
        <w:autoSpaceDE/>
        <w:autoSpaceDN/>
        <w:bidi w:val="0"/>
        <w:adjustRightInd/>
        <w:spacing w:beforeLines="0" w:line="600" w:lineRule="exact"/>
        <w:ind w:left="0" w:leftChars="0" w:firstLine="640" w:firstLineChars="200"/>
        <w:textAlignment w:val="auto"/>
        <w:rPr>
          <w:rFonts w:hint="eastAsia" w:ascii="仿宋_GB2312" w:hAnsi="仿宋_GB2312" w:eastAsia="仿宋_GB2312" w:cstheme="minorBidi"/>
          <w:b w:val="0"/>
          <w:bCs w:val="0"/>
          <w:color w:val="auto"/>
          <w:sz w:val="32"/>
          <w:szCs w:val="24"/>
          <w:highlight w:val="none"/>
        </w:rPr>
      </w:pPr>
      <w:r>
        <w:rPr>
          <w:rFonts w:hint="eastAsia" w:ascii="仿宋_GB2312" w:hAnsi="仿宋_GB2312" w:eastAsia="仿宋_GB2312"/>
          <w:color w:val="auto"/>
          <w:sz w:val="32"/>
          <w:highlight w:val="none"/>
        </w:rPr>
        <w:t>该指标主要从项目立项和资金落实两个方面考核</w:t>
      </w:r>
      <w:r>
        <w:rPr>
          <w:rFonts w:hint="eastAsia" w:ascii="仿宋_GB2312" w:hAnsi="仿宋_GB2312" w:eastAsia="仿宋_GB2312" w:cstheme="minorBidi"/>
          <w:color w:val="auto"/>
          <w:sz w:val="32"/>
          <w:highlight w:val="none"/>
        </w:rPr>
        <w:t>项目论证的充分性，绩效目标的完整性、合理性和可衡量性，制度和计划上的保障措施，以及</w:t>
      </w:r>
      <w:r>
        <w:rPr>
          <w:rFonts w:hint="eastAsia" w:ascii="仿宋_GB2312" w:hAnsi="仿宋_GB2312" w:eastAsia="仿宋_GB2312"/>
          <w:color w:val="auto"/>
          <w:sz w:val="32"/>
          <w:highlight w:val="none"/>
        </w:rPr>
        <w:t>资金投向的合理性和可行性。指标分值</w:t>
      </w:r>
      <w:r>
        <w:rPr>
          <w:rFonts w:hint="default" w:ascii="Times New Roman" w:hAnsi="Times New Roman" w:eastAsia="仿宋_GB2312" w:cs="Times New Roman"/>
          <w:color w:val="auto"/>
          <w:sz w:val="32"/>
          <w:highlight w:val="none"/>
        </w:rPr>
        <w:t>20</w:t>
      </w:r>
      <w:r>
        <w:rPr>
          <w:rFonts w:hint="eastAsia" w:ascii="仿宋_GB2312" w:hAnsi="仿宋_GB2312" w:eastAsia="仿宋_GB2312"/>
          <w:color w:val="auto"/>
          <w:sz w:val="32"/>
          <w:highlight w:val="none"/>
        </w:rPr>
        <w:t>分，评价得</w:t>
      </w:r>
      <w:r>
        <w:rPr>
          <w:rFonts w:hint="eastAsia" w:ascii="仿宋_GB2312" w:hAnsi="仿宋_GB2312" w:eastAsia="仿宋_GB2312" w:cstheme="minorBidi"/>
          <w:color w:val="auto"/>
          <w:sz w:val="32"/>
          <w:highlight w:val="none"/>
        </w:rPr>
        <w:t>分</w:t>
      </w:r>
      <w:r>
        <w:rPr>
          <w:rFonts w:hint="default" w:ascii="Times New Roman" w:hAnsi="Times New Roman" w:eastAsia="仿宋_GB2312" w:cs="Times New Roman"/>
          <w:sz w:val="32"/>
          <w:lang w:val="en-US" w:eastAsia="zh-CN"/>
        </w:rPr>
        <w:t>20</w:t>
      </w:r>
      <w:r>
        <w:rPr>
          <w:rFonts w:hint="eastAsia" w:ascii="仿宋_GB2312" w:hAnsi="仿宋_GB2312" w:eastAsia="仿宋_GB2312" w:cstheme="minorBidi"/>
          <w:color w:val="auto"/>
          <w:sz w:val="32"/>
          <w:highlight w:val="none"/>
        </w:rPr>
        <w:t>分</w:t>
      </w:r>
      <w:r>
        <w:rPr>
          <w:rFonts w:hint="eastAsia" w:ascii="仿宋_GB2312" w:hAnsi="仿宋_GB2312" w:eastAsia="仿宋_GB2312"/>
          <w:color w:val="auto"/>
          <w:sz w:val="32"/>
          <w:highlight w:val="none"/>
        </w:rPr>
        <w:t>，得分率为</w:t>
      </w:r>
      <w:r>
        <w:rPr>
          <w:rFonts w:hint="default" w:ascii="Times New Roman" w:hAnsi="Times New Roman" w:eastAsia="仿宋_GB2312" w:cs="Times New Roman"/>
          <w:sz w:val="32"/>
          <w:lang w:val="en-US" w:eastAsia="zh-CN"/>
        </w:rPr>
        <w:t>100</w:t>
      </w:r>
      <w:r>
        <w:rPr>
          <w:rFonts w:hint="eastAsia" w:ascii="仿宋_GB2312" w:hAnsi="仿宋_GB2312" w:eastAsia="仿宋_GB2312"/>
          <w:color w:val="auto"/>
          <w:sz w:val="32"/>
          <w:highlight w:val="none"/>
        </w:rPr>
        <w:t>%。</w:t>
      </w:r>
    </w:p>
    <w:p>
      <w:pPr>
        <w:pageBreakBefore w:val="0"/>
        <w:kinsoku/>
        <w:wordWrap/>
        <w:overflowPunct/>
        <w:topLinePunct w:val="0"/>
        <w:autoSpaceDE/>
        <w:autoSpaceDN/>
        <w:bidi w:val="0"/>
        <w:adjustRightInd/>
        <w:spacing w:beforeLines="0" w:line="60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bookmarkStart w:id="37" w:name="_Toc7328"/>
      <w:bookmarkStart w:id="38" w:name="_Toc18060"/>
      <w:bookmarkStart w:id="39" w:name="_Toc26202"/>
      <w:bookmarkStart w:id="40" w:name="_Toc7159"/>
      <w:bookmarkStart w:id="41" w:name="_Toc7956"/>
      <w:r>
        <w:rPr>
          <w:rFonts w:hint="default" w:ascii="Times New Roman" w:hAnsi="Times New Roman" w:eastAsia="仿宋_GB2312" w:cs="Times New Roman"/>
          <w:b/>
          <w:bCs/>
          <w:color w:val="auto"/>
          <w:sz w:val="32"/>
          <w:szCs w:val="32"/>
          <w:highlight w:val="none"/>
        </w:rPr>
        <w:t>1</w:t>
      </w:r>
      <w:r>
        <w:rPr>
          <w:rFonts w:hint="eastAsia" w:ascii="仿宋_GB2312" w:hAnsi="仿宋_GB2312" w:eastAsia="仿宋_GB2312" w:cs="仿宋_GB2312"/>
          <w:b/>
          <w:bCs/>
          <w:color w:val="auto"/>
          <w:sz w:val="32"/>
          <w:szCs w:val="32"/>
          <w:highlight w:val="none"/>
        </w:rPr>
        <w:t>.项目立项情况</w:t>
      </w:r>
      <w:bookmarkEnd w:id="37"/>
      <w:bookmarkEnd w:id="38"/>
      <w:bookmarkEnd w:id="39"/>
      <w:r>
        <w:rPr>
          <w:rFonts w:hint="eastAsia" w:ascii="仿宋_GB2312" w:hAnsi="仿宋_GB2312" w:eastAsia="仿宋_GB2312" w:cs="仿宋_GB2312"/>
          <w:b/>
          <w:bCs/>
          <w:color w:val="auto"/>
          <w:sz w:val="32"/>
          <w:szCs w:val="32"/>
          <w:highlight w:val="none"/>
        </w:rPr>
        <w:t>。</w:t>
      </w:r>
      <w:bookmarkEnd w:id="40"/>
      <w:bookmarkEnd w:id="41"/>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pacing w:val="-6"/>
          <w:sz w:val="32"/>
          <w:szCs w:val="32"/>
          <w:highlight w:val="none"/>
        </w:rPr>
        <w:t>论证决策。</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rPr>
        <w:t>4</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rPr>
        <w:t>4</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广东省人民政府办公厅关于加快发展保障性租赁住房的实施意见</w:t>
      </w:r>
      <w:r>
        <w:rPr>
          <w:rFonts w:hint="eastAsia" w:ascii="仿宋_GB2312" w:hAnsi="仿宋_GB2312" w:eastAsia="仿宋_GB2312" w:cs="仿宋_GB2312"/>
          <w:color w:val="auto"/>
          <w:sz w:val="32"/>
          <w:highlight w:val="none"/>
          <w:lang w:eastAsia="zh-CN"/>
        </w:rPr>
        <w:t>》明确提出了我省</w:t>
      </w:r>
      <w:r>
        <w:rPr>
          <w:rFonts w:hint="eastAsia" w:ascii="仿宋_GB2312" w:hAnsi="仿宋_GB2312" w:eastAsia="仿宋_GB2312" w:cs="仿宋_GB2312"/>
          <w:color w:val="auto"/>
          <w:sz w:val="32"/>
          <w:highlight w:val="none"/>
        </w:rPr>
        <w:t>发展保障性租赁住房的</w:t>
      </w:r>
      <w:r>
        <w:rPr>
          <w:rFonts w:hint="eastAsia" w:ascii="仿宋_GB2312" w:hAnsi="仿宋_GB2312" w:eastAsia="仿宋_GB2312" w:cs="仿宋_GB2312"/>
          <w:color w:val="auto"/>
          <w:sz w:val="32"/>
          <w:highlight w:val="none"/>
          <w:lang w:eastAsia="zh-CN"/>
        </w:rPr>
        <w:t>政策；</w:t>
      </w:r>
      <w:r>
        <w:rPr>
          <w:rFonts w:hint="eastAsia" w:ascii="仿宋_GB2312" w:hAnsi="仿宋_GB2312" w:eastAsia="仿宋_GB2312" w:cs="仿宋_GB2312"/>
          <w:color w:val="auto"/>
          <w:sz w:val="32"/>
          <w:highlight w:val="none"/>
        </w:rPr>
        <w:t>《广东省住房和城乡建设厅关于印发保障性租赁住房“十四五”及三年（</w:t>
      </w:r>
      <w:r>
        <w:rPr>
          <w:rFonts w:hint="default" w:ascii="Times New Roman" w:hAnsi="Times New Roman" w:eastAsia="仿宋_GB2312" w:cs="Times New Roman"/>
          <w:color w:val="auto"/>
          <w:sz w:val="32"/>
          <w:highlight w:val="none"/>
        </w:rPr>
        <w:t>2021</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2023</w:t>
      </w:r>
      <w:r>
        <w:rPr>
          <w:rFonts w:hint="eastAsia" w:ascii="仿宋_GB2312" w:hAnsi="仿宋_GB2312" w:eastAsia="仿宋_GB2312" w:cs="仿宋_GB2312"/>
          <w:color w:val="auto"/>
          <w:sz w:val="32"/>
          <w:highlight w:val="none"/>
        </w:rPr>
        <w:t>年）专项行动目标任务的函》制定了全省</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十四五</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保障性租赁住房建设目标；《广东省住房和城乡建设厅关于印发</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年保障性租赁住房、公租房保障和城镇棚户区改造等计划的通知》制定了全省年度筹集建设计划，并在我厅网站公开；</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年</w:t>
      </w:r>
      <w:r>
        <w:rPr>
          <w:rFonts w:hint="eastAsia" w:ascii="仿宋_GB2312" w:hAnsi="仿宋_GB2312" w:eastAsia="仿宋_GB2312" w:cs="仿宋_GB2312"/>
          <w:color w:val="auto"/>
          <w:sz w:val="32"/>
          <w:highlight w:val="none"/>
          <w:lang w:eastAsia="zh-CN"/>
        </w:rPr>
        <w:t>我厅</w:t>
      </w:r>
      <w:r>
        <w:rPr>
          <w:rFonts w:hint="eastAsia" w:ascii="仿宋_GB2312" w:hAnsi="仿宋_GB2312" w:eastAsia="仿宋_GB2312" w:cs="仿宋_GB2312"/>
          <w:color w:val="auto"/>
          <w:sz w:val="32"/>
          <w:highlight w:val="none"/>
        </w:rPr>
        <w:t>建立了广东省住房保障动态监管平台项目库，对入库项目建立档案、根据项目成熟度进行排序并纳入年度计划；我厅将“</w:t>
      </w:r>
      <w:r>
        <w:rPr>
          <w:rFonts w:hint="eastAsia" w:ascii="仿宋_GB2312" w:hAnsi="仿宋_GB2312" w:eastAsia="仿宋_GB2312" w:cs="仿宋_GB2312"/>
          <w:color w:val="auto"/>
          <w:sz w:val="32"/>
          <w:highlight w:val="none"/>
          <w:lang w:val="en-US" w:eastAsia="zh-CN"/>
        </w:rPr>
        <w:t>保障性安居工程</w:t>
      </w:r>
      <w:r>
        <w:rPr>
          <w:rFonts w:hint="eastAsia" w:ascii="仿宋_GB2312" w:hAnsi="仿宋_GB2312" w:eastAsia="仿宋_GB2312" w:cs="仿宋_GB2312"/>
          <w:color w:val="auto"/>
          <w:sz w:val="32"/>
          <w:highlight w:val="none"/>
          <w:lang w:eastAsia="zh-CN"/>
        </w:rPr>
        <w:t>专项</w:t>
      </w:r>
      <w:r>
        <w:rPr>
          <w:rFonts w:hint="eastAsia" w:ascii="仿宋_GB2312" w:hAnsi="仿宋_GB2312" w:eastAsia="仿宋_GB2312" w:cs="仿宋_GB2312"/>
          <w:color w:val="auto"/>
          <w:sz w:val="32"/>
          <w:highlight w:val="none"/>
        </w:rPr>
        <w:t>补助</w:t>
      </w:r>
      <w:r>
        <w:rPr>
          <w:rFonts w:hint="eastAsia" w:ascii="仿宋_GB2312" w:hAnsi="仿宋_GB2312" w:eastAsia="仿宋_GB2312" w:cs="仿宋_GB2312"/>
          <w:color w:val="auto"/>
          <w:sz w:val="32"/>
          <w:highlight w:val="none"/>
          <w:lang w:eastAsia="zh-CN"/>
        </w:rPr>
        <w:t>资金</w:t>
      </w:r>
      <w:r>
        <w:rPr>
          <w:rFonts w:hint="eastAsia" w:ascii="仿宋_GB2312" w:hAnsi="仿宋_GB2312" w:eastAsia="仿宋_GB2312" w:cs="仿宋_GB2312"/>
          <w:color w:val="auto"/>
          <w:sz w:val="32"/>
          <w:highlight w:val="none"/>
        </w:rPr>
        <w:t>”列入专项资金使用计划，用于支持纳入国家</w:t>
      </w:r>
      <w:r>
        <w:rPr>
          <w:rFonts w:hint="eastAsia" w:ascii="仿宋_GB2312" w:hAnsi="仿宋_GB2312" w:eastAsia="仿宋_GB2312" w:cs="仿宋_GB2312"/>
          <w:color w:val="auto"/>
          <w:sz w:val="32"/>
          <w:highlight w:val="none"/>
          <w:lang w:eastAsia="zh-CN"/>
        </w:rPr>
        <w:t>和</w:t>
      </w:r>
      <w:r>
        <w:rPr>
          <w:rFonts w:hint="eastAsia" w:ascii="仿宋_GB2312" w:hAnsi="仿宋_GB2312" w:eastAsia="仿宋_GB2312" w:cs="仿宋_GB2312"/>
          <w:color w:val="auto"/>
          <w:sz w:val="32"/>
          <w:highlight w:val="none"/>
        </w:rPr>
        <w:t>省城镇棚改、公租房、保障性租赁住房、共有产权住房、租赁补贴等保障性安居工程项目以及保障性安居工程的相关支出，经省级财政预算管理程序审批后设立。总体上决策过程科学合理，资金设立符合国家和省相关保障性安居工程政策，符合省级专项资金管理办法，资金投向和结构符合支持民生项目的公共财政政策。</w:t>
      </w:r>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6"/>
          <w:sz w:val="32"/>
          <w:szCs w:val="32"/>
          <w:highlight w:val="none"/>
        </w:rPr>
        <w:t>目标设置。</w:t>
      </w:r>
      <w:r>
        <w:rPr>
          <w:rFonts w:hint="eastAsia" w:ascii="仿宋_GB2312" w:hAnsi="仿宋_GB2312" w:eastAsia="仿宋_GB2312" w:cs="仿宋_GB2312"/>
          <w:color w:val="auto"/>
          <w:sz w:val="32"/>
          <w:szCs w:val="32"/>
          <w:highlight w:val="none"/>
        </w:rPr>
        <w:t>该指标分值</w:t>
      </w:r>
      <w:r>
        <w:rPr>
          <w:rFonts w:hint="default" w:ascii="Times New Roman" w:hAnsi="Times New Roman" w:eastAsia="仿宋_GB2312" w:cs="Times New Roman"/>
          <w:color w:val="auto"/>
          <w:sz w:val="32"/>
          <w:szCs w:val="32"/>
          <w:highlight w:val="none"/>
        </w:rPr>
        <w:t>6</w:t>
      </w:r>
      <w:r>
        <w:rPr>
          <w:rFonts w:hint="eastAsia" w:ascii="仿宋_GB2312" w:hAnsi="仿宋_GB2312" w:eastAsia="仿宋_GB2312" w:cs="仿宋_GB2312"/>
          <w:color w:val="auto"/>
          <w:sz w:val="32"/>
          <w:szCs w:val="32"/>
          <w:highlight w:val="none"/>
        </w:rPr>
        <w:t>分，评价得分</w:t>
      </w:r>
      <w:r>
        <w:rPr>
          <w:rFonts w:hint="default" w:ascii="Times New Roman" w:hAnsi="Times New Roman" w:eastAsia="仿宋_GB2312" w:cs="Times New Roman"/>
          <w:color w:val="auto"/>
          <w:sz w:val="32"/>
          <w:szCs w:val="32"/>
          <w:highlight w:val="none"/>
        </w:rPr>
        <w:t>6</w:t>
      </w:r>
      <w:r>
        <w:rPr>
          <w:rFonts w:hint="eastAsia" w:ascii="仿宋_GB2312" w:hAnsi="仿宋_GB2312" w:eastAsia="仿宋_GB2312" w:cs="仿宋_GB2312"/>
          <w:color w:val="auto"/>
          <w:sz w:val="32"/>
          <w:szCs w:val="32"/>
          <w:highlight w:val="none"/>
        </w:rPr>
        <w:t>分，得分率为</w:t>
      </w:r>
      <w:r>
        <w:rPr>
          <w:rFonts w:hint="default" w:ascii="Times New Roman" w:hAnsi="Times New Roman" w:eastAsia="仿宋_GB2312" w:cs="Times New Roman"/>
          <w:color w:val="auto"/>
          <w:sz w:val="32"/>
          <w:szCs w:val="32"/>
          <w:highlight w:val="none"/>
        </w:rPr>
        <w:t>100</w:t>
      </w:r>
      <w:r>
        <w:rPr>
          <w:rFonts w:hint="eastAsia" w:ascii="仿宋_GB2312" w:hAnsi="仿宋_GB2312" w:eastAsia="仿宋_GB2312" w:cs="仿宋_GB2312"/>
          <w:color w:val="auto"/>
          <w:sz w:val="32"/>
          <w:szCs w:val="32"/>
          <w:highlight w:val="none"/>
        </w:rPr>
        <w:t>%。我厅在申报专项资金预算时填报了一级项目绩效目标，设置了具体的产出指标和效益指标。</w:t>
      </w:r>
      <w:r>
        <w:rPr>
          <w:rFonts w:hint="eastAsia" w:ascii="仿宋_GB2312" w:hAnsi="Times New Roman" w:eastAsia="仿宋_GB2312" w:cstheme="minorBidi"/>
          <w:color w:val="auto"/>
          <w:sz w:val="32"/>
          <w:szCs w:val="24"/>
          <w:highlight w:val="none"/>
        </w:rPr>
        <w:t>《广东省财政厅关于提前下达</w:t>
      </w:r>
      <w:r>
        <w:rPr>
          <w:rFonts w:hint="default" w:ascii="Times New Roman" w:hAnsi="Times New Roman" w:eastAsia="仿宋_GB2312" w:cs="Times New Roman"/>
          <w:color w:val="auto"/>
          <w:sz w:val="32"/>
          <w:szCs w:val="24"/>
          <w:highlight w:val="none"/>
        </w:rPr>
        <w:t>2022</w:t>
      </w:r>
      <w:r>
        <w:rPr>
          <w:rFonts w:hint="eastAsia" w:ascii="仿宋_GB2312" w:hAnsi="Times New Roman" w:eastAsia="仿宋_GB2312" w:cstheme="minorBidi"/>
          <w:color w:val="auto"/>
          <w:sz w:val="32"/>
          <w:szCs w:val="24"/>
          <w:highlight w:val="none"/>
        </w:rPr>
        <w:t>年省住房城乡建设厅主管专项资金的通知》（</w:t>
      </w:r>
      <w:r>
        <w:rPr>
          <w:rFonts w:hint="eastAsia" w:ascii="仿宋_GB2312" w:hAnsi="Times New Roman" w:eastAsia="仿宋_GB2312" w:cstheme="minorBidi"/>
          <w:color w:val="auto"/>
          <w:sz w:val="32"/>
          <w:szCs w:val="24"/>
          <w:highlight w:val="none"/>
          <w:lang w:val="en-US" w:eastAsia="zh-CN"/>
        </w:rPr>
        <w:fldChar w:fldCharType="begin"/>
      </w:r>
      <w:r>
        <w:rPr>
          <w:rFonts w:hint="eastAsia" w:ascii="仿宋_GB2312" w:hAnsi="Times New Roman" w:eastAsia="仿宋_GB2312" w:cstheme="minorBidi"/>
          <w:color w:val="auto"/>
          <w:sz w:val="32"/>
          <w:szCs w:val="24"/>
          <w:highlight w:val="none"/>
          <w:lang w:val="en-US" w:eastAsia="zh-CN"/>
        </w:rPr>
        <w:instrText xml:space="preserve"> HYPERLINK "http://czt.gd.gov.cn/tzgg/content/post_3752080.html" \o "分享到微信" </w:instrText>
      </w:r>
      <w:r>
        <w:rPr>
          <w:rFonts w:hint="eastAsia" w:ascii="仿宋_GB2312" w:hAnsi="Times New Roman" w:eastAsia="仿宋_GB2312" w:cstheme="minorBidi"/>
          <w:color w:val="auto"/>
          <w:sz w:val="32"/>
          <w:szCs w:val="24"/>
          <w:highlight w:val="none"/>
          <w:lang w:val="en-US" w:eastAsia="zh-CN"/>
        </w:rPr>
        <w:fldChar w:fldCharType="separate"/>
      </w:r>
      <w:r>
        <w:rPr>
          <w:rFonts w:hint="eastAsia" w:ascii="仿宋_GB2312" w:hAnsi="Times New Roman" w:eastAsia="仿宋_GB2312" w:cstheme="minorBidi"/>
          <w:color w:val="auto"/>
          <w:sz w:val="32"/>
          <w:szCs w:val="24"/>
          <w:highlight w:val="none"/>
          <w:lang w:val="en-US" w:eastAsia="zh-CN"/>
        </w:rPr>
        <w:fldChar w:fldCharType="end"/>
      </w:r>
      <w:r>
        <w:rPr>
          <w:rFonts w:hint="eastAsia" w:ascii="仿宋_GB2312" w:hAnsi="Times New Roman" w:eastAsia="仿宋_GB2312" w:cstheme="minorBidi"/>
          <w:color w:val="auto"/>
          <w:sz w:val="32"/>
          <w:szCs w:val="24"/>
          <w:highlight w:val="none"/>
          <w:lang w:val="en-US" w:eastAsia="zh-CN"/>
        </w:rPr>
        <w:fldChar w:fldCharType="begin"/>
      </w:r>
      <w:r>
        <w:rPr>
          <w:rFonts w:hint="eastAsia" w:ascii="仿宋_GB2312" w:hAnsi="Times New Roman" w:eastAsia="仿宋_GB2312" w:cstheme="minorBidi"/>
          <w:color w:val="auto"/>
          <w:sz w:val="32"/>
          <w:szCs w:val="24"/>
          <w:highlight w:val="none"/>
          <w:lang w:val="en-US" w:eastAsia="zh-CN"/>
        </w:rPr>
        <w:instrText xml:space="preserve"> HYPERLINK "http://czt.gd.gov.cn/tzgg/content/post_3752080.html" \o "分享到新浪微博" </w:instrText>
      </w:r>
      <w:r>
        <w:rPr>
          <w:rFonts w:hint="eastAsia" w:ascii="仿宋_GB2312" w:hAnsi="Times New Roman" w:eastAsia="仿宋_GB2312" w:cstheme="minorBidi"/>
          <w:color w:val="auto"/>
          <w:sz w:val="32"/>
          <w:szCs w:val="24"/>
          <w:highlight w:val="none"/>
          <w:lang w:val="en-US" w:eastAsia="zh-CN"/>
        </w:rPr>
        <w:fldChar w:fldCharType="separate"/>
      </w:r>
      <w:r>
        <w:rPr>
          <w:rFonts w:hint="eastAsia" w:ascii="仿宋_GB2312" w:hAnsi="Times New Roman" w:eastAsia="仿宋_GB2312" w:cstheme="minorBidi"/>
          <w:color w:val="auto"/>
          <w:sz w:val="32"/>
          <w:szCs w:val="24"/>
          <w:highlight w:val="none"/>
          <w:lang w:val="en-US" w:eastAsia="zh-CN"/>
        </w:rPr>
        <w:fldChar w:fldCharType="end"/>
      </w:r>
      <w:r>
        <w:rPr>
          <w:rFonts w:hint="eastAsia" w:ascii="仿宋_GB2312" w:hAnsi="Times New Roman" w:eastAsia="仿宋_GB2312" w:cstheme="minorBidi"/>
          <w:color w:val="auto"/>
          <w:sz w:val="32"/>
          <w:szCs w:val="24"/>
          <w:highlight w:val="none"/>
          <w:lang w:val="en-US" w:eastAsia="zh-CN"/>
        </w:rPr>
        <w:fldChar w:fldCharType="begin"/>
      </w:r>
      <w:r>
        <w:rPr>
          <w:rFonts w:hint="eastAsia" w:ascii="仿宋_GB2312" w:hAnsi="Times New Roman" w:eastAsia="仿宋_GB2312" w:cstheme="minorBidi"/>
          <w:color w:val="auto"/>
          <w:sz w:val="32"/>
          <w:szCs w:val="24"/>
          <w:highlight w:val="none"/>
          <w:lang w:val="en-US" w:eastAsia="zh-CN"/>
        </w:rPr>
        <w:instrText xml:space="preserve"> HYPERLINK "http://czt.gd.gov.cn/tzgg/content/post_3752080.html" \o "分享到QQ好友" </w:instrText>
      </w:r>
      <w:r>
        <w:rPr>
          <w:rFonts w:hint="eastAsia" w:ascii="仿宋_GB2312" w:hAnsi="Times New Roman" w:eastAsia="仿宋_GB2312" w:cstheme="minorBidi"/>
          <w:color w:val="auto"/>
          <w:sz w:val="32"/>
          <w:szCs w:val="24"/>
          <w:highlight w:val="none"/>
          <w:lang w:val="en-US" w:eastAsia="zh-CN"/>
        </w:rPr>
        <w:fldChar w:fldCharType="separate"/>
      </w:r>
      <w:r>
        <w:rPr>
          <w:rFonts w:hint="eastAsia" w:ascii="仿宋_GB2312" w:hAnsi="Times New Roman" w:eastAsia="仿宋_GB2312" w:cstheme="minorBidi"/>
          <w:color w:val="auto"/>
          <w:sz w:val="32"/>
          <w:szCs w:val="24"/>
          <w:highlight w:val="none"/>
          <w:lang w:val="en-US" w:eastAsia="zh-CN"/>
        </w:rPr>
        <w:fldChar w:fldCharType="end"/>
      </w:r>
      <w:r>
        <w:rPr>
          <w:rFonts w:hint="eastAsia" w:ascii="仿宋_GB2312" w:hAnsi="Times New Roman" w:eastAsia="仿宋_GB2312" w:cstheme="minorBidi"/>
          <w:color w:val="auto"/>
          <w:sz w:val="32"/>
          <w:szCs w:val="24"/>
          <w:highlight w:val="none"/>
        </w:rPr>
        <w:t>粤财建〔</w:t>
      </w:r>
      <w:r>
        <w:rPr>
          <w:rFonts w:hint="default" w:ascii="Times New Roman" w:hAnsi="Times New Roman" w:eastAsia="仿宋_GB2312" w:cs="Times New Roman"/>
          <w:color w:val="auto"/>
          <w:sz w:val="32"/>
          <w:szCs w:val="24"/>
          <w:highlight w:val="none"/>
        </w:rPr>
        <w:t>2021</w:t>
      </w:r>
      <w:r>
        <w:rPr>
          <w:rFonts w:hint="eastAsia" w:ascii="仿宋_GB2312" w:hAnsi="Times New Roman" w:eastAsia="仿宋_GB2312" w:cstheme="minorBidi"/>
          <w:color w:val="auto"/>
          <w:sz w:val="32"/>
          <w:szCs w:val="24"/>
          <w:highlight w:val="none"/>
        </w:rPr>
        <w:t>〕</w:t>
      </w:r>
      <w:r>
        <w:rPr>
          <w:rFonts w:hint="default" w:ascii="Times New Roman" w:hAnsi="Times New Roman" w:eastAsia="仿宋_GB2312" w:cs="Times New Roman"/>
          <w:color w:val="auto"/>
          <w:sz w:val="32"/>
          <w:szCs w:val="24"/>
          <w:highlight w:val="none"/>
        </w:rPr>
        <w:t>70</w:t>
      </w:r>
      <w:r>
        <w:rPr>
          <w:rFonts w:hint="eastAsia" w:ascii="仿宋_GB2312" w:hAnsi="Times New Roman" w:eastAsia="仿宋_GB2312" w:cstheme="minorBidi"/>
          <w:color w:val="auto"/>
          <w:sz w:val="32"/>
          <w:szCs w:val="24"/>
          <w:highlight w:val="none"/>
        </w:rPr>
        <w:t>号）</w:t>
      </w:r>
      <w:r>
        <w:rPr>
          <w:rFonts w:hint="eastAsia" w:ascii="仿宋_GB2312" w:hAnsi="仿宋_GB2312" w:eastAsia="仿宋_GB2312" w:cs="仿宋_GB2312"/>
          <w:color w:val="auto"/>
          <w:sz w:val="32"/>
          <w:highlight w:val="none"/>
        </w:rPr>
        <w:t>在下达预算资金的同时一并下达了绩效目标，广东省住房和城乡建设厅</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关于印发</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年保障性租赁住房、公租房保障和城镇棚户区改造等计划的通知</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（粤建保〔</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83</w:t>
      </w:r>
      <w:r>
        <w:rPr>
          <w:rFonts w:hint="eastAsia" w:ascii="仿宋_GB2312" w:hAnsi="仿宋_GB2312" w:eastAsia="仿宋_GB2312" w:cs="仿宋_GB2312"/>
          <w:color w:val="auto"/>
          <w:sz w:val="32"/>
          <w:highlight w:val="none"/>
        </w:rPr>
        <w:t>号）进一步明确了有关市县</w:t>
      </w:r>
      <w:r>
        <w:rPr>
          <w:rFonts w:hint="default" w:ascii="Times New Roman" w:hAnsi="Times New Roman" w:eastAsia="仿宋_GB2312" w:cs="Times New Roman"/>
          <w:color w:val="auto"/>
          <w:sz w:val="32"/>
          <w:highlight w:val="none"/>
        </w:rPr>
        <w:t>202</w:t>
      </w:r>
      <w:r>
        <w:rPr>
          <w:rFonts w:hint="default" w:ascii="Times New Roman" w:hAnsi="Times New Roman" w:eastAsia="仿宋_GB2312" w:cs="Times New Roman"/>
          <w:color w:val="auto"/>
          <w:sz w:val="32"/>
          <w:highlight w:val="none"/>
          <w:lang w:eastAsia="zh-CN"/>
        </w:rPr>
        <w:t>2</w:t>
      </w:r>
      <w:r>
        <w:rPr>
          <w:rFonts w:hint="eastAsia" w:ascii="仿宋_GB2312" w:hAnsi="仿宋_GB2312" w:eastAsia="仿宋_GB2312" w:cs="仿宋_GB2312"/>
          <w:color w:val="auto"/>
          <w:sz w:val="32"/>
          <w:highlight w:val="none"/>
        </w:rPr>
        <w:t>年</w:t>
      </w:r>
      <w:r>
        <w:rPr>
          <w:rFonts w:hint="eastAsia" w:ascii="仿宋_GB2312" w:eastAsia="仿宋_GB2312"/>
          <w:color w:val="auto"/>
          <w:sz w:val="32"/>
          <w:highlight w:val="none"/>
          <w:lang w:val="en-US" w:eastAsia="zh-CN"/>
        </w:rPr>
        <w:t>保障性安居工程</w:t>
      </w:r>
      <w:r>
        <w:rPr>
          <w:rFonts w:hint="eastAsia" w:ascii="仿宋_GB2312" w:hAnsi="仿宋_GB2312" w:eastAsia="仿宋_GB2312" w:cs="仿宋_GB2312"/>
          <w:color w:val="auto"/>
          <w:sz w:val="32"/>
          <w:highlight w:val="none"/>
        </w:rPr>
        <w:t>计划任务</w:t>
      </w:r>
      <w:r>
        <w:rPr>
          <w:rFonts w:hint="eastAsia" w:ascii="仿宋_GB2312" w:hAnsi="Times New Roman" w:eastAsia="仿宋_GB2312" w:cstheme="minorBidi"/>
          <w:color w:val="auto"/>
          <w:sz w:val="32"/>
          <w:szCs w:val="24"/>
          <w:highlight w:val="none"/>
          <w:lang w:val="en-US" w:eastAsia="zh-CN"/>
        </w:rPr>
        <w:t>。</w:t>
      </w:r>
      <w:r>
        <w:rPr>
          <w:rFonts w:hint="eastAsia" w:ascii="仿宋_GB2312" w:hAnsi="仿宋_GB2312" w:eastAsia="仿宋_GB2312" w:cs="仿宋_GB2312"/>
          <w:color w:val="auto"/>
          <w:sz w:val="32"/>
          <w:highlight w:val="none"/>
        </w:rPr>
        <w:t>有关市县按规定分解下达专项资金绩效目标。产出、效益指标及其指标值均符合绩效目标完整性、合理性、可衡量性的要求。</w:t>
      </w:r>
    </w:p>
    <w:p>
      <w:pPr>
        <w:pageBreakBefore w:val="0"/>
        <w:widowControl/>
        <w:kinsoku/>
        <w:wordWrap/>
        <w:overflowPunct/>
        <w:topLinePunct w:val="0"/>
        <w:autoSpaceDE/>
        <w:autoSpaceDN/>
        <w:bidi w:val="0"/>
        <w:adjustRightInd/>
        <w:spacing w:beforeLines="0" w:line="60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kern w:val="0"/>
          <w:sz w:val="32"/>
          <w:szCs w:val="20"/>
          <w:highlight w:val="none"/>
        </w:rPr>
        <w:t>（</w:t>
      </w:r>
      <w:r>
        <w:rPr>
          <w:rFonts w:hint="default" w:ascii="Times New Roman" w:hAnsi="Times New Roman" w:eastAsia="仿宋_GB2312" w:cs="Times New Roman"/>
          <w:color w:val="auto"/>
          <w:kern w:val="0"/>
          <w:sz w:val="32"/>
          <w:szCs w:val="20"/>
          <w:highlight w:val="none"/>
        </w:rPr>
        <w:t>3</w:t>
      </w:r>
      <w:r>
        <w:rPr>
          <w:rFonts w:hint="eastAsia" w:ascii="仿宋_GB2312" w:hAnsi="仿宋_GB2312" w:eastAsia="仿宋_GB2312" w:cs="仿宋_GB2312"/>
          <w:color w:val="auto"/>
          <w:kern w:val="0"/>
          <w:sz w:val="32"/>
          <w:szCs w:val="20"/>
          <w:highlight w:val="none"/>
        </w:rPr>
        <w:t>）保障措施。该指标分值</w:t>
      </w:r>
      <w:r>
        <w:rPr>
          <w:rFonts w:hint="default" w:ascii="Times New Roman" w:hAnsi="Times New Roman" w:eastAsia="仿宋_GB2312" w:cs="Times New Roman"/>
          <w:color w:val="auto"/>
          <w:kern w:val="0"/>
          <w:sz w:val="32"/>
          <w:szCs w:val="20"/>
          <w:highlight w:val="none"/>
        </w:rPr>
        <w:t>2</w:t>
      </w:r>
      <w:r>
        <w:rPr>
          <w:rFonts w:hint="eastAsia" w:ascii="仿宋_GB2312" w:hAnsi="仿宋_GB2312" w:eastAsia="仿宋_GB2312" w:cs="仿宋_GB2312"/>
          <w:color w:val="auto"/>
          <w:kern w:val="0"/>
          <w:sz w:val="32"/>
          <w:szCs w:val="20"/>
          <w:highlight w:val="none"/>
        </w:rPr>
        <w:t>分，评价得分</w:t>
      </w:r>
      <w:r>
        <w:rPr>
          <w:rFonts w:hint="default" w:ascii="Times New Roman" w:hAnsi="Times New Roman" w:eastAsia="仿宋_GB2312" w:cs="Times New Roman"/>
          <w:color w:val="auto"/>
          <w:kern w:val="0"/>
          <w:sz w:val="32"/>
          <w:szCs w:val="20"/>
          <w:highlight w:val="none"/>
        </w:rPr>
        <w:t>2</w:t>
      </w:r>
      <w:r>
        <w:rPr>
          <w:rFonts w:hint="eastAsia" w:ascii="仿宋_GB2312" w:hAnsi="仿宋_GB2312" w:eastAsia="仿宋_GB2312" w:cs="仿宋_GB2312"/>
          <w:color w:val="auto"/>
          <w:kern w:val="0"/>
          <w:sz w:val="32"/>
          <w:szCs w:val="20"/>
          <w:highlight w:val="none"/>
        </w:rPr>
        <w:t>分，得分率为</w:t>
      </w:r>
      <w:r>
        <w:rPr>
          <w:rFonts w:hint="default" w:ascii="Times New Roman" w:hAnsi="Times New Roman" w:eastAsia="仿宋_GB2312" w:cs="Times New Roman"/>
          <w:color w:val="auto"/>
          <w:kern w:val="0"/>
          <w:sz w:val="32"/>
          <w:szCs w:val="20"/>
          <w:highlight w:val="none"/>
        </w:rPr>
        <w:t>100</w:t>
      </w:r>
      <w:r>
        <w:rPr>
          <w:rFonts w:hint="eastAsia" w:ascii="仿宋_GB2312" w:hAnsi="仿宋_GB2312" w:eastAsia="仿宋_GB2312" w:cs="仿宋_GB2312"/>
          <w:color w:val="auto"/>
          <w:kern w:val="0"/>
          <w:sz w:val="32"/>
          <w:szCs w:val="20"/>
          <w:highlight w:val="none"/>
        </w:rPr>
        <w:t>%。</w:t>
      </w:r>
      <w:r>
        <w:rPr>
          <w:rFonts w:hint="eastAsia" w:ascii="仿宋_GB2312" w:hAnsi="仿宋_GB2312" w:eastAsia="仿宋_GB2312" w:cs="仿宋_GB2312"/>
          <w:color w:val="auto"/>
          <w:sz w:val="32"/>
          <w:highlight w:val="none"/>
        </w:rPr>
        <w:t>根据《广东省人民政府办公厅关于加快发展保障性租赁住房的实施意见》《关于进一步做好公租房有关工作的实施意见》《关于因地制宜发展共有产权住房的指导意见》《关于印发&lt;广东省住房和城乡建设厅</w:t>
      </w:r>
      <w:r>
        <w:rPr>
          <w:rFonts w:hint="eastAsia" w:ascii="仿宋_GB2312" w:hAnsi="仿宋_GB2312" w:eastAsia="仿宋_GB2312" w:cs="仿宋_GB2312"/>
          <w:color w:val="auto"/>
          <w:sz w:val="32"/>
          <w:highlight w:val="none"/>
          <w:lang w:val="en-US" w:eastAsia="zh-CN"/>
        </w:rPr>
        <w:t xml:space="preserve"> </w:t>
      </w:r>
      <w:r>
        <w:rPr>
          <w:rFonts w:hint="eastAsia" w:ascii="仿宋_GB2312" w:hAnsi="仿宋_GB2312" w:eastAsia="仿宋_GB2312" w:cs="仿宋_GB2312"/>
          <w:color w:val="auto"/>
          <w:sz w:val="32"/>
          <w:highlight w:val="none"/>
        </w:rPr>
        <w:t>广东省财政厅关于广东省政府购买棚户区改造服务的管理办法&gt;的通知》等政策文件，能够为项目规范实施提供</w:t>
      </w:r>
      <w:r>
        <w:rPr>
          <w:rFonts w:hint="eastAsia" w:ascii="仿宋_GB2312" w:hAnsi="仿宋_GB2312" w:eastAsia="仿宋_GB2312" w:cs="仿宋_GB2312"/>
          <w:color w:val="auto"/>
          <w:sz w:val="32"/>
          <w:highlight w:val="none"/>
          <w:lang w:eastAsia="zh-CN"/>
        </w:rPr>
        <w:t>政策支持</w:t>
      </w:r>
      <w:r>
        <w:rPr>
          <w:rFonts w:hint="eastAsia" w:ascii="仿宋_GB2312" w:hAnsi="仿宋_GB2312" w:eastAsia="仿宋_GB2312" w:cs="仿宋_GB2312"/>
          <w:color w:val="auto"/>
          <w:sz w:val="32"/>
          <w:highlight w:val="none"/>
        </w:rPr>
        <w:t>；《广东省人民政府关于印发广东省省级财政专项资金管理办法（试行）的通知》《广东省财政厅关于印发&lt;广东省省级财政资金“双监控”管理暂行办法&gt;的通知》《广东省财政厅 广东省住房和城乡建设厅关于印发广东省住房和城乡建设领域专项资金管理办法的通知》《关于印发&lt;广东省住房和城乡建设厅省级财政资金项目库管理实施细则（试行）&gt;的通知》《关于印发&lt;广东省住房和城乡建设厅预算绩效管理办法&gt;的通知》等文件，能够为项目资金规范使用提供制度保障。</w:t>
      </w:r>
    </w:p>
    <w:p>
      <w:pPr>
        <w:pageBreakBefore w:val="0"/>
        <w:widowControl/>
        <w:kinsoku/>
        <w:wordWrap/>
        <w:overflowPunct/>
        <w:topLinePunct w:val="0"/>
        <w:autoSpaceDE/>
        <w:autoSpaceDN/>
        <w:bidi w:val="0"/>
        <w:adjustRightInd/>
        <w:spacing w:beforeLines="0" w:line="60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szCs w:val="32"/>
          <w:highlight w:val="none"/>
        </w:rPr>
        <w:t>有关市县按照</w:t>
      </w:r>
      <w:r>
        <w:rPr>
          <w:rFonts w:hint="eastAsia" w:ascii="仿宋_GB2312" w:hAnsi="Times New Roman" w:eastAsia="仿宋_GB2312" w:cstheme="minorBidi"/>
          <w:color w:val="auto"/>
          <w:sz w:val="32"/>
          <w:szCs w:val="24"/>
          <w:highlight w:val="none"/>
        </w:rPr>
        <w:t>《广东省财政厅关于提前下达</w:t>
      </w:r>
      <w:r>
        <w:rPr>
          <w:rFonts w:hint="default" w:ascii="Times New Roman" w:hAnsi="Times New Roman" w:eastAsia="仿宋_GB2312" w:cs="Times New Roman"/>
          <w:color w:val="auto"/>
          <w:sz w:val="32"/>
          <w:szCs w:val="24"/>
          <w:highlight w:val="none"/>
        </w:rPr>
        <w:t>2022</w:t>
      </w:r>
      <w:r>
        <w:rPr>
          <w:rFonts w:hint="eastAsia" w:ascii="仿宋_GB2312" w:hAnsi="Times New Roman" w:eastAsia="仿宋_GB2312" w:cstheme="minorBidi"/>
          <w:color w:val="auto"/>
          <w:sz w:val="32"/>
          <w:szCs w:val="24"/>
          <w:highlight w:val="none"/>
        </w:rPr>
        <w:t>年省住房城乡建设厅主管专项资金的通知》</w:t>
      </w:r>
      <w:r>
        <w:rPr>
          <w:rFonts w:hint="eastAsia" w:ascii="仿宋_GB2312" w:hAnsi="Times New Roman" w:eastAsia="仿宋_GB2312" w:cstheme="minorBidi"/>
          <w:color w:val="auto"/>
          <w:sz w:val="32"/>
          <w:szCs w:val="24"/>
          <w:highlight w:val="none"/>
          <w:lang w:eastAsia="zh-CN"/>
        </w:rPr>
        <w:t>《</w:t>
      </w:r>
      <w:r>
        <w:rPr>
          <w:rFonts w:hint="eastAsia" w:ascii="仿宋_GB2312" w:hAnsi="仿宋_GB2312" w:eastAsia="仿宋_GB2312" w:cs="仿宋_GB2312"/>
          <w:color w:val="auto"/>
          <w:sz w:val="32"/>
          <w:highlight w:val="none"/>
        </w:rPr>
        <w:t>广东省住房和城乡建设厅关于印发</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年保障性租赁住房、公租房保障和城镇棚户区改造等计划的通知</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rPr>
        <w:t>下达的绩效目标和计划任务安排</w:t>
      </w:r>
      <w:r>
        <w:rPr>
          <w:rFonts w:hint="eastAsia" w:ascii="仿宋_GB2312" w:hAnsi="仿宋_GB2312" w:eastAsia="仿宋_GB2312" w:cs="仿宋_GB2312"/>
          <w:color w:val="auto"/>
          <w:sz w:val="32"/>
          <w:highlight w:val="none"/>
        </w:rPr>
        <w:t>项目实施计划，项目实施工作安排比较合理。</w:t>
      </w:r>
    </w:p>
    <w:p>
      <w:pPr>
        <w:pageBreakBefore w:val="0"/>
        <w:kinsoku/>
        <w:wordWrap/>
        <w:overflowPunct/>
        <w:topLinePunct w:val="0"/>
        <w:autoSpaceDE/>
        <w:autoSpaceDN/>
        <w:bidi w:val="0"/>
        <w:adjustRightInd/>
        <w:spacing w:beforeLines="0" w:line="60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bookmarkStart w:id="42" w:name="_Toc11611"/>
      <w:bookmarkStart w:id="43" w:name="_Toc2006"/>
      <w:bookmarkStart w:id="44" w:name="_Toc2129"/>
      <w:bookmarkStart w:id="45" w:name="_Toc1617"/>
      <w:bookmarkStart w:id="46" w:name="_Toc22829"/>
      <w:r>
        <w:rPr>
          <w:rFonts w:hint="default" w:ascii="Times New Roman" w:hAnsi="Times New Roman" w:eastAsia="仿宋_GB2312" w:cs="Times New Roman"/>
          <w:b/>
          <w:bCs/>
          <w:color w:val="auto"/>
          <w:sz w:val="32"/>
          <w:szCs w:val="32"/>
          <w:highlight w:val="none"/>
        </w:rPr>
        <w:t>2</w:t>
      </w:r>
      <w:r>
        <w:rPr>
          <w:rFonts w:hint="eastAsia" w:ascii="仿宋_GB2312" w:hAnsi="仿宋_GB2312" w:eastAsia="仿宋_GB2312" w:cs="仿宋_GB2312"/>
          <w:b/>
          <w:bCs/>
          <w:color w:val="auto"/>
          <w:sz w:val="32"/>
          <w:szCs w:val="32"/>
          <w:highlight w:val="none"/>
        </w:rPr>
        <w:t>.资金落实情况</w:t>
      </w:r>
      <w:bookmarkEnd w:id="42"/>
      <w:bookmarkEnd w:id="43"/>
      <w:bookmarkEnd w:id="44"/>
      <w:r>
        <w:rPr>
          <w:rFonts w:hint="eastAsia" w:ascii="仿宋_GB2312" w:hAnsi="仿宋_GB2312" w:eastAsia="仿宋_GB2312" w:cs="仿宋_GB2312"/>
          <w:b/>
          <w:bCs/>
          <w:color w:val="auto"/>
          <w:sz w:val="32"/>
          <w:szCs w:val="32"/>
          <w:highlight w:val="none"/>
        </w:rPr>
        <w:t>。</w:t>
      </w:r>
      <w:bookmarkEnd w:id="45"/>
      <w:bookmarkEnd w:id="46"/>
    </w:p>
    <w:p>
      <w:pPr>
        <w:pageBreakBefore w:val="0"/>
        <w:widowControl/>
        <w:kinsoku/>
        <w:wordWrap/>
        <w:overflowPunct/>
        <w:topLinePunct w:val="0"/>
        <w:autoSpaceDE/>
        <w:autoSpaceDN/>
        <w:bidi w:val="0"/>
        <w:adjustRightInd/>
        <w:spacing w:beforeLines="0" w:line="600" w:lineRule="exact"/>
        <w:ind w:firstLine="640" w:firstLineChars="200"/>
        <w:textAlignment w:val="auto"/>
        <w:rPr>
          <w:rFonts w:hint="eastAsia" w:ascii="仿宋_GB2312" w:hAnsi="仿宋_GB2312" w:eastAsia="仿宋_GB2312" w:cs="仿宋_GB2312"/>
          <w:color w:val="0000FF"/>
          <w:kern w:val="0"/>
          <w:sz w:val="32"/>
          <w:szCs w:val="32"/>
          <w:highlight w:val="none"/>
          <w:lang w:eastAsia="zh-CN"/>
        </w:rPr>
      </w:pP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1</w:t>
      </w:r>
      <w:r>
        <w:rPr>
          <w:rFonts w:hint="eastAsia" w:ascii="仿宋_GB2312" w:hAnsi="仿宋_GB2312" w:eastAsia="仿宋_GB2312" w:cs="仿宋_GB2312"/>
          <w:color w:val="auto"/>
          <w:sz w:val="32"/>
          <w:szCs w:val="32"/>
          <w:highlight w:val="none"/>
        </w:rPr>
        <w:t>）资金到位。该指标分值</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auto"/>
          <w:sz w:val="32"/>
          <w:szCs w:val="32"/>
          <w:highlight w:val="none"/>
        </w:rPr>
        <w:t>分，评价得分</w:t>
      </w: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分，得分率为</w:t>
      </w:r>
      <w:r>
        <w:rPr>
          <w:rFonts w:hint="default" w:ascii="Times New Roman" w:hAnsi="Times New Roman" w:eastAsia="仿宋_GB2312" w:cs="Times New Roman"/>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highlight w:val="none"/>
        </w:rPr>
        <w:t>2022</w:t>
      </w:r>
      <w:r>
        <w:rPr>
          <w:rFonts w:hint="eastAsia" w:ascii="仿宋_GB2312" w:hAnsi="仿宋_GB2312" w:eastAsia="仿宋_GB2312" w:cs="仿宋_GB2312"/>
          <w:color w:val="auto"/>
          <w:sz w:val="32"/>
          <w:highlight w:val="none"/>
        </w:rPr>
        <w:t>年省财政安排的专项资金预算指标已全部及时下达并足额落实到位，应到位</w:t>
      </w:r>
      <w:r>
        <w:rPr>
          <w:rFonts w:hint="eastAsia" w:ascii="仿宋_GB2312" w:hAnsi="仿宋_GB2312" w:eastAsia="仿宋_GB2312" w:cs="仿宋_GB2312"/>
          <w:color w:val="auto"/>
          <w:sz w:val="32"/>
          <w:highlight w:val="none"/>
          <w:lang w:eastAsia="zh-CN"/>
        </w:rPr>
        <w:t>预算</w:t>
      </w:r>
      <w:r>
        <w:rPr>
          <w:rFonts w:hint="eastAsia" w:ascii="仿宋_GB2312" w:hAnsi="仿宋_GB2312" w:eastAsia="仿宋_GB2312" w:cs="仿宋_GB2312"/>
          <w:color w:val="auto"/>
          <w:sz w:val="32"/>
          <w:highlight w:val="none"/>
        </w:rPr>
        <w:t>金额</w:t>
      </w:r>
      <w:r>
        <w:rPr>
          <w:rFonts w:hint="default" w:ascii="Times New Roman" w:hAnsi="Times New Roman" w:eastAsia="仿宋_GB2312" w:cs="Times New Roman"/>
          <w:color w:val="auto"/>
          <w:sz w:val="32"/>
          <w:highlight w:val="none"/>
        </w:rPr>
        <w:t>54</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235</w:t>
      </w:r>
      <w:r>
        <w:rPr>
          <w:rFonts w:hint="eastAsia" w:ascii="Times New Roman" w:hAnsi="Times New Roman" w:eastAsia="仿宋_GB2312" w:cs="Times New Roman"/>
          <w:color w:val="auto"/>
          <w:sz w:val="32"/>
          <w:highlight w:val="none"/>
          <w:lang w:val="en-US" w:eastAsia="zh-CN"/>
        </w:rPr>
        <w:t>.00</w:t>
      </w:r>
      <w:r>
        <w:rPr>
          <w:rFonts w:hint="eastAsia" w:ascii="仿宋_GB2312" w:hAnsi="仿宋_GB2312" w:eastAsia="仿宋_GB2312" w:cs="仿宋_GB2312"/>
          <w:color w:val="auto"/>
          <w:sz w:val="32"/>
          <w:highlight w:val="none"/>
        </w:rPr>
        <w:t>万元，实际到位</w:t>
      </w:r>
      <w:r>
        <w:rPr>
          <w:rFonts w:hint="default" w:ascii="Times New Roman" w:hAnsi="Times New Roman" w:eastAsia="仿宋_GB2312" w:cs="Times New Roman"/>
          <w:color w:val="auto"/>
          <w:sz w:val="32"/>
          <w:highlight w:val="none"/>
        </w:rPr>
        <w:t>54</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235</w:t>
      </w:r>
      <w:r>
        <w:rPr>
          <w:rFonts w:hint="eastAsia" w:ascii="Times New Roman" w:hAnsi="Times New Roman" w:eastAsia="仿宋_GB2312" w:cs="Times New Roman"/>
          <w:color w:val="auto"/>
          <w:sz w:val="32"/>
          <w:highlight w:val="none"/>
          <w:lang w:val="en-US" w:eastAsia="zh-CN"/>
        </w:rPr>
        <w:t>.00</w:t>
      </w:r>
      <w:r>
        <w:rPr>
          <w:rFonts w:hint="eastAsia" w:ascii="仿宋_GB2312" w:hAnsi="仿宋_GB2312" w:eastAsia="仿宋_GB2312" w:cs="仿宋_GB2312"/>
          <w:color w:val="auto"/>
          <w:sz w:val="32"/>
          <w:highlight w:val="none"/>
        </w:rPr>
        <w:t>万元，资金到位率</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%，各类来源的资金已足额到位。有关地市收到省财政下达的预算资金后均按照规定将专项资金预算指标转分配下达到县（市、区</w:t>
      </w:r>
      <w:r>
        <w:rPr>
          <w:rFonts w:hint="eastAsia" w:ascii="仿宋_GB2312" w:hAnsi="仿宋_GB2312" w:eastAsia="仿宋_GB2312" w:cs="仿宋_GB2312"/>
          <w:color w:val="auto"/>
          <w:sz w:val="32"/>
          <w:highlight w:val="none"/>
          <w:lang w:eastAsia="zh-CN"/>
        </w:rPr>
        <w:t>）。</w:t>
      </w:r>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color w:val="auto"/>
          <w:kern w:val="2"/>
          <w:sz w:val="32"/>
          <w:szCs w:val="32"/>
          <w:highlight w:val="none"/>
        </w:rPr>
        <w:t>2</w:t>
      </w:r>
      <w:r>
        <w:rPr>
          <w:rFonts w:hint="eastAsia" w:ascii="仿宋_GB2312" w:hAnsi="仿宋_GB2312" w:eastAsia="仿宋_GB2312" w:cs="仿宋_GB2312"/>
          <w:color w:val="auto"/>
          <w:kern w:val="2"/>
          <w:sz w:val="32"/>
          <w:szCs w:val="32"/>
          <w:highlight w:val="none"/>
        </w:rPr>
        <w:t>）资金分配。该指标分值</w:t>
      </w:r>
      <w:r>
        <w:rPr>
          <w:rFonts w:hint="default" w:ascii="Times New Roman" w:hAnsi="Times New Roman" w:eastAsia="仿宋_GB2312" w:cs="Times New Roman"/>
          <w:color w:val="auto"/>
          <w:kern w:val="2"/>
          <w:sz w:val="32"/>
          <w:szCs w:val="32"/>
          <w:highlight w:val="none"/>
        </w:rPr>
        <w:t>3</w:t>
      </w:r>
      <w:r>
        <w:rPr>
          <w:rFonts w:hint="eastAsia" w:ascii="仿宋_GB2312" w:hAnsi="仿宋_GB2312" w:eastAsia="仿宋_GB2312" w:cs="仿宋_GB2312"/>
          <w:color w:val="auto"/>
          <w:kern w:val="2"/>
          <w:sz w:val="32"/>
          <w:szCs w:val="32"/>
          <w:highlight w:val="none"/>
        </w:rPr>
        <w:t>分，评价得分</w:t>
      </w:r>
      <w:r>
        <w:rPr>
          <w:rFonts w:hint="default" w:ascii="Times New Roman" w:hAnsi="Times New Roman" w:eastAsia="仿宋_GB2312" w:cs="Times New Roman"/>
          <w:color w:val="auto"/>
          <w:kern w:val="2"/>
          <w:sz w:val="32"/>
          <w:szCs w:val="32"/>
          <w:highlight w:val="none"/>
        </w:rPr>
        <w:t>3</w:t>
      </w:r>
      <w:r>
        <w:rPr>
          <w:rFonts w:hint="eastAsia" w:ascii="仿宋_GB2312" w:hAnsi="仿宋_GB2312" w:eastAsia="仿宋_GB2312" w:cs="仿宋_GB2312"/>
          <w:color w:val="auto"/>
          <w:kern w:val="2"/>
          <w:sz w:val="32"/>
          <w:szCs w:val="32"/>
          <w:highlight w:val="none"/>
        </w:rPr>
        <w:t>分，得分率为</w:t>
      </w:r>
      <w:r>
        <w:rPr>
          <w:rFonts w:hint="default" w:ascii="Times New Roman" w:hAnsi="Times New Roman" w:eastAsia="仿宋_GB2312" w:cs="Times New Roman"/>
          <w:color w:val="auto"/>
          <w:kern w:val="2"/>
          <w:sz w:val="32"/>
          <w:szCs w:val="32"/>
          <w:highlight w:val="none"/>
        </w:rPr>
        <w:t>100</w:t>
      </w:r>
      <w:r>
        <w:rPr>
          <w:rFonts w:hint="eastAsia" w:ascii="仿宋_GB2312" w:hAnsi="仿宋_GB2312" w:eastAsia="仿宋_GB2312" w:cs="仿宋_GB2312"/>
          <w:color w:val="auto"/>
          <w:kern w:val="2"/>
          <w:sz w:val="32"/>
          <w:szCs w:val="32"/>
          <w:highlight w:val="none"/>
        </w:rPr>
        <w:t>%。根据</w:t>
      </w:r>
      <w:r>
        <w:rPr>
          <w:rFonts w:hint="default" w:ascii="Times New Roman" w:hAnsi="Times New Roman" w:eastAsia="仿宋_GB2312" w:cs="Times New Roman"/>
          <w:color w:val="auto"/>
          <w:kern w:val="2"/>
          <w:sz w:val="32"/>
          <w:szCs w:val="32"/>
          <w:highlight w:val="none"/>
        </w:rPr>
        <w:t>202</w:t>
      </w:r>
      <w:r>
        <w:rPr>
          <w:rFonts w:hint="default" w:ascii="Times New Roman" w:hAnsi="Times New Roman" w:eastAsia="仿宋_GB2312" w:cs="Times New Roman"/>
          <w:color w:val="auto"/>
          <w:kern w:val="2"/>
          <w:sz w:val="32"/>
          <w:szCs w:val="32"/>
          <w:highlight w:val="none"/>
          <w:lang w:eastAsia="zh-CN"/>
        </w:rPr>
        <w:t>2</w:t>
      </w:r>
      <w:r>
        <w:rPr>
          <w:rFonts w:hint="eastAsia" w:ascii="仿宋_GB2312" w:hAnsi="仿宋_GB2312" w:eastAsia="仿宋_GB2312" w:cs="仿宋_GB2312"/>
          <w:color w:val="auto"/>
          <w:kern w:val="2"/>
          <w:sz w:val="32"/>
          <w:szCs w:val="32"/>
          <w:highlight w:val="none"/>
        </w:rPr>
        <w:t>年</w:t>
      </w:r>
      <w:r>
        <w:rPr>
          <w:rFonts w:hint="eastAsia" w:ascii="仿宋_GB2312" w:eastAsia="仿宋_GB2312"/>
          <w:color w:val="auto"/>
          <w:sz w:val="32"/>
          <w:highlight w:val="none"/>
          <w:lang w:val="en-US" w:eastAsia="zh-CN"/>
        </w:rPr>
        <w:t>专项</w:t>
      </w:r>
      <w:r>
        <w:rPr>
          <w:rFonts w:hint="eastAsia" w:ascii="仿宋_GB2312" w:hAnsi="仿宋_GB2312" w:eastAsia="仿宋_GB2312" w:cs="仿宋_GB2312"/>
          <w:color w:val="auto"/>
          <w:kern w:val="2"/>
          <w:sz w:val="32"/>
          <w:szCs w:val="32"/>
          <w:highlight w:val="none"/>
        </w:rPr>
        <w:t>资金总盘子和各市申报的</w:t>
      </w:r>
      <w:r>
        <w:rPr>
          <w:rFonts w:hint="default" w:ascii="Times New Roman" w:hAnsi="Times New Roman" w:eastAsia="仿宋_GB2312" w:cs="Times New Roman"/>
          <w:color w:val="auto"/>
          <w:kern w:val="2"/>
          <w:sz w:val="32"/>
          <w:szCs w:val="32"/>
          <w:highlight w:val="none"/>
        </w:rPr>
        <w:t>202</w:t>
      </w:r>
      <w:r>
        <w:rPr>
          <w:rFonts w:hint="default" w:ascii="Times New Roman" w:hAnsi="Times New Roman" w:eastAsia="仿宋_GB2312" w:cs="Times New Roman"/>
          <w:color w:val="auto"/>
          <w:kern w:val="2"/>
          <w:sz w:val="32"/>
          <w:szCs w:val="32"/>
          <w:highlight w:val="none"/>
          <w:lang w:eastAsia="zh-CN"/>
        </w:rPr>
        <w:t>2</w:t>
      </w:r>
      <w:r>
        <w:rPr>
          <w:rFonts w:hint="eastAsia" w:ascii="仿宋_GB2312" w:hAnsi="仿宋_GB2312" w:eastAsia="仿宋_GB2312" w:cs="仿宋_GB2312"/>
          <w:color w:val="auto"/>
          <w:kern w:val="2"/>
          <w:sz w:val="32"/>
          <w:szCs w:val="32"/>
          <w:highlight w:val="none"/>
        </w:rPr>
        <w:t>年</w:t>
      </w:r>
      <w:r>
        <w:rPr>
          <w:rFonts w:hint="eastAsia" w:ascii="仿宋_GB2312" w:eastAsia="仿宋_GB2312"/>
          <w:color w:val="auto"/>
          <w:sz w:val="32"/>
          <w:highlight w:val="none"/>
          <w:lang w:val="en-US" w:eastAsia="zh-CN"/>
        </w:rPr>
        <w:t>保障性安居工程建设</w:t>
      </w:r>
      <w:r>
        <w:rPr>
          <w:rFonts w:hint="eastAsia" w:ascii="仿宋_GB2312" w:hAnsi="仿宋_GB2312" w:eastAsia="仿宋_GB2312" w:cs="仿宋_GB2312"/>
          <w:color w:val="auto"/>
          <w:kern w:val="2"/>
          <w:sz w:val="32"/>
          <w:szCs w:val="32"/>
          <w:highlight w:val="none"/>
        </w:rPr>
        <w:t>计划任务，采用因素法，以各市申报的</w:t>
      </w:r>
      <w:r>
        <w:rPr>
          <w:rFonts w:hint="eastAsia" w:ascii="仿宋_GB2312" w:hAnsi="Times New Roman" w:eastAsia="仿宋_GB2312"/>
          <w:color w:val="auto"/>
          <w:sz w:val="32"/>
          <w:highlight w:val="none"/>
          <w:lang w:bidi="ar"/>
        </w:rPr>
        <w:t>年度保障性租赁住房</w:t>
      </w:r>
      <w:r>
        <w:rPr>
          <w:rFonts w:hint="eastAsia" w:ascii="仿宋_GB2312" w:hAnsi="Times New Roman" w:eastAsia="仿宋_GB2312"/>
          <w:color w:val="auto"/>
          <w:sz w:val="32"/>
          <w:highlight w:val="none"/>
          <w:lang w:val="en-US" w:eastAsia="zh-CN" w:bidi="ar"/>
        </w:rPr>
        <w:t>筹建</w:t>
      </w:r>
      <w:r>
        <w:rPr>
          <w:rFonts w:hint="eastAsia" w:ascii="仿宋_GB2312" w:hAnsi="Times New Roman" w:eastAsia="仿宋_GB2312"/>
          <w:color w:val="auto"/>
          <w:sz w:val="32"/>
          <w:highlight w:val="none"/>
        </w:rPr>
        <w:t>套数</w:t>
      </w:r>
      <w:r>
        <w:rPr>
          <w:rFonts w:hint="eastAsia" w:ascii="仿宋_GB2312" w:hAnsi="Times New Roman" w:eastAsia="仿宋_GB2312"/>
          <w:color w:val="auto"/>
          <w:sz w:val="32"/>
          <w:highlight w:val="none"/>
          <w:lang w:eastAsia="zh-CN"/>
        </w:rPr>
        <w:t>、</w:t>
      </w:r>
      <w:r>
        <w:rPr>
          <w:rFonts w:hint="eastAsia" w:ascii="仿宋_GB2312" w:hAnsi="Times New Roman" w:eastAsia="仿宋_GB2312"/>
          <w:color w:val="auto"/>
          <w:sz w:val="32"/>
          <w:highlight w:val="none"/>
          <w:lang w:val="en-US" w:eastAsia="zh-CN"/>
        </w:rPr>
        <w:t>公租房筹建</w:t>
      </w:r>
      <w:r>
        <w:rPr>
          <w:rFonts w:hint="eastAsia" w:ascii="仿宋_GB2312" w:hAnsi="Times New Roman" w:eastAsia="仿宋_GB2312"/>
          <w:color w:val="auto"/>
          <w:sz w:val="32"/>
          <w:highlight w:val="none"/>
        </w:rPr>
        <w:t>套数</w:t>
      </w:r>
      <w:r>
        <w:rPr>
          <w:rFonts w:hint="eastAsia" w:ascii="仿宋_GB2312" w:hAnsi="Times New Roman" w:eastAsia="仿宋_GB2312"/>
          <w:color w:val="auto"/>
          <w:sz w:val="32"/>
          <w:highlight w:val="none"/>
          <w:lang w:val="en-US" w:eastAsia="zh-CN"/>
        </w:rPr>
        <w:t>、共有产权住</w:t>
      </w:r>
      <w:r>
        <w:rPr>
          <w:rFonts w:hint="eastAsia" w:ascii="仿宋_GB2312" w:hAnsi="等线" w:eastAsia="仿宋_GB2312"/>
          <w:sz w:val="32"/>
          <w:lang w:val="en-US" w:eastAsia="zh-CN"/>
        </w:rPr>
        <w:t>房筹建</w:t>
      </w:r>
      <w:r>
        <w:rPr>
          <w:rFonts w:hint="eastAsia" w:ascii="仿宋_GB2312" w:hAnsi="等线" w:eastAsia="仿宋_GB2312"/>
          <w:sz w:val="32"/>
        </w:rPr>
        <w:t>套数、租赁补贴实施发放户数</w:t>
      </w:r>
      <w:r>
        <w:rPr>
          <w:rFonts w:hint="eastAsia" w:ascii="仿宋_GB2312" w:hAnsi="等线" w:eastAsia="仿宋_GB2312"/>
          <w:sz w:val="32"/>
          <w:lang w:eastAsia="zh-CN"/>
        </w:rPr>
        <w:t>、</w:t>
      </w:r>
      <w:r>
        <w:rPr>
          <w:rFonts w:hint="eastAsia" w:ascii="仿宋_GB2312" w:hAnsi="等线" w:eastAsia="仿宋_GB2312"/>
          <w:color w:val="auto"/>
          <w:sz w:val="32"/>
          <w:highlight w:val="none"/>
          <w:lang w:val="en-US" w:eastAsia="zh-CN"/>
        </w:rPr>
        <w:t>棚户区计划</w:t>
      </w:r>
      <w:r>
        <w:rPr>
          <w:rFonts w:hint="eastAsia" w:ascii="仿宋_GB2312" w:hAnsi="等线" w:eastAsia="仿宋_GB2312"/>
          <w:color w:val="auto"/>
          <w:sz w:val="32"/>
          <w:szCs w:val="24"/>
          <w:highlight w:val="none"/>
        </w:rPr>
        <w:t>改造套数</w:t>
      </w:r>
      <w:r>
        <w:rPr>
          <w:rFonts w:hint="eastAsia" w:ascii="仿宋_GB2312" w:hAnsi="等线" w:eastAsia="仿宋_GB2312"/>
          <w:color w:val="auto"/>
          <w:sz w:val="32"/>
          <w:szCs w:val="24"/>
          <w:highlight w:val="none"/>
          <w:lang w:val="en-US" w:eastAsia="zh-CN"/>
        </w:rPr>
        <w:t>等</w:t>
      </w:r>
      <w:r>
        <w:rPr>
          <w:rFonts w:hint="eastAsia" w:ascii="仿宋_GB2312" w:hAnsi="仿宋_GB2312" w:eastAsia="仿宋_GB2312" w:cs="仿宋_GB2312"/>
          <w:color w:val="auto"/>
          <w:kern w:val="2"/>
          <w:sz w:val="32"/>
          <w:szCs w:val="32"/>
          <w:highlight w:val="none"/>
        </w:rPr>
        <w:t>为主要因素，我厅拟定资金分配方案，经省财政厅复核后于</w:t>
      </w:r>
      <w:r>
        <w:rPr>
          <w:rFonts w:hint="default" w:ascii="Times New Roman" w:hAnsi="Times New Roman" w:eastAsia="仿宋_GB2312" w:cs="Times New Roman"/>
          <w:color w:val="auto"/>
          <w:kern w:val="2"/>
          <w:sz w:val="32"/>
          <w:szCs w:val="32"/>
          <w:highlight w:val="none"/>
        </w:rPr>
        <w:t>202</w:t>
      </w:r>
      <w:r>
        <w:rPr>
          <w:rFonts w:hint="default" w:ascii="Times New Roman" w:hAnsi="Times New Roman" w:eastAsia="仿宋_GB2312" w:cs="Times New Roman"/>
          <w:color w:val="auto"/>
          <w:kern w:val="2"/>
          <w:sz w:val="32"/>
          <w:szCs w:val="32"/>
          <w:highlight w:val="none"/>
          <w:lang w:eastAsia="zh-CN"/>
        </w:rPr>
        <w:t>1</w:t>
      </w:r>
      <w:r>
        <w:rPr>
          <w:rFonts w:hint="eastAsia" w:ascii="仿宋_GB2312" w:hAnsi="仿宋_GB2312" w:eastAsia="仿宋_GB2312" w:cs="仿宋_GB2312"/>
          <w:color w:val="auto"/>
          <w:kern w:val="2"/>
          <w:sz w:val="32"/>
          <w:szCs w:val="32"/>
          <w:highlight w:val="none"/>
        </w:rPr>
        <w:t>年底将专项资金分配下达地市。有关地市按所辖县（市、区）入库申报的</w:t>
      </w:r>
      <w:r>
        <w:rPr>
          <w:rFonts w:hint="eastAsia" w:ascii="仿宋_GB2312" w:eastAsia="仿宋_GB2312"/>
          <w:color w:val="auto"/>
          <w:sz w:val="32"/>
          <w:highlight w:val="none"/>
          <w:lang w:val="en-US" w:eastAsia="zh-CN"/>
        </w:rPr>
        <w:t>保障性安居工程</w:t>
      </w:r>
      <w:r>
        <w:rPr>
          <w:rFonts w:hint="eastAsia" w:ascii="仿宋_GB2312" w:hAnsi="仿宋_GB2312" w:eastAsia="仿宋_GB2312" w:cs="仿宋_GB2312"/>
          <w:color w:val="auto"/>
          <w:kern w:val="2"/>
          <w:sz w:val="32"/>
          <w:szCs w:val="32"/>
          <w:highlight w:val="none"/>
        </w:rPr>
        <w:t>计划任务数，将省级资金转分配下达到县（市、区）。省级资金分配合理，有助于实现资金的绩效目标。</w:t>
      </w:r>
    </w:p>
    <w:p>
      <w:pPr>
        <w:keepNext/>
        <w:keepLines/>
        <w:pageBreakBefore w:val="0"/>
        <w:kinsoku/>
        <w:wordWrap/>
        <w:overflowPunct/>
        <w:topLinePunct w:val="0"/>
        <w:autoSpaceDE/>
        <w:autoSpaceDN/>
        <w:bidi w:val="0"/>
        <w:adjustRightInd/>
        <w:snapToGrid w:val="0"/>
        <w:spacing w:beforeLines="0" w:line="600" w:lineRule="exact"/>
        <w:ind w:firstLine="642" w:firstLineChars="200"/>
        <w:textAlignment w:val="auto"/>
        <w:outlineLvl w:val="1"/>
        <w:rPr>
          <w:rFonts w:hint="eastAsia" w:ascii="仿宋_GB2312" w:hAnsi="仿宋_GB2312" w:eastAsia="仿宋_GB2312" w:cs="仿宋_GB2312"/>
          <w:b/>
          <w:bCs/>
          <w:color w:val="auto"/>
          <w:kern w:val="0"/>
          <w:sz w:val="32"/>
          <w:szCs w:val="32"/>
          <w:highlight w:val="none"/>
        </w:rPr>
      </w:pPr>
      <w:bookmarkStart w:id="47" w:name="_Toc25955"/>
      <w:bookmarkStart w:id="48" w:name="_Toc24031"/>
      <w:bookmarkStart w:id="49" w:name="_Toc15451"/>
      <w:bookmarkStart w:id="50" w:name="_Toc17340"/>
      <w:bookmarkStart w:id="51" w:name="_Toc18617_WPSOffice_Level3"/>
      <w:bookmarkStart w:id="52" w:name="_Toc30614"/>
      <w:bookmarkStart w:id="53" w:name="_Toc7393"/>
      <w:bookmarkStart w:id="54" w:name="_Toc5000"/>
      <w:r>
        <w:rPr>
          <w:rFonts w:hint="eastAsia" w:ascii="仿宋_GB2312" w:hAnsi="仿宋_GB2312" w:eastAsia="仿宋_GB2312" w:cs="仿宋_GB2312"/>
          <w:b/>
          <w:bCs/>
          <w:color w:val="auto"/>
          <w:kern w:val="0"/>
          <w:sz w:val="32"/>
          <w:szCs w:val="32"/>
          <w:highlight w:val="none"/>
        </w:rPr>
        <w:t>（二）过程分析</w:t>
      </w:r>
      <w:bookmarkEnd w:id="47"/>
      <w:bookmarkEnd w:id="48"/>
      <w:bookmarkEnd w:id="49"/>
      <w:bookmarkEnd w:id="50"/>
      <w:bookmarkEnd w:id="51"/>
      <w:bookmarkEnd w:id="52"/>
      <w:bookmarkEnd w:id="53"/>
      <w:bookmarkEnd w:id="54"/>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该指标主要从资金管理和事项管理两个方面考核项目资金支付情况，资金支出的规范性，项目实施的规范性和监管的有效性。指标分值</w:t>
      </w:r>
      <w:r>
        <w:rPr>
          <w:rFonts w:hint="default" w:ascii="Times New Roman" w:hAnsi="Times New Roman" w:eastAsia="仿宋_GB2312" w:cs="Times New Roman"/>
          <w:color w:val="auto"/>
          <w:sz w:val="32"/>
          <w:highlight w:val="none"/>
        </w:rPr>
        <w:t>20</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19</w:t>
      </w:r>
      <w:r>
        <w:rPr>
          <w:rFonts w:hint="eastAsia" w:ascii="仿宋_GB2312" w:hAnsi="仿宋_GB2312" w:eastAsia="仿宋_GB2312" w:cs="仿宋_GB2312"/>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61</w:t>
      </w:r>
      <w:r>
        <w:rPr>
          <w:rFonts w:hint="eastAsia" w:ascii="仿宋_GB2312" w:hAnsi="仿宋_GB2312" w:eastAsia="仿宋_GB2312" w:cs="仿宋_GB2312"/>
          <w:color w:val="auto"/>
          <w:sz w:val="32"/>
          <w:highlight w:val="none"/>
        </w:rPr>
        <w:t>分，得分率</w:t>
      </w:r>
      <w:r>
        <w:rPr>
          <w:rFonts w:hint="eastAsia" w:ascii="仿宋_GB2312" w:hAnsi="仿宋_GB2312" w:eastAsia="仿宋_GB2312" w:cs="仿宋_GB2312"/>
          <w:color w:val="0000FF"/>
          <w:sz w:val="32"/>
          <w:highlight w:val="none"/>
        </w:rPr>
        <w:t>为</w:t>
      </w:r>
      <w:r>
        <w:rPr>
          <w:rFonts w:hint="default" w:ascii="Times New Roman" w:hAnsi="Times New Roman" w:eastAsia="仿宋_GB2312" w:cs="Times New Roman"/>
          <w:color w:val="0000FF"/>
          <w:sz w:val="32"/>
          <w:highlight w:val="none"/>
          <w:lang w:val="en-US" w:eastAsia="zh-CN"/>
        </w:rPr>
        <w:t>9</w:t>
      </w:r>
      <w:r>
        <w:rPr>
          <w:rFonts w:hint="eastAsia" w:ascii="Times New Roman" w:hAnsi="Times New Roman" w:eastAsia="仿宋_GB2312" w:cs="Times New Roman"/>
          <w:color w:val="0000FF"/>
          <w:sz w:val="32"/>
          <w:highlight w:val="none"/>
          <w:lang w:val="en-US" w:eastAsia="zh-CN"/>
        </w:rPr>
        <w:t>8.05</w:t>
      </w:r>
      <w:r>
        <w:rPr>
          <w:rFonts w:hint="eastAsia" w:ascii="仿宋_GB2312" w:hAnsi="仿宋_GB2312" w:eastAsia="仿宋_GB2312" w:cs="仿宋_GB2312"/>
          <w:color w:val="0000FF"/>
          <w:sz w:val="32"/>
          <w:highlight w:val="none"/>
        </w:rPr>
        <w:t>%。</w:t>
      </w:r>
    </w:p>
    <w:p>
      <w:pPr>
        <w:pageBreakBefore w:val="0"/>
        <w:kinsoku/>
        <w:wordWrap/>
        <w:overflowPunct/>
        <w:topLinePunct w:val="0"/>
        <w:autoSpaceDE/>
        <w:autoSpaceDN/>
        <w:bidi w:val="0"/>
        <w:adjustRightInd/>
        <w:spacing w:beforeLines="0" w:line="60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bookmarkStart w:id="55" w:name="_Toc15650"/>
      <w:bookmarkStart w:id="56" w:name="_Toc32098"/>
      <w:bookmarkStart w:id="57" w:name="_Toc22710"/>
      <w:bookmarkStart w:id="58" w:name="_Toc15176"/>
      <w:bookmarkStart w:id="59" w:name="_Toc11341"/>
      <w:r>
        <w:rPr>
          <w:rFonts w:hint="default" w:ascii="Times New Roman" w:hAnsi="Times New Roman" w:eastAsia="仿宋_GB2312" w:cs="Times New Roman"/>
          <w:b/>
          <w:bCs/>
          <w:color w:val="auto"/>
          <w:sz w:val="32"/>
          <w:szCs w:val="32"/>
          <w:highlight w:val="none"/>
        </w:rPr>
        <w:t>1</w:t>
      </w:r>
      <w:r>
        <w:rPr>
          <w:rFonts w:hint="eastAsia" w:ascii="仿宋_GB2312" w:hAnsi="仿宋_GB2312" w:eastAsia="仿宋_GB2312" w:cs="仿宋_GB2312"/>
          <w:b/>
          <w:bCs/>
          <w:color w:val="auto"/>
          <w:sz w:val="32"/>
          <w:szCs w:val="32"/>
          <w:highlight w:val="none"/>
        </w:rPr>
        <w:t>.资金管理</w:t>
      </w:r>
      <w:bookmarkEnd w:id="55"/>
      <w:bookmarkEnd w:id="56"/>
      <w:bookmarkEnd w:id="57"/>
      <w:r>
        <w:rPr>
          <w:rFonts w:hint="eastAsia" w:ascii="仿宋_GB2312" w:hAnsi="仿宋_GB2312" w:eastAsia="仿宋_GB2312" w:cs="仿宋_GB2312"/>
          <w:b/>
          <w:bCs/>
          <w:color w:val="auto"/>
          <w:sz w:val="32"/>
          <w:szCs w:val="32"/>
          <w:highlight w:val="none"/>
        </w:rPr>
        <w:t>。</w:t>
      </w:r>
      <w:bookmarkEnd w:id="58"/>
      <w:bookmarkEnd w:id="59"/>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rPr>
        <w:t>）资金支付。该指标分值</w:t>
      </w:r>
      <w:r>
        <w:rPr>
          <w:rFonts w:hint="default" w:ascii="Times New Roman" w:hAnsi="Times New Roman" w:eastAsia="仿宋_GB2312" w:cs="Times New Roman"/>
          <w:color w:val="auto"/>
          <w:sz w:val="32"/>
          <w:highlight w:val="none"/>
        </w:rPr>
        <w:t>6</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eastAsia="zh-CN"/>
        </w:rPr>
        <w:t>5</w:t>
      </w:r>
      <w:r>
        <w:rPr>
          <w:rFonts w:hint="eastAsia" w:ascii="仿宋_GB2312" w:hAnsi="仿宋_GB2312" w:eastAsia="仿宋_GB2312" w:cs="仿宋_GB2312"/>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61</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lang w:eastAsia="zh-CN"/>
        </w:rPr>
        <w:t>9</w:t>
      </w:r>
      <w:r>
        <w:rPr>
          <w:rFonts w:hint="eastAsia" w:ascii="Times New Roman" w:hAnsi="Times New Roman" w:eastAsia="仿宋_GB2312" w:cs="Times New Roman"/>
          <w:color w:val="auto"/>
          <w:sz w:val="32"/>
          <w:highlight w:val="none"/>
          <w:lang w:val="en-US" w:eastAsia="zh-CN"/>
        </w:rPr>
        <w:t>3.55</w:t>
      </w:r>
      <w:r>
        <w:rPr>
          <w:rFonts w:hint="eastAsia" w:ascii="仿宋_GB2312" w:hAnsi="仿宋_GB2312" w:eastAsia="仿宋_GB2312" w:cs="仿宋_GB2312"/>
          <w:color w:val="auto"/>
          <w:sz w:val="32"/>
          <w:highlight w:val="none"/>
        </w:rPr>
        <w:t>%。省财政厅</w:t>
      </w:r>
      <w:r>
        <w:rPr>
          <w:rFonts w:hint="default" w:ascii="Times New Roman" w:hAnsi="Times New Roman" w:eastAsia="仿宋_GB2312" w:cs="Times New Roman"/>
          <w:color w:val="auto"/>
          <w:sz w:val="32"/>
          <w:highlight w:val="none"/>
        </w:rPr>
        <w:t>2021</w:t>
      </w:r>
      <w:r>
        <w:rPr>
          <w:rFonts w:hint="eastAsia" w:ascii="仿宋_GB2312" w:hAnsi="仿宋_GB2312" w:eastAsia="仿宋_GB2312" w:cs="仿宋_GB2312"/>
          <w:color w:val="auto"/>
          <w:sz w:val="32"/>
          <w:highlight w:val="none"/>
        </w:rPr>
        <w:t>年</w:t>
      </w:r>
      <w:r>
        <w:rPr>
          <w:rFonts w:hint="default" w:ascii="Times New Roman" w:hAnsi="Times New Roman" w:eastAsia="仿宋_GB2312" w:cs="Times New Roman"/>
          <w:color w:val="auto"/>
          <w:sz w:val="32"/>
          <w:highlight w:val="none"/>
        </w:rPr>
        <w:t>12</w:t>
      </w:r>
      <w:r>
        <w:rPr>
          <w:rFonts w:hint="eastAsia" w:ascii="仿宋_GB2312" w:hAnsi="仿宋_GB2312" w:eastAsia="仿宋_GB2312" w:cs="仿宋_GB2312"/>
          <w:color w:val="auto"/>
          <w:sz w:val="32"/>
          <w:highlight w:val="none"/>
        </w:rPr>
        <w:t>月</w:t>
      </w:r>
      <w:r>
        <w:rPr>
          <w:rFonts w:hint="default" w:ascii="Times New Roman" w:hAnsi="Times New Roman" w:eastAsia="仿宋_GB2312" w:cs="Times New Roman"/>
          <w:color w:val="auto"/>
          <w:sz w:val="32"/>
          <w:highlight w:val="none"/>
        </w:rPr>
        <w:t>29</w:t>
      </w:r>
      <w:r>
        <w:rPr>
          <w:rFonts w:hint="eastAsia" w:ascii="仿宋_GB2312" w:hAnsi="仿宋_GB2312" w:eastAsia="仿宋_GB2312" w:cs="仿宋_GB2312"/>
          <w:color w:val="auto"/>
          <w:sz w:val="32"/>
          <w:highlight w:val="none"/>
        </w:rPr>
        <w:t>日下达专项资金，按计划预算资金应于</w:t>
      </w:r>
      <w:r>
        <w:rPr>
          <w:rFonts w:hint="default" w:ascii="Times New Roman" w:hAnsi="Times New Roman" w:eastAsia="仿宋_GB2312" w:cs="Times New Roman"/>
          <w:color w:val="auto"/>
          <w:sz w:val="32"/>
          <w:highlight w:val="none"/>
        </w:rPr>
        <w:t>202</w:t>
      </w:r>
      <w:r>
        <w:rPr>
          <w:rFonts w:hint="default"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rPr>
        <w:t>年底前完成支出。截至评价基准日，省级资金已支出</w:t>
      </w:r>
      <w:r>
        <w:rPr>
          <w:rFonts w:hint="default" w:ascii="Times New Roman" w:hAnsi="Times New Roman" w:eastAsia="仿宋_GB2312" w:cs="Times New Roman"/>
          <w:color w:val="auto"/>
          <w:sz w:val="32"/>
          <w:highlight w:val="none"/>
          <w:lang w:val="en-US" w:eastAsia="zh-CN"/>
        </w:rPr>
        <w:t>50</w:t>
      </w:r>
      <w:r>
        <w:rPr>
          <w:rFonts w:hint="eastAsia" w:ascii="仿宋_GB2312" w:hAnsi="仿宋_GB2312" w:eastAsia="仿宋_GB2312" w:cs="仿宋_GB2312"/>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739.27</w:t>
      </w:r>
      <w:r>
        <w:rPr>
          <w:rFonts w:hint="eastAsia" w:ascii="仿宋_GB2312" w:hAnsi="仿宋_GB2312" w:eastAsia="仿宋_GB2312" w:cs="仿宋_GB2312"/>
          <w:color w:val="auto"/>
          <w:sz w:val="32"/>
          <w:highlight w:val="none"/>
        </w:rPr>
        <w:t>万元，资金支出率为</w:t>
      </w:r>
      <w:r>
        <w:rPr>
          <w:rFonts w:hint="default" w:ascii="Times New Roman" w:hAnsi="Times New Roman" w:eastAsia="仿宋_GB2312" w:cs="Times New Roman"/>
          <w:color w:val="auto"/>
          <w:sz w:val="32"/>
          <w:highlight w:val="none"/>
          <w:lang w:eastAsia="zh-CN"/>
        </w:rPr>
        <w:t>9</w:t>
      </w:r>
      <w:r>
        <w:rPr>
          <w:rFonts w:hint="eastAsia" w:ascii="Times New Roman" w:hAnsi="Times New Roman" w:eastAsia="仿宋_GB2312" w:cs="Times New Roman"/>
          <w:color w:val="auto"/>
          <w:sz w:val="32"/>
          <w:highlight w:val="none"/>
          <w:lang w:val="en-US" w:eastAsia="zh-CN"/>
        </w:rPr>
        <w:t>3.55</w:t>
      </w:r>
      <w:r>
        <w:rPr>
          <w:rFonts w:hint="eastAsia" w:ascii="仿宋_GB2312" w:hAnsi="仿宋_GB2312" w:eastAsia="仿宋_GB2312" w:cs="仿宋_GB2312"/>
          <w:color w:val="auto"/>
          <w:sz w:val="32"/>
          <w:highlight w:val="none"/>
        </w:rPr>
        <w:t>%。其中省本级工作经费</w:t>
      </w:r>
      <w:r>
        <w:rPr>
          <w:rFonts w:hint="default" w:ascii="Times New Roman" w:hAnsi="Times New Roman" w:eastAsia="仿宋_GB2312" w:cs="Times New Roman"/>
          <w:color w:val="auto"/>
          <w:sz w:val="32"/>
          <w:highlight w:val="none"/>
        </w:rPr>
        <w:t>350</w:t>
      </w:r>
      <w:r>
        <w:rPr>
          <w:rFonts w:hint="eastAsia" w:ascii="仿宋_GB2312" w:hAnsi="仿宋_GB2312" w:eastAsia="仿宋_GB2312" w:cs="仿宋_GB2312"/>
          <w:color w:val="auto"/>
          <w:sz w:val="32"/>
          <w:highlight w:val="none"/>
        </w:rPr>
        <w:t>万元已支出</w:t>
      </w:r>
      <w:r>
        <w:rPr>
          <w:rFonts w:hint="eastAsia" w:ascii="Times New Roman" w:hAnsi="Times New Roman" w:eastAsia="仿宋_GB2312" w:cs="Times New Roman"/>
          <w:color w:val="auto"/>
          <w:sz w:val="32"/>
          <w:highlight w:val="none"/>
          <w:lang w:val="en-US" w:eastAsia="zh-CN"/>
        </w:rPr>
        <w:t>274.52万元</w:t>
      </w:r>
      <w:r>
        <w:rPr>
          <w:rFonts w:hint="eastAsia" w:ascii="仿宋_GB2312" w:hAnsi="仿宋_GB2312" w:eastAsia="仿宋_GB2312" w:cs="仿宋_GB2312"/>
          <w:color w:val="auto"/>
          <w:sz w:val="32"/>
          <w:highlight w:val="none"/>
        </w:rPr>
        <w:t>，支出率</w:t>
      </w:r>
      <w:r>
        <w:rPr>
          <w:rFonts w:hint="default" w:ascii="Times New Roman" w:hAnsi="Times New Roman" w:eastAsia="仿宋_GB2312" w:cs="Times New Roman"/>
          <w:color w:val="auto"/>
          <w:sz w:val="32"/>
          <w:highlight w:val="none"/>
        </w:rPr>
        <w:t>78.43</w:t>
      </w:r>
      <w:r>
        <w:rPr>
          <w:rFonts w:hint="eastAsia" w:ascii="仿宋_GB2312" w:hAnsi="仿宋_GB2312" w:eastAsia="仿宋_GB2312" w:cs="仿宋_GB2312"/>
          <w:color w:val="auto"/>
          <w:sz w:val="32"/>
          <w:highlight w:val="none"/>
        </w:rPr>
        <w:t>%。预算执行情况见表</w:t>
      </w:r>
      <w:r>
        <w:rPr>
          <w:rFonts w:hint="default" w:ascii="Times New Roman" w:hAnsi="Times New Roman" w:eastAsia="仿宋_GB2312" w:cs="Times New Roman"/>
          <w:color w:val="auto"/>
          <w:sz w:val="32"/>
          <w:highlight w:val="none"/>
        </w:rPr>
        <w:t>4</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rPr>
        <w:t>。</w:t>
      </w:r>
    </w:p>
    <w:p>
      <w:pPr>
        <w:pStyle w:val="42"/>
        <w:pageBreakBefore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p>
    <w:p>
      <w:pPr>
        <w:spacing w:beforeLine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表</w:t>
      </w:r>
      <w:r>
        <w:rPr>
          <w:rFonts w:hint="default" w:ascii="Times New Roman" w:hAnsi="Times New Roman" w:eastAsia="仿宋_GB2312" w:cs="Times New Roman"/>
          <w:color w:val="auto"/>
          <w:sz w:val="28"/>
          <w:szCs w:val="28"/>
          <w:highlight w:val="none"/>
        </w:rPr>
        <w:t>4</w:t>
      </w:r>
      <w:r>
        <w:rPr>
          <w:rFonts w:hint="eastAsia" w:ascii="仿宋_GB2312" w:hAnsi="仿宋_GB2312" w:eastAsia="仿宋_GB2312" w:cs="仿宋_GB2312"/>
          <w:color w:val="auto"/>
          <w:sz w:val="28"/>
          <w:szCs w:val="28"/>
          <w:highlight w:val="none"/>
        </w:rPr>
        <w:t>-</w:t>
      </w:r>
      <w:r>
        <w:rPr>
          <w:rFonts w:hint="default" w:ascii="Times New Roman" w:hAnsi="Times New Roman" w:eastAsia="仿宋_GB2312" w:cs="Times New Roman"/>
          <w:color w:val="auto"/>
          <w:sz w:val="28"/>
          <w:szCs w:val="28"/>
          <w:highlight w:val="none"/>
        </w:rPr>
        <w:t>1</w:t>
      </w: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eastAsia="zh-CN"/>
        </w:rPr>
        <w:t>专项资金</w:t>
      </w:r>
      <w:r>
        <w:rPr>
          <w:rFonts w:hint="eastAsia" w:ascii="仿宋_GB2312" w:hAnsi="仿宋_GB2312" w:eastAsia="仿宋_GB2312" w:cs="仿宋_GB2312"/>
          <w:color w:val="auto"/>
          <w:sz w:val="28"/>
          <w:szCs w:val="28"/>
          <w:highlight w:val="none"/>
        </w:rPr>
        <w:t>预算执行情况</w:t>
      </w:r>
    </w:p>
    <w:tbl>
      <w:tblPr>
        <w:tblStyle w:val="18"/>
        <w:tblW w:w="79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4"/>
        <w:gridCol w:w="1416"/>
        <w:gridCol w:w="1936"/>
        <w:gridCol w:w="1936"/>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blHeader/>
          <w:jc w:val="center"/>
        </w:trPr>
        <w:tc>
          <w:tcPr>
            <w:tcW w:w="754"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41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地市</w:t>
            </w:r>
          </w:p>
        </w:tc>
        <w:tc>
          <w:tcPr>
            <w:tcW w:w="193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预算指标</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万元）</w:t>
            </w:r>
          </w:p>
        </w:tc>
        <w:tc>
          <w:tcPr>
            <w:tcW w:w="193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到位资金</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万元）</w:t>
            </w:r>
          </w:p>
        </w:tc>
        <w:tc>
          <w:tcPr>
            <w:tcW w:w="193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实际支出（万元）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宋体" w:hAnsi="宋体" w:eastAsia="宋体" w:cs="宋体"/>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广州市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4547.25</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4547.25</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4547.25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宋体" w:hAnsi="宋体" w:eastAsia="宋体" w:cs="宋体"/>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珠海市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20034.00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20034.00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20032.58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宋体" w:hAnsi="宋体" w:eastAsia="宋体" w:cs="宋体"/>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汕头市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1710.00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1710.00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宋体" w:hAnsi="宋体" w:eastAsia="宋体" w:cs="宋体"/>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佛山市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6149.40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6149.40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5589.28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宋体" w:hAnsi="宋体" w:eastAsia="宋体" w:cs="宋体"/>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韶关市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1372.98</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1372.98</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1361.39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390.20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390.20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352.85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1337.50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1337.50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1277.51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257.37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160.00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160.00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136.22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东莞市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4185.00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4185.00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4168.40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320.00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320.00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4050.00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4050.00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3973.60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13</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阳江市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14</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湛江市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2210.00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2210.00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15</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茂名市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2546.00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2546.00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2435.33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16</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肇庆市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1905.62</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1905.62</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1877.28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17</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清远市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560.30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560.30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433.42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2"/>
                <w:szCs w:val="22"/>
                <w:highlight w:val="none"/>
                <w:u w:val="none"/>
                <w:lang w:val="en-US" w:eastAsia="zh-CN" w:bidi="ar-SA"/>
              </w:rPr>
            </w:pPr>
            <w:r>
              <w:rPr>
                <w:rFonts w:hint="default" w:ascii="Times New Roman" w:hAnsi="Times New Roman" w:eastAsia="仿宋_GB2312" w:cs="Times New Roman"/>
                <w:i w:val="0"/>
                <w:iCs w:val="0"/>
                <w:color w:val="000000"/>
                <w:kern w:val="0"/>
                <w:sz w:val="22"/>
                <w:szCs w:val="22"/>
                <w:highlight w:val="none"/>
                <w:u w:val="none"/>
                <w:lang w:val="en-US" w:eastAsia="zh-CN" w:bidi="ar"/>
              </w:rPr>
              <w:t>18</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潮州市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1044.00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1044.00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750.57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2"/>
                <w:szCs w:val="22"/>
                <w:highlight w:val="none"/>
                <w:u w:val="none"/>
                <w:lang w:val="en-US" w:eastAsia="zh-CN" w:bidi="ar-SA"/>
              </w:rPr>
            </w:pPr>
            <w:r>
              <w:rPr>
                <w:rFonts w:hint="default" w:ascii="Times New Roman" w:hAnsi="Times New Roman" w:eastAsia="仿宋_GB2312" w:cs="Times New Roman"/>
                <w:i w:val="0"/>
                <w:iCs w:val="0"/>
                <w:color w:val="000000"/>
                <w:kern w:val="0"/>
                <w:sz w:val="22"/>
                <w:szCs w:val="22"/>
                <w:highlight w:val="none"/>
                <w:u w:val="none"/>
                <w:lang w:val="en-US" w:eastAsia="zh-CN" w:bidi="ar"/>
              </w:rPr>
              <w:t>19</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揭阳市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372.75</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372.75</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336.82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auto"/>
                <w:kern w:val="2"/>
                <w:sz w:val="22"/>
                <w:szCs w:val="22"/>
                <w:highlight w:val="none"/>
                <w:u w:val="none"/>
                <w:lang w:val="en-US" w:eastAsia="zh-CN" w:bidi="ar-SA"/>
              </w:rPr>
            </w:pPr>
            <w:r>
              <w:rPr>
                <w:rFonts w:hint="default" w:ascii="Times New Roman" w:hAnsi="Times New Roman" w:eastAsia="仿宋_GB2312" w:cs="Times New Roman"/>
                <w:i w:val="0"/>
                <w:iCs w:val="0"/>
                <w:color w:val="auto"/>
                <w:kern w:val="0"/>
                <w:sz w:val="22"/>
                <w:szCs w:val="22"/>
                <w:highlight w:val="none"/>
                <w:u w:val="none"/>
                <w:lang w:val="en-US" w:eastAsia="zh-CN" w:bidi="ar"/>
              </w:rPr>
              <w:t>20</w:t>
            </w:r>
          </w:p>
        </w:tc>
        <w:tc>
          <w:tcPr>
            <w:tcW w:w="141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beforeLines="0"/>
              <w:jc w:val="center"/>
              <w:textAlignment w:val="center"/>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云浮市</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520.00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520.00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widowControl/>
              <w:spacing w:beforeLines="0"/>
              <w:jc w:val="center"/>
              <w:rPr>
                <w:rFonts w:hint="default" w:ascii="仿宋_GB2312" w:hAnsi="仿宋_GB2312" w:eastAsia="仿宋_GB2312" w:cs="仿宋_GB2312"/>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21</w:t>
            </w:r>
          </w:p>
        </w:tc>
        <w:tc>
          <w:tcPr>
            <w:tcW w:w="141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lang w:val="en-US" w:eastAsia="zh-CN"/>
              </w:rPr>
              <w:t>省本级</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350.00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350.00</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754"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sz w:val="24"/>
                <w:highlight w:val="none"/>
              </w:rPr>
            </w:pPr>
          </w:p>
        </w:tc>
        <w:tc>
          <w:tcPr>
            <w:tcW w:w="1416" w:type="dxa"/>
            <w:tcBorders>
              <w:tl2br w:val="nil"/>
              <w:tr2bl w:val="nil"/>
            </w:tcBorders>
            <w:shd w:val="clear" w:color="auto" w:fill="FFFFFF"/>
            <w:tcMar>
              <w:top w:w="15" w:type="dxa"/>
              <w:left w:w="15" w:type="dxa"/>
              <w:right w:w="15" w:type="dxa"/>
            </w:tcMar>
            <w:vAlign w:val="center"/>
          </w:tcPr>
          <w:p>
            <w:pPr>
              <w:widowControl/>
              <w:spacing w:beforeLine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合计</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eastAsia" w:ascii="Times New Roman" w:hAnsi="Times New Roman" w:eastAsia="宋体" w:cs="Times New Roman"/>
                <w:i w:val="0"/>
                <w:iCs w:val="0"/>
                <w:color w:val="000000"/>
                <w:kern w:val="2"/>
                <w:sz w:val="22"/>
                <w:szCs w:val="22"/>
                <w:highlight w:val="none"/>
                <w:u w:val="none"/>
                <w:lang w:val="en-US" w:eastAsia="zh-CN" w:bidi="ar-SA"/>
              </w:rPr>
              <w:t xml:space="preserve"> 54235.00 </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highlight w:val="none"/>
                <w:u w:val="none"/>
                <w:lang w:val="en-US" w:eastAsia="zh-CN" w:bidi="ar-SA"/>
              </w:rPr>
            </w:pPr>
            <w:r>
              <w:rPr>
                <w:rFonts w:hint="eastAsia" w:ascii="Times New Roman" w:hAnsi="Times New Roman" w:eastAsia="宋体" w:cs="Times New Roman"/>
                <w:i w:val="0"/>
                <w:iCs w:val="0"/>
                <w:color w:val="000000"/>
                <w:kern w:val="2"/>
                <w:sz w:val="22"/>
                <w:szCs w:val="22"/>
                <w:highlight w:val="none"/>
                <w:u w:val="none"/>
                <w:lang w:val="en-US" w:eastAsia="zh-CN" w:bidi="ar-SA"/>
              </w:rPr>
              <w:t xml:space="preserve"> 54235.00 </w:t>
            </w:r>
          </w:p>
        </w:tc>
        <w:tc>
          <w:tcPr>
            <w:tcW w:w="1936"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 50739.27</w:t>
            </w:r>
          </w:p>
        </w:tc>
      </w:tr>
    </w:tbl>
    <w:p>
      <w:pPr>
        <w:pageBreakBefore w:val="0"/>
        <w:widowControl w:val="0"/>
        <w:kinsoku/>
        <w:wordWrap/>
        <w:overflowPunct/>
        <w:topLinePunct w:val="0"/>
        <w:autoSpaceDE/>
        <w:autoSpaceDN/>
        <w:bidi w:val="0"/>
        <w:adjustRightInd/>
        <w:snapToGrid w:val="0"/>
        <w:spacing w:before="0" w:beforeLines="0" w:after="0" w:afterLines="0" w:line="600" w:lineRule="exact"/>
        <w:ind w:firstLine="640" w:firstLineChars="200"/>
        <w:textAlignment w:val="auto"/>
        <w:outlineLvl w:val="0"/>
        <w:rPr>
          <w:rFonts w:hint="eastAsia" w:ascii="仿宋_GB2312" w:hAnsi="仿宋" w:eastAsia="仿宋_GB2312" w:cs="Times New Roman"/>
          <w:sz w:val="32"/>
          <w:szCs w:val="32"/>
          <w:lang w:val="en-US" w:eastAsia="zh-CN"/>
        </w:rPr>
      </w:pPr>
      <w:bookmarkStart w:id="60" w:name="_Toc14866"/>
      <w:bookmarkStart w:id="61" w:name="_Toc4663"/>
      <w:r>
        <w:rPr>
          <w:rFonts w:hint="eastAsia" w:ascii="仿宋_GB2312" w:hAnsi="仿宋_GB2312" w:eastAsia="仿宋_GB2312" w:cs="仿宋_GB2312"/>
          <w:color w:val="auto"/>
          <w:kern w:val="2"/>
          <w:sz w:val="32"/>
          <w:szCs w:val="32"/>
          <w:highlight w:val="none"/>
        </w:rPr>
        <w:t>支出率未达到</w:t>
      </w:r>
      <w:r>
        <w:rPr>
          <w:rFonts w:hint="default" w:ascii="Times New Roman" w:hAnsi="Times New Roman" w:eastAsia="仿宋_GB2312" w:cs="Times New Roman"/>
          <w:color w:val="auto"/>
          <w:kern w:val="2"/>
          <w:sz w:val="32"/>
          <w:szCs w:val="32"/>
          <w:highlight w:val="none"/>
        </w:rPr>
        <w:t>100</w:t>
      </w:r>
      <w:r>
        <w:rPr>
          <w:rFonts w:hint="eastAsia" w:ascii="仿宋_GB2312" w:hAnsi="仿宋_GB2312" w:eastAsia="仿宋_GB2312" w:cs="仿宋_GB2312"/>
          <w:color w:val="auto"/>
          <w:kern w:val="2"/>
          <w:sz w:val="32"/>
          <w:szCs w:val="32"/>
          <w:highlight w:val="none"/>
        </w:rPr>
        <w:t>%的主要原因</w:t>
      </w:r>
      <w:r>
        <w:rPr>
          <w:rFonts w:hint="eastAsia" w:ascii="仿宋_GB2312" w:hAnsi="仿宋_GB2312" w:eastAsia="仿宋_GB2312" w:cs="仿宋_GB2312"/>
          <w:b/>
          <w:bCs/>
          <w:color w:val="auto"/>
          <w:kern w:val="2"/>
          <w:sz w:val="32"/>
          <w:szCs w:val="32"/>
          <w:highlight w:val="none"/>
          <w:lang w:val="en-US" w:eastAsia="zh-CN"/>
        </w:rPr>
        <w:t>一是</w:t>
      </w:r>
      <w:r>
        <w:rPr>
          <w:rFonts w:hint="eastAsia" w:ascii="仿宋_GB2312" w:hAnsi="仿宋_GB2312" w:eastAsia="仿宋_GB2312" w:cs="仿宋_GB2312"/>
          <w:b w:val="0"/>
          <w:bCs w:val="0"/>
          <w:color w:val="auto"/>
          <w:kern w:val="2"/>
          <w:sz w:val="32"/>
          <w:szCs w:val="32"/>
          <w:highlight w:val="none"/>
          <w:lang w:val="en-US" w:eastAsia="zh-CN"/>
        </w:rPr>
        <w:t>部分</w:t>
      </w:r>
      <w:r>
        <w:rPr>
          <w:rFonts w:hint="eastAsia" w:ascii="仿宋_GB2312" w:hAnsi="仿宋_GB2312" w:eastAsia="仿宋_GB2312" w:cs="仿宋_GB2312"/>
          <w:color w:val="auto"/>
          <w:kern w:val="2"/>
          <w:sz w:val="32"/>
          <w:szCs w:val="32"/>
          <w:highlight w:val="none"/>
          <w:lang w:val="en-US" w:eastAsia="zh-CN"/>
        </w:rPr>
        <w:t>保障性安居工程</w:t>
      </w:r>
      <w:r>
        <w:rPr>
          <w:rFonts w:hint="eastAsia" w:ascii="仿宋_GB2312" w:hAnsi="仿宋_GB2312" w:eastAsia="仿宋_GB2312" w:cs="仿宋_GB2312"/>
          <w:color w:val="auto"/>
          <w:kern w:val="2"/>
          <w:sz w:val="32"/>
          <w:szCs w:val="32"/>
          <w:highlight w:val="none"/>
        </w:rPr>
        <w:t>项目尾款需完成竣工验收后支付</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b/>
          <w:bCs/>
          <w:color w:val="auto"/>
          <w:kern w:val="2"/>
          <w:sz w:val="32"/>
          <w:szCs w:val="32"/>
          <w:highlight w:val="none"/>
          <w:lang w:val="en-US" w:eastAsia="zh-CN"/>
        </w:rPr>
        <w:t>二是</w:t>
      </w:r>
      <w:r>
        <w:rPr>
          <w:rFonts w:hint="eastAsia" w:ascii="仿宋_GB2312" w:hAnsi="仿宋" w:eastAsia="仿宋_GB2312" w:cs="Times New Roman"/>
          <w:sz w:val="32"/>
          <w:szCs w:val="32"/>
          <w:lang w:val="en-US" w:eastAsia="zh-CN"/>
        </w:rPr>
        <w:t>由于</w:t>
      </w:r>
      <w:r>
        <w:rPr>
          <w:rFonts w:hint="default" w:ascii="Times New Roman" w:hAnsi="Times New Roman" w:eastAsia="仿宋_GB2312" w:cs="Times New Roman"/>
          <w:sz w:val="32"/>
          <w:szCs w:val="32"/>
          <w:lang w:val="en-US" w:eastAsia="zh-CN"/>
        </w:rPr>
        <w:t>2022</w:t>
      </w:r>
      <w:r>
        <w:rPr>
          <w:rFonts w:hint="eastAsia" w:ascii="仿宋_GB2312" w:hAnsi="仿宋" w:eastAsia="仿宋_GB2312" w:cs="Times New Roman"/>
          <w:sz w:val="32"/>
          <w:szCs w:val="32"/>
          <w:lang w:val="en-US" w:eastAsia="zh-CN"/>
        </w:rPr>
        <w:t>年个别地市地方政府债券较充裕，部分市县在保障房建设方面优先使用了专项债券；</w:t>
      </w:r>
      <w:r>
        <w:rPr>
          <w:rFonts w:hint="eastAsia" w:ascii="仿宋_GB2312" w:hAnsi="仿宋" w:eastAsia="仿宋_GB2312" w:cs="Times New Roman"/>
          <w:b/>
          <w:bCs/>
          <w:sz w:val="32"/>
          <w:szCs w:val="32"/>
          <w:lang w:val="en-US" w:eastAsia="zh-CN"/>
        </w:rPr>
        <w:t>三是</w:t>
      </w:r>
      <w:r>
        <w:rPr>
          <w:rFonts w:hint="eastAsia" w:ascii="仿宋_GB2312" w:hAnsi="仿宋" w:eastAsia="仿宋_GB2312" w:cs="Times New Roman"/>
          <w:sz w:val="32"/>
          <w:szCs w:val="32"/>
          <w:lang w:val="en-US" w:eastAsia="zh-CN"/>
        </w:rPr>
        <w:t>部分市县市场租金普遍不高，受市场租赁住房的租金水平限制，租赁补贴的发放单价低于上级下达的补贴水平；</w:t>
      </w:r>
      <w:r>
        <w:rPr>
          <w:rFonts w:hint="eastAsia" w:ascii="仿宋_GB2312" w:hAnsi="仿宋" w:eastAsia="仿宋_GB2312" w:cs="Times New Roman"/>
          <w:b/>
          <w:bCs/>
          <w:sz w:val="32"/>
          <w:szCs w:val="32"/>
          <w:lang w:val="en-US" w:eastAsia="zh-CN"/>
        </w:rPr>
        <w:t>四是</w:t>
      </w:r>
      <w:r>
        <w:rPr>
          <w:rFonts w:hint="eastAsia" w:ascii="仿宋_GB2312" w:hAnsi="仿宋" w:eastAsia="仿宋_GB2312" w:cs="Times New Roman"/>
          <w:sz w:val="32"/>
          <w:szCs w:val="32"/>
          <w:lang w:val="en-US" w:eastAsia="zh-CN"/>
        </w:rPr>
        <w:t>疫情防控对项目进度有一定影响继而影响到资金支付。</w:t>
      </w:r>
      <w:bookmarkEnd w:id="60"/>
      <w:bookmarkEnd w:id="61"/>
    </w:p>
    <w:p>
      <w:pPr>
        <w:pStyle w:val="42"/>
        <w:pageBreakBefore w:val="0"/>
        <w:widowControl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2</w:t>
      </w:r>
      <w:r>
        <w:rPr>
          <w:rFonts w:hint="eastAsia" w:ascii="仿宋_GB2312" w:hAnsi="仿宋_GB2312" w:eastAsia="仿宋_GB2312" w:cs="仿宋_GB2312"/>
          <w:color w:val="auto"/>
          <w:sz w:val="32"/>
          <w:highlight w:val="none"/>
        </w:rPr>
        <w:t>）支出规范性。该指标分值</w:t>
      </w:r>
      <w:r>
        <w:rPr>
          <w:rFonts w:hint="default" w:ascii="Times New Roman" w:hAnsi="Times New Roman" w:eastAsia="仿宋_GB2312" w:cs="Times New Roman"/>
          <w:color w:val="auto"/>
          <w:sz w:val="32"/>
          <w:highlight w:val="none"/>
        </w:rPr>
        <w:t>6</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rPr>
        <w:t>6</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%。有关县（市、区）能按照省级财政专项资金管理办法和有关财务制度规定，做好资金申报审核审批、资金支付，按照批准的采购方式和结算方式列支</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其余</w:t>
      </w:r>
      <w:r>
        <w:rPr>
          <w:rFonts w:hint="eastAsia" w:ascii="仿宋_GB2312" w:hAnsi="仿宋_GB2312" w:eastAsia="仿宋_GB2312" w:cs="仿宋_GB2312"/>
          <w:color w:val="auto"/>
          <w:sz w:val="32"/>
          <w:highlight w:val="none"/>
        </w:rPr>
        <w:t>未发现虚列支出、截留、挤占、挪用资金的情况。</w:t>
      </w:r>
    </w:p>
    <w:p>
      <w:pPr>
        <w:pageBreakBefore w:val="0"/>
        <w:widowControl w:val="0"/>
        <w:kinsoku/>
        <w:wordWrap/>
        <w:overflowPunct/>
        <w:topLinePunct w:val="0"/>
        <w:autoSpaceDE/>
        <w:autoSpaceDN/>
        <w:bidi w:val="0"/>
        <w:adjustRightInd/>
        <w:spacing w:beforeLines="0" w:line="60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bookmarkStart w:id="62" w:name="_Toc26656"/>
      <w:bookmarkStart w:id="63" w:name="_Toc641"/>
      <w:bookmarkStart w:id="64" w:name="_Toc14562"/>
      <w:bookmarkStart w:id="65" w:name="_Toc30890"/>
      <w:bookmarkStart w:id="66" w:name="_Toc28384"/>
      <w:r>
        <w:rPr>
          <w:rFonts w:hint="default" w:ascii="Times New Roman" w:hAnsi="Times New Roman" w:eastAsia="仿宋_GB2312" w:cs="Times New Roman"/>
          <w:b/>
          <w:bCs/>
          <w:color w:val="auto"/>
          <w:sz w:val="32"/>
          <w:szCs w:val="32"/>
          <w:highlight w:val="none"/>
        </w:rPr>
        <w:t>2</w:t>
      </w:r>
      <w:r>
        <w:rPr>
          <w:rFonts w:hint="eastAsia" w:ascii="仿宋_GB2312" w:hAnsi="仿宋_GB2312" w:eastAsia="仿宋_GB2312" w:cs="仿宋_GB2312"/>
          <w:b/>
          <w:bCs/>
          <w:color w:val="auto"/>
          <w:sz w:val="32"/>
          <w:szCs w:val="32"/>
          <w:highlight w:val="none"/>
        </w:rPr>
        <w:t>.事项管理</w:t>
      </w:r>
      <w:bookmarkEnd w:id="62"/>
      <w:bookmarkEnd w:id="63"/>
      <w:bookmarkEnd w:id="64"/>
      <w:r>
        <w:rPr>
          <w:rFonts w:hint="eastAsia" w:ascii="仿宋_GB2312" w:hAnsi="仿宋_GB2312" w:eastAsia="仿宋_GB2312" w:cs="仿宋_GB2312"/>
          <w:b/>
          <w:bCs/>
          <w:color w:val="auto"/>
          <w:sz w:val="32"/>
          <w:szCs w:val="32"/>
          <w:highlight w:val="none"/>
        </w:rPr>
        <w:t>。</w:t>
      </w:r>
      <w:bookmarkEnd w:id="65"/>
      <w:bookmarkEnd w:id="66"/>
    </w:p>
    <w:p>
      <w:pPr>
        <w:pStyle w:val="42"/>
        <w:pageBreakBefore w:val="0"/>
        <w:widowControl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1</w:t>
      </w:r>
      <w:r>
        <w:rPr>
          <w:rFonts w:hint="eastAsia" w:ascii="仿宋_GB2312" w:hAnsi="仿宋_GB2312" w:eastAsia="仿宋_GB2312" w:cs="仿宋_GB2312"/>
          <w:color w:val="auto"/>
          <w:sz w:val="32"/>
          <w:szCs w:val="32"/>
          <w:highlight w:val="none"/>
        </w:rPr>
        <w:t>）实施程序。该指标分值</w:t>
      </w:r>
      <w:r>
        <w:rPr>
          <w:rFonts w:hint="default" w:ascii="Times New Roman" w:hAnsi="Times New Roman" w:eastAsia="仿宋_GB2312" w:cs="Times New Roman"/>
          <w:color w:val="auto"/>
          <w:sz w:val="32"/>
          <w:szCs w:val="32"/>
          <w:highlight w:val="none"/>
        </w:rPr>
        <w:t>4</w:t>
      </w:r>
      <w:r>
        <w:rPr>
          <w:rFonts w:hint="eastAsia" w:ascii="仿宋_GB2312" w:hAnsi="仿宋_GB2312" w:eastAsia="仿宋_GB2312" w:cs="仿宋_GB2312"/>
          <w:color w:val="auto"/>
          <w:sz w:val="32"/>
          <w:szCs w:val="32"/>
          <w:highlight w:val="none"/>
        </w:rPr>
        <w:t>分，评价得分</w:t>
      </w:r>
      <w:r>
        <w:rPr>
          <w:rFonts w:hint="default" w:ascii="Times New Roman" w:hAnsi="Times New Roman" w:eastAsia="仿宋_GB2312" w:cs="Times New Roman"/>
          <w:color w:val="auto"/>
          <w:sz w:val="32"/>
          <w:szCs w:val="32"/>
          <w:highlight w:val="none"/>
        </w:rPr>
        <w:t>4</w:t>
      </w:r>
      <w:r>
        <w:rPr>
          <w:rFonts w:hint="eastAsia" w:ascii="仿宋_GB2312" w:hAnsi="仿宋_GB2312" w:eastAsia="仿宋_GB2312" w:cs="仿宋_GB2312"/>
          <w:color w:val="auto"/>
          <w:sz w:val="32"/>
          <w:szCs w:val="32"/>
          <w:highlight w:val="none"/>
        </w:rPr>
        <w:t>分，得分率为</w:t>
      </w:r>
      <w:r>
        <w:rPr>
          <w:rFonts w:hint="default" w:ascii="Times New Roman" w:hAnsi="Times New Roman" w:eastAsia="仿宋_GB2312" w:cs="Times New Roman"/>
          <w:color w:val="auto"/>
          <w:sz w:val="32"/>
          <w:szCs w:val="32"/>
          <w:highlight w:val="none"/>
        </w:rPr>
        <w:t>100</w:t>
      </w:r>
      <w:r>
        <w:rPr>
          <w:rFonts w:hint="eastAsia" w:ascii="仿宋_GB2312" w:hAnsi="仿宋_GB2312" w:eastAsia="仿宋_GB2312" w:cs="仿宋_GB2312"/>
          <w:color w:val="auto"/>
          <w:sz w:val="32"/>
          <w:szCs w:val="32"/>
          <w:highlight w:val="none"/>
        </w:rPr>
        <w:t>%。我厅制定了比较明确的专项资金项目实施程序，明晰了省级主管部门、市县人民政府和业务主管部门的责任，并且按程序推进项目实施。有关市县能够按照要求开展</w:t>
      </w:r>
      <w:r>
        <w:rPr>
          <w:rFonts w:hint="eastAsia" w:ascii="仿宋_GB2312" w:hAnsi="仿宋_GB2312" w:eastAsia="仿宋_GB2312" w:cs="仿宋_GB2312"/>
          <w:color w:val="auto"/>
          <w:sz w:val="32"/>
          <w:szCs w:val="32"/>
          <w:highlight w:val="none"/>
          <w:lang w:val="en-US" w:eastAsia="zh-CN"/>
        </w:rPr>
        <w:t>保障性安居工程</w:t>
      </w:r>
      <w:r>
        <w:rPr>
          <w:rFonts w:hint="eastAsia" w:ascii="仿宋_GB2312" w:hAnsi="仿宋_GB2312" w:eastAsia="仿宋_GB2312" w:cs="仿宋_GB2312"/>
          <w:color w:val="auto"/>
          <w:sz w:val="32"/>
          <w:szCs w:val="32"/>
          <w:highlight w:val="none"/>
        </w:rPr>
        <w:t>，项目完成后按规定组织开展验收工作。</w:t>
      </w:r>
    </w:p>
    <w:p>
      <w:pPr>
        <w:pStyle w:val="42"/>
        <w:pageBreakBefore w:val="0"/>
        <w:widowControl w:val="0"/>
        <w:kinsoku/>
        <w:wordWrap/>
        <w:overflowPunct/>
        <w:topLinePunct w:val="0"/>
        <w:autoSpaceDE/>
        <w:autoSpaceDN/>
        <w:bidi w:val="0"/>
        <w:adjustRightInd/>
        <w:spacing w:before="0" w:beforeLines="0" w:after="0" w:afterLines="0"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2</w:t>
      </w:r>
      <w:r>
        <w:rPr>
          <w:rFonts w:hint="eastAsia" w:ascii="仿宋_GB2312" w:hAnsi="仿宋_GB2312" w:eastAsia="仿宋_GB2312" w:cs="仿宋_GB2312"/>
          <w:color w:val="auto"/>
          <w:sz w:val="32"/>
          <w:szCs w:val="32"/>
          <w:highlight w:val="none"/>
        </w:rPr>
        <w:t>）管理情况。该指标分值</w:t>
      </w:r>
      <w:r>
        <w:rPr>
          <w:rFonts w:hint="default" w:ascii="Times New Roman" w:hAnsi="Times New Roman" w:eastAsia="仿宋_GB2312" w:cs="Times New Roman"/>
          <w:color w:val="auto"/>
          <w:sz w:val="32"/>
          <w:szCs w:val="32"/>
          <w:highlight w:val="none"/>
        </w:rPr>
        <w:t>4</w:t>
      </w:r>
      <w:r>
        <w:rPr>
          <w:rFonts w:hint="eastAsia" w:ascii="仿宋_GB2312" w:hAnsi="仿宋_GB2312" w:eastAsia="仿宋_GB2312" w:cs="仿宋_GB2312"/>
          <w:color w:val="auto"/>
          <w:sz w:val="32"/>
          <w:szCs w:val="32"/>
          <w:highlight w:val="none"/>
        </w:rPr>
        <w:t>分，评价得分</w:t>
      </w:r>
      <w:r>
        <w:rPr>
          <w:rFonts w:hint="default" w:ascii="Times New Roman" w:hAnsi="Times New Roman" w:eastAsia="仿宋_GB2312" w:cs="Times New Roman"/>
          <w:color w:val="auto"/>
          <w:sz w:val="32"/>
          <w:szCs w:val="32"/>
          <w:highlight w:val="none"/>
        </w:rPr>
        <w:t>4</w:t>
      </w:r>
      <w:r>
        <w:rPr>
          <w:rFonts w:hint="eastAsia" w:ascii="仿宋_GB2312" w:hAnsi="仿宋_GB2312" w:eastAsia="仿宋_GB2312" w:cs="仿宋_GB2312"/>
          <w:color w:val="auto"/>
          <w:sz w:val="32"/>
          <w:szCs w:val="32"/>
          <w:highlight w:val="none"/>
        </w:rPr>
        <w:t>分，得分率为</w:t>
      </w:r>
      <w:r>
        <w:rPr>
          <w:rFonts w:hint="default" w:ascii="Times New Roman" w:hAnsi="Times New Roman" w:eastAsia="仿宋_GB2312" w:cs="Times New Roman"/>
          <w:color w:val="auto"/>
          <w:sz w:val="32"/>
          <w:szCs w:val="32"/>
          <w:highlight w:val="none"/>
        </w:rPr>
        <w:t>100</w:t>
      </w:r>
      <w:r>
        <w:rPr>
          <w:rFonts w:hint="eastAsia" w:ascii="仿宋_GB2312" w:hAnsi="仿宋_GB2312" w:eastAsia="仿宋_GB2312" w:cs="仿宋_GB2312"/>
          <w:color w:val="auto"/>
          <w:sz w:val="32"/>
          <w:szCs w:val="32"/>
          <w:highlight w:val="none"/>
        </w:rPr>
        <w:t>%。</w:t>
      </w:r>
      <w:bookmarkStart w:id="67" w:name="_Toc16716_WPSOffice_Level2"/>
      <w:bookmarkStart w:id="68" w:name="_Toc11833"/>
      <w:bookmarkStart w:id="69" w:name="_Toc31644"/>
      <w:bookmarkStart w:id="70" w:name="_Toc2846"/>
      <w:bookmarkStart w:id="71" w:name="_Toc29977_WPSOffice_Level3"/>
      <w:bookmarkStart w:id="72" w:name="_Toc23978"/>
      <w:bookmarkStart w:id="73" w:name="_Toc31537"/>
      <w:bookmarkStart w:id="74" w:name="_Toc20388"/>
      <w:r>
        <w:rPr>
          <w:rFonts w:hint="eastAsia" w:ascii="仿宋_GB2312" w:hAnsi="仿宋_GB2312" w:eastAsia="仿宋_GB2312" w:cs="仿宋_GB2312"/>
          <w:color w:val="auto"/>
          <w:sz w:val="32"/>
          <w:szCs w:val="32"/>
          <w:highlight w:val="none"/>
        </w:rPr>
        <w:t>一是省级业务主管部门能够认真做好项目实施监管，开展预算执行监控，及时掌握并督促项目建设进度。二是有关市县能够按照专项资金有关管理制度规定，建立健全管理制度，落实管理责任，保障完成项目绩效目标。</w:t>
      </w:r>
    </w:p>
    <w:p>
      <w:pPr>
        <w:keepNext/>
        <w:keepLines/>
        <w:pageBreakBefore w:val="0"/>
        <w:widowControl w:val="0"/>
        <w:kinsoku/>
        <w:wordWrap/>
        <w:overflowPunct/>
        <w:topLinePunct w:val="0"/>
        <w:autoSpaceDE/>
        <w:autoSpaceDN/>
        <w:bidi w:val="0"/>
        <w:adjustRightInd/>
        <w:snapToGrid w:val="0"/>
        <w:spacing w:beforeLines="0" w:line="600" w:lineRule="exact"/>
        <w:ind w:firstLine="642" w:firstLineChars="200"/>
        <w:textAlignment w:val="auto"/>
        <w:outlineLvl w:val="1"/>
        <w:rPr>
          <w:rFonts w:hint="eastAsia" w:ascii="仿宋_GB2312" w:hAnsi="仿宋_GB2312" w:eastAsia="仿宋_GB2312" w:cs="仿宋_GB2312"/>
          <w:b/>
          <w:bCs/>
          <w:color w:val="0000FF"/>
          <w:kern w:val="0"/>
          <w:sz w:val="32"/>
          <w:szCs w:val="32"/>
          <w:highlight w:val="none"/>
          <w:lang w:eastAsia="zh-CN"/>
        </w:rPr>
      </w:pPr>
      <w:bookmarkStart w:id="75" w:name="_Toc4206"/>
      <w:r>
        <w:rPr>
          <w:rFonts w:hint="eastAsia" w:ascii="仿宋_GB2312" w:hAnsi="仿宋_GB2312" w:eastAsia="仿宋_GB2312" w:cs="仿宋_GB2312"/>
          <w:b/>
          <w:bCs/>
          <w:color w:val="auto"/>
          <w:kern w:val="0"/>
          <w:sz w:val="32"/>
          <w:szCs w:val="32"/>
          <w:highlight w:val="none"/>
        </w:rPr>
        <w:t>（三）产出分析</w:t>
      </w:r>
      <w:bookmarkEnd w:id="67"/>
      <w:bookmarkEnd w:id="68"/>
      <w:bookmarkEnd w:id="69"/>
      <w:bookmarkEnd w:id="70"/>
      <w:bookmarkEnd w:id="71"/>
      <w:bookmarkEnd w:id="72"/>
      <w:bookmarkEnd w:id="73"/>
      <w:bookmarkEnd w:id="74"/>
      <w:bookmarkEnd w:id="75"/>
    </w:p>
    <w:p>
      <w:pPr>
        <w:keepNext/>
        <w:keepLines/>
        <w:pageBreakBefore w:val="0"/>
        <w:widowControl w:val="0"/>
        <w:kinsoku/>
        <w:wordWrap/>
        <w:overflowPunct/>
        <w:topLinePunct w:val="0"/>
        <w:autoSpaceDE/>
        <w:autoSpaceDN/>
        <w:bidi w:val="0"/>
        <w:adjustRightInd/>
        <w:snapToGrid w:val="0"/>
        <w:spacing w:beforeLines="0" w:line="600" w:lineRule="exact"/>
        <w:ind w:firstLine="640" w:firstLineChars="200"/>
        <w:textAlignment w:val="auto"/>
        <w:outlineLvl w:val="1"/>
        <w:rPr>
          <w:rFonts w:hint="eastAsia" w:ascii="仿宋_GB2312" w:hAnsi="仿宋_GB2312" w:eastAsia="仿宋_GB2312" w:cs="仿宋_GB2312"/>
          <w:b/>
          <w:bCs/>
          <w:color w:val="auto"/>
          <w:sz w:val="32"/>
          <w:szCs w:val="32"/>
          <w:highlight w:val="none"/>
        </w:rPr>
      </w:pPr>
      <w:bookmarkStart w:id="76" w:name="_Toc13768"/>
      <w:bookmarkStart w:id="77" w:name="_Toc27836"/>
      <w:r>
        <w:rPr>
          <w:rFonts w:hint="eastAsia" w:ascii="仿宋_GB2312" w:hAnsi="仿宋_GB2312" w:eastAsia="仿宋_GB2312" w:cs="仿宋_GB2312"/>
          <w:color w:val="auto"/>
          <w:sz w:val="32"/>
          <w:highlight w:val="none"/>
        </w:rPr>
        <w:t>该指标主要从经济性和效率性两个方面考核预算执行结果是节约还是超支，项目完成的进度、质量和产出等情况。指标分值</w:t>
      </w:r>
      <w:r>
        <w:rPr>
          <w:rFonts w:hint="default" w:ascii="Times New Roman" w:hAnsi="Times New Roman" w:eastAsia="仿宋_GB2312" w:cs="Times New Roman"/>
          <w:color w:val="auto"/>
          <w:sz w:val="32"/>
          <w:highlight w:val="none"/>
          <w:lang w:val="en-US" w:eastAsia="zh-CN"/>
        </w:rPr>
        <w:t>35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35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rPr>
        <w:t>%。</w:t>
      </w:r>
      <w:bookmarkEnd w:id="76"/>
      <w:bookmarkEnd w:id="77"/>
    </w:p>
    <w:p>
      <w:pPr>
        <w:pageBreakBefore w:val="0"/>
        <w:widowControl w:val="0"/>
        <w:kinsoku/>
        <w:wordWrap/>
        <w:overflowPunct/>
        <w:topLinePunct w:val="0"/>
        <w:autoSpaceDE/>
        <w:autoSpaceDN/>
        <w:bidi w:val="0"/>
        <w:adjustRightInd/>
        <w:spacing w:beforeLines="0" w:line="60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bookmarkStart w:id="78" w:name="_Toc13364"/>
      <w:bookmarkStart w:id="79" w:name="_Toc21873"/>
      <w:bookmarkStart w:id="80" w:name="_Toc32498"/>
      <w:bookmarkStart w:id="81" w:name="_Toc7730"/>
      <w:bookmarkStart w:id="82" w:name="_Toc29636"/>
      <w:r>
        <w:rPr>
          <w:rFonts w:hint="default" w:ascii="Times New Roman" w:hAnsi="Times New Roman" w:eastAsia="仿宋_GB2312" w:cs="Times New Roman"/>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w:t>
      </w:r>
      <w:bookmarkEnd w:id="78"/>
      <w:bookmarkEnd w:id="79"/>
      <w:bookmarkEnd w:id="80"/>
      <w:r>
        <w:rPr>
          <w:rFonts w:hint="eastAsia" w:ascii="仿宋_GB2312" w:hAnsi="仿宋_GB2312" w:eastAsia="仿宋_GB2312" w:cs="仿宋_GB2312"/>
          <w:b/>
          <w:bCs/>
          <w:color w:val="auto"/>
          <w:sz w:val="32"/>
          <w:szCs w:val="32"/>
          <w:highlight w:val="none"/>
          <w:lang w:val="en-US" w:eastAsia="zh-CN"/>
        </w:rPr>
        <w:t>效率性</w:t>
      </w:r>
      <w:r>
        <w:rPr>
          <w:rFonts w:hint="eastAsia" w:ascii="仿宋_GB2312" w:hAnsi="仿宋_GB2312" w:eastAsia="仿宋_GB2312" w:cs="仿宋_GB2312"/>
          <w:b/>
          <w:bCs/>
          <w:color w:val="auto"/>
          <w:sz w:val="32"/>
          <w:szCs w:val="32"/>
          <w:highlight w:val="none"/>
        </w:rPr>
        <w:t>。</w:t>
      </w:r>
      <w:bookmarkEnd w:id="81"/>
      <w:bookmarkEnd w:id="82"/>
    </w:p>
    <w:p>
      <w:pPr>
        <w:pageBreakBefore w:val="0"/>
        <w:widowControl w:val="0"/>
        <w:kinsoku/>
        <w:wordWrap/>
        <w:overflowPunct/>
        <w:topLinePunct w:val="0"/>
        <w:autoSpaceDE/>
        <w:autoSpaceDN/>
        <w:bidi w:val="0"/>
        <w:adjustRightInd/>
        <w:spacing w:beforeLines="0" w:line="600" w:lineRule="exact"/>
        <w:ind w:firstLine="640" w:firstLineChars="200"/>
        <w:jc w:val="left"/>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数量指标</w:t>
      </w:r>
      <w:r>
        <w:rPr>
          <w:rFonts w:hint="eastAsia" w:ascii="仿宋_GB2312" w:hAnsi="仿宋_GB2312" w:eastAsia="仿宋_GB2312" w:cs="仿宋_GB2312"/>
          <w:color w:val="auto"/>
          <w:sz w:val="32"/>
          <w:highlight w:val="none"/>
        </w:rPr>
        <w:t>。</w:t>
      </w:r>
      <w:bookmarkStart w:id="83" w:name="_Hlk41331806"/>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rPr>
        <w:t>20</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20</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rPr>
        <w:t>%。</w:t>
      </w:r>
      <w:bookmarkEnd w:id="83"/>
      <w:r>
        <w:rPr>
          <w:rFonts w:hint="eastAsia" w:ascii="仿宋_GB2312" w:hAnsi="仿宋_GB2312" w:eastAsia="仿宋_GB2312" w:cs="仿宋_GB2312"/>
          <w:color w:val="auto"/>
          <w:sz w:val="32"/>
          <w:highlight w:val="none"/>
          <w:lang w:val="en-US" w:eastAsia="zh-CN"/>
        </w:rPr>
        <w:t>各市县共</w:t>
      </w:r>
      <w:r>
        <w:rPr>
          <w:rFonts w:hint="eastAsia" w:ascii="仿宋_GB2312" w:hAnsi="仿宋_GB2312" w:eastAsia="仿宋_GB2312" w:cs="仿宋_GB2312"/>
          <w:color w:val="auto"/>
          <w:sz w:val="32"/>
          <w:highlight w:val="none"/>
        </w:rPr>
        <w:t>完成</w:t>
      </w:r>
      <w:r>
        <w:rPr>
          <w:rFonts w:hint="eastAsia" w:ascii="仿宋_GB2312" w:hAnsi="仿宋_GB2312" w:eastAsia="仿宋_GB2312" w:cs="仿宋_GB2312"/>
          <w:color w:val="auto"/>
          <w:sz w:val="32"/>
          <w:highlight w:val="none"/>
          <w:lang w:val="en-US" w:eastAsia="zh-CN"/>
        </w:rPr>
        <w:t>建设公租房</w:t>
      </w:r>
      <w:r>
        <w:rPr>
          <w:rFonts w:hint="default" w:ascii="Times New Roman" w:hAnsi="Times New Roman" w:eastAsia="仿宋_GB2312" w:cs="Times New Roman"/>
          <w:color w:val="auto"/>
          <w:sz w:val="32"/>
          <w:highlight w:val="none"/>
          <w:lang w:val="en-US" w:eastAsia="zh-CN"/>
        </w:rPr>
        <w:t>8</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745</w:t>
      </w:r>
      <w:r>
        <w:rPr>
          <w:rFonts w:hint="eastAsia" w:ascii="仿宋_GB2312" w:hAnsi="仿宋_GB2312" w:eastAsia="仿宋_GB2312" w:cs="仿宋_GB2312"/>
          <w:color w:val="auto"/>
          <w:sz w:val="32"/>
          <w:highlight w:val="none"/>
          <w:lang w:val="en-US" w:eastAsia="zh-CN"/>
        </w:rPr>
        <w:t>套（含新建和基本建成）、新筹建保障性租赁住房</w:t>
      </w:r>
      <w:r>
        <w:rPr>
          <w:rFonts w:hint="default" w:ascii="Times New Roman" w:hAnsi="Times New Roman" w:eastAsia="仿宋_GB2312" w:cs="Times New Roman"/>
          <w:color w:val="auto"/>
          <w:sz w:val="32"/>
          <w:highlight w:val="none"/>
          <w:lang w:val="en-US" w:eastAsia="zh-CN"/>
        </w:rPr>
        <w:t>42</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000</w:t>
      </w:r>
      <w:r>
        <w:rPr>
          <w:rFonts w:hint="eastAsia" w:ascii="仿宋_GB2312" w:hAnsi="仿宋_GB2312" w:eastAsia="仿宋_GB2312" w:cs="仿宋_GB2312"/>
          <w:color w:val="auto"/>
          <w:sz w:val="32"/>
          <w:highlight w:val="none"/>
          <w:lang w:val="en-US" w:eastAsia="zh-CN"/>
        </w:rPr>
        <w:t>套、新筹建共有产权住房</w:t>
      </w:r>
      <w:r>
        <w:rPr>
          <w:rFonts w:hint="default" w:ascii="Times New Roman" w:hAnsi="Times New Roman" w:eastAsia="仿宋_GB2312" w:cs="Times New Roman"/>
          <w:color w:val="auto"/>
          <w:sz w:val="32"/>
          <w:highlight w:val="none"/>
          <w:lang w:val="en-US" w:eastAsia="zh-CN"/>
        </w:rPr>
        <w:t>4</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396</w:t>
      </w:r>
      <w:r>
        <w:rPr>
          <w:rFonts w:hint="eastAsia" w:ascii="仿宋_GB2312" w:hAnsi="仿宋_GB2312" w:eastAsia="仿宋_GB2312" w:cs="仿宋_GB2312"/>
          <w:color w:val="auto"/>
          <w:sz w:val="32"/>
          <w:highlight w:val="none"/>
          <w:lang w:val="en-US" w:eastAsia="zh-CN"/>
        </w:rPr>
        <w:t>套、新开工棚户区改造</w:t>
      </w:r>
      <w:r>
        <w:rPr>
          <w:rFonts w:hint="eastAsia" w:ascii="Times New Roman" w:hAnsi="Times New Roman" w:eastAsia="仿宋_GB2312" w:cs="Times New Roman"/>
          <w:color w:val="auto"/>
          <w:sz w:val="32"/>
          <w:highlight w:val="none"/>
          <w:lang w:val="en-US" w:eastAsia="zh-CN"/>
        </w:rPr>
        <w:t>1036</w:t>
      </w:r>
      <w:r>
        <w:rPr>
          <w:rFonts w:hint="eastAsia" w:ascii="仿宋_GB2312" w:hAnsi="仿宋_GB2312" w:eastAsia="仿宋_GB2312" w:cs="仿宋_GB2312"/>
          <w:color w:val="auto"/>
          <w:sz w:val="32"/>
          <w:highlight w:val="none"/>
          <w:lang w:val="en-US" w:eastAsia="zh-CN"/>
        </w:rPr>
        <w:t>套、建设棚户区改造222套、支撑贴息贷款</w:t>
      </w:r>
      <w:r>
        <w:rPr>
          <w:rFonts w:hint="default" w:ascii="Times New Roman" w:hAnsi="Times New Roman" w:eastAsia="仿宋_GB2312" w:cs="Times New Roman"/>
          <w:color w:val="auto"/>
          <w:sz w:val="32"/>
          <w:highlight w:val="none"/>
          <w:lang w:val="en-US" w:eastAsia="zh-CN"/>
        </w:rPr>
        <w:t>102</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632</w:t>
      </w:r>
      <w:r>
        <w:rPr>
          <w:rFonts w:hint="eastAsia" w:ascii="仿宋_GB2312" w:hAnsi="仿宋_GB2312" w:eastAsia="仿宋_GB2312" w:cs="仿宋_GB2312"/>
          <w:color w:val="auto"/>
          <w:sz w:val="32"/>
          <w:highlight w:val="none"/>
          <w:lang w:val="en-US" w:eastAsia="zh-CN"/>
        </w:rPr>
        <w:t>万元、实施发放租赁补贴</w:t>
      </w:r>
      <w:r>
        <w:rPr>
          <w:rFonts w:hint="default" w:ascii="Times New Roman" w:hAnsi="Times New Roman" w:eastAsia="仿宋_GB2312" w:cs="Times New Roman"/>
          <w:color w:val="auto"/>
          <w:sz w:val="32"/>
          <w:highlight w:val="none"/>
          <w:lang w:val="en-US" w:eastAsia="zh-CN"/>
        </w:rPr>
        <w:t>4</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81</w:t>
      </w:r>
      <w:r>
        <w:rPr>
          <w:rFonts w:hint="eastAsia" w:ascii="仿宋_GB2312" w:hAnsi="仿宋_GB2312" w:eastAsia="仿宋_GB2312" w:cs="仿宋_GB2312"/>
          <w:color w:val="auto"/>
          <w:sz w:val="32"/>
          <w:highlight w:val="none"/>
          <w:lang w:val="en-US" w:eastAsia="zh-CN"/>
        </w:rPr>
        <w:t>万户、涉及受助困难群众人数</w:t>
      </w:r>
      <w:r>
        <w:rPr>
          <w:rFonts w:hint="eastAsia" w:ascii="Times New Roman" w:hAnsi="Times New Roman" w:eastAsia="仿宋_GB2312" w:cs="Times New Roman"/>
          <w:color w:val="auto"/>
          <w:sz w:val="32"/>
          <w:highlight w:val="none"/>
          <w:lang w:val="en-US" w:eastAsia="zh-CN"/>
        </w:rPr>
        <w:t>33.23</w:t>
      </w:r>
      <w:r>
        <w:rPr>
          <w:rFonts w:hint="eastAsia" w:ascii="仿宋_GB2312" w:hAnsi="仿宋_GB2312" w:eastAsia="仿宋_GB2312" w:cs="仿宋_GB2312"/>
          <w:color w:val="auto"/>
          <w:sz w:val="32"/>
          <w:highlight w:val="none"/>
          <w:lang w:val="en-US" w:eastAsia="zh-CN"/>
        </w:rPr>
        <w:t>万人、提升公共租赁住房维护管理能力为优</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各项</w:t>
      </w:r>
      <w:r>
        <w:rPr>
          <w:rFonts w:hint="eastAsia" w:ascii="仿宋_GB2312" w:hAnsi="仿宋_GB2312" w:eastAsia="仿宋_GB2312" w:cs="仿宋_GB2312"/>
          <w:color w:val="auto"/>
          <w:sz w:val="32"/>
          <w:highlight w:val="none"/>
        </w:rPr>
        <w:t>数量指标均超过预期指标</w:t>
      </w:r>
      <w:r>
        <w:rPr>
          <w:rFonts w:hint="eastAsia" w:ascii="仿宋_GB2312" w:hAnsi="仿宋_GB2312" w:eastAsia="仿宋_GB2312" w:cs="仿宋_GB2312"/>
          <w:color w:val="auto"/>
          <w:sz w:val="32"/>
          <w:highlight w:val="none"/>
          <w:lang w:val="en-US" w:eastAsia="zh-CN"/>
        </w:rPr>
        <w:t>值（见表</w:t>
      </w:r>
      <w:r>
        <w:rPr>
          <w:rFonts w:hint="default" w:ascii="Times New Roman" w:hAnsi="Times New Roman" w:eastAsia="仿宋_GB2312" w:cs="Times New Roman"/>
          <w:color w:val="auto"/>
          <w:sz w:val="32"/>
          <w:highlight w:val="none"/>
          <w:lang w:val="en-US" w:eastAsia="zh-CN"/>
        </w:rPr>
        <w:t>4</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val="en-US" w:eastAsia="zh-CN"/>
        </w:rPr>
        <w:t>、附件2）。</w:t>
      </w:r>
    </w:p>
    <w:p>
      <w:pPr>
        <w:pStyle w:val="8"/>
        <w:rPr>
          <w:rFonts w:hint="eastAsia"/>
          <w:lang w:val="en-US" w:eastAsia="zh-CN"/>
        </w:rPr>
      </w:pPr>
    </w:p>
    <w:tbl>
      <w:tblPr>
        <w:tblStyle w:val="18"/>
        <w:tblW w:w="8911" w:type="dxa"/>
        <w:jc w:val="center"/>
        <w:tblLayout w:type="fixed"/>
        <w:tblCellMar>
          <w:top w:w="0" w:type="dxa"/>
          <w:left w:w="108" w:type="dxa"/>
          <w:bottom w:w="0" w:type="dxa"/>
          <w:right w:w="108" w:type="dxa"/>
        </w:tblCellMar>
      </w:tblPr>
      <w:tblGrid>
        <w:gridCol w:w="1239"/>
        <w:gridCol w:w="1192"/>
        <w:gridCol w:w="2236"/>
        <w:gridCol w:w="1472"/>
        <w:gridCol w:w="1648"/>
        <w:gridCol w:w="1124"/>
      </w:tblGrid>
      <w:tr>
        <w:tblPrEx>
          <w:tblCellMar>
            <w:top w:w="0" w:type="dxa"/>
            <w:left w:w="108" w:type="dxa"/>
            <w:bottom w:w="0" w:type="dxa"/>
            <w:right w:w="108" w:type="dxa"/>
          </w:tblCellMar>
        </w:tblPrEx>
        <w:trPr>
          <w:trHeight w:val="400" w:hRule="atLeast"/>
          <w:jc w:val="center"/>
        </w:trPr>
        <w:tc>
          <w:tcPr>
            <w:tcW w:w="8911" w:type="dxa"/>
            <w:gridSpan w:val="6"/>
            <w:tcBorders>
              <w:top w:val="nil"/>
              <w:left w:val="nil"/>
              <w:bottom w:val="nil"/>
              <w:right w:val="nil"/>
            </w:tcBorders>
            <w:shd w:val="clear" w:color="auto" w:fill="FFFFFF"/>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8"/>
                <w:szCs w:val="28"/>
                <w:highlight w:val="none"/>
                <w:lang w:bidi="ar"/>
              </w:rPr>
              <w:t>表</w:t>
            </w:r>
            <w:r>
              <w:rPr>
                <w:rFonts w:hint="default" w:ascii="Times New Roman" w:hAnsi="Times New Roman" w:eastAsia="仿宋_GB2312" w:cs="Times New Roman"/>
                <w:color w:val="auto"/>
                <w:kern w:val="0"/>
                <w:sz w:val="28"/>
                <w:szCs w:val="28"/>
                <w:highlight w:val="none"/>
                <w:lang w:bidi="ar"/>
              </w:rPr>
              <w:t>4</w:t>
            </w:r>
            <w:r>
              <w:rPr>
                <w:rFonts w:hint="eastAsia" w:ascii="仿宋_GB2312" w:hAnsi="仿宋_GB2312" w:eastAsia="仿宋_GB2312" w:cs="仿宋_GB2312"/>
                <w:color w:val="auto"/>
                <w:kern w:val="0"/>
                <w:sz w:val="28"/>
                <w:szCs w:val="28"/>
                <w:highlight w:val="none"/>
                <w:lang w:bidi="ar"/>
              </w:rPr>
              <w:t>-</w:t>
            </w:r>
            <w:r>
              <w:rPr>
                <w:rFonts w:hint="default" w:ascii="Times New Roman" w:hAnsi="Times New Roman" w:eastAsia="仿宋_GB2312" w:cs="Times New Roman"/>
                <w:color w:val="auto"/>
                <w:kern w:val="0"/>
                <w:sz w:val="28"/>
                <w:szCs w:val="28"/>
                <w:highlight w:val="none"/>
                <w:lang w:bidi="ar"/>
              </w:rPr>
              <w:t>2</w:t>
            </w:r>
            <w:r>
              <w:rPr>
                <w:rFonts w:hint="eastAsia" w:ascii="仿宋_GB2312" w:hAnsi="仿宋_GB2312" w:eastAsia="仿宋_GB2312" w:cs="仿宋_GB2312"/>
                <w:color w:val="auto"/>
                <w:kern w:val="0"/>
                <w:sz w:val="28"/>
                <w:szCs w:val="28"/>
                <w:highlight w:val="none"/>
                <w:lang w:bidi="ar"/>
              </w:rPr>
              <w:t xml:space="preserve"> </w:t>
            </w:r>
            <w:r>
              <w:rPr>
                <w:rFonts w:hint="default" w:ascii="Times New Roman" w:hAnsi="Times New Roman" w:eastAsia="仿宋_GB2312" w:cs="Times New Roman"/>
                <w:color w:val="auto"/>
                <w:kern w:val="0"/>
                <w:sz w:val="28"/>
                <w:szCs w:val="28"/>
                <w:highlight w:val="none"/>
                <w:lang w:bidi="ar"/>
              </w:rPr>
              <w:t>20</w:t>
            </w:r>
            <w:r>
              <w:rPr>
                <w:rFonts w:hint="default" w:ascii="Times New Roman" w:hAnsi="Times New Roman" w:eastAsia="仿宋_GB2312" w:cs="Times New Roman"/>
                <w:color w:val="auto"/>
                <w:kern w:val="0"/>
                <w:sz w:val="28"/>
                <w:szCs w:val="28"/>
                <w:highlight w:val="none"/>
                <w:lang w:val="en-US" w:eastAsia="zh-CN" w:bidi="ar"/>
              </w:rPr>
              <w:t>22</w:t>
            </w:r>
            <w:r>
              <w:rPr>
                <w:rFonts w:hint="eastAsia" w:ascii="仿宋_GB2312" w:hAnsi="仿宋_GB2312" w:eastAsia="仿宋_GB2312" w:cs="仿宋_GB2312"/>
                <w:color w:val="auto"/>
                <w:kern w:val="0"/>
                <w:sz w:val="28"/>
                <w:szCs w:val="28"/>
                <w:highlight w:val="none"/>
                <w:lang w:bidi="ar"/>
              </w:rPr>
              <w:t>年</w:t>
            </w:r>
            <w:r>
              <w:rPr>
                <w:rFonts w:hint="eastAsia" w:ascii="仿宋_GB2312" w:hAnsi="仿宋_GB2312" w:eastAsia="仿宋_GB2312" w:cs="仿宋_GB2312"/>
                <w:color w:val="auto"/>
                <w:kern w:val="0"/>
                <w:sz w:val="28"/>
                <w:szCs w:val="28"/>
                <w:highlight w:val="none"/>
                <w:lang w:eastAsia="zh-CN" w:bidi="ar"/>
              </w:rPr>
              <w:t>保障性安居工程</w:t>
            </w:r>
            <w:r>
              <w:rPr>
                <w:rFonts w:hint="eastAsia" w:ascii="仿宋_GB2312" w:hAnsi="仿宋_GB2312" w:eastAsia="仿宋_GB2312" w:cs="仿宋_GB2312"/>
                <w:color w:val="auto"/>
                <w:kern w:val="0"/>
                <w:sz w:val="28"/>
                <w:szCs w:val="28"/>
                <w:highlight w:val="none"/>
                <w:lang w:bidi="ar"/>
              </w:rPr>
              <w:t>省级补助资金绩效目标完成情况表</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项目名称</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rPr>
              <w:t>202</w:t>
            </w:r>
            <w:r>
              <w:rPr>
                <w:rFonts w:hint="default" w:ascii="Times New Roman" w:hAnsi="Times New Roman" w:eastAsia="仿宋_GB2312" w:cs="Times New Roman"/>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eastAsia="zh-CN"/>
              </w:rPr>
              <w:t>保障性安居工程</w:t>
            </w:r>
            <w:r>
              <w:rPr>
                <w:rFonts w:hint="eastAsia" w:ascii="仿宋_GB2312" w:hAnsi="仿宋_GB2312" w:eastAsia="仿宋_GB2312" w:cs="仿宋_GB2312"/>
                <w:color w:val="auto"/>
                <w:sz w:val="24"/>
                <w:szCs w:val="24"/>
                <w:highlight w:val="none"/>
              </w:rPr>
              <w:t>省级补助资金</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预算年度</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rPr>
              <w:t>202</w:t>
            </w:r>
            <w:r>
              <w:rPr>
                <w:rFonts w:hint="default" w:ascii="Times New Roman" w:hAnsi="Times New Roman" w:eastAsia="仿宋_GB2312" w:cs="Times New Roman"/>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年</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资金</w:t>
            </w:r>
            <w:r>
              <w:rPr>
                <w:rFonts w:hint="eastAsia" w:ascii="仿宋_GB2312" w:hAnsi="仿宋_GB2312" w:eastAsia="仿宋_GB2312" w:cs="仿宋_GB2312"/>
                <w:color w:val="auto"/>
                <w:sz w:val="24"/>
                <w:szCs w:val="24"/>
                <w:highlight w:val="none"/>
                <w:lang w:eastAsia="zh-CN"/>
              </w:rPr>
              <w:t>预算</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54235</w:t>
            </w:r>
            <w:r>
              <w:rPr>
                <w:rFonts w:hint="eastAsia" w:ascii="仿宋_GB2312" w:hAnsi="仿宋_GB2312" w:eastAsia="仿宋_GB2312" w:cs="仿宋_GB2312"/>
                <w:color w:val="auto"/>
                <w:sz w:val="24"/>
                <w:szCs w:val="24"/>
                <w:highlight w:val="none"/>
              </w:rPr>
              <w:t>万元</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支出内容</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spacing w:beforeLines="0" w:line="240" w:lineRule="auto"/>
              <w:ind w:left="0" w:left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用于支持纳入国家、省城镇棚改、公租房、保障性租赁住房、共有产权住房、租赁补贴等保障性安居工程项目以及保障性安居工程的相关支出。</w:t>
            </w:r>
          </w:p>
        </w:tc>
      </w:tr>
      <w:tr>
        <w:tblPrEx>
          <w:tblCellMar>
            <w:top w:w="0" w:type="dxa"/>
            <w:left w:w="108" w:type="dxa"/>
            <w:bottom w:w="0" w:type="dxa"/>
            <w:right w:w="108" w:type="dxa"/>
          </w:tblCellMar>
        </w:tblPrEx>
        <w:trPr>
          <w:trHeight w:val="360" w:hRule="atLeast"/>
          <w:jc w:val="center"/>
        </w:trPr>
        <w:tc>
          <w:tcPr>
            <w:tcW w:w="123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一级指标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二级指标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三级指标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指标值</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完成值</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完成率%</w:t>
            </w:r>
          </w:p>
        </w:tc>
      </w:tr>
      <w:tr>
        <w:tblPrEx>
          <w:tblCellMar>
            <w:top w:w="0" w:type="dxa"/>
            <w:left w:w="108" w:type="dxa"/>
            <w:bottom w:w="0" w:type="dxa"/>
            <w:right w:w="108" w:type="dxa"/>
          </w:tblCellMar>
        </w:tblPrEx>
        <w:trPr>
          <w:trHeight w:val="488"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建设公共租赁住房套数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4850</w:t>
            </w:r>
            <w:r>
              <w:rPr>
                <w:rFonts w:hint="eastAsia" w:ascii="仿宋_GB2312" w:hAnsi="宋体" w:eastAsia="仿宋_GB2312" w:cs="仿宋_GB2312"/>
                <w:i w:val="0"/>
                <w:iCs w:val="0"/>
                <w:color w:val="000000"/>
                <w:kern w:val="0"/>
                <w:sz w:val="24"/>
                <w:szCs w:val="24"/>
                <w:u w:val="none"/>
                <w:lang w:val="en-US" w:eastAsia="zh-CN" w:bidi="ar"/>
              </w:rPr>
              <w:t>套</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8745</w:t>
            </w:r>
            <w:r>
              <w:rPr>
                <w:rFonts w:hint="eastAsia" w:ascii="仿宋_GB2312" w:hAnsi="宋体" w:eastAsia="仿宋_GB2312" w:cs="仿宋_GB2312"/>
                <w:i w:val="0"/>
                <w:iCs w:val="0"/>
                <w:color w:val="000000"/>
                <w:kern w:val="0"/>
                <w:sz w:val="24"/>
                <w:szCs w:val="24"/>
                <w:u w:val="none"/>
                <w:lang w:val="en-US" w:eastAsia="zh-CN" w:bidi="ar"/>
              </w:rPr>
              <w:t>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新筹建保障性租赁住房套数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11150</w:t>
            </w:r>
            <w:r>
              <w:rPr>
                <w:rFonts w:hint="eastAsia" w:ascii="仿宋_GB2312" w:hAnsi="宋体" w:eastAsia="仿宋_GB2312" w:cs="仿宋_GB2312"/>
                <w:i w:val="0"/>
                <w:iCs w:val="0"/>
                <w:color w:val="000000"/>
                <w:kern w:val="0"/>
                <w:sz w:val="24"/>
                <w:szCs w:val="24"/>
                <w:u w:val="none"/>
                <w:lang w:val="en-US" w:eastAsia="zh-CN" w:bidi="ar"/>
              </w:rPr>
              <w:t>套</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42000</w:t>
            </w:r>
            <w:r>
              <w:rPr>
                <w:rFonts w:hint="eastAsia" w:ascii="仿宋_GB2312" w:hAnsi="宋体" w:eastAsia="仿宋_GB2312" w:cs="仿宋_GB2312"/>
                <w:i w:val="0"/>
                <w:iCs w:val="0"/>
                <w:color w:val="000000"/>
                <w:kern w:val="0"/>
                <w:sz w:val="24"/>
                <w:szCs w:val="24"/>
                <w:u w:val="none"/>
                <w:lang w:val="en-US" w:eastAsia="zh-CN" w:bidi="ar"/>
              </w:rPr>
              <w:t>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新开工共有产权住房套数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4000</w:t>
            </w:r>
            <w:r>
              <w:rPr>
                <w:rFonts w:hint="eastAsia" w:ascii="仿宋_GB2312" w:hAnsi="宋体" w:eastAsia="仿宋_GB2312" w:cs="仿宋_GB2312"/>
                <w:i w:val="0"/>
                <w:iCs w:val="0"/>
                <w:color w:val="000000"/>
                <w:kern w:val="0"/>
                <w:sz w:val="24"/>
                <w:szCs w:val="24"/>
                <w:u w:val="none"/>
                <w:lang w:val="en-US" w:eastAsia="zh-CN" w:bidi="ar"/>
              </w:rPr>
              <w:t>套</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4396</w:t>
            </w:r>
            <w:r>
              <w:rPr>
                <w:rFonts w:hint="eastAsia" w:ascii="仿宋_GB2312" w:hAnsi="宋体" w:eastAsia="仿宋_GB2312" w:cs="仿宋_GB2312"/>
                <w:i w:val="0"/>
                <w:iCs w:val="0"/>
                <w:color w:val="000000"/>
                <w:kern w:val="0"/>
                <w:sz w:val="24"/>
                <w:szCs w:val="24"/>
                <w:u w:val="none"/>
                <w:lang w:val="en-US" w:eastAsia="zh-CN" w:bidi="ar"/>
              </w:rPr>
              <w:t>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新开工棚户区改造安置住房套数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200</w:t>
            </w:r>
            <w:r>
              <w:rPr>
                <w:rFonts w:hint="eastAsia" w:ascii="仿宋_GB2312" w:hAnsi="宋体" w:eastAsia="仿宋_GB2312" w:cs="仿宋_GB2312"/>
                <w:i w:val="0"/>
                <w:iCs w:val="0"/>
                <w:color w:val="000000"/>
                <w:kern w:val="0"/>
                <w:sz w:val="24"/>
                <w:szCs w:val="24"/>
                <w:u w:val="none"/>
                <w:lang w:val="en-US" w:eastAsia="zh-CN" w:bidi="ar"/>
              </w:rPr>
              <w:t>套</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276</w:t>
            </w:r>
            <w:r>
              <w:rPr>
                <w:rFonts w:hint="eastAsia" w:ascii="仿宋_GB2312" w:hAnsi="宋体" w:eastAsia="仿宋_GB2312" w:cs="仿宋_GB2312"/>
                <w:i w:val="0"/>
                <w:iCs w:val="0"/>
                <w:color w:val="000000"/>
                <w:kern w:val="0"/>
                <w:sz w:val="24"/>
                <w:szCs w:val="24"/>
                <w:u w:val="none"/>
                <w:lang w:val="en-US" w:eastAsia="zh-CN" w:bidi="ar"/>
              </w:rPr>
              <w:t>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建设棚户区改造套数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22</w:t>
            </w:r>
            <w:r>
              <w:rPr>
                <w:rFonts w:hint="eastAsia" w:ascii="仿宋_GB2312" w:hAnsi="宋体" w:eastAsia="仿宋_GB2312" w:cs="仿宋_GB2312"/>
                <w:i w:val="0"/>
                <w:iCs w:val="0"/>
                <w:color w:val="000000"/>
                <w:kern w:val="0"/>
                <w:sz w:val="24"/>
                <w:szCs w:val="24"/>
                <w:u w:val="none"/>
                <w:lang w:val="en-US" w:eastAsia="zh-CN" w:bidi="ar"/>
              </w:rPr>
              <w:t>套</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22</w:t>
            </w:r>
            <w:r>
              <w:rPr>
                <w:rFonts w:hint="eastAsia" w:ascii="仿宋_GB2312" w:hAnsi="宋体" w:eastAsia="仿宋_GB2312" w:cs="仿宋_GB2312"/>
                <w:i w:val="0"/>
                <w:iCs w:val="0"/>
                <w:color w:val="000000"/>
                <w:kern w:val="0"/>
                <w:sz w:val="24"/>
                <w:szCs w:val="24"/>
                <w:u w:val="none"/>
                <w:lang w:val="en-US" w:eastAsia="zh-CN" w:bidi="ar"/>
              </w:rPr>
              <w:t>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596"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支撑贴息贷款金额</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102632</w:t>
            </w:r>
            <w:r>
              <w:rPr>
                <w:rFonts w:hint="eastAsia" w:ascii="仿宋_GB2312" w:hAnsi="宋体" w:eastAsia="仿宋_GB2312" w:cs="仿宋_GB2312"/>
                <w:i w:val="0"/>
                <w:iCs w:val="0"/>
                <w:color w:val="000000"/>
                <w:kern w:val="0"/>
                <w:sz w:val="24"/>
                <w:szCs w:val="24"/>
                <w:u w:val="none"/>
                <w:lang w:val="en-US" w:eastAsia="zh-CN" w:bidi="ar"/>
              </w:rPr>
              <w:t>万元</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102632</w:t>
            </w:r>
            <w:r>
              <w:rPr>
                <w:rFonts w:hint="eastAsia" w:ascii="仿宋_GB2312" w:hAnsi="宋体" w:eastAsia="仿宋_GB2312" w:cs="仿宋_GB2312"/>
                <w:i w:val="0"/>
                <w:iCs w:val="0"/>
                <w:color w:val="000000"/>
                <w:kern w:val="0"/>
                <w:sz w:val="24"/>
                <w:szCs w:val="24"/>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实施发放租赁补贴户数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40</w:t>
            </w:r>
            <w:r>
              <w:rPr>
                <w:rFonts w:hint="eastAsia" w:ascii="仿宋_GB2312" w:hAnsi="宋体" w:eastAsia="仿宋_GB2312" w:cs="仿宋_GB2312"/>
                <w:i w:val="0"/>
                <w:iCs w:val="0"/>
                <w:color w:val="000000"/>
                <w:kern w:val="0"/>
                <w:sz w:val="24"/>
                <w:szCs w:val="24"/>
                <w:u w:val="none"/>
                <w:lang w:val="en-US" w:eastAsia="zh-CN" w:bidi="ar"/>
              </w:rPr>
              <w:t>万户</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81</w:t>
            </w:r>
            <w:r>
              <w:rPr>
                <w:rFonts w:hint="eastAsia" w:ascii="仿宋_GB2312" w:hAnsi="宋体" w:eastAsia="仿宋_GB2312" w:cs="仿宋_GB2312"/>
                <w:i w:val="0"/>
                <w:iCs w:val="0"/>
                <w:color w:val="000000"/>
                <w:kern w:val="0"/>
                <w:sz w:val="24"/>
                <w:szCs w:val="24"/>
                <w:u w:val="none"/>
                <w:lang w:val="en-US" w:eastAsia="zh-CN" w:bidi="ar"/>
              </w:rPr>
              <w:t>万户</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涉及受助困难群众人数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3.23</w:t>
            </w:r>
            <w:r>
              <w:rPr>
                <w:rFonts w:hint="eastAsia" w:ascii="仿宋_GB2312" w:hAnsi="宋体" w:eastAsia="仿宋_GB2312" w:cs="仿宋_GB2312"/>
                <w:i w:val="0"/>
                <w:iCs w:val="0"/>
                <w:color w:val="000000"/>
                <w:kern w:val="0"/>
                <w:sz w:val="24"/>
                <w:szCs w:val="24"/>
                <w:u w:val="none"/>
                <w:lang w:val="en-US" w:eastAsia="zh-CN" w:bidi="ar"/>
              </w:rPr>
              <w:t>万人</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3.23</w:t>
            </w:r>
            <w:r>
              <w:rPr>
                <w:rFonts w:hint="eastAsia" w:ascii="仿宋_GB2312" w:hAnsi="宋体" w:eastAsia="仿宋_GB2312" w:cs="仿宋_GB2312"/>
                <w:i w:val="0"/>
                <w:iCs w:val="0"/>
                <w:color w:val="000000"/>
                <w:kern w:val="0"/>
                <w:sz w:val="24"/>
                <w:szCs w:val="24"/>
                <w:u w:val="none"/>
                <w:lang w:val="en-US" w:eastAsia="zh-CN" w:bidi="ar"/>
              </w:rPr>
              <w:t>万人</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提升公共租赁住房维护管理能力</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优/良/中/低</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质量指标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项目完成质量</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default"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时效指标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建设目标完成率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筹建目标完成率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补贴发放目标完成率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tcBorders>
              <w:top w:val="single" w:color="000000" w:sz="4" w:space="0"/>
              <w:left w:val="single" w:color="000000" w:sz="4" w:space="0"/>
              <w:right w:val="single" w:color="000000" w:sz="4" w:space="0"/>
            </w:tcBorders>
            <w:shd w:val="clear" w:color="auto" w:fill="auto"/>
            <w:vAlign w:val="center"/>
          </w:tcPr>
          <w:p>
            <w:pPr>
              <w:widowControl/>
              <w:spacing w:beforeLines="0"/>
              <w:jc w:val="center"/>
              <w:textAlignment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成本指标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成本控制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社会效益</w:t>
            </w:r>
            <w:r>
              <w:rPr>
                <w:rFonts w:hint="eastAsia" w:ascii="仿宋_GB2312" w:hAnsi="仿宋_GB2312" w:eastAsia="仿宋_GB2312" w:cs="仿宋_GB2312"/>
                <w:color w:val="auto"/>
                <w:sz w:val="24"/>
                <w:szCs w:val="24"/>
                <w:highlight w:val="none"/>
              </w:rPr>
              <w:br w:type="textWrapping"/>
            </w:r>
            <w:r>
              <w:rPr>
                <w:rFonts w:hint="eastAsia" w:ascii="仿宋_GB2312" w:hAnsi="仿宋_GB2312" w:eastAsia="仿宋_GB2312" w:cs="仿宋_GB2312"/>
                <w:color w:val="auto"/>
                <w:sz w:val="24"/>
                <w:szCs w:val="24"/>
                <w:highlight w:val="none"/>
              </w:rPr>
              <w:t>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eastAsia" w:ascii="仿宋_GB2312" w:hAnsi="宋体" w:eastAsia="仿宋_GB2312" w:cs="仿宋_GB2312"/>
                <w:i w:val="0"/>
                <w:iCs w:val="0"/>
                <w:color w:val="000000"/>
                <w:kern w:val="0"/>
                <w:sz w:val="24"/>
                <w:szCs w:val="24"/>
                <w:u w:val="none"/>
                <w:lang w:val="en-US" w:eastAsia="zh-CN" w:bidi="ar"/>
              </w:rPr>
              <w:t>带动保障性安居工程投资</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400</w:t>
            </w:r>
            <w:r>
              <w:rPr>
                <w:rFonts w:hint="eastAsia" w:ascii="仿宋_GB2312" w:hAnsi="宋体" w:eastAsia="仿宋_GB2312" w:cs="仿宋_GB2312"/>
                <w:i w:val="0"/>
                <w:iCs w:val="0"/>
                <w:color w:val="000000"/>
                <w:kern w:val="0"/>
                <w:sz w:val="24"/>
                <w:szCs w:val="24"/>
                <w:u w:val="none"/>
                <w:lang w:val="en-US" w:eastAsia="zh-CN" w:bidi="ar"/>
              </w:rPr>
              <w:t>万元</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485</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28</w:t>
            </w:r>
            <w:r>
              <w:rPr>
                <w:rFonts w:hint="eastAsia" w:ascii="仿宋_GB2312" w:hAnsi="宋体" w:eastAsia="仿宋_GB2312" w:cs="仿宋_GB2312"/>
                <w:i w:val="0"/>
                <w:iCs w:val="0"/>
                <w:color w:val="000000"/>
                <w:kern w:val="0"/>
                <w:sz w:val="24"/>
                <w:szCs w:val="24"/>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有效改善棚改区居民居住环境户数/解决住房困难家庭户数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Times New Roman" w:hAnsi="Times New Roman" w:eastAsia="仿宋_GB2312" w:cs="Times New Roman"/>
                <w:i w:val="0"/>
                <w:iCs w:val="0"/>
                <w:color w:val="000000"/>
                <w:kern w:val="0"/>
                <w:sz w:val="24"/>
                <w:szCs w:val="24"/>
                <w:u w:val="none"/>
                <w:lang w:val="en-US" w:eastAsia="zh-CN" w:bidi="ar"/>
              </w:rPr>
              <w:t>0.04</w:t>
            </w:r>
            <w:r>
              <w:rPr>
                <w:rFonts w:hint="eastAsia" w:ascii="仿宋_GB2312" w:hAnsi="宋体" w:eastAsia="仿宋_GB2312" w:cs="仿宋_GB2312"/>
                <w:i w:val="0"/>
                <w:iCs w:val="0"/>
                <w:color w:val="000000"/>
                <w:kern w:val="0"/>
                <w:sz w:val="24"/>
                <w:szCs w:val="24"/>
                <w:u w:val="none"/>
                <w:lang w:val="en-US" w:eastAsia="zh-CN" w:bidi="ar"/>
              </w:rPr>
              <w:t>万户</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Times New Roman" w:hAnsi="Times New Roman" w:eastAsia="仿宋_GB2312" w:cs="Times New Roman"/>
                <w:i w:val="0"/>
                <w:iCs w:val="0"/>
                <w:color w:val="000000"/>
                <w:kern w:val="0"/>
                <w:sz w:val="24"/>
                <w:szCs w:val="24"/>
                <w:u w:val="none"/>
                <w:lang w:val="en-US" w:eastAsia="zh-CN" w:bidi="ar"/>
              </w:rPr>
              <w:t>0.04</w:t>
            </w:r>
            <w:r>
              <w:rPr>
                <w:rFonts w:hint="eastAsia" w:ascii="仿宋_GB2312" w:hAnsi="宋体" w:eastAsia="仿宋_GB2312" w:cs="仿宋_GB2312"/>
                <w:i w:val="0"/>
                <w:iCs w:val="0"/>
                <w:color w:val="000000"/>
                <w:kern w:val="0"/>
                <w:sz w:val="24"/>
                <w:szCs w:val="24"/>
                <w:u w:val="none"/>
                <w:lang w:val="en-US" w:eastAsia="zh-CN" w:bidi="ar"/>
              </w:rPr>
              <w:t>万户</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有效保障棚改贷款按时足额付息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100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100</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解决住房困难家庭户数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03</w:t>
            </w:r>
            <w:r>
              <w:rPr>
                <w:rFonts w:hint="eastAsia" w:ascii="仿宋_GB2312" w:hAnsi="宋体" w:eastAsia="仿宋_GB2312" w:cs="仿宋_GB2312"/>
                <w:i w:val="0"/>
                <w:iCs w:val="0"/>
                <w:color w:val="000000"/>
                <w:kern w:val="0"/>
                <w:sz w:val="24"/>
                <w:szCs w:val="24"/>
                <w:u w:val="none"/>
                <w:lang w:val="en-US" w:eastAsia="zh-CN" w:bidi="ar"/>
              </w:rPr>
              <w:t>万户</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12</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24</w:t>
            </w:r>
            <w:r>
              <w:rPr>
                <w:rFonts w:hint="eastAsia" w:ascii="仿宋_GB2312" w:hAnsi="宋体" w:eastAsia="仿宋_GB2312" w:cs="仿宋_GB2312"/>
                <w:i w:val="0"/>
                <w:iCs w:val="0"/>
                <w:color w:val="000000"/>
                <w:kern w:val="0"/>
                <w:sz w:val="24"/>
                <w:szCs w:val="24"/>
                <w:u w:val="none"/>
                <w:lang w:val="en-US" w:eastAsia="zh-CN" w:bidi="ar"/>
              </w:rPr>
              <w:t>万户</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已保家庭户数占应保家庭户数比率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119</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可持续发展指标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长效管理机制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100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color w:val="000000"/>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100</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满意度指标</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城镇低保低收入住房困难家庭满意度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default" w:ascii="仿宋_GB2312" w:hAnsi="仿宋_GB2312" w:eastAsia="仿宋_GB2312" w:cs="仿宋_GB2312"/>
                <w:color w:val="auto"/>
                <w:sz w:val="24"/>
                <w:szCs w:val="24"/>
                <w:highlight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88</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86</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棚户区改造被拆迁居民满意度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i w:val="0"/>
                <w:iCs w:val="0"/>
                <w:color w:val="000000"/>
                <w:kern w:val="0"/>
                <w:sz w:val="24"/>
                <w:szCs w:val="24"/>
                <w:u w:val="none"/>
                <w:lang w:val="en-US" w:eastAsia="zh-CN" w:bidi="ar"/>
              </w:rPr>
              <w:t>85</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00</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1239" w:type="dxa"/>
            <w:vMerge w:val="continue"/>
            <w:tcBorders>
              <w:left w:val="single" w:color="auto" w:sz="4" w:space="0"/>
              <w:bottom w:val="single" w:color="auto"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1192"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已入住保租房的青年人、新市民满意度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80</w:t>
            </w:r>
            <w:r>
              <w:rPr>
                <w:rFonts w:hint="eastAsia" w:ascii="仿宋_GB2312" w:hAnsi="宋体" w:eastAsia="仿宋_GB2312" w:cs="仿宋_GB2312"/>
                <w:i w:val="0"/>
                <w:iCs w:val="0"/>
                <w:color w:val="000000"/>
                <w:kern w:val="0"/>
                <w:sz w:val="24"/>
                <w:szCs w:val="24"/>
                <w:u w:val="none"/>
                <w:lang w:val="en-US" w:eastAsia="zh-CN" w:bidi="ar"/>
              </w:rPr>
              <w:t>%</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sz w:val="24"/>
                <w:szCs w:val="24"/>
                <w:highlight w:val="none"/>
              </w:rPr>
            </w:pPr>
            <w:r>
              <w:rPr>
                <w:rFonts w:hint="default" w:ascii="Times New Roman" w:hAnsi="Times New Roman" w:eastAsia="仿宋_GB2312" w:cs="Times New Roman"/>
                <w:i w:val="0"/>
                <w:iCs w:val="0"/>
                <w:color w:val="000000"/>
                <w:kern w:val="0"/>
                <w:sz w:val="24"/>
                <w:szCs w:val="24"/>
                <w:u w:val="none"/>
                <w:lang w:val="en-US" w:eastAsia="zh-CN" w:bidi="ar"/>
              </w:rPr>
              <w:t>85</w:t>
            </w:r>
            <w:r>
              <w:rPr>
                <w:rFonts w:hint="eastAsia" w:ascii="仿宋_GB2312" w:hAnsi="宋体" w:eastAsia="仿宋_GB2312" w:cs="仿宋_GB2312"/>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52</w:t>
            </w:r>
            <w:r>
              <w:rPr>
                <w:rFonts w:hint="eastAsia" w:ascii="仿宋_GB2312" w:hAnsi="宋体" w:eastAsia="仿宋_GB2312" w:cs="仿宋_GB2312"/>
                <w:i w:val="0"/>
                <w:iCs w:val="0"/>
                <w:color w:val="000000"/>
                <w:kern w:val="0"/>
                <w:sz w:val="24"/>
                <w:szCs w:val="24"/>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100</w:t>
            </w:r>
            <w:r>
              <w:rPr>
                <w:rFonts w:hint="eastAsia" w:ascii="仿宋_GB2312" w:hAnsi="仿宋_GB2312" w:eastAsia="仿宋_GB2312" w:cs="仿宋_GB2312"/>
                <w:color w:val="auto"/>
                <w:sz w:val="24"/>
                <w:szCs w:val="24"/>
                <w:highlight w:val="none"/>
                <w:lang w:val="en-US" w:eastAsia="zh-CN"/>
              </w:rPr>
              <w:t>%</w:t>
            </w:r>
          </w:p>
        </w:tc>
      </w:tr>
    </w:tbl>
    <w:p>
      <w:pPr>
        <w:pStyle w:val="8"/>
        <w:spacing w:beforeLines="0"/>
        <w:ind w:left="0" w:leftChars="0" w:firstLine="640" w:firstLineChars="200"/>
        <w:rPr>
          <w:rFonts w:hint="eastAsia" w:ascii="仿宋_GB2312" w:hAnsi="仿宋_GB2312" w:eastAsia="仿宋_GB2312" w:cs="仿宋_GB2312"/>
          <w:color w:val="auto"/>
          <w:sz w:val="32"/>
          <w:highlight w:val="none"/>
          <w:lang w:eastAsia="zh-CN"/>
        </w:rPr>
      </w:pPr>
    </w:p>
    <w:p>
      <w:pPr>
        <w:pStyle w:val="8"/>
        <w:pageBreakBefore w:val="0"/>
        <w:kinsoku/>
        <w:wordWrap/>
        <w:overflowPunct/>
        <w:topLinePunct w:val="0"/>
        <w:autoSpaceDE/>
        <w:autoSpaceDN/>
        <w:bidi w:val="0"/>
        <w:adjustRightInd/>
        <w:spacing w:line="600" w:lineRule="exact"/>
        <w:ind w:left="0" w:leftChars="0" w:firstLine="640" w:firstLineChars="200"/>
        <w:textAlignment w:val="auto"/>
        <w:rPr>
          <w:rFonts w:ascii="仿宋_GB2312" w:hAnsi="Times New Roman" w:eastAsia="仿宋_GB2312"/>
          <w:sz w:val="32"/>
        </w:rPr>
      </w:pP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val="en-US" w:eastAsia="zh-CN"/>
        </w:rPr>
        <w:t>）</w:t>
      </w:r>
      <w:r>
        <w:rPr>
          <w:rFonts w:hint="eastAsia" w:ascii="仿宋_GB2312" w:hAnsi="仿宋_GB2312" w:eastAsia="仿宋_GB2312" w:cs="仿宋_GB2312"/>
          <w:color w:val="auto"/>
          <w:sz w:val="32"/>
          <w:highlight w:val="none"/>
        </w:rPr>
        <w:t>质量指标</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eastAsia" w:ascii="仿宋_GB2312" w:hAnsi="Times New Roman" w:eastAsia="仿宋_GB2312"/>
          <w:sz w:val="32"/>
        </w:rPr>
        <w:t>有关市县</w:t>
      </w:r>
      <w:r>
        <w:rPr>
          <w:rFonts w:hint="default" w:ascii="Times New Roman" w:hAnsi="Times New Roman" w:eastAsia="仿宋_GB2312" w:cs="Times New Roman"/>
          <w:sz w:val="32"/>
        </w:rPr>
        <w:t>2022</w:t>
      </w:r>
      <w:r>
        <w:rPr>
          <w:rFonts w:hint="eastAsia" w:ascii="仿宋_GB2312" w:hAnsi="Times New Roman" w:eastAsia="仿宋_GB2312"/>
          <w:sz w:val="32"/>
        </w:rPr>
        <w:t>年省级财政保障性安居工程项目实施单位严格执行《广东省建设工程质量管理条例》《广东省建设项目安全设施监督管理办法》等规定，各市县结合保障性安居工程项目实际，制定并落实有针对性的规章制度，完善工程质量安全事中事后监管机制，压实建设单位、设计单位、施工单位、监理单位等参建单位质量安全责任，工程质量符合标准，完工验收项目验收合格率</w:t>
      </w:r>
      <w:r>
        <w:rPr>
          <w:rFonts w:hint="default" w:ascii="Times New Roman" w:hAnsi="Times New Roman" w:eastAsia="仿宋_GB2312" w:cs="Times New Roman"/>
          <w:sz w:val="32"/>
        </w:rPr>
        <w:t>100</w:t>
      </w:r>
      <w:r>
        <w:rPr>
          <w:rFonts w:hint="eastAsia" w:ascii="仿宋_GB2312" w:hAnsi="Times New Roman" w:eastAsia="仿宋_GB2312"/>
          <w:sz w:val="32"/>
        </w:rPr>
        <w:t>%。住房和城乡建设等部门检查、审计中，未发现存在工程质量问题，也未发现经群众举报、媒体曝光等存在工程质量问题。</w:t>
      </w:r>
    </w:p>
    <w:p>
      <w:pPr>
        <w:pageBreakBefore w:val="0"/>
        <w:kinsoku/>
        <w:wordWrap/>
        <w:overflowPunct/>
        <w:topLinePunct w:val="0"/>
        <w:autoSpaceDE/>
        <w:autoSpaceDN/>
        <w:bidi w:val="0"/>
        <w:adjustRightInd/>
        <w:spacing w:line="600" w:lineRule="exact"/>
        <w:ind w:firstLine="642" w:firstLineChars="200"/>
        <w:jc w:val="left"/>
        <w:textAlignment w:val="auto"/>
        <w:outlineLvl w:val="2"/>
        <w:rPr>
          <w:rFonts w:hint="default" w:ascii="仿宋_GB2312" w:hAnsi="仿宋_GB2312" w:eastAsia="仿宋_GB2312" w:cs="仿宋_GB2312"/>
          <w:b/>
          <w:bCs/>
          <w:color w:val="auto"/>
          <w:sz w:val="32"/>
          <w:highlight w:val="none"/>
          <w:lang w:val="en-US" w:eastAsia="zh-CN"/>
        </w:rPr>
      </w:pPr>
      <w:bookmarkStart w:id="84" w:name="_Toc25374"/>
      <w:bookmarkStart w:id="85" w:name="_Toc2937"/>
      <w:r>
        <w:rPr>
          <w:rFonts w:hint="default" w:ascii="Times New Roman" w:hAnsi="Times New Roman" w:eastAsia="仿宋_GB2312" w:cs="Times New Roman"/>
          <w:b/>
          <w:bCs/>
          <w:color w:val="auto"/>
          <w:sz w:val="32"/>
          <w:highlight w:val="none"/>
          <w:lang w:val="en-US" w:eastAsia="zh-CN"/>
        </w:rPr>
        <w:t>2</w:t>
      </w:r>
      <w:r>
        <w:rPr>
          <w:rFonts w:hint="eastAsia" w:ascii="仿宋_GB2312" w:hAnsi="仿宋_GB2312" w:eastAsia="仿宋_GB2312" w:cs="仿宋_GB2312"/>
          <w:b/>
          <w:bCs/>
          <w:color w:val="auto"/>
          <w:sz w:val="32"/>
          <w:highlight w:val="none"/>
          <w:lang w:val="en-US" w:eastAsia="zh-CN"/>
        </w:rPr>
        <w:t>.经济性</w:t>
      </w:r>
      <w:bookmarkEnd w:id="84"/>
      <w:bookmarkEnd w:id="85"/>
    </w:p>
    <w:p>
      <w:pPr>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val="en-US" w:eastAsia="zh-CN"/>
        </w:rPr>
        <w:t>1</w:t>
      </w:r>
      <w:r>
        <w:rPr>
          <w:rFonts w:hint="eastAsia" w:ascii="仿宋_GB2312" w:hAnsi="仿宋_GB2312" w:eastAsia="仿宋_GB2312" w:cs="仿宋_GB2312"/>
          <w:color w:val="auto"/>
          <w:sz w:val="32"/>
          <w:highlight w:val="none"/>
          <w:lang w:val="en-US" w:eastAsia="zh-CN"/>
        </w:rPr>
        <w:t>）</w:t>
      </w:r>
      <w:r>
        <w:rPr>
          <w:rFonts w:hint="eastAsia" w:ascii="仿宋_GB2312" w:hAnsi="仿宋_GB2312" w:eastAsia="仿宋_GB2312" w:cs="仿宋_GB2312"/>
          <w:color w:val="auto"/>
          <w:sz w:val="32"/>
          <w:highlight w:val="none"/>
        </w:rPr>
        <w:t>时效指标</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lang w:eastAsia="zh-CN"/>
        </w:rPr>
        <w:t>2022</w:t>
      </w:r>
      <w:r>
        <w:rPr>
          <w:rFonts w:hint="eastAsia" w:ascii="仿宋_GB2312" w:hAnsi="仿宋_GB2312" w:eastAsia="仿宋_GB2312" w:cs="仿宋_GB2312"/>
          <w:color w:val="auto"/>
          <w:sz w:val="32"/>
          <w:highlight w:val="none"/>
          <w:lang w:eastAsia="zh-CN"/>
        </w:rPr>
        <w:t>年</w:t>
      </w:r>
      <w:r>
        <w:rPr>
          <w:rFonts w:hint="eastAsia" w:ascii="仿宋_GB2312" w:hAnsi="仿宋_GB2312" w:eastAsia="仿宋_GB2312" w:cs="仿宋_GB2312"/>
          <w:color w:val="auto"/>
          <w:sz w:val="32"/>
          <w:highlight w:val="none"/>
        </w:rPr>
        <w:t>我省有关市县</w:t>
      </w:r>
      <w:r>
        <w:rPr>
          <w:rFonts w:hint="eastAsia" w:ascii="仿宋_GB2312" w:hAnsi="仿宋_GB2312" w:eastAsia="仿宋_GB2312" w:cs="仿宋_GB2312"/>
          <w:color w:val="auto"/>
          <w:sz w:val="32"/>
          <w:highlight w:val="none"/>
          <w:lang w:eastAsia="zh-CN"/>
        </w:rPr>
        <w:t>筹建公租房项目按时完成率为</w:t>
      </w:r>
      <w:r>
        <w:rPr>
          <w:rFonts w:hint="default" w:ascii="Times New Roman" w:hAnsi="Times New Roman" w:eastAsia="仿宋_GB2312" w:cs="Times New Roman"/>
          <w:color w:val="auto"/>
          <w:sz w:val="32"/>
          <w:highlight w:val="none"/>
          <w:lang w:eastAsia="zh-CN"/>
        </w:rPr>
        <w:t>100</w:t>
      </w:r>
      <w:r>
        <w:rPr>
          <w:rFonts w:hint="eastAsia" w:ascii="仿宋_GB2312" w:hAnsi="仿宋_GB2312" w:eastAsia="仿宋_GB2312" w:cs="仿宋_GB2312"/>
          <w:color w:val="auto"/>
          <w:sz w:val="32"/>
          <w:highlight w:val="none"/>
          <w:lang w:eastAsia="zh-CN"/>
        </w:rPr>
        <w:t>%、筹建保障性租赁住房项目按时完成率为</w:t>
      </w:r>
      <w:r>
        <w:rPr>
          <w:rFonts w:hint="default" w:ascii="Times New Roman" w:hAnsi="Times New Roman" w:eastAsia="仿宋_GB2312" w:cs="Times New Roman"/>
          <w:color w:val="auto"/>
          <w:sz w:val="32"/>
          <w:highlight w:val="none"/>
          <w:lang w:eastAsia="zh-CN"/>
        </w:rPr>
        <w:t>100</w:t>
      </w:r>
      <w:r>
        <w:rPr>
          <w:rFonts w:hint="eastAsia" w:ascii="仿宋_GB2312" w:hAnsi="仿宋_GB2312" w:eastAsia="仿宋_GB2312" w:cs="仿宋_GB2312"/>
          <w:color w:val="auto"/>
          <w:sz w:val="32"/>
          <w:highlight w:val="none"/>
          <w:lang w:eastAsia="zh-CN"/>
        </w:rPr>
        <w:t>%、筹建共有产权住房项目按时完成率为</w:t>
      </w:r>
      <w:r>
        <w:rPr>
          <w:rFonts w:hint="default" w:ascii="Times New Roman" w:hAnsi="Times New Roman" w:eastAsia="仿宋_GB2312" w:cs="Times New Roman"/>
          <w:color w:val="auto"/>
          <w:sz w:val="32"/>
          <w:highlight w:val="none"/>
          <w:lang w:eastAsia="zh-CN"/>
        </w:rPr>
        <w:t>100</w:t>
      </w:r>
      <w:r>
        <w:rPr>
          <w:rFonts w:hint="eastAsia" w:ascii="仿宋_GB2312" w:hAnsi="仿宋_GB2312" w:eastAsia="仿宋_GB2312" w:cs="仿宋_GB2312"/>
          <w:color w:val="auto"/>
          <w:sz w:val="32"/>
          <w:highlight w:val="none"/>
          <w:lang w:eastAsia="zh-CN"/>
        </w:rPr>
        <w:t>%、棚户区改造建设项目按时完成率为</w:t>
      </w:r>
      <w:r>
        <w:rPr>
          <w:rFonts w:hint="default" w:ascii="Times New Roman" w:hAnsi="Times New Roman" w:eastAsia="仿宋_GB2312" w:cs="Times New Roman"/>
          <w:color w:val="auto"/>
          <w:sz w:val="32"/>
          <w:highlight w:val="none"/>
          <w:lang w:eastAsia="zh-CN"/>
        </w:rPr>
        <w:t>100</w:t>
      </w:r>
      <w:r>
        <w:rPr>
          <w:rFonts w:hint="eastAsia" w:ascii="仿宋_GB2312" w:hAnsi="仿宋_GB2312" w:eastAsia="仿宋_GB2312" w:cs="仿宋_GB2312"/>
          <w:color w:val="auto"/>
          <w:sz w:val="32"/>
          <w:highlight w:val="none"/>
          <w:lang w:eastAsia="zh-CN"/>
        </w:rPr>
        <w:t>%，所有项目均达到预期目标。</w:t>
      </w:r>
    </w:p>
    <w:p>
      <w:pPr>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val="en-US" w:eastAsia="zh-CN"/>
        </w:rPr>
        <w:t>）成本指标。</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%。根据自评材料审核分析，有关市县</w:t>
      </w:r>
      <w:r>
        <w:rPr>
          <w:rFonts w:hint="eastAsia" w:ascii="仿宋_GB2312" w:hAnsi="仿宋_GB2312" w:eastAsia="仿宋_GB2312" w:cs="仿宋_GB2312"/>
          <w:color w:val="auto"/>
          <w:sz w:val="32"/>
          <w:highlight w:val="none"/>
          <w:lang w:val="en-US" w:eastAsia="zh-CN"/>
        </w:rPr>
        <w:t>保障性安居支出控制在预算范围，未发现超支情况，</w:t>
      </w:r>
      <w:r>
        <w:rPr>
          <w:rFonts w:hint="eastAsia" w:ascii="仿宋_GB2312" w:hAnsi="仿宋_GB2312" w:eastAsia="仿宋_GB2312" w:cs="仿宋_GB2312"/>
          <w:color w:val="auto"/>
          <w:sz w:val="32"/>
          <w:highlight w:val="none"/>
        </w:rPr>
        <w:t>工程造价属于合理范围。</w:t>
      </w:r>
    </w:p>
    <w:p>
      <w:pPr>
        <w:keepNext/>
        <w:keepLines/>
        <w:pageBreakBefore w:val="0"/>
        <w:widowControl w:val="0"/>
        <w:kinsoku/>
        <w:wordWrap/>
        <w:overflowPunct/>
        <w:topLinePunct w:val="0"/>
        <w:autoSpaceDE/>
        <w:autoSpaceDN/>
        <w:bidi w:val="0"/>
        <w:adjustRightInd/>
        <w:snapToGrid w:val="0"/>
        <w:spacing w:beforeLines="0" w:line="600" w:lineRule="exact"/>
        <w:ind w:firstLine="642" w:firstLineChars="200"/>
        <w:textAlignment w:val="auto"/>
        <w:outlineLvl w:val="1"/>
        <w:rPr>
          <w:rFonts w:hint="eastAsia" w:ascii="仿宋_GB2312" w:hAnsi="仿宋_GB2312" w:eastAsia="仿宋_GB2312" w:cs="仿宋_GB2312"/>
          <w:b/>
          <w:bCs/>
          <w:color w:val="auto"/>
          <w:kern w:val="0"/>
          <w:sz w:val="32"/>
          <w:szCs w:val="32"/>
          <w:highlight w:val="none"/>
        </w:rPr>
      </w:pPr>
      <w:bookmarkStart w:id="86" w:name="_Toc17181"/>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kern w:val="0"/>
          <w:sz w:val="32"/>
          <w:szCs w:val="32"/>
          <w:highlight w:val="none"/>
          <w:lang w:val="en-US" w:eastAsia="zh-CN"/>
        </w:rPr>
        <w:t>四</w:t>
      </w:r>
      <w:r>
        <w:rPr>
          <w:rFonts w:hint="eastAsia" w:ascii="仿宋_GB2312" w:hAnsi="仿宋_GB2312" w:eastAsia="仿宋_GB2312" w:cs="仿宋_GB2312"/>
          <w:b/>
          <w:bCs/>
          <w:color w:val="auto"/>
          <w:kern w:val="0"/>
          <w:sz w:val="32"/>
          <w:szCs w:val="32"/>
          <w:highlight w:val="none"/>
        </w:rPr>
        <w:t>）效益分析</w:t>
      </w:r>
      <w:bookmarkEnd w:id="86"/>
    </w:p>
    <w:p>
      <w:pPr>
        <w:pStyle w:val="8"/>
        <w:ind w:left="0" w:leftChars="0" w:firstLine="640" w:firstLineChars="200"/>
        <w:rPr>
          <w:rFonts w:hint="eastAsia"/>
        </w:rPr>
      </w:pPr>
      <w:r>
        <w:rPr>
          <w:rFonts w:hint="eastAsia" w:ascii="仿宋_GB2312" w:hAnsi="仿宋_GB2312" w:eastAsia="仿宋_GB2312" w:cs="仿宋_GB2312"/>
          <w:color w:val="auto"/>
          <w:sz w:val="32"/>
          <w:highlight w:val="none"/>
        </w:rPr>
        <w:t>该</w:t>
      </w:r>
      <w:r>
        <w:rPr>
          <w:rFonts w:hint="eastAsia" w:ascii="仿宋_GB2312" w:hAnsi="仿宋_GB2312" w:eastAsia="仿宋_GB2312" w:cs="仿宋_GB2312"/>
          <w:color w:val="0000FF"/>
          <w:sz w:val="32"/>
          <w:highlight w:val="none"/>
        </w:rPr>
        <w:t>指标主要从</w:t>
      </w:r>
      <w:r>
        <w:rPr>
          <w:rFonts w:hint="eastAsia" w:ascii="仿宋_GB2312" w:hAnsi="仿宋_GB2312" w:eastAsia="仿宋_GB2312" w:cs="仿宋_GB2312"/>
          <w:color w:val="0000FF"/>
          <w:sz w:val="32"/>
          <w:highlight w:val="none"/>
          <w:lang w:eastAsia="zh-CN"/>
        </w:rPr>
        <w:t>效果性</w:t>
      </w:r>
      <w:r>
        <w:rPr>
          <w:rFonts w:hint="eastAsia" w:ascii="仿宋_GB2312" w:hAnsi="仿宋_GB2312" w:eastAsia="仿宋_GB2312" w:cs="仿宋_GB2312"/>
          <w:color w:val="0000FF"/>
          <w:sz w:val="32"/>
          <w:highlight w:val="none"/>
        </w:rPr>
        <w:t>和</w:t>
      </w:r>
      <w:r>
        <w:rPr>
          <w:rFonts w:hint="eastAsia" w:ascii="仿宋_GB2312" w:hAnsi="仿宋_GB2312" w:eastAsia="仿宋_GB2312" w:cs="仿宋_GB2312"/>
          <w:color w:val="0000FF"/>
          <w:sz w:val="32"/>
          <w:highlight w:val="none"/>
          <w:lang w:eastAsia="zh-CN"/>
        </w:rPr>
        <w:t>公平</w:t>
      </w:r>
      <w:r>
        <w:rPr>
          <w:rFonts w:hint="eastAsia" w:ascii="仿宋_GB2312" w:hAnsi="仿宋_GB2312" w:eastAsia="仿宋_GB2312" w:cs="仿宋_GB2312"/>
          <w:color w:val="0000FF"/>
          <w:sz w:val="32"/>
          <w:highlight w:val="none"/>
        </w:rPr>
        <w:t>性两个方面考核</w:t>
      </w:r>
      <w:r>
        <w:rPr>
          <w:rFonts w:hint="eastAsia" w:ascii="仿宋_GB2312" w:hAnsi="仿宋_GB2312" w:eastAsia="仿宋_GB2312" w:cs="仿宋_GB2312"/>
          <w:color w:val="0000FF"/>
          <w:sz w:val="32"/>
          <w:highlight w:val="none"/>
          <w:lang w:eastAsia="zh-CN"/>
        </w:rPr>
        <w:t>社会效益、可持续发展、服务对象满意度</w:t>
      </w:r>
      <w:r>
        <w:rPr>
          <w:rFonts w:hint="eastAsia" w:ascii="仿宋_GB2312" w:hAnsi="仿宋_GB2312" w:eastAsia="仿宋_GB2312" w:cs="仿宋_GB2312"/>
          <w:color w:val="0000FF"/>
          <w:sz w:val="32"/>
          <w:highlight w:val="none"/>
        </w:rPr>
        <w:t>等情况。指标分值</w:t>
      </w:r>
      <w:r>
        <w:rPr>
          <w:rFonts w:hint="eastAsia" w:ascii="Times New Roman" w:hAnsi="Times New Roman" w:eastAsia="仿宋_GB2312" w:cs="Times New Roman"/>
          <w:color w:val="0000FF"/>
          <w:sz w:val="32"/>
          <w:highlight w:val="none"/>
          <w:lang w:val="en-US" w:eastAsia="zh-CN"/>
        </w:rPr>
        <w:t>2</w:t>
      </w:r>
      <w:r>
        <w:rPr>
          <w:rFonts w:hint="default" w:ascii="Times New Roman" w:hAnsi="Times New Roman" w:eastAsia="仿宋_GB2312" w:cs="Times New Roman"/>
          <w:color w:val="0000FF"/>
          <w:sz w:val="32"/>
          <w:highlight w:val="none"/>
          <w:lang w:val="en-US" w:eastAsia="zh-CN"/>
        </w:rPr>
        <w:t>5</w:t>
      </w:r>
      <w:r>
        <w:rPr>
          <w:rFonts w:hint="eastAsia" w:ascii="仿宋_GB2312" w:hAnsi="仿宋_GB2312" w:eastAsia="仿宋_GB2312" w:cs="仿宋_GB2312"/>
          <w:color w:val="0000FF"/>
          <w:sz w:val="32"/>
          <w:highlight w:val="none"/>
        </w:rPr>
        <w:t>分，评价得分</w:t>
      </w:r>
      <w:r>
        <w:rPr>
          <w:rFonts w:hint="eastAsia" w:ascii="Times New Roman" w:hAnsi="Times New Roman" w:eastAsia="仿宋_GB2312" w:cs="Times New Roman"/>
          <w:color w:val="0000FF"/>
          <w:sz w:val="32"/>
          <w:highlight w:val="none"/>
          <w:lang w:val="en-US" w:eastAsia="zh-CN"/>
        </w:rPr>
        <w:t>2</w:t>
      </w:r>
      <w:r>
        <w:rPr>
          <w:rFonts w:hint="default" w:ascii="Times New Roman" w:hAnsi="Times New Roman" w:eastAsia="仿宋_GB2312" w:cs="Times New Roman"/>
          <w:color w:val="0000FF"/>
          <w:sz w:val="32"/>
          <w:highlight w:val="none"/>
          <w:lang w:val="en-US" w:eastAsia="zh-CN"/>
        </w:rPr>
        <w:t>5</w:t>
      </w:r>
      <w:r>
        <w:rPr>
          <w:rFonts w:hint="eastAsia" w:ascii="仿宋_GB2312" w:hAnsi="仿宋_GB2312" w:eastAsia="仿宋_GB2312" w:cs="仿宋_GB2312"/>
          <w:color w:val="0000FF"/>
          <w:sz w:val="32"/>
          <w:highlight w:val="none"/>
        </w:rPr>
        <w:t>分，得分率为</w:t>
      </w:r>
      <w:r>
        <w:rPr>
          <w:rFonts w:hint="default" w:ascii="Times New Roman" w:hAnsi="Times New Roman" w:eastAsia="仿宋_GB2312" w:cs="Times New Roman"/>
          <w:color w:val="0000FF"/>
          <w:sz w:val="32"/>
          <w:highlight w:val="none"/>
          <w:lang w:val="en-US" w:eastAsia="zh-CN"/>
        </w:rPr>
        <w:t>100</w:t>
      </w:r>
      <w:r>
        <w:rPr>
          <w:rFonts w:hint="eastAsia" w:ascii="仿宋_GB2312" w:hAnsi="仿宋_GB2312" w:eastAsia="仿宋_GB2312" w:cs="仿宋_GB2312"/>
          <w:color w:val="0000FF"/>
          <w:sz w:val="32"/>
          <w:highlight w:val="none"/>
        </w:rPr>
        <w:t>%。</w:t>
      </w:r>
    </w:p>
    <w:p>
      <w:pPr>
        <w:pStyle w:val="8"/>
        <w:rPr>
          <w:rFonts w:hint="default" w:ascii="仿宋_GB2312" w:hAnsi="仿宋_GB2312" w:eastAsia="仿宋_GB2312" w:cs="仿宋_GB2312"/>
          <w:b/>
          <w:bCs/>
          <w:color w:val="auto"/>
          <w:kern w:val="2"/>
          <w:sz w:val="32"/>
          <w:szCs w:val="24"/>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rPr>
        <w:t xml:space="preserve"> </w:t>
      </w:r>
      <w:r>
        <w:rPr>
          <w:rFonts w:hint="default" w:ascii="Times New Roman" w:hAnsi="Times New Roman" w:eastAsia="仿宋_GB2312" w:cs="Times New Roman"/>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val="en-US" w:eastAsia="zh-CN"/>
        </w:rPr>
        <w:t>.</w:t>
      </w:r>
      <w:r>
        <w:rPr>
          <w:rFonts w:hint="eastAsia" w:ascii="仿宋_GB2312" w:hAnsi="仿宋_GB2312" w:eastAsia="仿宋_GB2312" w:cs="仿宋_GB2312"/>
          <w:b/>
          <w:bCs/>
          <w:color w:val="auto"/>
          <w:kern w:val="2"/>
          <w:sz w:val="32"/>
          <w:szCs w:val="24"/>
          <w:highlight w:val="none"/>
          <w:lang w:val="en-US" w:eastAsia="zh-CN" w:bidi="ar-SA"/>
        </w:rPr>
        <w:t>效果性</w:t>
      </w:r>
    </w:p>
    <w:p>
      <w:pPr>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val="en-US" w:eastAsia="zh-CN"/>
        </w:rPr>
        <w:t>1</w:t>
      </w:r>
      <w:r>
        <w:rPr>
          <w:rFonts w:hint="eastAsia" w:ascii="仿宋_GB2312" w:hAnsi="仿宋_GB2312" w:eastAsia="仿宋_GB2312" w:cs="仿宋_GB2312"/>
          <w:color w:val="auto"/>
          <w:sz w:val="32"/>
          <w:highlight w:val="none"/>
          <w:lang w:val="en-US" w:eastAsia="zh-CN"/>
        </w:rPr>
        <w:t>）社会效益指标。</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15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15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带动保障性安居工程投资目标值≧</w:t>
      </w:r>
      <w:r>
        <w:rPr>
          <w:rFonts w:hint="default" w:ascii="Times New Roman" w:hAnsi="Times New Roman" w:eastAsia="仿宋_GB2312" w:cs="Times New Roman"/>
          <w:color w:val="auto"/>
          <w:sz w:val="32"/>
          <w:highlight w:val="none"/>
          <w:lang w:val="en-US" w:eastAsia="zh-CN"/>
        </w:rPr>
        <w:t>400</w:t>
      </w:r>
      <w:r>
        <w:rPr>
          <w:rFonts w:hint="eastAsia" w:ascii="仿宋_GB2312" w:hAnsi="仿宋_GB2312" w:eastAsia="仿宋_GB2312" w:cs="仿宋_GB2312"/>
          <w:color w:val="auto"/>
          <w:sz w:val="32"/>
          <w:highlight w:val="none"/>
          <w:lang w:val="en-US" w:eastAsia="zh-CN"/>
        </w:rPr>
        <w:t>亿元，实际完成值</w:t>
      </w:r>
      <w:r>
        <w:rPr>
          <w:rFonts w:hint="default" w:ascii="Times New Roman" w:hAnsi="Times New Roman" w:eastAsia="仿宋_GB2312" w:cs="Times New Roman"/>
          <w:color w:val="auto"/>
          <w:sz w:val="32"/>
          <w:highlight w:val="none"/>
          <w:lang w:val="en-US" w:eastAsia="zh-CN"/>
        </w:rPr>
        <w:t>485</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28</w:t>
      </w:r>
      <w:r>
        <w:rPr>
          <w:rFonts w:hint="eastAsia" w:ascii="仿宋_GB2312" w:hAnsi="仿宋_GB2312" w:eastAsia="仿宋_GB2312" w:cs="仿宋_GB2312"/>
          <w:color w:val="auto"/>
          <w:sz w:val="32"/>
          <w:highlight w:val="none"/>
          <w:lang w:val="en-US" w:eastAsia="zh-CN"/>
        </w:rPr>
        <w:t>亿元，完成率</w:t>
      </w:r>
      <w:r>
        <w:rPr>
          <w:rFonts w:hint="default" w:ascii="Times New Roman" w:hAnsi="Times New Roman" w:eastAsia="仿宋_GB2312" w:cs="Times New Roman"/>
          <w:color w:val="auto"/>
          <w:sz w:val="32"/>
          <w:highlight w:val="none"/>
          <w:lang w:val="en-US" w:eastAsia="zh-CN"/>
        </w:rPr>
        <w:t>121</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32</w:t>
      </w:r>
      <w:r>
        <w:rPr>
          <w:rFonts w:hint="eastAsia" w:ascii="仿宋_GB2312" w:hAnsi="仿宋_GB2312" w:eastAsia="仿宋_GB2312" w:cs="仿宋_GB2312"/>
          <w:color w:val="auto"/>
          <w:sz w:val="32"/>
          <w:highlight w:val="none"/>
          <w:lang w:val="en-US" w:eastAsia="zh-CN"/>
        </w:rPr>
        <w:t>%；有效改善棚改区居民居住环境户数目标值≧</w:t>
      </w:r>
      <w:r>
        <w:rPr>
          <w:rFonts w:hint="eastAsia" w:ascii="Times New Roman" w:hAnsi="Times New Roman" w:eastAsia="仿宋_GB2312" w:cs="Times New Roman"/>
          <w:color w:val="auto"/>
          <w:sz w:val="32"/>
          <w:highlight w:val="none"/>
          <w:lang w:val="en-US" w:eastAsia="zh-CN"/>
        </w:rPr>
        <w:t>0.04</w:t>
      </w:r>
      <w:r>
        <w:rPr>
          <w:rFonts w:hint="eastAsia" w:ascii="仿宋_GB2312" w:hAnsi="仿宋_GB2312" w:eastAsia="仿宋_GB2312" w:cs="仿宋_GB2312"/>
          <w:color w:val="auto"/>
          <w:sz w:val="32"/>
          <w:highlight w:val="none"/>
          <w:lang w:val="en-US" w:eastAsia="zh-CN"/>
        </w:rPr>
        <w:t>万户，实际完成值</w:t>
      </w:r>
      <w:r>
        <w:rPr>
          <w:rFonts w:hint="eastAsia" w:ascii="Times New Roman" w:hAnsi="Times New Roman" w:eastAsia="仿宋_GB2312" w:cs="Times New Roman"/>
          <w:color w:val="auto"/>
          <w:sz w:val="32"/>
          <w:highlight w:val="none"/>
          <w:lang w:val="en-US" w:eastAsia="zh-CN"/>
        </w:rPr>
        <w:t>0.04</w:t>
      </w:r>
      <w:r>
        <w:rPr>
          <w:rFonts w:hint="eastAsia" w:ascii="仿宋_GB2312" w:hAnsi="仿宋_GB2312" w:eastAsia="仿宋_GB2312" w:cs="仿宋_GB2312"/>
          <w:color w:val="auto"/>
          <w:sz w:val="32"/>
          <w:highlight w:val="none"/>
          <w:lang w:val="en-US" w:eastAsia="zh-CN"/>
        </w:rPr>
        <w:t>万户，完成率</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lang w:val="en-US" w:eastAsia="zh-CN"/>
        </w:rPr>
        <w:t>%；有效保障棚改贷款按时足额付息目标值</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lang w:val="en-US" w:eastAsia="zh-CN"/>
        </w:rPr>
        <w:t>%，完成率</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lang w:val="en-US" w:eastAsia="zh-CN"/>
        </w:rPr>
        <w:t>%；解决住房困难家庭户数目标值≧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03</w:t>
      </w:r>
      <w:r>
        <w:rPr>
          <w:rFonts w:hint="eastAsia" w:ascii="仿宋_GB2312" w:hAnsi="仿宋_GB2312" w:eastAsia="仿宋_GB2312" w:cs="仿宋_GB2312"/>
          <w:color w:val="auto"/>
          <w:sz w:val="32"/>
          <w:highlight w:val="none"/>
          <w:lang w:val="en-US" w:eastAsia="zh-CN"/>
        </w:rPr>
        <w:t>万户，实际完成值</w:t>
      </w:r>
      <w:r>
        <w:rPr>
          <w:rFonts w:hint="default" w:ascii="Times New Roman" w:hAnsi="Times New Roman" w:eastAsia="仿宋_GB2312" w:cs="Times New Roman"/>
          <w:color w:val="auto"/>
          <w:sz w:val="32"/>
          <w:highlight w:val="none"/>
          <w:lang w:val="en-US" w:eastAsia="zh-CN"/>
        </w:rPr>
        <w:t>12</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24</w:t>
      </w:r>
      <w:r>
        <w:rPr>
          <w:rFonts w:hint="eastAsia" w:ascii="仿宋_GB2312" w:hAnsi="仿宋_GB2312" w:eastAsia="仿宋_GB2312" w:cs="仿宋_GB2312"/>
          <w:color w:val="auto"/>
          <w:sz w:val="32"/>
          <w:highlight w:val="none"/>
          <w:lang w:val="en-US" w:eastAsia="zh-CN"/>
        </w:rPr>
        <w:t>万户，完成率</w:t>
      </w:r>
      <w:r>
        <w:rPr>
          <w:rFonts w:hint="default" w:ascii="Times New Roman" w:hAnsi="Times New Roman" w:eastAsia="仿宋_GB2312" w:cs="Times New Roman"/>
          <w:color w:val="auto"/>
          <w:sz w:val="32"/>
          <w:highlight w:val="none"/>
          <w:lang w:val="en-US" w:eastAsia="zh-CN"/>
        </w:rPr>
        <w:t>243</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34</w:t>
      </w:r>
      <w:r>
        <w:rPr>
          <w:rFonts w:hint="eastAsia" w:ascii="仿宋_GB2312" w:hAnsi="仿宋_GB2312" w:eastAsia="仿宋_GB2312" w:cs="仿宋_GB2312"/>
          <w:color w:val="auto"/>
          <w:sz w:val="32"/>
          <w:highlight w:val="none"/>
          <w:lang w:val="en-US" w:eastAsia="zh-CN"/>
        </w:rPr>
        <w:t>%；应保家庭</w:t>
      </w:r>
      <w:r>
        <w:rPr>
          <w:rFonts w:hint="default" w:ascii="Times New Roman" w:hAnsi="Times New Roman" w:eastAsia="仿宋_GB2312" w:cs="Times New Roman"/>
          <w:color w:val="auto"/>
          <w:sz w:val="32"/>
          <w:highlight w:val="none"/>
          <w:lang w:val="en-US" w:eastAsia="zh-CN"/>
        </w:rPr>
        <w:t>46</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792</w:t>
      </w:r>
      <w:r>
        <w:rPr>
          <w:rFonts w:hint="eastAsia" w:ascii="仿宋_GB2312" w:hAnsi="仿宋_GB2312" w:eastAsia="仿宋_GB2312" w:cs="仿宋_GB2312"/>
          <w:color w:val="auto"/>
          <w:sz w:val="32"/>
          <w:highlight w:val="none"/>
          <w:lang w:val="en-US" w:eastAsia="zh-CN"/>
        </w:rPr>
        <w:t>户，已保家庭</w:t>
      </w:r>
      <w:r>
        <w:rPr>
          <w:rFonts w:hint="default" w:ascii="Times New Roman" w:hAnsi="Times New Roman" w:eastAsia="仿宋_GB2312" w:cs="Times New Roman"/>
          <w:color w:val="auto"/>
          <w:sz w:val="32"/>
          <w:highlight w:val="none"/>
          <w:lang w:val="en-US" w:eastAsia="zh-CN"/>
        </w:rPr>
        <w:t>55</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791</w:t>
      </w:r>
      <w:r>
        <w:rPr>
          <w:rFonts w:hint="eastAsia" w:ascii="仿宋_GB2312" w:hAnsi="仿宋_GB2312" w:eastAsia="仿宋_GB2312" w:cs="仿宋_GB2312"/>
          <w:color w:val="auto"/>
          <w:sz w:val="32"/>
          <w:highlight w:val="none"/>
          <w:lang w:val="en-US" w:eastAsia="zh-CN"/>
        </w:rPr>
        <w:t>户，占应保家庭</w:t>
      </w:r>
      <w:r>
        <w:rPr>
          <w:rFonts w:hint="default" w:ascii="Times New Roman" w:hAnsi="Times New Roman" w:eastAsia="仿宋_GB2312" w:cs="Times New Roman"/>
          <w:color w:val="auto"/>
          <w:sz w:val="32"/>
          <w:highlight w:val="none"/>
          <w:lang w:val="en-US" w:eastAsia="zh-CN"/>
        </w:rPr>
        <w:t>119</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23</w:t>
      </w:r>
      <w:r>
        <w:rPr>
          <w:rFonts w:hint="eastAsia" w:ascii="仿宋_GB2312" w:hAnsi="仿宋_GB2312" w:eastAsia="仿宋_GB2312" w:cs="仿宋_GB2312"/>
          <w:color w:val="auto"/>
          <w:sz w:val="32"/>
          <w:highlight w:val="none"/>
          <w:lang w:val="en-US" w:eastAsia="zh-CN"/>
        </w:rPr>
        <w:t>%，完成率</w:t>
      </w:r>
      <w:r>
        <w:rPr>
          <w:rFonts w:hint="default" w:ascii="Times New Roman" w:hAnsi="Times New Roman" w:eastAsia="仿宋_GB2312" w:cs="Times New Roman"/>
          <w:color w:val="auto"/>
          <w:sz w:val="32"/>
          <w:highlight w:val="none"/>
          <w:lang w:val="en-US" w:eastAsia="zh-CN"/>
        </w:rPr>
        <w:t>100</w:t>
      </w:r>
      <w:r>
        <w:rPr>
          <w:rFonts w:hint="eastAsia" w:ascii="仿宋_GB2312" w:hAnsi="仿宋_GB2312" w:eastAsia="仿宋_GB2312" w:cs="仿宋_GB2312"/>
          <w:color w:val="auto"/>
          <w:sz w:val="32"/>
          <w:highlight w:val="none"/>
          <w:lang w:val="en-US" w:eastAsia="zh-CN"/>
        </w:rPr>
        <w:t>%</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0000FF"/>
          <w:sz w:val="32"/>
          <w:highlight w:val="none"/>
        </w:rPr>
        <w:t>见表</w:t>
      </w:r>
      <w:r>
        <w:rPr>
          <w:rFonts w:hint="default" w:ascii="Times New Roman" w:hAnsi="Times New Roman" w:eastAsia="仿宋_GB2312" w:cs="Times New Roman"/>
          <w:color w:val="0000FF"/>
          <w:sz w:val="32"/>
          <w:highlight w:val="none"/>
        </w:rPr>
        <w:t>4</w:t>
      </w:r>
      <w:r>
        <w:rPr>
          <w:rFonts w:hint="eastAsia" w:ascii="仿宋_GB2312" w:hAnsi="仿宋_GB2312" w:eastAsia="仿宋_GB2312" w:cs="仿宋_GB2312"/>
          <w:color w:val="0000FF"/>
          <w:sz w:val="32"/>
          <w:highlight w:val="none"/>
        </w:rPr>
        <w:t>-</w:t>
      </w:r>
      <w:r>
        <w:rPr>
          <w:rFonts w:hint="default" w:ascii="Times New Roman" w:hAnsi="Times New Roman" w:eastAsia="仿宋_GB2312" w:cs="Times New Roman"/>
          <w:color w:val="0000FF"/>
          <w:sz w:val="32"/>
          <w:highlight w:val="none"/>
        </w:rPr>
        <w:t>2</w:t>
      </w:r>
      <w:r>
        <w:rPr>
          <w:rFonts w:hint="eastAsia" w:ascii="仿宋_GB2312" w:hAnsi="仿宋_GB2312" w:eastAsia="仿宋_GB2312" w:cs="仿宋_GB2312"/>
          <w:color w:val="0000FF"/>
          <w:sz w:val="32"/>
          <w:highlight w:val="none"/>
          <w:lang w:eastAsia="zh-CN"/>
        </w:rPr>
        <w:t>、附件</w:t>
      </w:r>
      <w:r>
        <w:rPr>
          <w:rFonts w:hint="eastAsia" w:ascii="Times New Roman" w:hAnsi="Times New Roman" w:eastAsia="仿宋_GB2312" w:cs="Times New Roman"/>
          <w:color w:val="0000FF"/>
          <w:sz w:val="32"/>
          <w:highlight w:val="none"/>
          <w:lang w:val="en-US" w:eastAsia="zh-CN"/>
        </w:rPr>
        <w:t>2</w:t>
      </w:r>
      <w:r>
        <w:rPr>
          <w:rFonts w:hint="eastAsia" w:ascii="仿宋_GB2312" w:hAnsi="仿宋_GB2312" w:eastAsia="仿宋_GB2312" w:cs="仿宋_GB2312"/>
          <w:color w:val="auto"/>
          <w:sz w:val="32"/>
          <w:highlight w:val="none"/>
        </w:rPr>
        <w:t>）。</w:t>
      </w:r>
    </w:p>
    <w:p>
      <w:pPr>
        <w:pStyle w:val="8"/>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val="en-US" w:eastAsia="zh-CN"/>
        </w:rPr>
        <w:t>）可持续发展指标。</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b/>
          <w:bCs/>
          <w:color w:val="auto"/>
          <w:sz w:val="32"/>
          <w:highlight w:val="none"/>
          <w:lang w:val="en-US" w:eastAsia="zh-CN"/>
        </w:rPr>
        <w:t>一是</w:t>
      </w:r>
      <w:r>
        <w:rPr>
          <w:rFonts w:hint="eastAsia" w:ascii="仿宋_GB2312" w:hAnsi="仿宋_GB2312" w:eastAsia="仿宋_GB2312" w:cs="仿宋_GB2312"/>
          <w:color w:val="auto"/>
          <w:sz w:val="32"/>
          <w:highlight w:val="none"/>
        </w:rPr>
        <w:t>完善</w:t>
      </w:r>
      <w:r>
        <w:rPr>
          <w:rFonts w:hint="eastAsia" w:ascii="仿宋_GB2312" w:hAnsi="仿宋_GB2312" w:eastAsia="仿宋_GB2312" w:cs="仿宋_GB2312"/>
          <w:color w:val="auto"/>
          <w:sz w:val="32"/>
          <w:highlight w:val="none"/>
          <w:lang w:val="en-US" w:eastAsia="zh-CN"/>
        </w:rPr>
        <w:t>了</w:t>
      </w:r>
      <w:r>
        <w:rPr>
          <w:rFonts w:hint="eastAsia" w:ascii="仿宋_GB2312" w:hAnsi="仿宋_GB2312" w:eastAsia="仿宋_GB2312" w:cs="仿宋_GB2312"/>
          <w:color w:val="auto"/>
          <w:sz w:val="32"/>
          <w:highlight w:val="none"/>
        </w:rPr>
        <w:t>公共租赁住房的申请受理渠道、审核准入程序，制定</w:t>
      </w:r>
      <w:r>
        <w:rPr>
          <w:rFonts w:hint="eastAsia" w:ascii="仿宋_GB2312" w:hAnsi="仿宋_GB2312" w:eastAsia="仿宋_GB2312" w:cs="仿宋_GB2312"/>
          <w:color w:val="auto"/>
          <w:sz w:val="32"/>
          <w:highlight w:val="none"/>
          <w:lang w:eastAsia="zh-CN"/>
        </w:rPr>
        <w:t>《印发住房城乡建设部住房保障司关于公租房分配口径的通知》（粤建保发〔</w:t>
      </w:r>
      <w:r>
        <w:rPr>
          <w:rFonts w:hint="default" w:ascii="Times New Roman" w:hAnsi="Times New Roman" w:eastAsia="仿宋_GB2312" w:cs="Times New Roman"/>
          <w:color w:val="auto"/>
          <w:sz w:val="32"/>
          <w:highlight w:val="none"/>
          <w:lang w:eastAsia="zh-CN"/>
        </w:rPr>
        <w:t>2018</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lang w:eastAsia="zh-CN"/>
        </w:rPr>
        <w:t>8</w:t>
      </w:r>
      <w:r>
        <w:rPr>
          <w:rFonts w:hint="eastAsia" w:ascii="仿宋_GB2312" w:hAnsi="仿宋_GB2312" w:eastAsia="仿宋_GB2312" w:cs="仿宋_GB2312"/>
          <w:color w:val="auto"/>
          <w:sz w:val="32"/>
          <w:highlight w:val="none"/>
          <w:lang w:eastAsia="zh-CN"/>
        </w:rPr>
        <w:t>号）；</w:t>
      </w:r>
      <w:r>
        <w:rPr>
          <w:rFonts w:hint="eastAsia" w:ascii="仿宋_GB2312" w:hAnsi="仿宋_GB2312" w:eastAsia="仿宋_GB2312" w:cs="仿宋_GB2312"/>
          <w:color w:val="auto"/>
          <w:sz w:val="32"/>
          <w:highlight w:val="none"/>
        </w:rPr>
        <w:t>各市县完善了公共租赁住房的租金定价机制，动态调整租金。</w:t>
      </w:r>
      <w:r>
        <w:rPr>
          <w:rFonts w:hint="eastAsia" w:ascii="仿宋_GB2312" w:hAnsi="仿宋_GB2312" w:eastAsia="仿宋_GB2312" w:cs="仿宋_GB2312"/>
          <w:b/>
          <w:bCs/>
          <w:color w:val="auto"/>
          <w:sz w:val="32"/>
          <w:highlight w:val="none"/>
          <w:lang w:val="en-US" w:eastAsia="zh-CN"/>
        </w:rPr>
        <w:t>二是</w:t>
      </w:r>
      <w:r>
        <w:rPr>
          <w:rFonts w:hint="eastAsia" w:ascii="仿宋_GB2312" w:hAnsi="仿宋_GB2312" w:eastAsia="仿宋_GB2312" w:cs="仿宋_GB2312"/>
          <w:color w:val="auto"/>
          <w:sz w:val="32"/>
          <w:highlight w:val="none"/>
        </w:rPr>
        <w:t>已建立健全保障性租赁住房制度</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并出台保障性租赁住房管理办法</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符合规定的租赁住房均纳入保障性租赁住房规范管理。</w:t>
      </w:r>
      <w:r>
        <w:rPr>
          <w:rFonts w:hint="eastAsia" w:ascii="仿宋_GB2312" w:hAnsi="仿宋_GB2312" w:eastAsia="仿宋_GB2312" w:cs="仿宋_GB2312"/>
          <w:b/>
          <w:bCs/>
          <w:color w:val="auto"/>
          <w:sz w:val="32"/>
          <w:highlight w:val="none"/>
          <w:lang w:val="en-US" w:eastAsia="zh-CN"/>
        </w:rPr>
        <w:t>三是</w:t>
      </w:r>
      <w:r>
        <w:rPr>
          <w:rFonts w:hint="eastAsia" w:ascii="仿宋_GB2312" w:hAnsi="仿宋_GB2312" w:eastAsia="仿宋_GB2312" w:cs="仿宋_GB2312"/>
          <w:color w:val="auto"/>
          <w:sz w:val="32"/>
          <w:highlight w:val="none"/>
        </w:rPr>
        <w:t>已建立共有产权住房的申请受理与审核工作流程，并制定《关于因地制宜发展共有产权住房的指导意见》（粤建保〔</w:t>
      </w:r>
      <w:r>
        <w:rPr>
          <w:rFonts w:hint="default" w:ascii="Times New Roman" w:hAnsi="Times New Roman" w:eastAsia="仿宋_GB2312" w:cs="Times New Roman"/>
          <w:color w:val="auto"/>
          <w:sz w:val="32"/>
          <w:highlight w:val="none"/>
        </w:rPr>
        <w:t>2020</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123</w:t>
      </w:r>
      <w:r>
        <w:rPr>
          <w:rFonts w:hint="eastAsia" w:ascii="仿宋_GB2312" w:hAnsi="仿宋_GB2312" w:eastAsia="仿宋_GB2312" w:cs="仿宋_GB2312"/>
          <w:color w:val="auto"/>
          <w:sz w:val="32"/>
          <w:highlight w:val="none"/>
        </w:rPr>
        <w:t>号）。</w:t>
      </w:r>
      <w:r>
        <w:rPr>
          <w:rFonts w:hint="eastAsia" w:ascii="仿宋_GB2312" w:hAnsi="仿宋_GB2312" w:eastAsia="仿宋_GB2312" w:cs="仿宋_GB2312"/>
          <w:b/>
          <w:bCs/>
          <w:color w:val="auto"/>
          <w:sz w:val="32"/>
          <w:highlight w:val="none"/>
          <w:lang w:val="en-US" w:eastAsia="zh-CN"/>
        </w:rPr>
        <w:t>四是</w:t>
      </w:r>
      <w:r>
        <w:rPr>
          <w:rFonts w:hint="eastAsia" w:ascii="仿宋_GB2312" w:hAnsi="仿宋_GB2312" w:eastAsia="仿宋_GB2312" w:cs="仿宋_GB2312"/>
          <w:color w:val="auto"/>
          <w:sz w:val="32"/>
          <w:highlight w:val="none"/>
        </w:rPr>
        <w:t>已建立有效的督查制度，制定《广东省住房和城乡建设厅</w:t>
      </w:r>
      <w:r>
        <w:rPr>
          <w:rFonts w:hint="eastAsia" w:ascii="仿宋_GB2312" w:hAnsi="仿宋_GB2312" w:eastAsia="仿宋_GB2312" w:cs="仿宋_GB2312"/>
          <w:color w:val="auto"/>
          <w:sz w:val="32"/>
          <w:highlight w:val="none"/>
          <w:lang w:val="en-US" w:eastAsia="zh-CN"/>
        </w:rPr>
        <w:t xml:space="preserve"> </w:t>
      </w:r>
      <w:r>
        <w:rPr>
          <w:rFonts w:hint="eastAsia" w:ascii="仿宋_GB2312" w:hAnsi="仿宋_GB2312" w:eastAsia="仿宋_GB2312" w:cs="仿宋_GB2312"/>
          <w:color w:val="auto"/>
          <w:sz w:val="32"/>
          <w:highlight w:val="none"/>
        </w:rPr>
        <w:t>广东省财政厅关于广东省政府购买棚户区改造服务的管理办法》，并定期对地方棚户区改造工作进行全面督促检查，全面落实工作任务和各项政策措施。</w:t>
      </w:r>
    </w:p>
    <w:p>
      <w:pPr>
        <w:pStyle w:val="8"/>
        <w:pageBreakBefore w:val="0"/>
        <w:kinsoku/>
        <w:wordWrap/>
        <w:overflowPunct/>
        <w:topLinePunct w:val="0"/>
        <w:autoSpaceDE/>
        <w:autoSpaceDN/>
        <w:bidi w:val="0"/>
        <w:adjustRightInd/>
        <w:spacing w:line="600" w:lineRule="exact"/>
        <w:ind w:left="0" w:leftChars="0" w:firstLine="642" w:firstLineChars="200"/>
        <w:jc w:val="left"/>
        <w:textAlignment w:val="auto"/>
        <w:rPr>
          <w:rFonts w:hint="default" w:ascii="仿宋_GB2312" w:hAnsi="仿宋_GB2312" w:eastAsia="仿宋_GB2312" w:cs="仿宋_GB2312"/>
          <w:b/>
          <w:bCs/>
          <w:color w:val="auto"/>
          <w:sz w:val="32"/>
          <w:highlight w:val="none"/>
          <w:lang w:val="en-US" w:eastAsia="zh-CN"/>
        </w:rPr>
      </w:pPr>
      <w:r>
        <w:rPr>
          <w:rFonts w:hint="default" w:ascii="Times New Roman" w:hAnsi="Times New Roman" w:eastAsia="仿宋_GB2312" w:cs="Times New Roman"/>
          <w:b/>
          <w:bCs/>
          <w:color w:val="auto"/>
          <w:sz w:val="32"/>
          <w:highlight w:val="none"/>
          <w:lang w:val="en-US" w:eastAsia="zh-CN"/>
        </w:rPr>
        <w:t>2</w:t>
      </w:r>
      <w:r>
        <w:rPr>
          <w:rFonts w:hint="eastAsia" w:ascii="仿宋_GB2312" w:hAnsi="仿宋_GB2312" w:eastAsia="仿宋_GB2312" w:cs="仿宋_GB2312"/>
          <w:b/>
          <w:bCs/>
          <w:color w:val="auto"/>
          <w:sz w:val="32"/>
          <w:highlight w:val="none"/>
          <w:lang w:val="en-US" w:eastAsia="zh-CN"/>
        </w:rPr>
        <w:t>.公平性</w:t>
      </w:r>
    </w:p>
    <w:p>
      <w:pPr>
        <w:pStyle w:val="8"/>
        <w:pageBreakBefore w:val="0"/>
        <w:kinsoku/>
        <w:wordWrap/>
        <w:overflowPunct/>
        <w:topLinePunct w:val="0"/>
        <w:autoSpaceDE/>
        <w:autoSpaceDN/>
        <w:bidi w:val="0"/>
        <w:adjustRightInd/>
        <w:spacing w:line="600" w:lineRule="exact"/>
        <w:ind w:left="0" w:leftChars="0" w:firstLine="640" w:firstLineChars="200"/>
        <w:jc w:val="left"/>
        <w:textAlignment w:val="auto"/>
        <w:rPr>
          <w:rFonts w:hint="default"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eastAsia="zh-CN"/>
        </w:rPr>
        <w:t>满意度指标。</w:t>
      </w:r>
      <w:r>
        <w:rPr>
          <w:rFonts w:hint="eastAsia" w:ascii="仿宋_GB2312" w:hAnsi="仿宋_GB2312" w:eastAsia="仿宋_GB2312" w:cs="仿宋_GB2312"/>
          <w:color w:val="auto"/>
          <w:sz w:val="32"/>
          <w:highlight w:val="none"/>
        </w:rPr>
        <w:t>该指标分值</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分，评价得分</w:t>
      </w:r>
      <w:r>
        <w:rPr>
          <w:rFonts w:hint="default"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rPr>
        <w:t>分，得分率为</w:t>
      </w:r>
      <w:r>
        <w:rPr>
          <w:rFonts w:hint="default" w:ascii="Times New Roman" w:hAnsi="Times New Roman" w:eastAsia="仿宋_GB2312" w:cs="Times New Roman"/>
          <w:color w:val="auto"/>
          <w:sz w:val="32"/>
          <w:highlight w:val="none"/>
        </w:rPr>
        <w:t>100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城镇低保低收入住房困难家庭满意度调查中，城镇低保低收入住房困难家庭满意度为</w:t>
      </w:r>
      <w:r>
        <w:rPr>
          <w:rFonts w:hint="default" w:ascii="Times New Roman" w:hAnsi="Times New Roman" w:eastAsia="仿宋_GB2312" w:cs="Times New Roman"/>
          <w:color w:val="auto"/>
          <w:sz w:val="32"/>
          <w:highlight w:val="none"/>
          <w:lang w:val="en-US" w:eastAsia="zh-CN"/>
        </w:rPr>
        <w:t>88</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86</w:t>
      </w:r>
      <w:r>
        <w:rPr>
          <w:rFonts w:hint="eastAsia" w:ascii="仿宋_GB2312" w:hAnsi="仿宋_GB2312" w:eastAsia="仿宋_GB2312" w:cs="仿宋_GB2312"/>
          <w:color w:val="auto"/>
          <w:sz w:val="32"/>
          <w:highlight w:val="none"/>
          <w:lang w:val="en-US" w:eastAsia="zh-CN"/>
        </w:rPr>
        <w:t>%；棚户区改造被拆迁居民满意度调查中，棚户区改造被拆迁居民满意度为</w:t>
      </w:r>
      <w:r>
        <w:rPr>
          <w:rFonts w:hint="default" w:ascii="Times New Roman" w:hAnsi="Times New Roman" w:eastAsia="仿宋_GB2312" w:cs="Times New Roman"/>
          <w:color w:val="auto"/>
          <w:sz w:val="32"/>
          <w:highlight w:val="none"/>
          <w:lang w:val="en-US" w:eastAsia="zh-CN"/>
        </w:rPr>
        <w:t>85</w:t>
      </w:r>
      <w:r>
        <w:rPr>
          <w:rFonts w:hint="eastAsia" w:ascii="仿宋_GB2312" w:hAnsi="仿宋_GB2312" w:eastAsia="仿宋_GB2312" w:cs="仿宋_GB2312"/>
          <w:color w:val="auto"/>
          <w:sz w:val="32"/>
          <w:highlight w:val="none"/>
          <w:lang w:val="en-US" w:eastAsia="zh-CN"/>
        </w:rPr>
        <w:t>%；已入住保租房的青年人、新市民满意度调查中，已入住保租房的青年人、新市民满意度为</w:t>
      </w:r>
      <w:r>
        <w:rPr>
          <w:rFonts w:hint="default" w:ascii="Times New Roman" w:hAnsi="Times New Roman" w:eastAsia="仿宋_GB2312" w:cs="Times New Roman"/>
          <w:color w:val="auto"/>
          <w:sz w:val="32"/>
          <w:highlight w:val="none"/>
          <w:lang w:val="en-US" w:eastAsia="zh-CN"/>
        </w:rPr>
        <w:t>85</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52</w:t>
      </w:r>
      <w:r>
        <w:rPr>
          <w:rFonts w:hint="eastAsia" w:ascii="仿宋_GB2312" w:hAnsi="仿宋_GB2312" w:eastAsia="仿宋_GB2312" w:cs="仿宋_GB2312"/>
          <w:color w:val="auto"/>
          <w:sz w:val="32"/>
          <w:highlight w:val="none"/>
          <w:lang w:val="en-US" w:eastAsia="zh-CN"/>
        </w:rPr>
        <w:t>%。满意度均大于80%的指标值。</w:t>
      </w:r>
    </w:p>
    <w:p>
      <w:pPr>
        <w:pStyle w:val="13"/>
        <w:pageBreakBefore w:val="0"/>
        <w:kinsoku/>
        <w:wordWrap/>
        <w:overflowPunct/>
        <w:topLinePunct w:val="0"/>
        <w:autoSpaceDE/>
        <w:autoSpaceDN/>
        <w:bidi w:val="0"/>
        <w:adjustRightInd/>
        <w:spacing w:before="0" w:after="0" w:line="600" w:lineRule="exact"/>
        <w:ind w:firstLine="640" w:firstLineChars="200"/>
        <w:jc w:val="both"/>
        <w:textAlignment w:val="auto"/>
        <w:outlineLvl w:val="0"/>
        <w:rPr>
          <w:rFonts w:hint="eastAsia" w:ascii="黑体" w:hAnsi="黑体" w:eastAsia="黑体" w:cs="黑体"/>
          <w:b w:val="0"/>
          <w:bCs w:val="0"/>
          <w:color w:val="auto"/>
          <w:kern w:val="0"/>
          <w:highlight w:val="none"/>
        </w:rPr>
      </w:pPr>
      <w:bookmarkStart w:id="87" w:name="_Toc85"/>
      <w:bookmarkStart w:id="88" w:name="_Toc21624"/>
      <w:bookmarkStart w:id="89" w:name="_Toc32255"/>
      <w:bookmarkStart w:id="90" w:name="_Toc5769"/>
      <w:bookmarkStart w:id="91" w:name="_Toc13565"/>
      <w:bookmarkStart w:id="92" w:name="_Toc18153"/>
      <w:bookmarkStart w:id="93" w:name="_Toc9926"/>
      <w:bookmarkStart w:id="94" w:name="_Toc512491981"/>
      <w:r>
        <w:rPr>
          <w:rFonts w:hint="eastAsia" w:ascii="黑体" w:hAnsi="黑体" w:eastAsia="黑体" w:cs="黑体"/>
          <w:b w:val="0"/>
          <w:bCs w:val="0"/>
          <w:color w:val="auto"/>
          <w:kern w:val="0"/>
          <w:highlight w:val="none"/>
        </w:rPr>
        <w:t>五、主要绩效</w:t>
      </w:r>
      <w:bookmarkEnd w:id="87"/>
      <w:bookmarkEnd w:id="88"/>
      <w:bookmarkEnd w:id="89"/>
      <w:bookmarkEnd w:id="90"/>
      <w:bookmarkEnd w:id="91"/>
      <w:bookmarkEnd w:id="92"/>
      <w:bookmarkEnd w:id="93"/>
      <w:bookmarkStart w:id="95" w:name="_Toc15056"/>
    </w:p>
    <w:bookmarkEnd w:id="94"/>
    <w:bookmarkEnd w:id="95"/>
    <w:p>
      <w:pPr>
        <w:pageBreakBefore w:val="0"/>
        <w:numPr>
          <w:ilvl w:val="0"/>
          <w:numId w:val="1"/>
        </w:numPr>
        <w:kinsoku/>
        <w:wordWrap/>
        <w:overflowPunct/>
        <w:topLinePunct w:val="0"/>
        <w:autoSpaceDE/>
        <w:autoSpaceDN/>
        <w:bidi w:val="0"/>
        <w:adjustRightInd/>
        <w:spacing w:line="600" w:lineRule="exact"/>
        <w:ind w:left="-13" w:leftChars="0" w:firstLine="643" w:firstLineChars="0"/>
        <w:textAlignment w:val="auto"/>
        <w:outlineLvl w:val="1"/>
        <w:rPr>
          <w:rFonts w:hint="eastAsia" w:ascii="楷体_GB2312" w:hAnsi="楷体_GB2312" w:eastAsia="楷体_GB2312" w:cs="楷体_GB2312"/>
          <w:b/>
          <w:bCs/>
          <w:sz w:val="32"/>
          <w:szCs w:val="32"/>
          <w:lang w:val="en-US" w:eastAsia="zh-CN"/>
        </w:rPr>
      </w:pPr>
      <w:bookmarkStart w:id="96" w:name="_Toc265"/>
      <w:bookmarkStart w:id="97" w:name="_Toc13112"/>
      <w:bookmarkStart w:id="98" w:name="_Toc32041"/>
      <w:bookmarkStart w:id="99" w:name="_Toc24772"/>
      <w:bookmarkStart w:id="100" w:name="_Toc19315"/>
      <w:bookmarkStart w:id="101" w:name="_Toc6266"/>
      <w:bookmarkStart w:id="102" w:name="_Toc4184"/>
      <w:bookmarkStart w:id="103" w:name="_Toc32521"/>
      <w:bookmarkStart w:id="104" w:name="_Toc512491983"/>
      <w:r>
        <w:rPr>
          <w:rFonts w:hint="eastAsia" w:ascii="楷体_GB2312" w:hAnsi="楷体_GB2312" w:eastAsia="楷体_GB2312" w:cs="楷体_GB2312"/>
          <w:b/>
          <w:bCs/>
          <w:sz w:val="32"/>
          <w:szCs w:val="32"/>
          <w:lang w:val="en-US" w:eastAsia="zh-CN"/>
        </w:rPr>
        <w:t>认真落实保障性安居工程政</w:t>
      </w:r>
      <w:r>
        <w:rPr>
          <w:rFonts w:hint="eastAsia" w:ascii="楷体_GB2312" w:hAnsi="楷体_GB2312" w:eastAsia="楷体_GB2312" w:cs="楷体_GB2312"/>
          <w:b/>
          <w:bCs/>
          <w:color w:val="auto"/>
          <w:sz w:val="32"/>
          <w:szCs w:val="32"/>
          <w:lang w:val="en-US" w:eastAsia="zh-CN"/>
        </w:rPr>
        <w:t>策任务</w:t>
      </w:r>
      <w:r>
        <w:rPr>
          <w:rFonts w:hint="eastAsia" w:ascii="楷体_GB2312" w:hAnsi="楷体_GB2312" w:eastAsia="楷体_GB2312" w:cs="楷体_GB2312"/>
          <w:b/>
          <w:bCs/>
          <w:sz w:val="32"/>
          <w:szCs w:val="32"/>
          <w:lang w:val="en-US" w:eastAsia="zh-CN"/>
        </w:rPr>
        <w:t>，全面完成年度绩效目标</w:t>
      </w:r>
      <w:bookmarkEnd w:id="96"/>
      <w:bookmarkEnd w:id="97"/>
    </w:p>
    <w:p>
      <w:pPr>
        <w:pageBreakBefore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color w:val="000000"/>
          <w:sz w:val="32"/>
          <w:szCs w:val="32"/>
          <w:lang w:eastAsia="zh-Hans"/>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超额完成了年度绩效目标</w:t>
      </w:r>
      <w:r>
        <w:rPr>
          <w:rFonts w:hint="eastAsia" w:ascii="仿宋_GB2312" w:hAnsi="仿宋_GB2312" w:eastAsia="仿宋_GB2312" w:cs="仿宋_GB2312"/>
          <w:sz w:val="32"/>
          <w:szCs w:val="32"/>
          <w:lang w:eastAsia="zh-CN"/>
        </w:rPr>
        <w:t>。</w:t>
      </w:r>
      <w:r>
        <w:rPr>
          <w:rStyle w:val="39"/>
          <w:rFonts w:ascii="仿宋_GB2312" w:hAnsi="仿宋_GB2312" w:eastAsia="仿宋_GB2312"/>
          <w:sz w:val="32"/>
          <w:szCs w:val="32"/>
        </w:rPr>
        <w:t>我</w:t>
      </w:r>
      <w:r>
        <w:rPr>
          <w:rStyle w:val="39"/>
          <w:rFonts w:hint="eastAsia" w:ascii="仿宋_GB2312" w:hAnsi="仿宋_GB2312" w:eastAsia="仿宋_GB2312"/>
          <w:sz w:val="32"/>
          <w:szCs w:val="32"/>
          <w:lang w:val="en-US" w:eastAsia="zh-CN"/>
        </w:rPr>
        <w:t>厅</w:t>
      </w:r>
      <w:r>
        <w:rPr>
          <w:rStyle w:val="39"/>
          <w:rFonts w:hint="eastAsia" w:ascii="仿宋_GB2312" w:hAnsi="仿宋_GB2312" w:eastAsia="仿宋_GB2312"/>
          <w:sz w:val="32"/>
          <w:szCs w:val="32"/>
        </w:rPr>
        <w:t>高度重视</w:t>
      </w:r>
      <w:r>
        <w:rPr>
          <w:rStyle w:val="39"/>
          <w:rFonts w:ascii="仿宋_GB2312" w:hAnsi="仿宋_GB2312" w:eastAsia="仿宋_GB2312"/>
          <w:sz w:val="32"/>
          <w:szCs w:val="32"/>
        </w:rPr>
        <w:t>发展保障性租赁住房</w:t>
      </w:r>
      <w:bookmarkStart w:id="105" w:name="_Hlk120649033"/>
      <w:r>
        <w:rPr>
          <w:rStyle w:val="39"/>
          <w:rFonts w:hint="eastAsia" w:ascii="仿宋_GB2312" w:hAnsi="仿宋_GB2312" w:eastAsia="仿宋_GB2312"/>
          <w:sz w:val="32"/>
          <w:szCs w:val="32"/>
        </w:rPr>
        <w:t>工作，</w:t>
      </w:r>
      <w:r>
        <w:rPr>
          <w:rFonts w:hint="default" w:ascii="Times New Roman" w:hAnsi="Times New Roman" w:eastAsia="仿宋_GB2312" w:cs="Times New Roman"/>
          <w:sz w:val="32"/>
          <w:szCs w:val="32"/>
        </w:rPr>
        <w:t>2021</w:t>
      </w:r>
      <w:r>
        <w:rPr>
          <w:rFonts w:hint="eastAsia" w:ascii="仿宋_GB2312"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eastAsia="仿宋_GB2312" w:cs="仿宋_GB2312"/>
          <w:sz w:val="32"/>
          <w:szCs w:val="32"/>
        </w:rPr>
        <w:t>月</w:t>
      </w:r>
      <w:r>
        <w:rPr>
          <w:rFonts w:hint="default" w:ascii="Times New Roman" w:hAnsi="Times New Roman" w:eastAsia="仿宋_GB2312" w:cs="Times New Roman"/>
          <w:sz w:val="32"/>
          <w:szCs w:val="32"/>
        </w:rPr>
        <w:t>7</w:t>
      </w:r>
      <w:r>
        <w:rPr>
          <w:rFonts w:hint="eastAsia" w:ascii="仿宋_GB2312" w:eastAsia="仿宋_GB2312" w:cs="仿宋_GB2312"/>
          <w:sz w:val="32"/>
          <w:szCs w:val="32"/>
        </w:rPr>
        <w:t>日，在全国</w:t>
      </w:r>
      <w:r>
        <w:rPr>
          <w:rFonts w:hint="eastAsia" w:ascii="仿宋_GB2312" w:hAnsi="仿宋_GB2312" w:eastAsia="仿宋_GB2312" w:cs="仿宋_GB2312"/>
          <w:sz w:val="32"/>
          <w:szCs w:val="32"/>
        </w:rPr>
        <w:t>率先</w:t>
      </w:r>
      <w:r>
        <w:rPr>
          <w:rFonts w:hint="eastAsia" w:ascii="仿宋_GB2312" w:eastAsia="仿宋_GB2312" w:cs="仿宋_GB2312"/>
          <w:sz w:val="32"/>
          <w:szCs w:val="32"/>
        </w:rPr>
        <w:t>印发《保障性租赁住房“十四五”及三年（</w:t>
      </w:r>
      <w:r>
        <w:rPr>
          <w:rFonts w:hint="default" w:ascii="Times New Roman" w:hAnsi="Times New Roman" w:eastAsia="仿宋_GB2312" w:cs="Times New Roman"/>
          <w:sz w:val="32"/>
          <w:szCs w:val="32"/>
        </w:rPr>
        <w:t>2021</w:t>
      </w:r>
      <w:r>
        <w:rPr>
          <w:rFonts w:hint="eastAsia" w:ascii="仿宋_GB2312" w:eastAsia="仿宋_GB2312" w:cs="仿宋_GB2312"/>
          <w:sz w:val="32"/>
          <w:szCs w:val="32"/>
          <w:lang w:eastAsia="zh-CN"/>
        </w:rPr>
        <w:t>—</w:t>
      </w:r>
      <w:r>
        <w:rPr>
          <w:rFonts w:hint="default" w:ascii="Times New Roman" w:hAnsi="Times New Roman" w:eastAsia="仿宋_GB2312" w:cs="Times New Roman"/>
          <w:sz w:val="32"/>
          <w:szCs w:val="32"/>
        </w:rPr>
        <w:t>2023</w:t>
      </w:r>
      <w:r>
        <w:rPr>
          <w:rFonts w:hint="eastAsia" w:ascii="仿宋_GB2312" w:eastAsia="仿宋_GB2312" w:cs="仿宋_GB2312"/>
          <w:sz w:val="32"/>
          <w:szCs w:val="32"/>
        </w:rPr>
        <w:t>年）专项行动目标任务》，明确“</w:t>
      </w:r>
      <w:r>
        <w:rPr>
          <w:rFonts w:ascii="仿宋_GB2312" w:eastAsia="仿宋_GB2312" w:cs="仿宋_GB2312"/>
          <w:sz w:val="32"/>
          <w:szCs w:val="32"/>
        </w:rPr>
        <w:t>十四五</w:t>
      </w:r>
      <w:r>
        <w:rPr>
          <w:rFonts w:hint="eastAsia" w:ascii="仿宋_GB2312" w:eastAsia="仿宋_GB2312" w:cs="仿宋_GB2312"/>
          <w:sz w:val="32"/>
          <w:szCs w:val="32"/>
        </w:rPr>
        <w:t>”</w:t>
      </w:r>
      <w:r>
        <w:rPr>
          <w:rFonts w:ascii="仿宋_GB2312" w:eastAsia="仿宋_GB2312" w:cs="仿宋_GB2312"/>
          <w:sz w:val="32"/>
          <w:szCs w:val="32"/>
        </w:rPr>
        <w:t>期间</w:t>
      </w:r>
      <w:r>
        <w:rPr>
          <w:rFonts w:hint="eastAsia" w:ascii="仿宋_GB2312" w:eastAsia="仿宋_GB2312" w:cs="仿宋_GB2312"/>
          <w:sz w:val="32"/>
          <w:szCs w:val="32"/>
        </w:rPr>
        <w:t>，全省</w:t>
      </w:r>
      <w:r>
        <w:rPr>
          <w:rFonts w:ascii="仿宋_GB2312" w:eastAsia="仿宋_GB2312" w:cs="仿宋_GB2312"/>
          <w:sz w:val="32"/>
          <w:szCs w:val="32"/>
        </w:rPr>
        <w:t>筹集建设保障性租赁住房</w:t>
      </w:r>
      <w:r>
        <w:rPr>
          <w:rFonts w:hint="default" w:ascii="Times New Roman" w:hAnsi="Times New Roman" w:eastAsia="仿宋_GB2312" w:cs="Times New Roman"/>
          <w:sz w:val="32"/>
          <w:szCs w:val="32"/>
        </w:rPr>
        <w:t>129</w:t>
      </w:r>
      <w:r>
        <w:rPr>
          <w:rFonts w:ascii="仿宋_GB2312" w:eastAsia="仿宋_GB2312" w:cs="仿宋_GB2312"/>
          <w:sz w:val="32"/>
          <w:szCs w:val="32"/>
        </w:rPr>
        <w:t>.</w:t>
      </w:r>
      <w:r>
        <w:rPr>
          <w:rFonts w:hint="default" w:ascii="Times New Roman" w:hAnsi="Times New Roman" w:eastAsia="仿宋_GB2312" w:cs="Times New Roman"/>
          <w:sz w:val="32"/>
          <w:szCs w:val="32"/>
        </w:rPr>
        <w:t>70</w:t>
      </w:r>
      <w:r>
        <w:rPr>
          <w:rFonts w:ascii="仿宋_GB2312" w:eastAsia="仿宋_GB2312" w:cs="仿宋_GB2312"/>
          <w:sz w:val="32"/>
          <w:szCs w:val="32"/>
        </w:rPr>
        <w:t>万套</w:t>
      </w:r>
      <w:r>
        <w:rPr>
          <w:rFonts w:hint="eastAsia" w:ascii="仿宋_GB2312" w:eastAsia="仿宋_GB2312" w:cs="仿宋_GB2312"/>
          <w:sz w:val="32"/>
          <w:szCs w:val="32"/>
        </w:rPr>
        <w:t>（间），</w:t>
      </w:r>
      <w:r>
        <w:rPr>
          <w:rFonts w:hint="eastAsia" w:ascii="仿宋_GB2312" w:hAnsi="仿宋_GB2312" w:eastAsia="仿宋_GB2312" w:cs="仿宋_GB2312"/>
          <w:sz w:val="32"/>
          <w:szCs w:val="32"/>
        </w:rPr>
        <w:t>体量排全国第一位。</w:t>
      </w:r>
      <w:r>
        <w:rPr>
          <w:rStyle w:val="39"/>
          <w:rFonts w:hint="default" w:ascii="Times New Roman" w:hAnsi="Times New Roman" w:eastAsia="仿宋_GB2312" w:cs="Times New Roman"/>
          <w:color w:val="auto"/>
          <w:sz w:val="32"/>
          <w:szCs w:val="32"/>
        </w:rPr>
        <w:t>202</w:t>
      </w:r>
      <w:r>
        <w:rPr>
          <w:rStyle w:val="39"/>
          <w:rFonts w:hint="default" w:ascii="Times New Roman" w:hAnsi="Times New Roman" w:eastAsia="仿宋_GB2312" w:cs="Times New Roman"/>
          <w:color w:val="auto"/>
          <w:sz w:val="32"/>
          <w:szCs w:val="32"/>
          <w:lang w:val="en-US" w:eastAsia="zh-CN"/>
        </w:rPr>
        <w:t>2</w:t>
      </w:r>
      <w:r>
        <w:rPr>
          <w:rStyle w:val="39"/>
          <w:rFonts w:hint="eastAsia" w:ascii="Times New Roman" w:hAnsi="Times New Roman" w:eastAsia="仿宋_GB2312" w:cs="Times New Roman"/>
          <w:color w:val="auto"/>
          <w:sz w:val="32"/>
          <w:szCs w:val="32"/>
          <w:lang w:val="en-US" w:eastAsia="zh-CN"/>
        </w:rPr>
        <w:t>年省政府</w:t>
      </w:r>
      <w:r>
        <w:rPr>
          <w:rStyle w:val="39"/>
          <w:rFonts w:hint="eastAsia" w:ascii="仿宋_GB2312" w:hAnsi="仿宋_GB2312" w:eastAsia="仿宋_GB2312"/>
          <w:color w:val="auto"/>
          <w:sz w:val="32"/>
          <w:szCs w:val="32"/>
        </w:rPr>
        <w:t>将</w:t>
      </w:r>
      <w:r>
        <w:rPr>
          <w:rStyle w:val="39"/>
          <w:rFonts w:ascii="仿宋_GB2312" w:hAnsi="仿宋_GB2312" w:eastAsia="仿宋_GB2312"/>
          <w:color w:val="auto"/>
          <w:sz w:val="32"/>
          <w:szCs w:val="32"/>
        </w:rPr>
        <w:t>保障性</w:t>
      </w:r>
      <w:r>
        <w:rPr>
          <w:rStyle w:val="39"/>
          <w:rFonts w:hint="eastAsia" w:ascii="仿宋_GB2312" w:hAnsi="仿宋_GB2312" w:eastAsia="仿宋_GB2312"/>
          <w:color w:val="auto"/>
          <w:sz w:val="32"/>
          <w:szCs w:val="32"/>
          <w:lang w:val="en-US" w:eastAsia="zh-CN"/>
        </w:rPr>
        <w:t>安居工程项目</w:t>
      </w:r>
      <w:r>
        <w:rPr>
          <w:rStyle w:val="39"/>
          <w:rFonts w:ascii="仿宋_GB2312" w:hAnsi="仿宋_GB2312" w:eastAsia="仿宋_GB2312"/>
          <w:color w:val="auto"/>
          <w:sz w:val="32"/>
          <w:szCs w:val="32"/>
        </w:rPr>
        <w:t>列入</w:t>
      </w:r>
      <w:r>
        <w:rPr>
          <w:rStyle w:val="39"/>
          <w:rFonts w:hint="eastAsia" w:ascii="仿宋_GB2312" w:hAnsi="仿宋_GB2312" w:eastAsia="仿宋_GB2312"/>
          <w:color w:val="auto"/>
          <w:sz w:val="32"/>
          <w:szCs w:val="32"/>
        </w:rPr>
        <w:t>广东</w:t>
      </w:r>
      <w:r>
        <w:rPr>
          <w:rStyle w:val="39"/>
          <w:rFonts w:ascii="仿宋_GB2312" w:hAnsi="仿宋_GB2312" w:eastAsia="仿宋_GB2312"/>
          <w:color w:val="auto"/>
          <w:sz w:val="32"/>
          <w:szCs w:val="32"/>
        </w:rPr>
        <w:t>省十件民生实事</w:t>
      </w:r>
      <w:bookmarkEnd w:id="105"/>
      <w:r>
        <w:rPr>
          <w:rStyle w:val="39"/>
          <w:rFonts w:hint="eastAsia" w:ascii="仿宋_GB2312" w:hAnsi="仿宋_GB2312" w:eastAsia="仿宋_GB2312" w:cs="Times New Roman"/>
          <w:color w:val="auto"/>
          <w:sz w:val="32"/>
          <w:szCs w:val="32"/>
        </w:rPr>
        <w:t>。</w:t>
      </w:r>
      <w:r>
        <w:rPr>
          <w:rStyle w:val="39"/>
          <w:rFonts w:hint="eastAsia" w:ascii="仿宋_GB2312" w:hAnsi="仿宋_GB2312" w:eastAsia="仿宋_GB2312" w:cs="Times New Roman"/>
          <w:sz w:val="32"/>
          <w:szCs w:val="32"/>
          <w:lang w:val="en-US" w:eastAsia="zh-CN"/>
        </w:rPr>
        <w:t>保障性安居工程</w:t>
      </w:r>
      <w:r>
        <w:rPr>
          <w:rStyle w:val="39"/>
          <w:rFonts w:hint="eastAsia" w:ascii="仿宋_GB2312" w:hAnsi="仿宋_GB2312" w:eastAsia="仿宋_GB2312" w:cs="Times New Roman"/>
          <w:sz w:val="32"/>
          <w:szCs w:val="32"/>
        </w:rPr>
        <w:t>各项目标任务整体进展顺利，</w:t>
      </w:r>
      <w:r>
        <w:rPr>
          <w:rStyle w:val="39"/>
          <w:rFonts w:hint="eastAsia" w:ascii="仿宋_GB2312" w:hAnsi="仿宋_GB2312" w:eastAsia="仿宋_GB2312" w:cs="Times New Roman"/>
          <w:sz w:val="32"/>
          <w:szCs w:val="32"/>
          <w:lang w:eastAsia="zh-Hans"/>
        </w:rPr>
        <w:t>棚户区改造</w:t>
      </w:r>
      <w:r>
        <w:rPr>
          <w:rStyle w:val="39"/>
          <w:rFonts w:ascii="仿宋_GB2312" w:hAnsi="仿宋_GB2312" w:eastAsia="仿宋_GB2312" w:cs="Times New Roman"/>
          <w:sz w:val="32"/>
          <w:szCs w:val="32"/>
          <w:lang w:eastAsia="zh-Hans"/>
        </w:rPr>
        <w:t>、</w:t>
      </w:r>
      <w:r>
        <w:rPr>
          <w:rStyle w:val="39"/>
          <w:rFonts w:hint="eastAsia" w:ascii="仿宋_GB2312" w:hAnsi="仿宋_GB2312" w:eastAsia="仿宋_GB2312" w:cs="Times New Roman"/>
          <w:sz w:val="32"/>
          <w:szCs w:val="32"/>
          <w:lang w:eastAsia="zh-Hans"/>
        </w:rPr>
        <w:t>公租房</w:t>
      </w:r>
      <w:r>
        <w:rPr>
          <w:rFonts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val="en-US" w:eastAsia="zh-CN"/>
        </w:rPr>
        <w:t>保障性住房、</w:t>
      </w:r>
      <w:r>
        <w:rPr>
          <w:rFonts w:hint="eastAsia" w:ascii="仿宋_GB2312" w:hAnsi="仿宋_GB2312" w:eastAsia="仿宋_GB2312" w:cs="仿宋_GB2312"/>
          <w:color w:val="000000"/>
          <w:sz w:val="32"/>
          <w:szCs w:val="32"/>
          <w:lang w:eastAsia="zh-Hans"/>
        </w:rPr>
        <w:t>共有产权住房</w:t>
      </w:r>
      <w:r>
        <w:rPr>
          <w:rFonts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eastAsia="zh-Hans"/>
        </w:rPr>
        <w:t>发放租赁补贴等均提前超额完成</w:t>
      </w:r>
      <w:r>
        <w:rPr>
          <w:rFonts w:hint="eastAsia" w:ascii="仿宋_GB2312" w:hAnsi="仿宋_GB2312" w:eastAsia="仿宋_GB2312" w:cs="仿宋_GB2312"/>
          <w:color w:val="000000"/>
          <w:sz w:val="32"/>
          <w:szCs w:val="32"/>
          <w:lang w:eastAsia="zh-CN"/>
        </w:rPr>
        <w:t>目标</w:t>
      </w:r>
      <w:r>
        <w:rPr>
          <w:rFonts w:hint="eastAsia" w:ascii="仿宋_GB2312" w:hAnsi="仿宋_GB2312" w:eastAsia="仿宋_GB2312" w:cs="仿宋_GB2312"/>
          <w:color w:val="000000"/>
          <w:sz w:val="32"/>
          <w:szCs w:val="32"/>
          <w:lang w:eastAsia="zh-Hans"/>
        </w:rPr>
        <w:t>任务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Hans"/>
        </w:rPr>
        <w:t>筹建保障性租赁住房工作在</w:t>
      </w:r>
      <w:r>
        <w:rPr>
          <w:rFonts w:hint="eastAsia" w:ascii="仿宋_GB2312" w:hAnsi="仿宋_GB2312" w:eastAsia="仿宋_GB2312" w:cs="仿宋_GB2312"/>
          <w:color w:val="000000"/>
          <w:sz w:val="32"/>
          <w:szCs w:val="32"/>
        </w:rPr>
        <w:t>有条不紊推进</w:t>
      </w:r>
      <w:r>
        <w:rPr>
          <w:rFonts w:hint="eastAsia" w:ascii="仿宋_GB2312" w:hAnsi="仿宋_GB2312" w:eastAsia="仿宋_GB2312" w:cs="仿宋_GB2312"/>
          <w:color w:val="000000"/>
          <w:sz w:val="32"/>
          <w:szCs w:val="32"/>
          <w:lang w:eastAsia="zh-Hans"/>
        </w:rPr>
        <w:t>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b w:val="0"/>
          <w:bCs w:val="0"/>
          <w:color w:val="000000"/>
          <w:sz w:val="32"/>
          <w:szCs w:val="32"/>
          <w:lang w:val="en-US" w:eastAsia="zh-CN"/>
        </w:rPr>
        <w:t>大力</w:t>
      </w:r>
      <w:r>
        <w:rPr>
          <w:rFonts w:hint="eastAsia" w:ascii="仿宋_GB2312" w:hAnsi="仿宋_GB2312" w:eastAsia="仿宋_GB2312" w:cs="仿宋_GB2312"/>
          <w:sz w:val="32"/>
          <w:szCs w:val="32"/>
          <w:lang w:eastAsia="zh-Hans"/>
        </w:rPr>
        <w:t>拉动</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省政府将保障性安居工程列入第二批省关键项目清单，全年需完成投资</w:t>
      </w:r>
      <w:r>
        <w:rPr>
          <w:rFonts w:hint="default" w:ascii="Times New Roman" w:hAnsi="Times New Roman" w:eastAsia="仿宋_GB2312" w:cs="Times New Roman"/>
          <w:sz w:val="32"/>
          <w:szCs w:val="32"/>
        </w:rPr>
        <w:t>400</w:t>
      </w:r>
      <w:r>
        <w:rPr>
          <w:rFonts w:hint="eastAsia" w:ascii="仿宋_GB2312" w:hAnsi="仿宋_GB2312" w:eastAsia="仿宋_GB2312" w:cs="仿宋_GB2312"/>
          <w:sz w:val="32"/>
          <w:szCs w:val="32"/>
        </w:rPr>
        <w:t>亿元。</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rPr>
        <w:t>全省保障性安居工程已</w:t>
      </w:r>
      <w:r>
        <w:rPr>
          <w:rFonts w:hint="eastAsia" w:ascii="仿宋_GB2312" w:hAnsi="仿宋_GB2312" w:eastAsia="仿宋_GB2312" w:cs="仿宋_GB2312"/>
          <w:sz w:val="32"/>
          <w:szCs w:val="32"/>
          <w:lang w:eastAsia="zh-Hans"/>
        </w:rPr>
        <w:t>拉动</w:t>
      </w:r>
      <w:r>
        <w:rPr>
          <w:rFonts w:hint="eastAsia" w:ascii="仿宋_GB2312" w:hAnsi="仿宋_GB2312" w:eastAsia="仿宋_GB2312" w:cs="仿宋_GB2312"/>
          <w:sz w:val="32"/>
          <w:szCs w:val="32"/>
        </w:rPr>
        <w:t>投资</w:t>
      </w:r>
      <w:r>
        <w:rPr>
          <w:rFonts w:hint="default" w:ascii="Times New Roman" w:hAnsi="Times New Roman" w:eastAsia="仿宋_GB2312" w:cs="Times New Roman"/>
          <w:sz w:val="32"/>
          <w:szCs w:val="32"/>
        </w:rPr>
        <w:t>485</w:t>
      </w:r>
      <w:r>
        <w:rPr>
          <w:rFonts w:hint="eastAsia" w:ascii="仿宋_GB2312" w:hAnsi="仿宋_GB2312" w:eastAsia="仿宋_GB2312" w:cs="仿宋_GB2312"/>
          <w:sz w:val="32"/>
          <w:szCs w:val="32"/>
          <w:lang w:eastAsia="zh-Hans"/>
        </w:rPr>
        <w:t>.</w:t>
      </w:r>
      <w:r>
        <w:rPr>
          <w:rFonts w:hint="default" w:ascii="Times New Roman" w:hAnsi="Times New Roman" w:eastAsia="仿宋_GB2312" w:cs="Times New Roman"/>
          <w:sz w:val="32"/>
          <w:szCs w:val="32"/>
          <w:lang w:val="en-US" w:eastAsia="zh-CN"/>
        </w:rPr>
        <w:t>28</w:t>
      </w:r>
      <w:r>
        <w:rPr>
          <w:rFonts w:hint="eastAsia" w:ascii="仿宋_GB2312" w:hAnsi="仿宋_GB2312" w:eastAsia="仿宋_GB2312" w:cs="仿宋_GB2312"/>
          <w:sz w:val="32"/>
          <w:szCs w:val="32"/>
        </w:rPr>
        <w:t>亿元，超额完成</w:t>
      </w:r>
      <w:r>
        <w:rPr>
          <w:rFonts w:hint="eastAsia" w:ascii="仿宋_GB2312" w:hAnsi="仿宋_GB2312" w:eastAsia="仿宋_GB2312" w:cs="仿宋_GB2312"/>
          <w:sz w:val="32"/>
          <w:szCs w:val="32"/>
          <w:lang w:eastAsia="zh-Hans"/>
        </w:rPr>
        <w:t>全</w:t>
      </w:r>
      <w:r>
        <w:rPr>
          <w:rFonts w:hint="eastAsia" w:ascii="仿宋_GB2312" w:hAnsi="仿宋_GB2312" w:eastAsia="仿宋_GB2312" w:cs="仿宋_GB2312"/>
          <w:sz w:val="32"/>
          <w:szCs w:val="32"/>
        </w:rPr>
        <w:t>年任务。</w:t>
      </w:r>
    </w:p>
    <w:p>
      <w:pPr>
        <w:pageBreakBefore w:val="0"/>
        <w:numPr>
          <w:ilvl w:val="0"/>
          <w:numId w:val="2"/>
        </w:numPr>
        <w:kinsoku/>
        <w:wordWrap/>
        <w:overflowPunct/>
        <w:topLinePunct w:val="0"/>
        <w:autoSpaceDE/>
        <w:autoSpaceDN/>
        <w:bidi w:val="0"/>
        <w:adjustRightInd/>
        <w:spacing w:line="600" w:lineRule="exact"/>
        <w:ind w:left="-13" w:firstLine="643"/>
        <w:textAlignment w:val="auto"/>
        <w:outlineLvl w:val="1"/>
        <w:rPr>
          <w:rFonts w:hint="eastAsia" w:ascii="楷体_GB2312" w:hAnsi="楷体_GB2312" w:eastAsia="楷体_GB2312" w:cs="楷体_GB2312"/>
          <w:b/>
          <w:bCs/>
          <w:i w:val="0"/>
          <w:iCs w:val="0"/>
          <w:caps w:val="0"/>
          <w:color w:val="000000"/>
          <w:spacing w:val="0"/>
          <w:sz w:val="32"/>
          <w:szCs w:val="32"/>
          <w:shd w:val="clear"/>
          <w:lang w:val="en-US" w:eastAsia="zh-Hans"/>
        </w:rPr>
      </w:pPr>
      <w:bookmarkStart w:id="106" w:name="_Toc19644"/>
      <w:bookmarkStart w:id="107" w:name="_Toc29176"/>
      <w:r>
        <w:rPr>
          <w:rFonts w:hint="eastAsia" w:ascii="楷体_GB2312" w:hAnsi="楷体_GB2312" w:eastAsia="楷体_GB2312" w:cs="楷体_GB2312"/>
          <w:b/>
          <w:bCs/>
          <w:i w:val="0"/>
          <w:iCs w:val="0"/>
          <w:caps w:val="0"/>
          <w:color w:val="000000"/>
          <w:spacing w:val="0"/>
          <w:sz w:val="32"/>
          <w:szCs w:val="32"/>
          <w:shd w:val="clear" w:fill="auto"/>
          <w:lang w:val="en-US" w:eastAsia="zh-CN"/>
        </w:rPr>
        <w:t>加强部门统筹联动</w:t>
      </w:r>
      <w:r>
        <w:rPr>
          <w:rFonts w:hint="eastAsia" w:ascii="楷体_GB2312" w:hAnsi="楷体_GB2312" w:eastAsia="楷体_GB2312" w:cs="楷体_GB2312"/>
          <w:b/>
          <w:bCs/>
          <w:i w:val="0"/>
          <w:iCs w:val="0"/>
          <w:caps w:val="0"/>
          <w:color w:val="000000"/>
          <w:spacing w:val="0"/>
          <w:sz w:val="32"/>
          <w:szCs w:val="32"/>
          <w:shd w:val="clear" w:fill="auto"/>
          <w:lang w:eastAsia="zh-Hans"/>
        </w:rPr>
        <w:t>，</w:t>
      </w:r>
      <w:r>
        <w:rPr>
          <w:rFonts w:hint="eastAsia" w:ascii="楷体_GB2312" w:hAnsi="楷体_GB2312" w:eastAsia="楷体_GB2312" w:cs="楷体_GB2312"/>
          <w:b/>
          <w:bCs/>
          <w:i w:val="0"/>
          <w:iCs w:val="0"/>
          <w:caps w:val="0"/>
          <w:color w:val="000000"/>
          <w:spacing w:val="0"/>
          <w:sz w:val="32"/>
          <w:szCs w:val="32"/>
          <w:shd w:val="clear"/>
          <w:lang w:val="en-US" w:eastAsia="zh-CN"/>
        </w:rPr>
        <w:t>全力</w:t>
      </w:r>
      <w:r>
        <w:rPr>
          <w:rFonts w:hint="eastAsia" w:ascii="楷体_GB2312" w:hAnsi="楷体_GB2312" w:eastAsia="楷体_GB2312" w:cs="楷体_GB2312"/>
          <w:b/>
          <w:bCs/>
          <w:i w:val="0"/>
          <w:iCs w:val="0"/>
          <w:caps w:val="0"/>
          <w:color w:val="000000"/>
          <w:spacing w:val="0"/>
          <w:sz w:val="32"/>
          <w:szCs w:val="32"/>
          <w:shd w:val="clear" w:fill="auto"/>
          <w:lang w:eastAsia="zh-Hans"/>
        </w:rPr>
        <w:t>推</w:t>
      </w:r>
      <w:r>
        <w:rPr>
          <w:rFonts w:hint="eastAsia" w:ascii="楷体_GB2312" w:hAnsi="楷体_GB2312" w:eastAsia="楷体_GB2312" w:cs="楷体_GB2312"/>
          <w:b/>
          <w:bCs/>
          <w:i w:val="0"/>
          <w:iCs w:val="0"/>
          <w:caps w:val="0"/>
          <w:color w:val="000000"/>
          <w:spacing w:val="0"/>
          <w:sz w:val="32"/>
          <w:szCs w:val="32"/>
          <w:shd w:val="clear"/>
          <w:lang w:val="en-US" w:eastAsia="zh-Hans"/>
        </w:rPr>
        <w:t>进</w:t>
      </w:r>
      <w:r>
        <w:rPr>
          <w:rFonts w:hint="eastAsia" w:ascii="楷体_GB2312" w:hAnsi="楷体_GB2312" w:eastAsia="楷体_GB2312" w:cs="楷体_GB2312"/>
          <w:b/>
          <w:bCs/>
          <w:i w:val="0"/>
          <w:iCs w:val="0"/>
          <w:caps w:val="0"/>
          <w:color w:val="000000"/>
          <w:spacing w:val="0"/>
          <w:sz w:val="32"/>
          <w:szCs w:val="32"/>
          <w:shd w:val="clear"/>
          <w:lang w:val="en-US" w:eastAsia="zh-CN"/>
        </w:rPr>
        <w:t>省市两级联席会议制度</w:t>
      </w:r>
      <w:bookmarkEnd w:id="106"/>
      <w:bookmarkEnd w:id="107"/>
    </w:p>
    <w:p>
      <w:pPr>
        <w:pageBreakBefore w:val="0"/>
        <w:numPr>
          <w:ilvl w:val="-1"/>
          <w:numId w:val="0"/>
        </w:numPr>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color w:val="000000"/>
          <w:sz w:val="32"/>
          <w:szCs w:val="32"/>
        </w:rPr>
      </w:pPr>
      <w:r>
        <w:rPr>
          <w:rFonts w:hint="eastAsia" w:ascii="仿宋_GB2312" w:hAnsi="黑体" w:eastAsia="仿宋_GB2312"/>
          <w:b/>
          <w:bCs/>
          <w:sz w:val="32"/>
          <w:szCs w:val="32"/>
        </w:rPr>
        <w:t>一是</w:t>
      </w:r>
      <w:r>
        <w:rPr>
          <w:rFonts w:hint="default" w:ascii="Times New Roman" w:hAnsi="Times New Roman" w:eastAsia="仿宋_GB2312" w:cs="Times New Roman"/>
          <w:color w:val="000000"/>
          <w:sz w:val="32"/>
          <w:szCs w:val="32"/>
        </w:rPr>
        <w:t>2021</w:t>
      </w:r>
      <w:r>
        <w:rPr>
          <w:rFonts w:hint="eastAsia" w:ascii="仿宋_GB2312" w:hAnsi="仿宋" w:eastAsia="仿宋_GB2312" w:cs="Times New Roman"/>
          <w:color w:val="000000"/>
          <w:sz w:val="32"/>
          <w:szCs w:val="32"/>
        </w:rPr>
        <w:t>年</w:t>
      </w:r>
      <w:r>
        <w:rPr>
          <w:rFonts w:hint="default" w:ascii="Times New Roman" w:hAnsi="Times New Roman" w:eastAsia="仿宋_GB2312" w:cs="Times New Roman"/>
          <w:color w:val="000000"/>
          <w:sz w:val="32"/>
          <w:szCs w:val="32"/>
        </w:rPr>
        <w:t>12</w:t>
      </w:r>
      <w:r>
        <w:rPr>
          <w:rFonts w:hint="eastAsia" w:ascii="仿宋_GB2312" w:hAnsi="仿宋" w:eastAsia="仿宋_GB2312" w:cs="Times New Roman"/>
          <w:color w:val="000000"/>
          <w:sz w:val="32"/>
          <w:szCs w:val="32"/>
        </w:rPr>
        <w:t>月，我</w:t>
      </w:r>
      <w:r>
        <w:rPr>
          <w:rFonts w:hint="eastAsia" w:ascii="仿宋_GB2312" w:hAnsi="仿宋" w:eastAsia="仿宋_GB2312" w:cs="Times New Roman"/>
          <w:color w:val="000000"/>
          <w:sz w:val="32"/>
          <w:szCs w:val="32"/>
          <w:lang w:val="en-US" w:eastAsia="zh-CN"/>
        </w:rPr>
        <w:t>厅</w:t>
      </w:r>
      <w:r>
        <w:rPr>
          <w:rFonts w:hint="eastAsia" w:ascii="仿宋_GB2312" w:hAnsi="仿宋" w:eastAsia="仿宋_GB2312" w:cs="Times New Roman"/>
          <w:color w:val="000000"/>
          <w:sz w:val="32"/>
          <w:szCs w:val="32"/>
        </w:rPr>
        <w:t>建立了推进保障性租赁住房工作联席会议制度，统筹有关部门推动全省发展保障性租赁住房工作。在我</w:t>
      </w:r>
      <w:r>
        <w:rPr>
          <w:rFonts w:hint="eastAsia" w:ascii="仿宋_GB2312" w:hAnsi="仿宋" w:eastAsia="仿宋_GB2312" w:cs="Times New Roman"/>
          <w:color w:val="000000"/>
          <w:sz w:val="32"/>
          <w:szCs w:val="32"/>
          <w:lang w:val="en-US" w:eastAsia="zh-CN"/>
        </w:rPr>
        <w:t>厅</w:t>
      </w:r>
      <w:r>
        <w:rPr>
          <w:rFonts w:hint="eastAsia" w:ascii="仿宋_GB2312" w:hAnsi="仿宋" w:eastAsia="仿宋_GB2312" w:cs="Times New Roman"/>
          <w:color w:val="000000"/>
          <w:sz w:val="32"/>
          <w:szCs w:val="32"/>
        </w:rPr>
        <w:t>指导下，</w:t>
      </w:r>
      <w:r>
        <w:rPr>
          <w:rFonts w:hint="default" w:ascii="Times New Roman" w:hAnsi="Times New Roman" w:eastAsia="仿宋_GB2312" w:cs="Times New Roman"/>
          <w:color w:val="000000"/>
          <w:sz w:val="32"/>
          <w:szCs w:val="32"/>
        </w:rPr>
        <w:t>2022</w:t>
      </w:r>
      <w:r>
        <w:rPr>
          <w:rFonts w:hint="eastAsia" w:ascii="仿宋_GB2312" w:hAnsi="仿宋" w:eastAsia="仿宋_GB2312" w:cs="Times New Roman"/>
          <w:color w:val="000000"/>
          <w:sz w:val="32"/>
          <w:szCs w:val="32"/>
        </w:rPr>
        <w:t>年，广州、深圳、佛山、东莞等重点城市成立了市级保障性租赁住房领导小组或者建立联席会议制度，并组织召开工作会议，统筹推进保障性租赁住房各项工作部署落地，协调解决工作中遇到的困难和问题。</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eastAsia="zh-Hans"/>
        </w:rPr>
        <w:t>是</w:t>
      </w:r>
      <w:r>
        <w:rPr>
          <w:rFonts w:hint="eastAsia" w:ascii="仿宋_GB2312" w:hAnsi="仿宋_GB2312" w:eastAsia="仿宋_GB2312" w:cs="仿宋_GB2312"/>
          <w:color w:val="000000"/>
          <w:sz w:val="32"/>
          <w:szCs w:val="32"/>
          <w:lang w:eastAsia="zh-Hans"/>
        </w:rPr>
        <w:t>建立健全各类住房政策制度</w:t>
      </w:r>
      <w:r>
        <w:rPr>
          <w:rFonts w:ascii="仿宋_GB2312" w:hAnsi="仿宋_GB2312" w:eastAsia="仿宋_GB2312" w:cs="仿宋_GB2312"/>
          <w:color w:val="000000"/>
          <w:sz w:val="32"/>
          <w:szCs w:val="32"/>
          <w:lang w:eastAsia="zh-Hans"/>
        </w:rPr>
        <w:t>。</w:t>
      </w:r>
      <w:r>
        <w:rPr>
          <w:rFonts w:hint="eastAsia" w:ascii="仿宋_GB2312" w:hAnsi="仿宋" w:eastAsia="仿宋_GB2312" w:cs="Times New Roman"/>
          <w:color w:val="000000"/>
          <w:sz w:val="32"/>
          <w:szCs w:val="32"/>
        </w:rPr>
        <w:t>我</w:t>
      </w:r>
      <w:r>
        <w:rPr>
          <w:rFonts w:hint="eastAsia" w:ascii="仿宋_GB2312" w:hAnsi="仿宋" w:eastAsia="仿宋_GB2312" w:cs="Times New Roman"/>
          <w:color w:val="000000"/>
          <w:sz w:val="32"/>
          <w:szCs w:val="32"/>
          <w:lang w:val="en-US" w:eastAsia="zh-CN"/>
        </w:rPr>
        <w:t>厅</w:t>
      </w:r>
      <w:r>
        <w:rPr>
          <w:rFonts w:hint="eastAsia" w:ascii="仿宋_GB2312" w:hAnsi="仿宋" w:eastAsia="仿宋_GB2312" w:cs="Times New Roman"/>
          <w:color w:val="000000"/>
          <w:sz w:val="32"/>
          <w:szCs w:val="32"/>
        </w:rPr>
        <w:t>积极落实</w:t>
      </w:r>
      <w:r>
        <w:rPr>
          <w:rFonts w:hint="eastAsia" w:ascii="仿宋_GB2312" w:hAnsi="仿宋" w:eastAsia="仿宋_GB2312"/>
          <w:color w:val="000000"/>
          <w:sz w:val="32"/>
          <w:szCs w:val="32"/>
        </w:rPr>
        <w:t>中央</w:t>
      </w:r>
      <w:r>
        <w:rPr>
          <w:rFonts w:hint="eastAsia" w:ascii="仿宋_GB2312" w:hAnsi="仿宋" w:eastAsia="仿宋_GB2312" w:cs="Times New Roman"/>
          <w:color w:val="000000"/>
          <w:sz w:val="32"/>
          <w:szCs w:val="32"/>
        </w:rPr>
        <w:t>要求，督促各城市加快制定项目认定程序文件，加快推进保障性租赁住房项目认定书发放工作</w:t>
      </w:r>
      <w:r>
        <w:rPr>
          <w:rFonts w:hint="eastAsia" w:ascii="仿宋_GB2312" w:hAnsi="仿宋" w:eastAsia="仿宋_GB2312" w:cs="Times New Roman"/>
          <w:color w:val="000000"/>
          <w:sz w:val="32"/>
          <w:szCs w:val="32"/>
          <w:lang w:eastAsia="zh-CN"/>
        </w:rPr>
        <w:t>，</w:t>
      </w:r>
      <w:r>
        <w:rPr>
          <w:rFonts w:hint="eastAsia" w:ascii="仿宋_GB2312" w:hAnsi="仿宋_GB2312" w:eastAsia="仿宋_GB2312" w:cs="仿宋_GB2312"/>
          <w:sz w:val="32"/>
          <w:szCs w:val="32"/>
        </w:rPr>
        <w:t>与金融、税收、水电气等单位建立联动对接机制</w:t>
      </w:r>
      <w:r>
        <w:rPr>
          <w:rFonts w:hint="eastAsia" w:ascii="仿宋_GB2312" w:hAnsi="仿宋_GB2312" w:eastAsia="仿宋_GB2312" w:cs="仿宋_GB2312"/>
          <w:sz w:val="32"/>
          <w:szCs w:val="32"/>
          <w:lang w:eastAsia="zh-CN"/>
        </w:rPr>
        <w:t>，</w:t>
      </w:r>
      <w:r>
        <w:rPr>
          <w:rFonts w:hint="eastAsia" w:ascii="仿宋_GB2312" w:hAnsi="仿宋" w:eastAsia="仿宋_GB2312" w:cs="Times New Roman"/>
          <w:color w:val="000000"/>
          <w:sz w:val="32"/>
          <w:szCs w:val="32"/>
        </w:rPr>
        <w:t>为建设运营单位办理立项、规划、消防等手续</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落实税费优惠、民用水电气价格政策和享受金融支持提供依据。目前，在我</w:t>
      </w:r>
      <w:r>
        <w:rPr>
          <w:rFonts w:hint="eastAsia" w:ascii="仿宋_GB2312" w:hAnsi="仿宋" w:eastAsia="仿宋_GB2312" w:cs="Times New Roman"/>
          <w:color w:val="000000"/>
          <w:sz w:val="32"/>
          <w:szCs w:val="32"/>
          <w:lang w:val="en-US" w:eastAsia="zh-CN"/>
        </w:rPr>
        <w:t>厅</w:t>
      </w:r>
      <w:r>
        <w:rPr>
          <w:rFonts w:hint="eastAsia" w:ascii="仿宋_GB2312" w:hAnsi="仿宋" w:eastAsia="仿宋_GB2312" w:cs="Times New Roman"/>
          <w:color w:val="000000"/>
          <w:sz w:val="32"/>
          <w:szCs w:val="32"/>
        </w:rPr>
        <w:t>指导下</w:t>
      </w:r>
      <w:r>
        <w:rPr>
          <w:rFonts w:hint="eastAsia" w:ascii="仿宋_GB2312" w:hAnsi="仿宋_GB2312" w:eastAsia="仿宋_GB2312" w:cs="仿宋_GB2312"/>
          <w:sz w:val="32"/>
          <w:szCs w:val="32"/>
        </w:rPr>
        <w:t>，</w:t>
      </w:r>
      <w:r>
        <w:rPr>
          <w:rFonts w:hint="eastAsia" w:ascii="仿宋_GB2312" w:hAnsi="仿宋" w:eastAsia="仿宋_GB2312"/>
          <w:color w:val="000000"/>
          <w:sz w:val="32"/>
          <w:szCs w:val="32"/>
        </w:rPr>
        <w:t>广州、深圳、佛山、东莞等重点城市</w:t>
      </w:r>
      <w:r>
        <w:rPr>
          <w:rFonts w:hint="eastAsia" w:ascii="仿宋_GB2312" w:hAnsi="仿宋" w:eastAsia="仿宋_GB2312" w:cs="Times New Roman"/>
          <w:color w:val="000000"/>
          <w:sz w:val="32"/>
          <w:szCs w:val="32"/>
        </w:rPr>
        <w:t>出台了加强项目管理的制度文件。</w:t>
      </w:r>
      <w:r>
        <w:rPr>
          <w:rFonts w:hint="eastAsia" w:ascii="仿宋_GB2312" w:hAnsi="仿宋_GB2312" w:eastAsia="仿宋_GB2312" w:cs="仿宋_GB2312"/>
          <w:sz w:val="32"/>
          <w:szCs w:val="32"/>
          <w:lang w:eastAsia="zh-Hans"/>
        </w:rPr>
        <w:t>广州等</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Hans"/>
        </w:rPr>
        <w:t>发展保障性租赁住房</w:t>
      </w:r>
      <w:r>
        <w:rPr>
          <w:rFonts w:hint="eastAsia" w:ascii="仿宋_GB2312" w:hAnsi="仿宋_GB2312" w:eastAsia="仿宋_GB2312" w:cs="仿宋_GB2312"/>
          <w:sz w:val="32"/>
          <w:szCs w:val="32"/>
        </w:rPr>
        <w:t>重点城市均上线住房城乡建设部保障性租赁住房管理系统，并录入房源</w:t>
      </w:r>
      <w:r>
        <w:rPr>
          <w:rFonts w:hint="default" w:ascii="Times New Roman" w:hAnsi="Times New Roman" w:eastAsia="仿宋_GB2312" w:cs="Times New Roman"/>
          <w:sz w:val="32"/>
          <w:szCs w:val="32"/>
        </w:rPr>
        <w:t>185101</w:t>
      </w:r>
      <w:r>
        <w:rPr>
          <w:rFonts w:hint="eastAsia" w:ascii="仿宋_GB2312" w:hAnsi="仿宋_GB2312" w:eastAsia="仿宋_GB2312" w:cs="仿宋_GB2312"/>
          <w:sz w:val="32"/>
          <w:szCs w:val="32"/>
        </w:rPr>
        <w:t>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ageBreakBefore w:val="0"/>
        <w:numPr>
          <w:ilvl w:val="0"/>
          <w:numId w:val="2"/>
        </w:numPr>
        <w:kinsoku/>
        <w:wordWrap/>
        <w:overflowPunct/>
        <w:topLinePunct w:val="0"/>
        <w:autoSpaceDE/>
        <w:autoSpaceDN/>
        <w:bidi w:val="0"/>
        <w:adjustRightInd/>
        <w:spacing w:line="600" w:lineRule="exact"/>
        <w:ind w:left="-13" w:firstLine="643"/>
        <w:textAlignment w:val="auto"/>
        <w:outlineLvl w:val="1"/>
        <w:rPr>
          <w:rFonts w:hint="default" w:ascii="楷体_GB2312" w:hAnsi="楷体_GB2312" w:eastAsia="楷体_GB2312" w:cs="楷体_GB2312"/>
          <w:b/>
          <w:bCs/>
          <w:i w:val="0"/>
          <w:iCs w:val="0"/>
          <w:caps w:val="0"/>
          <w:color w:val="000000"/>
          <w:spacing w:val="0"/>
          <w:sz w:val="32"/>
          <w:szCs w:val="32"/>
          <w:shd w:val="clear" w:fill="auto"/>
          <w:lang w:val="en-US" w:eastAsia="zh-CN"/>
        </w:rPr>
      </w:pPr>
      <w:bookmarkStart w:id="108" w:name="_Toc12722"/>
      <w:bookmarkStart w:id="109" w:name="_Toc30199"/>
      <w:r>
        <w:rPr>
          <w:rFonts w:hint="eastAsia" w:ascii="楷体_GB2312" w:hAnsi="楷体_GB2312" w:eastAsia="楷体_GB2312" w:cs="楷体_GB2312"/>
          <w:b/>
          <w:bCs/>
          <w:i w:val="0"/>
          <w:iCs w:val="0"/>
          <w:caps w:val="0"/>
          <w:color w:val="000000"/>
          <w:spacing w:val="0"/>
          <w:sz w:val="32"/>
          <w:szCs w:val="32"/>
          <w:shd w:val="clear" w:fill="auto"/>
          <w:lang w:val="en-US" w:eastAsia="zh-CN"/>
        </w:rPr>
        <w:t>积极挖掘存量资源，保障安居工程项目落地建设</w:t>
      </w:r>
      <w:bookmarkEnd w:id="108"/>
      <w:bookmarkEnd w:id="109"/>
    </w:p>
    <w:p>
      <w:pPr>
        <w:pStyle w:val="8"/>
        <w:pageBreakBefore w:val="0"/>
        <w:kinsoku/>
        <w:wordWrap/>
        <w:overflowPunct/>
        <w:topLinePunct w:val="0"/>
        <w:autoSpaceDE/>
        <w:autoSpaceDN/>
        <w:bidi w:val="0"/>
        <w:adjustRightInd/>
        <w:spacing w:line="600" w:lineRule="exact"/>
        <w:ind w:left="0" w:leftChars="0" w:firstLine="640" w:firstLineChars="200"/>
        <w:textAlignment w:val="auto"/>
      </w:pPr>
      <w:r>
        <w:rPr>
          <w:rFonts w:hint="eastAsia" w:ascii="仿宋_GB2312" w:eastAsia="仿宋_GB2312" w:cs="仿宋_GB2312"/>
          <w:sz w:val="32"/>
          <w:szCs w:val="32"/>
        </w:rPr>
        <w:t>省住房城乡建设厅联合省教育厅、卫生健康委、国资委，摸底挖掘全省高校、卫生系统、国有企业存量土地和房屋资源</w:t>
      </w:r>
      <w:r>
        <w:rPr>
          <w:rFonts w:hint="eastAsia" w:ascii="仿宋_GB2312" w:eastAsia="仿宋_GB2312" w:cs="仿宋_GB2312"/>
          <w:sz w:val="32"/>
          <w:szCs w:val="32"/>
          <w:lang w:eastAsia="zh-CN"/>
        </w:rPr>
        <w:t>，</w:t>
      </w:r>
      <w:r>
        <w:rPr>
          <w:rFonts w:hint="eastAsia" w:ascii="仿宋_GB2312" w:eastAsia="仿宋_GB2312" w:cs="仿宋_GB2312"/>
          <w:sz w:val="32"/>
          <w:szCs w:val="32"/>
        </w:rPr>
        <w:t>推动华南农业大学、广东外语外贸大学、广东仲恺农业工程学院等单位保障性租赁住房项目落地建设。研究制定政策</w:t>
      </w:r>
      <w:r>
        <w:rPr>
          <w:rFonts w:hint="eastAsia" w:ascii="仿宋_GB2312" w:eastAsia="仿宋_GB2312" w:cs="仿宋_GB2312"/>
          <w:sz w:val="32"/>
          <w:szCs w:val="32"/>
          <w:lang w:eastAsia="zh-CN"/>
        </w:rPr>
        <w:t>，</w:t>
      </w:r>
      <w:r>
        <w:rPr>
          <w:rFonts w:hint="eastAsia" w:ascii="仿宋_GB2312" w:eastAsia="仿宋_GB2312" w:cs="仿宋_GB2312"/>
          <w:sz w:val="32"/>
          <w:szCs w:val="32"/>
        </w:rPr>
        <w:t>引导和支持省属企事业单位、机关团体利用存量土地和房屋建设保障性租赁住房</w:t>
      </w:r>
      <w:r>
        <w:rPr>
          <w:rFonts w:ascii="仿宋_GB2312" w:eastAsia="仿宋_GB2312" w:cs="仿宋_GB2312"/>
          <w:sz w:val="32"/>
          <w:szCs w:val="32"/>
        </w:rPr>
        <w:t>，</w:t>
      </w:r>
      <w:r>
        <w:rPr>
          <w:rFonts w:hint="eastAsia" w:ascii="仿宋_GB2312" w:eastAsia="仿宋_GB2312" w:cs="仿宋_GB2312"/>
          <w:sz w:val="32"/>
          <w:szCs w:val="32"/>
        </w:rPr>
        <w:t>目前已形成政策审议稿</w:t>
      </w:r>
      <w:r>
        <w:rPr>
          <w:rFonts w:ascii="仿宋_GB2312" w:eastAsia="仿宋_GB2312" w:cs="仿宋_GB2312"/>
          <w:sz w:val="32"/>
          <w:szCs w:val="32"/>
        </w:rPr>
        <w:t>，</w:t>
      </w:r>
      <w:r>
        <w:rPr>
          <w:rFonts w:hint="eastAsia" w:ascii="仿宋_GB2312" w:eastAsia="仿宋_GB2312" w:cs="仿宋_GB2312"/>
          <w:sz w:val="32"/>
          <w:szCs w:val="32"/>
        </w:rPr>
        <w:t>并已通过联席会议研究讨论</w:t>
      </w:r>
      <w:r>
        <w:rPr>
          <w:rFonts w:ascii="仿宋_GB2312" w:eastAsia="仿宋_GB2312" w:cs="仿宋_GB2312"/>
          <w:sz w:val="32"/>
          <w:szCs w:val="32"/>
        </w:rPr>
        <w:t>。</w:t>
      </w:r>
    </w:p>
    <w:p>
      <w:pPr>
        <w:pageBreakBefore w:val="0"/>
        <w:numPr>
          <w:ilvl w:val="0"/>
          <w:numId w:val="2"/>
        </w:numPr>
        <w:kinsoku/>
        <w:wordWrap/>
        <w:overflowPunct/>
        <w:topLinePunct w:val="0"/>
        <w:autoSpaceDE/>
        <w:autoSpaceDN/>
        <w:bidi w:val="0"/>
        <w:adjustRightInd/>
        <w:spacing w:line="600" w:lineRule="exact"/>
        <w:ind w:left="-13" w:firstLine="643"/>
        <w:textAlignment w:val="auto"/>
        <w:outlineLvl w:val="1"/>
        <w:rPr>
          <w:rFonts w:hint="eastAsia" w:ascii="楷体_GB2312" w:hAnsi="楷体_GB2312" w:eastAsia="楷体_GB2312" w:cs="楷体_GB2312"/>
          <w:b/>
          <w:bCs/>
          <w:sz w:val="32"/>
          <w:szCs w:val="32"/>
          <w:lang w:val="en-US" w:eastAsia="zh-Hans"/>
        </w:rPr>
      </w:pPr>
      <w:bookmarkStart w:id="110" w:name="_Toc484"/>
      <w:bookmarkStart w:id="111" w:name="_Toc17889"/>
      <w:r>
        <w:rPr>
          <w:rFonts w:hint="eastAsia" w:ascii="楷体_GB2312" w:hAnsi="楷体_GB2312" w:eastAsia="楷体_GB2312" w:cs="楷体_GB2312"/>
          <w:b/>
          <w:bCs/>
          <w:sz w:val="32"/>
          <w:szCs w:val="32"/>
          <w:lang w:val="en-US" w:eastAsia="zh-CN"/>
        </w:rPr>
        <w:t>加强监管，夯实城市主体责任</w:t>
      </w:r>
      <w:bookmarkEnd w:id="110"/>
      <w:bookmarkEnd w:id="111"/>
    </w:p>
    <w:p>
      <w:pPr>
        <w:pageBreakBefore w:val="0"/>
        <w:numPr>
          <w:ilvl w:val="-1"/>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我厅</w:t>
      </w:r>
      <w:r>
        <w:rPr>
          <w:rFonts w:hint="eastAsia" w:ascii="仿宋_GB2312" w:hAnsi="仿宋_GB2312" w:eastAsia="仿宋_GB2312" w:cs="仿宋_GB2312"/>
          <w:sz w:val="32"/>
          <w:szCs w:val="32"/>
        </w:rPr>
        <w:t>制定了</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年住房城乡建设重点工作综合检查实施方案，以及保障性安居工程工作现场检查方案，并报省委督查室、省政府督查室备案。</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厅牵头会同省发展改革委、财政厅、自然资源厅和相关领域专家组成工作组，对全省各地市保障性租赁住房筹建情况开展综合检查，并按照四不两直的方式，分别赴广州等</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个有项目筹建任务的地市随机抽查、实地检查了</w:t>
      </w:r>
      <w:r>
        <w:rPr>
          <w:rFonts w:hint="default" w:ascii="Times New Roman" w:hAnsi="Times New Roman" w:eastAsia="仿宋_GB2312" w:cs="Times New Roman"/>
          <w:sz w:val="32"/>
          <w:szCs w:val="32"/>
        </w:rPr>
        <w:t>156</w:t>
      </w:r>
      <w:r>
        <w:rPr>
          <w:rFonts w:hint="eastAsia" w:ascii="仿宋_GB2312" w:hAnsi="仿宋_GB2312" w:eastAsia="仿宋_GB2312" w:cs="仿宋_GB2312"/>
          <w:sz w:val="32"/>
          <w:szCs w:val="32"/>
        </w:rPr>
        <w:t>个项目，现场召开督导会，当场反馈检查情况，指导地市进一步推动工作，督促地市对存在问题落实整改。</w:t>
      </w:r>
    </w:p>
    <w:p>
      <w:pPr>
        <w:pageBreakBefore w:val="0"/>
        <w:kinsoku/>
        <w:wordWrap/>
        <w:overflowPunct/>
        <w:topLinePunct w:val="0"/>
        <w:autoSpaceDE/>
        <w:autoSpaceDN/>
        <w:bidi w:val="0"/>
        <w:adjustRightInd/>
        <w:spacing w:line="600" w:lineRule="exact"/>
        <w:ind w:firstLine="642" w:firstLineChars="200"/>
        <w:jc w:val="left"/>
        <w:textAlignment w:val="auto"/>
        <w:outlineLvl w:val="1"/>
        <w:rPr>
          <w:rFonts w:hint="eastAsia" w:ascii="楷体_GB2312" w:hAnsi="楷体_GB2312" w:eastAsia="楷体_GB2312" w:cs="楷体_GB2312"/>
          <w:b/>
          <w:bCs/>
          <w:color w:val="000000"/>
          <w:sz w:val="32"/>
          <w:szCs w:val="32"/>
          <w:lang w:val="en-US" w:eastAsia="zh-CN"/>
        </w:rPr>
      </w:pPr>
      <w:bookmarkStart w:id="112" w:name="_Toc11882"/>
      <w:bookmarkStart w:id="113" w:name="_Toc19566"/>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五）推动信息化建设，加强项目全方面管理</w:t>
      </w:r>
      <w:bookmarkEnd w:id="112"/>
      <w:bookmarkEnd w:id="113"/>
    </w:p>
    <w:p>
      <w:pPr>
        <w:pageBreakBefore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kern w:val="0"/>
          <w:sz w:val="32"/>
          <w:szCs w:val="32"/>
        </w:rPr>
        <w:t>一是</w:t>
      </w:r>
      <w:r>
        <w:rPr>
          <w:rFonts w:hint="eastAsia" w:ascii="仿宋_GB2312" w:hAnsi="仿宋_GB2312" w:eastAsia="仿宋_GB2312" w:cs="仿宋_GB2312"/>
          <w:b w:val="0"/>
          <w:bCs/>
          <w:color w:val="000000"/>
          <w:kern w:val="0"/>
          <w:sz w:val="32"/>
          <w:szCs w:val="32"/>
        </w:rPr>
        <w:t>推进国垂保障性租赁住房系统应用。</w:t>
      </w:r>
      <w:r>
        <w:rPr>
          <w:rFonts w:hint="eastAsia" w:ascii="仿宋_GB2312" w:hAnsi="仿宋_GB2312" w:eastAsia="仿宋_GB2312" w:cs="仿宋_GB2312"/>
          <w:bCs/>
          <w:color w:val="000000"/>
          <w:kern w:val="0"/>
          <w:sz w:val="32"/>
          <w:szCs w:val="32"/>
        </w:rPr>
        <w:t>组织全省</w:t>
      </w:r>
      <w:r>
        <w:rPr>
          <w:rFonts w:hint="default" w:ascii="Times New Roman" w:hAnsi="Times New Roman" w:eastAsia="仿宋_GB2312" w:cs="Times New Roman"/>
          <w:bCs/>
          <w:color w:val="000000"/>
          <w:kern w:val="0"/>
          <w:sz w:val="32"/>
          <w:szCs w:val="32"/>
        </w:rPr>
        <w:t>2022</w:t>
      </w:r>
      <w:r>
        <w:rPr>
          <w:rFonts w:hint="eastAsia" w:ascii="仿宋_GB2312" w:hAnsi="仿宋_GB2312" w:eastAsia="仿宋_GB2312" w:cs="仿宋_GB2312"/>
          <w:bCs/>
          <w:color w:val="000000"/>
          <w:kern w:val="0"/>
          <w:sz w:val="32"/>
          <w:szCs w:val="32"/>
        </w:rPr>
        <w:t>年度有保障性租赁住房筹集计划的广州、珠海等</w:t>
      </w:r>
      <w:r>
        <w:rPr>
          <w:rFonts w:hint="default" w:ascii="Times New Roman" w:hAnsi="Times New Roman" w:eastAsia="仿宋_GB2312" w:cs="Times New Roman"/>
          <w:bCs/>
          <w:color w:val="000000"/>
          <w:kern w:val="0"/>
          <w:sz w:val="32"/>
          <w:szCs w:val="32"/>
        </w:rPr>
        <w:t>1</w:t>
      </w:r>
      <w:r>
        <w:rPr>
          <w:rFonts w:hint="default" w:ascii="Times New Roman" w:hAnsi="Times New Roman" w:eastAsia="仿宋_GB2312" w:cs="Times New Roman"/>
          <w:bCs/>
          <w:color w:val="000000"/>
          <w:kern w:val="0"/>
          <w:sz w:val="32"/>
          <w:szCs w:val="32"/>
          <w:lang w:val="en-US" w:eastAsia="zh-CN"/>
        </w:rPr>
        <w:t>1</w:t>
      </w:r>
      <w:r>
        <w:rPr>
          <w:rFonts w:hint="eastAsia" w:ascii="仿宋_GB2312" w:hAnsi="仿宋_GB2312" w:eastAsia="仿宋_GB2312" w:cs="仿宋_GB2312"/>
          <w:bCs/>
          <w:color w:val="000000"/>
          <w:kern w:val="0"/>
          <w:sz w:val="32"/>
          <w:szCs w:val="32"/>
        </w:rPr>
        <w:t>个城市上线住房城乡建设部保障性租赁住房系统，截至</w:t>
      </w:r>
      <w:r>
        <w:rPr>
          <w:rFonts w:hint="default" w:ascii="Times New Roman" w:hAnsi="Times New Roman" w:eastAsia="仿宋_GB2312" w:cs="Times New Roman"/>
          <w:bCs/>
          <w:color w:val="000000"/>
          <w:kern w:val="0"/>
          <w:sz w:val="32"/>
          <w:szCs w:val="32"/>
        </w:rPr>
        <w:t>10</w:t>
      </w:r>
      <w:r>
        <w:rPr>
          <w:rFonts w:hint="eastAsia" w:ascii="仿宋_GB2312" w:hAnsi="仿宋_GB2312" w:eastAsia="仿宋_GB2312" w:cs="仿宋_GB2312"/>
          <w:bCs/>
          <w:color w:val="000000"/>
          <w:kern w:val="0"/>
          <w:sz w:val="32"/>
          <w:szCs w:val="32"/>
        </w:rPr>
        <w:t>月已完成上线工作并录入保障性租赁住房项目</w:t>
      </w:r>
      <w:r>
        <w:rPr>
          <w:rFonts w:hint="default" w:ascii="Times New Roman" w:hAnsi="Times New Roman" w:eastAsia="仿宋_GB2312" w:cs="Times New Roman"/>
          <w:bCs/>
          <w:color w:val="000000"/>
          <w:kern w:val="0"/>
          <w:sz w:val="32"/>
          <w:szCs w:val="32"/>
        </w:rPr>
        <w:t>904</w:t>
      </w:r>
      <w:r>
        <w:rPr>
          <w:rFonts w:hint="eastAsia" w:ascii="仿宋_GB2312" w:hAnsi="仿宋_GB2312" w:eastAsia="仿宋_GB2312" w:cs="仿宋_GB2312"/>
          <w:bCs/>
          <w:color w:val="000000"/>
          <w:kern w:val="0"/>
          <w:sz w:val="32"/>
          <w:szCs w:val="32"/>
        </w:rPr>
        <w:t>个。</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b w:val="0"/>
          <w:bCs/>
          <w:color w:val="000000"/>
          <w:sz w:val="32"/>
          <w:szCs w:val="32"/>
        </w:rPr>
        <w:t>开发完善省垂保障性安居工程信息化系统。通过</w:t>
      </w:r>
      <w:r>
        <w:rPr>
          <w:rFonts w:hint="eastAsia" w:ascii="仿宋_GB2312" w:hAnsi="仿宋_GB2312" w:eastAsia="仿宋_GB2312" w:cs="仿宋_GB2312"/>
          <w:b w:val="0"/>
          <w:bCs/>
          <w:color w:val="000000"/>
          <w:sz w:val="32"/>
          <w:szCs w:val="32"/>
          <w:lang w:eastAsia="zh-Hans"/>
        </w:rPr>
        <w:t>总结</w:t>
      </w:r>
      <w:r>
        <w:rPr>
          <w:rFonts w:hint="eastAsia" w:ascii="仿宋_GB2312" w:hAnsi="仿宋_GB2312" w:eastAsia="仿宋_GB2312" w:cs="仿宋_GB2312"/>
          <w:b w:val="0"/>
          <w:bCs/>
          <w:color w:val="000000"/>
          <w:sz w:val="32"/>
          <w:szCs w:val="32"/>
        </w:rPr>
        <w:t>“广州市</w:t>
      </w:r>
      <w:r>
        <w:rPr>
          <w:rFonts w:hint="eastAsia" w:ascii="仿宋_GB2312" w:hAnsi="仿宋_GB2312" w:eastAsia="仿宋_GB2312" w:cs="仿宋_GB2312"/>
          <w:bCs/>
          <w:color w:val="000000"/>
          <w:sz w:val="32"/>
          <w:szCs w:val="32"/>
        </w:rPr>
        <w:t>保障性租赁住房系统”“韶关市公租房管理系统”在不同场景的应用情况，综合两个系统的功能特点，</w:t>
      </w:r>
      <w:r>
        <w:rPr>
          <w:rFonts w:hint="eastAsia" w:ascii="仿宋_GB2312" w:hAnsi="仿宋_GB2312" w:eastAsia="仿宋_GB2312" w:cs="仿宋_GB2312"/>
          <w:bCs/>
          <w:color w:val="000000"/>
          <w:sz w:val="32"/>
          <w:szCs w:val="32"/>
          <w:lang w:eastAsia="zh-Hans"/>
        </w:rPr>
        <w:t>建立全省保障性安居工程信息化系统</w:t>
      </w:r>
      <w:r>
        <w:rPr>
          <w:rFonts w:hint="eastAsia" w:ascii="仿宋_GB2312" w:hAnsi="仿宋_GB2312" w:eastAsia="仿宋_GB2312" w:cs="仿宋_GB2312"/>
          <w:bCs/>
          <w:color w:val="000000"/>
          <w:sz w:val="32"/>
          <w:szCs w:val="32"/>
        </w:rPr>
        <w:t>。</w:t>
      </w:r>
    </w:p>
    <w:p>
      <w:pPr>
        <w:pageBreakBefore w:val="0"/>
        <w:numPr>
          <w:ilvl w:val="-1"/>
          <w:numId w:val="0"/>
        </w:numPr>
        <w:kinsoku/>
        <w:wordWrap/>
        <w:overflowPunct/>
        <w:topLinePunct w:val="0"/>
        <w:autoSpaceDE/>
        <w:autoSpaceDN/>
        <w:bidi w:val="0"/>
        <w:adjustRightInd/>
        <w:spacing w:line="600" w:lineRule="exact"/>
        <w:ind w:left="630" w:firstLine="0" w:firstLineChars="0"/>
        <w:jc w:val="left"/>
        <w:textAlignment w:val="auto"/>
        <w:outlineLvl w:val="1"/>
        <w:rPr>
          <w:rFonts w:hint="eastAsia" w:ascii="楷体_GB2312" w:hAnsi="楷体_GB2312" w:eastAsia="楷体_GB2312" w:cs="楷体_GB2312"/>
          <w:b/>
          <w:bCs/>
          <w:color w:val="000000"/>
          <w:sz w:val="32"/>
          <w:szCs w:val="32"/>
          <w:lang w:val="en-US" w:eastAsia="zh-Hans"/>
        </w:rPr>
      </w:pPr>
      <w:bookmarkStart w:id="114" w:name="_Toc26623"/>
      <w:bookmarkStart w:id="115" w:name="_Toc21069"/>
      <w:r>
        <w:rPr>
          <w:rStyle w:val="39"/>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color w:val="000000"/>
          <w:sz w:val="32"/>
          <w:szCs w:val="32"/>
          <w:lang w:val="en-US" w:eastAsia="zh-CN"/>
        </w:rPr>
        <w:t>加强宣传引导，推动先进经验交流</w:t>
      </w:r>
      <w:bookmarkEnd w:id="114"/>
      <w:bookmarkEnd w:id="115"/>
    </w:p>
    <w:p>
      <w:pPr>
        <w:pageBreakBefore w:val="0"/>
        <w:numPr>
          <w:ilvl w:val="0"/>
          <w:numId w:val="0"/>
        </w:numPr>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参加“民声热线”上线活动，并选定“保障性租赁住房”作为第一环节民声对话的主题，全面归纳我省近年来发展保障性租赁住房的工作亮点，并组织广州、东莞等城市总结经验，准备好有关视频、表格、图片等素材材料。</w:t>
      </w:r>
      <w:r>
        <w:rPr>
          <w:rFonts w:hint="eastAsia" w:ascii="仿宋_GB2312" w:hAnsi="仿宋_GB2312" w:eastAsia="仿宋_GB2312" w:cs="仿宋_GB2312"/>
          <w:sz w:val="32"/>
          <w:szCs w:val="32"/>
          <w:lang w:eastAsia="zh-Hans"/>
        </w:rPr>
        <w:t>圆满完成“民声热线”上线活动</w:t>
      </w:r>
      <w:r>
        <w:rPr>
          <w:rFonts w:hint="eastAsia" w:ascii="仿宋_GB2312" w:hAnsi="仿宋_GB2312" w:eastAsia="仿宋_GB2312" w:cs="仿宋_GB2312"/>
          <w:sz w:val="32"/>
          <w:szCs w:val="32"/>
        </w:rPr>
        <w:t>，取得了较好的宣传效果。</w:t>
      </w:r>
      <w:r>
        <w:rPr>
          <w:rFonts w:hint="eastAsia" w:ascii="仿宋_GB2312" w:hAnsi="仿宋_GB2312" w:eastAsia="仿宋_GB2312" w:cs="仿宋_GB2312"/>
          <w:b/>
          <w:bCs/>
          <w:sz w:val="32"/>
          <w:szCs w:val="32"/>
          <w:lang w:eastAsia="zh-Hans"/>
        </w:rPr>
        <w:t>二是</w:t>
      </w:r>
      <w:r>
        <w:rPr>
          <w:rFonts w:ascii="仿宋_GB2312" w:hAnsi="仿宋_GB2312" w:eastAsia="仿宋_GB2312" w:cs="仿宋_GB2312"/>
          <w:sz w:val="32"/>
          <w:szCs w:val="32"/>
          <w:lang w:eastAsia="zh-Hans"/>
        </w:rPr>
        <w:t>联合《广东建设报》开展住房保障工作主题宣传活动，展示近年来广东住房保障工作成效，撰写《踔厉奋发 积极作为——广东大力发展保障性租赁住房》</w:t>
      </w:r>
      <w:r>
        <w:rPr>
          <w:rFonts w:hint="eastAsia" w:ascii="仿宋_GB2312" w:hAnsi="仿宋_GB2312" w:eastAsia="仿宋_GB2312" w:cs="仿宋_GB2312"/>
          <w:sz w:val="32"/>
          <w:szCs w:val="32"/>
          <w:lang w:eastAsia="zh-Hans"/>
        </w:rPr>
        <w:t>等</w:t>
      </w:r>
      <w:r>
        <w:rPr>
          <w:rFonts w:ascii="仿宋_GB2312" w:hAnsi="仿宋_GB2312" w:eastAsia="仿宋_GB2312" w:cs="仿宋_GB2312"/>
          <w:sz w:val="32"/>
          <w:szCs w:val="32"/>
          <w:lang w:eastAsia="zh-Hans"/>
        </w:rPr>
        <w:t>系列宣传文章刊发。</w:t>
      </w:r>
      <w:r>
        <w:rPr>
          <w:rFonts w:hint="eastAsia" w:ascii="仿宋_GB2312" w:hAnsi="仿宋_GB2312" w:eastAsia="仿宋_GB2312" w:cs="仿宋_GB2312"/>
          <w:b/>
          <w:bCs/>
          <w:sz w:val="32"/>
          <w:szCs w:val="32"/>
          <w:lang w:eastAsia="zh-Hans"/>
        </w:rPr>
        <w:t>三是</w:t>
      </w:r>
      <w:r>
        <w:rPr>
          <w:rFonts w:hint="eastAsia" w:ascii="仿宋_GB2312" w:hAnsi="仿宋_GB2312" w:eastAsia="仿宋_GB2312" w:cs="仿宋_GB2312"/>
          <w:sz w:val="32"/>
          <w:szCs w:val="32"/>
          <w:lang w:eastAsia="zh-Hans"/>
        </w:rPr>
        <w:t>印发有关简报</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信息</w:t>
      </w:r>
      <w:r>
        <w:rPr>
          <w:rFonts w:ascii="仿宋_GB2312" w:hAnsi="仿宋_GB2312" w:eastAsia="仿宋_GB2312" w:cs="仿宋_GB2312"/>
          <w:sz w:val="32"/>
          <w:szCs w:val="32"/>
          <w:lang w:eastAsia="zh-Hans"/>
        </w:rPr>
        <w:t>，撰写《省住房城乡建设厅赴广州、东莞市开展保障性安居工程检查工作》</w:t>
      </w:r>
      <w:r>
        <w:rPr>
          <w:rFonts w:hint="eastAsia" w:ascii="仿宋_GB2312" w:hAnsi="仿宋_GB2312" w:eastAsia="仿宋_GB2312" w:cs="仿宋_GB2312"/>
          <w:sz w:val="32"/>
          <w:szCs w:val="32"/>
          <w:lang w:eastAsia="zh-Hans"/>
        </w:rPr>
        <w:t>等</w:t>
      </w:r>
      <w:r>
        <w:rPr>
          <w:rFonts w:ascii="仿宋_GB2312" w:hAnsi="仿宋_GB2312" w:eastAsia="仿宋_GB2312" w:cs="仿宋_GB2312"/>
          <w:sz w:val="32"/>
          <w:szCs w:val="32"/>
          <w:lang w:eastAsia="zh-Hans"/>
        </w:rPr>
        <w:t>稿件并发布于粤建网</w:t>
      </w:r>
      <w:r>
        <w:rPr>
          <w:rFonts w:hint="eastAsia" w:ascii="仿宋_GB2312" w:hAnsi="仿宋_GB2312" w:eastAsia="仿宋_GB2312" w:cs="仿宋_GB2312"/>
          <w:sz w:val="32"/>
          <w:szCs w:val="32"/>
          <w:lang w:eastAsia="zh-Hans"/>
        </w:rPr>
        <w:t>等</w:t>
      </w:r>
      <w:r>
        <w:rPr>
          <w:rFonts w:ascii="仿宋_GB2312" w:hAnsi="仿宋_GB2312" w:eastAsia="仿宋_GB2312" w:cs="仿宋_GB2312"/>
          <w:sz w:val="32"/>
          <w:szCs w:val="32"/>
          <w:lang w:eastAsia="zh-Hans"/>
        </w:rPr>
        <w:t>。</w:t>
      </w:r>
    </w:p>
    <w:p>
      <w:pPr>
        <w:keepNext/>
        <w:keepLines/>
        <w:pageBreakBefore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color w:val="auto"/>
          <w:kern w:val="0"/>
          <w:sz w:val="32"/>
          <w:szCs w:val="32"/>
          <w:highlight w:val="none"/>
        </w:rPr>
      </w:pPr>
      <w:bookmarkStart w:id="116" w:name="_Toc31331"/>
      <w:r>
        <w:rPr>
          <w:rFonts w:hint="eastAsia" w:ascii="黑体" w:hAnsi="黑体" w:eastAsia="黑体" w:cs="黑体"/>
          <w:color w:val="auto"/>
          <w:kern w:val="0"/>
          <w:sz w:val="32"/>
          <w:szCs w:val="32"/>
          <w:highlight w:val="none"/>
        </w:rPr>
        <w:t>六、存在问题</w:t>
      </w:r>
      <w:bookmarkEnd w:id="98"/>
      <w:bookmarkEnd w:id="99"/>
      <w:bookmarkEnd w:id="100"/>
      <w:bookmarkEnd w:id="101"/>
      <w:bookmarkEnd w:id="102"/>
      <w:bookmarkEnd w:id="103"/>
      <w:bookmarkEnd w:id="116"/>
    </w:p>
    <w:p>
      <w:pPr>
        <w:pageBreakBefore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color w:val="auto"/>
          <w:kern w:val="0"/>
          <w:sz w:val="32"/>
          <w:szCs w:val="32"/>
          <w:highlight w:val="none"/>
        </w:rPr>
      </w:pPr>
      <w:bookmarkStart w:id="117" w:name="_Toc31674"/>
      <w:bookmarkStart w:id="118" w:name="_Toc12877"/>
      <w:bookmarkStart w:id="119" w:name="_Toc29700"/>
      <w:bookmarkStart w:id="120" w:name="_Toc15018"/>
      <w:bookmarkStart w:id="121" w:name="_Toc558"/>
      <w:r>
        <w:rPr>
          <w:rFonts w:hint="eastAsia" w:ascii="仿宋_GB2312" w:hAnsi="仿宋" w:eastAsia="仿宋_GB2312"/>
          <w:sz w:val="32"/>
          <w:szCs w:val="32"/>
          <w:lang w:val="zh-TW"/>
        </w:rPr>
        <w:t>虽然全省住房保障工作超额完成国家下达我省年度任务</w:t>
      </w:r>
      <w:r>
        <w:rPr>
          <w:rFonts w:hint="eastAsia" w:ascii="仿宋_GB2312" w:hAnsi="仿宋" w:eastAsia="仿宋_GB2312" w:cs="Times New Roman"/>
          <w:sz w:val="32"/>
          <w:szCs w:val="32"/>
          <w:lang w:val="zh-TW"/>
        </w:rPr>
        <w:t>。当前我省住房保障工作仍存在一些问题，主要表现在：</w:t>
      </w:r>
      <w:r>
        <w:rPr>
          <w:rFonts w:hint="eastAsia" w:ascii="仿宋_GB2312" w:hAnsi="仿宋" w:eastAsia="仿宋_GB2312"/>
          <w:b/>
          <w:sz w:val="32"/>
          <w:szCs w:val="32"/>
          <w:lang w:val="zh-TW"/>
        </w:rPr>
        <w:t>一是</w:t>
      </w:r>
      <w:r>
        <w:rPr>
          <w:rFonts w:hint="eastAsia" w:ascii="仿宋_GB2312" w:hAnsi="仿宋" w:eastAsia="仿宋_GB2312"/>
          <w:sz w:val="32"/>
          <w:szCs w:val="32"/>
          <w:lang w:val="zh-TW"/>
        </w:rPr>
        <w:t>政策不够健全完善，保障性租赁住房筹建渠道还未完全通畅，利用非居住存量土地和房屋建设保障性租赁住房调整规划困难、消防适用标准模糊、产权不清不能纳管等“老大难”问题，仍未找到行之有效的解决对策</w:t>
      </w:r>
      <w:r>
        <w:rPr>
          <w:rFonts w:hint="eastAsia" w:ascii="仿宋_GB2312" w:hAnsi="仿宋" w:eastAsia="仿宋_GB2312"/>
          <w:sz w:val="32"/>
          <w:szCs w:val="32"/>
          <w:lang w:val="zh-TW" w:eastAsia="zh-CN"/>
        </w:rPr>
        <w:t>，</w:t>
      </w:r>
      <w:r>
        <w:rPr>
          <w:rFonts w:hint="eastAsia" w:ascii="仿宋_GB2312" w:hAnsi="仿宋" w:eastAsia="仿宋_GB2312"/>
          <w:sz w:val="32"/>
          <w:szCs w:val="32"/>
          <w:lang w:val="en-US" w:eastAsia="zh-CN"/>
        </w:rPr>
        <w:t>简化审批流程、按规定落实土地、税费、民用水电价格等优惠政策仍面临执行难、操作难问题。</w:t>
      </w:r>
      <w:r>
        <w:rPr>
          <w:rFonts w:hint="eastAsia" w:ascii="仿宋_GB2312" w:hAnsi="仿宋" w:eastAsia="仿宋_GB2312"/>
          <w:b/>
          <w:sz w:val="32"/>
          <w:szCs w:val="32"/>
          <w:lang w:val="zh-TW"/>
        </w:rPr>
        <w:t>二是</w:t>
      </w:r>
      <w:r>
        <w:rPr>
          <w:rFonts w:hint="eastAsia" w:ascii="仿宋_GB2312" w:hAnsi="仿宋" w:eastAsia="仿宋_GB2312" w:cs="Times New Roman"/>
          <w:sz w:val="32"/>
          <w:szCs w:val="32"/>
          <w:lang w:val="zh-TW"/>
        </w:rPr>
        <w:t>储备的房源数量不</w:t>
      </w:r>
      <w:r>
        <w:rPr>
          <w:rFonts w:hint="eastAsia" w:ascii="仿宋_GB2312" w:hAnsi="仿宋" w:eastAsia="仿宋_GB2312"/>
          <w:sz w:val="32"/>
          <w:szCs w:val="32"/>
          <w:lang w:val="en-US" w:eastAsia="zh-CN"/>
        </w:rPr>
        <w:t>够</w:t>
      </w:r>
      <w:r>
        <w:rPr>
          <w:rFonts w:hint="eastAsia" w:ascii="仿宋_GB2312" w:hAnsi="仿宋" w:eastAsia="仿宋_GB2312"/>
          <w:sz w:val="32"/>
          <w:szCs w:val="32"/>
          <w:lang w:val="zh-TW"/>
        </w:rPr>
        <w:t>充足</w:t>
      </w:r>
      <w:r>
        <w:rPr>
          <w:rFonts w:hint="eastAsia" w:ascii="仿宋_GB2312" w:hAnsi="仿宋" w:eastAsia="仿宋_GB2312"/>
          <w:sz w:val="32"/>
          <w:szCs w:val="32"/>
          <w:lang w:val="zh-TW" w:eastAsia="zh-CN"/>
        </w:rPr>
        <w:t>。</w:t>
      </w:r>
      <w:r>
        <w:rPr>
          <w:rFonts w:hint="eastAsia" w:ascii="仿宋_GB2312" w:hAnsi="仿宋" w:eastAsia="仿宋_GB2312"/>
          <w:sz w:val="32"/>
          <w:szCs w:val="32"/>
          <w:lang w:val="zh-TW"/>
        </w:rPr>
        <w:t>既有项目</w:t>
      </w:r>
      <w:r>
        <w:rPr>
          <w:rFonts w:hint="eastAsia" w:ascii="仿宋_GB2312" w:hAnsi="仿宋" w:eastAsia="仿宋_GB2312" w:cs="Times New Roman"/>
          <w:sz w:val="32"/>
          <w:szCs w:val="32"/>
          <w:lang w:val="zh-TW"/>
        </w:rPr>
        <w:t>大部分是租赁市场上现有的租赁住房和存量园区宿舍纳入管理，新增筹集建设的项目相对较少。从项目储备来看</w:t>
      </w:r>
      <w:r>
        <w:rPr>
          <w:rFonts w:ascii="仿宋_GB2312" w:hAnsi="仿宋" w:eastAsia="仿宋_GB2312" w:cs="Times New Roman"/>
          <w:sz w:val="32"/>
          <w:szCs w:val="32"/>
          <w:lang w:val="zh-TW"/>
        </w:rPr>
        <w:t>，</w:t>
      </w:r>
      <w:r>
        <w:rPr>
          <w:rFonts w:hint="eastAsia" w:ascii="仿宋_GB2312" w:hAnsi="仿宋" w:eastAsia="仿宋_GB2312" w:cs="Times New Roman"/>
          <w:sz w:val="32"/>
          <w:szCs w:val="32"/>
          <w:lang w:val="zh-TW"/>
        </w:rPr>
        <w:t>各地储备的房源数量不</w:t>
      </w:r>
      <w:r>
        <w:rPr>
          <w:rFonts w:hint="eastAsia" w:ascii="仿宋_GB2312" w:hAnsi="仿宋" w:eastAsia="仿宋_GB2312"/>
          <w:sz w:val="32"/>
          <w:szCs w:val="32"/>
          <w:lang w:val="zh-TW"/>
        </w:rPr>
        <w:t>是十分充足</w:t>
      </w:r>
      <w:r>
        <w:rPr>
          <w:rFonts w:ascii="仿宋_GB2312" w:hAnsi="仿宋" w:eastAsia="仿宋_GB2312" w:cs="Times New Roman"/>
          <w:sz w:val="32"/>
          <w:szCs w:val="32"/>
          <w:lang w:val="zh-TW"/>
        </w:rPr>
        <w:t>，</w:t>
      </w:r>
      <w:r>
        <w:rPr>
          <w:rFonts w:hint="eastAsia" w:ascii="仿宋_GB2312" w:hAnsi="仿宋" w:eastAsia="仿宋_GB2312" w:cs="Times New Roman"/>
          <w:sz w:val="32"/>
          <w:szCs w:val="32"/>
          <w:lang w:val="zh-TW"/>
        </w:rPr>
        <w:t>下一步的工作压力较大</w:t>
      </w:r>
      <w:r>
        <w:rPr>
          <w:rFonts w:ascii="仿宋_GB2312" w:hAnsi="仿宋" w:eastAsia="仿宋_GB2312" w:cs="Times New Roman"/>
          <w:sz w:val="32"/>
          <w:szCs w:val="32"/>
          <w:lang w:val="zh-TW"/>
        </w:rPr>
        <w:t>。</w:t>
      </w:r>
      <w:r>
        <w:rPr>
          <w:rFonts w:hint="eastAsia" w:ascii="仿宋_GB2312" w:hAnsi="仿宋" w:eastAsia="仿宋_GB2312" w:cs="Times New Roman"/>
          <w:b/>
          <w:bCs/>
          <w:sz w:val="32"/>
          <w:szCs w:val="32"/>
          <w:lang w:val="en-US" w:eastAsia="zh-CN"/>
        </w:rPr>
        <w:t>三是</w:t>
      </w:r>
      <w:r>
        <w:rPr>
          <w:rFonts w:hint="eastAsia" w:ascii="仿宋_GB2312" w:hAnsi="仿宋" w:eastAsia="仿宋_GB2312" w:cs="Times New Roman"/>
          <w:sz w:val="32"/>
          <w:szCs w:val="32"/>
          <w:lang w:val="en-US" w:eastAsia="zh-CN"/>
        </w:rPr>
        <w:t>住房租赁企业政策红利获得感不足，社会资本参与积极性不高。建设、改造住房用于租赁运营缺乏有效盈利模式，综合成本较高，建设资金回收期长，承担的融资成本和管理成本较高，资金收益率较低，导致社会力量参与筹建积极性不高。</w:t>
      </w:r>
      <w:r>
        <w:rPr>
          <w:rFonts w:hint="eastAsia" w:ascii="仿宋_GB2312" w:hAnsi="仿宋" w:eastAsia="仿宋_GB2312" w:cs="Times New Roman"/>
          <w:b/>
          <w:bCs/>
          <w:sz w:val="32"/>
          <w:szCs w:val="32"/>
          <w:lang w:val="en-US" w:eastAsia="zh-CN"/>
        </w:rPr>
        <w:t>四是</w:t>
      </w:r>
      <w:r>
        <w:rPr>
          <w:rFonts w:hint="eastAsia" w:ascii="仿宋_GB2312" w:hAnsi="仿宋" w:eastAsia="仿宋_GB2312" w:cs="Times New Roman"/>
          <w:sz w:val="32"/>
          <w:szCs w:val="32"/>
          <w:lang w:val="en-US" w:eastAsia="zh-CN"/>
        </w:rPr>
        <w:t>金融支持力度有待提高。金融机构对贷款主体资质要求较高，中小微企业等非公有制企业融资困难。</w:t>
      </w:r>
      <w:r>
        <w:rPr>
          <w:rFonts w:hint="eastAsia" w:ascii="仿宋_GB2312" w:hAnsi="仿宋" w:eastAsia="仿宋_GB2312" w:cs="Times New Roman"/>
          <w:b/>
          <w:bCs/>
          <w:sz w:val="32"/>
          <w:szCs w:val="32"/>
          <w:lang w:val="en-US" w:eastAsia="zh-CN"/>
        </w:rPr>
        <w:t>五是</w:t>
      </w:r>
      <w:r>
        <w:rPr>
          <w:rFonts w:hint="eastAsia" w:ascii="仿宋_GB2312" w:hAnsi="仿宋" w:eastAsia="仿宋_GB2312" w:cs="Times New Roman"/>
          <w:sz w:val="32"/>
          <w:szCs w:val="32"/>
          <w:lang w:val="en-US" w:eastAsia="zh-CN"/>
        </w:rPr>
        <w:t>税收优惠政策门槛高。目前，我省各市县的租赁企业很少达到专业化规模化住房租赁企业的标准，已认定的保障性租赁住房项目很少能符合税收优惠条件得到减免。</w:t>
      </w:r>
      <w:r>
        <w:rPr>
          <w:rFonts w:hint="eastAsia" w:ascii="仿宋_GB2312" w:hAnsi="仿宋" w:eastAsia="仿宋_GB2312" w:cs="Times New Roman"/>
          <w:b/>
          <w:bCs/>
          <w:sz w:val="32"/>
          <w:szCs w:val="32"/>
          <w:lang w:val="en-US" w:eastAsia="zh-CN"/>
        </w:rPr>
        <w:t>六是</w:t>
      </w:r>
      <w:r>
        <w:rPr>
          <w:rFonts w:hint="eastAsia" w:ascii="仿宋_GB2312" w:hAnsi="仿宋" w:eastAsia="仿宋_GB2312" w:cs="Times New Roman"/>
          <w:sz w:val="32"/>
          <w:szCs w:val="32"/>
          <w:lang w:val="en-US" w:eastAsia="zh-CN"/>
        </w:rPr>
        <w:t>公租房维护成本高，资金需求量大。我省部分公共租赁住房基础设施配套建设老化、落后，文化、娱乐等公共服务设施建设跟不上居民的要求，日常维护修缮频繁，改造资金需求量大，部分市县财力困难，对上级专项补助资金形成较大的依赖。</w:t>
      </w:r>
      <w:bookmarkEnd w:id="117"/>
      <w:bookmarkEnd w:id="118"/>
    </w:p>
    <w:p>
      <w:pPr>
        <w:pageBreakBefore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color w:val="auto"/>
          <w:kern w:val="0"/>
          <w:sz w:val="32"/>
          <w:szCs w:val="32"/>
          <w:highlight w:val="none"/>
        </w:rPr>
      </w:pPr>
      <w:bookmarkStart w:id="122" w:name="_Toc11361"/>
      <w:r>
        <w:rPr>
          <w:rFonts w:hint="eastAsia" w:ascii="黑体" w:hAnsi="黑体" w:eastAsia="黑体" w:cs="黑体"/>
          <w:color w:val="auto"/>
          <w:kern w:val="0"/>
          <w:sz w:val="32"/>
          <w:szCs w:val="32"/>
          <w:highlight w:val="none"/>
          <w:lang w:val="en-US" w:eastAsia="zh-CN"/>
        </w:rPr>
        <w:t>七</w:t>
      </w:r>
      <w:r>
        <w:rPr>
          <w:rFonts w:hint="eastAsia" w:ascii="黑体" w:hAnsi="黑体" w:eastAsia="黑体" w:cs="黑体"/>
          <w:color w:val="auto"/>
          <w:kern w:val="0"/>
          <w:sz w:val="32"/>
          <w:szCs w:val="32"/>
          <w:highlight w:val="none"/>
        </w:rPr>
        <w:t>、下一步工作</w:t>
      </w:r>
      <w:bookmarkEnd w:id="104"/>
      <w:bookmarkEnd w:id="119"/>
      <w:bookmarkEnd w:id="120"/>
      <w:bookmarkEnd w:id="121"/>
      <w:r>
        <w:rPr>
          <w:rFonts w:hint="eastAsia" w:eastAsia="黑体"/>
          <w:color w:val="auto"/>
          <w:kern w:val="0"/>
          <w:sz w:val="32"/>
          <w:szCs w:val="32"/>
          <w:highlight w:val="none"/>
        </w:rPr>
        <w:t>计划</w:t>
      </w:r>
      <w:bookmarkEnd w:id="122"/>
    </w:p>
    <w:p>
      <w:pPr>
        <w:pageBreakBefore w:val="0"/>
        <w:numPr>
          <w:ilvl w:val="0"/>
          <w:numId w:val="3"/>
        </w:numPr>
        <w:kinsoku/>
        <w:wordWrap/>
        <w:overflowPunct/>
        <w:topLinePunct w:val="0"/>
        <w:autoSpaceDE/>
        <w:autoSpaceDN/>
        <w:bidi w:val="0"/>
        <w:adjustRightInd/>
        <w:spacing w:line="600" w:lineRule="exact"/>
        <w:ind w:left="-10" w:leftChars="-5" w:firstLine="655" w:firstLineChars="204"/>
        <w:textAlignment w:val="auto"/>
        <w:outlineLvl w:val="1"/>
        <w:rPr>
          <w:rFonts w:hint="eastAsia" w:ascii="仿宋_GB2312" w:hAnsi="仿宋_GB2312" w:eastAsia="仿宋_GB2312" w:cs="仿宋_GB2312"/>
          <w:b/>
          <w:bCs/>
          <w:sz w:val="32"/>
          <w:szCs w:val="32"/>
        </w:rPr>
      </w:pPr>
      <w:bookmarkStart w:id="123" w:name="_Toc24470"/>
      <w:bookmarkStart w:id="124" w:name="_Toc8668"/>
      <w:r>
        <w:rPr>
          <w:rFonts w:hint="eastAsia" w:ascii="楷体_GB2312" w:hAnsi="楷体_GB2312" w:eastAsia="楷体_GB2312" w:cs="楷体_GB2312"/>
          <w:b/>
          <w:bCs/>
          <w:color w:val="000000"/>
          <w:sz w:val="32"/>
          <w:szCs w:val="32"/>
          <w:lang w:eastAsia="zh-CN"/>
        </w:rPr>
        <w:t>加大</w:t>
      </w:r>
      <w:r>
        <w:rPr>
          <w:rFonts w:hint="eastAsia" w:ascii="楷体_GB2312" w:hAnsi="楷体_GB2312" w:eastAsia="楷体_GB2312" w:cs="楷体_GB2312"/>
          <w:b/>
          <w:bCs/>
          <w:color w:val="000000"/>
          <w:sz w:val="32"/>
          <w:szCs w:val="32"/>
        </w:rPr>
        <w:t>督促力度</w:t>
      </w: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rPr>
        <w:t>加快完成</w:t>
      </w:r>
      <w:r>
        <w:rPr>
          <w:rFonts w:hint="eastAsia" w:ascii="楷体_GB2312" w:hAnsi="楷体_GB2312" w:eastAsia="楷体_GB2312" w:cs="楷体_GB2312"/>
          <w:b/>
          <w:bCs/>
          <w:color w:val="000000"/>
          <w:sz w:val="32"/>
          <w:szCs w:val="32"/>
          <w:lang w:val="en-US" w:eastAsia="zh-CN"/>
        </w:rPr>
        <w:t>指标</w:t>
      </w:r>
      <w:r>
        <w:rPr>
          <w:rFonts w:hint="eastAsia" w:ascii="楷体_GB2312" w:hAnsi="楷体_GB2312" w:eastAsia="楷体_GB2312" w:cs="楷体_GB2312"/>
          <w:b/>
          <w:bCs/>
          <w:color w:val="000000"/>
          <w:sz w:val="32"/>
          <w:szCs w:val="32"/>
        </w:rPr>
        <w:t>任务</w:t>
      </w:r>
      <w:bookmarkEnd w:id="123"/>
      <w:bookmarkEnd w:id="124"/>
    </w:p>
    <w:p>
      <w:pPr>
        <w:pStyle w:val="14"/>
        <w:pageBreakBefore w:val="0"/>
        <w:kinsoku/>
        <w:wordWrap/>
        <w:overflowPunct/>
        <w:topLinePunct w:val="0"/>
        <w:autoSpaceDE/>
        <w:autoSpaceDN/>
        <w:bidi w:val="0"/>
        <w:adjustRightInd/>
        <w:spacing w:line="600" w:lineRule="exact"/>
        <w:ind w:left="0" w:leftChars="0"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color w:val="000000"/>
          <w:sz w:val="32"/>
          <w:szCs w:val="32"/>
        </w:rPr>
        <w:t>压实各级人民政府主体责任，落实各项支持措施，狠抓工程进度和资金支付进度，督促市县资金主管部门强化对资金使用各环节的管理，提高工作效率；按照要求加快资金支付进度，发挥财政资金作用，对于资金支出进度不理想、未能达到进度要求的县（市、区）和单位进行约谈，督促资金使用单位加快建设进度。</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rPr>
        <w:t>狠抓工程质量安全和配套设施建设，及时发现和解决项目实施过程出现的问题，加快项目工作进度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确保按期保质完成保障性安居工程</w:t>
      </w:r>
      <w:r>
        <w:rPr>
          <w:rFonts w:hint="eastAsia" w:ascii="仿宋_GB2312" w:hAnsi="仿宋_GB2312" w:eastAsia="仿宋_GB2312" w:cs="仿宋_GB2312"/>
          <w:color w:val="000000"/>
          <w:sz w:val="32"/>
          <w:szCs w:val="32"/>
          <w:lang w:eastAsia="zh-Hans"/>
        </w:rPr>
        <w:t>筹建</w:t>
      </w:r>
      <w:r>
        <w:rPr>
          <w:rFonts w:hint="eastAsia" w:ascii="仿宋_GB2312" w:hAnsi="仿宋_GB2312" w:eastAsia="仿宋_GB2312" w:cs="仿宋_GB2312"/>
          <w:color w:val="000000"/>
          <w:sz w:val="32"/>
          <w:szCs w:val="32"/>
        </w:rPr>
        <w:t>任务目标。</w:t>
      </w:r>
    </w:p>
    <w:p>
      <w:pPr>
        <w:pageBreakBefore w:val="0"/>
        <w:numPr>
          <w:ilvl w:val="0"/>
          <w:numId w:val="3"/>
        </w:numPr>
        <w:kinsoku/>
        <w:wordWrap/>
        <w:overflowPunct/>
        <w:topLinePunct w:val="0"/>
        <w:autoSpaceDE/>
        <w:autoSpaceDN/>
        <w:bidi w:val="0"/>
        <w:adjustRightInd/>
        <w:spacing w:line="600" w:lineRule="exact"/>
        <w:ind w:left="0" w:leftChars="0" w:firstLine="420" w:firstLineChars="0"/>
        <w:textAlignment w:val="auto"/>
        <w:outlineLvl w:val="1"/>
        <w:rPr>
          <w:rFonts w:hint="default" w:ascii="楷体_GB2312" w:hAnsi="楷体_GB2312" w:eastAsia="楷体_GB2312" w:cs="楷体_GB2312"/>
          <w:b/>
          <w:bCs/>
          <w:color w:val="000000"/>
          <w:sz w:val="32"/>
          <w:szCs w:val="32"/>
          <w:lang w:val="en-US" w:eastAsia="zh-CN"/>
        </w:rPr>
      </w:pPr>
      <w:bookmarkStart w:id="125" w:name="_Toc14993"/>
      <w:bookmarkStart w:id="126" w:name="_Toc31433"/>
      <w:r>
        <w:rPr>
          <w:rFonts w:hint="eastAsia" w:ascii="楷体_GB2312" w:hAnsi="楷体_GB2312" w:eastAsia="楷体_GB2312" w:cs="楷体_GB2312"/>
          <w:b/>
          <w:bCs/>
          <w:color w:val="000000"/>
          <w:sz w:val="32"/>
          <w:szCs w:val="32"/>
        </w:rPr>
        <w:t>完善政策体系</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多渠道增加</w:t>
      </w:r>
      <w:r>
        <w:rPr>
          <w:rFonts w:hint="eastAsia" w:ascii="楷体_GB2312" w:hAnsi="楷体_GB2312" w:eastAsia="楷体_GB2312" w:cs="楷体_GB2312"/>
          <w:b/>
          <w:bCs/>
          <w:color w:val="000000"/>
          <w:sz w:val="32"/>
          <w:szCs w:val="32"/>
          <w:lang w:val="en-US" w:eastAsia="zh-CN"/>
        </w:rPr>
        <w:t>保障性</w:t>
      </w:r>
      <w:r>
        <w:rPr>
          <w:rFonts w:hint="eastAsia" w:ascii="楷体_GB2312" w:hAnsi="楷体_GB2312" w:eastAsia="楷体_GB2312" w:cs="楷体_GB2312"/>
          <w:b/>
          <w:bCs/>
          <w:color w:val="000000"/>
          <w:sz w:val="32"/>
          <w:szCs w:val="32"/>
        </w:rPr>
        <w:t>住房供应</w:t>
      </w:r>
      <w:bookmarkEnd w:id="125"/>
      <w:bookmarkEnd w:id="126"/>
    </w:p>
    <w:p>
      <w:pPr>
        <w:pageBreakBefore w:val="0"/>
        <w:widowControl/>
        <w:shd w:val="clear" w:color="auto" w:fill="FFFFFF"/>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督促指导各市加快完善保障性租赁住房配套政策措施。加快出台《关于支持和鼓励省属企事业单位利用存量土地和房屋建设保障性租赁住房的意见》，明确优惠政策和奖励措施，规范办理流程，深入挖掘高校、医疗系统、国企等企事业单位自有存量用地和房屋潜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综合运用土地供应、资本金注入、投资补助、财政贴息、税费优惠等政策措施，吸引企业和其他机构参与</w:t>
      </w:r>
      <w:r>
        <w:rPr>
          <w:rFonts w:hint="eastAsia" w:ascii="仿宋_GB2312" w:hAnsi="仿宋_GB2312" w:eastAsia="仿宋_GB2312" w:cs="仿宋_GB2312"/>
          <w:color w:val="000000"/>
          <w:sz w:val="32"/>
          <w:szCs w:val="32"/>
          <w:lang w:val="en-US" w:eastAsia="zh-CN"/>
        </w:rPr>
        <w:t>保障性安居工程</w:t>
      </w:r>
      <w:r>
        <w:rPr>
          <w:rFonts w:hint="eastAsia" w:ascii="仿宋_GB2312" w:hAnsi="仿宋_GB2312" w:eastAsia="仿宋_GB2312" w:cs="仿宋_GB2312"/>
          <w:color w:val="000000"/>
          <w:sz w:val="32"/>
          <w:szCs w:val="32"/>
        </w:rPr>
        <w:t>建设和运营，多渠道增加住房供应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积极运用市场化手段推进保障性租赁住房筹集建设和运营。</w:t>
      </w:r>
    </w:p>
    <w:p>
      <w:pPr>
        <w:pageBreakBefore w:val="0"/>
        <w:numPr>
          <w:ilvl w:val="0"/>
          <w:numId w:val="3"/>
        </w:numPr>
        <w:kinsoku/>
        <w:wordWrap/>
        <w:overflowPunct/>
        <w:topLinePunct w:val="0"/>
        <w:autoSpaceDE/>
        <w:autoSpaceDN/>
        <w:bidi w:val="0"/>
        <w:adjustRightInd/>
        <w:spacing w:line="600" w:lineRule="exact"/>
        <w:ind w:left="0" w:leftChars="0" w:firstLine="420" w:firstLineChars="0"/>
        <w:textAlignment w:val="auto"/>
        <w:outlineLvl w:val="1"/>
        <w:rPr>
          <w:rFonts w:hint="eastAsia" w:ascii="楷体_GB2312" w:hAnsi="楷体_GB2312" w:eastAsia="楷体_GB2312" w:cs="楷体_GB2312"/>
          <w:b/>
          <w:bCs/>
          <w:color w:val="000000"/>
          <w:sz w:val="32"/>
          <w:szCs w:val="32"/>
        </w:rPr>
      </w:pPr>
      <w:bookmarkStart w:id="127" w:name="_Toc5332"/>
      <w:bookmarkStart w:id="128" w:name="_Toc290"/>
      <w:r>
        <w:rPr>
          <w:rFonts w:hint="eastAsia" w:ascii="楷体_GB2312" w:hAnsi="楷体_GB2312" w:eastAsia="楷体_GB2312" w:cs="楷体_GB2312"/>
          <w:b/>
          <w:bCs/>
          <w:color w:val="000000"/>
          <w:sz w:val="32"/>
          <w:szCs w:val="32"/>
          <w:lang w:val="en-US" w:eastAsia="zh-CN"/>
        </w:rPr>
        <w:t>进一步</w:t>
      </w:r>
      <w:r>
        <w:rPr>
          <w:rFonts w:hint="eastAsia" w:ascii="楷体_GB2312" w:hAnsi="楷体_GB2312" w:eastAsia="楷体_GB2312" w:cs="楷体_GB2312"/>
          <w:b/>
          <w:bCs/>
          <w:color w:val="000000"/>
          <w:sz w:val="32"/>
          <w:szCs w:val="32"/>
        </w:rPr>
        <w:t>加强部门联动</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加快发展保障性租赁住房</w:t>
      </w:r>
      <w:bookmarkEnd w:id="127"/>
      <w:bookmarkEnd w:id="128"/>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楷体_GB2312" w:cs="Calibri"/>
          <w:color w:val="000000"/>
          <w:kern w:val="0"/>
          <w:sz w:val="32"/>
          <w:szCs w:val="32"/>
          <w:lang w:eastAsia="zh-CN"/>
        </w:rPr>
      </w:pPr>
      <w:r>
        <w:rPr>
          <w:rFonts w:hint="eastAsia" w:ascii="仿宋_GB2312" w:hAnsi="仿宋_GB2312" w:eastAsia="仿宋_GB2312" w:cs="Calibri"/>
          <w:color w:val="000000"/>
          <w:kern w:val="0"/>
          <w:sz w:val="32"/>
          <w:szCs w:val="32"/>
          <w:lang w:val="en-US" w:eastAsia="zh-CN"/>
        </w:rPr>
        <w:t>进一步</w:t>
      </w:r>
      <w:r>
        <w:rPr>
          <w:rFonts w:hint="eastAsia" w:ascii="仿宋_GB2312" w:hAnsi="仿宋_GB2312" w:eastAsia="仿宋_GB2312" w:cs="Calibri"/>
          <w:color w:val="000000"/>
          <w:kern w:val="0"/>
          <w:sz w:val="32"/>
          <w:szCs w:val="32"/>
        </w:rPr>
        <w:t>加强部门联动</w:t>
      </w:r>
      <w:r>
        <w:rPr>
          <w:rFonts w:hint="eastAsia" w:ascii="仿宋_GB2312" w:hAnsi="仿宋_GB2312" w:eastAsia="仿宋_GB2312" w:cs="Calibri"/>
          <w:color w:val="000000"/>
          <w:kern w:val="0"/>
          <w:sz w:val="32"/>
          <w:szCs w:val="32"/>
          <w:lang w:eastAsia="zh-CN"/>
        </w:rPr>
        <w:t>，</w:t>
      </w:r>
      <w:r>
        <w:rPr>
          <w:rFonts w:hint="eastAsia" w:ascii="仿宋_GB2312" w:hAnsi="仿宋_GB2312" w:eastAsia="仿宋_GB2312" w:cs="Calibri"/>
          <w:color w:val="000000"/>
          <w:kern w:val="0"/>
          <w:sz w:val="32"/>
          <w:szCs w:val="32"/>
        </w:rPr>
        <w:t>落实优惠政策</w:t>
      </w:r>
      <w:r>
        <w:rPr>
          <w:rFonts w:hint="eastAsia" w:ascii="仿宋_GB2312" w:hAnsi="仿宋_GB2312" w:eastAsia="仿宋_GB2312" w:cs="Calibri"/>
          <w:color w:val="000000"/>
          <w:kern w:val="0"/>
          <w:sz w:val="32"/>
          <w:szCs w:val="32"/>
          <w:lang w:eastAsia="zh-CN"/>
        </w:rPr>
        <w:t>。</w:t>
      </w:r>
      <w:r>
        <w:rPr>
          <w:rFonts w:hint="eastAsia" w:ascii="仿宋_GB2312" w:hAnsi="仿宋_GB2312" w:eastAsia="仿宋_GB2312" w:cs="Calibri"/>
          <w:color w:val="000000"/>
          <w:kern w:val="0"/>
          <w:sz w:val="32"/>
          <w:szCs w:val="32"/>
        </w:rPr>
        <w:t>积极运用市场化手段推进保障性租赁住房筹集建设和运营</w:t>
      </w:r>
      <w:r>
        <w:rPr>
          <w:rFonts w:hint="eastAsia" w:ascii="仿宋_GB2312" w:hAnsi="仿宋_GB2312" w:eastAsia="仿宋_GB2312" w:cs="Calibri"/>
          <w:color w:val="000000"/>
          <w:kern w:val="0"/>
          <w:sz w:val="32"/>
          <w:szCs w:val="32"/>
          <w:lang w:eastAsia="zh-CN"/>
        </w:rPr>
        <w:t>，</w:t>
      </w:r>
      <w:r>
        <w:rPr>
          <w:rFonts w:hint="eastAsia" w:ascii="仿宋_GB2312" w:hAnsi="仿宋_GB2312" w:eastAsia="仿宋_GB2312" w:cs="Calibri"/>
          <w:color w:val="000000"/>
          <w:kern w:val="0"/>
          <w:sz w:val="32"/>
          <w:szCs w:val="32"/>
        </w:rPr>
        <w:t>支持</w:t>
      </w:r>
      <w:r>
        <w:rPr>
          <w:rFonts w:hint="eastAsia" w:ascii="仿宋_GB2312" w:hAnsi="仿宋_GB2312" w:eastAsia="仿宋_GB2312" w:cs="Calibri"/>
          <w:color w:val="000000"/>
          <w:kern w:val="0"/>
          <w:sz w:val="32"/>
          <w:szCs w:val="32"/>
          <w:lang w:val="en-US" w:eastAsia="zh-CN"/>
        </w:rPr>
        <w:t>金融</w:t>
      </w:r>
      <w:r>
        <w:rPr>
          <w:rFonts w:hint="eastAsia" w:ascii="仿宋_GB2312" w:hAnsi="仿宋_GB2312" w:eastAsia="仿宋_GB2312" w:cs="Calibri"/>
          <w:color w:val="000000"/>
          <w:kern w:val="0"/>
          <w:sz w:val="32"/>
          <w:szCs w:val="32"/>
        </w:rPr>
        <w:t>机构创新金融产品，为租赁企业盘活、改建、装修、运营项目提供支持。加强项目全过程监督，严禁以保障性租赁住房为名违规经营或骗取优惠政策。加快发展保障性租赁住房</w:t>
      </w:r>
      <w:r>
        <w:rPr>
          <w:rFonts w:hint="eastAsia" w:ascii="仿宋_GB2312" w:hAnsi="仿宋_GB2312" w:eastAsia="仿宋_GB2312" w:cs="Calibri"/>
          <w:color w:val="000000"/>
          <w:kern w:val="0"/>
          <w:sz w:val="32"/>
          <w:szCs w:val="32"/>
          <w:lang w:eastAsia="zh-CN"/>
        </w:rPr>
        <w:t>。</w:t>
      </w:r>
    </w:p>
    <w:p>
      <w:pPr>
        <w:pageBreakBefore w:val="0"/>
        <w:numPr>
          <w:ilvl w:val="0"/>
          <w:numId w:val="3"/>
        </w:numPr>
        <w:kinsoku/>
        <w:wordWrap/>
        <w:overflowPunct/>
        <w:topLinePunct w:val="0"/>
        <w:autoSpaceDE/>
        <w:autoSpaceDN/>
        <w:bidi w:val="0"/>
        <w:adjustRightInd/>
        <w:spacing w:line="600" w:lineRule="exact"/>
        <w:ind w:left="0" w:leftChars="0" w:firstLine="420" w:firstLineChars="0"/>
        <w:textAlignment w:val="auto"/>
        <w:outlineLvl w:val="1"/>
        <w:rPr>
          <w:rFonts w:hint="eastAsia" w:ascii="楷体_GB2312" w:hAnsi="楷体_GB2312" w:eastAsia="楷体_GB2312" w:cs="楷体_GB2312"/>
          <w:b/>
          <w:bCs/>
          <w:color w:val="000000"/>
          <w:sz w:val="32"/>
          <w:szCs w:val="32"/>
          <w:lang w:val="en-US" w:eastAsia="zh-CN"/>
        </w:rPr>
      </w:pPr>
      <w:bookmarkStart w:id="129" w:name="_Toc9584"/>
      <w:bookmarkStart w:id="130" w:name="_Toc6676"/>
      <w:r>
        <w:rPr>
          <w:rFonts w:hint="eastAsia" w:ascii="楷体_GB2312" w:hAnsi="楷体_GB2312" w:eastAsia="楷体_GB2312" w:cs="楷体_GB2312"/>
          <w:b/>
          <w:bCs/>
          <w:color w:val="000000"/>
          <w:sz w:val="32"/>
          <w:szCs w:val="32"/>
          <w:lang w:val="zh-TW" w:eastAsia="zh-CN"/>
        </w:rPr>
        <w:t>建管并重，</w:t>
      </w:r>
      <w:r>
        <w:rPr>
          <w:rFonts w:hint="eastAsia" w:ascii="楷体_GB2312" w:hAnsi="楷体_GB2312" w:eastAsia="楷体_GB2312" w:cs="楷体_GB2312"/>
          <w:b/>
          <w:bCs/>
          <w:color w:val="000000"/>
          <w:sz w:val="32"/>
          <w:szCs w:val="32"/>
          <w:lang w:val="en-US" w:eastAsia="zh-CN"/>
        </w:rPr>
        <w:t>加强公租房建设运营管理</w:t>
      </w:r>
      <w:bookmarkEnd w:id="129"/>
      <w:bookmarkEnd w:id="130"/>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Calibri"/>
          <w:color w:val="000000"/>
          <w:kern w:val="0"/>
          <w:sz w:val="32"/>
          <w:szCs w:val="32"/>
        </w:rPr>
      </w:pPr>
      <w:r>
        <w:rPr>
          <w:rFonts w:hint="eastAsia" w:ascii="仿宋_GB2312" w:hAnsi="仿宋_GB2312" w:eastAsia="仿宋_GB2312" w:cs="Calibri"/>
          <w:color w:val="000000"/>
          <w:kern w:val="0"/>
          <w:sz w:val="32"/>
          <w:szCs w:val="32"/>
          <w:lang w:val="en-US" w:eastAsia="zh-CN"/>
        </w:rPr>
        <w:t>进一步</w:t>
      </w:r>
      <w:r>
        <w:rPr>
          <w:rFonts w:hint="eastAsia" w:ascii="仿宋_GB2312" w:hAnsi="仿宋_GB2312" w:eastAsia="仿宋_GB2312" w:cs="Calibri"/>
          <w:color w:val="000000"/>
          <w:kern w:val="0"/>
          <w:sz w:val="32"/>
          <w:szCs w:val="32"/>
        </w:rPr>
        <w:t>完善公租房配套基础设施和公共服务</w:t>
      </w:r>
      <w:r>
        <w:rPr>
          <w:rFonts w:hint="eastAsia" w:ascii="仿宋_GB2312" w:hAnsi="仿宋_GB2312" w:eastAsia="仿宋_GB2312" w:cs="Calibri"/>
          <w:color w:val="000000"/>
          <w:kern w:val="0"/>
          <w:sz w:val="32"/>
          <w:szCs w:val="32"/>
          <w:lang w:eastAsia="zh-CN"/>
        </w:rPr>
        <w:t>，</w:t>
      </w:r>
      <w:r>
        <w:rPr>
          <w:rFonts w:hint="eastAsia" w:ascii="仿宋_GB2312" w:hAnsi="仿宋_GB2312" w:eastAsia="仿宋_GB2312" w:cs="Calibri"/>
          <w:color w:val="000000"/>
          <w:kern w:val="0"/>
          <w:sz w:val="32"/>
          <w:szCs w:val="32"/>
        </w:rPr>
        <w:t>充分考虑保障对象日常生活、出行等需要，加快完善公租房小区的基础设施及公共服务设施，使群众享有更好的居住环境。将公租房小区及时纳入街道和社区管理，积极发展各项便民利民服务和社区志愿服务，推进信息化、智能化技术成果的应用，切实提升公租房社区居住品质</w:t>
      </w:r>
      <w:r>
        <w:rPr>
          <w:rFonts w:hint="eastAsia" w:ascii="仿宋_GB2312" w:hAnsi="仿宋_GB2312" w:eastAsia="仿宋_GB2312" w:cs="Calibri"/>
          <w:color w:val="000000"/>
          <w:kern w:val="0"/>
          <w:sz w:val="32"/>
          <w:szCs w:val="32"/>
          <w:lang w:eastAsia="zh-CN"/>
        </w:rPr>
        <w:t>，</w:t>
      </w:r>
      <w:r>
        <w:rPr>
          <w:rFonts w:hint="eastAsia" w:ascii="仿宋_GB2312" w:hAnsi="仿宋_GB2312" w:eastAsia="仿宋_GB2312" w:cs="Calibri"/>
          <w:color w:val="000000"/>
          <w:kern w:val="0"/>
          <w:sz w:val="32"/>
          <w:szCs w:val="32"/>
        </w:rPr>
        <w:t>促进公租房</w:t>
      </w:r>
      <w:r>
        <w:rPr>
          <w:rFonts w:hint="eastAsia" w:ascii="仿宋_GB2312" w:hAnsi="仿宋_GB2312" w:eastAsia="仿宋_GB2312" w:cs="Calibri"/>
          <w:color w:val="000000"/>
          <w:kern w:val="0"/>
          <w:sz w:val="32"/>
          <w:szCs w:val="32"/>
          <w:lang w:val="en-US" w:eastAsia="zh-CN"/>
        </w:rPr>
        <w:t>建设</w:t>
      </w:r>
      <w:r>
        <w:rPr>
          <w:rFonts w:hint="eastAsia" w:ascii="仿宋_GB2312" w:hAnsi="仿宋_GB2312" w:eastAsia="仿宋_GB2312" w:cs="Calibri"/>
          <w:color w:val="000000"/>
          <w:kern w:val="0"/>
          <w:sz w:val="32"/>
          <w:szCs w:val="32"/>
        </w:rPr>
        <w:t>后的维护更新进入良性轨道。</w:t>
      </w:r>
    </w:p>
    <w:p>
      <w:pPr>
        <w:pStyle w:val="8"/>
        <w:ind w:left="0" w:leftChars="0" w:firstLine="0" w:firstLineChars="0"/>
        <w:rPr>
          <w:rFonts w:hint="eastAsia" w:ascii="仿宋_GB2312" w:hAnsi="仿宋_GB2312" w:eastAsia="仿宋_GB2312" w:cs="Calibri"/>
          <w:color w:val="000000"/>
          <w:kern w:val="0"/>
          <w:sz w:val="32"/>
          <w:szCs w:val="32"/>
        </w:rPr>
      </w:pPr>
    </w:p>
    <w:p>
      <w:pPr>
        <w:pStyle w:val="14"/>
        <w:pageBreakBefore w:val="0"/>
        <w:kinsoku/>
        <w:wordWrap/>
        <w:overflowPunct/>
        <w:topLinePunct w:val="0"/>
        <w:autoSpaceDE/>
        <w:autoSpaceDN/>
        <w:bidi w:val="0"/>
        <w:adjustRightInd/>
        <w:spacing w:line="600" w:lineRule="exact"/>
        <w:ind w:left="1700" w:hanging="1280" w:hangingChars="400"/>
        <w:textAlignment w:val="auto"/>
        <w:outlineLvl w:val="0"/>
        <w:rPr>
          <w:rFonts w:hint="eastAsia" w:ascii="仿宋_GB2312" w:hAnsi="仿宋_GB2312" w:eastAsia="仿宋_GB2312" w:cs="仿宋_GB2312"/>
          <w:color w:val="auto"/>
          <w:sz w:val="32"/>
          <w:highlight w:val="none"/>
        </w:rPr>
      </w:pPr>
      <w:bookmarkStart w:id="131" w:name="_Toc28603"/>
    </w:p>
    <w:p>
      <w:pPr>
        <w:pStyle w:val="14"/>
        <w:pageBreakBefore w:val="0"/>
        <w:kinsoku/>
        <w:wordWrap/>
        <w:overflowPunct/>
        <w:topLinePunct w:val="0"/>
        <w:autoSpaceDE/>
        <w:autoSpaceDN/>
        <w:bidi w:val="0"/>
        <w:adjustRightInd/>
        <w:spacing w:line="600" w:lineRule="exact"/>
        <w:ind w:left="1700" w:hanging="1280" w:hangingChars="400"/>
        <w:textAlignment w:val="auto"/>
        <w:outlineLvl w:val="0"/>
        <w:rPr>
          <w:rFonts w:hint="eastAsia" w:ascii="仿宋_GB2312" w:hAnsi="仿宋_GB2312" w:eastAsia="仿宋_GB2312" w:cs="仿宋_GB2312"/>
          <w:color w:val="auto"/>
          <w:kern w:val="0"/>
          <w:sz w:val="32"/>
          <w:szCs w:val="32"/>
          <w:highlight w:val="none"/>
        </w:rPr>
      </w:pPr>
      <w:bookmarkStart w:id="132" w:name="_Toc12249"/>
      <w:r>
        <w:rPr>
          <w:rFonts w:hint="eastAsia" w:ascii="仿宋_GB2312" w:hAnsi="仿宋_GB2312" w:eastAsia="仿宋_GB2312" w:cs="仿宋_GB2312"/>
          <w:color w:val="auto"/>
          <w:sz w:val="32"/>
          <w:highlight w:val="none"/>
        </w:rPr>
        <w:t>附件</w:t>
      </w:r>
      <w:r>
        <w:rPr>
          <w:rFonts w:hint="eastAsia" w:ascii="仿宋_GB2312" w:hAnsi="仿宋_GB2312" w:eastAsia="仿宋_GB2312" w:cs="仿宋_GB2312"/>
          <w:color w:val="auto"/>
          <w:sz w:val="32"/>
          <w:highlight w:val="none"/>
          <w:lang w:eastAsia="zh-CN"/>
        </w:rPr>
        <w:t>：</w:t>
      </w:r>
      <w:bookmarkEnd w:id="131"/>
      <w:r>
        <w:rPr>
          <w:rFonts w:hint="eastAsia" w:ascii="Times New Roman" w:hAnsi="Times New Roman" w:eastAsia="仿宋_GB2312" w:cs="Times New Roman"/>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2022年省级保障性安居工程补助资金</w:t>
      </w:r>
      <w:r>
        <w:rPr>
          <w:rFonts w:hint="eastAsia" w:ascii="Times New Roman" w:hAnsi="Times New Roman" w:eastAsia="仿宋_GB2312" w:cs="Times New Roman"/>
          <w:color w:val="auto"/>
          <w:kern w:val="0"/>
          <w:sz w:val="32"/>
          <w:szCs w:val="32"/>
          <w:highlight w:val="none"/>
          <w:lang w:eastAsia="zh-CN"/>
        </w:rPr>
        <w:t>收支</w:t>
      </w:r>
      <w:r>
        <w:rPr>
          <w:rFonts w:hint="eastAsia" w:ascii="仿宋_GB2312" w:hAnsi="仿宋_GB2312" w:eastAsia="仿宋_GB2312" w:cs="仿宋_GB2312"/>
          <w:color w:val="auto"/>
          <w:kern w:val="0"/>
          <w:sz w:val="32"/>
          <w:szCs w:val="32"/>
          <w:highlight w:val="none"/>
        </w:rPr>
        <w:t>情况汇总表</w:t>
      </w:r>
      <w:bookmarkEnd w:id="132"/>
    </w:p>
    <w:p>
      <w:pPr>
        <w:pStyle w:val="14"/>
        <w:pageBreakBefore w:val="0"/>
        <w:kinsoku/>
        <w:wordWrap/>
        <w:overflowPunct/>
        <w:topLinePunct w:val="0"/>
        <w:autoSpaceDE/>
        <w:autoSpaceDN/>
        <w:bidi w:val="0"/>
        <w:adjustRightInd/>
        <w:spacing w:line="600" w:lineRule="exact"/>
        <w:ind w:left="1727" w:leftChars="670" w:hanging="320" w:hangingChars="100"/>
        <w:textAlignment w:val="auto"/>
        <w:rPr>
          <w:rFonts w:hint="eastAsia" w:ascii="仿宋_GB2312" w:hAnsi="仿宋_GB2312" w:eastAsia="仿宋_GB2312" w:cs="仿宋_GB2312"/>
          <w:color w:val="auto"/>
          <w:sz w:val="32"/>
          <w:highlight w:val="none"/>
        </w:rPr>
      </w:pPr>
      <w:r>
        <w:rPr>
          <w:rFonts w:hint="eastAsia"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rPr>
        <w:t>.</w:t>
      </w:r>
      <w:r>
        <w:rPr>
          <w:rFonts w:hint="default" w:ascii="Times New Roman" w:hAnsi="Times New Roman" w:eastAsia="仿宋_GB2312" w:cs="Times New Roman"/>
          <w:color w:val="auto"/>
          <w:sz w:val="32"/>
          <w:highlight w:val="none"/>
        </w:rPr>
        <w:t>2022年省级保障性安居工程补助资金</w:t>
      </w:r>
      <w:r>
        <w:rPr>
          <w:rFonts w:hint="eastAsia" w:ascii="仿宋_GB2312" w:hAnsi="仿宋_GB2312" w:eastAsia="仿宋_GB2312" w:cs="仿宋_GB2312"/>
          <w:color w:val="auto"/>
          <w:sz w:val="32"/>
          <w:highlight w:val="none"/>
        </w:rPr>
        <w:t>计划项目完成情况汇总表</w:t>
      </w: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pPr>
    </w:p>
    <w:p>
      <w:pPr>
        <w:pStyle w:val="8"/>
        <w:spacing w:beforeLines="0" w:line="360" w:lineRule="auto"/>
        <w:ind w:left="1408" w:leftChars="518" w:hanging="320" w:hangingChars="100"/>
        <w:rPr>
          <w:rFonts w:hint="eastAsia" w:ascii="仿宋_GB2312" w:hAnsi="仿宋_GB2312" w:eastAsia="仿宋_GB2312" w:cs="仿宋_GB2312"/>
          <w:color w:val="auto"/>
          <w:kern w:val="0"/>
          <w:sz w:val="32"/>
          <w:szCs w:val="32"/>
          <w:highlight w:val="none"/>
        </w:rPr>
        <w:sectPr>
          <w:footerReference r:id="rId4" w:type="default"/>
          <w:pgSz w:w="11906" w:h="16838"/>
          <w:pgMar w:top="1440" w:right="1800" w:bottom="1440" w:left="1800" w:header="851" w:footer="992" w:gutter="0"/>
          <w:pgNumType w:fmt="numberInDash" w:start="1"/>
          <w:cols w:space="425" w:num="1"/>
          <w:docGrid w:type="lines" w:linePitch="312" w:charSpace="0"/>
        </w:sectPr>
      </w:pPr>
    </w:p>
    <w:tbl>
      <w:tblPr>
        <w:tblStyle w:val="18"/>
        <w:tblW w:w="167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
        <w:gridCol w:w="240"/>
        <w:gridCol w:w="663"/>
        <w:gridCol w:w="93"/>
        <w:gridCol w:w="666"/>
        <w:gridCol w:w="462"/>
        <w:gridCol w:w="487"/>
        <w:gridCol w:w="449"/>
        <w:gridCol w:w="558"/>
        <w:gridCol w:w="438"/>
        <w:gridCol w:w="510"/>
        <w:gridCol w:w="882"/>
        <w:gridCol w:w="6"/>
        <w:gridCol w:w="876"/>
        <w:gridCol w:w="342"/>
        <w:gridCol w:w="558"/>
        <w:gridCol w:w="654"/>
        <w:gridCol w:w="25"/>
        <w:gridCol w:w="197"/>
        <w:gridCol w:w="677"/>
        <w:gridCol w:w="157"/>
        <w:gridCol w:w="54"/>
        <w:gridCol w:w="864"/>
        <w:gridCol w:w="54"/>
        <w:gridCol w:w="942"/>
        <w:gridCol w:w="42"/>
        <w:gridCol w:w="894"/>
        <w:gridCol w:w="450"/>
        <w:gridCol w:w="462"/>
        <w:gridCol w:w="810"/>
        <w:gridCol w:w="198"/>
        <w:gridCol w:w="949"/>
        <w:gridCol w:w="65"/>
        <w:gridCol w:w="871"/>
        <w:gridCol w:w="557"/>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3" w:hRule="atLeast"/>
          <w:jc w:val="center"/>
        </w:trPr>
        <w:tc>
          <w:tcPr>
            <w:tcW w:w="16543" w:type="dxa"/>
            <w:gridSpan w:val="35"/>
            <w:tcBorders>
              <w:top w:val="nil"/>
              <w:left w:val="nil"/>
              <w:bottom w:val="nil"/>
              <w:right w:val="nil"/>
            </w:tcBorders>
            <w:shd w:val="clear" w:color="auto" w:fill="FFFFFF"/>
            <w:vAlign w:val="center"/>
          </w:tcPr>
          <w:p>
            <w:pPr>
              <w:pageBreakBefore w:val="0"/>
              <w:kinsoku/>
              <w:wordWrap/>
              <w:overflowPunct/>
              <w:topLinePunct w:val="0"/>
              <w:autoSpaceDE/>
              <w:autoSpaceDN/>
              <w:bidi w:val="0"/>
              <w:adjustRightInd/>
              <w:spacing w:line="600" w:lineRule="exact"/>
              <w:ind w:left="1393" w:leftChars="530" w:hanging="280" w:hangingChars="100"/>
              <w:jc w:val="center"/>
              <w:textAlignment w:val="auto"/>
              <w:rPr>
                <w:rFonts w:hint="eastAsia" w:ascii="黑体" w:hAnsi="宋体" w:eastAsia="仿宋_GB2312" w:cs="黑体"/>
                <w:i w:val="0"/>
                <w:iCs w:val="0"/>
                <w:color w:val="auto"/>
                <w:sz w:val="28"/>
                <w:szCs w:val="28"/>
                <w:u w:val="none"/>
                <w:lang w:eastAsia="zh-CN"/>
              </w:rPr>
            </w:pPr>
            <w:r>
              <w:rPr>
                <w:rFonts w:hint="eastAsia" w:ascii="黑体" w:hAnsi="黑体" w:eastAsia="黑体" w:cs="黑体"/>
                <w:i w:val="0"/>
                <w:iCs w:val="0"/>
                <w:color w:val="auto"/>
                <w:kern w:val="0"/>
                <w:sz w:val="28"/>
                <w:szCs w:val="28"/>
                <w:u w:val="none"/>
                <w:lang w:val="en-US" w:eastAsia="zh-CN" w:bidi="ar"/>
              </w:rPr>
              <w:t>附件1.</w:t>
            </w:r>
            <w:r>
              <w:rPr>
                <w:rFonts w:hint="eastAsia" w:ascii="黑体" w:hAnsi="黑体" w:eastAsia="黑体" w:cs="黑体"/>
                <w:color w:val="auto"/>
                <w:kern w:val="0"/>
                <w:sz w:val="28"/>
                <w:szCs w:val="28"/>
                <w:highlight w:val="none"/>
              </w:rPr>
              <w:t>2022年省级保障性安居工程补助资金</w:t>
            </w:r>
            <w:r>
              <w:rPr>
                <w:rFonts w:hint="eastAsia" w:ascii="黑体" w:hAnsi="黑体" w:eastAsia="黑体" w:cs="黑体"/>
                <w:color w:val="auto"/>
                <w:kern w:val="0"/>
                <w:sz w:val="28"/>
                <w:szCs w:val="28"/>
                <w:highlight w:val="none"/>
                <w:lang w:eastAsia="zh-CN"/>
              </w:rPr>
              <w:t>收支</w:t>
            </w:r>
            <w:r>
              <w:rPr>
                <w:rFonts w:hint="eastAsia" w:ascii="黑体" w:hAnsi="黑体" w:eastAsia="黑体" w:cs="黑体"/>
                <w:color w:val="auto"/>
                <w:kern w:val="0"/>
                <w:sz w:val="28"/>
                <w:szCs w:val="28"/>
                <w:highlight w:val="none"/>
              </w:rPr>
              <w:t>情况汇</w:t>
            </w:r>
            <w:r>
              <w:rPr>
                <w:rFonts w:hint="eastAsia" w:ascii="黑体" w:hAnsi="黑体" w:eastAsia="黑体" w:cs="黑体"/>
                <w:color w:val="auto"/>
                <w:kern w:val="0"/>
                <w:sz w:val="28"/>
                <w:szCs w:val="28"/>
                <w:highlight w:val="none"/>
                <w:lang w:eastAsia="zh-CN"/>
              </w:rPr>
              <w:t>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13" w:type="dxa"/>
          <w:trHeight w:val="90" w:hRule="atLeast"/>
          <w:jc w:val="center"/>
        </w:trPr>
        <w:tc>
          <w:tcPr>
            <w:tcW w:w="7230" w:type="dxa"/>
            <w:gridSpan w:val="1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填报单位：广东省住房和城乡建设厅</w:t>
            </w:r>
          </w:p>
        </w:tc>
        <w:tc>
          <w:tcPr>
            <w:tcW w:w="679"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仿宋_GB2312" w:hAnsi="宋体" w:eastAsia="仿宋_GB2312" w:cs="仿宋_GB2312"/>
                <w:i w:val="0"/>
                <w:iCs w:val="0"/>
                <w:color w:val="auto"/>
                <w:sz w:val="18"/>
                <w:szCs w:val="18"/>
                <w:u w:val="none"/>
              </w:rPr>
            </w:pPr>
          </w:p>
        </w:tc>
        <w:tc>
          <w:tcPr>
            <w:tcW w:w="874"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仿宋_GB2312" w:hAnsi="宋体" w:eastAsia="仿宋_GB2312" w:cs="仿宋_GB2312"/>
                <w:i w:val="0"/>
                <w:iCs w:val="0"/>
                <w:color w:val="auto"/>
                <w:sz w:val="18"/>
                <w:szCs w:val="18"/>
                <w:u w:val="none"/>
              </w:rPr>
            </w:pPr>
          </w:p>
        </w:tc>
        <w:tc>
          <w:tcPr>
            <w:tcW w:w="1075"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仿宋_GB2312" w:hAnsi="宋体" w:eastAsia="仿宋_GB2312" w:cs="仿宋_GB2312"/>
                <w:i w:val="0"/>
                <w:iCs w:val="0"/>
                <w:color w:val="auto"/>
                <w:sz w:val="18"/>
                <w:szCs w:val="18"/>
                <w:u w:val="none"/>
              </w:rPr>
            </w:pPr>
          </w:p>
        </w:tc>
        <w:tc>
          <w:tcPr>
            <w:tcW w:w="6685"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仿宋_GB2312" w:hAnsi="宋体" w:eastAsia="仿宋_GB2312" w:cs="仿宋_GB2312"/>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13" w:type="dxa"/>
          <w:trHeight w:val="90" w:hRule="atLeast"/>
          <w:jc w:val="center"/>
        </w:trPr>
        <w:tc>
          <w:tcPr>
            <w:tcW w:w="9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序号</w:t>
            </w:r>
          </w:p>
        </w:tc>
        <w:tc>
          <w:tcPr>
            <w:tcW w:w="7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地市</w:t>
            </w:r>
          </w:p>
        </w:tc>
        <w:tc>
          <w:tcPr>
            <w:tcW w:w="29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合计</w:t>
            </w:r>
          </w:p>
        </w:tc>
        <w:tc>
          <w:tcPr>
            <w:tcW w:w="26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省级财政资金</w:t>
            </w:r>
          </w:p>
        </w:tc>
        <w:tc>
          <w:tcPr>
            <w:tcW w:w="26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中央财政资金</w:t>
            </w:r>
          </w:p>
        </w:tc>
        <w:tc>
          <w:tcPr>
            <w:tcW w:w="2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市县财政资金</w:t>
            </w: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各类自筹资金</w:t>
            </w:r>
          </w:p>
        </w:tc>
        <w:tc>
          <w:tcPr>
            <w:tcW w:w="1884"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投资总额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13" w:type="dxa"/>
          <w:trHeight w:val="100" w:hRule="atLeast"/>
          <w:jc w:val="center"/>
        </w:trPr>
        <w:tc>
          <w:tcPr>
            <w:tcW w:w="9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b/>
                <w:bCs/>
                <w:i w:val="0"/>
                <w:iCs w:val="0"/>
                <w:color w:val="auto"/>
                <w:sz w:val="18"/>
                <w:szCs w:val="18"/>
                <w:u w:val="none"/>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b/>
                <w:bCs/>
                <w:i w:val="0"/>
                <w:iCs w:val="0"/>
                <w:color w:val="auto"/>
                <w:sz w:val="18"/>
                <w:szCs w:val="18"/>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预算指标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到位资金</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实际支出</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预算指标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到位资金</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实际支出</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预算指标</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到位资金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实际支出</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预算指标</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到位资金</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实际支出</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到位资金</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实际支出</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计划数</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累计完成数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13" w:type="dxa"/>
          <w:trHeight w:val="90" w:hRule="atLeast"/>
          <w:jc w:val="center"/>
        </w:trPr>
        <w:tc>
          <w:tcPr>
            <w:tcW w:w="9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b/>
                <w:bCs/>
                <w:i w:val="0"/>
                <w:iCs w:val="0"/>
                <w:color w:val="auto"/>
                <w:sz w:val="18"/>
                <w:szCs w:val="18"/>
                <w:u w:val="none"/>
              </w:rPr>
            </w:pP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2</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4</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6</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7</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8</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9</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10</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11</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12</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13</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15</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16</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13" w:type="dxa"/>
          <w:trHeight w:val="314" w:hRule="atLeast"/>
          <w:jc w:val="center"/>
        </w:trPr>
        <w:tc>
          <w:tcPr>
            <w:tcW w:w="1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合  计</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602883.08</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585335.01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569606.23</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54235.00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54235.00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50</w:t>
            </w:r>
            <w:r>
              <w:rPr>
                <w:rFonts w:hint="eastAsia" w:ascii="Times New Roman" w:hAnsi="Times New Roman" w:eastAsia="宋体" w:cs="Times New Roman"/>
                <w:i w:val="0"/>
                <w:iCs w:val="0"/>
                <w:color w:val="000000"/>
                <w:kern w:val="0"/>
                <w:sz w:val="16"/>
                <w:szCs w:val="16"/>
                <w:u w:val="none"/>
                <w:lang w:val="en-US" w:eastAsia="zh-CN" w:bidi="ar"/>
              </w:rPr>
              <w:t>739.27</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72499.75</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72499.75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68349.91</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90285.87</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72737.80</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65032.52</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385862.46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385409.06</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516020.61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495212.87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93"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广州市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34731.53</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34731.53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34637.37</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4547.25</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4547.25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4547.25</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15171.12</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15171.12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15171.12</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15013.16</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15013.16</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14919.00</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17760.41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17666.25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93"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珠海市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419619.20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419411.30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419409.88</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20034.00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20034.00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20032.58</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11320.13</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11320.13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11320.13</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19015.77</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18807.87</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18807.87</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369249.30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369249.30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425671.77</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419409.88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汕头市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5583.45</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5583.45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3944.51</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1710.00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1710.00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1105.00</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3873.45</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3873.45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2839.51</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佛山市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60905.60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60905.60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55414.75</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6149.40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6149.40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5589.28</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27071.53</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27071.53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26934.98</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22207.40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22207.40</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17413.22</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5477.27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5477.27</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30844.64</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18420.64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9"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韶关市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3230.99</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2931.22</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2912.80</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1372.98</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1372.98</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1361.39</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725.45</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725.45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725.45</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1132.56</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832.79</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825.96</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4491.06</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2666.33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河源市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446.66</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446.66</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394.45</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390.20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390.20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352.85</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56.46</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56.46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41.60</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9"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梅州市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2352.25</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2352.25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1699.18</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1337.50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1337.50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1277.51</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977.72</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977.72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405.87</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37.03</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37.03</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15.80</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4749.43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4167.30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9"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惠州市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1291.33</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1213.06</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1210.43</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260.00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260.00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257.37</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1031.33</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953.06</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953.06</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1291.33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汕尾市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160.00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136.22</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136.22</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东莞市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7942.61</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7942.61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7645.96</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4185.00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4185.00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4168.40</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3367.81</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3367.81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3187.76</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389.80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389.80</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289.80</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7942.61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7645.96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9"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中山市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6511.71</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6511.71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5616.24</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320.00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320.00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320.00</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3506.56</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3506.56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3313.78</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2117.15</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2117.15</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1414.46</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568.00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568.00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4314.33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4166.36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93"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江门市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18135.64</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18090.64</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17062.86</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4050.00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4050.00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3973.60</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2292.37</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2292.37</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1862.87</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1379.19</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1334.19</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1265.71</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10414.08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9960.68</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15972.11</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17062.86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阳江市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8468.48</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8468.48</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6487.11</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210.00</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300.48</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300.48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236.83</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7958.00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7958.00</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6040.28</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湛江市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25215.66</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8298.53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5672.15</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2210.00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2210.00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914.88</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3005.66</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3005.66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1674.40</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20000.00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3082.87</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3082.87</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茂名市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2546.00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2546.00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2435.33</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2546.00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2546.00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2435.33</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129" w:hRule="atLeast"/>
          <w:jc w:val="center"/>
        </w:trPr>
        <w:tc>
          <w:tcPr>
            <w:tcW w:w="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肇庆市</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2059.43</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2059.43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2031.09</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1905.62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1905.62</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1877.28</w:t>
            </w:r>
          </w:p>
        </w:tc>
        <w:tc>
          <w:tcPr>
            <w:tcW w:w="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153.81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153.81</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2157.43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2031.09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17</w:t>
            </w:r>
          </w:p>
        </w:tc>
        <w:tc>
          <w:tcPr>
            <w:tcW w:w="759"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清远市</w:t>
            </w:r>
          </w:p>
        </w:tc>
        <w:tc>
          <w:tcPr>
            <w:tcW w:w="949"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1313.47</w:t>
            </w:r>
          </w:p>
        </w:tc>
        <w:tc>
          <w:tcPr>
            <w:tcW w:w="1007"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1313.47</w:t>
            </w:r>
          </w:p>
        </w:tc>
        <w:tc>
          <w:tcPr>
            <w:tcW w:w="948"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991.19</w:t>
            </w:r>
          </w:p>
        </w:tc>
        <w:tc>
          <w:tcPr>
            <w:tcW w:w="888"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560.30</w:t>
            </w:r>
          </w:p>
        </w:tc>
        <w:tc>
          <w:tcPr>
            <w:tcW w:w="876"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560.30</w:t>
            </w:r>
          </w:p>
        </w:tc>
        <w:tc>
          <w:tcPr>
            <w:tcW w:w="900"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433.42</w:t>
            </w:r>
          </w:p>
        </w:tc>
        <w:tc>
          <w:tcPr>
            <w:tcW w:w="876" w:type="dxa"/>
            <w:gridSpan w:val="3"/>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748.69</w:t>
            </w:r>
          </w:p>
        </w:tc>
        <w:tc>
          <w:tcPr>
            <w:tcW w:w="888" w:type="dxa"/>
            <w:gridSpan w:val="3"/>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748.69</w:t>
            </w:r>
          </w:p>
        </w:tc>
        <w:tc>
          <w:tcPr>
            <w:tcW w:w="864"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553.29</w:t>
            </w:r>
          </w:p>
        </w:tc>
        <w:tc>
          <w:tcPr>
            <w:tcW w:w="996"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4.48</w:t>
            </w:r>
          </w:p>
        </w:tc>
        <w:tc>
          <w:tcPr>
            <w:tcW w:w="936"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4.48</w:t>
            </w:r>
          </w:p>
        </w:tc>
        <w:tc>
          <w:tcPr>
            <w:tcW w:w="912"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4.48</w:t>
            </w:r>
          </w:p>
        </w:tc>
        <w:tc>
          <w:tcPr>
            <w:tcW w:w="1008"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18</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潮州市</w:t>
            </w:r>
          </w:p>
        </w:tc>
        <w:tc>
          <w:tcPr>
            <w:tcW w:w="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1063.59</w:t>
            </w:r>
          </w:p>
        </w:tc>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1063.59</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770.16</w:t>
            </w:r>
          </w:p>
        </w:tc>
        <w:tc>
          <w:tcPr>
            <w:tcW w:w="8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1044.00</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1044.00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750.57</w:t>
            </w:r>
          </w:p>
        </w:tc>
        <w:tc>
          <w:tcPr>
            <w:tcW w:w="8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19.59</w:t>
            </w:r>
          </w:p>
        </w:tc>
        <w:tc>
          <w:tcPr>
            <w:tcW w:w="8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19.59</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19.59</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揭阳市</w:t>
            </w:r>
          </w:p>
        </w:tc>
        <w:tc>
          <w:tcPr>
            <w:tcW w:w="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372.75</w:t>
            </w:r>
          </w:p>
        </w:tc>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372.75</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336.82</w:t>
            </w:r>
          </w:p>
        </w:tc>
        <w:tc>
          <w:tcPr>
            <w:tcW w:w="8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372.75</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372.75</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336.82</w:t>
            </w:r>
          </w:p>
        </w:tc>
        <w:tc>
          <w:tcPr>
            <w:tcW w:w="8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372.75</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336.82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云浮市</w:t>
            </w:r>
          </w:p>
        </w:tc>
        <w:tc>
          <w:tcPr>
            <w:tcW w:w="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582.73</w:t>
            </w:r>
          </w:p>
        </w:tc>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582.73</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447.73</w:t>
            </w:r>
          </w:p>
        </w:tc>
        <w:tc>
          <w:tcPr>
            <w:tcW w:w="8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520.00</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520.00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385.00</w:t>
            </w:r>
          </w:p>
        </w:tc>
        <w:tc>
          <w:tcPr>
            <w:tcW w:w="8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62.73</w:t>
            </w:r>
          </w:p>
        </w:tc>
        <w:tc>
          <w:tcPr>
            <w:tcW w:w="8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62.73</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62.73</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292.73</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13" w:type="dxa"/>
          <w:trHeight w:val="90" w:hRule="atLeast"/>
          <w:jc w:val="center"/>
        </w:trPr>
        <w:tc>
          <w:tcPr>
            <w:tcW w:w="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21</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省本级</w:t>
            </w:r>
          </w:p>
        </w:tc>
        <w:tc>
          <w:tcPr>
            <w:tcW w:w="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350.00</w:t>
            </w:r>
          </w:p>
        </w:tc>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350.00</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350.00</w:t>
            </w:r>
          </w:p>
        </w:tc>
        <w:tc>
          <w:tcPr>
            <w:tcW w:w="8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350.00</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350.00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eastAsia" w:ascii="Times New Roman" w:hAnsi="Times New Roman" w:eastAsia="宋体" w:cs="Times New Roman"/>
                <w:i w:val="0"/>
                <w:iCs w:val="0"/>
                <w:color w:val="000000"/>
                <w:kern w:val="0"/>
                <w:sz w:val="16"/>
                <w:szCs w:val="16"/>
                <w:u w:val="none"/>
                <w:lang w:val="en-US" w:eastAsia="zh-CN" w:bidi="ar"/>
              </w:rPr>
              <w:t>274.52</w:t>
            </w:r>
          </w:p>
        </w:tc>
        <w:tc>
          <w:tcPr>
            <w:tcW w:w="8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16365" w:type="dxa"/>
            <w:gridSpan w:val="3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6"/>
                <w:szCs w:val="16"/>
                <w:u w:val="none"/>
              </w:rPr>
            </w:pPr>
            <w:r>
              <w:rPr>
                <w:rFonts w:hint="eastAsia" w:ascii="黑体" w:hAnsi="宋体" w:eastAsia="黑体" w:cs="黑体"/>
                <w:i w:val="0"/>
                <w:iCs w:val="0"/>
                <w:color w:val="000000"/>
                <w:kern w:val="0"/>
                <w:sz w:val="24"/>
                <w:szCs w:val="24"/>
                <w:u w:val="none"/>
                <w:lang w:val="en-US" w:eastAsia="zh-CN" w:bidi="ar"/>
              </w:rPr>
              <w:t>附件2.2022年省级财政专项资金（保障性安居工程重点项目补助）计划项目完成情况汇总表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14937" w:type="dxa"/>
            <w:gridSpan w:val="3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填报单位：广东省住房和城乡建设厅</w:t>
            </w:r>
          </w:p>
        </w:tc>
        <w:tc>
          <w:tcPr>
            <w:tcW w:w="142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地级以上市</w:t>
            </w:r>
          </w:p>
        </w:tc>
        <w:tc>
          <w:tcPr>
            <w:tcW w:w="688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筹集计划</w:t>
            </w:r>
          </w:p>
        </w:tc>
        <w:tc>
          <w:tcPr>
            <w:tcW w:w="8268"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204" w:hRule="atLeast"/>
          <w:jc w:val="center"/>
        </w:trPr>
        <w:tc>
          <w:tcPr>
            <w:tcW w:w="4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064"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棚户区改造</w:t>
            </w:r>
          </w:p>
        </w:tc>
        <w:tc>
          <w:tcPr>
            <w:tcW w:w="99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公租房</w:t>
            </w:r>
          </w:p>
        </w:tc>
        <w:tc>
          <w:tcPr>
            <w:tcW w:w="139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保障性租赁住房</w:t>
            </w:r>
          </w:p>
        </w:tc>
        <w:tc>
          <w:tcPr>
            <w:tcW w:w="1224"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共有产权住房</w:t>
            </w:r>
          </w:p>
        </w:tc>
        <w:tc>
          <w:tcPr>
            <w:tcW w:w="121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实施发放 租赁补贴（万户）</w:t>
            </w:r>
          </w:p>
        </w:tc>
        <w:tc>
          <w:tcPr>
            <w:tcW w:w="2028"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棚户区改造</w:t>
            </w:r>
          </w:p>
        </w:tc>
        <w:tc>
          <w:tcPr>
            <w:tcW w:w="98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公租房</w:t>
            </w:r>
          </w:p>
        </w:tc>
        <w:tc>
          <w:tcPr>
            <w:tcW w:w="134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保障性租赁住房</w:t>
            </w:r>
          </w:p>
        </w:tc>
        <w:tc>
          <w:tcPr>
            <w:tcW w:w="127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共有产权住房</w:t>
            </w:r>
          </w:p>
        </w:tc>
        <w:tc>
          <w:tcPr>
            <w:tcW w:w="121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实施发放 租赁补贴（万户）</w:t>
            </w:r>
          </w:p>
        </w:tc>
        <w:tc>
          <w:tcPr>
            <w:tcW w:w="1428"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涉及受助困难群众人数(万人)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278" w:hRule="atLeast"/>
          <w:jc w:val="center"/>
        </w:trPr>
        <w:tc>
          <w:tcPr>
            <w:tcW w:w="4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新开工（套）</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建设（套）</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建设（套）</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新筹建（套）</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新筹建（套）</w:t>
            </w:r>
          </w:p>
        </w:tc>
        <w:tc>
          <w:tcPr>
            <w:tcW w:w="121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新开工（套）</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建设（套）</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建设（套）</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新筹建（套）</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新筹建（套）</w:t>
            </w:r>
          </w:p>
        </w:tc>
        <w:tc>
          <w:tcPr>
            <w:tcW w:w="121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428"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12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222.00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4850.00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11150.00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4000.00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3.40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1036.00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222.00 </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8745.00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42000.00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4396.00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4.81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广州市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1.80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2312.00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1.80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珠海市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3000.00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5000.00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2000.00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276.00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4433.00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12521.00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2345.00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0.15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汕头市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1517.00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0.30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佛山市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80.00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2000.00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1.60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82.00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20444.00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2051.00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1.79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韶关市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170.00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122.00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40.00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0.04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河源市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0.02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梅州市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500.00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250.00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0.05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惠州市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汕尾市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东莞市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901.00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0.24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中山市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3016.00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0.04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江门市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2495.00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0.04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阳江市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788.00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0.11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湛江市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760.00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632.00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1016.00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0.21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茂名市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25.00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肇庆市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100.00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101.00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清远市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16"/>
                <w:szCs w:val="16"/>
                <w:u w:val="none"/>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潮州市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222.00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16"/>
                <w:szCs w:val="16"/>
                <w:u w:val="none"/>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222.00 </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0.01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揭阳市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1" w:type="dxa"/>
          <w:trHeight w:val="90" w:hRule="atLeast"/>
          <w:jc w:val="center"/>
        </w:trPr>
        <w:tc>
          <w:tcPr>
            <w:tcW w:w="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云浮市</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50.00 </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50.00 </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   </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0.42 </w:t>
            </w:r>
          </w:p>
        </w:tc>
      </w:tr>
    </w:tbl>
    <w:p>
      <w:pPr>
        <w:pStyle w:val="8"/>
        <w:spacing w:beforeLines="0" w:line="360" w:lineRule="auto"/>
        <w:ind w:left="0" w:leftChars="0" w:firstLine="0" w:firstLineChars="0"/>
        <w:rPr>
          <w:rFonts w:hint="eastAsia" w:ascii="仿宋_GB2312" w:hAnsi="仿宋_GB2312" w:eastAsia="仿宋_GB2312" w:cs="仿宋_GB2312"/>
          <w:color w:val="auto"/>
          <w:kern w:val="0"/>
          <w:sz w:val="32"/>
          <w:szCs w:val="32"/>
          <w:highlight w:val="none"/>
        </w:rPr>
        <w:sectPr>
          <w:footerReference r:id="rId5" w:type="default"/>
          <w:pgSz w:w="16838" w:h="11906" w:orient="landscape"/>
          <w:pgMar w:top="1440" w:right="1179" w:bottom="1440" w:left="1179" w:header="851" w:footer="992" w:gutter="0"/>
          <w:pgNumType w:fmt="numberInDash" w:start="23"/>
          <w:cols w:space="425" w:num="1"/>
          <w:docGrid w:type="lines" w:linePitch="312" w:charSpace="0"/>
        </w:sectPr>
      </w:pPr>
    </w:p>
    <w:p>
      <w:pPr>
        <w:pStyle w:val="8"/>
        <w:spacing w:beforeLines="0" w:line="360" w:lineRule="auto"/>
        <w:ind w:left="0" w:leftChars="0" w:firstLine="0" w:firstLineChars="0"/>
        <w:rPr>
          <w:rFonts w:hint="eastAsia" w:ascii="仿宋_GB2312" w:hAnsi="仿宋_GB2312" w:eastAsia="仿宋_GB2312" w:cs="仿宋_GB2312"/>
          <w:color w:val="auto"/>
          <w:kern w:val="0"/>
          <w:sz w:val="20"/>
          <w:szCs w:val="20"/>
          <w:highlight w:val="none"/>
        </w:rPr>
      </w:pPr>
    </w:p>
    <w:sectPr>
      <w:footerReference r:id="rId6" w:type="default"/>
      <w:pgSz w:w="11906" w:h="16838"/>
      <w:pgMar w:top="1179" w:right="1440" w:bottom="1179" w:left="1440" w:header="851" w:footer="992" w:gutter="0"/>
      <w:pgNumType w:fmt="numberInDash" w:start="2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方正仿宋">
    <w:altName w:val="方正仿宋_GBK"/>
    <w:panose1 w:val="00000000000000000000"/>
    <w:charset w:val="86"/>
    <w:family w:val="script"/>
    <w:pitch w:val="default"/>
    <w:sig w:usb0="00000000" w:usb1="00000000" w:usb2="00000010" w:usb3="00000000" w:csb0="00040000" w:csb1="00000000"/>
  </w:font>
  <w:font w:name="Consolas">
    <w:altName w:val="Noto Sans Mono"/>
    <w:panose1 w:val="020B0609020204030204"/>
    <w:charset w:val="00"/>
    <w:family w:val="modern"/>
    <w:pitch w:val="default"/>
    <w:sig w:usb0="00000000" w:usb1="00000000" w:usb2="00000009" w:usb3="00000000" w:csb0="6000019F" w:csb1="DFD7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F0D8"/>
    <w:multiLevelType w:val="singleLevel"/>
    <w:tmpl w:val="8120F0D8"/>
    <w:lvl w:ilvl="0" w:tentative="0">
      <w:start w:val="1"/>
      <w:numFmt w:val="chineseCounting"/>
      <w:suff w:val="nothing"/>
      <w:lvlText w:val="（%1）"/>
      <w:lvlJc w:val="left"/>
      <w:pPr>
        <w:ind w:left="0" w:firstLine="420"/>
      </w:pPr>
      <w:rPr>
        <w:rFonts w:hint="eastAsia" w:ascii="楷体_GB2312" w:hAnsi="楷体_GB2312" w:eastAsia="楷体_GB2312" w:cs="楷体_GB2312"/>
      </w:rPr>
    </w:lvl>
  </w:abstractNum>
  <w:abstractNum w:abstractNumId="1">
    <w:nsid w:val="88D85F66"/>
    <w:multiLevelType w:val="singleLevel"/>
    <w:tmpl w:val="88D85F66"/>
    <w:lvl w:ilvl="0" w:tentative="0">
      <w:start w:val="2"/>
      <w:numFmt w:val="chineseCounting"/>
      <w:suff w:val="nothing"/>
      <w:lvlText w:val="（%1）"/>
      <w:lvlJc w:val="left"/>
      <w:pPr>
        <w:ind w:left="-13"/>
      </w:pPr>
      <w:rPr>
        <w:rFonts w:hint="eastAsia"/>
      </w:rPr>
    </w:lvl>
  </w:abstractNum>
  <w:abstractNum w:abstractNumId="2">
    <w:nsid w:val="65FFE851"/>
    <w:multiLevelType w:val="singleLevel"/>
    <w:tmpl w:val="65FFE851"/>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ZjkwN2I2YTU1Y2M3YjVmOTlkMzhhNGFhMThkMDQifQ=="/>
  </w:docVars>
  <w:rsids>
    <w:rsidRoot w:val="22B428EE"/>
    <w:rsid w:val="001502B1"/>
    <w:rsid w:val="00153F17"/>
    <w:rsid w:val="00166F35"/>
    <w:rsid w:val="002C057E"/>
    <w:rsid w:val="002E3865"/>
    <w:rsid w:val="0044426F"/>
    <w:rsid w:val="0046576B"/>
    <w:rsid w:val="00497F80"/>
    <w:rsid w:val="004D4BDB"/>
    <w:rsid w:val="006D5DB4"/>
    <w:rsid w:val="00724552"/>
    <w:rsid w:val="00842736"/>
    <w:rsid w:val="008450E0"/>
    <w:rsid w:val="00A234E8"/>
    <w:rsid w:val="00AD656A"/>
    <w:rsid w:val="00B1214C"/>
    <w:rsid w:val="00B85764"/>
    <w:rsid w:val="00B86A69"/>
    <w:rsid w:val="00CA0914"/>
    <w:rsid w:val="00CB18FA"/>
    <w:rsid w:val="00D6745C"/>
    <w:rsid w:val="013C690E"/>
    <w:rsid w:val="01880E58"/>
    <w:rsid w:val="01A30770"/>
    <w:rsid w:val="01AD392B"/>
    <w:rsid w:val="01B06207"/>
    <w:rsid w:val="01E03D46"/>
    <w:rsid w:val="01E6792B"/>
    <w:rsid w:val="021634B7"/>
    <w:rsid w:val="02175F22"/>
    <w:rsid w:val="021954FD"/>
    <w:rsid w:val="022C3913"/>
    <w:rsid w:val="025F31D8"/>
    <w:rsid w:val="02C97D12"/>
    <w:rsid w:val="02D90C51"/>
    <w:rsid w:val="02EA4E31"/>
    <w:rsid w:val="03134B19"/>
    <w:rsid w:val="03180A93"/>
    <w:rsid w:val="033E696D"/>
    <w:rsid w:val="034E3FE2"/>
    <w:rsid w:val="035F141D"/>
    <w:rsid w:val="036A079C"/>
    <w:rsid w:val="039772CD"/>
    <w:rsid w:val="03AB046B"/>
    <w:rsid w:val="040265A6"/>
    <w:rsid w:val="043951A7"/>
    <w:rsid w:val="04A57737"/>
    <w:rsid w:val="04CF7307"/>
    <w:rsid w:val="04FF6B55"/>
    <w:rsid w:val="050A246E"/>
    <w:rsid w:val="050E1438"/>
    <w:rsid w:val="05233248"/>
    <w:rsid w:val="054447EA"/>
    <w:rsid w:val="056E51B4"/>
    <w:rsid w:val="05940DA6"/>
    <w:rsid w:val="05B20F4D"/>
    <w:rsid w:val="05C540CB"/>
    <w:rsid w:val="05C855D7"/>
    <w:rsid w:val="060A23D1"/>
    <w:rsid w:val="06170297"/>
    <w:rsid w:val="063148F2"/>
    <w:rsid w:val="066673AC"/>
    <w:rsid w:val="06C21802"/>
    <w:rsid w:val="06C51CC1"/>
    <w:rsid w:val="06F3009D"/>
    <w:rsid w:val="06FE4433"/>
    <w:rsid w:val="07322863"/>
    <w:rsid w:val="07497E00"/>
    <w:rsid w:val="0758025E"/>
    <w:rsid w:val="075F1F22"/>
    <w:rsid w:val="076079BF"/>
    <w:rsid w:val="079B5B3A"/>
    <w:rsid w:val="07A27C00"/>
    <w:rsid w:val="07B47A8D"/>
    <w:rsid w:val="07BE3529"/>
    <w:rsid w:val="07BF7676"/>
    <w:rsid w:val="07F715E7"/>
    <w:rsid w:val="08282D07"/>
    <w:rsid w:val="086132E0"/>
    <w:rsid w:val="0867146E"/>
    <w:rsid w:val="08A0309A"/>
    <w:rsid w:val="08CA2103"/>
    <w:rsid w:val="08D57437"/>
    <w:rsid w:val="094730B4"/>
    <w:rsid w:val="094B01EF"/>
    <w:rsid w:val="096B3DBA"/>
    <w:rsid w:val="09A3652C"/>
    <w:rsid w:val="09FD0252"/>
    <w:rsid w:val="0A251C84"/>
    <w:rsid w:val="0A300921"/>
    <w:rsid w:val="0A387402"/>
    <w:rsid w:val="0AC0026B"/>
    <w:rsid w:val="0ACB4A0E"/>
    <w:rsid w:val="0B064525"/>
    <w:rsid w:val="0B8D3BC7"/>
    <w:rsid w:val="0BD0592B"/>
    <w:rsid w:val="0BDF1202"/>
    <w:rsid w:val="0BE535AA"/>
    <w:rsid w:val="0BFD70DA"/>
    <w:rsid w:val="0C772D6A"/>
    <w:rsid w:val="0C9717B0"/>
    <w:rsid w:val="0CAC2972"/>
    <w:rsid w:val="0D281F93"/>
    <w:rsid w:val="0D32553B"/>
    <w:rsid w:val="0D4D290F"/>
    <w:rsid w:val="0D893793"/>
    <w:rsid w:val="0DA223C5"/>
    <w:rsid w:val="0E2302F7"/>
    <w:rsid w:val="0E2F3B4C"/>
    <w:rsid w:val="0E42668B"/>
    <w:rsid w:val="0E642DBB"/>
    <w:rsid w:val="0EB74C03"/>
    <w:rsid w:val="0ED96277"/>
    <w:rsid w:val="0EE37C7F"/>
    <w:rsid w:val="0F373830"/>
    <w:rsid w:val="0F524DA3"/>
    <w:rsid w:val="0F684EC2"/>
    <w:rsid w:val="0F9609D4"/>
    <w:rsid w:val="101243DC"/>
    <w:rsid w:val="103A2CC2"/>
    <w:rsid w:val="104224CE"/>
    <w:rsid w:val="1142651D"/>
    <w:rsid w:val="114514FD"/>
    <w:rsid w:val="115044F8"/>
    <w:rsid w:val="11C73D0C"/>
    <w:rsid w:val="11E343B6"/>
    <w:rsid w:val="11FA0869"/>
    <w:rsid w:val="120941B5"/>
    <w:rsid w:val="12183B7B"/>
    <w:rsid w:val="12280F14"/>
    <w:rsid w:val="123D09DC"/>
    <w:rsid w:val="123E3EFC"/>
    <w:rsid w:val="127C300E"/>
    <w:rsid w:val="12952174"/>
    <w:rsid w:val="12A32349"/>
    <w:rsid w:val="12CE04EE"/>
    <w:rsid w:val="12E9069E"/>
    <w:rsid w:val="131E0186"/>
    <w:rsid w:val="13650781"/>
    <w:rsid w:val="13B03034"/>
    <w:rsid w:val="13E851F1"/>
    <w:rsid w:val="13F278EE"/>
    <w:rsid w:val="14101C60"/>
    <w:rsid w:val="147D0F37"/>
    <w:rsid w:val="14992CD5"/>
    <w:rsid w:val="14DB0E5A"/>
    <w:rsid w:val="15550983"/>
    <w:rsid w:val="155A3CF9"/>
    <w:rsid w:val="156D105A"/>
    <w:rsid w:val="15BE2056"/>
    <w:rsid w:val="15DB6772"/>
    <w:rsid w:val="16183EDF"/>
    <w:rsid w:val="16584C58"/>
    <w:rsid w:val="16F25613"/>
    <w:rsid w:val="17087C07"/>
    <w:rsid w:val="170C1450"/>
    <w:rsid w:val="17B27B66"/>
    <w:rsid w:val="17BF6981"/>
    <w:rsid w:val="17C12F49"/>
    <w:rsid w:val="17D04058"/>
    <w:rsid w:val="18333DB0"/>
    <w:rsid w:val="18624A78"/>
    <w:rsid w:val="18802709"/>
    <w:rsid w:val="18835462"/>
    <w:rsid w:val="18941A97"/>
    <w:rsid w:val="18A91CB0"/>
    <w:rsid w:val="19553012"/>
    <w:rsid w:val="19A325CF"/>
    <w:rsid w:val="19A61439"/>
    <w:rsid w:val="19DB7F94"/>
    <w:rsid w:val="19F52BC6"/>
    <w:rsid w:val="1A136F63"/>
    <w:rsid w:val="1A4A55AF"/>
    <w:rsid w:val="1A6B70F8"/>
    <w:rsid w:val="1A7A6E5A"/>
    <w:rsid w:val="1A883876"/>
    <w:rsid w:val="1AA478A7"/>
    <w:rsid w:val="1AC55A5C"/>
    <w:rsid w:val="1AE81694"/>
    <w:rsid w:val="1B7B4B1F"/>
    <w:rsid w:val="1B90331C"/>
    <w:rsid w:val="1BB5667C"/>
    <w:rsid w:val="1C9B0E64"/>
    <w:rsid w:val="1CA27FD0"/>
    <w:rsid w:val="1CEA7CE5"/>
    <w:rsid w:val="1CF644A0"/>
    <w:rsid w:val="1D1218DD"/>
    <w:rsid w:val="1D134776"/>
    <w:rsid w:val="1D523525"/>
    <w:rsid w:val="1DC72FB7"/>
    <w:rsid w:val="1DDF750E"/>
    <w:rsid w:val="1DE20EA7"/>
    <w:rsid w:val="1DF1646A"/>
    <w:rsid w:val="1E277136"/>
    <w:rsid w:val="1E420371"/>
    <w:rsid w:val="1E4944B6"/>
    <w:rsid w:val="1E4A0457"/>
    <w:rsid w:val="1E5A3070"/>
    <w:rsid w:val="1E5A6FA3"/>
    <w:rsid w:val="1E5B7EFD"/>
    <w:rsid w:val="1ECC54B7"/>
    <w:rsid w:val="1ED1023E"/>
    <w:rsid w:val="1EDB29C7"/>
    <w:rsid w:val="1EEF36FB"/>
    <w:rsid w:val="1F3051FC"/>
    <w:rsid w:val="1F430568"/>
    <w:rsid w:val="1F447616"/>
    <w:rsid w:val="1F4F3621"/>
    <w:rsid w:val="1FD40C1A"/>
    <w:rsid w:val="1FE93153"/>
    <w:rsid w:val="20104BC8"/>
    <w:rsid w:val="20112C70"/>
    <w:rsid w:val="20202C39"/>
    <w:rsid w:val="20410489"/>
    <w:rsid w:val="204B11B4"/>
    <w:rsid w:val="204B473A"/>
    <w:rsid w:val="204D16DD"/>
    <w:rsid w:val="204F589C"/>
    <w:rsid w:val="205132A5"/>
    <w:rsid w:val="206E52B8"/>
    <w:rsid w:val="207C6D7B"/>
    <w:rsid w:val="20A419F4"/>
    <w:rsid w:val="20F02865"/>
    <w:rsid w:val="20F34AA9"/>
    <w:rsid w:val="20F91794"/>
    <w:rsid w:val="212577A2"/>
    <w:rsid w:val="213A031C"/>
    <w:rsid w:val="217F367D"/>
    <w:rsid w:val="219008C9"/>
    <w:rsid w:val="21F32DCB"/>
    <w:rsid w:val="22335472"/>
    <w:rsid w:val="22B428EE"/>
    <w:rsid w:val="22BC1E84"/>
    <w:rsid w:val="231F4B91"/>
    <w:rsid w:val="23251001"/>
    <w:rsid w:val="23353BD0"/>
    <w:rsid w:val="236B62E1"/>
    <w:rsid w:val="237779EF"/>
    <w:rsid w:val="23985174"/>
    <w:rsid w:val="23B80053"/>
    <w:rsid w:val="23EB5E85"/>
    <w:rsid w:val="23F7362A"/>
    <w:rsid w:val="24125AD3"/>
    <w:rsid w:val="2438689F"/>
    <w:rsid w:val="244D6DB1"/>
    <w:rsid w:val="245A6ECC"/>
    <w:rsid w:val="24A55BCA"/>
    <w:rsid w:val="24AC75F7"/>
    <w:rsid w:val="255B6259"/>
    <w:rsid w:val="255E6EA9"/>
    <w:rsid w:val="256A402F"/>
    <w:rsid w:val="25957582"/>
    <w:rsid w:val="25D92EEE"/>
    <w:rsid w:val="26050EBB"/>
    <w:rsid w:val="26281DF3"/>
    <w:rsid w:val="26343834"/>
    <w:rsid w:val="26563200"/>
    <w:rsid w:val="265C10A7"/>
    <w:rsid w:val="26977C64"/>
    <w:rsid w:val="26A26478"/>
    <w:rsid w:val="26E124E1"/>
    <w:rsid w:val="26F747E5"/>
    <w:rsid w:val="270340B5"/>
    <w:rsid w:val="27160F25"/>
    <w:rsid w:val="272E106A"/>
    <w:rsid w:val="27853811"/>
    <w:rsid w:val="27E07F70"/>
    <w:rsid w:val="27E10D23"/>
    <w:rsid w:val="27E814F1"/>
    <w:rsid w:val="27EA7BCB"/>
    <w:rsid w:val="27EF7A05"/>
    <w:rsid w:val="2808287A"/>
    <w:rsid w:val="282A7747"/>
    <w:rsid w:val="286A228A"/>
    <w:rsid w:val="287B406E"/>
    <w:rsid w:val="28941337"/>
    <w:rsid w:val="28AE2CEF"/>
    <w:rsid w:val="28BB3369"/>
    <w:rsid w:val="29031C28"/>
    <w:rsid w:val="29127C2B"/>
    <w:rsid w:val="295F4176"/>
    <w:rsid w:val="2A385D68"/>
    <w:rsid w:val="2A420778"/>
    <w:rsid w:val="2A5A5CF7"/>
    <w:rsid w:val="2A6C6696"/>
    <w:rsid w:val="2A6E1A93"/>
    <w:rsid w:val="2A750BA8"/>
    <w:rsid w:val="2A987924"/>
    <w:rsid w:val="2AA874E0"/>
    <w:rsid w:val="2AFF3EB4"/>
    <w:rsid w:val="2B157704"/>
    <w:rsid w:val="2B603BD7"/>
    <w:rsid w:val="2B6B79B1"/>
    <w:rsid w:val="2B915808"/>
    <w:rsid w:val="2C0C5CE2"/>
    <w:rsid w:val="2C3F1808"/>
    <w:rsid w:val="2C85392E"/>
    <w:rsid w:val="2CF00908"/>
    <w:rsid w:val="2CFA3C14"/>
    <w:rsid w:val="2CFE6E4D"/>
    <w:rsid w:val="2D035D1F"/>
    <w:rsid w:val="2D326C3D"/>
    <w:rsid w:val="2D3879E9"/>
    <w:rsid w:val="2DB71F47"/>
    <w:rsid w:val="2DE7182C"/>
    <w:rsid w:val="2DF854C2"/>
    <w:rsid w:val="2E075AD3"/>
    <w:rsid w:val="2E093941"/>
    <w:rsid w:val="2E8A3450"/>
    <w:rsid w:val="2E9E6BE3"/>
    <w:rsid w:val="2EA64400"/>
    <w:rsid w:val="2EA80B15"/>
    <w:rsid w:val="2ECD6933"/>
    <w:rsid w:val="2F200198"/>
    <w:rsid w:val="2F23566F"/>
    <w:rsid w:val="2F566F0D"/>
    <w:rsid w:val="2FE07DC9"/>
    <w:rsid w:val="2FF50339"/>
    <w:rsid w:val="30023312"/>
    <w:rsid w:val="300E6323"/>
    <w:rsid w:val="3026112F"/>
    <w:rsid w:val="304335C4"/>
    <w:rsid w:val="30774F3C"/>
    <w:rsid w:val="30777F0E"/>
    <w:rsid w:val="30A85ECF"/>
    <w:rsid w:val="30C10E08"/>
    <w:rsid w:val="3108552E"/>
    <w:rsid w:val="314E26A7"/>
    <w:rsid w:val="316B6A6E"/>
    <w:rsid w:val="3185039F"/>
    <w:rsid w:val="31851A4A"/>
    <w:rsid w:val="319E5A58"/>
    <w:rsid w:val="31C747C2"/>
    <w:rsid w:val="31FE687B"/>
    <w:rsid w:val="32163AB9"/>
    <w:rsid w:val="324C65B9"/>
    <w:rsid w:val="32B07ED2"/>
    <w:rsid w:val="32D556C1"/>
    <w:rsid w:val="33445CAB"/>
    <w:rsid w:val="33663D4D"/>
    <w:rsid w:val="33F47AD8"/>
    <w:rsid w:val="33FB3E4A"/>
    <w:rsid w:val="33FC660D"/>
    <w:rsid w:val="3410544E"/>
    <w:rsid w:val="341D7D55"/>
    <w:rsid w:val="342D6F8D"/>
    <w:rsid w:val="342E5821"/>
    <w:rsid w:val="344E257E"/>
    <w:rsid w:val="345B0D40"/>
    <w:rsid w:val="347C2FF1"/>
    <w:rsid w:val="348846D8"/>
    <w:rsid w:val="34B0194F"/>
    <w:rsid w:val="34B41361"/>
    <w:rsid w:val="35760A6B"/>
    <w:rsid w:val="35896BE6"/>
    <w:rsid w:val="35BF63A5"/>
    <w:rsid w:val="362E7A13"/>
    <w:rsid w:val="36420CDA"/>
    <w:rsid w:val="36651A24"/>
    <w:rsid w:val="36707E5F"/>
    <w:rsid w:val="36866665"/>
    <w:rsid w:val="36E91883"/>
    <w:rsid w:val="3701788F"/>
    <w:rsid w:val="370277B6"/>
    <w:rsid w:val="37427820"/>
    <w:rsid w:val="37D6396D"/>
    <w:rsid w:val="3813071E"/>
    <w:rsid w:val="384C6363"/>
    <w:rsid w:val="38516F67"/>
    <w:rsid w:val="3855077D"/>
    <w:rsid w:val="38806FD1"/>
    <w:rsid w:val="3887669F"/>
    <w:rsid w:val="38A55956"/>
    <w:rsid w:val="38BE47F0"/>
    <w:rsid w:val="38DA4C7C"/>
    <w:rsid w:val="39210985"/>
    <w:rsid w:val="39237490"/>
    <w:rsid w:val="393550F5"/>
    <w:rsid w:val="39712C5B"/>
    <w:rsid w:val="39874112"/>
    <w:rsid w:val="39EE59F7"/>
    <w:rsid w:val="3A930B9D"/>
    <w:rsid w:val="3ACC75E1"/>
    <w:rsid w:val="3AD2215F"/>
    <w:rsid w:val="3B200FA6"/>
    <w:rsid w:val="3B2327B4"/>
    <w:rsid w:val="3B2F459B"/>
    <w:rsid w:val="3B36041A"/>
    <w:rsid w:val="3B3D4755"/>
    <w:rsid w:val="3B4B5729"/>
    <w:rsid w:val="3B911029"/>
    <w:rsid w:val="3B9D4328"/>
    <w:rsid w:val="3BA245EC"/>
    <w:rsid w:val="3BE95060"/>
    <w:rsid w:val="3BFF1F44"/>
    <w:rsid w:val="3C3D70D7"/>
    <w:rsid w:val="3C5907F4"/>
    <w:rsid w:val="3CD4505F"/>
    <w:rsid w:val="3D18737A"/>
    <w:rsid w:val="3D2C54B2"/>
    <w:rsid w:val="3D430BBA"/>
    <w:rsid w:val="3D5B547D"/>
    <w:rsid w:val="3D6919F4"/>
    <w:rsid w:val="3D786656"/>
    <w:rsid w:val="3D827C9B"/>
    <w:rsid w:val="3D840E20"/>
    <w:rsid w:val="3D904EBD"/>
    <w:rsid w:val="3E5D2C31"/>
    <w:rsid w:val="3E92664B"/>
    <w:rsid w:val="3EAD5395"/>
    <w:rsid w:val="3EC66741"/>
    <w:rsid w:val="3EF40A7E"/>
    <w:rsid w:val="3F24617A"/>
    <w:rsid w:val="3F3F3440"/>
    <w:rsid w:val="3F40748E"/>
    <w:rsid w:val="3F417F1C"/>
    <w:rsid w:val="3F5F706F"/>
    <w:rsid w:val="3FB33DB6"/>
    <w:rsid w:val="3FBF01F2"/>
    <w:rsid w:val="3FBF03BD"/>
    <w:rsid w:val="3FF22E3C"/>
    <w:rsid w:val="40345529"/>
    <w:rsid w:val="4081675F"/>
    <w:rsid w:val="408A2B6F"/>
    <w:rsid w:val="408D2D57"/>
    <w:rsid w:val="40FD5F5F"/>
    <w:rsid w:val="41120516"/>
    <w:rsid w:val="411A51AC"/>
    <w:rsid w:val="411D06EF"/>
    <w:rsid w:val="41D30497"/>
    <w:rsid w:val="41FE4B63"/>
    <w:rsid w:val="422B298A"/>
    <w:rsid w:val="422C5607"/>
    <w:rsid w:val="42454094"/>
    <w:rsid w:val="425B6C52"/>
    <w:rsid w:val="42703746"/>
    <w:rsid w:val="4274524B"/>
    <w:rsid w:val="427C2F84"/>
    <w:rsid w:val="4280222A"/>
    <w:rsid w:val="42841F35"/>
    <w:rsid w:val="429268CF"/>
    <w:rsid w:val="42D32DB8"/>
    <w:rsid w:val="431326C3"/>
    <w:rsid w:val="431431D4"/>
    <w:rsid w:val="431E7600"/>
    <w:rsid w:val="43217E9C"/>
    <w:rsid w:val="43327303"/>
    <w:rsid w:val="43383EA0"/>
    <w:rsid w:val="434F35B7"/>
    <w:rsid w:val="43507313"/>
    <w:rsid w:val="43574986"/>
    <w:rsid w:val="435E6200"/>
    <w:rsid w:val="440B6D71"/>
    <w:rsid w:val="44160872"/>
    <w:rsid w:val="44C72117"/>
    <w:rsid w:val="44D31250"/>
    <w:rsid w:val="44D975BB"/>
    <w:rsid w:val="45225E26"/>
    <w:rsid w:val="452B429C"/>
    <w:rsid w:val="453E5D7D"/>
    <w:rsid w:val="45482B33"/>
    <w:rsid w:val="45782BD4"/>
    <w:rsid w:val="457C59D5"/>
    <w:rsid w:val="459645A6"/>
    <w:rsid w:val="45AC0FFA"/>
    <w:rsid w:val="45C42767"/>
    <w:rsid w:val="45DC4A74"/>
    <w:rsid w:val="45E9646F"/>
    <w:rsid w:val="461616EB"/>
    <w:rsid w:val="461B273A"/>
    <w:rsid w:val="461B33C5"/>
    <w:rsid w:val="4666432D"/>
    <w:rsid w:val="46C60CEA"/>
    <w:rsid w:val="46C8272C"/>
    <w:rsid w:val="47234C15"/>
    <w:rsid w:val="4727411C"/>
    <w:rsid w:val="47430DCF"/>
    <w:rsid w:val="47877FFB"/>
    <w:rsid w:val="47CC210A"/>
    <w:rsid w:val="47F94154"/>
    <w:rsid w:val="485B7B58"/>
    <w:rsid w:val="487B44F6"/>
    <w:rsid w:val="48873598"/>
    <w:rsid w:val="48DD592A"/>
    <w:rsid w:val="49271A4C"/>
    <w:rsid w:val="49722646"/>
    <w:rsid w:val="497E2BEC"/>
    <w:rsid w:val="49C569E9"/>
    <w:rsid w:val="49F14B1B"/>
    <w:rsid w:val="4A195C5D"/>
    <w:rsid w:val="4A1B7AC6"/>
    <w:rsid w:val="4A220E27"/>
    <w:rsid w:val="4A7A40A1"/>
    <w:rsid w:val="4AC54EC0"/>
    <w:rsid w:val="4ADD1881"/>
    <w:rsid w:val="4AED1442"/>
    <w:rsid w:val="4B075259"/>
    <w:rsid w:val="4B240856"/>
    <w:rsid w:val="4B625723"/>
    <w:rsid w:val="4B683341"/>
    <w:rsid w:val="4B754B18"/>
    <w:rsid w:val="4BE3778A"/>
    <w:rsid w:val="4C0A3CD4"/>
    <w:rsid w:val="4C2618C2"/>
    <w:rsid w:val="4C365338"/>
    <w:rsid w:val="4C561D5D"/>
    <w:rsid w:val="4C7A6FB0"/>
    <w:rsid w:val="4D0D22CC"/>
    <w:rsid w:val="4D16380C"/>
    <w:rsid w:val="4D3328CC"/>
    <w:rsid w:val="4D545A21"/>
    <w:rsid w:val="4D7C69F1"/>
    <w:rsid w:val="4DB659ED"/>
    <w:rsid w:val="4DD058AE"/>
    <w:rsid w:val="4E054B87"/>
    <w:rsid w:val="4E621CF8"/>
    <w:rsid w:val="4E717B12"/>
    <w:rsid w:val="4E9C7427"/>
    <w:rsid w:val="4EC9149A"/>
    <w:rsid w:val="4ED6317E"/>
    <w:rsid w:val="4EE73FC3"/>
    <w:rsid w:val="4EEC4B6F"/>
    <w:rsid w:val="4F0F751B"/>
    <w:rsid w:val="4F2714F8"/>
    <w:rsid w:val="4F4562B5"/>
    <w:rsid w:val="4F603530"/>
    <w:rsid w:val="4F627019"/>
    <w:rsid w:val="4F8E282C"/>
    <w:rsid w:val="4FC43DC4"/>
    <w:rsid w:val="50416372"/>
    <w:rsid w:val="50795EBC"/>
    <w:rsid w:val="50AE6ABE"/>
    <w:rsid w:val="50BF5FB2"/>
    <w:rsid w:val="50CC366C"/>
    <w:rsid w:val="50D106D2"/>
    <w:rsid w:val="50D81C6D"/>
    <w:rsid w:val="511B12A6"/>
    <w:rsid w:val="513941A5"/>
    <w:rsid w:val="514A5AAA"/>
    <w:rsid w:val="514E7D51"/>
    <w:rsid w:val="51546491"/>
    <w:rsid w:val="51A54DFD"/>
    <w:rsid w:val="525664B8"/>
    <w:rsid w:val="527C6D3C"/>
    <w:rsid w:val="528D316F"/>
    <w:rsid w:val="52DA5028"/>
    <w:rsid w:val="52EF0539"/>
    <w:rsid w:val="532423D6"/>
    <w:rsid w:val="53BC614D"/>
    <w:rsid w:val="53D03443"/>
    <w:rsid w:val="542163CA"/>
    <w:rsid w:val="54437FCE"/>
    <w:rsid w:val="54471A18"/>
    <w:rsid w:val="54643B32"/>
    <w:rsid w:val="5468285F"/>
    <w:rsid w:val="546D77E0"/>
    <w:rsid w:val="5486329D"/>
    <w:rsid w:val="54895C2A"/>
    <w:rsid w:val="54B10FEB"/>
    <w:rsid w:val="54BB4C07"/>
    <w:rsid w:val="54C150DF"/>
    <w:rsid w:val="54E67E67"/>
    <w:rsid w:val="552327EE"/>
    <w:rsid w:val="554B791C"/>
    <w:rsid w:val="556E4983"/>
    <w:rsid w:val="557F55A3"/>
    <w:rsid w:val="5582323D"/>
    <w:rsid w:val="559A30BC"/>
    <w:rsid w:val="559E0F31"/>
    <w:rsid w:val="55AF59F9"/>
    <w:rsid w:val="55BD7D30"/>
    <w:rsid w:val="55C706D0"/>
    <w:rsid w:val="55C93C35"/>
    <w:rsid w:val="55CB6B05"/>
    <w:rsid w:val="5634700C"/>
    <w:rsid w:val="5685359D"/>
    <w:rsid w:val="56DC07B3"/>
    <w:rsid w:val="573148E0"/>
    <w:rsid w:val="573643E0"/>
    <w:rsid w:val="573C752C"/>
    <w:rsid w:val="576632A3"/>
    <w:rsid w:val="57923212"/>
    <w:rsid w:val="579315C7"/>
    <w:rsid w:val="57B81D0A"/>
    <w:rsid w:val="57C540DC"/>
    <w:rsid w:val="57C87729"/>
    <w:rsid w:val="57CF3D8B"/>
    <w:rsid w:val="580D2309"/>
    <w:rsid w:val="585260C7"/>
    <w:rsid w:val="58883033"/>
    <w:rsid w:val="591365FF"/>
    <w:rsid w:val="598E4988"/>
    <w:rsid w:val="59A65AC3"/>
    <w:rsid w:val="59EC6471"/>
    <w:rsid w:val="59F4182F"/>
    <w:rsid w:val="59FF2D1D"/>
    <w:rsid w:val="5A0B1D4B"/>
    <w:rsid w:val="5A4B2826"/>
    <w:rsid w:val="5A532B5B"/>
    <w:rsid w:val="5A582698"/>
    <w:rsid w:val="5A765B2E"/>
    <w:rsid w:val="5A82403D"/>
    <w:rsid w:val="5AE406A1"/>
    <w:rsid w:val="5B050838"/>
    <w:rsid w:val="5B1742D4"/>
    <w:rsid w:val="5B4478D0"/>
    <w:rsid w:val="5B51290C"/>
    <w:rsid w:val="5B6D5BE2"/>
    <w:rsid w:val="5B9916BB"/>
    <w:rsid w:val="5BE7274E"/>
    <w:rsid w:val="5C073369"/>
    <w:rsid w:val="5C3100CA"/>
    <w:rsid w:val="5C382143"/>
    <w:rsid w:val="5C4A5B73"/>
    <w:rsid w:val="5C4E25C2"/>
    <w:rsid w:val="5C7F0CFE"/>
    <w:rsid w:val="5CA43431"/>
    <w:rsid w:val="5CB34546"/>
    <w:rsid w:val="5CEC2F5D"/>
    <w:rsid w:val="5D1D7B60"/>
    <w:rsid w:val="5D436F75"/>
    <w:rsid w:val="5D7052FE"/>
    <w:rsid w:val="5D83659C"/>
    <w:rsid w:val="5D98691B"/>
    <w:rsid w:val="5DC23D49"/>
    <w:rsid w:val="5DD74833"/>
    <w:rsid w:val="5DF8793F"/>
    <w:rsid w:val="5E537F72"/>
    <w:rsid w:val="5E596E1B"/>
    <w:rsid w:val="5EB15584"/>
    <w:rsid w:val="5EC97E29"/>
    <w:rsid w:val="5EF80146"/>
    <w:rsid w:val="5F2F1CD4"/>
    <w:rsid w:val="5F353617"/>
    <w:rsid w:val="5F385DC0"/>
    <w:rsid w:val="5F3D1EAB"/>
    <w:rsid w:val="5F5E2B0C"/>
    <w:rsid w:val="5F816A14"/>
    <w:rsid w:val="5F886BF1"/>
    <w:rsid w:val="5F900F81"/>
    <w:rsid w:val="5FBE733D"/>
    <w:rsid w:val="5FF502A2"/>
    <w:rsid w:val="60852973"/>
    <w:rsid w:val="60F74BF5"/>
    <w:rsid w:val="611D2B4B"/>
    <w:rsid w:val="612C1B6A"/>
    <w:rsid w:val="614B3B50"/>
    <w:rsid w:val="618E558D"/>
    <w:rsid w:val="61BB351A"/>
    <w:rsid w:val="61EA4E6B"/>
    <w:rsid w:val="61FE4473"/>
    <w:rsid w:val="62332E7A"/>
    <w:rsid w:val="626302CA"/>
    <w:rsid w:val="62715ABE"/>
    <w:rsid w:val="627661ED"/>
    <w:rsid w:val="62D91AD8"/>
    <w:rsid w:val="62EE244C"/>
    <w:rsid w:val="631C429F"/>
    <w:rsid w:val="63340F61"/>
    <w:rsid w:val="63B3425D"/>
    <w:rsid w:val="63C24BE9"/>
    <w:rsid w:val="63DF3789"/>
    <w:rsid w:val="63F8665E"/>
    <w:rsid w:val="64304329"/>
    <w:rsid w:val="64850BEA"/>
    <w:rsid w:val="64E66091"/>
    <w:rsid w:val="65152F79"/>
    <w:rsid w:val="65601678"/>
    <w:rsid w:val="65EF2D48"/>
    <w:rsid w:val="65F84527"/>
    <w:rsid w:val="65F94546"/>
    <w:rsid w:val="66F27051"/>
    <w:rsid w:val="673A72C8"/>
    <w:rsid w:val="677D5E69"/>
    <w:rsid w:val="678A05A5"/>
    <w:rsid w:val="67C71BA3"/>
    <w:rsid w:val="67C72F8D"/>
    <w:rsid w:val="67CD16EE"/>
    <w:rsid w:val="683602EC"/>
    <w:rsid w:val="683A01CF"/>
    <w:rsid w:val="683F2E59"/>
    <w:rsid w:val="68522DE5"/>
    <w:rsid w:val="686C30E3"/>
    <w:rsid w:val="68817792"/>
    <w:rsid w:val="68BA1E05"/>
    <w:rsid w:val="68C842A8"/>
    <w:rsid w:val="68C94BDA"/>
    <w:rsid w:val="68D86BAF"/>
    <w:rsid w:val="68D973F4"/>
    <w:rsid w:val="690E0C53"/>
    <w:rsid w:val="69340CF6"/>
    <w:rsid w:val="693801E6"/>
    <w:rsid w:val="695A677E"/>
    <w:rsid w:val="69722E90"/>
    <w:rsid w:val="69A51491"/>
    <w:rsid w:val="69A912B3"/>
    <w:rsid w:val="69BC2AA9"/>
    <w:rsid w:val="69D45A0A"/>
    <w:rsid w:val="69EF3FA1"/>
    <w:rsid w:val="6A211437"/>
    <w:rsid w:val="6A551979"/>
    <w:rsid w:val="6A854623"/>
    <w:rsid w:val="6AC30431"/>
    <w:rsid w:val="6ADF0B16"/>
    <w:rsid w:val="6AEC7A63"/>
    <w:rsid w:val="6B3C14AA"/>
    <w:rsid w:val="6B3F5E44"/>
    <w:rsid w:val="6B4559A7"/>
    <w:rsid w:val="6B4D55ED"/>
    <w:rsid w:val="6B53513B"/>
    <w:rsid w:val="6B7E3E65"/>
    <w:rsid w:val="6B871ABC"/>
    <w:rsid w:val="6B957BB9"/>
    <w:rsid w:val="6BA647CD"/>
    <w:rsid w:val="6BC66EA3"/>
    <w:rsid w:val="6CA87429"/>
    <w:rsid w:val="6CB450FD"/>
    <w:rsid w:val="6CBC315F"/>
    <w:rsid w:val="6D1D50E8"/>
    <w:rsid w:val="6D3C4D14"/>
    <w:rsid w:val="6D774270"/>
    <w:rsid w:val="6DB93CBE"/>
    <w:rsid w:val="6DD15131"/>
    <w:rsid w:val="6DDD2798"/>
    <w:rsid w:val="6DFC5E62"/>
    <w:rsid w:val="6E1A73E2"/>
    <w:rsid w:val="6E8767CA"/>
    <w:rsid w:val="6EC175E4"/>
    <w:rsid w:val="6EF915DE"/>
    <w:rsid w:val="6F110126"/>
    <w:rsid w:val="6F2433C3"/>
    <w:rsid w:val="6F2F761B"/>
    <w:rsid w:val="6F570614"/>
    <w:rsid w:val="6F776151"/>
    <w:rsid w:val="702F29DA"/>
    <w:rsid w:val="703715E4"/>
    <w:rsid w:val="706F348B"/>
    <w:rsid w:val="70813E31"/>
    <w:rsid w:val="70D834FE"/>
    <w:rsid w:val="71285068"/>
    <w:rsid w:val="713301D7"/>
    <w:rsid w:val="714C1F50"/>
    <w:rsid w:val="71755B45"/>
    <w:rsid w:val="719A4B87"/>
    <w:rsid w:val="71A0798B"/>
    <w:rsid w:val="71D838EB"/>
    <w:rsid w:val="7201710A"/>
    <w:rsid w:val="721245BB"/>
    <w:rsid w:val="721640B6"/>
    <w:rsid w:val="726363D2"/>
    <w:rsid w:val="7289399B"/>
    <w:rsid w:val="729D5913"/>
    <w:rsid w:val="72A20C37"/>
    <w:rsid w:val="72B92EB4"/>
    <w:rsid w:val="72D17EBB"/>
    <w:rsid w:val="72D413DD"/>
    <w:rsid w:val="72D82400"/>
    <w:rsid w:val="73312E2A"/>
    <w:rsid w:val="73514BC3"/>
    <w:rsid w:val="73644E7F"/>
    <w:rsid w:val="73A15B75"/>
    <w:rsid w:val="73B50B5A"/>
    <w:rsid w:val="73C846D6"/>
    <w:rsid w:val="73D72D76"/>
    <w:rsid w:val="74205DF3"/>
    <w:rsid w:val="742C41C0"/>
    <w:rsid w:val="74455C41"/>
    <w:rsid w:val="746C450B"/>
    <w:rsid w:val="746F0E70"/>
    <w:rsid w:val="747E66E9"/>
    <w:rsid w:val="74B005BA"/>
    <w:rsid w:val="74B85E07"/>
    <w:rsid w:val="74E122F7"/>
    <w:rsid w:val="74E162C6"/>
    <w:rsid w:val="75430A0D"/>
    <w:rsid w:val="76092BE1"/>
    <w:rsid w:val="76134A7F"/>
    <w:rsid w:val="7619259E"/>
    <w:rsid w:val="76194B60"/>
    <w:rsid w:val="76B43A38"/>
    <w:rsid w:val="76F81761"/>
    <w:rsid w:val="76FA276E"/>
    <w:rsid w:val="77093988"/>
    <w:rsid w:val="771129F1"/>
    <w:rsid w:val="777C372C"/>
    <w:rsid w:val="77840675"/>
    <w:rsid w:val="778F2B43"/>
    <w:rsid w:val="779C5E07"/>
    <w:rsid w:val="77E992F5"/>
    <w:rsid w:val="77FC67B9"/>
    <w:rsid w:val="780F0B33"/>
    <w:rsid w:val="783052B3"/>
    <w:rsid w:val="783629F5"/>
    <w:rsid w:val="785F9838"/>
    <w:rsid w:val="7865614F"/>
    <w:rsid w:val="78673DEA"/>
    <w:rsid w:val="78AA0BE3"/>
    <w:rsid w:val="78DF13CD"/>
    <w:rsid w:val="79420AE6"/>
    <w:rsid w:val="794627BC"/>
    <w:rsid w:val="79492D38"/>
    <w:rsid w:val="795453E1"/>
    <w:rsid w:val="799B3F11"/>
    <w:rsid w:val="79DA48DD"/>
    <w:rsid w:val="7A040D49"/>
    <w:rsid w:val="7A195F36"/>
    <w:rsid w:val="7A205F95"/>
    <w:rsid w:val="7A3031E0"/>
    <w:rsid w:val="7A41252F"/>
    <w:rsid w:val="7A4615FD"/>
    <w:rsid w:val="7A594F26"/>
    <w:rsid w:val="7A763B8C"/>
    <w:rsid w:val="7ACC5069"/>
    <w:rsid w:val="7AD410D3"/>
    <w:rsid w:val="7AFB7886"/>
    <w:rsid w:val="7B1D4F2A"/>
    <w:rsid w:val="7B2C10FC"/>
    <w:rsid w:val="7B5D34E7"/>
    <w:rsid w:val="7B691222"/>
    <w:rsid w:val="7B6E328D"/>
    <w:rsid w:val="7B7F3192"/>
    <w:rsid w:val="7B85302B"/>
    <w:rsid w:val="7BA30236"/>
    <w:rsid w:val="7BC03AF0"/>
    <w:rsid w:val="7BC1622C"/>
    <w:rsid w:val="7BD45938"/>
    <w:rsid w:val="7BEE07DF"/>
    <w:rsid w:val="7CBA580B"/>
    <w:rsid w:val="7CBF7B63"/>
    <w:rsid w:val="7CC25786"/>
    <w:rsid w:val="7CC57D7F"/>
    <w:rsid w:val="7CD62DD9"/>
    <w:rsid w:val="7D177394"/>
    <w:rsid w:val="7D32498B"/>
    <w:rsid w:val="7D7B2DBF"/>
    <w:rsid w:val="7E260644"/>
    <w:rsid w:val="7E626E47"/>
    <w:rsid w:val="7E632A2D"/>
    <w:rsid w:val="7E85323F"/>
    <w:rsid w:val="7ED86A6B"/>
    <w:rsid w:val="7EE32F8B"/>
    <w:rsid w:val="7EFC18E2"/>
    <w:rsid w:val="7F0319CC"/>
    <w:rsid w:val="7F2C4199"/>
    <w:rsid w:val="7F6A5034"/>
    <w:rsid w:val="7F971492"/>
    <w:rsid w:val="7F9D1381"/>
    <w:rsid w:val="7FB33AF1"/>
    <w:rsid w:val="7FC33907"/>
    <w:rsid w:val="7FF63F2C"/>
    <w:rsid w:val="7FF828C1"/>
    <w:rsid w:val="AA6DF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99"/>
    <w:rPr>
      <w:rFonts w:ascii="等线" w:hAnsi="Courier New" w:eastAsia="等线" w:cs="Times New Roman"/>
      <w:szCs w:val="22"/>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Body Text Indent 2"/>
    <w:basedOn w:val="1"/>
    <w:qFormat/>
    <w:uiPriority w:val="0"/>
    <w:pPr>
      <w:spacing w:line="480" w:lineRule="auto"/>
      <w:ind w:left="420" w:leftChars="200"/>
    </w:pPr>
  </w:style>
  <w:style w:type="paragraph" w:styleId="9">
    <w:name w:val="Balloon Text"/>
    <w:basedOn w:val="1"/>
    <w:link w:val="4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Subtitle"/>
    <w:basedOn w:val="1"/>
    <w:next w:val="1"/>
    <w:qFormat/>
    <w:uiPriority w:val="11"/>
    <w:pPr>
      <w:spacing w:before="240" w:after="60" w:line="312" w:lineRule="auto"/>
      <w:jc w:val="center"/>
      <w:outlineLvl w:val="1"/>
    </w:pPr>
    <w:rPr>
      <w:rFonts w:ascii="等线 Light" w:hAnsi="等线 Light" w:cs="Times New Roman"/>
      <w:b/>
      <w:bCs/>
      <w:kern w:val="28"/>
      <w:sz w:val="32"/>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afterAutospacing="1"/>
      <w:jc w:val="left"/>
    </w:pPr>
    <w:rPr>
      <w:rFonts w:cs="Times New Roman"/>
      <w:kern w:val="0"/>
      <w:sz w:val="24"/>
    </w:rPr>
  </w:style>
  <w:style w:type="paragraph" w:styleId="16">
    <w:name w:val="Title"/>
    <w:basedOn w:val="1"/>
    <w:next w:val="1"/>
    <w:qFormat/>
    <w:uiPriority w:val="10"/>
    <w:pPr>
      <w:spacing w:before="240" w:after="60"/>
      <w:jc w:val="center"/>
      <w:outlineLvl w:val="0"/>
    </w:pPr>
    <w:rPr>
      <w:rFonts w:ascii="等线 Light" w:hAnsi="等线 Light" w:cs="Times New Roman"/>
      <w:sz w:val="32"/>
    </w:rPr>
  </w:style>
  <w:style w:type="paragraph" w:styleId="17">
    <w:name w:val="Body Text First Indent 2"/>
    <w:qFormat/>
    <w:uiPriority w:val="99"/>
    <w:pPr>
      <w:widowControl w:val="0"/>
      <w:spacing w:line="560" w:lineRule="exact"/>
      <w:ind w:firstLine="420" w:firstLineChars="200"/>
      <w:jc w:val="both"/>
    </w:pPr>
    <w:rPr>
      <w:rFonts w:ascii="Times New Roman" w:hAnsi="Times New Roman" w:eastAsia="方正仿宋" w:cs="Times New Roman"/>
      <w:kern w:val="2"/>
      <w:sz w:val="32"/>
      <w:szCs w:val="32"/>
      <w:lang w:val="en-US" w:eastAsia="zh-CN" w:bidi="ar-SA"/>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FollowedHyperlink"/>
    <w:basedOn w:val="20"/>
    <w:qFormat/>
    <w:uiPriority w:val="0"/>
    <w:rPr>
      <w:color w:val="161616"/>
      <w:u w:val="none"/>
    </w:rPr>
  </w:style>
  <w:style w:type="character" w:styleId="23">
    <w:name w:val="Hyperlink"/>
    <w:basedOn w:val="20"/>
    <w:qFormat/>
    <w:uiPriority w:val="0"/>
    <w:rPr>
      <w:color w:val="161616"/>
      <w:u w:val="none"/>
    </w:rPr>
  </w:style>
  <w:style w:type="character" w:styleId="24">
    <w:name w:val="HTML Code"/>
    <w:basedOn w:val="20"/>
    <w:qFormat/>
    <w:uiPriority w:val="0"/>
    <w:rPr>
      <w:rFonts w:hint="default" w:ascii="Consolas" w:hAnsi="Consolas" w:eastAsia="Consolas" w:cs="Consolas"/>
      <w:color w:val="E83E8C"/>
      <w:sz w:val="21"/>
      <w:szCs w:val="21"/>
    </w:rPr>
  </w:style>
  <w:style w:type="character" w:styleId="25">
    <w:name w:val="HTML Keyboard"/>
    <w:basedOn w:val="20"/>
    <w:qFormat/>
    <w:uiPriority w:val="0"/>
    <w:rPr>
      <w:rFonts w:ascii="Consolas" w:hAnsi="Consolas" w:eastAsia="Consolas" w:cs="Consolas"/>
      <w:color w:val="FFFFFF"/>
      <w:sz w:val="21"/>
      <w:szCs w:val="21"/>
      <w:shd w:val="clear" w:color="auto" w:fill="212529"/>
    </w:rPr>
  </w:style>
  <w:style w:type="character" w:styleId="26">
    <w:name w:val="HTML Sample"/>
    <w:basedOn w:val="20"/>
    <w:qFormat/>
    <w:uiPriority w:val="0"/>
    <w:rPr>
      <w:rFonts w:hint="default" w:ascii="Consolas" w:hAnsi="Consolas" w:eastAsia="Consolas" w:cs="Consolas"/>
      <w:sz w:val="21"/>
      <w:szCs w:val="21"/>
    </w:rPr>
  </w:style>
  <w:style w:type="character" w:customStyle="1" w:styleId="27">
    <w:name w:val="disabled"/>
    <w:basedOn w:val="20"/>
    <w:qFormat/>
    <w:uiPriority w:val="0"/>
    <w:rPr>
      <w:color w:val="BFBFBF"/>
    </w:rPr>
  </w:style>
  <w:style w:type="character" w:customStyle="1" w:styleId="28">
    <w:name w:val="current"/>
    <w:basedOn w:val="20"/>
    <w:qFormat/>
    <w:uiPriority w:val="0"/>
    <w:rPr>
      <w:color w:val="FFFFFF"/>
      <w:shd w:val="clear" w:color="auto" w:fill="428BCA"/>
    </w:rPr>
  </w:style>
  <w:style w:type="character" w:customStyle="1" w:styleId="29">
    <w:name w:val="hover39"/>
    <w:basedOn w:val="20"/>
    <w:qFormat/>
    <w:uiPriority w:val="0"/>
    <w:rPr>
      <w:color w:val="111111"/>
      <w:shd w:val="clear" w:color="auto" w:fill="E9ECEF"/>
    </w:rPr>
  </w:style>
  <w:style w:type="character" w:customStyle="1" w:styleId="30">
    <w:name w:val="hover41"/>
    <w:basedOn w:val="20"/>
    <w:qFormat/>
    <w:uiPriority w:val="0"/>
    <w:rPr>
      <w:color w:val="111111"/>
      <w:shd w:val="clear" w:color="auto" w:fill="E9ECEF"/>
    </w:rPr>
  </w:style>
  <w:style w:type="character" w:customStyle="1" w:styleId="31">
    <w:name w:val="current5"/>
    <w:basedOn w:val="20"/>
    <w:qFormat/>
    <w:uiPriority w:val="0"/>
    <w:rPr>
      <w:color w:val="FFFFFF"/>
      <w:shd w:val="clear" w:color="auto" w:fill="428BCA"/>
    </w:rPr>
  </w:style>
  <w:style w:type="character" w:customStyle="1" w:styleId="32">
    <w:name w:val="disabled2"/>
    <w:basedOn w:val="20"/>
    <w:qFormat/>
    <w:uiPriority w:val="0"/>
    <w:rPr>
      <w:color w:val="BFBFBF"/>
    </w:rPr>
  </w:style>
  <w:style w:type="character" w:customStyle="1" w:styleId="33">
    <w:name w:val="current6"/>
    <w:basedOn w:val="20"/>
    <w:qFormat/>
    <w:uiPriority w:val="0"/>
    <w:rPr>
      <w:color w:val="FFFFFF"/>
      <w:shd w:val="clear" w:color="auto" w:fill="428BCA"/>
    </w:rPr>
  </w:style>
  <w:style w:type="paragraph" w:customStyle="1" w:styleId="34">
    <w:name w:val="p0"/>
    <w:basedOn w:val="1"/>
    <w:qFormat/>
    <w:uiPriority w:val="0"/>
    <w:pPr>
      <w:widowControl/>
    </w:pPr>
    <w:rPr>
      <w:rFonts w:ascii="Calibri" w:hAnsi="Calibri" w:eastAsia="宋体" w:cs="宋体"/>
      <w:kern w:val="0"/>
      <w:szCs w:val="21"/>
    </w:rPr>
  </w:style>
  <w:style w:type="character" w:customStyle="1" w:styleId="35">
    <w:name w:val="font01"/>
    <w:basedOn w:val="20"/>
    <w:qFormat/>
    <w:uiPriority w:val="0"/>
    <w:rPr>
      <w:rFonts w:hint="default" w:ascii="仿宋_GB2312" w:eastAsia="仿宋_GB2312" w:cs="仿宋_GB2312"/>
      <w:color w:val="FF0000"/>
      <w:sz w:val="24"/>
      <w:szCs w:val="24"/>
      <w:u w:val="none"/>
    </w:rPr>
  </w:style>
  <w:style w:type="character" w:customStyle="1" w:styleId="36">
    <w:name w:val="font11"/>
    <w:basedOn w:val="20"/>
    <w:qFormat/>
    <w:uiPriority w:val="0"/>
    <w:rPr>
      <w:rFonts w:hint="default" w:ascii="仿宋_GB2312" w:eastAsia="仿宋_GB2312" w:cs="仿宋_GB2312"/>
      <w:color w:val="000000"/>
      <w:sz w:val="24"/>
      <w:szCs w:val="24"/>
      <w:u w:val="none"/>
    </w:rPr>
  </w:style>
  <w:style w:type="character" w:customStyle="1" w:styleId="37">
    <w:name w:val="font21"/>
    <w:basedOn w:val="20"/>
    <w:qFormat/>
    <w:uiPriority w:val="0"/>
    <w:rPr>
      <w:rFonts w:hint="default" w:ascii="仿宋_GB2312" w:eastAsia="仿宋_GB2312" w:cs="仿宋_GB2312"/>
      <w:color w:val="000000"/>
      <w:sz w:val="24"/>
      <w:szCs w:val="24"/>
      <w:u w:val="none"/>
    </w:rPr>
  </w:style>
  <w:style w:type="paragraph" w:customStyle="1" w:styleId="38">
    <w:name w:val="WPSOffice手动目录 1"/>
    <w:qFormat/>
    <w:uiPriority w:val="0"/>
    <w:rPr>
      <w:rFonts w:ascii="Times New Roman" w:hAnsi="Times New Roman" w:eastAsia="宋体" w:cs="Times New Roman"/>
      <w:lang w:val="en-US" w:eastAsia="zh-CN" w:bidi="ar-SA"/>
    </w:rPr>
  </w:style>
  <w:style w:type="character" w:customStyle="1" w:styleId="39">
    <w:name w:val="NormalCharacter"/>
    <w:qFormat/>
    <w:uiPriority w:val="0"/>
  </w:style>
  <w:style w:type="character" w:customStyle="1" w:styleId="40">
    <w:name w:val="批注框文本 Char"/>
    <w:basedOn w:val="20"/>
    <w:link w:val="9"/>
    <w:qFormat/>
    <w:uiPriority w:val="0"/>
    <w:rPr>
      <w:rFonts w:asciiTheme="minorHAnsi" w:hAnsiTheme="minorHAnsi" w:eastAsiaTheme="minorEastAsia" w:cstheme="minorBidi"/>
      <w:kern w:val="2"/>
      <w:sz w:val="18"/>
      <w:szCs w:val="18"/>
    </w:rPr>
  </w:style>
  <w:style w:type="paragraph" w:customStyle="1" w:styleId="41">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 w:type="paragraph" w:customStyle="1" w:styleId="42">
    <w:name w:val="正文（缩进）"/>
    <w:basedOn w:val="1"/>
    <w:qFormat/>
    <w:uiPriority w:val="0"/>
    <w:pPr>
      <w:spacing w:before="156" w:beforeLines="50" w:after="156" w:afterLines="50"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13528</Words>
  <Characters>17028</Characters>
  <Lines>62</Lines>
  <Paragraphs>17</Paragraphs>
  <TotalTime>5</TotalTime>
  <ScaleCrop>false</ScaleCrop>
  <LinksUpToDate>false</LinksUpToDate>
  <CharactersWithSpaces>17988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2021-02-08T08:24:00Z</dcterms:created>
  <dc:creator>蓝风樱花</dc:creator>
  <cp:lastModifiedBy>szj</cp:lastModifiedBy>
  <dcterms:modified xsi:type="dcterms:W3CDTF">2023-10-18T10:18:52Z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9BE944AA1867473CBCD10B20B7EA9097_13</vt:lpwstr>
  </property>
</Properties>
</file>