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color w:val="auto"/>
          <w:sz w:val="32"/>
          <w:szCs w:val="32"/>
          <w:highlight w:val="none"/>
          <w:lang w:bidi="ar-SA"/>
        </w:rPr>
      </w:pPr>
      <w:r>
        <w:rPr>
          <w:rFonts w:hint="eastAsia" w:ascii="黑体" w:hAnsi="黑体" w:eastAsia="黑体" w:cs="黑体"/>
          <w:color w:val="auto"/>
          <w:sz w:val="32"/>
          <w:szCs w:val="32"/>
          <w:highlight w:val="none"/>
          <w:lang w:bidi="ar-SA"/>
        </w:rPr>
        <w:t>附件</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广东省2023年度查处第二批违法违规</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房地产开发企业、中介机构和</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物业服务企业情况汇总表</w:t>
      </w:r>
      <w:bookmarkStart w:id="0" w:name="_GoBack"/>
      <w:bookmarkEnd w:id="0"/>
    </w:p>
    <w:tbl>
      <w:tblPr>
        <w:tblStyle w:val="6"/>
        <w:tblpPr w:leftFromText="180" w:rightFromText="180" w:vertAnchor="text" w:horzAnchor="page" w:tblpX="1090" w:tblpY="631"/>
        <w:tblOverlap w:val="never"/>
        <w:tblW w:w="103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
        <w:gridCol w:w="3383"/>
        <w:gridCol w:w="4667"/>
        <w:gridCol w:w="1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jc w:val="center"/>
              <w:textAlignment w:val="auto"/>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auto"/>
                <w:kern w:val="0"/>
                <w:sz w:val="22"/>
                <w:szCs w:val="22"/>
                <w:highlight w:val="none"/>
                <w:lang w:bidi="ar-SA"/>
              </w:rPr>
            </w:pPr>
            <w:r>
              <w:rPr>
                <w:rFonts w:hint="eastAsia" w:ascii="宋体" w:hAnsi="宋体" w:eastAsia="宋体" w:cs="宋体"/>
                <w:i w:val="0"/>
                <w:color w:val="000000"/>
                <w:kern w:val="0"/>
                <w:sz w:val="22"/>
                <w:szCs w:val="22"/>
                <w:u w:val="none"/>
                <w:lang w:val="en-US" w:eastAsia="zh-CN" w:bidi="ar"/>
              </w:rPr>
              <w:t>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惠州市泛美置业有限公司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该公司开发的天宸原著花园项目存在擅自将样板房阳台封闭的违规行为。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auto"/>
                <w:kern w:val="0"/>
                <w:sz w:val="22"/>
                <w:szCs w:val="22"/>
                <w:highlight w:val="none"/>
                <w:lang w:bidi="ar-SA"/>
              </w:rPr>
            </w:pPr>
            <w:r>
              <w:rPr>
                <w:rFonts w:hint="eastAsia" w:ascii="宋体" w:hAnsi="宋体" w:eastAsia="宋体" w:cs="宋体"/>
                <w:i w:val="0"/>
                <w:color w:val="000000"/>
                <w:kern w:val="0"/>
                <w:sz w:val="22"/>
                <w:szCs w:val="22"/>
                <w:u w:val="none"/>
                <w:lang w:val="en-US" w:eastAsia="zh-CN" w:bidi="ar"/>
              </w:rPr>
              <w:t>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惠州富茂房地产开发有限公司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该公司开发的富茂海滨城项目存在以装修费、服务费、团购费等名义向购房人收取除房款以外费用的违规行为。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0"/>
                <w:sz w:val="22"/>
                <w:szCs w:val="22"/>
                <w:highlight w:val="none"/>
                <w:u w:val="none"/>
                <w:lang w:val="en-US" w:eastAsia="zh-CN" w:bidi="ar-SA"/>
              </w:rPr>
            </w:pPr>
            <w:r>
              <w:rPr>
                <w:rFonts w:hint="eastAsia" w:ascii="宋体" w:hAnsi="宋体" w:eastAsia="宋体" w:cs="宋体"/>
                <w:i w:val="0"/>
                <w:color w:val="000000"/>
                <w:kern w:val="0"/>
                <w:sz w:val="22"/>
                <w:szCs w:val="22"/>
                <w:u w:val="none"/>
                <w:lang w:val="en-US" w:eastAsia="zh-CN" w:bidi="ar"/>
              </w:rPr>
              <w:t>惠州市名巨房地产开发有限公司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0"/>
                <w:sz w:val="22"/>
                <w:szCs w:val="22"/>
                <w:highlight w:val="none"/>
                <w:u w:val="none"/>
                <w:lang w:val="en-US" w:eastAsia="zh-CN" w:bidi="ar-SA"/>
              </w:rPr>
            </w:pPr>
            <w:r>
              <w:rPr>
                <w:rFonts w:hint="eastAsia" w:ascii="宋体" w:hAnsi="宋体" w:eastAsia="宋体" w:cs="宋体"/>
                <w:i w:val="0"/>
                <w:color w:val="000000"/>
                <w:kern w:val="0"/>
                <w:sz w:val="22"/>
                <w:szCs w:val="22"/>
                <w:u w:val="none"/>
                <w:lang w:val="en-US" w:eastAsia="zh-CN" w:bidi="ar"/>
              </w:rPr>
              <w:t>该公司开发的名巨天汇花园项目存在擅自将样板房阳台封闭的违规行为。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2"/>
                <w:szCs w:val="22"/>
                <w:highlight w:val="none"/>
                <w:u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0"/>
                <w:sz w:val="22"/>
                <w:szCs w:val="22"/>
                <w:highlight w:val="none"/>
                <w:u w:val="none"/>
                <w:lang w:val="en-US" w:eastAsia="zh-CN" w:bidi="ar-SA"/>
              </w:rPr>
            </w:pPr>
            <w:r>
              <w:rPr>
                <w:rFonts w:hint="eastAsia" w:ascii="宋体" w:hAnsi="宋体" w:eastAsia="宋体" w:cs="宋体"/>
                <w:i w:val="0"/>
                <w:color w:val="000000"/>
                <w:kern w:val="0"/>
                <w:sz w:val="22"/>
                <w:szCs w:val="22"/>
                <w:u w:val="none"/>
                <w:lang w:val="en-US" w:eastAsia="zh-CN" w:bidi="ar"/>
              </w:rPr>
              <w:t>惠州市三江实业有限公司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0"/>
                <w:sz w:val="22"/>
                <w:szCs w:val="22"/>
                <w:highlight w:val="none"/>
                <w:u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2"/>
                <w:szCs w:val="22"/>
                <w:highlight w:val="none"/>
                <w:u w:val="none"/>
                <w:lang w:val="en-US" w:eastAsia="zh-CN" w:bidi="ar-SA"/>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heme="minorEastAsia" w:hAnsiTheme="minorEastAsia" w:eastAsiaTheme="minorEastAsia" w:cstheme="minorEastAsia"/>
                <w:color w:val="auto"/>
                <w:kern w:val="0"/>
                <w:sz w:val="22"/>
                <w:szCs w:val="22"/>
                <w:highlight w:val="none"/>
                <w:lang w:val="en" w:eastAsia="zh-CN" w:bidi="ar-SA"/>
              </w:rPr>
            </w:pPr>
            <w:r>
              <w:rPr>
                <w:rFonts w:hint="eastAsia" w:ascii="宋体" w:hAnsi="宋体" w:eastAsia="宋体" w:cs="宋体"/>
                <w:i w:val="0"/>
                <w:color w:val="000000"/>
                <w:kern w:val="0"/>
                <w:sz w:val="22"/>
                <w:szCs w:val="22"/>
                <w:u w:val="none"/>
                <w:lang w:val="en-US" w:eastAsia="zh-CN" w:bidi="ar"/>
              </w:rPr>
              <w:t>博罗县罗阳街道德信房地产中介服务部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该公司位于博罗县罗阳镇商业东街惠德园四座11号的经营场所未按规定公示服务项目、服务内容、收费标准、机构信息、交易资金监管方式等内容。</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博罗县罗阳街道粤居房地产中介服务部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该公司位于博罗县罗阳街道上塘村龙溪排洪渠东边的经营场所未按规定公示服务项目、服务内容、收费标准、机构信息、交易资金监管方式等内容。</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惠州市富海房地产经纪有限公司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该公司房地产经纪机构备案证书已过期。</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惠州市聚创房地产经纪有限公司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该公司房地产经纪机构备案证书已过期。</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深圳市万科物业服务有限公司惠州分公司（金域华庭二期、三期）</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该公司未履行物业管理区域有限空间安全管理责任。</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博罗县宝麟物业管理有限公司（龙秋阁）</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该公司擅自采取停水停电方式向业主催缴费用。</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广州海伦堡物业管理有限公司大亚湾分公司（颐雅境</w:t>
            </w:r>
            <w:r>
              <w:rPr>
                <w:rStyle w:val="8"/>
                <w:lang w:val="en-US" w:eastAsia="zh-CN" w:bidi="ar"/>
              </w:rPr>
              <w:t>·</w:t>
            </w:r>
            <w:r>
              <w:rPr>
                <w:rStyle w:val="9"/>
                <w:lang w:val="en-US" w:eastAsia="zh-CN" w:bidi="ar"/>
              </w:rPr>
              <w:t>香奈花园）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该公司未按规定对物业共用部位、共用设施设备进行检查及管养维修工作。</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予以信用扣分。已整改。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东莞市淞湖溢洲物业管理有限公司（丹桂丽社店）</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该公司未按规定办理房地产经纪机构备案，擅自从事房地产经纪服务活动。</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8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东莞市德顺房地产中介有限公司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东莞市家硕房地产中介服务有限公司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东莞市康桥房地产中介有限公司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东莞市卓炜地产有限公司桥头分公司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东莞市鑫旺投资咨询有限公司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东莞市祥益业房地产中介有限公司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东莞市广美房地产经纪有限公司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20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东莞市汇惠房地产中介有限公司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21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东莞市家盛房地产中介有限公司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22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东莞市百顺置业有限公司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23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东莞市致美企业管理咨询咨询有限公司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24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东莞市百勤房地产经纪有限公司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25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东莞市晟源置业有限公司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该公司门店未按规定公示房地产经纪机构备案证明文件。</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26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东莞市佰仕房地产经纪有限公司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东莞市信居房地产经纪有限公司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28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东莞市春晓房地产顾问有限公司横沥中山中路营业部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29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东莞市春晓房地产顾问有限公司横沥名巨中央营业部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鹤山市众域物业管理有限公司(众域御景湾)</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该公司在没有任何约定的情况下，向通过拍卖所得房产的业主收取房地产开发单位欠缴的物业费。</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已约谈该企业。已整改。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台山市骏景湾悦峰物业管理有限公司（骏景湾悦峰花园）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该公司未按照《民法典》等法律法规规定告知城市房屋室内装饰装修的禁止行为和注意事项，未按规定进行巡查检查，未及时采取合理措施制止和向有关主管部门报告。</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广州海腾物业管理有限公司江门分公司（盈俊轩）</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物业管理区域内发生违法违规行为，该公司未及时予以劝阻、制止，劝阻、制止无效的，未及时上报属地执法部门。</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江门市天元物业管理有限公司（明泰城）</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该公司未经业主同意擅自利用物业用房投放广告。</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开平市佳富物业管理有限公司台山分公司（凯旋豪庭）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存在以下行为：未按规定做好物业管理区域内消防安全、防汛等安全防范工作；未按规定对物业共用部位、共用设施设备安全状况进行检查并及时处理有关安全隐患；未按规定合理设置消防车通道，施划黄色禁止停车标线，清理消防车道上可移动障碍物；未按照《民法典》等法律法规规定告知城市房屋室内装饰装修的禁止行为和注意事项，未按规定进行巡查检查，未及时采取合理措施制止和向有关主管部门报告；未按规定或物业服务合同约定对结建式人防工程土建、排水防涝、环境卫生等进行日常维护管理。</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深圳市金地物业管理有限公司台山分公司（奥园禧悦台）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存在以下行为：未按规定或物业服务合同约定对结建式人防工程土建、排水防涝、环境卫生等进行日常维护管理；未按规定做好物业管理区域内消防安全、防汛等安全防范工作的；未按规定对物业共用部位、共用设施设备安全状况进行检查并及时处理有关安全隐患，或侵占、损坏、擅自停用消防设施设备。</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依法责令限期改正。整改中。</w:t>
            </w:r>
          </w:p>
        </w:tc>
      </w:tr>
    </w:tbl>
    <w:p/>
    <w:p>
      <w:pPr>
        <w:pStyle w:val="2"/>
      </w:pPr>
    </w:p>
    <w:tbl>
      <w:tblPr>
        <w:tblStyle w:val="6"/>
        <w:tblpPr w:leftFromText="180" w:rightFromText="180" w:vertAnchor="text" w:horzAnchor="page" w:tblpX="1090" w:tblpY="1"/>
        <w:tblOverlap w:val="never"/>
        <w:tblW w:w="103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
        <w:gridCol w:w="3383"/>
        <w:gridCol w:w="4667"/>
        <w:gridCol w:w="1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湛江市南油北苑物业服务有限公司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该公司服务的南油北苑小区违规停放“僵尸车”，充电区域有易燃杂物堆放，存在消防安全隐患。</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37</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湛江市乐源物业服务有限公司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该公司服务的东新华庭小区发电机房整体环境卫生较差，机房内摆放大量易燃物品，存在重大的安全隐患。</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38</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湛江市凯华物业服务有限公司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该公司服务的凯成新苑小区发电机房内外摆放大量易燃物品，发电机组处于关闭状态，存在重大的安全隐患。</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湛江市西粤京基城物业服务有限公司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该公司服务的西粤京基城小区楼层防火门存在生锈腐蚀严重的问题。</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color w:val="auto"/>
                <w:kern w:val="0"/>
                <w:sz w:val="22"/>
                <w:szCs w:val="22"/>
                <w:highlight w:val="none"/>
                <w:lang w:val="en-US" w:eastAsia="zh-CN" w:bidi="ar-SA"/>
              </w:rPr>
            </w:pPr>
            <w:r>
              <w:rPr>
                <w:rFonts w:hint="eastAsia" w:asciiTheme="minorEastAsia" w:hAnsiTheme="minorEastAsia" w:eastAsiaTheme="minorEastAsia" w:cstheme="minorEastAsia"/>
                <w:color w:val="auto"/>
                <w:kern w:val="0"/>
                <w:sz w:val="22"/>
                <w:szCs w:val="22"/>
                <w:highlight w:val="none"/>
                <w:lang w:val="en-US" w:eastAsia="zh-CN" w:bidi="ar-SA"/>
              </w:rPr>
              <w:t>40</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信实（湛江）有限公司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该公司虚报博达誉峰项目实际建筑楼层。</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依法撤销该项目的《商品房预售许可证》。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41</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湛江市世华房地产代理有限公司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该公司为交易当事人规避房屋交易税费等非法目的，就同一房屋签订不同交易价款的合同提供便利。</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调查中。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汕头市天诚物业管理有限公司（龙湖区银安花园）</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该公司未按规定做好物业管理区域内的防台风、防汛等安全防范工作，未制定防风防汛应急预案。</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广东东联物业管理有限公司（濠江区绿地中心）</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该公司未及时处理业主投诉，导致业主频繁投诉。</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乐昌市佗城物业有限公司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该公司服务的清华园小区楼梯间堆放杂物，个别常闭式消防安全门处于常开状态，存在安全隐患。</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乐昌市金生圆物业服务有限公司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该公司服务的凯旋新都小区个别常闭式消防安全门处于常开状态，消防栓门出现破损，存在安全隐患。</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丰顺万洋众创城科技有限公司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该公司所开发的万洋众创城项目公示资料不齐全，未按规定要求公示全部内容事项（商品房销控表等）。</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中山市乐美达儿童用品有限公司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该公司开发的金尊府1期项目存在违规收存商品房预售资金的行为。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依法予以行政处罚。整改中。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Theme="minorEastAsia" w:hAnsiTheme="minorEastAsia" w:eastAsiaTheme="minorEastAsia" w:cstheme="minorEastAsia"/>
                <w:color w:val="auto"/>
                <w:kern w:val="0"/>
                <w:sz w:val="22"/>
                <w:szCs w:val="22"/>
                <w:highlight w:val="none"/>
                <w:lang w:val="en-US" w:eastAsia="zh-CN" w:bidi="ar-SA"/>
              </w:rPr>
              <w:t>茂名市雅居乐房地产开发有限公司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Theme="minorEastAsia" w:hAnsiTheme="minorEastAsia" w:eastAsiaTheme="minorEastAsia" w:cstheme="minorEastAsia"/>
                <w:color w:val="auto"/>
                <w:kern w:val="0"/>
                <w:sz w:val="22"/>
                <w:szCs w:val="22"/>
                <w:highlight w:val="none"/>
                <w:lang w:val="en-US" w:eastAsia="zh-CN" w:bidi="ar-SA"/>
              </w:rPr>
              <w:t>该公司开发的雅居乐乐活新城项目销售现场公示资料不齐全，未按规定要求公示全部内容事项（商品房销售价格备案表和销控表等）。</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Theme="minorEastAsia" w:hAnsiTheme="minorEastAsia" w:eastAsiaTheme="minorEastAsia" w:cstheme="minorEastAsia"/>
                <w:color w:val="auto"/>
                <w:kern w:val="0"/>
                <w:sz w:val="22"/>
                <w:szCs w:val="22"/>
                <w:highlight w:val="none"/>
                <w:lang w:val="en-US" w:eastAsia="zh-CN" w:bidi="ar-SA"/>
              </w:rPr>
              <w:t>已整改。</w:t>
            </w:r>
          </w:p>
        </w:tc>
      </w:tr>
    </w:tbl>
    <w:p/>
    <w:sectPr>
      <w:headerReference r:id="rId5" w:type="default"/>
      <w:footerReference r:id="rId6" w:type="default"/>
      <w:pgSz w:w="11906" w:h="16838"/>
      <w:pgMar w:top="1644" w:right="1474" w:bottom="1418" w:left="1588" w:header="851" w:footer="992" w:gutter="0"/>
      <w:pgBorders>
        <w:top w:val="none" w:sz="0" w:space="0"/>
        <w:left w:val="none" w:sz="0" w:space="0"/>
        <w:bottom w:val="none" w:sz="0" w:space="0"/>
        <w:right w:val="none" w:sz="0" w:space="0"/>
      </w:pgBorders>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汉仪大黑简">
    <w:altName w:val="黑体"/>
    <w:panose1 w:val="02010600000101010101"/>
    <w:charset w:val="86"/>
    <w:family w:val="auto"/>
    <w:pitch w:val="default"/>
    <w:sig w:usb0="00000000" w:usb1="00000000" w:usb2="00000002"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F7C164D"/>
    <w:rsid w:val="0F7C1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next w:val="3"/>
    <w:qFormat/>
    <w:uiPriority w:val="0"/>
    <w:pPr>
      <w:widowControl w:val="0"/>
      <w:spacing w:line="600" w:lineRule="exact"/>
      <w:jc w:val="both"/>
    </w:pPr>
    <w:rPr>
      <w:rFonts w:ascii="宋体" w:hAnsi="Courier New" w:eastAsia="仿宋_GB2312" w:cs="宋体"/>
      <w:kern w:val="2"/>
      <w:sz w:val="21"/>
      <w:szCs w:val="21"/>
      <w:lang w:val="en-US" w:eastAsia="zh-CN" w:bidi="ar-SA"/>
    </w:rPr>
  </w:style>
  <w:style w:type="paragraph" w:styleId="3">
    <w:name w:val="index 8"/>
    <w:basedOn w:val="1"/>
    <w:next w:val="1"/>
    <w:qFormat/>
    <w:uiPriority w:val="0"/>
    <w:pPr>
      <w:spacing w:before="120" w:after="120"/>
      <w:ind w:left="0" w:leftChars="0"/>
      <w:jc w:val="left"/>
    </w:pPr>
    <w:rPr>
      <w:rFonts w:ascii="Times New Roman" w:hAnsi="Times New Roman" w:eastAsia="仿宋_GB2312"/>
    </w:r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font01"/>
    <w:basedOn w:val="7"/>
    <w:qFormat/>
    <w:uiPriority w:val="0"/>
    <w:rPr>
      <w:rFonts w:ascii="汉仪大黑简" w:hAnsi="汉仪大黑简" w:eastAsia="汉仪大黑简" w:cs="汉仪大黑简"/>
      <w:color w:val="000000"/>
      <w:sz w:val="22"/>
      <w:szCs w:val="22"/>
      <w:u w:val="none"/>
    </w:rPr>
  </w:style>
  <w:style w:type="character" w:customStyle="1" w:styleId="9">
    <w:name w:val="font1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2023-08-28T09:18:00Z</dcterms:created>
  <dc:creator>陌</dc:creator>
  <cp:lastModifiedBy>陌</cp:lastModifiedBy>
  <dcterms:modified xsi:type="dcterms:W3CDTF">2023-08-28T09:18:42Z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D623BB7E831F43E995FA8679D37E3B42_11</vt:lpwstr>
  </property>
</Properties>
</file>