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bidi="ar-SA"/>
        </w:rPr>
        <w:t>《关于培育支持建筑业龙头骨干企业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eastAsia="zh-CN" w:bidi="ar-SA"/>
        </w:rPr>
        <w:t>发展壮大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bidi="ar-SA"/>
        </w:rPr>
        <w:t>的通知（公开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bidi="ar-SA"/>
        </w:rPr>
        <w:t>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val="en-US" w:eastAsia="zh-CN" w:bidi="ar-SA"/>
        </w:rPr>
        <w:t>公开征求意见采纳情况</w:t>
      </w:r>
      <w:bookmarkEnd w:id="0"/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042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9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bidi="ar-SA"/>
              </w:rPr>
              <w:t>具体的修订意见、建议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 w:val="0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bidi="ar-SA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9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建议在《通知》中增加对龙头骨干企业的支持内容，如诚信加分、观摩工地、各级创优、高等级奖项申报指标等向龙头骨干企业倾斜。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原则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采纳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。相关内容已在“二、培育支持政策”中有所体现。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9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《通知》对于“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满足上述（1）-（6）项条件的总承包企业，按企业上一年度完成建筑业产值由高到低排序，依次入围龙头骨干企业名单，直至入围总承包企业数量达到100家为止”。此排序方式对于创优工程较多，但建筑业产值不在前100名内的企业会有一定影响。建议考虑国优、省优、产值综合加分，省重大部署和重大建设项目承担者和主力军、履行社会责任担当等因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这样既支持企业积极创优质工程的主动性，又鼓励企业出外“走出去”，开拓省外、境外建筑市场的积极性。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原则采纳。龙头骨干企业的入围条件已综合了企业资质等级、创优创先、省外业务、产值规模等因素。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9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在第二条培育支持政策方面，建议增加“在广东省内各类交易中心进行的招投标项目的评标专家、建筑业资质评审专家优先考虑符合条件的龙头骨干企业人员，作为评审专家的候选人”。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采纳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9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bidi="ar-SA"/>
              </w:rPr>
              <w:t>企业入围条件中关于奖项获奖年限建议修改为“近五年”。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建议向社会公开各建设项目排放标准信息。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不采纳。理由：龙头骨干企业确定工作拟每年动态开展。公开建设项目排放标准信息与培育支持工作无关。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9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bidi="ar-SA"/>
              </w:rPr>
              <w:t>企业入围条件中关于“否决入围情形”建议修改为“近三年”。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  <w:t>不采纳。理由：龙头骨干企业确定工作拟每年动态开展。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335B6743"/>
    <w:rsid w:val="335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642</Words>
  <Characters>646</Characters>
  <Lines>0</Lines>
  <Paragraphs>0</Paragraphs>
  <TotalTime>0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2023-06-29T08:13:00Z</dcterms:created>
  <dc:creator>鸡蛋饼b</dc:creator>
  <cp:lastModifiedBy>鸡蛋饼b</cp:lastModifiedBy>
  <dcterms:modified xsi:type="dcterms:W3CDTF">2023-06-29T08:13:56Z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53BA9CD6D0F242D9BDCAFE57BA7810A8_11</vt:lpwstr>
  </property>
</Properties>
</file>