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小标宋" w:hAnsi="小标宋" w:eastAsia="小标宋" w:cs="小标宋"/>
          <w:color w:val="auto"/>
          <w:w w:val="98"/>
          <w:sz w:val="44"/>
          <w:szCs w:val="44"/>
          <w:lang w:val="en-US" w:eastAsia="zh-CN"/>
        </w:rPr>
      </w:pPr>
      <w:r>
        <w:rPr>
          <w:rFonts w:hint="eastAsia" w:ascii="小标宋" w:hAnsi="小标宋" w:eastAsia="小标宋" w:cs="小标宋"/>
          <w:color w:val="auto"/>
          <w:w w:val="98"/>
          <w:sz w:val="44"/>
          <w:szCs w:val="44"/>
          <w:lang w:val="en-US" w:eastAsia="zh-CN"/>
        </w:rPr>
        <w:t>深圳南山荔源实业股份有限公司返还用地项目（地块一）（暂定名）1栋三单元（同1栋一单元、1 栋二单元）、2 栋二单元（同 2 栋一单元、2 栋三单元6栋）、3栋（同4栋、5栋）超限高层建筑工程抗震设防专家组审查意见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小标宋" w:hAnsi="小标宋" w:eastAsia="小标宋" w:cs="小标宋"/>
          <w:color w:val="auto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 w:bidi="ar-SA"/>
        </w:rPr>
        <w:t>2023年5月24日，广东省超限高层建筑工程抗震设防审查专家委员会专家组成专家组，召开深圳南山荔源实业股份有限公司返还用地项目（地块一）（暂定名）1栋三单元（同1栋一单元、1 栋二单元）、2 栋二单元（同 2 栋一单元、2 栋三单元6栋）、3栋（同4栋、5栋）超限高层建筑工程抗震设防审查会。专家听取了建设单位深圳市南山荔源实业股份有限公司、设计单位香港华艺设计顾问（深圳）有限公司关于该工程抗震设防设计情况介绍，详尽审阅送审资料，经认真研讨后提出审查意见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/>
        <w:jc w:val="both"/>
        <w:textAlignment w:val="auto"/>
        <w:outlineLvl w:val="9"/>
        <w:rPr>
          <w:rFonts w:hint="eastAsia" w:ascii="方正黑体_GBK" w:hAnsi="方正黑体_GBK" w:eastAsia="方正黑体_GBK" w:cs="方正黑体_GBK"/>
          <w:sz w:val="32"/>
          <w:szCs w:val="32"/>
          <w:u w:val="none"/>
          <w:lang w:val="en-US" w:eastAsia="zh-CN" w:bidi="ar-SA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一、基本情况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 w:bidi="ar-SA"/>
        </w:rPr>
        <w:t>本项目位于广东省深圳市兴海大道，沿山路南侧，建筑功能为住宅，带部分商业裙房。地上建筑面积约11.7万平方米，地下建筑面积约4.2万平方米。地下1层（局部2层），地上共包含10座塔楼：1栋一～三单元、2栋一、二单元带1层裙房。1栋一～三单元地上23层，结构主屋面高度78.1米；2栋一单元地上17层，结构主屋面高度60.5米；2栋二单元地上23层，结构主屋面高度78.5米；2栋三单元地上25层，结构主屋面高度78.1米；3栋地上22层，结构主屋面高度71.05米；4栋、5栋地上23层，结构主屋面高度74.15米；6栋地上25层，结构主屋面高度78.1米。抗震设防烈度7度(0.10g)，Ⅱ类场地，抗震设防类别为丙类，抗震性能目标为C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 w:bidi="ar-SA"/>
        </w:rPr>
        <w:t>项目1栋一～三单元、2栋一单元采用预应力管桩基础，5栋采用筏板基础，其他楼栋均采用灌注桩基础。1栋一、二单元为剪力墙结构，存在扭转不规则、凹凸不规则、尺寸突变（多塔）、构件间断等不规则项；1栋三单元、2栋一、二单元为部分框支剪力墙结构，存在扭转不规则、凹凸不规则、尺寸突变（多塔）、构件间断等不规则项；2栋三单元为剪力墙结构，存在扭转不规则、凹凸不规则、尺寸突变（多塔）、构件间断等不规则项；3、4、5栋为框架-剪力墙结构，存在扭转不规则、凹凸不规则、尺寸突变（多塔）等不规则项；6栋为剪力墙结构，存在扭转不规则、凹凸不规则、尺寸突变（多塔）等不规则项；10座塔楼均属于A级高度的超限高层建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 w:bidi="ar-SA"/>
        </w:rPr>
        <w:t>针对上述超限高层建筑，设计单位选取1栋三单元、2栋二单元、3栋并采用YJK、ETABS等程序进行小震作用下的结构分析；采用YJK程序进行中震作用下的结构分析；采用SAUSAGE程序进行大震作用下结构动力弹塑性分析。计算结果表明，结构的各项控制性指标基本满足现行规范要求，所采取的抗震加强措施有效，可满足结构在预定性能目标下的抗震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 w:bidi="ar-SA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二、存在问题和改进意见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 w:bidi="ar-SA"/>
        </w:rPr>
        <w:t>1.框支框架的性能目标宜为中震弹性、大震不屈服；弱连接楼盖中震下拉、弯、剪弹性，大震下拉/弯不屈服、受剪弹性。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 w:bidi="ar-SA"/>
        </w:rPr>
        <w:t>2.宜加强各栋核心区剪力墙的完整性，楼梯外侧的剪力墙应与楼梯梯段板有可靠连接。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 w:bidi="ar-SA"/>
        </w:rPr>
        <w:t>3.适当优化1栋三单元、2栋二单元转换梁的布置，支承转换梁的剪力墙端暗柱应按框支柱进行设计。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 w:bidi="ar-SA"/>
        </w:rPr>
        <w:t>4.进一步复核各栋转角窗处相关构件受力状态，并采取必要的加强措施。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 w:bidi="ar-SA"/>
        </w:rPr>
        <w:t>5.仅单向拉梁的框架柱均应设置与柱同宽的楼板暗梁，且不小于400mm宽，暗梁上下纵向配筋为D16@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 w:bidi="ar-SA"/>
        </w:rPr>
        <w:t>100，箍筋为D8@100，设置暗梁的楼板厚度不宜小于130mm。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 w:bidi="ar-SA"/>
        </w:rPr>
        <w:t>6.选取合理参数，进一步复核大底盘超长楼盖的温差效应。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 w:bidi="ar-SA"/>
        </w:rPr>
        <w:t>7.补充3栋～5栋的斜方向地震作用。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 w:bidi="ar-SA"/>
        </w:rPr>
        <w:t>8.各栋塔楼标准层采用部分装配式预制构件（预制凸窗、叠合板、预制内墙条板等）,对主体结构抗震安全性影响及与主体结构连接节点构造等应另论证。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 w:bidi="ar-SA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三、审查结论：通过</w:t>
      </w:r>
    </w:p>
    <w:sectPr>
      <w:pgSz w:w="11906" w:h="16838"/>
      <w:pgMar w:top="1644" w:right="1474" w:bottom="1417" w:left="1587" w:header="851" w:footer="1587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7F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小标宋">
    <w:altName w:val="方正小标宋_GBK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YxYWM3Y2JlN2Q3ZjA1NTAxMGIzYzU0ZWY0MDUyODMifQ=="/>
  </w:docVars>
  <w:rsids>
    <w:rsidRoot w:val="0E7715E1"/>
    <w:rsid w:val="0E7715E1"/>
    <w:rsid w:val="17A9211E"/>
    <w:rsid w:val="191FE171"/>
    <w:rsid w:val="2F2A5FBE"/>
    <w:rsid w:val="2FBB3BD4"/>
    <w:rsid w:val="33EF853C"/>
    <w:rsid w:val="38C34F50"/>
    <w:rsid w:val="3AE7D535"/>
    <w:rsid w:val="3EC590CD"/>
    <w:rsid w:val="3F761FA8"/>
    <w:rsid w:val="3FB7C2C7"/>
    <w:rsid w:val="463FECBD"/>
    <w:rsid w:val="5DE77A6E"/>
    <w:rsid w:val="5F8E834A"/>
    <w:rsid w:val="6DFF276E"/>
    <w:rsid w:val="6EEFFF8E"/>
    <w:rsid w:val="6FF7E8F5"/>
    <w:rsid w:val="6FFA3F4E"/>
    <w:rsid w:val="6FFA96B1"/>
    <w:rsid w:val="73EE20DE"/>
    <w:rsid w:val="75FD35F6"/>
    <w:rsid w:val="76DF83A8"/>
    <w:rsid w:val="76F396D2"/>
    <w:rsid w:val="7ABFAF1E"/>
    <w:rsid w:val="7F3B4310"/>
    <w:rsid w:val="7F97C086"/>
    <w:rsid w:val="7FCF0876"/>
    <w:rsid w:val="9FF3C824"/>
    <w:rsid w:val="B67F942A"/>
    <w:rsid w:val="BABFC50D"/>
    <w:rsid w:val="BBFA7A7A"/>
    <w:rsid w:val="BDBFCC0E"/>
    <w:rsid w:val="BFBF8522"/>
    <w:rsid w:val="BFDDE30F"/>
    <w:rsid w:val="D23EA765"/>
    <w:rsid w:val="DEBFDC31"/>
    <w:rsid w:val="DFD3631D"/>
    <w:rsid w:val="DFDE4FCD"/>
    <w:rsid w:val="E67F9228"/>
    <w:rsid w:val="E6FFC521"/>
    <w:rsid w:val="E7EFB505"/>
    <w:rsid w:val="F164F54B"/>
    <w:rsid w:val="F3EBB9FA"/>
    <w:rsid w:val="F57F8E35"/>
    <w:rsid w:val="F7FA9A76"/>
    <w:rsid w:val="FAF183FF"/>
    <w:rsid w:val="FD779D00"/>
    <w:rsid w:val="FD8EB6B0"/>
    <w:rsid w:val="FDF75DE7"/>
    <w:rsid w:val="FEF35607"/>
    <w:rsid w:val="FF7F0A51"/>
    <w:rsid w:val="FFFD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952</Words>
  <Characters>1031</Characters>
  <Lines>0</Lines>
  <Paragraphs>0</Paragraphs>
  <TotalTime>1023</TotalTime>
  <ScaleCrop>false</ScaleCrop>
  <LinksUpToDate>false</LinksUpToDate>
  <CharactersWithSpaces>1032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2023-03-17T16:57:00Z</dcterms:created>
  <dc:creator> 曾姿</dc:creator>
  <cp:lastModifiedBy>szj</cp:lastModifiedBy>
  <cp:lastPrinted>2023-05-19T02:32:00Z</cp:lastPrinted>
  <dcterms:modified xsi:type="dcterms:W3CDTF">2023-05-29T16:59:51Z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ICV">
    <vt:lpwstr>29D1DD45F07240BBB8FE553FB775F6F8_12</vt:lpwstr>
  </property>
</Properties>
</file>