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rPr>
      </w:pPr>
    </w:p>
    <w:p>
      <w:pPr>
        <w:ind w:firstLine="880"/>
        <w:rPr>
          <w:rFonts w:eastAsia="黑体"/>
          <w:sz w:val="32"/>
          <w:szCs w:val="32"/>
        </w:rPr>
      </w:pPr>
      <w:r>
        <w:rPr>
          <w:rFonts w:cs="Microsoft JhengHei"/>
          <w:sz w:val="44"/>
          <w:szCs w:val="44"/>
        </w:rPr>
        <w:drawing>
          <wp:anchor distT="0" distB="0" distL="114300" distR="114300" simplePos="0" relativeHeight="251661312" behindDoc="0" locked="0" layoutInCell="1" allowOverlap="1">
            <wp:simplePos x="0" y="0"/>
            <wp:positionH relativeFrom="page">
              <wp:posOffset>4654550</wp:posOffset>
            </wp:positionH>
            <wp:positionV relativeFrom="page">
              <wp:posOffset>1374775</wp:posOffset>
            </wp:positionV>
            <wp:extent cx="1720215" cy="800100"/>
            <wp:effectExtent l="19050" t="0" r="0" b="0"/>
            <wp:wrapNone/>
            <wp:docPr id="7"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说明: GD"/>
                    <pic:cNvPicPr>
                      <a:picLocks noChangeAspect="1" noChangeArrowheads="1"/>
                    </pic:cNvPicPr>
                  </pic:nvPicPr>
                  <pic:blipFill>
                    <a:blip r:embed="rId23" cstate="print"/>
                    <a:srcRect/>
                    <a:stretch>
                      <a:fillRect/>
                    </a:stretch>
                  </pic:blipFill>
                  <pic:spPr>
                    <a:xfrm>
                      <a:off x="0" y="0"/>
                      <a:ext cx="1720215" cy="800100"/>
                    </a:xfrm>
                    <a:prstGeom prst="rect">
                      <a:avLst/>
                    </a:prstGeom>
                    <a:noFill/>
                    <a:ln w="9525">
                      <a:noFill/>
                      <a:miter lim="800000"/>
                      <a:headEnd/>
                      <a:tailEnd/>
                    </a:ln>
                  </pic:spPr>
                </pic:pic>
              </a:graphicData>
            </a:graphic>
          </wp:anchor>
        </w:drawing>
      </w:r>
    </w:p>
    <w:p>
      <w:pPr>
        <w:ind w:firstLine="1072"/>
        <w:rPr>
          <w:rFonts w:eastAsia="MS Gothic"/>
          <w:b/>
          <w:sz w:val="84"/>
          <w:szCs w:val="84"/>
        </w:rPr>
      </w:pPr>
      <w:r>
        <w:rPr>
          <w:rFonts w:hint="eastAsia" w:eastAsia="黑体"/>
          <w:spacing w:val="28"/>
          <w:sz w:val="48"/>
          <w:szCs w:val="48"/>
        </w:rPr>
        <w:t>广东省标准</w:t>
      </w:r>
    </w:p>
    <w:p>
      <w:pPr>
        <w:ind w:firstLine="0" w:firstLineChars="0"/>
        <w:jc w:val="right"/>
        <w:rPr>
          <w:rFonts w:hint="eastAsia" w:eastAsia="宋体"/>
          <w:spacing w:val="17"/>
          <w:sz w:val="30"/>
          <w:szCs w:val="30"/>
          <w:lang w:eastAsia="zh-CN"/>
        </w:rPr>
      </w:pPr>
      <w:bookmarkStart w:id="0" w:name="_Toc337542810"/>
      <w:r>
        <w:rPr>
          <w:spacing w:val="23"/>
          <w:sz w:val="30"/>
          <w:szCs w:val="30"/>
        </w:rPr>
        <w:t>DBJ</w:t>
      </w:r>
      <w:r>
        <w:rPr>
          <w:rFonts w:hint="eastAsia"/>
          <w:spacing w:val="23"/>
          <w:sz w:val="30"/>
          <w:szCs w:val="30"/>
          <w:lang w:val="en-US" w:eastAsia="zh-CN"/>
        </w:rPr>
        <w:t>/T</w:t>
      </w:r>
      <w:r>
        <w:rPr>
          <w:spacing w:val="23"/>
          <w:sz w:val="30"/>
          <w:szCs w:val="30"/>
        </w:rPr>
        <w:t xml:space="preserve"> 15-XX-</w:t>
      </w:r>
      <w:bookmarkEnd w:id="0"/>
      <w:r>
        <w:rPr>
          <w:sz w:val="30"/>
          <w:szCs w:val="30"/>
        </w:rPr>
        <w:t>202</w:t>
      </w:r>
      <w:r>
        <w:rPr>
          <w:rFonts w:hint="eastAsia"/>
          <w:sz w:val="30"/>
          <w:szCs w:val="30"/>
          <w:lang w:val="en-US" w:eastAsia="zh-CN"/>
        </w:rPr>
        <w:t>3</w:t>
      </w:r>
    </w:p>
    <w:p>
      <w:pPr>
        <w:spacing w:line="400" w:lineRule="exact"/>
        <w:ind w:firstLine="560"/>
        <w:jc w:val="right"/>
        <w:rPr>
          <w:rFonts w:hint="eastAsia" w:eastAsia="黑体"/>
          <w:szCs w:val="28"/>
          <w:lang w:eastAsia="zh-CN"/>
        </w:rPr>
      </w:pPr>
      <w:r>
        <w:rPr>
          <w:szCs w:val="28"/>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1" name="直线 3"/>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2xaSdQAAAAHAQAADwAAAAAAAAABACAAAAAiAAAAZHJzL2Rvd25yZXYueG1sUEsBAhQAFAAAAAgA&#10;h07iQEzminTwAQAA6wMAAA4AAAAAAAAAAQAgAAAAIwEAAGRycy9lMm9Eb2MueG1sUEsFBgAAAAAG&#10;AAYAWQEAAIUFAAAAAA==&#10;">
                <v:fill on="f" focussize="0,0"/>
                <v:stroke color="#000000" joinstyle="round"/>
                <v:imagedata o:title=""/>
                <o:lock v:ext="edit" aspectratio="f"/>
              </v:line>
            </w:pict>
          </mc:Fallback>
        </mc:AlternateContent>
      </w:r>
      <w:r>
        <w:rPr>
          <w:rFonts w:hint="eastAsia" w:ascii="黑体" w:hAnsi="黑体" w:eastAsia="黑体"/>
          <w:szCs w:val="28"/>
        </w:rPr>
        <w:t>备案号</w:t>
      </w:r>
      <w:r>
        <w:rPr>
          <w:rFonts w:ascii="黑体" w:hAnsi="黑体" w:eastAsia="黑体"/>
          <w:szCs w:val="28"/>
        </w:rPr>
        <w:t xml:space="preserve"> J XXXXX-202</w:t>
      </w:r>
      <w:r>
        <w:rPr>
          <w:rFonts w:hint="eastAsia" w:ascii="黑体" w:hAnsi="黑体" w:eastAsia="黑体"/>
          <w:szCs w:val="28"/>
          <w:lang w:val="en-US" w:eastAsia="zh-CN"/>
        </w:rPr>
        <w:t>3</w:t>
      </w:r>
    </w:p>
    <w:p>
      <w:pPr>
        <w:ind w:firstLine="964"/>
        <w:jc w:val="center"/>
        <w:rPr>
          <w:rFonts w:ascii="宋体" w:hAnsi="宋体"/>
          <w:b/>
          <w:sz w:val="48"/>
          <w:szCs w:val="48"/>
        </w:rPr>
      </w:pPr>
    </w:p>
    <w:p>
      <w:pPr>
        <w:ind w:firstLine="964"/>
        <w:jc w:val="center"/>
        <w:outlineLvl w:val="0"/>
        <w:rPr>
          <w:rFonts w:ascii="宋体" w:hAnsi="宋体"/>
          <w:b/>
          <w:sz w:val="48"/>
          <w:szCs w:val="48"/>
        </w:rPr>
      </w:pPr>
      <w:bookmarkStart w:id="1" w:name="_Toc375640674"/>
    </w:p>
    <w:bookmarkEnd w:id="1"/>
    <w:p>
      <w:pPr>
        <w:ind w:firstLine="0" w:firstLineChars="0"/>
        <w:jc w:val="center"/>
        <w:rPr>
          <w:b/>
          <w:sz w:val="48"/>
          <w:szCs w:val="48"/>
        </w:rPr>
      </w:pPr>
      <w:bookmarkStart w:id="2" w:name="_Toc60822748"/>
      <w:bookmarkStart w:id="3" w:name="_Toc59716744"/>
      <w:bookmarkStart w:id="4" w:name="_Toc375640675"/>
      <w:bookmarkStart w:id="5" w:name="_Toc62661419"/>
      <w:r>
        <w:rPr>
          <w:rFonts w:hint="eastAsia"/>
          <w:b/>
          <w:sz w:val="48"/>
          <w:szCs w:val="48"/>
        </w:rPr>
        <w:t>地下式城镇污水处理厂工程技术规程</w:t>
      </w:r>
      <w:bookmarkEnd w:id="2"/>
      <w:bookmarkEnd w:id="3"/>
      <w:bookmarkEnd w:id="4"/>
      <w:bookmarkEnd w:id="5"/>
    </w:p>
    <w:p>
      <w:pPr>
        <w:ind w:firstLine="560"/>
      </w:pPr>
    </w:p>
    <w:p>
      <w:pPr>
        <w:ind w:firstLine="0" w:firstLineChars="0"/>
        <w:rPr>
          <w:b/>
          <w:szCs w:val="28"/>
        </w:rPr>
      </w:pPr>
      <w:r>
        <w:rPr>
          <w:b/>
          <w:szCs w:val="28"/>
        </w:rPr>
        <w:t>Technical specification for underground wastewater treatment plant</w:t>
      </w:r>
    </w:p>
    <w:p>
      <w:pPr>
        <w:ind w:firstLine="0" w:firstLineChars="0"/>
        <w:jc w:val="center"/>
        <w:rPr>
          <w:b/>
          <w:sz w:val="30"/>
          <w:szCs w:val="30"/>
        </w:rPr>
      </w:pPr>
      <w:r>
        <w:rPr>
          <w:rFonts w:hint="eastAsia"/>
          <w:b/>
          <w:sz w:val="30"/>
          <w:szCs w:val="30"/>
        </w:rPr>
        <w:t>（征求意见稿）</w:t>
      </w:r>
    </w:p>
    <w:p>
      <w:pPr>
        <w:ind w:firstLine="560"/>
      </w:pPr>
    </w:p>
    <w:p>
      <w:pPr>
        <w:ind w:firstLine="560"/>
      </w:pPr>
    </w:p>
    <w:p>
      <w:pPr>
        <w:ind w:firstLine="560"/>
      </w:pPr>
    </w:p>
    <w:p>
      <w:pPr>
        <w:ind w:firstLine="560"/>
      </w:pPr>
    </w:p>
    <w:p>
      <w:pPr>
        <w:ind w:firstLine="560"/>
      </w:pPr>
    </w:p>
    <w:p>
      <w:pPr>
        <w:ind w:firstLine="560"/>
      </w:pPr>
    </w:p>
    <w:p>
      <w:pPr>
        <w:ind w:firstLine="560"/>
      </w:pPr>
    </w:p>
    <w:p>
      <w:pPr>
        <w:ind w:firstLine="560"/>
        <w:rPr>
          <w:rFonts w:eastAsia="黑体"/>
          <w:szCs w:val="28"/>
        </w:rPr>
      </w:pPr>
      <w:r>
        <w:rPr>
          <w:rFonts w:eastAsia="黑体"/>
          <w:szCs w:val="28"/>
        </w:rPr>
        <w:t>202X-XX-XX</w:t>
      </w:r>
      <w:r>
        <w:rPr>
          <w:rFonts w:hint="eastAsia" w:eastAsia="黑体"/>
          <w:szCs w:val="28"/>
        </w:rPr>
        <w:t>发布</w:t>
      </w:r>
      <w:r>
        <w:rPr>
          <w:rFonts w:eastAsia="黑体"/>
          <w:szCs w:val="28"/>
        </w:rPr>
        <w:t xml:space="preserve">                   202X-XX-XX  </w:t>
      </w:r>
      <w:r>
        <w:rPr>
          <w:rFonts w:hint="eastAsia" w:eastAsia="黑体"/>
          <w:szCs w:val="28"/>
        </w:rPr>
        <w:t>实施</w:t>
      </w:r>
    </w:p>
    <w:p>
      <w:pPr>
        <w:tabs>
          <w:tab w:val="left" w:pos="8235"/>
        </w:tabs>
        <w:ind w:firstLine="562"/>
        <w:rPr>
          <w:rFonts w:eastAsia="黑体"/>
          <w:b/>
          <w:szCs w:val="28"/>
        </w:rPr>
      </w:pPr>
      <w:r>
        <w:rPr>
          <w:rFonts w:eastAsia="黑体"/>
          <w:b/>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26670"/>
                <wp:effectExtent l="0" t="4445" r="0" b="6985"/>
                <wp:wrapNone/>
                <wp:docPr id="2" name="直线 4"/>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4.4pt;height:2.1pt;width:441pt;z-index:251660288;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KKr7SAAAA&#10;BQEAAA8AAAAAAAAAAQAgAAAAIgAAAGRycy9kb3ducmV2LnhtbFBLAQIUABQAAAAIAIdO4kDYIsRC&#10;6gEAAOEDAAAOAAAAAAAAAAEAIAAAACEBAABkcnMvZTJvRG9jLnhtbFBLBQYAAAAABgAGAFkBAAB9&#10;BQAAAAA=&#10;">
                <v:fill on="f" focussize="0,0"/>
                <v:stroke color="#000000" joinstyle="round"/>
                <v:imagedata o:title=""/>
                <o:lock v:ext="edit" aspectratio="f"/>
              </v:line>
            </w:pict>
          </mc:Fallback>
        </mc:AlternateContent>
      </w:r>
      <w:r>
        <w:rPr>
          <w:rFonts w:eastAsia="黑体"/>
          <w:b/>
          <w:szCs w:val="28"/>
        </w:rPr>
        <w:tab/>
      </w:r>
    </w:p>
    <w:p>
      <w:pPr>
        <w:ind w:firstLine="640"/>
        <w:jc w:val="center"/>
        <w:rPr>
          <w:rFonts w:eastAsia="黑体"/>
          <w:spacing w:val="20"/>
          <w:sz w:val="32"/>
          <w:szCs w:val="32"/>
        </w:rPr>
      </w:pPr>
      <w:r>
        <w:rPr>
          <w:rFonts w:hint="eastAsia" w:eastAsia="黑体"/>
          <w:sz w:val="32"/>
          <w:szCs w:val="32"/>
        </w:rPr>
        <w:t>广东省住房和城乡建设厅</w:t>
      </w:r>
      <w:r>
        <w:rPr>
          <w:rFonts w:hint="eastAsia" w:eastAsia="黑体"/>
          <w:spacing w:val="20"/>
          <w:sz w:val="32"/>
          <w:szCs w:val="32"/>
        </w:rPr>
        <w:t>发布</w:t>
      </w:r>
    </w:p>
    <w:tbl>
      <w:tblPr>
        <w:tblStyle w:val="23"/>
        <w:tblpPr w:leftFromText="180" w:rightFromText="180" w:vertAnchor="text" w:horzAnchor="page" w:tblpX="7710"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230" w:type="dxa"/>
            <w:vAlign w:val="center"/>
          </w:tcPr>
          <w:p>
            <w:pPr>
              <w:ind w:firstLine="0" w:firstLineChars="0"/>
              <w:jc w:val="center"/>
            </w:pPr>
            <w:r>
              <w:rPr>
                <w:rFonts w:hint="eastAsia"/>
              </w:rPr>
              <w:t>本标准不涉及专利</w:t>
            </w:r>
          </w:p>
        </w:tc>
      </w:tr>
    </w:tbl>
    <w:p>
      <w:pPr>
        <w:spacing w:line="580" w:lineRule="exact"/>
        <w:ind w:firstLine="198" w:firstLineChars="62"/>
        <w:rPr>
          <w:rFonts w:ascii="仿宋_GB2312" w:hAnsi="仿宋_GB2312" w:eastAsia="仿宋_GB2312" w:cs="仿宋_GB2312"/>
          <w:sz w:val="32"/>
          <w:szCs w:val="32"/>
        </w:rPr>
      </w:pPr>
    </w:p>
    <w:p>
      <w:pPr>
        <w:wordWrap w:val="0"/>
        <w:ind w:firstLine="562"/>
        <w:jc w:val="center"/>
        <w:rPr>
          <w:b/>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117" w:left="1800" w:header="851" w:footer="992" w:gutter="0"/>
          <w:pgNumType w:start="1"/>
          <w:cols w:space="720" w:num="1"/>
          <w:docGrid w:type="lines" w:linePitch="312" w:charSpace="0"/>
        </w:sectPr>
      </w:pPr>
    </w:p>
    <w:p>
      <w:pPr>
        <w:wordWrap w:val="0"/>
        <w:ind w:firstLine="0" w:firstLineChars="0"/>
        <w:jc w:val="center"/>
        <w:rPr>
          <w:b/>
          <w:szCs w:val="28"/>
        </w:rPr>
      </w:pPr>
      <w:r>
        <w:rPr>
          <w:rFonts w:hint="eastAsia"/>
          <w:b/>
          <w:szCs w:val="28"/>
        </w:rPr>
        <w:t>前言</w:t>
      </w:r>
    </w:p>
    <w:p>
      <w:pPr>
        <w:wordWrap w:val="0"/>
        <w:ind w:firstLine="593" w:firstLineChars="212"/>
        <w:rPr>
          <w:szCs w:val="28"/>
        </w:rPr>
      </w:pPr>
      <w:r>
        <w:rPr>
          <w:rFonts w:hint="eastAsia"/>
          <w:szCs w:val="28"/>
        </w:rPr>
        <w:t>根据《广东省住房和城乡建设厅关于发布</w:t>
      </w:r>
      <w:r>
        <w:rPr>
          <w:szCs w:val="28"/>
        </w:rPr>
        <w:t xml:space="preserve">&lt;2020 </w:t>
      </w:r>
      <w:r>
        <w:rPr>
          <w:rFonts w:hint="eastAsia"/>
          <w:szCs w:val="28"/>
        </w:rPr>
        <w:t>年广东省工程建设标准制订、修订计划</w:t>
      </w:r>
      <w:r>
        <w:rPr>
          <w:szCs w:val="28"/>
        </w:rPr>
        <w:t>&gt;</w:t>
      </w:r>
      <w:r>
        <w:rPr>
          <w:rFonts w:hint="eastAsia"/>
          <w:szCs w:val="28"/>
        </w:rPr>
        <w:t>的通知》（粤建科函</w:t>
      </w:r>
      <w:r>
        <w:rPr>
          <w:rFonts w:hint="eastAsia"/>
          <w:szCs w:val="28"/>
          <w:lang w:eastAsia="zh-CN"/>
        </w:rPr>
        <w:t>〔</w:t>
      </w:r>
      <w:r>
        <w:rPr>
          <w:rFonts w:hint="eastAsia"/>
          <w:szCs w:val="28"/>
        </w:rPr>
        <w:t>2020</w:t>
      </w:r>
      <w:r>
        <w:rPr>
          <w:rFonts w:hint="eastAsia"/>
          <w:szCs w:val="28"/>
          <w:lang w:eastAsia="zh-CN"/>
        </w:rPr>
        <w:t>〕</w:t>
      </w:r>
      <w:r>
        <w:rPr>
          <w:szCs w:val="28"/>
        </w:rPr>
        <w:t>397</w:t>
      </w:r>
      <w:r>
        <w:rPr>
          <w:rFonts w:hint="eastAsia"/>
          <w:szCs w:val="28"/>
        </w:rPr>
        <w:t>号）要求，由广州市市政工程设计研究总院有限公司会同有关单位制定本规程。</w:t>
      </w:r>
    </w:p>
    <w:p>
      <w:pPr>
        <w:wordWrap w:val="0"/>
        <w:ind w:firstLine="593" w:firstLineChars="212"/>
        <w:rPr>
          <w:szCs w:val="28"/>
        </w:rPr>
      </w:pPr>
      <w:r>
        <w:rPr>
          <w:rFonts w:hint="eastAsia"/>
          <w:szCs w:val="28"/>
        </w:rPr>
        <w:t>本规程在编制过程中，编制组经过广泛调查研究，认真总结实践经验，参考有关国际标准和国外先进标准，并在广泛征求意见的基础上，最后经审查定稿。本标准不涉及收费专利。</w:t>
      </w:r>
    </w:p>
    <w:p>
      <w:pPr>
        <w:wordWrap w:val="0"/>
        <w:ind w:firstLine="593" w:firstLineChars="212"/>
        <w:rPr>
          <w:szCs w:val="28"/>
        </w:rPr>
      </w:pPr>
      <w:r>
        <w:rPr>
          <w:rFonts w:hint="eastAsia"/>
          <w:szCs w:val="28"/>
        </w:rPr>
        <w:t>本规程共分十章，主要技术内容包括：1 总则；2 术语；3 基本规定；4 工程设计；5施工、调试及验收；6运行和维护；7本规程用词说明；本规程引用标准名录、条文说明。</w:t>
      </w:r>
    </w:p>
    <w:p>
      <w:pPr>
        <w:wordWrap w:val="0"/>
        <w:ind w:firstLine="593" w:firstLineChars="212"/>
        <w:rPr>
          <w:kern w:val="0"/>
          <w:szCs w:val="28"/>
        </w:rPr>
      </w:pPr>
      <w:r>
        <w:rPr>
          <w:rFonts w:hint="eastAsia"/>
          <w:kern w:val="0"/>
          <w:szCs w:val="28"/>
        </w:rPr>
        <w:t>本规程由广东省住房和城乡建设厅负责管理和解释，由广州市市政工程设计研究总院有限公司负责具体技术内容的解释。执行过程中如有意见、建议和问题，请径寄广州市市政工程设计研究总院有限公司地下式城镇污水处理厂技术规程编制组（广州市环市东路348号东梯，邮政编码510060），以便今后修订时参考和作出解释。</w:t>
      </w:r>
    </w:p>
    <w:p>
      <w:pPr>
        <w:wordWrap w:val="0"/>
        <w:ind w:firstLine="593" w:firstLineChars="212"/>
        <w:rPr>
          <w:kern w:val="0"/>
          <w:szCs w:val="28"/>
        </w:rPr>
      </w:pPr>
      <w:r>
        <w:rPr>
          <w:rFonts w:hint="eastAsia"/>
          <w:kern w:val="0"/>
          <w:szCs w:val="28"/>
        </w:rPr>
        <w:t>本规程主编单位、参编单位、主要起草人和主要审查人：</w:t>
      </w:r>
    </w:p>
    <w:tbl>
      <w:tblPr>
        <w:tblStyle w:val="23"/>
        <w:tblW w:w="0" w:type="auto"/>
        <w:jc w:val="center"/>
        <w:tblLayout w:type="fixed"/>
        <w:tblCellMar>
          <w:top w:w="0" w:type="dxa"/>
          <w:left w:w="108" w:type="dxa"/>
          <w:bottom w:w="0" w:type="dxa"/>
          <w:right w:w="108" w:type="dxa"/>
        </w:tblCellMar>
      </w:tblPr>
      <w:tblGrid>
        <w:gridCol w:w="1897"/>
        <w:gridCol w:w="88"/>
        <w:gridCol w:w="1159"/>
        <w:gridCol w:w="1246"/>
        <w:gridCol w:w="1246"/>
        <w:gridCol w:w="1246"/>
        <w:gridCol w:w="1201"/>
        <w:gridCol w:w="42"/>
      </w:tblGrid>
      <w:tr>
        <w:tblPrEx>
          <w:tblCellMar>
            <w:top w:w="0" w:type="dxa"/>
            <w:left w:w="108" w:type="dxa"/>
            <w:bottom w:w="0" w:type="dxa"/>
            <w:right w:w="108" w:type="dxa"/>
          </w:tblCellMar>
        </w:tblPrEx>
        <w:trPr>
          <w:gridAfter w:val="1"/>
          <w:wAfter w:w="42" w:type="dxa"/>
          <w:trHeight w:val="567" w:hRule="atLeast"/>
          <w:jc w:val="center"/>
        </w:trPr>
        <w:tc>
          <w:tcPr>
            <w:tcW w:w="1897" w:type="dxa"/>
            <w:vAlign w:val="bottom"/>
          </w:tcPr>
          <w:p>
            <w:pPr>
              <w:ind w:firstLine="0" w:firstLineChars="0"/>
              <w:jc w:val="center"/>
              <w:rPr>
                <w:b/>
                <w:bCs/>
                <w:kern w:val="0"/>
                <w:szCs w:val="28"/>
              </w:rPr>
            </w:pPr>
            <w:r>
              <w:rPr>
                <w:rFonts w:hint="eastAsia"/>
                <w:b/>
                <w:bCs/>
                <w:kern w:val="0"/>
                <w:szCs w:val="28"/>
              </w:rPr>
              <w:t>主编单位：</w:t>
            </w:r>
          </w:p>
        </w:tc>
        <w:tc>
          <w:tcPr>
            <w:tcW w:w="6186" w:type="dxa"/>
            <w:gridSpan w:val="6"/>
            <w:vAlign w:val="bottom"/>
          </w:tcPr>
          <w:p>
            <w:pPr>
              <w:wordWrap w:val="0"/>
              <w:ind w:firstLine="0" w:firstLineChars="0"/>
              <w:rPr>
                <w:kern w:val="0"/>
                <w:szCs w:val="28"/>
              </w:rPr>
            </w:pPr>
            <w:r>
              <w:rPr>
                <w:rFonts w:hint="eastAsia"/>
                <w:kern w:val="0"/>
                <w:szCs w:val="28"/>
              </w:rPr>
              <w:t>广州市市政工程设计研究总院有限公司</w:t>
            </w:r>
          </w:p>
        </w:tc>
      </w:tr>
      <w:tr>
        <w:tblPrEx>
          <w:tblCellMar>
            <w:top w:w="0" w:type="dxa"/>
            <w:left w:w="108" w:type="dxa"/>
            <w:bottom w:w="0" w:type="dxa"/>
            <w:right w:w="108" w:type="dxa"/>
          </w:tblCellMar>
        </w:tblPrEx>
        <w:trPr>
          <w:gridAfter w:val="1"/>
          <w:wAfter w:w="42" w:type="dxa"/>
          <w:trHeight w:val="567" w:hRule="atLeast"/>
          <w:jc w:val="center"/>
        </w:trPr>
        <w:tc>
          <w:tcPr>
            <w:tcW w:w="1897" w:type="dxa"/>
            <w:vAlign w:val="bottom"/>
          </w:tcPr>
          <w:p>
            <w:pPr>
              <w:wordWrap w:val="0"/>
              <w:ind w:firstLine="0" w:firstLineChars="0"/>
              <w:jc w:val="center"/>
              <w:rPr>
                <w:b/>
                <w:bCs/>
                <w:kern w:val="0"/>
                <w:szCs w:val="28"/>
              </w:rPr>
            </w:pPr>
            <w:r>
              <w:rPr>
                <w:rFonts w:hint="eastAsia"/>
                <w:b/>
                <w:bCs/>
                <w:kern w:val="0"/>
                <w:szCs w:val="28"/>
              </w:rPr>
              <w:t>参编单位：</w:t>
            </w:r>
          </w:p>
        </w:tc>
        <w:tc>
          <w:tcPr>
            <w:tcW w:w="6186" w:type="dxa"/>
            <w:gridSpan w:val="6"/>
          </w:tcPr>
          <w:p>
            <w:pPr>
              <w:ind w:firstLine="0" w:firstLineChars="0"/>
            </w:pPr>
            <w:r>
              <w:rPr>
                <w:rFonts w:hint="eastAsia"/>
              </w:rPr>
              <w:t>国投信开水环境投资有限公司</w:t>
            </w:r>
          </w:p>
        </w:tc>
      </w:tr>
      <w:tr>
        <w:tblPrEx>
          <w:tblCellMar>
            <w:top w:w="0" w:type="dxa"/>
            <w:left w:w="108" w:type="dxa"/>
            <w:bottom w:w="0" w:type="dxa"/>
            <w:right w:w="108" w:type="dxa"/>
          </w:tblCellMar>
        </w:tblPrEx>
        <w:trPr>
          <w:gridAfter w:val="1"/>
          <w:wAfter w:w="42" w:type="dxa"/>
          <w:trHeight w:val="567" w:hRule="atLeast"/>
          <w:jc w:val="center"/>
        </w:trPr>
        <w:tc>
          <w:tcPr>
            <w:tcW w:w="1897" w:type="dxa"/>
            <w:vAlign w:val="bottom"/>
          </w:tcPr>
          <w:p>
            <w:pPr>
              <w:wordWrap w:val="0"/>
              <w:ind w:firstLine="560"/>
              <w:rPr>
                <w:kern w:val="0"/>
                <w:szCs w:val="28"/>
              </w:rPr>
            </w:pPr>
          </w:p>
        </w:tc>
        <w:tc>
          <w:tcPr>
            <w:tcW w:w="6186" w:type="dxa"/>
            <w:gridSpan w:val="6"/>
          </w:tcPr>
          <w:p>
            <w:pPr>
              <w:wordWrap w:val="0"/>
              <w:ind w:firstLine="0" w:firstLineChars="0"/>
              <w:rPr>
                <w:kern w:val="0"/>
                <w:szCs w:val="28"/>
              </w:rPr>
            </w:pPr>
            <w:r>
              <w:rPr>
                <w:rFonts w:hint="eastAsia"/>
                <w:kern w:val="0"/>
                <w:szCs w:val="28"/>
              </w:rPr>
              <w:t>广州市净水有限公司</w:t>
            </w:r>
          </w:p>
          <w:p>
            <w:pPr>
              <w:ind w:firstLine="0" w:firstLineChars="0"/>
            </w:pPr>
            <w:r>
              <w:rPr>
                <w:rFonts w:hint="eastAsia"/>
              </w:rPr>
              <w:t>中国市政工程西南设计研究总院有限公司</w:t>
            </w:r>
          </w:p>
          <w:p>
            <w:pPr>
              <w:ind w:firstLine="0" w:firstLineChars="0"/>
            </w:pPr>
            <w:r>
              <w:rPr>
                <w:rFonts w:hint="eastAsia"/>
              </w:rPr>
              <w:t>天津市市政工程设计研究总院</w:t>
            </w:r>
          </w:p>
          <w:p>
            <w:pPr>
              <w:ind w:firstLine="0" w:firstLineChars="0"/>
            </w:pPr>
            <w:r>
              <w:rPr>
                <w:rFonts w:hint="eastAsia"/>
              </w:rPr>
              <w:t>深圳市市政设计研究院有限公司</w:t>
            </w:r>
          </w:p>
          <w:p>
            <w:pPr>
              <w:ind w:firstLine="0" w:firstLineChars="0"/>
            </w:pPr>
            <w:r>
              <w:rPr>
                <w:rFonts w:hint="eastAsia"/>
              </w:rPr>
              <w:t>中铁上海工程局集团有限公司</w:t>
            </w:r>
          </w:p>
          <w:p>
            <w:pPr>
              <w:ind w:firstLine="0" w:firstLineChars="0"/>
            </w:pPr>
            <w:r>
              <w:rPr>
                <w:rFonts w:hint="eastAsia"/>
              </w:rPr>
              <w:t>中铁五局集团有限公司</w:t>
            </w:r>
          </w:p>
        </w:tc>
      </w:tr>
      <w:tr>
        <w:tblPrEx>
          <w:tblCellMar>
            <w:top w:w="0" w:type="dxa"/>
            <w:left w:w="108" w:type="dxa"/>
            <w:bottom w:w="0" w:type="dxa"/>
            <w:right w:w="108" w:type="dxa"/>
          </w:tblCellMar>
        </w:tblPrEx>
        <w:trPr>
          <w:gridAfter w:val="1"/>
          <w:wAfter w:w="42" w:type="dxa"/>
          <w:trHeight w:val="567" w:hRule="atLeast"/>
          <w:jc w:val="center"/>
        </w:trPr>
        <w:tc>
          <w:tcPr>
            <w:tcW w:w="1897" w:type="dxa"/>
            <w:vAlign w:val="bottom"/>
          </w:tcPr>
          <w:p>
            <w:pPr>
              <w:wordWrap w:val="0"/>
              <w:ind w:firstLine="560"/>
              <w:rPr>
                <w:kern w:val="0"/>
                <w:szCs w:val="28"/>
              </w:rPr>
            </w:pPr>
          </w:p>
        </w:tc>
        <w:tc>
          <w:tcPr>
            <w:tcW w:w="6186" w:type="dxa"/>
            <w:gridSpan w:val="6"/>
            <w:vAlign w:val="bottom"/>
          </w:tcPr>
          <w:p>
            <w:pPr>
              <w:ind w:firstLine="0" w:firstLineChars="0"/>
            </w:pPr>
            <w:r>
              <w:rPr>
                <w:rFonts w:hint="eastAsia"/>
              </w:rPr>
              <w:t>广东省交通规划设计研究院集团股份有限公司</w:t>
            </w:r>
          </w:p>
          <w:p>
            <w:pPr>
              <w:ind w:firstLine="0" w:firstLineChars="0"/>
              <w:rPr>
                <w:kern w:val="0"/>
                <w:szCs w:val="28"/>
              </w:rPr>
            </w:pPr>
            <w:r>
              <w:rPr>
                <w:rFonts w:hint="eastAsia"/>
                <w:kern w:val="0"/>
                <w:szCs w:val="28"/>
              </w:rPr>
              <w:t>广州市市政集团有限公司</w:t>
            </w:r>
          </w:p>
        </w:tc>
      </w:tr>
      <w:tr>
        <w:tblPrEx>
          <w:tblCellMar>
            <w:top w:w="0" w:type="dxa"/>
            <w:left w:w="108" w:type="dxa"/>
            <w:bottom w:w="0" w:type="dxa"/>
            <w:right w:w="108" w:type="dxa"/>
          </w:tblCellMar>
        </w:tblPrEx>
        <w:trPr>
          <w:gridAfter w:val="1"/>
          <w:wAfter w:w="42" w:type="dxa"/>
          <w:trHeight w:val="567" w:hRule="atLeast"/>
          <w:jc w:val="center"/>
        </w:trPr>
        <w:tc>
          <w:tcPr>
            <w:tcW w:w="1897" w:type="dxa"/>
            <w:vAlign w:val="bottom"/>
          </w:tcPr>
          <w:p>
            <w:pPr>
              <w:wordWrap w:val="0"/>
              <w:ind w:firstLine="560"/>
              <w:rPr>
                <w:kern w:val="0"/>
                <w:szCs w:val="28"/>
              </w:rPr>
            </w:pPr>
          </w:p>
          <w:p>
            <w:pPr>
              <w:wordWrap w:val="0"/>
              <w:ind w:firstLine="560"/>
              <w:rPr>
                <w:kern w:val="0"/>
                <w:szCs w:val="28"/>
              </w:rPr>
            </w:pPr>
          </w:p>
        </w:tc>
        <w:tc>
          <w:tcPr>
            <w:tcW w:w="6186" w:type="dxa"/>
            <w:gridSpan w:val="6"/>
            <w:vAlign w:val="bottom"/>
          </w:tcPr>
          <w:p>
            <w:pPr>
              <w:wordWrap w:val="0"/>
              <w:ind w:firstLine="0" w:firstLineChars="0"/>
              <w:rPr>
                <w:kern w:val="0"/>
                <w:szCs w:val="28"/>
              </w:rPr>
            </w:pP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spacing w:line="520" w:lineRule="exact"/>
              <w:ind w:firstLine="0" w:firstLineChars="0"/>
              <w:jc w:val="center"/>
              <w:rPr>
                <w:b/>
                <w:bCs/>
                <w:kern w:val="0"/>
                <w:szCs w:val="28"/>
              </w:rPr>
            </w:pPr>
            <w:r>
              <w:rPr>
                <w:rFonts w:hint="eastAsia"/>
                <w:b/>
                <w:bCs/>
                <w:kern w:val="0"/>
                <w:szCs w:val="28"/>
              </w:rPr>
              <w:t>主要起草人：</w:t>
            </w:r>
          </w:p>
        </w:tc>
        <w:tc>
          <w:tcPr>
            <w:tcW w:w="1159" w:type="dxa"/>
          </w:tcPr>
          <w:p>
            <w:pPr>
              <w:wordWrap w:val="0"/>
              <w:spacing w:line="520" w:lineRule="exact"/>
              <w:ind w:firstLine="0" w:firstLineChars="0"/>
              <w:jc w:val="center"/>
              <w:rPr>
                <w:kern w:val="0"/>
                <w:szCs w:val="28"/>
              </w:rPr>
            </w:pPr>
            <w:r>
              <w:rPr>
                <w:rFonts w:hint="eastAsia"/>
                <w:kern w:val="0"/>
                <w:szCs w:val="28"/>
              </w:rPr>
              <w:t>陈贻龙</w:t>
            </w:r>
          </w:p>
        </w:tc>
        <w:tc>
          <w:tcPr>
            <w:tcW w:w="1246" w:type="dxa"/>
          </w:tcPr>
          <w:p>
            <w:pPr>
              <w:wordWrap w:val="0"/>
              <w:spacing w:line="520" w:lineRule="exact"/>
              <w:ind w:firstLine="0" w:firstLineChars="0"/>
              <w:jc w:val="center"/>
              <w:rPr>
                <w:kern w:val="0"/>
                <w:szCs w:val="28"/>
              </w:rPr>
            </w:pPr>
            <w:r>
              <w:rPr>
                <w:rFonts w:hint="eastAsia"/>
                <w:kern w:val="0"/>
                <w:szCs w:val="28"/>
              </w:rPr>
              <w:t>张建良</w:t>
            </w:r>
          </w:p>
        </w:tc>
        <w:tc>
          <w:tcPr>
            <w:tcW w:w="1246" w:type="dxa"/>
          </w:tcPr>
          <w:p>
            <w:pPr>
              <w:wordWrap w:val="0"/>
              <w:spacing w:line="520" w:lineRule="exact"/>
              <w:ind w:firstLine="0" w:firstLineChars="0"/>
              <w:jc w:val="center"/>
              <w:rPr>
                <w:bCs/>
                <w:kern w:val="0"/>
                <w:szCs w:val="28"/>
              </w:rPr>
            </w:pPr>
            <w:r>
              <w:rPr>
                <w:rFonts w:hint="eastAsia"/>
                <w:kern w:val="0"/>
                <w:szCs w:val="28"/>
              </w:rPr>
              <w:t>常 颖</w:t>
            </w:r>
          </w:p>
        </w:tc>
        <w:tc>
          <w:tcPr>
            <w:tcW w:w="1246" w:type="dxa"/>
          </w:tcPr>
          <w:p>
            <w:pPr>
              <w:wordWrap w:val="0"/>
              <w:spacing w:line="520" w:lineRule="exact"/>
              <w:ind w:firstLine="0" w:firstLineChars="0"/>
              <w:jc w:val="center"/>
              <w:rPr>
                <w:bCs/>
                <w:kern w:val="0"/>
                <w:szCs w:val="28"/>
              </w:rPr>
            </w:pPr>
            <w:r>
              <w:rPr>
                <w:rFonts w:hint="eastAsia"/>
                <w:bCs/>
                <w:kern w:val="0"/>
                <w:szCs w:val="28"/>
              </w:rPr>
              <w:t>张学兵</w:t>
            </w:r>
          </w:p>
        </w:tc>
        <w:tc>
          <w:tcPr>
            <w:tcW w:w="1243" w:type="dxa"/>
            <w:gridSpan w:val="2"/>
          </w:tcPr>
          <w:p>
            <w:pPr>
              <w:wordWrap w:val="0"/>
              <w:spacing w:line="520" w:lineRule="exact"/>
              <w:ind w:firstLine="0" w:firstLineChars="0"/>
              <w:jc w:val="center"/>
              <w:rPr>
                <w:kern w:val="0"/>
                <w:szCs w:val="28"/>
              </w:rPr>
            </w:pPr>
            <w:r>
              <w:rPr>
                <w:rFonts w:hint="eastAsia"/>
                <w:kern w:val="0"/>
                <w:szCs w:val="28"/>
              </w:rPr>
              <w:t>李 涛</w:t>
            </w: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wordWrap w:val="0"/>
              <w:spacing w:line="520" w:lineRule="exact"/>
              <w:ind w:firstLine="0" w:firstLineChars="0"/>
              <w:jc w:val="center"/>
              <w:rPr>
                <w:b/>
                <w:bCs/>
                <w:kern w:val="0"/>
                <w:szCs w:val="28"/>
              </w:rPr>
            </w:pPr>
          </w:p>
        </w:tc>
        <w:tc>
          <w:tcPr>
            <w:tcW w:w="1159" w:type="dxa"/>
          </w:tcPr>
          <w:p>
            <w:pPr>
              <w:wordWrap w:val="0"/>
              <w:spacing w:line="520" w:lineRule="exact"/>
              <w:ind w:firstLine="0" w:firstLineChars="0"/>
              <w:jc w:val="center"/>
              <w:rPr>
                <w:kern w:val="0"/>
                <w:szCs w:val="28"/>
              </w:rPr>
            </w:pPr>
            <w:r>
              <w:rPr>
                <w:rFonts w:hint="eastAsia"/>
                <w:bCs/>
                <w:kern w:val="0"/>
                <w:szCs w:val="28"/>
              </w:rPr>
              <w:t>罗 凡</w:t>
            </w:r>
          </w:p>
        </w:tc>
        <w:tc>
          <w:tcPr>
            <w:tcW w:w="1246" w:type="dxa"/>
          </w:tcPr>
          <w:p>
            <w:pPr>
              <w:wordWrap w:val="0"/>
              <w:spacing w:line="520" w:lineRule="exact"/>
              <w:ind w:firstLine="0" w:firstLineChars="0"/>
              <w:jc w:val="center"/>
              <w:rPr>
                <w:kern w:val="0"/>
                <w:szCs w:val="28"/>
              </w:rPr>
            </w:pPr>
            <w:r>
              <w:rPr>
                <w:rFonts w:hint="eastAsia"/>
                <w:bCs/>
                <w:kern w:val="0"/>
                <w:szCs w:val="28"/>
              </w:rPr>
              <w:t>邱 维</w:t>
            </w:r>
          </w:p>
        </w:tc>
        <w:tc>
          <w:tcPr>
            <w:tcW w:w="1246" w:type="dxa"/>
          </w:tcPr>
          <w:p>
            <w:pPr>
              <w:wordWrap w:val="0"/>
              <w:spacing w:line="520" w:lineRule="exact"/>
              <w:ind w:firstLine="0" w:firstLineChars="0"/>
              <w:jc w:val="center"/>
              <w:rPr>
                <w:kern w:val="0"/>
                <w:szCs w:val="28"/>
              </w:rPr>
            </w:pPr>
            <w:r>
              <w:rPr>
                <w:rFonts w:hint="eastAsia"/>
                <w:kern w:val="0"/>
                <w:szCs w:val="28"/>
              </w:rPr>
              <w:t>李 洁</w:t>
            </w:r>
          </w:p>
        </w:tc>
        <w:tc>
          <w:tcPr>
            <w:tcW w:w="1246" w:type="dxa"/>
          </w:tcPr>
          <w:p>
            <w:pPr>
              <w:wordWrap w:val="0"/>
              <w:spacing w:line="520" w:lineRule="exact"/>
              <w:ind w:firstLine="0" w:firstLineChars="0"/>
              <w:jc w:val="center"/>
              <w:rPr>
                <w:kern w:val="0"/>
                <w:szCs w:val="28"/>
              </w:rPr>
            </w:pPr>
            <w:r>
              <w:rPr>
                <w:rFonts w:hint="eastAsia"/>
                <w:bCs/>
                <w:kern w:val="0"/>
                <w:szCs w:val="28"/>
              </w:rPr>
              <w:t>张作鹏</w:t>
            </w:r>
          </w:p>
        </w:tc>
        <w:tc>
          <w:tcPr>
            <w:tcW w:w="1243" w:type="dxa"/>
            <w:gridSpan w:val="2"/>
          </w:tcPr>
          <w:p>
            <w:pPr>
              <w:wordWrap w:val="0"/>
              <w:spacing w:line="520" w:lineRule="exact"/>
              <w:ind w:firstLine="0" w:firstLineChars="0"/>
              <w:jc w:val="center"/>
              <w:rPr>
                <w:bCs/>
                <w:kern w:val="0"/>
                <w:szCs w:val="28"/>
              </w:rPr>
            </w:pPr>
            <w:r>
              <w:rPr>
                <w:rFonts w:hint="eastAsia"/>
                <w:bCs/>
                <w:kern w:val="0"/>
                <w:szCs w:val="28"/>
              </w:rPr>
              <w:t>陈小芳</w:t>
            </w: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wordWrap w:val="0"/>
              <w:spacing w:line="520" w:lineRule="exact"/>
              <w:ind w:firstLine="0" w:firstLineChars="0"/>
              <w:jc w:val="center"/>
              <w:rPr>
                <w:b/>
                <w:bCs/>
                <w:kern w:val="0"/>
                <w:szCs w:val="28"/>
              </w:rPr>
            </w:pPr>
          </w:p>
        </w:tc>
        <w:tc>
          <w:tcPr>
            <w:tcW w:w="1159" w:type="dxa"/>
          </w:tcPr>
          <w:p>
            <w:pPr>
              <w:wordWrap w:val="0"/>
              <w:spacing w:line="520" w:lineRule="exact"/>
              <w:ind w:firstLine="0" w:firstLineChars="0"/>
              <w:jc w:val="center"/>
              <w:rPr>
                <w:kern w:val="0"/>
                <w:szCs w:val="28"/>
              </w:rPr>
            </w:pPr>
            <w:r>
              <w:rPr>
                <w:rFonts w:hint="eastAsia"/>
                <w:kern w:val="0"/>
                <w:szCs w:val="28"/>
              </w:rPr>
              <w:t>张健君</w:t>
            </w:r>
          </w:p>
        </w:tc>
        <w:tc>
          <w:tcPr>
            <w:tcW w:w="1246" w:type="dxa"/>
          </w:tcPr>
          <w:p>
            <w:pPr>
              <w:wordWrap w:val="0"/>
              <w:spacing w:line="520" w:lineRule="exact"/>
              <w:ind w:firstLine="0" w:firstLineChars="0"/>
              <w:jc w:val="center"/>
              <w:rPr>
                <w:kern w:val="0"/>
                <w:szCs w:val="28"/>
              </w:rPr>
            </w:pPr>
            <w:r>
              <w:rPr>
                <w:rFonts w:hint="eastAsia"/>
                <w:kern w:val="0"/>
                <w:szCs w:val="28"/>
              </w:rPr>
              <w:t>陈建国</w:t>
            </w:r>
          </w:p>
        </w:tc>
        <w:tc>
          <w:tcPr>
            <w:tcW w:w="1246" w:type="dxa"/>
          </w:tcPr>
          <w:p>
            <w:pPr>
              <w:wordWrap w:val="0"/>
              <w:spacing w:line="520" w:lineRule="exact"/>
              <w:ind w:firstLine="0" w:firstLineChars="0"/>
              <w:jc w:val="center"/>
              <w:rPr>
                <w:bCs/>
                <w:kern w:val="0"/>
                <w:szCs w:val="28"/>
              </w:rPr>
            </w:pPr>
            <w:r>
              <w:rPr>
                <w:rFonts w:hint="eastAsia"/>
                <w:kern w:val="0"/>
                <w:szCs w:val="28"/>
              </w:rPr>
              <w:t>孙东晓</w:t>
            </w:r>
          </w:p>
        </w:tc>
        <w:tc>
          <w:tcPr>
            <w:tcW w:w="1246" w:type="dxa"/>
          </w:tcPr>
          <w:p>
            <w:pPr>
              <w:wordWrap w:val="0"/>
              <w:spacing w:line="520" w:lineRule="exact"/>
              <w:ind w:firstLine="0" w:firstLineChars="0"/>
              <w:jc w:val="center"/>
              <w:rPr>
                <w:bCs/>
                <w:kern w:val="0"/>
                <w:szCs w:val="28"/>
              </w:rPr>
            </w:pPr>
            <w:r>
              <w:rPr>
                <w:rFonts w:hint="eastAsia"/>
                <w:bCs/>
                <w:kern w:val="0"/>
                <w:szCs w:val="28"/>
              </w:rPr>
              <w:t>张伯湘</w:t>
            </w:r>
          </w:p>
        </w:tc>
        <w:tc>
          <w:tcPr>
            <w:tcW w:w="1243" w:type="dxa"/>
            <w:gridSpan w:val="2"/>
          </w:tcPr>
          <w:p>
            <w:pPr>
              <w:wordWrap w:val="0"/>
              <w:spacing w:line="520" w:lineRule="exact"/>
              <w:ind w:firstLine="0" w:firstLineChars="0"/>
              <w:jc w:val="center"/>
              <w:rPr>
                <w:kern w:val="0"/>
                <w:szCs w:val="28"/>
              </w:rPr>
            </w:pPr>
            <w:r>
              <w:rPr>
                <w:rFonts w:hint="eastAsia"/>
                <w:kern w:val="0"/>
                <w:szCs w:val="28"/>
              </w:rPr>
              <w:t>赵乐军</w:t>
            </w: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wordWrap w:val="0"/>
              <w:spacing w:line="520" w:lineRule="exact"/>
              <w:ind w:firstLine="0" w:firstLineChars="0"/>
              <w:jc w:val="center"/>
              <w:rPr>
                <w:b/>
                <w:bCs/>
                <w:kern w:val="0"/>
                <w:szCs w:val="28"/>
              </w:rPr>
            </w:pPr>
          </w:p>
        </w:tc>
        <w:tc>
          <w:tcPr>
            <w:tcW w:w="1159" w:type="dxa"/>
          </w:tcPr>
          <w:p>
            <w:pPr>
              <w:wordWrap w:val="0"/>
              <w:spacing w:line="520" w:lineRule="exact"/>
              <w:ind w:firstLine="0" w:firstLineChars="0"/>
              <w:jc w:val="center"/>
              <w:rPr>
                <w:kern w:val="0"/>
                <w:szCs w:val="28"/>
              </w:rPr>
            </w:pPr>
            <w:r>
              <w:rPr>
                <w:rFonts w:hint="eastAsia"/>
                <w:kern w:val="0"/>
                <w:szCs w:val="28"/>
              </w:rPr>
              <w:t>刘成军</w:t>
            </w:r>
          </w:p>
        </w:tc>
        <w:tc>
          <w:tcPr>
            <w:tcW w:w="1246" w:type="dxa"/>
          </w:tcPr>
          <w:p>
            <w:pPr>
              <w:wordWrap w:val="0"/>
              <w:spacing w:line="520" w:lineRule="exact"/>
              <w:ind w:firstLine="0" w:firstLineChars="0"/>
              <w:jc w:val="center"/>
              <w:rPr>
                <w:kern w:val="0"/>
                <w:szCs w:val="28"/>
              </w:rPr>
            </w:pPr>
            <w:r>
              <w:rPr>
                <w:rFonts w:hint="eastAsia"/>
                <w:kern w:val="0"/>
                <w:szCs w:val="28"/>
              </w:rPr>
              <w:t>周 斌</w:t>
            </w:r>
          </w:p>
        </w:tc>
        <w:tc>
          <w:tcPr>
            <w:tcW w:w="1246" w:type="dxa"/>
          </w:tcPr>
          <w:p>
            <w:pPr>
              <w:wordWrap w:val="0"/>
              <w:spacing w:line="520" w:lineRule="exact"/>
              <w:ind w:firstLine="0" w:firstLineChars="0"/>
              <w:jc w:val="center"/>
              <w:rPr>
                <w:kern w:val="0"/>
                <w:szCs w:val="28"/>
              </w:rPr>
            </w:pPr>
            <w:r>
              <w:rPr>
                <w:rFonts w:hint="eastAsia"/>
                <w:kern w:val="0"/>
                <w:szCs w:val="28"/>
              </w:rPr>
              <w:t>吕英俊</w:t>
            </w:r>
          </w:p>
        </w:tc>
        <w:tc>
          <w:tcPr>
            <w:tcW w:w="1246" w:type="dxa"/>
          </w:tcPr>
          <w:p>
            <w:pPr>
              <w:wordWrap w:val="0"/>
              <w:spacing w:line="520" w:lineRule="exact"/>
              <w:ind w:firstLine="0" w:firstLineChars="0"/>
              <w:jc w:val="center"/>
              <w:rPr>
                <w:bCs/>
                <w:kern w:val="0"/>
                <w:szCs w:val="28"/>
              </w:rPr>
            </w:pPr>
            <w:r>
              <w:rPr>
                <w:rFonts w:hint="eastAsia"/>
                <w:bCs/>
                <w:kern w:val="0"/>
                <w:szCs w:val="28"/>
              </w:rPr>
              <w:t>崔 佳</w:t>
            </w:r>
          </w:p>
        </w:tc>
        <w:tc>
          <w:tcPr>
            <w:tcW w:w="1243" w:type="dxa"/>
            <w:gridSpan w:val="2"/>
          </w:tcPr>
          <w:p>
            <w:pPr>
              <w:wordWrap w:val="0"/>
              <w:spacing w:line="520" w:lineRule="exact"/>
              <w:ind w:firstLine="0" w:firstLineChars="0"/>
              <w:jc w:val="center"/>
              <w:rPr>
                <w:bCs/>
                <w:kern w:val="0"/>
                <w:szCs w:val="28"/>
              </w:rPr>
            </w:pPr>
            <w:r>
              <w:rPr>
                <w:rFonts w:hint="eastAsia"/>
                <w:bCs/>
                <w:kern w:val="0"/>
                <w:szCs w:val="28"/>
              </w:rPr>
              <w:t>邓里游</w:t>
            </w: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wordWrap w:val="0"/>
              <w:spacing w:line="520" w:lineRule="exact"/>
              <w:ind w:firstLine="0" w:firstLineChars="0"/>
              <w:jc w:val="center"/>
              <w:rPr>
                <w:b/>
                <w:bCs/>
                <w:kern w:val="0"/>
                <w:szCs w:val="28"/>
              </w:rPr>
            </w:pPr>
          </w:p>
        </w:tc>
        <w:tc>
          <w:tcPr>
            <w:tcW w:w="1159"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bCs/>
                <w:kern w:val="0"/>
                <w:szCs w:val="28"/>
              </w:rPr>
            </w:pPr>
          </w:p>
        </w:tc>
        <w:tc>
          <w:tcPr>
            <w:tcW w:w="1246" w:type="dxa"/>
          </w:tcPr>
          <w:p>
            <w:pPr>
              <w:wordWrap w:val="0"/>
              <w:spacing w:line="520" w:lineRule="exact"/>
              <w:ind w:firstLine="0" w:firstLineChars="0"/>
              <w:jc w:val="center"/>
              <w:rPr>
                <w:bCs/>
                <w:kern w:val="0"/>
                <w:szCs w:val="28"/>
              </w:rPr>
            </w:pPr>
          </w:p>
        </w:tc>
        <w:tc>
          <w:tcPr>
            <w:tcW w:w="1243" w:type="dxa"/>
            <w:gridSpan w:val="2"/>
          </w:tcPr>
          <w:p>
            <w:pPr>
              <w:wordWrap w:val="0"/>
              <w:spacing w:line="520" w:lineRule="exact"/>
              <w:ind w:firstLine="0" w:firstLineChars="0"/>
              <w:jc w:val="center"/>
              <w:rPr>
                <w:kern w:val="0"/>
                <w:szCs w:val="28"/>
              </w:rPr>
            </w:pP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wordWrap w:val="0"/>
              <w:spacing w:line="520" w:lineRule="exact"/>
              <w:ind w:firstLine="0" w:firstLineChars="0"/>
              <w:jc w:val="center"/>
              <w:rPr>
                <w:b/>
                <w:bCs/>
                <w:kern w:val="0"/>
                <w:szCs w:val="28"/>
              </w:rPr>
            </w:pPr>
            <w:r>
              <w:rPr>
                <w:rFonts w:hint="eastAsia"/>
                <w:b/>
                <w:bCs/>
                <w:kern w:val="0"/>
                <w:szCs w:val="28"/>
              </w:rPr>
              <w:t>主要审查人：</w:t>
            </w:r>
          </w:p>
        </w:tc>
        <w:tc>
          <w:tcPr>
            <w:tcW w:w="1159"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bCs/>
                <w:kern w:val="0"/>
                <w:szCs w:val="28"/>
              </w:rPr>
            </w:pPr>
          </w:p>
        </w:tc>
        <w:tc>
          <w:tcPr>
            <w:tcW w:w="1246" w:type="dxa"/>
          </w:tcPr>
          <w:p>
            <w:pPr>
              <w:wordWrap w:val="0"/>
              <w:spacing w:line="520" w:lineRule="exact"/>
              <w:ind w:firstLine="0" w:firstLineChars="0"/>
              <w:jc w:val="center"/>
              <w:rPr>
                <w:bCs/>
                <w:kern w:val="0"/>
                <w:szCs w:val="28"/>
              </w:rPr>
            </w:pPr>
          </w:p>
        </w:tc>
        <w:tc>
          <w:tcPr>
            <w:tcW w:w="1243" w:type="dxa"/>
            <w:gridSpan w:val="2"/>
          </w:tcPr>
          <w:p>
            <w:pPr>
              <w:wordWrap w:val="0"/>
              <w:spacing w:line="520" w:lineRule="exact"/>
              <w:ind w:firstLine="0" w:firstLineChars="0"/>
              <w:jc w:val="center"/>
              <w:rPr>
                <w:kern w:val="0"/>
                <w:szCs w:val="28"/>
              </w:rPr>
            </w:pP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spacing w:line="520" w:lineRule="exact"/>
              <w:ind w:firstLine="0" w:firstLineChars="0"/>
              <w:jc w:val="center"/>
              <w:rPr>
                <w:b/>
                <w:bCs/>
                <w:kern w:val="0"/>
                <w:szCs w:val="28"/>
              </w:rPr>
            </w:pPr>
          </w:p>
        </w:tc>
        <w:tc>
          <w:tcPr>
            <w:tcW w:w="1159"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bCs/>
                <w:kern w:val="0"/>
                <w:szCs w:val="28"/>
              </w:rPr>
            </w:pPr>
          </w:p>
        </w:tc>
        <w:tc>
          <w:tcPr>
            <w:tcW w:w="1246" w:type="dxa"/>
          </w:tcPr>
          <w:p>
            <w:pPr>
              <w:wordWrap w:val="0"/>
              <w:spacing w:line="520" w:lineRule="exact"/>
              <w:ind w:firstLine="0" w:firstLineChars="0"/>
              <w:jc w:val="center"/>
              <w:rPr>
                <w:bCs/>
                <w:kern w:val="0"/>
                <w:szCs w:val="28"/>
              </w:rPr>
            </w:pPr>
          </w:p>
        </w:tc>
        <w:tc>
          <w:tcPr>
            <w:tcW w:w="1243" w:type="dxa"/>
            <w:gridSpan w:val="2"/>
          </w:tcPr>
          <w:p>
            <w:pPr>
              <w:wordWrap w:val="0"/>
              <w:spacing w:line="520" w:lineRule="exact"/>
              <w:ind w:firstLine="0" w:firstLineChars="0"/>
              <w:jc w:val="center"/>
              <w:rPr>
                <w:kern w:val="0"/>
                <w:szCs w:val="28"/>
              </w:rPr>
            </w:pP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wordWrap w:val="0"/>
              <w:spacing w:line="520" w:lineRule="exact"/>
              <w:ind w:firstLine="0" w:firstLineChars="0"/>
              <w:jc w:val="center"/>
              <w:rPr>
                <w:b/>
                <w:bCs/>
                <w:kern w:val="0"/>
                <w:szCs w:val="28"/>
              </w:rPr>
            </w:pPr>
          </w:p>
        </w:tc>
        <w:tc>
          <w:tcPr>
            <w:tcW w:w="1159"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bCs/>
                <w:kern w:val="0"/>
                <w:szCs w:val="28"/>
              </w:rPr>
            </w:pPr>
          </w:p>
        </w:tc>
        <w:tc>
          <w:tcPr>
            <w:tcW w:w="1246" w:type="dxa"/>
          </w:tcPr>
          <w:p>
            <w:pPr>
              <w:wordWrap w:val="0"/>
              <w:spacing w:line="520" w:lineRule="exact"/>
              <w:ind w:firstLine="0" w:firstLineChars="0"/>
              <w:jc w:val="center"/>
              <w:rPr>
                <w:bCs/>
                <w:kern w:val="0"/>
                <w:szCs w:val="28"/>
              </w:rPr>
            </w:pPr>
          </w:p>
        </w:tc>
        <w:tc>
          <w:tcPr>
            <w:tcW w:w="1243" w:type="dxa"/>
            <w:gridSpan w:val="2"/>
          </w:tcPr>
          <w:p>
            <w:pPr>
              <w:wordWrap w:val="0"/>
              <w:spacing w:line="520" w:lineRule="exact"/>
              <w:ind w:firstLine="0" w:firstLineChars="0"/>
              <w:jc w:val="center"/>
              <w:rPr>
                <w:kern w:val="0"/>
                <w:szCs w:val="28"/>
              </w:rPr>
            </w:pP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wordWrap w:val="0"/>
              <w:spacing w:line="520" w:lineRule="exact"/>
              <w:ind w:firstLine="0" w:firstLineChars="0"/>
              <w:jc w:val="center"/>
              <w:rPr>
                <w:b/>
                <w:bCs/>
                <w:kern w:val="0"/>
                <w:szCs w:val="28"/>
              </w:rPr>
            </w:pPr>
          </w:p>
        </w:tc>
        <w:tc>
          <w:tcPr>
            <w:tcW w:w="1159"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bCs/>
                <w:kern w:val="0"/>
                <w:szCs w:val="28"/>
              </w:rPr>
            </w:pPr>
          </w:p>
        </w:tc>
        <w:tc>
          <w:tcPr>
            <w:tcW w:w="1246" w:type="dxa"/>
          </w:tcPr>
          <w:p>
            <w:pPr>
              <w:wordWrap w:val="0"/>
              <w:spacing w:line="520" w:lineRule="exact"/>
              <w:ind w:firstLine="0" w:firstLineChars="0"/>
              <w:jc w:val="center"/>
              <w:rPr>
                <w:bCs/>
                <w:kern w:val="0"/>
                <w:szCs w:val="28"/>
              </w:rPr>
            </w:pPr>
          </w:p>
        </w:tc>
        <w:tc>
          <w:tcPr>
            <w:tcW w:w="1243" w:type="dxa"/>
            <w:gridSpan w:val="2"/>
          </w:tcPr>
          <w:p>
            <w:pPr>
              <w:wordWrap w:val="0"/>
              <w:spacing w:line="520" w:lineRule="exact"/>
              <w:ind w:firstLine="0" w:firstLineChars="0"/>
              <w:jc w:val="center"/>
              <w:rPr>
                <w:kern w:val="0"/>
                <w:szCs w:val="28"/>
              </w:rPr>
            </w:pPr>
          </w:p>
        </w:tc>
      </w:tr>
      <w:tr>
        <w:tblPrEx>
          <w:tblCellMar>
            <w:top w:w="0" w:type="dxa"/>
            <w:left w:w="108" w:type="dxa"/>
            <w:bottom w:w="0" w:type="dxa"/>
            <w:right w:w="108" w:type="dxa"/>
          </w:tblCellMar>
        </w:tblPrEx>
        <w:trPr>
          <w:trHeight w:val="567" w:hRule="atLeast"/>
          <w:jc w:val="center"/>
        </w:trPr>
        <w:tc>
          <w:tcPr>
            <w:tcW w:w="1985" w:type="dxa"/>
            <w:gridSpan w:val="2"/>
            <w:vAlign w:val="center"/>
          </w:tcPr>
          <w:p>
            <w:pPr>
              <w:wordWrap w:val="0"/>
              <w:spacing w:line="520" w:lineRule="exact"/>
              <w:ind w:firstLine="0" w:firstLineChars="0"/>
              <w:jc w:val="center"/>
              <w:rPr>
                <w:b/>
                <w:bCs/>
                <w:kern w:val="0"/>
                <w:szCs w:val="28"/>
              </w:rPr>
            </w:pPr>
          </w:p>
        </w:tc>
        <w:tc>
          <w:tcPr>
            <w:tcW w:w="1159"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kern w:val="0"/>
                <w:szCs w:val="28"/>
              </w:rPr>
            </w:pPr>
          </w:p>
        </w:tc>
        <w:tc>
          <w:tcPr>
            <w:tcW w:w="1246" w:type="dxa"/>
          </w:tcPr>
          <w:p>
            <w:pPr>
              <w:wordWrap w:val="0"/>
              <w:spacing w:line="520" w:lineRule="exact"/>
              <w:ind w:firstLine="0" w:firstLineChars="0"/>
              <w:jc w:val="center"/>
              <w:rPr>
                <w:bCs/>
                <w:kern w:val="0"/>
                <w:szCs w:val="28"/>
              </w:rPr>
            </w:pPr>
          </w:p>
        </w:tc>
        <w:tc>
          <w:tcPr>
            <w:tcW w:w="1246" w:type="dxa"/>
          </w:tcPr>
          <w:p>
            <w:pPr>
              <w:wordWrap w:val="0"/>
              <w:spacing w:line="520" w:lineRule="exact"/>
              <w:ind w:firstLine="0" w:firstLineChars="0"/>
              <w:jc w:val="center"/>
              <w:rPr>
                <w:bCs/>
                <w:kern w:val="0"/>
                <w:szCs w:val="28"/>
              </w:rPr>
            </w:pPr>
          </w:p>
        </w:tc>
        <w:tc>
          <w:tcPr>
            <w:tcW w:w="1243" w:type="dxa"/>
            <w:gridSpan w:val="2"/>
          </w:tcPr>
          <w:p>
            <w:pPr>
              <w:wordWrap w:val="0"/>
              <w:spacing w:line="520" w:lineRule="exact"/>
              <w:ind w:firstLine="0" w:firstLineChars="0"/>
              <w:jc w:val="center"/>
              <w:rPr>
                <w:kern w:val="0"/>
                <w:szCs w:val="28"/>
              </w:rPr>
            </w:pPr>
          </w:p>
        </w:tc>
      </w:tr>
    </w:tbl>
    <w:p>
      <w:pPr>
        <w:ind w:firstLine="560"/>
        <w:sectPr>
          <w:footerReference r:id="rId11" w:type="default"/>
          <w:pgSz w:w="11906" w:h="16838"/>
          <w:pgMar w:top="1440" w:right="1440" w:bottom="1117" w:left="1800" w:header="851" w:footer="992" w:gutter="0"/>
          <w:pgNumType w:start="1"/>
          <w:cols w:space="425" w:num="1"/>
          <w:docGrid w:type="lines" w:linePitch="312" w:charSpace="0"/>
        </w:sectPr>
      </w:pPr>
    </w:p>
    <w:p>
      <w:pPr>
        <w:wordWrap w:val="0"/>
        <w:spacing w:before="312" w:beforeLines="100" w:after="312" w:afterLines="100" w:line="520" w:lineRule="exact"/>
        <w:ind w:firstLine="0" w:firstLineChars="0"/>
        <w:jc w:val="center"/>
        <w:rPr>
          <w:b/>
          <w:bCs/>
          <w:kern w:val="0"/>
          <w:sz w:val="32"/>
          <w:szCs w:val="32"/>
        </w:rPr>
      </w:pPr>
      <w:r>
        <w:rPr>
          <w:rFonts w:hint="eastAsia"/>
          <w:b/>
          <w:bCs/>
          <w:kern w:val="0"/>
          <w:sz w:val="32"/>
          <w:szCs w:val="32"/>
        </w:rPr>
        <w:t xml:space="preserve">目 </w:t>
      </w:r>
      <w:r>
        <w:rPr>
          <w:b/>
          <w:bCs/>
          <w:kern w:val="0"/>
          <w:sz w:val="32"/>
          <w:szCs w:val="32"/>
        </w:rPr>
        <w:t xml:space="preserve"> </w:t>
      </w:r>
      <w:r>
        <w:rPr>
          <w:rFonts w:hint="eastAsia"/>
          <w:b/>
          <w:bCs/>
          <w:kern w:val="0"/>
          <w:sz w:val="32"/>
          <w:szCs w:val="32"/>
        </w:rPr>
        <w:t>次</w:t>
      </w:r>
    </w:p>
    <w:p>
      <w:pPr>
        <w:pStyle w:val="17"/>
        <w:tabs>
          <w:tab w:val="left" w:pos="280"/>
          <w:tab w:val="left" w:pos="420"/>
          <w:tab w:val="left" w:pos="840"/>
          <w:tab w:val="right" w:leader="dot" w:pos="8656"/>
        </w:tabs>
        <w:rPr>
          <w:rFonts w:asciiTheme="minorHAnsi" w:hAnsiTheme="minorHAnsi" w:eastAsiaTheme="minorEastAsia" w:cstheme="minorBidi"/>
          <w:sz w:val="21"/>
          <w:szCs w:val="22"/>
        </w:rPr>
      </w:pPr>
      <w:r>
        <w:fldChar w:fldCharType="begin"/>
      </w:r>
      <w:r>
        <w:instrText xml:space="preserve"> TOC \o "1-2" \h \z \u </w:instrText>
      </w:r>
      <w:r>
        <w:fldChar w:fldCharType="separate"/>
      </w:r>
      <w:r>
        <w:fldChar w:fldCharType="begin"/>
      </w:r>
      <w:r>
        <w:instrText xml:space="preserve"> HYPERLINK \l "_Toc126321303" </w:instrText>
      </w:r>
      <w:r>
        <w:fldChar w:fldCharType="separate"/>
      </w:r>
      <w:r>
        <w:rPr>
          <w:rStyle w:val="30"/>
        </w:rPr>
        <w:t>1</w:t>
      </w:r>
      <w:r>
        <w:rPr>
          <w:rFonts w:asciiTheme="minorHAnsi" w:hAnsiTheme="minorHAnsi" w:eastAsiaTheme="minorEastAsia" w:cstheme="minorBidi"/>
          <w:sz w:val="21"/>
          <w:szCs w:val="22"/>
        </w:rPr>
        <w:tab/>
      </w:r>
      <w:r>
        <w:rPr>
          <w:rStyle w:val="30"/>
        </w:rPr>
        <w:t>总则</w:t>
      </w:r>
      <w:r>
        <w:tab/>
      </w:r>
      <w:r>
        <w:fldChar w:fldCharType="begin"/>
      </w:r>
      <w:r>
        <w:instrText xml:space="preserve"> PAGEREF _Toc126321303 \h </w:instrText>
      </w:r>
      <w:r>
        <w:fldChar w:fldCharType="separate"/>
      </w:r>
      <w:r>
        <w:t>1</w:t>
      </w:r>
      <w:r>
        <w:fldChar w:fldCharType="end"/>
      </w:r>
      <w: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"_Toc126321304" </w:instrText>
      </w:r>
      <w:r>
        <w:fldChar w:fldCharType="separate"/>
      </w:r>
      <w:r>
        <w:rPr>
          <w:rStyle w:val="30"/>
        </w:rPr>
        <w:t>2</w:t>
      </w:r>
      <w:r>
        <w:rPr>
          <w:rStyle w:val="30"/>
        </w:rPr>
        <w:tab/>
      </w:r>
      <w:r>
        <w:rPr>
          <w:rStyle w:val="30"/>
        </w:rPr>
        <w:t>术语</w:t>
      </w:r>
      <w:r>
        <w:rPr>
          <w:rStyle w:val="30"/>
        </w:rPr>
        <w:tab/>
      </w:r>
      <w:r>
        <w:rPr>
          <w:rStyle w:val="30"/>
        </w:rPr>
        <w:fldChar w:fldCharType="begin"/>
      </w:r>
      <w:r>
        <w:rPr>
          <w:rStyle w:val="30"/>
        </w:rPr>
        <w:instrText xml:space="preserve"> PAGEREF _Toc126321304 \h </w:instrText>
      </w:r>
      <w:r>
        <w:rPr>
          <w:rStyle w:val="30"/>
        </w:rPr>
        <w:fldChar w:fldCharType="separate"/>
      </w:r>
      <w:r>
        <w:rPr>
          <w:rStyle w:val="30"/>
        </w:rPr>
        <w:t>2</w:t>
      </w:r>
      <w:r>
        <w:rPr>
          <w:rStyle w:val="30"/>
        </w:rPr>
        <w:fldChar w:fldCharType="end"/>
      </w:r>
      <w:r>
        <w:rPr>
          <w:rStyle w:val="30"/>
        </w:rP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"_Toc126321305" </w:instrText>
      </w:r>
      <w:r>
        <w:fldChar w:fldCharType="separate"/>
      </w:r>
      <w:r>
        <w:rPr>
          <w:rStyle w:val="30"/>
        </w:rPr>
        <w:t>3</w:t>
      </w:r>
      <w:r>
        <w:rPr>
          <w:rStyle w:val="30"/>
        </w:rPr>
        <w:tab/>
      </w:r>
      <w:r>
        <w:rPr>
          <w:rStyle w:val="30"/>
        </w:rPr>
        <w:t>基本规定</w:t>
      </w:r>
      <w:r>
        <w:rPr>
          <w:rStyle w:val="30"/>
        </w:rPr>
        <w:tab/>
      </w:r>
      <w:r>
        <w:rPr>
          <w:rStyle w:val="30"/>
        </w:rPr>
        <w:fldChar w:fldCharType="begin"/>
      </w:r>
      <w:r>
        <w:rPr>
          <w:rStyle w:val="30"/>
        </w:rPr>
        <w:instrText xml:space="preserve"> PAGEREF _Toc126321305 \h </w:instrText>
      </w:r>
      <w:r>
        <w:rPr>
          <w:rStyle w:val="30"/>
        </w:rPr>
        <w:fldChar w:fldCharType="separate"/>
      </w:r>
      <w:r>
        <w:rPr>
          <w:rStyle w:val="30"/>
        </w:rPr>
        <w:t>4</w:t>
      </w:r>
      <w:r>
        <w:rPr>
          <w:rStyle w:val="30"/>
        </w:rPr>
        <w:fldChar w:fldCharType="end"/>
      </w:r>
      <w:r>
        <w:rPr>
          <w:rStyle w:val="30"/>
        </w:rP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"_Toc126321306" </w:instrText>
      </w:r>
      <w:r>
        <w:fldChar w:fldCharType="separate"/>
      </w:r>
      <w:r>
        <w:rPr>
          <w:rStyle w:val="30"/>
        </w:rPr>
        <w:t>4</w:t>
      </w:r>
      <w:r>
        <w:rPr>
          <w:rStyle w:val="30"/>
        </w:rPr>
        <w:tab/>
      </w:r>
      <w:r>
        <w:rPr>
          <w:rStyle w:val="30"/>
        </w:rPr>
        <w:t>工程设计</w:t>
      </w:r>
      <w:r>
        <w:rPr>
          <w:rStyle w:val="30"/>
        </w:rPr>
        <w:tab/>
      </w:r>
      <w:r>
        <w:rPr>
          <w:rStyle w:val="30"/>
        </w:rPr>
        <w:fldChar w:fldCharType="begin"/>
      </w:r>
      <w:r>
        <w:rPr>
          <w:rStyle w:val="30"/>
        </w:rPr>
        <w:instrText xml:space="preserve"> PAGEREF _Toc126321306 \h </w:instrText>
      </w:r>
      <w:r>
        <w:rPr>
          <w:rStyle w:val="30"/>
        </w:rPr>
        <w:fldChar w:fldCharType="separate"/>
      </w:r>
      <w:r>
        <w:rPr>
          <w:rStyle w:val="30"/>
        </w:rPr>
        <w:t>6</w:t>
      </w:r>
      <w:r>
        <w:rPr>
          <w:rStyle w:val="30"/>
        </w:rPr>
        <w:fldChar w:fldCharType="end"/>
      </w:r>
      <w:r>
        <w:rPr>
          <w:rStyle w:val="30"/>
        </w:rP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"_Toc126321307" </w:instrText>
      </w:r>
      <w:r>
        <w:fldChar w:fldCharType="separate"/>
      </w:r>
      <w:r>
        <w:rPr>
          <w:rStyle w:val="30"/>
        </w:rPr>
        <w:t>4.1</w:t>
      </w:r>
      <w:r>
        <w:rPr>
          <w:rFonts w:asciiTheme="minorHAnsi" w:hAnsiTheme="minorHAnsi" w:eastAsiaTheme="minorEastAsia" w:cstheme="minorBidi"/>
          <w:sz w:val="21"/>
          <w:szCs w:val="22"/>
        </w:rPr>
        <w:tab/>
      </w:r>
      <w:r>
        <w:rPr>
          <w:rStyle w:val="30"/>
        </w:rPr>
        <w:t>一般规定</w:t>
      </w:r>
      <w:r>
        <w:tab/>
      </w:r>
      <w:r>
        <w:fldChar w:fldCharType="begin"/>
      </w:r>
      <w:r>
        <w:instrText xml:space="preserve"> PAGEREF _Toc126321307 \h </w:instrText>
      </w:r>
      <w:r>
        <w:fldChar w:fldCharType="separate"/>
      </w:r>
      <w:r>
        <w:t>6</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"_Toc126321308" </w:instrText>
      </w:r>
      <w:r>
        <w:fldChar w:fldCharType="separate"/>
      </w:r>
      <w:r>
        <w:rPr>
          <w:rStyle w:val="30"/>
          <w:lang w:val="zh-CN"/>
        </w:rPr>
        <w:t>4.2</w:t>
      </w:r>
      <w:r>
        <w:rPr>
          <w:rFonts w:asciiTheme="minorHAnsi" w:hAnsiTheme="minorHAnsi" w:eastAsiaTheme="minorEastAsia" w:cstheme="minorBidi"/>
          <w:sz w:val="21"/>
          <w:szCs w:val="22"/>
        </w:rPr>
        <w:tab/>
      </w:r>
      <w:r>
        <w:rPr>
          <w:rStyle w:val="30"/>
          <w:lang w:val="zh-CN"/>
        </w:rPr>
        <w:t>地下</w:t>
      </w:r>
      <w:r>
        <w:rPr>
          <w:rStyle w:val="30"/>
        </w:rPr>
        <w:t>空间总体</w:t>
      </w:r>
      <w:r>
        <w:rPr>
          <w:rStyle w:val="30"/>
          <w:lang w:val="zh-CN"/>
        </w:rPr>
        <w:t>布置</w:t>
      </w:r>
      <w:r>
        <w:tab/>
      </w:r>
      <w:r>
        <w:fldChar w:fldCharType="begin"/>
      </w:r>
      <w:r>
        <w:instrText xml:space="preserve"> PAGEREF _Toc126321308 \h </w:instrText>
      </w:r>
      <w:r>
        <w:fldChar w:fldCharType="separate"/>
      </w:r>
      <w:r>
        <w:t>8</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"_Toc126321309" </w:instrText>
      </w:r>
      <w:r>
        <w:fldChar w:fldCharType="separate"/>
      </w:r>
      <w:r>
        <w:rPr>
          <w:rStyle w:val="30"/>
        </w:rPr>
        <w:t>4.3</w:t>
      </w:r>
      <w:r>
        <w:rPr>
          <w:rFonts w:asciiTheme="minorHAnsi" w:hAnsiTheme="minorHAnsi" w:eastAsiaTheme="minorEastAsia" w:cstheme="minorBidi"/>
          <w:sz w:val="21"/>
          <w:szCs w:val="22"/>
        </w:rPr>
        <w:tab/>
      </w:r>
      <w:r>
        <w:rPr>
          <w:rStyle w:val="30"/>
        </w:rPr>
        <w:t>污水处理工艺设计</w:t>
      </w:r>
      <w:r>
        <w:tab/>
      </w:r>
      <w:r>
        <w:fldChar w:fldCharType="begin"/>
      </w:r>
      <w:r>
        <w:instrText xml:space="preserve"> PAGEREF _Toc126321309 \h </w:instrText>
      </w:r>
      <w:r>
        <w:fldChar w:fldCharType="separate"/>
      </w:r>
      <w:r>
        <w:t>10</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"_Toc126321310" </w:instrText>
      </w:r>
      <w:r>
        <w:fldChar w:fldCharType="separate"/>
      </w:r>
      <w:r>
        <w:rPr>
          <w:rStyle w:val="30"/>
        </w:rPr>
        <w:t>4.4</w:t>
      </w:r>
      <w:r>
        <w:rPr>
          <w:rFonts w:asciiTheme="minorHAnsi" w:hAnsiTheme="minorHAnsi" w:eastAsiaTheme="minorEastAsia" w:cstheme="minorBidi"/>
          <w:sz w:val="21"/>
          <w:szCs w:val="22"/>
        </w:rPr>
        <w:tab/>
      </w:r>
      <w:r>
        <w:rPr>
          <w:rStyle w:val="30"/>
        </w:rPr>
        <w:t>污泥处理工艺设计</w:t>
      </w:r>
      <w:r>
        <w:tab/>
      </w:r>
      <w:r>
        <w:fldChar w:fldCharType="begin"/>
      </w:r>
      <w:r>
        <w:instrText xml:space="preserve"> PAGEREF _Toc126321310 \h </w:instrText>
      </w:r>
      <w:r>
        <w:fldChar w:fldCharType="separate"/>
      </w:r>
      <w:r>
        <w:t>12</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"_Toc126321311" </w:instrText>
      </w:r>
      <w:r>
        <w:fldChar w:fldCharType="separate"/>
      </w:r>
      <w:r>
        <w:rPr>
          <w:rStyle w:val="30"/>
        </w:rPr>
        <w:t>4.5</w:t>
      </w:r>
      <w:r>
        <w:rPr>
          <w:rFonts w:asciiTheme="minorHAnsi" w:hAnsiTheme="minorHAnsi" w:eastAsiaTheme="minorEastAsia" w:cstheme="minorBidi"/>
          <w:sz w:val="21"/>
          <w:szCs w:val="22"/>
        </w:rPr>
        <w:tab/>
      </w:r>
      <w:r>
        <w:rPr>
          <w:rStyle w:val="30"/>
        </w:rPr>
        <w:t>建筑设计</w:t>
      </w:r>
      <w:r>
        <w:tab/>
      </w:r>
      <w:r>
        <w:fldChar w:fldCharType="begin"/>
      </w:r>
      <w:r>
        <w:instrText xml:space="preserve"> PAGEREF _Toc126321311 \h </w:instrText>
      </w:r>
      <w:r>
        <w:fldChar w:fldCharType="separate"/>
      </w:r>
      <w:r>
        <w:t>13</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"_Toc126321312" </w:instrText>
      </w:r>
      <w:r>
        <w:fldChar w:fldCharType="separate"/>
      </w:r>
      <w:r>
        <w:rPr>
          <w:rStyle w:val="30"/>
        </w:rPr>
        <w:t>4.6</w:t>
      </w:r>
      <w:r>
        <w:rPr>
          <w:rFonts w:asciiTheme="minorHAnsi" w:hAnsiTheme="minorHAnsi" w:eastAsiaTheme="minorEastAsia" w:cstheme="minorBidi"/>
          <w:sz w:val="21"/>
          <w:szCs w:val="22"/>
        </w:rPr>
        <w:tab/>
      </w:r>
      <w:r>
        <w:rPr>
          <w:rStyle w:val="30"/>
        </w:rPr>
        <w:t>绿化景观设计</w:t>
      </w:r>
      <w:r>
        <w:tab/>
      </w:r>
      <w:r>
        <w:fldChar w:fldCharType="begin"/>
      </w:r>
      <w:r>
        <w:instrText xml:space="preserve"> PAGEREF _Toc126321312 \h </w:instrText>
      </w:r>
      <w:r>
        <w:fldChar w:fldCharType="separate"/>
      </w:r>
      <w:r>
        <w:t>15</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"_Toc126321313" </w:instrText>
      </w:r>
      <w:r>
        <w:fldChar w:fldCharType="separate"/>
      </w:r>
      <w:r>
        <w:rPr>
          <w:rStyle w:val="30"/>
        </w:rPr>
        <w:t>4.7</w:t>
      </w:r>
      <w:r>
        <w:rPr>
          <w:rFonts w:asciiTheme="minorHAnsi" w:hAnsiTheme="minorHAnsi" w:eastAsiaTheme="minorEastAsia" w:cstheme="minorBidi"/>
          <w:sz w:val="21"/>
          <w:szCs w:val="22"/>
        </w:rPr>
        <w:tab/>
      </w:r>
      <w:r>
        <w:rPr>
          <w:rStyle w:val="30"/>
        </w:rPr>
        <w:t>结构设计</w:t>
      </w:r>
      <w:r>
        <w:tab/>
      </w:r>
      <w:r>
        <w:fldChar w:fldCharType="begin"/>
      </w:r>
      <w:r>
        <w:instrText xml:space="preserve"> PAGEREF _Toc126321313 \h </w:instrText>
      </w:r>
      <w:r>
        <w:fldChar w:fldCharType="separate"/>
      </w:r>
      <w:r>
        <w:t>15</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"_Toc126321314" </w:instrText>
      </w:r>
      <w:r>
        <w:fldChar w:fldCharType="separate"/>
      </w:r>
      <w:r>
        <w:rPr>
          <w:rStyle w:val="30"/>
        </w:rPr>
        <w:t>4.8</w:t>
      </w:r>
      <w:r>
        <w:rPr>
          <w:rFonts w:asciiTheme="minorHAnsi" w:hAnsiTheme="minorHAnsi" w:eastAsiaTheme="minorEastAsia" w:cstheme="minorBidi"/>
          <w:sz w:val="21"/>
          <w:szCs w:val="22"/>
        </w:rPr>
        <w:tab/>
      </w:r>
      <w:r>
        <w:rPr>
          <w:rStyle w:val="30"/>
        </w:rPr>
        <w:t>通风与除臭设计</w:t>
      </w:r>
      <w:r>
        <w:tab/>
      </w:r>
      <w:r>
        <w:fldChar w:fldCharType="begin"/>
      </w:r>
      <w:r>
        <w:instrText xml:space="preserve"> PAGEREF _Toc126321314 \h </w:instrText>
      </w:r>
      <w:r>
        <w:fldChar w:fldCharType="separate"/>
      </w:r>
      <w:r>
        <w:t>18</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"_Toc126321315" </w:instrText>
      </w:r>
      <w:r>
        <w:fldChar w:fldCharType="separate"/>
      </w:r>
      <w:r>
        <w:rPr>
          <w:rStyle w:val="30"/>
        </w:rPr>
        <w:t>4.9</w:t>
      </w:r>
      <w:r>
        <w:rPr>
          <w:rFonts w:asciiTheme="minorHAnsi" w:hAnsiTheme="minorHAnsi" w:eastAsiaTheme="minorEastAsia" w:cstheme="minorBidi"/>
          <w:sz w:val="21"/>
          <w:szCs w:val="22"/>
        </w:rPr>
        <w:tab/>
      </w:r>
      <w:r>
        <w:rPr>
          <w:rStyle w:val="30"/>
        </w:rPr>
        <w:t>电气设计</w:t>
      </w:r>
      <w:r>
        <w:tab/>
      </w:r>
      <w:r>
        <w:fldChar w:fldCharType="begin"/>
      </w:r>
      <w:r>
        <w:instrText xml:space="preserve"> PAGEREF _Toc126321315 \h </w:instrText>
      </w:r>
      <w:r>
        <w:fldChar w:fldCharType="separate"/>
      </w:r>
      <w:r>
        <w:t>20</w:t>
      </w:r>
      <w:r>
        <w:fldChar w:fldCharType="end"/>
      </w:r>
      <w:r>
        <w:fldChar w:fldCharType="end"/>
      </w:r>
    </w:p>
    <w:p>
      <w:pPr>
        <w:pStyle w:val="20"/>
        <w:tabs>
          <w:tab w:val="left" w:pos="840"/>
          <w:tab w:val="right" w:leader="dot" w:pos="8656"/>
        </w:tabs>
        <w:spacing w:after="156"/>
        <w:ind w:left="140"/>
        <w:rPr>
          <w:rStyle w:val="30"/>
        </w:rPr>
      </w:pPr>
      <w:r>
        <w:fldChar w:fldCharType="begin"/>
      </w:r>
      <w:r>
        <w:instrText xml:space="preserve"> HYPERLINK \l "_Toc126321316" </w:instrText>
      </w:r>
      <w:r>
        <w:fldChar w:fldCharType="separate"/>
      </w:r>
      <w:r>
        <w:rPr>
          <w:rStyle w:val="30"/>
        </w:rPr>
        <w:t>4.10</w:t>
      </w:r>
      <w:r>
        <w:rPr>
          <w:rStyle w:val="30"/>
        </w:rPr>
        <w:tab/>
      </w:r>
      <w:r>
        <w:rPr>
          <w:rStyle w:val="30"/>
        </w:rPr>
        <w:t>自控及智能化设计</w:t>
      </w:r>
      <w:r>
        <w:rPr>
          <w:rStyle w:val="30"/>
        </w:rPr>
        <w:tab/>
      </w:r>
      <w:r>
        <w:rPr>
          <w:rStyle w:val="30"/>
        </w:rPr>
        <w:fldChar w:fldCharType="begin"/>
      </w:r>
      <w:r>
        <w:rPr>
          <w:rStyle w:val="30"/>
        </w:rPr>
        <w:instrText xml:space="preserve"> PAGEREF _Toc126321316 \h </w:instrText>
      </w:r>
      <w:r>
        <w:rPr>
          <w:rStyle w:val="30"/>
        </w:rPr>
        <w:fldChar w:fldCharType="separate"/>
      </w:r>
      <w:r>
        <w:rPr>
          <w:rStyle w:val="30"/>
        </w:rPr>
        <w:t>22</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"_Toc126321317" </w:instrText>
      </w:r>
      <w:r>
        <w:fldChar w:fldCharType="separate"/>
      </w:r>
      <w:r>
        <w:rPr>
          <w:rStyle w:val="30"/>
        </w:rPr>
        <w:t>4.11</w:t>
      </w:r>
      <w:r>
        <w:rPr>
          <w:rStyle w:val="30"/>
        </w:rPr>
        <w:tab/>
      </w:r>
      <w:r>
        <w:rPr>
          <w:rStyle w:val="30"/>
        </w:rPr>
        <w:t>消防设计</w:t>
      </w:r>
      <w:r>
        <w:rPr>
          <w:rStyle w:val="30"/>
        </w:rPr>
        <w:tab/>
      </w:r>
      <w:r>
        <w:rPr>
          <w:rStyle w:val="30"/>
        </w:rPr>
        <w:fldChar w:fldCharType="begin"/>
      </w:r>
      <w:r>
        <w:rPr>
          <w:rStyle w:val="30"/>
        </w:rPr>
        <w:instrText xml:space="preserve"> PAGEREF _Toc126321317 \h </w:instrText>
      </w:r>
      <w:r>
        <w:rPr>
          <w:rStyle w:val="30"/>
        </w:rPr>
        <w:fldChar w:fldCharType="separate"/>
      </w:r>
      <w:r>
        <w:rPr>
          <w:rStyle w:val="30"/>
        </w:rPr>
        <w:t>24</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"_Toc126321318" </w:instrText>
      </w:r>
      <w:r>
        <w:fldChar w:fldCharType="separate"/>
      </w:r>
      <w:r>
        <w:rPr>
          <w:rStyle w:val="30"/>
        </w:rPr>
        <w:t>4.12</w:t>
      </w:r>
      <w:r>
        <w:rPr>
          <w:rStyle w:val="30"/>
        </w:rPr>
        <w:tab/>
      </w:r>
      <w:r>
        <w:rPr>
          <w:rStyle w:val="30"/>
        </w:rPr>
        <w:t>安全生产</w:t>
      </w:r>
      <w:r>
        <w:rPr>
          <w:rStyle w:val="30"/>
        </w:rPr>
        <w:tab/>
      </w:r>
      <w:r>
        <w:rPr>
          <w:rStyle w:val="30"/>
        </w:rPr>
        <w:fldChar w:fldCharType="begin"/>
      </w:r>
      <w:r>
        <w:rPr>
          <w:rStyle w:val="30"/>
        </w:rPr>
        <w:instrText xml:space="preserve"> PAGEREF _Toc126321318 \h </w:instrText>
      </w:r>
      <w:r>
        <w:rPr>
          <w:rStyle w:val="30"/>
        </w:rPr>
        <w:fldChar w:fldCharType="separate"/>
      </w:r>
      <w:r>
        <w:rPr>
          <w:rStyle w:val="30"/>
        </w:rPr>
        <w:t>29</w:t>
      </w:r>
      <w:r>
        <w:rPr>
          <w:rStyle w:val="30"/>
        </w:rPr>
        <w:fldChar w:fldCharType="end"/>
      </w:r>
      <w:r>
        <w:rPr>
          <w:rStyle w:val="30"/>
        </w:rP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"_Toc126321319" </w:instrText>
      </w:r>
      <w:r>
        <w:fldChar w:fldCharType="separate"/>
      </w:r>
      <w:r>
        <w:rPr>
          <w:rStyle w:val="30"/>
        </w:rPr>
        <w:t>5</w:t>
      </w:r>
      <w:r>
        <w:rPr>
          <w:rStyle w:val="30"/>
        </w:rPr>
        <w:tab/>
      </w:r>
      <w:r>
        <w:rPr>
          <w:rStyle w:val="30"/>
        </w:rPr>
        <w:t>施工、验收和移交</w:t>
      </w:r>
      <w:r>
        <w:rPr>
          <w:rStyle w:val="30"/>
        </w:rPr>
        <w:tab/>
      </w:r>
      <w:r>
        <w:rPr>
          <w:rStyle w:val="30"/>
        </w:rPr>
        <w:fldChar w:fldCharType="begin"/>
      </w:r>
      <w:r>
        <w:rPr>
          <w:rStyle w:val="30"/>
        </w:rPr>
        <w:instrText xml:space="preserve"> PAGEREF _Toc126321319 \h </w:instrText>
      </w:r>
      <w:r>
        <w:rPr>
          <w:rStyle w:val="30"/>
        </w:rPr>
        <w:fldChar w:fldCharType="separate"/>
      </w:r>
      <w:r>
        <w:rPr>
          <w:rStyle w:val="30"/>
        </w:rPr>
        <w:t>31</w:t>
      </w:r>
      <w:r>
        <w:rPr>
          <w:rStyle w:val="30"/>
        </w:rPr>
        <w:fldChar w:fldCharType="end"/>
      </w:r>
      <w:r>
        <w:rPr>
          <w:rStyle w:val="30"/>
        </w:rP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"_Toc126321320" </w:instrText>
      </w:r>
      <w:r>
        <w:fldChar w:fldCharType="separate"/>
      </w:r>
      <w:r>
        <w:rPr>
          <w:rStyle w:val="30"/>
        </w:rPr>
        <w:t>5.1</w:t>
      </w:r>
      <w:r>
        <w:rPr>
          <w:rFonts w:asciiTheme="minorHAnsi" w:hAnsiTheme="minorHAnsi" w:eastAsiaTheme="minorEastAsia" w:cstheme="minorBidi"/>
          <w:sz w:val="21"/>
          <w:szCs w:val="22"/>
        </w:rPr>
        <w:tab/>
      </w:r>
      <w:r>
        <w:rPr>
          <w:rStyle w:val="30"/>
        </w:rPr>
        <w:t>一般规定</w:t>
      </w:r>
      <w:r>
        <w:tab/>
      </w:r>
      <w:r>
        <w:fldChar w:fldCharType="begin"/>
      </w:r>
      <w:r>
        <w:instrText xml:space="preserve"> PAGEREF _Toc126321320 \h </w:instrText>
      </w:r>
      <w:r>
        <w:fldChar w:fldCharType="separate"/>
      </w:r>
      <w:r>
        <w:t>31</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"_Toc126321321" </w:instrText>
      </w:r>
      <w:r>
        <w:fldChar w:fldCharType="separate"/>
      </w:r>
      <w:r>
        <w:rPr>
          <w:rStyle w:val="30"/>
        </w:rPr>
        <w:t>5.2</w:t>
      </w:r>
      <w:r>
        <w:rPr>
          <w:rFonts w:asciiTheme="minorHAnsi" w:hAnsiTheme="minorHAnsi" w:eastAsiaTheme="minorEastAsia" w:cstheme="minorBidi"/>
          <w:sz w:val="21"/>
          <w:szCs w:val="22"/>
        </w:rPr>
        <w:tab/>
      </w:r>
      <w:r>
        <w:rPr>
          <w:rStyle w:val="30"/>
        </w:rPr>
        <w:t>构（建）筑物施工</w:t>
      </w:r>
      <w:r>
        <w:tab/>
      </w:r>
      <w:r>
        <w:fldChar w:fldCharType="begin"/>
      </w:r>
      <w:r>
        <w:instrText xml:space="preserve"> PAGEREF _Toc126321321 \h </w:instrText>
      </w:r>
      <w:r>
        <w:fldChar w:fldCharType="separate"/>
      </w:r>
      <w:r>
        <w:t>32</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"_Toc126321322" </w:instrText>
      </w:r>
      <w:r>
        <w:fldChar w:fldCharType="separate"/>
      </w:r>
      <w:r>
        <w:rPr>
          <w:rStyle w:val="30"/>
        </w:rPr>
        <w:t>5.3</w:t>
      </w:r>
      <w:r>
        <w:rPr>
          <w:rFonts w:asciiTheme="minorHAnsi" w:hAnsiTheme="minorHAnsi" w:eastAsiaTheme="minorEastAsia" w:cstheme="minorBidi"/>
          <w:sz w:val="21"/>
          <w:szCs w:val="22"/>
        </w:rPr>
        <w:tab/>
      </w:r>
      <w:r>
        <w:rPr>
          <w:rStyle w:val="30"/>
        </w:rPr>
        <w:t>机电设备安装与调试</w:t>
      </w:r>
      <w:r>
        <w:tab/>
      </w:r>
      <w:r>
        <w:fldChar w:fldCharType="begin"/>
      </w:r>
      <w:r>
        <w:instrText xml:space="preserve"> PAGEREF _Toc126321322 \h </w:instrText>
      </w:r>
      <w:r>
        <w:fldChar w:fldCharType="separate"/>
      </w:r>
      <w:r>
        <w:t>36</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"_Toc126321323" </w:instrText>
      </w:r>
      <w:r>
        <w:fldChar w:fldCharType="separate"/>
      </w:r>
      <w:r>
        <w:rPr>
          <w:rStyle w:val="30"/>
        </w:rPr>
        <w:t>5.4</w:t>
      </w:r>
      <w:r>
        <w:rPr>
          <w:rFonts w:asciiTheme="minorHAnsi" w:hAnsiTheme="minorHAnsi" w:eastAsiaTheme="minorEastAsia" w:cstheme="minorBidi"/>
          <w:sz w:val="21"/>
          <w:szCs w:val="22"/>
        </w:rPr>
        <w:tab/>
      </w:r>
      <w:r>
        <w:rPr>
          <w:rStyle w:val="30"/>
        </w:rPr>
        <w:t>工程验收</w:t>
      </w:r>
      <w:r>
        <w:tab/>
      </w:r>
      <w:r>
        <w:fldChar w:fldCharType="begin"/>
      </w:r>
      <w:r>
        <w:instrText xml:space="preserve"> PAGEREF _Toc126321323 \h </w:instrText>
      </w:r>
      <w:r>
        <w:fldChar w:fldCharType="separate"/>
      </w:r>
      <w:r>
        <w:t>38</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"_Toc126321324" </w:instrText>
      </w:r>
      <w:r>
        <w:fldChar w:fldCharType="separate"/>
      </w:r>
      <w:r>
        <w:rPr>
          <w:rStyle w:val="30"/>
        </w:rPr>
        <w:t>5.5</w:t>
      </w:r>
      <w:r>
        <w:rPr>
          <w:rFonts w:asciiTheme="minorHAnsi" w:hAnsiTheme="minorHAnsi" w:eastAsiaTheme="minorEastAsia" w:cstheme="minorBidi"/>
          <w:sz w:val="21"/>
          <w:szCs w:val="22"/>
        </w:rPr>
        <w:tab/>
      </w:r>
      <w:r>
        <w:rPr>
          <w:rStyle w:val="30"/>
        </w:rPr>
        <w:t>工程移交</w:t>
      </w:r>
      <w:r>
        <w:tab/>
      </w:r>
      <w:r>
        <w:fldChar w:fldCharType="begin"/>
      </w:r>
      <w:r>
        <w:instrText xml:space="preserve"> PAGEREF _Toc126321324 \h </w:instrText>
      </w:r>
      <w:r>
        <w:fldChar w:fldCharType="separate"/>
      </w:r>
      <w:r>
        <w:t>40</w:t>
      </w:r>
      <w:r>
        <w:fldChar w:fldCharType="end"/>
      </w:r>
      <w: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"_Toc126321325" </w:instrText>
      </w:r>
      <w:r>
        <w:fldChar w:fldCharType="separate"/>
      </w:r>
      <w:r>
        <w:rPr>
          <w:rStyle w:val="30"/>
        </w:rPr>
        <w:t>6</w:t>
      </w:r>
      <w:r>
        <w:rPr>
          <w:rStyle w:val="30"/>
        </w:rPr>
        <w:tab/>
      </w:r>
      <w:r>
        <w:rPr>
          <w:rStyle w:val="30"/>
        </w:rPr>
        <w:t>运行和维护</w:t>
      </w:r>
      <w:r>
        <w:rPr>
          <w:rStyle w:val="30"/>
        </w:rPr>
        <w:tab/>
      </w:r>
      <w:r>
        <w:rPr>
          <w:rStyle w:val="30"/>
        </w:rPr>
        <w:fldChar w:fldCharType="begin"/>
      </w:r>
      <w:r>
        <w:rPr>
          <w:rStyle w:val="30"/>
        </w:rPr>
        <w:instrText xml:space="preserve"> PAGEREF _Toc126321325 \h </w:instrText>
      </w:r>
      <w:r>
        <w:rPr>
          <w:rStyle w:val="30"/>
        </w:rPr>
        <w:fldChar w:fldCharType="separate"/>
      </w:r>
      <w:r>
        <w:rPr>
          <w:rStyle w:val="30"/>
        </w:rPr>
        <w:t>40</w:t>
      </w:r>
      <w:r>
        <w:rPr>
          <w:rStyle w:val="30"/>
        </w:rPr>
        <w:fldChar w:fldCharType="end"/>
      </w:r>
      <w:r>
        <w:rPr>
          <w:rStyle w:val="30"/>
        </w:rP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"_Toc126321326" </w:instrText>
      </w:r>
      <w:r>
        <w:fldChar w:fldCharType="separate"/>
      </w:r>
      <w:r>
        <w:rPr>
          <w:rStyle w:val="30"/>
        </w:rPr>
        <w:t>6.1</w:t>
      </w:r>
      <w:r>
        <w:rPr>
          <w:rFonts w:asciiTheme="minorHAnsi" w:hAnsiTheme="minorHAnsi" w:eastAsiaTheme="minorEastAsia" w:cstheme="minorBidi"/>
          <w:sz w:val="21"/>
          <w:szCs w:val="22"/>
        </w:rPr>
        <w:tab/>
      </w:r>
      <w:r>
        <w:rPr>
          <w:rStyle w:val="30"/>
        </w:rPr>
        <w:t>一般规定</w:t>
      </w:r>
      <w:r>
        <w:tab/>
      </w:r>
      <w:r>
        <w:fldChar w:fldCharType="begin"/>
      </w:r>
      <w:r>
        <w:instrText xml:space="preserve"> PAGEREF _Toc126321326 \h </w:instrText>
      </w:r>
      <w:r>
        <w:fldChar w:fldCharType="separate"/>
      </w:r>
      <w:r>
        <w:t>40</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"_Toc126321327" </w:instrText>
      </w:r>
      <w:r>
        <w:fldChar w:fldCharType="separate"/>
      </w:r>
      <w:r>
        <w:rPr>
          <w:rStyle w:val="30"/>
        </w:rPr>
        <w:t>6.2</w:t>
      </w:r>
      <w:r>
        <w:rPr>
          <w:rFonts w:asciiTheme="minorHAnsi" w:hAnsiTheme="minorHAnsi" w:eastAsiaTheme="minorEastAsia" w:cstheme="minorBidi"/>
          <w:sz w:val="21"/>
          <w:szCs w:val="22"/>
        </w:rPr>
        <w:tab/>
      </w:r>
      <w:r>
        <w:rPr>
          <w:rStyle w:val="30"/>
        </w:rPr>
        <w:t>运行管理</w:t>
      </w:r>
      <w:r>
        <w:tab/>
      </w:r>
      <w:r>
        <w:fldChar w:fldCharType="begin"/>
      </w:r>
      <w:r>
        <w:instrText xml:space="preserve"> PAGEREF _Toc126321327 \h </w:instrText>
      </w:r>
      <w:r>
        <w:fldChar w:fldCharType="separate"/>
      </w:r>
      <w:r>
        <w:t>41</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"_Toc126321328" </w:instrText>
      </w:r>
      <w:r>
        <w:fldChar w:fldCharType="separate"/>
      </w:r>
      <w:r>
        <w:rPr>
          <w:rStyle w:val="30"/>
        </w:rPr>
        <w:t>6.3</w:t>
      </w:r>
      <w:r>
        <w:rPr>
          <w:rFonts w:asciiTheme="minorHAnsi" w:hAnsiTheme="minorHAnsi" w:eastAsiaTheme="minorEastAsia" w:cstheme="minorBidi"/>
          <w:sz w:val="21"/>
          <w:szCs w:val="22"/>
        </w:rPr>
        <w:tab/>
      </w:r>
      <w:r>
        <w:rPr>
          <w:rStyle w:val="30"/>
        </w:rPr>
        <w:t>日常维护</w:t>
      </w:r>
      <w:r>
        <w:tab/>
      </w:r>
      <w:r>
        <w:fldChar w:fldCharType="begin"/>
      </w:r>
      <w:r>
        <w:instrText xml:space="preserve"> PAGEREF _Toc126321328 \h </w:instrText>
      </w:r>
      <w:r>
        <w:fldChar w:fldCharType="separate"/>
      </w:r>
      <w:r>
        <w:t>43</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"_Toc126321329" </w:instrText>
      </w:r>
      <w:r>
        <w:fldChar w:fldCharType="separate"/>
      </w:r>
      <w:r>
        <w:rPr>
          <w:rStyle w:val="30"/>
        </w:rPr>
        <w:t>6.4</w:t>
      </w:r>
      <w:r>
        <w:rPr>
          <w:rFonts w:asciiTheme="minorHAnsi" w:hAnsiTheme="minorHAnsi" w:eastAsiaTheme="minorEastAsia" w:cstheme="minorBidi"/>
          <w:sz w:val="21"/>
          <w:szCs w:val="22"/>
        </w:rPr>
        <w:tab/>
      </w:r>
      <w:r>
        <w:rPr>
          <w:rStyle w:val="30"/>
        </w:rPr>
        <w:t>应急管理</w:t>
      </w:r>
      <w:r>
        <w:tab/>
      </w:r>
      <w:r>
        <w:fldChar w:fldCharType="begin"/>
      </w:r>
      <w:r>
        <w:instrText xml:space="preserve"> PAGEREF _Toc126321329 \h </w:instrText>
      </w:r>
      <w:r>
        <w:fldChar w:fldCharType="separate"/>
      </w:r>
      <w:r>
        <w:t>44</w:t>
      </w:r>
      <w:r>
        <w:fldChar w:fldCharType="end"/>
      </w:r>
      <w:r>
        <w:fldChar w:fldCharType="end"/>
      </w:r>
    </w:p>
    <w:p>
      <w:pPr>
        <w:pStyle w:val="20"/>
        <w:tabs>
          <w:tab w:val="left" w:pos="840"/>
          <w:tab w:val="right" w:leader="dot" w:pos="8656"/>
        </w:tabs>
        <w:spacing w:after="156"/>
        <w:ind w:left="140"/>
        <w:rPr>
          <w:rFonts w:asciiTheme="minorHAnsi" w:hAnsiTheme="minorHAnsi" w:eastAsiaTheme="minorEastAsia" w:cstheme="minorBidi"/>
          <w:sz w:val="21"/>
          <w:szCs w:val="22"/>
        </w:rPr>
      </w:pPr>
      <w:r>
        <w:fldChar w:fldCharType="begin"/>
      </w:r>
      <w:r>
        <w:instrText xml:space="preserve"> HYPERLINK \l "_Toc126321330" </w:instrText>
      </w:r>
      <w:r>
        <w:fldChar w:fldCharType="separate"/>
      </w:r>
      <w:r>
        <w:rPr>
          <w:rStyle w:val="30"/>
        </w:rPr>
        <w:t>6.5</w:t>
      </w:r>
      <w:r>
        <w:rPr>
          <w:rFonts w:asciiTheme="minorHAnsi" w:hAnsiTheme="minorHAnsi" w:eastAsiaTheme="minorEastAsia" w:cstheme="minorBidi"/>
          <w:sz w:val="21"/>
          <w:szCs w:val="22"/>
        </w:rPr>
        <w:tab/>
      </w:r>
      <w:r>
        <w:rPr>
          <w:rStyle w:val="30"/>
        </w:rPr>
        <w:t>职业健康</w:t>
      </w:r>
      <w:r>
        <w:tab/>
      </w:r>
      <w:r>
        <w:fldChar w:fldCharType="begin"/>
      </w:r>
      <w:r>
        <w:instrText xml:space="preserve"> PAGEREF _Toc126321330 \h </w:instrText>
      </w:r>
      <w:r>
        <w:fldChar w:fldCharType="separate"/>
      </w:r>
      <w:r>
        <w:t>45</w:t>
      </w:r>
      <w:r>
        <w:fldChar w:fldCharType="end"/>
      </w:r>
      <w:r>
        <w:fldChar w:fldCharType="end"/>
      </w:r>
    </w:p>
    <w:p>
      <w:pPr>
        <w:pStyle w:val="17"/>
        <w:tabs>
          <w:tab w:val="right" w:leader="dot" w:pos="8656"/>
        </w:tabs>
        <w:rPr>
          <w:rFonts w:asciiTheme="minorHAnsi" w:hAnsiTheme="minorHAnsi" w:eastAsiaTheme="minorEastAsia" w:cstheme="minorBidi"/>
          <w:sz w:val="21"/>
          <w:szCs w:val="22"/>
        </w:rPr>
      </w:pPr>
      <w:r>
        <w:fldChar w:fldCharType="begin"/>
      </w:r>
      <w:r>
        <w:instrText xml:space="preserve"> HYPERLINK \l "_Toc126321331" </w:instrText>
      </w:r>
      <w:r>
        <w:fldChar w:fldCharType="separate"/>
      </w:r>
      <w:r>
        <w:rPr>
          <w:rStyle w:val="30"/>
        </w:rPr>
        <w:t>本规程用词说明</w:t>
      </w:r>
      <w:r>
        <w:tab/>
      </w:r>
      <w:r>
        <w:fldChar w:fldCharType="begin"/>
      </w:r>
      <w:r>
        <w:instrText xml:space="preserve"> PAGEREF _Toc126321331 \h </w:instrText>
      </w:r>
      <w:r>
        <w:fldChar w:fldCharType="separate"/>
      </w:r>
      <w:r>
        <w:t>46</w:t>
      </w:r>
      <w:r>
        <w:fldChar w:fldCharType="end"/>
      </w:r>
      <w:r>
        <w:fldChar w:fldCharType="end"/>
      </w:r>
    </w:p>
    <w:p>
      <w:pPr>
        <w:pStyle w:val="17"/>
        <w:tabs>
          <w:tab w:val="right" w:leader="dot" w:pos="8656"/>
        </w:tabs>
        <w:rPr>
          <w:rFonts w:asciiTheme="minorHAnsi" w:hAnsiTheme="minorHAnsi" w:eastAsiaTheme="minorEastAsia" w:cstheme="minorBidi"/>
          <w:sz w:val="21"/>
          <w:szCs w:val="22"/>
        </w:rPr>
      </w:pPr>
      <w:r>
        <w:fldChar w:fldCharType="begin"/>
      </w:r>
      <w:r>
        <w:instrText xml:space="preserve"> HYPERLINK \l "_Toc126321332" </w:instrText>
      </w:r>
      <w:r>
        <w:fldChar w:fldCharType="separate"/>
      </w:r>
      <w:r>
        <w:rPr>
          <w:rStyle w:val="30"/>
        </w:rPr>
        <w:t>引用标准名录</w:t>
      </w:r>
      <w:r>
        <w:tab/>
      </w:r>
      <w:r>
        <w:fldChar w:fldCharType="begin"/>
      </w:r>
      <w:r>
        <w:instrText xml:space="preserve"> PAGEREF _Toc126321332 \h </w:instrText>
      </w:r>
      <w:r>
        <w:fldChar w:fldCharType="separate"/>
      </w:r>
      <w:r>
        <w:t>47</w:t>
      </w:r>
      <w:r>
        <w:fldChar w:fldCharType="end"/>
      </w:r>
      <w:r>
        <w:fldChar w:fldCharType="end"/>
      </w:r>
    </w:p>
    <w:p>
      <w:pPr>
        <w:ind w:firstLine="0" w:firstLineChars="0"/>
        <w:sectPr>
          <w:footerReference r:id="rId12" w:type="default"/>
          <w:pgSz w:w="11906" w:h="16838"/>
          <w:pgMar w:top="1440" w:right="1440" w:bottom="1117" w:left="1800" w:header="851" w:footer="992" w:gutter="0"/>
          <w:pgNumType w:start="1"/>
          <w:cols w:space="425" w:num="1"/>
          <w:docGrid w:type="lines" w:linePitch="312" w:charSpace="0"/>
        </w:sectPr>
      </w:pPr>
      <w:r>
        <w:fldChar w:fldCharType="end"/>
      </w:r>
    </w:p>
    <w:p>
      <w:pPr>
        <w:pStyle w:val="2"/>
        <w:spacing w:before="624" w:after="624"/>
        <w:rPr>
          <w:color w:val="auto"/>
        </w:rPr>
      </w:pPr>
      <w:bookmarkStart w:id="6" w:name="_Toc19888406"/>
      <w:bookmarkStart w:id="7" w:name="_Toc28431"/>
      <w:bookmarkStart w:id="8" w:name="_Toc96358458"/>
      <w:bookmarkStart w:id="9" w:name="_Toc114734621"/>
      <w:bookmarkStart w:id="10" w:name="_Toc10381"/>
      <w:bookmarkStart w:id="11" w:name="_Toc9447"/>
      <w:bookmarkStart w:id="12" w:name="_Toc535322502"/>
      <w:bookmarkStart w:id="13" w:name="_Toc126321303"/>
      <w:bookmarkStart w:id="14" w:name="_Toc70600495"/>
      <w:bookmarkStart w:id="15" w:name="_Toc30575344"/>
      <w:r>
        <w:rPr>
          <w:rFonts w:hint="eastAsia"/>
          <w:color w:val="auto"/>
        </w:rPr>
        <w:t>总则</w:t>
      </w:r>
      <w:bookmarkEnd w:id="6"/>
      <w:bookmarkEnd w:id="7"/>
      <w:bookmarkEnd w:id="8"/>
      <w:bookmarkEnd w:id="9"/>
      <w:bookmarkEnd w:id="10"/>
      <w:bookmarkEnd w:id="11"/>
      <w:bookmarkEnd w:id="12"/>
      <w:bookmarkEnd w:id="13"/>
      <w:bookmarkEnd w:id="14"/>
      <w:bookmarkEnd w:id="15"/>
    </w:p>
    <w:p>
      <w:pPr>
        <w:pStyle w:val="4"/>
        <w:numPr>
          <w:ilvl w:val="0"/>
          <w:numId w:val="0"/>
        </w:numPr>
        <w:rPr>
          <w:rFonts w:ascii="宋体" w:hAnsi="宋体"/>
        </w:rPr>
      </w:pPr>
      <w:r>
        <w:rPr>
          <w:b/>
          <w:bCs w:val="0"/>
          <w:lang w:val="zh-CN"/>
        </w:rPr>
        <w:t>1.0.1</w:t>
      </w:r>
      <w:r>
        <w:rPr>
          <w:b/>
          <w:bCs w:val="0"/>
        </w:rPr>
        <w:t xml:space="preserve">  </w:t>
      </w:r>
      <w:r>
        <w:rPr>
          <w:rFonts w:ascii="宋体" w:hAnsi="宋体"/>
        </w:rPr>
        <w:t>为规范</w:t>
      </w:r>
      <w:r>
        <w:rPr>
          <w:rFonts w:hint="eastAsia" w:ascii="宋体" w:hAnsi="宋体"/>
        </w:rPr>
        <w:t>广东省</w:t>
      </w:r>
      <w:r>
        <w:rPr>
          <w:rFonts w:ascii="宋体" w:hAnsi="宋体"/>
        </w:rPr>
        <w:t>地下式</w:t>
      </w:r>
      <w:r>
        <w:rPr>
          <w:rFonts w:hint="eastAsia" w:ascii="宋体" w:hAnsi="宋体"/>
        </w:rPr>
        <w:t>城镇</w:t>
      </w:r>
      <w:r>
        <w:rPr>
          <w:rFonts w:ascii="宋体" w:hAnsi="宋体"/>
        </w:rPr>
        <w:t>污水处理厂的</w:t>
      </w:r>
      <w:r>
        <w:rPr>
          <w:rFonts w:hint="eastAsia" w:ascii="宋体" w:hAnsi="宋体"/>
        </w:rPr>
        <w:t>设计、施工、验收</w:t>
      </w:r>
      <w:r>
        <w:rPr>
          <w:rFonts w:ascii="宋体" w:hAnsi="宋体"/>
        </w:rPr>
        <w:t>和运行维护，做到安全可靠、技术先进、经济合理、运维便利</w:t>
      </w:r>
      <w:r>
        <w:rPr>
          <w:rFonts w:hint="eastAsia" w:ascii="宋体" w:hAnsi="宋体"/>
        </w:rPr>
        <w:t>、低碳生态、环境相融、土地利用</w:t>
      </w:r>
      <w:r>
        <w:rPr>
          <w:rFonts w:ascii="宋体" w:hAnsi="宋体"/>
        </w:rPr>
        <w:t>，制定本规程。</w:t>
      </w:r>
    </w:p>
    <w:p>
      <w:pPr>
        <w:pStyle w:val="4"/>
        <w:numPr>
          <w:ilvl w:val="0"/>
          <w:numId w:val="0"/>
        </w:numPr>
        <w:rPr>
          <w:rFonts w:ascii="宋体" w:hAnsi="宋体"/>
        </w:rPr>
      </w:pPr>
      <w:r>
        <w:rPr>
          <w:b/>
          <w:bCs w:val="0"/>
          <w:lang w:val="zh-CN"/>
        </w:rPr>
        <w:t>1.0.2</w:t>
      </w:r>
      <w:r>
        <w:rPr>
          <w:b/>
          <w:bCs w:val="0"/>
        </w:rPr>
        <w:t xml:space="preserve">  </w:t>
      </w:r>
      <w:r>
        <w:rPr>
          <w:rFonts w:ascii="宋体" w:hAnsi="宋体"/>
        </w:rPr>
        <w:t>本规程适用于新建、扩建和改建</w:t>
      </w:r>
      <w:r>
        <w:rPr>
          <w:rFonts w:hint="eastAsia" w:ascii="宋体" w:hAnsi="宋体"/>
        </w:rPr>
        <w:t>的</w:t>
      </w:r>
      <w:r>
        <w:rPr>
          <w:rFonts w:ascii="宋体" w:hAnsi="宋体"/>
        </w:rPr>
        <w:t>永久性地下式</w:t>
      </w:r>
      <w:r>
        <w:rPr>
          <w:rFonts w:hint="eastAsia" w:ascii="宋体" w:hAnsi="宋体"/>
        </w:rPr>
        <w:t>城镇</w:t>
      </w:r>
      <w:r>
        <w:rPr>
          <w:rFonts w:ascii="宋体" w:hAnsi="宋体"/>
        </w:rPr>
        <w:t>污水处理厂的设计、施工</w:t>
      </w:r>
      <w:r>
        <w:rPr>
          <w:rFonts w:hint="eastAsia" w:ascii="宋体" w:hAnsi="宋体"/>
        </w:rPr>
        <w:t>、</w:t>
      </w:r>
      <w:r>
        <w:rPr>
          <w:rFonts w:ascii="宋体" w:hAnsi="宋体"/>
        </w:rPr>
        <w:t>验收和运行维护。</w:t>
      </w:r>
    </w:p>
    <w:p>
      <w:pPr>
        <w:pStyle w:val="4"/>
        <w:numPr>
          <w:ilvl w:val="0"/>
          <w:numId w:val="0"/>
        </w:numPr>
        <w:rPr>
          <w:b/>
          <w:bCs w:val="0"/>
        </w:rPr>
      </w:pPr>
      <w:bookmarkStart w:id="16" w:name="_Hlk34383612"/>
      <w:r>
        <w:rPr>
          <w:b/>
          <w:bCs w:val="0"/>
          <w:lang w:val="zh-CN"/>
        </w:rPr>
        <w:t>1.0.3</w:t>
      </w:r>
      <w:r>
        <w:rPr>
          <w:b/>
          <w:bCs w:val="0"/>
        </w:rPr>
        <w:t xml:space="preserve">  </w:t>
      </w:r>
      <w:r>
        <w:rPr>
          <w:rFonts w:hint="eastAsia" w:ascii="宋体" w:hAnsi="宋体"/>
        </w:rPr>
        <w:t>地下式城镇污水处理厂工程建设应遵循</w:t>
      </w:r>
      <w:r>
        <w:rPr>
          <w:rFonts w:hint="eastAsia" w:ascii="宋体" w:hAnsi="宋体"/>
          <w:lang w:eastAsia="zh-CN"/>
        </w:rPr>
        <w:t>“</w:t>
      </w:r>
      <w:r>
        <w:rPr>
          <w:rFonts w:hint="eastAsia" w:ascii="宋体" w:hAnsi="宋体"/>
        </w:rPr>
        <w:t>地下式污水处理厂应与地区污水收集系统和受纳水体布局相协调，与周边环境相融合，与地块开发需要相适应，实现污水达标处理、水环境保护、</w:t>
      </w:r>
      <w:r>
        <w:rPr>
          <w:rFonts w:ascii="宋体" w:hAnsi="宋体"/>
        </w:rPr>
        <w:t xml:space="preserve"> 地上与地下功能发挥的有效衔接</w:t>
      </w:r>
      <w:r>
        <w:rPr>
          <w:rFonts w:hint="eastAsia" w:ascii="宋体" w:hAnsi="宋体"/>
          <w:lang w:eastAsia="zh-CN"/>
        </w:rPr>
        <w:t>”</w:t>
      </w:r>
      <w:r>
        <w:rPr>
          <w:rFonts w:hint="eastAsia" w:ascii="宋体" w:hAnsi="宋体"/>
        </w:rPr>
        <w:t>的原则，充分发挥地下式城镇污水处理厂的综合效益。</w:t>
      </w:r>
    </w:p>
    <w:p>
      <w:pPr>
        <w:pStyle w:val="4"/>
        <w:widowControl/>
        <w:numPr>
          <w:ilvl w:val="0"/>
          <w:numId w:val="0"/>
        </w:numPr>
        <w:rPr>
          <w:lang w:val="zh-CN"/>
        </w:rPr>
      </w:pPr>
      <w:r>
        <w:rPr>
          <w:b/>
          <w:bCs w:val="0"/>
          <w:lang w:val="zh-CN"/>
        </w:rPr>
        <w:t>1.0.4</w:t>
      </w:r>
      <w:r>
        <w:rPr>
          <w:b/>
          <w:bCs w:val="0"/>
        </w:rPr>
        <w:t xml:space="preserve">  </w:t>
      </w:r>
      <w:r>
        <w:rPr>
          <w:lang w:val="zh-CN"/>
        </w:rPr>
        <w:t>地下式城镇污水处理厂</w:t>
      </w:r>
      <w:r>
        <w:rPr>
          <w:rFonts w:hint="eastAsia"/>
        </w:rPr>
        <w:t>工程建设</w:t>
      </w:r>
      <w:r>
        <w:rPr>
          <w:lang w:val="zh-CN"/>
        </w:rPr>
        <w:t>应</w:t>
      </w:r>
      <w:r>
        <w:rPr>
          <w:rFonts w:hint="eastAsia"/>
        </w:rPr>
        <w:t>贯彻</w:t>
      </w:r>
      <w:r>
        <w:rPr>
          <w:lang w:val="zh-CN"/>
        </w:rPr>
        <w:t>“海绵城市”的理念，在确保排水和防涝安全前提下降低径流、减少外排雨水。</w:t>
      </w:r>
    </w:p>
    <w:p>
      <w:pPr>
        <w:pStyle w:val="4"/>
        <w:widowControl/>
        <w:numPr>
          <w:ilvl w:val="0"/>
          <w:numId w:val="0"/>
        </w:numPr>
        <w:rPr>
          <w:lang w:val="zh-CN"/>
        </w:rPr>
      </w:pPr>
      <w:r>
        <w:rPr>
          <w:b/>
          <w:bCs w:val="0"/>
          <w:lang w:val="zh-CN"/>
        </w:rPr>
        <w:t>1.0.5</w:t>
      </w:r>
      <w:r>
        <w:rPr>
          <w:b/>
          <w:bCs w:val="0"/>
        </w:rPr>
        <w:t xml:space="preserve">  </w:t>
      </w:r>
      <w:r>
        <w:rPr>
          <w:lang w:val="zh-CN"/>
        </w:rPr>
        <w:t>地下式城镇污水处理厂的工程建设应在不断总结科研和生产实践经验的基础上，积极采用经过鉴定的、行之有效的新技术、新工艺、新材料、新设备。</w:t>
      </w:r>
    </w:p>
    <w:p>
      <w:pPr>
        <w:pStyle w:val="4"/>
        <w:widowControl/>
        <w:numPr>
          <w:ilvl w:val="0"/>
          <w:numId w:val="0"/>
        </w:numPr>
        <w:rPr>
          <w:lang w:val="zh-CN"/>
        </w:rPr>
      </w:pPr>
      <w:r>
        <w:rPr>
          <w:b/>
          <w:bCs w:val="0"/>
          <w:lang w:val="zh-CN"/>
        </w:rPr>
        <w:t>1.0.6</w:t>
      </w:r>
      <w:r>
        <w:rPr>
          <w:b/>
          <w:bCs w:val="0"/>
        </w:rPr>
        <w:t xml:space="preserve">  </w:t>
      </w:r>
      <w:r>
        <w:rPr>
          <w:lang w:val="zh-CN"/>
        </w:rPr>
        <w:t>地下式城镇污水处理厂的设计、施工、验收和运行维护，除应按本规程执行外，尚应符合国家现行的有关标准的规定。</w:t>
      </w:r>
    </w:p>
    <w:bookmarkEnd w:id="16"/>
    <w:p>
      <w:pPr>
        <w:pStyle w:val="2"/>
        <w:spacing w:before="624" w:after="624"/>
        <w:rPr>
          <w:color w:val="auto"/>
        </w:rPr>
      </w:pPr>
      <w:bookmarkStart w:id="17" w:name="_Toc28976732"/>
      <w:bookmarkEnd w:id="17"/>
      <w:bookmarkStart w:id="18" w:name="_Toc28978877"/>
      <w:bookmarkEnd w:id="18"/>
      <w:bookmarkStart w:id="19" w:name="_Toc74992694"/>
      <w:bookmarkStart w:id="20" w:name="_Toc102292523"/>
      <w:r>
        <w:rPr>
          <w:color w:val="auto"/>
        </w:rPr>
        <w:br w:type="page"/>
      </w:r>
      <w:bookmarkStart w:id="21" w:name="_Toc13991"/>
      <w:bookmarkStart w:id="22" w:name="_Toc114734622"/>
      <w:bookmarkStart w:id="23" w:name="_Toc19888407"/>
      <w:bookmarkStart w:id="24" w:name="_Toc535322503"/>
      <w:bookmarkStart w:id="25" w:name="_Toc126321304"/>
      <w:bookmarkStart w:id="26" w:name="_Toc15513"/>
      <w:bookmarkStart w:id="27" w:name="_Toc96358459"/>
      <w:bookmarkStart w:id="28" w:name="_Toc9965"/>
      <w:bookmarkStart w:id="29" w:name="_Toc70600496"/>
      <w:bookmarkStart w:id="30" w:name="_Toc30575345"/>
      <w:r>
        <w:rPr>
          <w:rFonts w:hint="eastAsia"/>
          <w:color w:val="auto"/>
        </w:rPr>
        <w:t>术语</w:t>
      </w:r>
      <w:bookmarkEnd w:id="21"/>
      <w:bookmarkEnd w:id="22"/>
      <w:bookmarkEnd w:id="23"/>
      <w:bookmarkEnd w:id="24"/>
      <w:bookmarkEnd w:id="25"/>
      <w:bookmarkEnd w:id="26"/>
      <w:bookmarkEnd w:id="27"/>
      <w:bookmarkEnd w:id="28"/>
      <w:bookmarkEnd w:id="29"/>
      <w:bookmarkEnd w:id="30"/>
    </w:p>
    <w:bookmarkEnd w:id="19"/>
    <w:bookmarkEnd w:id="20"/>
    <w:p>
      <w:pPr>
        <w:pStyle w:val="4"/>
        <w:numPr>
          <w:ilvl w:val="0"/>
          <w:numId w:val="0"/>
        </w:numPr>
        <w:rPr>
          <w:rFonts w:ascii="宋体" w:hAnsi="宋体"/>
        </w:rPr>
      </w:pPr>
      <w:bookmarkStart w:id="31" w:name="_Toc102292525"/>
      <w:r>
        <w:rPr>
          <w:b/>
          <w:bCs w:val="0"/>
        </w:rPr>
        <w:t xml:space="preserve">2.0.1  </w:t>
      </w:r>
      <w:r>
        <w:rPr>
          <w:rFonts w:ascii="宋体" w:hAnsi="宋体"/>
        </w:rPr>
        <w:t>地下式</w:t>
      </w:r>
      <w:r>
        <w:rPr>
          <w:rFonts w:hint="eastAsia" w:ascii="宋体" w:hAnsi="宋体"/>
        </w:rPr>
        <w:t>城镇</w:t>
      </w:r>
      <w:r>
        <w:rPr>
          <w:rFonts w:ascii="宋体" w:hAnsi="宋体"/>
        </w:rPr>
        <w:t>污水处理厂 Underground municipal</w:t>
      </w:r>
      <w:r>
        <w:rPr>
          <w:rFonts w:hint="eastAsia" w:ascii="宋体" w:hAnsi="宋体"/>
        </w:rPr>
        <w:t xml:space="preserve"> </w:t>
      </w:r>
      <w:r>
        <w:rPr>
          <w:rFonts w:ascii="宋体" w:hAnsi="宋体"/>
        </w:rPr>
        <w:t>wastewater treatment plant</w:t>
      </w:r>
    </w:p>
    <w:p>
      <w:pPr>
        <w:ind w:firstLine="560"/>
      </w:pPr>
      <w:r>
        <w:rPr>
          <w:rFonts w:hint="eastAsia"/>
        </w:rPr>
        <w:t>各处理构筑物和辅助建筑物集约布置在一个或若干个车间内，该车间整体或部分布置于地面以下由天然或挖掘形成的地下空间内的城镇污水处理厂。地下式城镇污水处理厂包括半地下式城镇污水处理厂和全地下式城镇污水处理厂。</w:t>
      </w:r>
    </w:p>
    <w:p>
      <w:pPr>
        <w:pStyle w:val="4"/>
        <w:numPr>
          <w:ilvl w:val="0"/>
          <w:numId w:val="0"/>
        </w:numPr>
        <w:rPr>
          <w:rFonts w:ascii="宋体" w:hAnsi="宋体"/>
        </w:rPr>
      </w:pPr>
      <w:r>
        <w:rPr>
          <w:b/>
          <w:bCs w:val="0"/>
        </w:rPr>
        <w:t xml:space="preserve">2.0.2  </w:t>
      </w:r>
      <w:r>
        <w:rPr>
          <w:rFonts w:ascii="宋体" w:hAnsi="宋体"/>
        </w:rPr>
        <w:t>半地下式</w:t>
      </w:r>
      <w:r>
        <w:rPr>
          <w:rFonts w:hint="eastAsia" w:ascii="宋体" w:hAnsi="宋体"/>
        </w:rPr>
        <w:t>城镇</w:t>
      </w:r>
      <w:r>
        <w:rPr>
          <w:rFonts w:ascii="宋体" w:hAnsi="宋体"/>
        </w:rPr>
        <w:t>污水处理厂 Semi-underground municipal</w:t>
      </w:r>
      <w:r>
        <w:rPr>
          <w:rFonts w:hint="eastAsia" w:ascii="宋体" w:hAnsi="宋体"/>
        </w:rPr>
        <w:t xml:space="preserve"> </w:t>
      </w:r>
      <w:r>
        <w:rPr>
          <w:rFonts w:ascii="宋体" w:hAnsi="宋体"/>
        </w:rPr>
        <w:t>wastewater treatment plant</w:t>
      </w:r>
    </w:p>
    <w:p>
      <w:pPr>
        <w:ind w:firstLine="560"/>
      </w:pPr>
      <w:r>
        <w:rPr>
          <w:rFonts w:hint="eastAsia"/>
        </w:rPr>
        <w:t>污水污泥处理构筑物部分布置于地面以下空间内，其顶板平均标高大于规划地面标高的地下式城镇污水处理厂。</w:t>
      </w:r>
    </w:p>
    <w:p>
      <w:pPr>
        <w:pStyle w:val="4"/>
        <w:numPr>
          <w:ilvl w:val="0"/>
          <w:numId w:val="0"/>
        </w:numPr>
        <w:rPr>
          <w:rFonts w:ascii="宋体" w:hAnsi="宋体"/>
        </w:rPr>
      </w:pPr>
      <w:r>
        <w:rPr>
          <w:b/>
          <w:bCs w:val="0"/>
        </w:rPr>
        <w:t xml:space="preserve">2.0.3  </w:t>
      </w:r>
      <w:r>
        <w:rPr>
          <w:rFonts w:hint="eastAsia"/>
        </w:rPr>
        <w:t>全地下式城镇污水处理厂</w:t>
      </w:r>
      <w:r>
        <w:rPr>
          <w:rFonts w:ascii="宋体" w:hAnsi="宋体"/>
        </w:rPr>
        <w:t>Invisible underground municipal wastewater treatment plant</w:t>
      </w:r>
    </w:p>
    <w:p>
      <w:pPr>
        <w:ind w:firstLine="560"/>
      </w:pPr>
      <w:r>
        <w:rPr>
          <w:rFonts w:hint="eastAsia"/>
        </w:rPr>
        <w:t>污水污泥处理构筑物及操作层基本布置于地面以下空间内，其顶板平均标高低于规划地面标高的地下式城镇污水处理厂。</w:t>
      </w:r>
    </w:p>
    <w:p>
      <w:pPr>
        <w:pStyle w:val="4"/>
        <w:numPr>
          <w:ilvl w:val="0"/>
          <w:numId w:val="0"/>
        </w:numPr>
        <w:rPr>
          <w:b/>
          <w:bCs w:val="0"/>
        </w:rPr>
      </w:pPr>
      <w:r>
        <w:rPr>
          <w:b/>
          <w:bCs w:val="0"/>
        </w:rPr>
        <w:t xml:space="preserve">2.0.4  </w:t>
      </w:r>
      <w:r>
        <w:rPr>
          <w:rFonts w:hint="eastAsia"/>
          <w:bCs w:val="0"/>
          <w:lang w:val="zh-CN"/>
        </w:rPr>
        <w:t>操作层</w:t>
      </w:r>
      <w:r>
        <w:rPr>
          <w:bCs w:val="0"/>
        </w:rPr>
        <w:t xml:space="preserve"> Operation layer</w:t>
      </w:r>
    </w:p>
    <w:p>
      <w:pPr>
        <w:ind w:firstLine="560"/>
      </w:pPr>
      <w:r>
        <w:rPr>
          <w:rFonts w:hint="eastAsia"/>
        </w:rPr>
        <w:t>地下式污水处理厂内利用构筑物池顶或构筑物间与建筑室内地坪共同构建的，供污水和污泥处理，设备和管道安置、货物吊装运输、人员日常巡视、运行管理和操作的空间。</w:t>
      </w:r>
    </w:p>
    <w:p>
      <w:pPr>
        <w:pStyle w:val="4"/>
        <w:numPr>
          <w:ilvl w:val="0"/>
          <w:numId w:val="0"/>
        </w:numPr>
        <w:rPr>
          <w:bCs w:val="0"/>
        </w:rPr>
      </w:pPr>
      <w:r>
        <w:rPr>
          <w:b/>
          <w:bCs w:val="0"/>
        </w:rPr>
        <w:t xml:space="preserve">2.0.5  </w:t>
      </w:r>
      <w:r>
        <w:rPr>
          <w:rFonts w:hint="eastAsia"/>
          <w:bCs w:val="0"/>
          <w:lang w:val="zh-CN"/>
        </w:rPr>
        <w:t>操作层建筑物区域</w:t>
      </w:r>
      <w:r>
        <w:rPr>
          <w:bCs w:val="0"/>
        </w:rPr>
        <w:t xml:space="preserve"> Building area of operation layer</w:t>
      </w:r>
    </w:p>
    <w:p>
      <w:pPr>
        <w:ind w:firstLine="560"/>
      </w:pPr>
      <w:r>
        <w:rPr>
          <w:rFonts w:hint="eastAsia"/>
        </w:rPr>
        <w:t>操作层上设有人员办公、设备用房、人员消防楼梯通道的区域。</w:t>
      </w:r>
    </w:p>
    <w:p>
      <w:pPr>
        <w:pStyle w:val="4"/>
        <w:numPr>
          <w:ilvl w:val="0"/>
          <w:numId w:val="0"/>
        </w:numPr>
        <w:rPr>
          <w:bCs w:val="0"/>
        </w:rPr>
      </w:pPr>
      <w:r>
        <w:rPr>
          <w:b/>
          <w:bCs w:val="0"/>
        </w:rPr>
        <w:t xml:space="preserve">2.0.6  </w:t>
      </w:r>
      <w:r>
        <w:rPr>
          <w:rFonts w:hint="eastAsia"/>
          <w:bCs w:val="0"/>
          <w:lang w:val="zh-CN"/>
        </w:rPr>
        <w:t>操作层构筑物区域</w:t>
      </w:r>
      <w:r>
        <w:rPr>
          <w:bCs w:val="0"/>
        </w:rPr>
        <w:t xml:space="preserve"> Structure area of operation layer</w:t>
      </w:r>
    </w:p>
    <w:p>
      <w:pPr>
        <w:ind w:firstLine="560"/>
      </w:pPr>
      <w:r>
        <w:rPr>
          <w:rFonts w:hint="eastAsia"/>
        </w:rPr>
        <w:t>操作层上除建筑物区域外的区域。</w:t>
      </w:r>
    </w:p>
    <w:p>
      <w:pPr>
        <w:pStyle w:val="4"/>
        <w:numPr>
          <w:ilvl w:val="0"/>
          <w:numId w:val="0"/>
        </w:numPr>
        <w:rPr>
          <w:b/>
          <w:bCs w:val="0"/>
        </w:rPr>
      </w:pPr>
      <w:r>
        <w:rPr>
          <w:b/>
          <w:bCs w:val="0"/>
        </w:rPr>
        <w:t xml:space="preserve">2.0.7  </w:t>
      </w:r>
      <w:r>
        <w:rPr>
          <w:rFonts w:hint="eastAsia"/>
          <w:bCs w:val="0"/>
          <w:lang w:val="zh-CN"/>
        </w:rPr>
        <w:t>设施层</w:t>
      </w:r>
      <w:r>
        <w:rPr>
          <w:bCs w:val="0"/>
        </w:rPr>
        <w:t xml:space="preserve"> Facility layer</w:t>
      </w:r>
    </w:p>
    <w:p>
      <w:pPr>
        <w:ind w:firstLine="560"/>
      </w:pPr>
      <w:r>
        <w:rPr>
          <w:rFonts w:hint="eastAsia"/>
        </w:rPr>
        <w:t>地下式城镇污水处理厂中位于操作层之下的构筑物水池之间用于铺设管道及少量设备的空间。</w:t>
      </w:r>
    </w:p>
    <w:p>
      <w:pPr>
        <w:pStyle w:val="4"/>
        <w:numPr>
          <w:ilvl w:val="0"/>
          <w:numId w:val="0"/>
        </w:numPr>
        <w:rPr>
          <w:b/>
          <w:bCs w:val="0"/>
        </w:rPr>
      </w:pPr>
      <w:r>
        <w:rPr>
          <w:b/>
          <w:bCs w:val="0"/>
        </w:rPr>
        <w:t xml:space="preserve">2.0.8  </w:t>
      </w:r>
      <w:r>
        <w:rPr>
          <w:rFonts w:hint="eastAsia"/>
          <w:bCs w:val="0"/>
          <w:lang w:val="zh-CN"/>
        </w:rPr>
        <w:t>地下车道</w:t>
      </w:r>
      <w:r>
        <w:rPr>
          <w:bCs w:val="0"/>
        </w:rPr>
        <w:t xml:space="preserve"> Access channel</w:t>
      </w:r>
    </w:p>
    <w:p>
      <w:pPr>
        <w:ind w:firstLine="560"/>
      </w:pPr>
      <w:r>
        <w:rPr>
          <w:rFonts w:hint="eastAsia"/>
        </w:rPr>
        <w:t>连接地下式污水处理厂操作层及室外地面的车道。</w:t>
      </w:r>
    </w:p>
    <w:p>
      <w:pPr>
        <w:pStyle w:val="2"/>
        <w:spacing w:before="624" w:after="624"/>
        <w:rPr>
          <w:color w:val="auto"/>
        </w:rPr>
      </w:pPr>
      <w:r>
        <w:rPr>
          <w:color w:val="auto"/>
        </w:rPr>
        <w:br w:type="page"/>
      </w:r>
      <w:bookmarkEnd w:id="31"/>
      <w:bookmarkStart w:id="32" w:name="_Toc96358460"/>
      <w:bookmarkStart w:id="33" w:name="_Toc12197"/>
      <w:bookmarkStart w:id="34" w:name="_Toc30575346"/>
      <w:bookmarkStart w:id="35" w:name="_Toc22843"/>
      <w:bookmarkStart w:id="36" w:name="_Toc114734623"/>
      <w:bookmarkStart w:id="37" w:name="_Toc126321305"/>
      <w:bookmarkStart w:id="38" w:name="_Toc70600497"/>
      <w:bookmarkStart w:id="39" w:name="_Toc1249"/>
      <w:bookmarkStart w:id="40" w:name="_Toc19888408"/>
      <w:bookmarkStart w:id="41" w:name="_Toc535322506"/>
      <w:r>
        <w:rPr>
          <w:rFonts w:hint="eastAsia"/>
          <w:color w:val="auto"/>
        </w:rPr>
        <w:t>基本规定</w:t>
      </w:r>
      <w:bookmarkEnd w:id="32"/>
      <w:bookmarkEnd w:id="33"/>
      <w:bookmarkEnd w:id="34"/>
      <w:bookmarkEnd w:id="35"/>
      <w:bookmarkEnd w:id="36"/>
      <w:bookmarkEnd w:id="37"/>
      <w:bookmarkEnd w:id="38"/>
      <w:bookmarkEnd w:id="39"/>
      <w:bookmarkEnd w:id="40"/>
      <w:bookmarkEnd w:id="41"/>
    </w:p>
    <w:p>
      <w:pPr>
        <w:pStyle w:val="4"/>
        <w:numPr>
          <w:ilvl w:val="0"/>
          <w:numId w:val="0"/>
        </w:numPr>
        <w:rPr>
          <w:rFonts w:ascii="宋体" w:hAnsi="宋体"/>
        </w:rPr>
      </w:pPr>
      <w:r>
        <w:rPr>
          <w:b/>
          <w:bCs w:val="0"/>
          <w:lang w:val="zh-CN"/>
        </w:rPr>
        <w:t>3.0.1</w:t>
      </w:r>
      <w:r>
        <w:rPr>
          <w:b/>
          <w:bCs w:val="0"/>
        </w:rPr>
        <w:t xml:space="preserve">  </w:t>
      </w:r>
      <w:r>
        <w:rPr>
          <w:rFonts w:hint="eastAsia"/>
          <w:bCs w:val="0"/>
          <w:lang w:val="zh-CN"/>
        </w:rPr>
        <w:t>地下式城镇污水处理厂建设</w:t>
      </w:r>
      <w:r>
        <w:rPr>
          <w:rFonts w:hint="eastAsia"/>
          <w:bCs w:val="0"/>
        </w:rPr>
        <w:t>方案</w:t>
      </w:r>
      <w:r>
        <w:rPr>
          <w:rFonts w:hint="eastAsia"/>
          <w:bCs w:val="0"/>
          <w:lang w:val="zh-CN"/>
        </w:rPr>
        <w:t>，</w:t>
      </w:r>
      <w:r>
        <w:rPr>
          <w:rFonts w:hint="eastAsia" w:ascii="宋体" w:hAnsi="宋体"/>
        </w:rPr>
        <w:t>应以国土空间规划与排水工程专业规划为主要依据，</w:t>
      </w:r>
      <w:r>
        <w:rPr>
          <w:rFonts w:hint="eastAsia"/>
          <w:bCs w:val="0"/>
          <w:lang w:val="zh-CN"/>
        </w:rPr>
        <w:t>将</w:t>
      </w:r>
      <w:r>
        <w:rPr>
          <w:rFonts w:hint="eastAsia" w:ascii="宋体" w:hAnsi="宋体"/>
        </w:rPr>
        <w:t>区域功能定位、</w:t>
      </w:r>
      <w:r>
        <w:rPr>
          <w:rFonts w:hint="eastAsia"/>
          <w:bCs w:val="0"/>
        </w:rPr>
        <w:t>生态</w:t>
      </w:r>
      <w:r>
        <w:rPr>
          <w:rFonts w:hint="eastAsia"/>
          <w:bCs w:val="0"/>
          <w:lang w:val="zh-CN"/>
        </w:rPr>
        <w:t>环境</w:t>
      </w:r>
      <w:r>
        <w:rPr>
          <w:rFonts w:hint="eastAsia"/>
          <w:bCs w:val="0"/>
        </w:rPr>
        <w:t>要求、用地条件、</w:t>
      </w:r>
      <w:r>
        <w:rPr>
          <w:rFonts w:hint="eastAsia"/>
          <w:bCs w:val="0"/>
          <w:lang w:val="zh-CN"/>
        </w:rPr>
        <w:t>污水处理、水资源再生</w:t>
      </w:r>
      <w:r>
        <w:rPr>
          <w:rFonts w:hint="eastAsia"/>
          <w:bCs w:val="0"/>
        </w:rPr>
        <w:t>利用</w:t>
      </w:r>
      <w:r>
        <w:rPr>
          <w:rFonts w:hint="eastAsia" w:ascii="宋体" w:hAnsi="宋体"/>
        </w:rPr>
        <w:t>等因素统筹考虑综合论证</w:t>
      </w:r>
      <w:r>
        <w:rPr>
          <w:rFonts w:hint="eastAsia"/>
          <w:bCs w:val="0"/>
          <w:lang w:val="zh-CN"/>
        </w:rPr>
        <w:t>。地下式城镇污水厂可与</w:t>
      </w:r>
      <w:r>
        <w:rPr>
          <w:rFonts w:hint="eastAsia"/>
          <w:bCs w:val="0"/>
        </w:rPr>
        <w:t>生态景观</w:t>
      </w:r>
      <w:r>
        <w:rPr>
          <w:rFonts w:hint="eastAsia"/>
          <w:bCs w:val="0"/>
          <w:lang w:val="zh-CN"/>
        </w:rPr>
        <w:t>、公共服务设施、</w:t>
      </w:r>
      <w:r>
        <w:rPr>
          <w:rFonts w:hint="eastAsia"/>
          <w:bCs w:val="0"/>
        </w:rPr>
        <w:t>生态综合体</w:t>
      </w:r>
      <w:r>
        <w:rPr>
          <w:rFonts w:hint="eastAsia"/>
          <w:bCs w:val="0"/>
          <w:lang w:val="zh-CN"/>
        </w:rPr>
        <w:t>、地块综合开发等结合建设。</w:t>
      </w:r>
    </w:p>
    <w:p>
      <w:pPr>
        <w:pStyle w:val="4"/>
        <w:numPr>
          <w:ilvl w:val="0"/>
          <w:numId w:val="0"/>
        </w:numPr>
        <w:rPr>
          <w:bCs w:val="0"/>
          <w:lang w:val="zh-CN"/>
        </w:rPr>
      </w:pPr>
      <w:r>
        <w:rPr>
          <w:b/>
          <w:bCs w:val="0"/>
        </w:rPr>
        <w:t>3</w:t>
      </w:r>
      <w:r>
        <w:rPr>
          <w:b/>
          <w:bCs w:val="0"/>
          <w:lang w:val="zh-CN"/>
        </w:rPr>
        <w:t>.0.</w:t>
      </w:r>
      <w:r>
        <w:rPr>
          <w:b/>
          <w:bCs w:val="0"/>
        </w:rPr>
        <w:t xml:space="preserve">2  </w:t>
      </w:r>
      <w:r>
        <w:rPr>
          <w:rFonts w:hint="eastAsia"/>
          <w:bCs w:val="0"/>
          <w:lang w:val="zh-CN"/>
        </w:rPr>
        <w:t>地下式城镇污水处理厂的规模应根据服务范围内的规划人口、用水量、污水收集率等，结合城镇发展水平确定</w:t>
      </w:r>
      <w:r>
        <w:rPr>
          <w:rFonts w:hint="eastAsia"/>
          <w:bCs w:val="0"/>
        </w:rPr>
        <w:t>；</w:t>
      </w:r>
      <w:r>
        <w:rPr>
          <w:rFonts w:hint="eastAsia"/>
          <w:bCs w:val="0"/>
          <w:lang w:val="zh-CN"/>
        </w:rPr>
        <w:t>地下</w:t>
      </w:r>
      <w:r>
        <w:rPr>
          <w:rFonts w:hint="eastAsia"/>
          <w:bCs w:val="0"/>
        </w:rPr>
        <w:t>空间</w:t>
      </w:r>
      <w:r>
        <w:rPr>
          <w:rFonts w:hint="eastAsia"/>
          <w:bCs w:val="0"/>
          <w:lang w:val="zh-CN"/>
        </w:rPr>
        <w:t>土建</w:t>
      </w:r>
      <w:r>
        <w:rPr>
          <w:rFonts w:hint="eastAsia"/>
          <w:bCs w:val="0"/>
        </w:rPr>
        <w:t>工程</w:t>
      </w:r>
      <w:r>
        <w:rPr>
          <w:rFonts w:hint="eastAsia"/>
          <w:bCs w:val="0"/>
          <w:lang w:val="zh-CN"/>
        </w:rPr>
        <w:t>宜一次建成，设备</w:t>
      </w:r>
      <w:r>
        <w:rPr>
          <w:rFonts w:hint="eastAsia"/>
          <w:bCs w:val="0"/>
        </w:rPr>
        <w:t>可</w:t>
      </w:r>
      <w:r>
        <w:rPr>
          <w:rFonts w:hint="eastAsia"/>
          <w:bCs w:val="0"/>
          <w:lang w:val="zh-CN"/>
        </w:rPr>
        <w:t>分期安装；公用设施宜一次建设。</w:t>
      </w:r>
    </w:p>
    <w:p>
      <w:pPr>
        <w:pStyle w:val="4"/>
        <w:numPr>
          <w:ilvl w:val="0"/>
          <w:numId w:val="0"/>
        </w:numPr>
        <w:rPr>
          <w:bCs w:val="0"/>
        </w:rPr>
      </w:pPr>
      <w:r>
        <w:rPr>
          <w:b/>
          <w:bCs w:val="0"/>
          <w:lang w:val="zh-CN"/>
        </w:rPr>
        <w:t>3.0.</w:t>
      </w:r>
      <w:r>
        <w:rPr>
          <w:b/>
          <w:bCs w:val="0"/>
        </w:rPr>
        <w:t xml:space="preserve">3  </w:t>
      </w:r>
      <w:r>
        <w:rPr>
          <w:rFonts w:hint="eastAsia"/>
          <w:bCs w:val="0"/>
          <w:lang w:val="zh-CN"/>
        </w:rPr>
        <w:t>地下式城镇污水处理厂的建设用地，应根据</w:t>
      </w:r>
      <w:r>
        <w:rPr>
          <w:rFonts w:hint="eastAsia"/>
          <w:bCs w:val="0"/>
        </w:rPr>
        <w:t>项目</w:t>
      </w:r>
      <w:r>
        <w:rPr>
          <w:rFonts w:hint="eastAsia"/>
          <w:bCs w:val="0"/>
          <w:lang w:val="zh-CN"/>
        </w:rPr>
        <w:t>近、远期规模</w:t>
      </w:r>
      <w:r>
        <w:rPr>
          <w:rFonts w:hint="eastAsia"/>
          <w:bCs w:val="0"/>
        </w:rPr>
        <w:t>和开发要求统一规划和布置，并按照</w:t>
      </w:r>
      <w:r>
        <w:rPr>
          <w:rFonts w:hint="eastAsia"/>
          <w:bCs w:val="0"/>
          <w:lang w:val="zh-CN"/>
        </w:rPr>
        <w:t>项目总规模和</w:t>
      </w:r>
      <w:r>
        <w:rPr>
          <w:rFonts w:hint="eastAsia"/>
          <w:bCs w:val="0"/>
        </w:rPr>
        <w:t>建设总体</w:t>
      </w:r>
      <w:r>
        <w:rPr>
          <w:rFonts w:hint="eastAsia"/>
          <w:bCs w:val="0"/>
          <w:lang w:val="zh-CN"/>
        </w:rPr>
        <w:t>要求控制</w:t>
      </w:r>
      <w:r>
        <w:rPr>
          <w:rFonts w:hint="eastAsia"/>
          <w:bCs w:val="0"/>
        </w:rPr>
        <w:t>用地，留有发展余量。</w:t>
      </w:r>
    </w:p>
    <w:p>
      <w:pPr>
        <w:pStyle w:val="4"/>
        <w:numPr>
          <w:ilvl w:val="0"/>
          <w:numId w:val="0"/>
        </w:numPr>
        <w:rPr>
          <w:rFonts w:ascii="宋体" w:hAnsi="宋体"/>
        </w:rPr>
      </w:pPr>
      <w:r>
        <w:rPr>
          <w:b/>
          <w:bCs w:val="0"/>
        </w:rPr>
        <w:t>3</w:t>
      </w:r>
      <w:r>
        <w:rPr>
          <w:b/>
          <w:bCs w:val="0"/>
          <w:lang w:val="zh-CN"/>
        </w:rPr>
        <w:t>.0.</w:t>
      </w:r>
      <w:r>
        <w:rPr>
          <w:b/>
          <w:bCs w:val="0"/>
        </w:rPr>
        <w:t xml:space="preserve">4  </w:t>
      </w:r>
      <w:r>
        <w:rPr>
          <w:rFonts w:hint="eastAsia"/>
        </w:rPr>
        <w:t>地下式城镇</w:t>
      </w:r>
      <w:r>
        <w:rPr>
          <w:rFonts w:hint="eastAsia" w:ascii="宋体" w:hAnsi="宋体"/>
        </w:rPr>
        <w:t>污水处理厂建设形式的选择，应依据区域发展定位、地块开发要求、生态环境要求、环境敏感程度、用地条件等因素，进行技术、经济、社会、环境效益等多因素综合论证</w:t>
      </w:r>
      <w:r>
        <w:rPr>
          <w:rFonts w:ascii="宋体" w:hAnsi="宋体"/>
        </w:rPr>
        <w:t>。</w:t>
      </w:r>
    </w:p>
    <w:p>
      <w:pPr>
        <w:pStyle w:val="4"/>
        <w:numPr>
          <w:ilvl w:val="0"/>
          <w:numId w:val="0"/>
        </w:numPr>
        <w:rPr>
          <w:b/>
          <w:bCs w:val="0"/>
          <w:lang w:val="zh-CN"/>
        </w:rPr>
      </w:pPr>
      <w:r>
        <w:rPr>
          <w:b/>
          <w:bCs w:val="0"/>
          <w:lang w:val="zh-CN"/>
        </w:rPr>
        <w:t>3.0.</w:t>
      </w:r>
      <w:r>
        <w:rPr>
          <w:b/>
          <w:bCs w:val="0"/>
        </w:rPr>
        <w:t xml:space="preserve">5  </w:t>
      </w:r>
      <w:r>
        <w:rPr>
          <w:rFonts w:hint="eastAsia"/>
          <w:bCs w:val="0"/>
          <w:lang w:val="zh-CN"/>
        </w:rPr>
        <w:t>地下式城镇污水处理厂的污水污泥处理系统、再生水系统、消防系统、通风排烟系统、除臭系统、在线监测系统、应急安全系统等设施应同步设计、同步施工、同步投运，并做到相互协调。</w:t>
      </w:r>
    </w:p>
    <w:p>
      <w:pPr>
        <w:pStyle w:val="4"/>
        <w:numPr>
          <w:ilvl w:val="0"/>
          <w:numId w:val="0"/>
        </w:numPr>
        <w:rPr>
          <w:bCs w:val="0"/>
          <w:lang w:val="zh-CN"/>
        </w:rPr>
      </w:pPr>
      <w:r>
        <w:rPr>
          <w:b/>
          <w:bCs w:val="0"/>
          <w:lang w:val="zh-CN"/>
        </w:rPr>
        <w:t>3.0.</w:t>
      </w:r>
      <w:r>
        <w:rPr>
          <w:b/>
          <w:bCs w:val="0"/>
        </w:rPr>
        <w:t xml:space="preserve">6  </w:t>
      </w:r>
      <w:r>
        <w:rPr>
          <w:rFonts w:hint="eastAsia"/>
          <w:bCs w:val="0"/>
          <w:lang w:val="zh-CN"/>
        </w:rPr>
        <w:t>地下式城镇污水处理厂应设置防止外来洪涝、管</w:t>
      </w:r>
      <w:r>
        <w:rPr>
          <w:rFonts w:hint="eastAsia"/>
          <w:bCs w:val="0"/>
        </w:rPr>
        <w:t>道</w:t>
      </w:r>
      <w:r>
        <w:rPr>
          <w:rFonts w:hint="eastAsia"/>
          <w:bCs w:val="0"/>
          <w:lang w:val="zh-CN"/>
        </w:rPr>
        <w:t>水倒灌、地下水入侵</w:t>
      </w:r>
      <w:r>
        <w:rPr>
          <w:rFonts w:hint="eastAsia"/>
          <w:bCs w:val="0"/>
        </w:rPr>
        <w:t>和</w:t>
      </w:r>
      <w:r>
        <w:rPr>
          <w:rFonts w:hint="eastAsia"/>
          <w:bCs w:val="0"/>
          <w:lang w:val="zh-CN"/>
        </w:rPr>
        <w:t>污水外溢的安全</w:t>
      </w:r>
      <w:r>
        <w:rPr>
          <w:rFonts w:hint="eastAsia"/>
          <w:bCs w:val="0"/>
        </w:rPr>
        <w:t>和污染防治</w:t>
      </w:r>
      <w:r>
        <w:rPr>
          <w:rFonts w:hint="eastAsia"/>
          <w:bCs w:val="0"/>
          <w:lang w:val="zh-CN"/>
        </w:rPr>
        <w:t>设施。</w:t>
      </w:r>
    </w:p>
    <w:p>
      <w:pPr>
        <w:ind w:firstLine="0" w:firstLineChars="0"/>
      </w:pPr>
      <w:r>
        <w:rPr>
          <w:b/>
          <w:lang w:val="zh-CN"/>
        </w:rPr>
        <w:t>3.0.7</w:t>
      </w:r>
      <w:r>
        <w:rPr>
          <w:b/>
        </w:rPr>
        <w:t xml:space="preserve">  </w:t>
      </w:r>
      <w:r>
        <w:rPr>
          <w:rFonts w:hint="eastAsia"/>
          <w:lang w:val="zh-CN"/>
        </w:rPr>
        <w:t>地下式城镇污水处理厂应</w:t>
      </w:r>
      <w:r>
        <w:rPr>
          <w:rFonts w:hint="eastAsia"/>
        </w:rPr>
        <w:t>设置并统筹协调通风系统、除臭系统和有毒有害气体监测和报警系统。</w:t>
      </w:r>
    </w:p>
    <w:p>
      <w:pPr>
        <w:pStyle w:val="4"/>
        <w:numPr>
          <w:ilvl w:val="0"/>
          <w:numId w:val="0"/>
        </w:numPr>
        <w:rPr>
          <w:lang w:val="zh-CN"/>
        </w:rPr>
      </w:pPr>
      <w:r>
        <w:rPr>
          <w:b/>
          <w:bCs w:val="0"/>
          <w:lang w:val="zh-CN"/>
        </w:rPr>
        <w:t>3.0.</w:t>
      </w:r>
      <w:r>
        <w:rPr>
          <w:rFonts w:hint="eastAsia"/>
          <w:b/>
          <w:bCs w:val="0"/>
        </w:rPr>
        <w:t>8</w:t>
      </w:r>
      <w:r>
        <w:rPr>
          <w:b/>
          <w:bCs w:val="0"/>
        </w:rPr>
        <w:t xml:space="preserve">  </w:t>
      </w:r>
      <w:r>
        <w:rPr>
          <w:rFonts w:hint="eastAsia"/>
          <w:lang w:val="zh-CN"/>
        </w:rPr>
        <w:t>地下式城镇污水处理厂</w:t>
      </w:r>
      <w:r>
        <w:rPr>
          <w:rFonts w:hint="eastAsia"/>
        </w:rPr>
        <w:t>的</w:t>
      </w:r>
      <w:r>
        <w:rPr>
          <w:rFonts w:hint="eastAsia"/>
          <w:lang w:val="zh-CN"/>
        </w:rPr>
        <w:t>设备</w:t>
      </w:r>
      <w:r>
        <w:rPr>
          <w:rFonts w:hint="eastAsia"/>
        </w:rPr>
        <w:t>选用</w:t>
      </w:r>
      <w:r>
        <w:rPr>
          <w:rFonts w:hint="eastAsia"/>
          <w:lang w:val="zh-CN"/>
        </w:rPr>
        <w:t>应</w:t>
      </w:r>
      <w:r>
        <w:rPr>
          <w:rFonts w:hint="eastAsia"/>
        </w:rPr>
        <w:t>体现机械化、自动化和智能化的特点，并满足</w:t>
      </w:r>
      <w:r>
        <w:rPr>
          <w:rFonts w:hint="eastAsia"/>
          <w:lang w:val="zh-CN"/>
        </w:rPr>
        <w:t>防腐、防潮、防爆</w:t>
      </w:r>
      <w:r>
        <w:rPr>
          <w:rFonts w:hint="eastAsia"/>
        </w:rPr>
        <w:t>等要求</w:t>
      </w:r>
      <w:r>
        <w:rPr>
          <w:rFonts w:hint="eastAsia"/>
          <w:lang w:val="zh-CN"/>
        </w:rPr>
        <w:t>。</w:t>
      </w:r>
    </w:p>
    <w:p>
      <w:pPr>
        <w:pStyle w:val="4"/>
        <w:numPr>
          <w:ilvl w:val="0"/>
          <w:numId w:val="0"/>
        </w:numPr>
        <w:rPr>
          <w:bCs w:val="0"/>
          <w:lang w:val="zh-CN"/>
        </w:rPr>
      </w:pPr>
      <w:r>
        <w:rPr>
          <w:b/>
          <w:bCs w:val="0"/>
          <w:lang w:val="zh-CN"/>
        </w:rPr>
        <w:t>3.0.</w:t>
      </w:r>
      <w:r>
        <w:rPr>
          <w:rFonts w:hint="eastAsia"/>
          <w:b/>
          <w:bCs w:val="0"/>
        </w:rPr>
        <w:t>9</w:t>
      </w:r>
      <w:r>
        <w:rPr>
          <w:b/>
          <w:bCs w:val="0"/>
        </w:rPr>
        <w:t xml:space="preserve">  </w:t>
      </w:r>
      <w:r>
        <w:rPr>
          <w:rFonts w:hint="eastAsia"/>
          <w:bCs w:val="0"/>
          <w:lang w:val="zh-CN"/>
        </w:rPr>
        <w:t>地下式城镇污水处理厂宜采用建筑信息模型（BIM）技术进行设计优化、辅助施工和运行管理。</w:t>
      </w:r>
    </w:p>
    <w:p>
      <w:pPr>
        <w:ind w:firstLine="0" w:firstLineChars="0"/>
      </w:pPr>
    </w:p>
    <w:p>
      <w:pPr>
        <w:ind w:firstLine="0" w:firstLineChars="0"/>
        <w:sectPr>
          <w:footerReference r:id="rId13" w:type="default"/>
          <w:pgSz w:w="11906" w:h="16838"/>
          <w:pgMar w:top="1440" w:right="1440" w:bottom="1117" w:left="1800" w:header="851" w:footer="992" w:gutter="0"/>
          <w:pgNumType w:start="1"/>
          <w:cols w:space="425" w:num="1"/>
          <w:docGrid w:type="lines" w:linePitch="312" w:charSpace="0"/>
        </w:sectPr>
      </w:pPr>
    </w:p>
    <w:p>
      <w:pPr>
        <w:pStyle w:val="2"/>
        <w:spacing w:before="624" w:after="624"/>
        <w:rPr>
          <w:color w:val="auto"/>
        </w:rPr>
      </w:pPr>
      <w:bookmarkStart w:id="42" w:name="_Toc126321306"/>
      <w:bookmarkStart w:id="43" w:name="_Toc70600498"/>
      <w:bookmarkStart w:id="44" w:name="_Toc114734624"/>
      <w:bookmarkStart w:id="45" w:name="_Toc96358461"/>
      <w:r>
        <w:rPr>
          <w:rFonts w:hint="eastAsia"/>
          <w:color w:val="auto"/>
        </w:rPr>
        <w:t>工程设计</w:t>
      </w:r>
      <w:bookmarkEnd w:id="42"/>
      <w:bookmarkEnd w:id="43"/>
      <w:bookmarkEnd w:id="44"/>
      <w:bookmarkEnd w:id="45"/>
    </w:p>
    <w:p>
      <w:pPr>
        <w:pStyle w:val="3"/>
        <w:spacing w:before="624" w:after="624"/>
      </w:pPr>
      <w:bookmarkStart w:id="46" w:name="_Toc58320184"/>
      <w:bookmarkEnd w:id="46"/>
      <w:bookmarkStart w:id="47" w:name="_Toc59542799"/>
      <w:bookmarkEnd w:id="47"/>
      <w:bookmarkStart w:id="48" w:name="_Toc58259481"/>
      <w:bookmarkEnd w:id="48"/>
      <w:bookmarkStart w:id="49" w:name="_Toc58861671"/>
      <w:bookmarkEnd w:id="49"/>
      <w:bookmarkStart w:id="50" w:name="_Toc59017204"/>
      <w:bookmarkEnd w:id="50"/>
      <w:bookmarkStart w:id="51" w:name="_Toc59630187"/>
      <w:bookmarkEnd w:id="51"/>
      <w:bookmarkStart w:id="52" w:name="_Toc59209184"/>
      <w:bookmarkEnd w:id="52"/>
      <w:bookmarkStart w:id="53" w:name="_Toc59203898"/>
      <w:bookmarkEnd w:id="53"/>
      <w:bookmarkStart w:id="54" w:name="_Toc58318620"/>
      <w:bookmarkEnd w:id="54"/>
      <w:bookmarkStart w:id="55" w:name="_Toc58857907"/>
      <w:bookmarkEnd w:id="55"/>
      <w:bookmarkStart w:id="56" w:name="_Toc58861930"/>
      <w:bookmarkEnd w:id="56"/>
      <w:bookmarkStart w:id="57" w:name="_Toc59113724"/>
      <w:bookmarkEnd w:id="57"/>
      <w:bookmarkStart w:id="58" w:name="_Toc59716749"/>
      <w:bookmarkEnd w:id="58"/>
      <w:bookmarkStart w:id="59" w:name="_Toc58319940"/>
      <w:bookmarkEnd w:id="59"/>
      <w:bookmarkStart w:id="60" w:name="_Toc59113293"/>
      <w:bookmarkEnd w:id="60"/>
      <w:bookmarkStart w:id="61" w:name="_Toc58257162"/>
      <w:bookmarkEnd w:id="61"/>
      <w:bookmarkStart w:id="62" w:name="_Toc59114699"/>
      <w:bookmarkEnd w:id="62"/>
      <w:bookmarkStart w:id="63" w:name="_Toc59116898"/>
      <w:bookmarkEnd w:id="63"/>
      <w:bookmarkStart w:id="64" w:name="_Toc59546069"/>
      <w:bookmarkEnd w:id="64"/>
      <w:bookmarkStart w:id="65" w:name="_Toc59016890"/>
      <w:bookmarkEnd w:id="65"/>
      <w:bookmarkStart w:id="66" w:name="_Toc59021397"/>
      <w:bookmarkEnd w:id="66"/>
      <w:bookmarkStart w:id="67" w:name="_Toc58259571"/>
      <w:bookmarkEnd w:id="67"/>
      <w:bookmarkStart w:id="68" w:name="_Toc59631160"/>
      <w:bookmarkEnd w:id="68"/>
      <w:bookmarkStart w:id="69" w:name="_Toc58318778"/>
      <w:bookmarkEnd w:id="69"/>
      <w:bookmarkStart w:id="70" w:name="_Toc57998462"/>
      <w:bookmarkEnd w:id="70"/>
      <w:bookmarkStart w:id="71" w:name="_Toc58245174"/>
      <w:bookmarkEnd w:id="71"/>
      <w:bookmarkStart w:id="72" w:name="_Toc19888410"/>
      <w:bookmarkStart w:id="73" w:name="_Toc30575348"/>
      <w:bookmarkStart w:id="74" w:name="_Toc70600499"/>
      <w:bookmarkStart w:id="75" w:name="_Toc26534"/>
      <w:bookmarkStart w:id="76" w:name="_Toc28697"/>
      <w:bookmarkStart w:id="77" w:name="_Toc96358462"/>
      <w:bookmarkStart w:id="78" w:name="_Toc18206"/>
      <w:bookmarkStart w:id="79" w:name="_Toc126321307"/>
      <w:bookmarkStart w:id="80" w:name="_Toc15738"/>
      <w:bookmarkStart w:id="81" w:name="_Toc535322511"/>
      <w:bookmarkStart w:id="82" w:name="_Toc114734625"/>
      <w:bookmarkStart w:id="83" w:name="_Toc74992702"/>
      <w:bookmarkStart w:id="84" w:name="_Toc102292531"/>
      <w:r>
        <w:rPr>
          <w:rFonts w:hint="eastAsia"/>
        </w:rPr>
        <w:t>一般规定</w:t>
      </w:r>
      <w:bookmarkEnd w:id="72"/>
      <w:bookmarkEnd w:id="73"/>
      <w:bookmarkEnd w:id="74"/>
      <w:bookmarkEnd w:id="75"/>
      <w:bookmarkEnd w:id="76"/>
      <w:bookmarkEnd w:id="77"/>
      <w:bookmarkEnd w:id="78"/>
      <w:bookmarkEnd w:id="79"/>
      <w:bookmarkEnd w:id="80"/>
      <w:bookmarkEnd w:id="81"/>
      <w:bookmarkEnd w:id="82"/>
    </w:p>
    <w:p>
      <w:pPr>
        <w:pStyle w:val="4"/>
        <w:numPr>
          <w:ilvl w:val="0"/>
          <w:numId w:val="0"/>
        </w:numPr>
        <w:tabs>
          <w:tab w:val="left" w:pos="0"/>
          <w:tab w:val="clear" w:pos="567"/>
        </w:tabs>
        <w:rPr>
          <w:rFonts w:ascii="宋体" w:hAnsi="宋体"/>
        </w:rPr>
      </w:pPr>
      <w:r>
        <w:rPr>
          <w:b/>
          <w:bCs w:val="0"/>
        </w:rPr>
        <w:t>4</w:t>
      </w:r>
      <w:r>
        <w:rPr>
          <w:b/>
          <w:bCs w:val="0"/>
          <w:lang w:val="zh-CN"/>
        </w:rPr>
        <w:t>.1.</w:t>
      </w:r>
      <w:r>
        <w:rPr>
          <w:b/>
          <w:bCs w:val="0"/>
        </w:rPr>
        <w:t xml:space="preserve">1  </w:t>
      </w:r>
      <w:r>
        <w:rPr>
          <w:rFonts w:hint="eastAsia" w:ascii="宋体" w:hAnsi="宋体"/>
        </w:rPr>
        <w:t>地下式城镇污水处理厂设计应与城市建设、地下空间、防洪排涝、河道水系、道路交通、园林绿地、环境保护、环境卫生等专项规划和设计相协调。</w:t>
      </w:r>
    </w:p>
    <w:p>
      <w:pPr>
        <w:pStyle w:val="4"/>
        <w:numPr>
          <w:ilvl w:val="0"/>
          <w:numId w:val="0"/>
        </w:numPr>
        <w:tabs>
          <w:tab w:val="left" w:pos="0"/>
          <w:tab w:val="clear" w:pos="567"/>
        </w:tabs>
      </w:pPr>
      <w:r>
        <w:rPr>
          <w:b/>
          <w:bCs w:val="0"/>
        </w:rPr>
        <w:t>4</w:t>
      </w:r>
      <w:r>
        <w:rPr>
          <w:b/>
          <w:bCs w:val="0"/>
          <w:lang w:val="zh-CN"/>
        </w:rPr>
        <w:t>.1.</w:t>
      </w:r>
      <w:r>
        <w:rPr>
          <w:b/>
          <w:bCs w:val="0"/>
        </w:rPr>
        <w:t xml:space="preserve">2  </w:t>
      </w:r>
      <w:r>
        <w:rPr>
          <w:rFonts w:hint="eastAsia" w:ascii="宋体" w:hAnsi="宋体"/>
        </w:rPr>
        <w:t>地下式城镇污水处理厂厂址的</w:t>
      </w:r>
      <w:r>
        <w:rPr>
          <w:rFonts w:hint="eastAsia"/>
          <w:bCs w:val="0"/>
          <w:lang w:val="zh-CN"/>
        </w:rPr>
        <w:t>选择，应符合国土空间规划</w:t>
      </w:r>
      <w:r>
        <w:rPr>
          <w:rFonts w:hint="eastAsia"/>
          <w:lang w:val="zh-CN"/>
        </w:rPr>
        <w:t>和排水工程专业规划的要求，在常规污水厂选址考虑因素的基础上，</w:t>
      </w:r>
      <w:r>
        <w:t>宜进行地质灾害性评价</w:t>
      </w:r>
      <w:r>
        <w:rPr>
          <w:rFonts w:hint="eastAsia"/>
        </w:rPr>
        <w:t>，结合</w:t>
      </w:r>
      <w:r>
        <w:t>地下水位、工程地质条件</w:t>
      </w:r>
      <w:r>
        <w:rPr>
          <w:rFonts w:hint="eastAsia"/>
        </w:rPr>
        <w:t>等</w:t>
      </w:r>
      <w:r>
        <w:t>因素综合确定</w:t>
      </w:r>
      <w:r>
        <w:rPr>
          <w:rFonts w:hint="eastAsia"/>
        </w:rPr>
        <w:t>。</w:t>
      </w:r>
    </w:p>
    <w:p>
      <w:pPr>
        <w:pStyle w:val="4"/>
        <w:numPr>
          <w:ilvl w:val="255"/>
          <w:numId w:val="0"/>
        </w:numPr>
      </w:pPr>
      <w:r>
        <w:rPr>
          <w:b/>
          <w:lang w:val="zh-CN"/>
        </w:rPr>
        <w:t>4.1.3</w:t>
      </w:r>
      <w:r>
        <w:rPr>
          <w:b/>
          <w:bCs w:val="0"/>
        </w:rPr>
        <w:t xml:space="preserve">  </w:t>
      </w:r>
      <w:r>
        <w:rPr>
          <w:rFonts w:hint="eastAsia"/>
          <w:lang w:val="zh-CN"/>
        </w:rPr>
        <w:t>污水处理系统设计应确定旱季设计流量和雨季设计流量。</w:t>
      </w:r>
      <w:r>
        <w:rPr>
          <w:rFonts w:hint="eastAsia"/>
        </w:rPr>
        <w:t>旱季设计流量应包括污水的收集量及地下水渗入量。雨季设计流量应根据服务范围内的排水体制、受纳水体的环境容量、溢流污染控制目标、雨水受污染情况、源头减排设施规模和排水区域大小等因素确定。</w:t>
      </w:r>
    </w:p>
    <w:p>
      <w:pPr>
        <w:pStyle w:val="4"/>
        <w:numPr>
          <w:ilvl w:val="0"/>
          <w:numId w:val="0"/>
        </w:numPr>
        <w:rPr>
          <w:bCs w:val="0"/>
          <w:lang w:val="zh-CN"/>
        </w:rPr>
      </w:pPr>
      <w:r>
        <w:rPr>
          <w:b/>
          <w:bCs w:val="0"/>
          <w:lang w:val="zh-CN"/>
        </w:rPr>
        <w:t>4.1.</w:t>
      </w:r>
      <w:r>
        <w:rPr>
          <w:b/>
          <w:bCs w:val="0"/>
        </w:rPr>
        <w:t xml:space="preserve">4  </w:t>
      </w:r>
      <w:r>
        <w:rPr>
          <w:rFonts w:hint="eastAsia"/>
          <w:bCs w:val="0"/>
        </w:rPr>
        <w:t>进水</w:t>
      </w:r>
      <w:r>
        <w:rPr>
          <w:rFonts w:hint="eastAsia"/>
          <w:bCs w:val="0"/>
          <w:lang w:val="zh-CN"/>
        </w:rPr>
        <w:t>水质、</w:t>
      </w:r>
      <w:r>
        <w:rPr>
          <w:rFonts w:hint="eastAsia"/>
          <w:bCs w:val="0"/>
        </w:rPr>
        <w:t>水量</w:t>
      </w:r>
      <w:r>
        <w:rPr>
          <w:rFonts w:hint="eastAsia"/>
          <w:bCs w:val="0"/>
          <w:lang w:val="zh-CN"/>
        </w:rPr>
        <w:t>变化大的地下式城镇污水处理厂，宜充分利用地下空间，设置均化水质、水量的调节水池。</w:t>
      </w:r>
    </w:p>
    <w:p>
      <w:pPr>
        <w:pStyle w:val="4"/>
        <w:numPr>
          <w:ilvl w:val="0"/>
          <w:numId w:val="0"/>
        </w:numPr>
        <w:adjustRightInd w:val="0"/>
        <w:rPr>
          <w:bCs w:val="0"/>
        </w:rPr>
      </w:pPr>
      <w:r>
        <w:rPr>
          <w:b/>
          <w:bCs w:val="0"/>
          <w:lang w:val="zh-CN"/>
        </w:rPr>
        <w:t>4.1.</w:t>
      </w:r>
      <w:r>
        <w:rPr>
          <w:rFonts w:hint="eastAsia"/>
          <w:b/>
          <w:bCs w:val="0"/>
        </w:rPr>
        <w:t>5</w:t>
      </w:r>
      <w:r>
        <w:rPr>
          <w:b/>
          <w:bCs w:val="0"/>
        </w:rPr>
        <w:t xml:space="preserve">  </w:t>
      </w:r>
      <w:r>
        <w:rPr>
          <w:rFonts w:hint="eastAsia"/>
          <w:bCs w:val="0"/>
        </w:rPr>
        <w:t>污水处理构筑物的设计应符合下列规定：</w:t>
      </w:r>
    </w:p>
    <w:p>
      <w:pPr>
        <w:ind w:firstLine="560"/>
      </w:pPr>
      <w:r>
        <w:t>1</w:t>
      </w:r>
      <w:r>
        <w:rPr>
          <w:rFonts w:hint="eastAsia"/>
        </w:rPr>
        <w:t xml:space="preserve"> 当污水为自流进入时，应满足雨季设计流量下运行要求；当污水为提升进入时，应按每期工作水泵的最大组合流量校核管渠配水能力；</w:t>
      </w:r>
    </w:p>
    <w:p>
      <w:pPr>
        <w:ind w:firstLine="560"/>
      </w:pPr>
      <w:r>
        <w:t>2</w:t>
      </w:r>
      <w:r>
        <w:rPr>
          <w:rFonts w:hint="eastAsia"/>
        </w:rPr>
        <w:t xml:space="preserve"> 提升泵站、格栅和沉砂池应按雨季设计流量计算；</w:t>
      </w:r>
    </w:p>
    <w:p>
      <w:pPr>
        <w:ind w:firstLine="560"/>
      </w:pPr>
      <w:r>
        <w:t>3</w:t>
      </w:r>
      <w:r>
        <w:rPr>
          <w:rFonts w:hint="eastAsia"/>
        </w:rPr>
        <w:t xml:space="preserve"> 二级处理构筑物应按旱季设计流量设计，雨季设计流量校核；</w:t>
      </w:r>
    </w:p>
    <w:p>
      <w:pPr>
        <w:ind w:firstLine="560"/>
      </w:pPr>
      <w:r>
        <w:t>4</w:t>
      </w:r>
      <w:r>
        <w:rPr>
          <w:rFonts w:hint="eastAsia"/>
        </w:rPr>
        <w:t xml:space="preserve"> 管渠应按雨季设计流量计算。</w:t>
      </w:r>
    </w:p>
    <w:p>
      <w:pPr>
        <w:ind w:firstLine="0" w:firstLineChars="0"/>
        <w:rPr>
          <w:lang w:val="zh-CN"/>
        </w:rPr>
      </w:pPr>
      <w:r>
        <w:rPr>
          <w:b/>
          <w:lang w:val="zh-CN"/>
        </w:rPr>
        <w:t>4.1.</w:t>
      </w:r>
      <w:r>
        <w:rPr>
          <w:b/>
        </w:rPr>
        <w:t xml:space="preserve">6  </w:t>
      </w:r>
      <w:r>
        <w:rPr>
          <w:rFonts w:hint="eastAsia"/>
          <w:lang w:val="zh-CN"/>
        </w:rPr>
        <w:t>地下式城镇污水处理厂应依据进、出水水质、</w:t>
      </w:r>
      <w:r>
        <w:rPr>
          <w:rFonts w:hint="eastAsia"/>
        </w:rPr>
        <w:t>用地条件</w:t>
      </w:r>
      <w:r>
        <w:rPr>
          <w:rFonts w:hint="eastAsia"/>
          <w:lang w:val="zh-CN"/>
        </w:rPr>
        <w:t>合理确定</w:t>
      </w:r>
      <w:r>
        <w:rPr>
          <w:rFonts w:hint="eastAsia"/>
        </w:rPr>
        <w:t>处理</w:t>
      </w:r>
      <w:r>
        <w:rPr>
          <w:rFonts w:hint="eastAsia"/>
          <w:lang w:val="zh-CN"/>
        </w:rPr>
        <w:t>工艺，并根据相应规划要求适当</w:t>
      </w:r>
      <w:r>
        <w:rPr>
          <w:rFonts w:hint="eastAsia"/>
        </w:rPr>
        <w:t>提高标准或</w:t>
      </w:r>
      <w:r>
        <w:rPr>
          <w:rFonts w:hint="eastAsia"/>
          <w:lang w:val="zh-CN"/>
        </w:rPr>
        <w:t>预留污水</w:t>
      </w:r>
      <w:r>
        <w:rPr>
          <w:rFonts w:hint="eastAsia"/>
        </w:rPr>
        <w:t>提标、</w:t>
      </w:r>
      <w:r>
        <w:rPr>
          <w:rFonts w:hint="eastAsia"/>
          <w:lang w:val="zh-CN"/>
        </w:rPr>
        <w:t>再生利用、</w:t>
      </w:r>
      <w:r>
        <w:rPr>
          <w:rFonts w:hint="eastAsia"/>
        </w:rPr>
        <w:t>资源回收利用、</w:t>
      </w:r>
      <w:r>
        <w:rPr>
          <w:rFonts w:hint="eastAsia"/>
          <w:lang w:val="zh-CN"/>
        </w:rPr>
        <w:t>局部工艺改造的</w:t>
      </w:r>
      <w:r>
        <w:rPr>
          <w:rFonts w:hint="eastAsia"/>
        </w:rPr>
        <w:t>条件</w:t>
      </w:r>
      <w:r>
        <w:rPr>
          <w:rFonts w:hint="eastAsia"/>
          <w:lang w:val="zh-CN"/>
        </w:rPr>
        <w:t>。</w:t>
      </w:r>
    </w:p>
    <w:p>
      <w:pPr>
        <w:pStyle w:val="4"/>
        <w:numPr>
          <w:ilvl w:val="0"/>
          <w:numId w:val="0"/>
        </w:numPr>
        <w:rPr>
          <w:bCs w:val="0"/>
          <w:lang w:val="zh-CN"/>
        </w:rPr>
      </w:pPr>
      <w:r>
        <w:rPr>
          <w:b/>
          <w:bCs w:val="0"/>
          <w:lang w:val="zh-CN"/>
        </w:rPr>
        <w:t>4.1.7</w:t>
      </w:r>
      <w:r>
        <w:rPr>
          <w:b/>
          <w:bCs w:val="0"/>
        </w:rPr>
        <w:t xml:space="preserve">  </w:t>
      </w:r>
      <w:r>
        <w:rPr>
          <w:rFonts w:hint="eastAsia"/>
        </w:rPr>
        <w:t>地下式城镇污水处理厂的</w:t>
      </w:r>
      <w:r>
        <w:rPr>
          <w:rFonts w:hint="eastAsia"/>
          <w:bCs w:val="0"/>
          <w:lang w:val="zh-CN"/>
        </w:rPr>
        <w:t>工艺流程、竖向设计应充分利用地形和进出水条件，达到水流通畅、</w:t>
      </w:r>
      <w:r>
        <w:rPr>
          <w:rFonts w:hint="eastAsia"/>
          <w:bCs w:val="0"/>
        </w:rPr>
        <w:t>减少土方、</w:t>
      </w:r>
      <w:r>
        <w:rPr>
          <w:rFonts w:hint="eastAsia"/>
          <w:bCs w:val="0"/>
          <w:lang w:val="zh-CN"/>
        </w:rPr>
        <w:t>经济节能的要求。操作层净空高度应充分考虑设备起吊、</w:t>
      </w:r>
      <w:r>
        <w:rPr>
          <w:rFonts w:hint="eastAsia"/>
          <w:bCs w:val="0"/>
        </w:rPr>
        <w:t>管线敷设、</w:t>
      </w:r>
      <w:r>
        <w:rPr>
          <w:rFonts w:hint="eastAsia"/>
          <w:bCs w:val="0"/>
          <w:lang w:val="zh-CN"/>
        </w:rPr>
        <w:t>通风、消防、车辆和人员通行</w:t>
      </w:r>
      <w:r>
        <w:rPr>
          <w:rFonts w:hint="eastAsia"/>
          <w:bCs w:val="0"/>
        </w:rPr>
        <w:t>等</w:t>
      </w:r>
      <w:r>
        <w:rPr>
          <w:rFonts w:hint="eastAsia"/>
          <w:bCs w:val="0"/>
          <w:lang w:val="zh-CN"/>
        </w:rPr>
        <w:t>要求</w:t>
      </w:r>
      <w:r>
        <w:rPr>
          <w:rFonts w:hint="eastAsia"/>
          <w:bCs w:val="0"/>
        </w:rPr>
        <w:t>综合</w:t>
      </w:r>
      <w:r>
        <w:rPr>
          <w:rFonts w:hint="eastAsia"/>
          <w:bCs w:val="0"/>
          <w:lang w:val="zh-CN"/>
        </w:rPr>
        <w:t>确定。</w:t>
      </w:r>
    </w:p>
    <w:p>
      <w:pPr>
        <w:pStyle w:val="4"/>
        <w:numPr>
          <w:ilvl w:val="255"/>
          <w:numId w:val="0"/>
        </w:numPr>
        <w:rPr>
          <w:b/>
          <w:bCs w:val="0"/>
          <w:lang w:val="zh-CN"/>
        </w:rPr>
      </w:pPr>
      <w:r>
        <w:rPr>
          <w:b/>
          <w:lang w:val="zh-CN"/>
        </w:rPr>
        <w:t>4.1.8</w:t>
      </w:r>
      <w:r>
        <w:rPr>
          <w:b/>
          <w:bCs w:val="0"/>
        </w:rPr>
        <w:t xml:space="preserve">  </w:t>
      </w:r>
      <w:r>
        <w:rPr>
          <w:rFonts w:hint="eastAsia"/>
          <w:lang w:val="zh-CN"/>
        </w:rPr>
        <w:t>地下空间机械进出风口应统筹布置，远离</w:t>
      </w:r>
      <w:r>
        <w:rPr>
          <w:rFonts w:hint="eastAsia"/>
        </w:rPr>
        <w:t>敏感建筑、</w:t>
      </w:r>
      <w:r>
        <w:rPr>
          <w:rFonts w:hint="eastAsia"/>
          <w:lang w:val="zh-CN"/>
        </w:rPr>
        <w:t>生产道路、参观通道等人流密集区域，</w:t>
      </w:r>
      <w:r>
        <w:rPr>
          <w:rFonts w:hint="eastAsia"/>
        </w:rPr>
        <w:t>并符合</w:t>
      </w:r>
      <w:r>
        <w:rPr>
          <w:rFonts w:hint="eastAsia"/>
          <w:lang w:val="zh-CN"/>
        </w:rPr>
        <w:t xml:space="preserve">广东省现行标准《城镇地下污水处理设施通风与臭气处理技术标准》 </w:t>
      </w:r>
      <w:r>
        <w:rPr>
          <w:lang w:val="zh-CN"/>
        </w:rPr>
        <w:t>DBJ/T 15-202</w:t>
      </w:r>
      <w:r>
        <w:rPr>
          <w:rFonts w:hint="eastAsia"/>
        </w:rPr>
        <w:t>的规定</w:t>
      </w:r>
      <w:r>
        <w:rPr>
          <w:rFonts w:hint="eastAsia"/>
          <w:lang w:val="zh-CN"/>
        </w:rPr>
        <w:t>。</w:t>
      </w:r>
      <w:r>
        <w:rPr>
          <w:rFonts w:hint="eastAsia"/>
        </w:rPr>
        <w:t>当</w:t>
      </w:r>
      <w:r>
        <w:rPr>
          <w:rFonts w:ascii="CIDFont" w:hAnsi="CIDFont" w:eastAsia="CIDFont" w:cs="CIDFont"/>
          <w:color w:val="000000"/>
          <w:kern w:val="0"/>
          <w:szCs w:val="28"/>
          <w:lang w:bidi="ar"/>
        </w:rPr>
        <w:t>距离道路较近时</w:t>
      </w:r>
      <w:r>
        <w:rPr>
          <w:rFonts w:hint="eastAsia"/>
          <w:lang w:val="zh-CN"/>
        </w:rPr>
        <w:t>，宜采用植物遮挡、造型处理、进出风口不在临路侧开口等措施。</w:t>
      </w:r>
    </w:p>
    <w:p>
      <w:pPr>
        <w:pStyle w:val="4"/>
        <w:numPr>
          <w:ilvl w:val="0"/>
          <w:numId w:val="0"/>
        </w:numPr>
        <w:rPr>
          <w:lang w:val="zh-CN"/>
        </w:rPr>
      </w:pPr>
      <w:r>
        <w:rPr>
          <w:b/>
          <w:bCs w:val="0"/>
          <w:lang w:val="zh-CN"/>
        </w:rPr>
        <w:t>4.1.9</w:t>
      </w:r>
      <w:r>
        <w:rPr>
          <w:b/>
          <w:bCs w:val="0"/>
        </w:rPr>
        <w:t xml:space="preserve">  </w:t>
      </w:r>
      <w:r>
        <w:rPr>
          <w:rFonts w:hint="eastAsia"/>
          <w:bCs w:val="0"/>
          <w:lang w:val="zh-CN"/>
        </w:rPr>
        <w:t>地下式城镇污水处理厂与地块综合开发建筑合建时，应充分衔接污水处理</w:t>
      </w:r>
      <w:r>
        <w:rPr>
          <w:rFonts w:hint="eastAsia"/>
          <w:bCs w:val="0"/>
        </w:rPr>
        <w:t>地下构筑物</w:t>
      </w:r>
      <w:r>
        <w:rPr>
          <w:rFonts w:hint="eastAsia"/>
          <w:bCs w:val="0"/>
          <w:lang w:val="zh-CN"/>
        </w:rPr>
        <w:t>与</w:t>
      </w:r>
      <w:r>
        <w:rPr>
          <w:rFonts w:hint="eastAsia"/>
          <w:bCs w:val="0"/>
        </w:rPr>
        <w:t>地面</w:t>
      </w:r>
      <w:r>
        <w:rPr>
          <w:rFonts w:hint="eastAsia"/>
          <w:bCs w:val="0"/>
          <w:lang w:val="zh-CN"/>
        </w:rPr>
        <w:t>综合开发建筑的基坑、荷载、</w:t>
      </w:r>
      <w:r>
        <w:rPr>
          <w:rFonts w:hint="eastAsia"/>
          <w:bCs w:val="0"/>
        </w:rPr>
        <w:t>结构、消防、</w:t>
      </w:r>
      <w:r>
        <w:rPr>
          <w:rFonts w:hint="eastAsia"/>
          <w:bCs w:val="0"/>
          <w:lang w:val="zh-CN"/>
        </w:rPr>
        <w:t>运维</w:t>
      </w:r>
      <w:r>
        <w:rPr>
          <w:rFonts w:hint="eastAsia"/>
          <w:bCs w:val="0"/>
        </w:rPr>
        <w:t>等要求</w:t>
      </w:r>
      <w:r>
        <w:rPr>
          <w:rFonts w:hint="eastAsia"/>
          <w:bCs w:val="0"/>
          <w:lang w:val="zh-CN"/>
        </w:rPr>
        <w:t>，</w:t>
      </w:r>
      <w:r>
        <w:rPr>
          <w:rFonts w:hint="eastAsia"/>
          <w:bCs w:val="0"/>
        </w:rPr>
        <w:t>并</w:t>
      </w:r>
      <w:r>
        <w:rPr>
          <w:rFonts w:hint="eastAsia"/>
          <w:bCs w:val="0"/>
          <w:lang w:val="zh-CN"/>
        </w:rPr>
        <w:t>符合不同功能</w:t>
      </w:r>
      <w:r>
        <w:rPr>
          <w:rFonts w:hint="eastAsia"/>
          <w:bCs w:val="0"/>
        </w:rPr>
        <w:t>建筑</w:t>
      </w:r>
      <w:r>
        <w:rPr>
          <w:rFonts w:hint="eastAsia"/>
          <w:bCs w:val="0"/>
          <w:lang w:val="zh-CN"/>
        </w:rPr>
        <w:t>现行国家标准的有关规定。</w:t>
      </w:r>
    </w:p>
    <w:p>
      <w:pPr>
        <w:pStyle w:val="4"/>
        <w:numPr>
          <w:ilvl w:val="0"/>
          <w:numId w:val="0"/>
        </w:numPr>
        <w:rPr>
          <w:lang w:val="zh-CN"/>
        </w:rPr>
      </w:pPr>
      <w:r>
        <w:rPr>
          <w:b/>
          <w:bCs w:val="0"/>
          <w:lang w:val="zh-CN"/>
        </w:rPr>
        <w:t>4.1.10</w:t>
      </w:r>
      <w:r>
        <w:rPr>
          <w:b/>
          <w:bCs w:val="0"/>
        </w:rPr>
        <w:t xml:space="preserve">  </w:t>
      </w:r>
      <w:r>
        <w:rPr>
          <w:rFonts w:hint="eastAsia"/>
          <w:bCs w:val="0"/>
          <w:lang w:val="zh-CN"/>
        </w:rPr>
        <w:t>地下式城镇污水处理厂利用</w:t>
      </w:r>
      <w:r>
        <w:rPr>
          <w:rFonts w:hint="eastAsia"/>
          <w:bCs w:val="0"/>
        </w:rPr>
        <w:t>顶部</w:t>
      </w:r>
      <w:r>
        <w:rPr>
          <w:rFonts w:hint="eastAsia"/>
          <w:bCs w:val="0"/>
          <w:lang w:val="zh-CN"/>
        </w:rPr>
        <w:t>作为地面交通道路时，应充分考虑车辆</w:t>
      </w:r>
      <w:r>
        <w:rPr>
          <w:rFonts w:hint="eastAsia"/>
          <w:bCs w:val="0"/>
        </w:rPr>
        <w:t>通行和</w:t>
      </w:r>
      <w:r>
        <w:rPr>
          <w:rFonts w:hint="eastAsia"/>
          <w:bCs w:val="0"/>
          <w:lang w:val="zh-CN"/>
        </w:rPr>
        <w:t>荷载。</w:t>
      </w:r>
    </w:p>
    <w:p>
      <w:pPr>
        <w:pStyle w:val="4"/>
        <w:numPr>
          <w:ilvl w:val="0"/>
          <w:numId w:val="0"/>
        </w:numPr>
        <w:rPr>
          <w:lang w:val="zh-CN"/>
        </w:rPr>
      </w:pPr>
      <w:r>
        <w:rPr>
          <w:b/>
          <w:lang w:val="zh-CN"/>
        </w:rPr>
        <w:t>4.1.11</w:t>
      </w:r>
      <w:r>
        <w:rPr>
          <w:b/>
          <w:bCs w:val="0"/>
        </w:rPr>
        <w:t xml:space="preserve">  </w:t>
      </w:r>
      <w:r>
        <w:rPr>
          <w:rFonts w:hint="eastAsia"/>
          <w:lang w:val="zh-CN"/>
        </w:rPr>
        <w:t>地下空间进、出水</w:t>
      </w:r>
      <w:r>
        <w:rPr>
          <w:rFonts w:hint="eastAsia"/>
        </w:rPr>
        <w:t>位置</w:t>
      </w:r>
      <w:r>
        <w:rPr>
          <w:rFonts w:hint="eastAsia"/>
          <w:lang w:val="zh-CN"/>
        </w:rPr>
        <w:t>应根据进水总管、出水排放口位置就近设置，不宜在地下空间内设置长距离进出水渠箱式输水段。</w:t>
      </w:r>
    </w:p>
    <w:p>
      <w:pPr>
        <w:pStyle w:val="4"/>
        <w:numPr>
          <w:ilvl w:val="0"/>
          <w:numId w:val="0"/>
        </w:numPr>
        <w:rPr>
          <w:lang w:val="zh-CN"/>
        </w:rPr>
      </w:pPr>
      <w:r>
        <w:rPr>
          <w:b/>
          <w:bCs w:val="0"/>
          <w:lang w:val="zh-CN"/>
        </w:rPr>
        <w:t>4.1.12</w:t>
      </w:r>
      <w:r>
        <w:rPr>
          <w:b/>
          <w:bCs w:val="0"/>
        </w:rPr>
        <w:t xml:space="preserve">  </w:t>
      </w:r>
      <w:r>
        <w:rPr>
          <w:rFonts w:hint="eastAsia"/>
          <w:bCs w:val="0"/>
        </w:rPr>
        <w:t>污水厂</w:t>
      </w:r>
      <w:r>
        <w:rPr>
          <w:rFonts w:hint="eastAsia"/>
          <w:bCs w:val="0"/>
          <w:lang w:val="zh-CN"/>
        </w:rPr>
        <w:t>进</w:t>
      </w:r>
      <w:r>
        <w:rPr>
          <w:rFonts w:hint="eastAsia"/>
          <w:bCs w:val="0"/>
        </w:rPr>
        <w:t>水</w:t>
      </w:r>
      <w:r>
        <w:rPr>
          <w:rFonts w:hint="eastAsia"/>
          <w:bCs w:val="0"/>
          <w:lang w:val="zh-CN"/>
        </w:rPr>
        <w:t>、出水水质，水量、环保、地下水</w:t>
      </w:r>
      <w:r>
        <w:rPr>
          <w:rFonts w:hint="eastAsia"/>
          <w:bCs w:val="0"/>
        </w:rPr>
        <w:t>等</w:t>
      </w:r>
      <w:r>
        <w:rPr>
          <w:rFonts w:hint="eastAsia"/>
          <w:bCs w:val="0"/>
          <w:lang w:val="zh-CN"/>
        </w:rPr>
        <w:t>监测</w:t>
      </w:r>
      <w:r>
        <w:rPr>
          <w:rFonts w:hint="eastAsia"/>
          <w:bCs w:val="0"/>
        </w:rPr>
        <w:t>设施的</w:t>
      </w:r>
      <w:r>
        <w:rPr>
          <w:rFonts w:hint="eastAsia"/>
          <w:bCs w:val="0"/>
          <w:lang w:val="zh-CN"/>
        </w:rPr>
        <w:t>设置应满足生产、安全及环保监督</w:t>
      </w:r>
      <w:r>
        <w:rPr>
          <w:rFonts w:hint="eastAsia"/>
          <w:bCs w:val="0"/>
        </w:rPr>
        <w:t>部门</w:t>
      </w:r>
      <w:r>
        <w:rPr>
          <w:rFonts w:hint="eastAsia"/>
          <w:bCs w:val="0"/>
          <w:lang w:val="zh-CN"/>
        </w:rPr>
        <w:t>的相应要求。</w:t>
      </w:r>
    </w:p>
    <w:p>
      <w:pPr>
        <w:pStyle w:val="4"/>
        <w:numPr>
          <w:ilvl w:val="0"/>
          <w:numId w:val="0"/>
        </w:numPr>
        <w:rPr>
          <w:lang w:val="zh-CN"/>
        </w:rPr>
      </w:pPr>
      <w:r>
        <w:rPr>
          <w:b/>
          <w:bCs w:val="0"/>
          <w:lang w:val="zh-CN"/>
        </w:rPr>
        <w:t>4.1.13</w:t>
      </w:r>
      <w:r>
        <w:rPr>
          <w:rFonts w:hint="eastAsia"/>
          <w:bCs w:val="0"/>
        </w:rPr>
        <w:t xml:space="preserve"> </w:t>
      </w:r>
      <w:r>
        <w:rPr>
          <w:b/>
          <w:bCs w:val="0"/>
        </w:rPr>
        <w:t xml:space="preserve">  </w:t>
      </w:r>
      <w:r>
        <w:rPr>
          <w:rFonts w:hint="eastAsia"/>
          <w:bCs w:val="0"/>
        </w:rPr>
        <w:t>产生</w:t>
      </w:r>
      <w:r>
        <w:rPr>
          <w:rFonts w:hint="eastAsia"/>
          <w:bCs w:val="0"/>
          <w:lang w:val="zh-CN"/>
        </w:rPr>
        <w:t>有毒有害气体的</w:t>
      </w:r>
      <w:r>
        <w:rPr>
          <w:rFonts w:hint="eastAsia"/>
          <w:bCs w:val="0"/>
        </w:rPr>
        <w:t>有限</w:t>
      </w:r>
      <w:r>
        <w:rPr>
          <w:rFonts w:hint="eastAsia"/>
          <w:bCs w:val="0"/>
          <w:lang w:val="zh-CN"/>
        </w:rPr>
        <w:t>空间应设置有毒有害气体监测和报警设施。</w:t>
      </w:r>
    </w:p>
    <w:p>
      <w:pPr>
        <w:pStyle w:val="4"/>
        <w:numPr>
          <w:ilvl w:val="0"/>
          <w:numId w:val="0"/>
        </w:numPr>
        <w:rPr>
          <w:lang w:val="zh-CN"/>
        </w:rPr>
      </w:pPr>
      <w:r>
        <w:rPr>
          <w:b/>
          <w:lang w:val="zh-CN"/>
        </w:rPr>
        <w:t>4.1.14</w:t>
      </w:r>
      <w:r>
        <w:rPr>
          <w:b/>
          <w:bCs w:val="0"/>
        </w:rPr>
        <w:t xml:space="preserve">  </w:t>
      </w:r>
      <w:r>
        <w:rPr>
          <w:rFonts w:hint="eastAsia"/>
          <w:lang w:val="zh-CN"/>
        </w:rPr>
        <w:t>地下式城镇污水处理厂海绵设施设计</w:t>
      </w:r>
      <w:r>
        <w:rPr>
          <w:rFonts w:hint="eastAsia"/>
        </w:rPr>
        <w:t>需</w:t>
      </w:r>
      <w:r>
        <w:rPr>
          <w:rFonts w:hint="eastAsia"/>
          <w:lang w:val="zh-CN"/>
        </w:rPr>
        <w:t>符合下列规定：</w:t>
      </w:r>
    </w:p>
    <w:p>
      <w:pPr>
        <w:ind w:firstLine="560"/>
      </w:pPr>
      <w:r>
        <w:t xml:space="preserve">1 </w:t>
      </w:r>
      <w:r>
        <w:rPr>
          <w:rFonts w:hint="eastAsia"/>
        </w:rPr>
        <w:t>污水厂应执行当地海绵城市建设指标；</w:t>
      </w:r>
    </w:p>
    <w:p>
      <w:pPr>
        <w:ind w:firstLine="560"/>
      </w:pPr>
      <w:r>
        <w:t xml:space="preserve">2 </w:t>
      </w:r>
      <w:r>
        <w:rPr>
          <w:rFonts w:hint="eastAsia"/>
        </w:rPr>
        <w:t>有条件的地面建筑宜设置绿色屋顶；</w:t>
      </w:r>
    </w:p>
    <w:p>
      <w:pPr>
        <w:ind w:firstLine="560"/>
      </w:pPr>
      <w:r>
        <w:t xml:space="preserve">3 </w:t>
      </w:r>
      <w:r>
        <w:rPr>
          <w:rFonts w:hint="eastAsia"/>
        </w:rPr>
        <w:t>地面建筑屋面和机动车道雨水宜设置植草沟排除；</w:t>
      </w:r>
    </w:p>
    <w:p>
      <w:pPr>
        <w:ind w:firstLine="560"/>
      </w:pPr>
      <w:r>
        <w:t xml:space="preserve">4 </w:t>
      </w:r>
      <w:r>
        <w:rPr>
          <w:rFonts w:hint="eastAsia"/>
        </w:rPr>
        <w:t>地面人行道应采用透水铺装；轻型荷载停车场、非机动车道、机动车道宜综合地面功能、投资规模等因素采用适宜型式的透水铺装；</w:t>
      </w:r>
    </w:p>
    <w:p>
      <w:pPr>
        <w:ind w:firstLine="560"/>
      </w:pPr>
      <w:r>
        <w:t xml:space="preserve">5 </w:t>
      </w:r>
      <w:r>
        <w:rPr>
          <w:rFonts w:hint="eastAsia"/>
        </w:rPr>
        <w:t>地面绿地应设置植草沟、生物滞留、生态树池等设施；</w:t>
      </w:r>
    </w:p>
    <w:p>
      <w:pPr>
        <w:ind w:firstLine="560"/>
      </w:pPr>
      <w:r>
        <w:t xml:space="preserve">6 </w:t>
      </w:r>
      <w:r>
        <w:rPr>
          <w:rFonts w:hint="eastAsia"/>
        </w:rPr>
        <w:t>地形允许散水排水时，可采用道路边沟排水。</w:t>
      </w:r>
    </w:p>
    <w:p>
      <w:pPr>
        <w:pStyle w:val="4"/>
        <w:numPr>
          <w:ilvl w:val="0"/>
          <w:numId w:val="0"/>
        </w:numPr>
        <w:rPr>
          <w:lang w:val="zh-CN"/>
        </w:rPr>
      </w:pPr>
      <w:r>
        <w:rPr>
          <w:b/>
          <w:lang w:val="zh-CN"/>
        </w:rPr>
        <w:t>4.1.</w:t>
      </w:r>
      <w:r>
        <w:rPr>
          <w:rFonts w:hint="eastAsia"/>
          <w:b/>
        </w:rPr>
        <w:t>1</w:t>
      </w:r>
      <w:r>
        <w:rPr>
          <w:b/>
        </w:rPr>
        <w:t>5</w:t>
      </w:r>
      <w:r>
        <w:rPr>
          <w:b/>
          <w:bCs w:val="0"/>
        </w:rPr>
        <w:t xml:space="preserve">  </w:t>
      </w:r>
      <w:r>
        <w:rPr>
          <w:lang w:val="zh-CN"/>
        </w:rPr>
        <w:t>地下式城镇污水处理厂</w:t>
      </w:r>
      <w:r>
        <w:rPr>
          <w:rFonts w:hint="eastAsia"/>
        </w:rPr>
        <w:t>可结合</w:t>
      </w:r>
      <w:r>
        <w:rPr>
          <w:rFonts w:hint="eastAsia"/>
          <w:lang w:val="zh-CN"/>
        </w:rPr>
        <w:t>工艺设备吊装、安装、检修的交通和空间要求设置地面吊装孔，吊装孔应靠近地面道路，与地面景观协调，并做好防水、防涝、</w:t>
      </w:r>
      <w:r>
        <w:rPr>
          <w:rFonts w:hint="eastAsia"/>
        </w:rPr>
        <w:t>安全</w:t>
      </w:r>
      <w:r>
        <w:rPr>
          <w:rFonts w:hint="eastAsia"/>
          <w:lang w:val="zh-CN"/>
        </w:rPr>
        <w:t>等防护措施。</w:t>
      </w:r>
    </w:p>
    <w:p>
      <w:pPr>
        <w:pStyle w:val="4"/>
        <w:numPr>
          <w:ilvl w:val="0"/>
          <w:numId w:val="0"/>
        </w:numPr>
        <w:rPr>
          <w:lang w:val="zh-CN"/>
        </w:rPr>
      </w:pPr>
      <w:r>
        <w:rPr>
          <w:b/>
          <w:lang w:val="zh-CN"/>
        </w:rPr>
        <w:t>4.1.16</w:t>
      </w:r>
      <w:r>
        <w:rPr>
          <w:b/>
          <w:bCs w:val="0"/>
        </w:rPr>
        <w:t xml:space="preserve">  </w:t>
      </w:r>
      <w:r>
        <w:rPr>
          <w:rFonts w:hint="eastAsia"/>
          <w:lang w:val="zh-CN"/>
        </w:rPr>
        <w:t>地下式</w:t>
      </w:r>
      <w:r>
        <w:rPr>
          <w:rFonts w:hint="eastAsia"/>
        </w:rPr>
        <w:t>城镇</w:t>
      </w:r>
      <w:r>
        <w:rPr>
          <w:rFonts w:hint="eastAsia"/>
          <w:lang w:val="zh-CN"/>
        </w:rPr>
        <w:t>污水处理厂的检测、控制和管理应实现自动化、信息化和智能化。</w:t>
      </w:r>
    </w:p>
    <w:p>
      <w:pPr>
        <w:pStyle w:val="4"/>
        <w:numPr>
          <w:ilvl w:val="0"/>
          <w:numId w:val="0"/>
        </w:numPr>
        <w:rPr>
          <w:lang w:val="zh-CN"/>
        </w:rPr>
      </w:pPr>
      <w:r>
        <w:rPr>
          <w:b/>
          <w:lang w:val="zh-CN"/>
        </w:rPr>
        <w:t>4.1.17</w:t>
      </w:r>
      <w:r>
        <w:rPr>
          <w:b/>
          <w:bCs w:val="0"/>
        </w:rPr>
        <w:t xml:space="preserve">  </w:t>
      </w:r>
      <w:r>
        <w:rPr>
          <w:rFonts w:hint="eastAsia"/>
          <w:lang w:val="zh-CN"/>
        </w:rPr>
        <w:t>地下式城镇污水处理厂</w:t>
      </w:r>
      <w:r>
        <w:rPr>
          <w:lang w:val="zh-CN"/>
        </w:rPr>
        <w:t>应在</w:t>
      </w:r>
      <w:r>
        <w:rPr>
          <w:rFonts w:hint="eastAsia"/>
        </w:rPr>
        <w:t>出入口、逃生口、</w:t>
      </w:r>
      <w:r>
        <w:rPr>
          <w:rFonts w:hint="eastAsia"/>
          <w:lang w:val="zh-CN"/>
        </w:rPr>
        <w:t>进水口、排放口、取样点、</w:t>
      </w:r>
      <w:r>
        <w:rPr>
          <w:rFonts w:hint="eastAsia"/>
        </w:rPr>
        <w:t>处理</w:t>
      </w:r>
      <w:r>
        <w:rPr>
          <w:rFonts w:hint="eastAsia"/>
          <w:lang w:val="zh-CN"/>
        </w:rPr>
        <w:t>构筑物、设备、管</w:t>
      </w:r>
      <w:r>
        <w:rPr>
          <w:rFonts w:hint="eastAsia"/>
        </w:rPr>
        <w:t>线等</w:t>
      </w:r>
      <w:r>
        <w:rPr>
          <w:rFonts w:hint="eastAsia"/>
          <w:lang w:val="zh-CN"/>
        </w:rPr>
        <w:t>设置明显</w:t>
      </w:r>
      <w:r>
        <w:rPr>
          <w:rFonts w:hint="eastAsia"/>
        </w:rPr>
        <w:t>标识</w:t>
      </w:r>
      <w:r>
        <w:rPr>
          <w:rFonts w:hint="eastAsia"/>
          <w:lang w:val="zh-CN"/>
        </w:rPr>
        <w:t>，</w:t>
      </w:r>
      <w:r>
        <w:rPr>
          <w:rFonts w:hint="eastAsia"/>
        </w:rPr>
        <w:t>设备和管道的标识应符合现行行业标准《城市污水处理厂管道和设备色标》</w:t>
      </w:r>
      <w:r>
        <w:t>CJ/T 158</w:t>
      </w:r>
      <w:r>
        <w:rPr>
          <w:rFonts w:hint="eastAsia"/>
        </w:rPr>
        <w:t>的有关规定</w:t>
      </w:r>
      <w:r>
        <w:rPr>
          <w:rFonts w:hint="eastAsia"/>
          <w:lang w:val="zh-CN"/>
        </w:rPr>
        <w:t>。</w:t>
      </w:r>
    </w:p>
    <w:p>
      <w:pPr>
        <w:pStyle w:val="4"/>
        <w:numPr>
          <w:ilvl w:val="0"/>
          <w:numId w:val="0"/>
        </w:numPr>
        <w:rPr>
          <w:lang w:val="zh-CN"/>
        </w:rPr>
      </w:pPr>
      <w:r>
        <w:rPr>
          <w:b/>
          <w:lang w:val="zh-CN"/>
        </w:rPr>
        <w:t>4.1.18</w:t>
      </w:r>
      <w:r>
        <w:rPr>
          <w:b/>
          <w:bCs w:val="0"/>
        </w:rPr>
        <w:t xml:space="preserve">  </w:t>
      </w:r>
      <w:r>
        <w:rPr>
          <w:lang w:val="zh-CN"/>
        </w:rPr>
        <w:t>地下式城镇污水处理厂</w:t>
      </w:r>
      <w:r>
        <w:rPr>
          <w:rFonts w:hint="eastAsia"/>
        </w:rPr>
        <w:t>的</w:t>
      </w:r>
      <w:r>
        <w:rPr>
          <w:rFonts w:hint="eastAsia"/>
          <w:lang w:val="zh-CN"/>
        </w:rPr>
        <w:t>机电设备及其与主体的连接，应</w:t>
      </w:r>
      <w:r>
        <w:rPr>
          <w:rFonts w:hint="eastAsia"/>
        </w:rPr>
        <w:t>考虑</w:t>
      </w:r>
      <w:r>
        <w:rPr>
          <w:rFonts w:hint="eastAsia"/>
          <w:lang w:val="zh-CN"/>
        </w:rPr>
        <w:t>抗震设计，</w:t>
      </w:r>
      <w:r>
        <w:rPr>
          <w:rFonts w:hint="eastAsia"/>
        </w:rPr>
        <w:t>并</w:t>
      </w:r>
      <w:r>
        <w:rPr>
          <w:rFonts w:hint="eastAsia"/>
          <w:lang w:val="zh-CN"/>
        </w:rPr>
        <w:t>应符合现行国家标准《建筑抗震设计规范》</w:t>
      </w:r>
      <w:r>
        <w:rPr>
          <w:lang w:val="zh-CN"/>
        </w:rPr>
        <w:t>GB 50011</w:t>
      </w:r>
      <w:r>
        <w:rPr>
          <w:rFonts w:hint="eastAsia"/>
          <w:lang w:val="zh-CN"/>
        </w:rPr>
        <w:t>、《建筑机电工程抗震设计规范》</w:t>
      </w:r>
      <w:r>
        <w:rPr>
          <w:lang w:val="zh-CN"/>
        </w:rPr>
        <w:t>GB 50981</w:t>
      </w:r>
      <w:r>
        <w:rPr>
          <w:rFonts w:hint="eastAsia"/>
          <w:lang w:val="zh-CN"/>
        </w:rPr>
        <w:t>的相应规定。</w:t>
      </w:r>
    </w:p>
    <w:p>
      <w:pPr>
        <w:pStyle w:val="3"/>
        <w:spacing w:before="624" w:after="624"/>
        <w:rPr>
          <w:lang w:val="zh-CN"/>
        </w:rPr>
      </w:pPr>
      <w:bookmarkStart w:id="85" w:name="_Toc57998465"/>
      <w:bookmarkEnd w:id="85"/>
      <w:bookmarkStart w:id="86" w:name="_Toc59542801"/>
      <w:bookmarkEnd w:id="86"/>
      <w:bookmarkStart w:id="87" w:name="_Toc59114702"/>
      <w:bookmarkEnd w:id="87"/>
      <w:bookmarkStart w:id="88" w:name="_Toc58318781"/>
      <w:bookmarkEnd w:id="88"/>
      <w:bookmarkStart w:id="89" w:name="_Toc57992281"/>
      <w:bookmarkEnd w:id="89"/>
      <w:bookmarkStart w:id="90" w:name="_Toc57894171"/>
      <w:bookmarkEnd w:id="90"/>
      <w:bookmarkStart w:id="91" w:name="_Toc59542802"/>
      <w:bookmarkEnd w:id="91"/>
      <w:bookmarkStart w:id="92" w:name="_Toc59546071"/>
      <w:bookmarkEnd w:id="92"/>
      <w:bookmarkStart w:id="93" w:name="_Toc59017206"/>
      <w:bookmarkEnd w:id="93"/>
      <w:bookmarkStart w:id="94" w:name="_Toc59021399"/>
      <w:bookmarkEnd w:id="94"/>
      <w:bookmarkStart w:id="95" w:name="_Toc57989205"/>
      <w:bookmarkEnd w:id="95"/>
      <w:bookmarkStart w:id="96" w:name="_Toc57998464"/>
      <w:bookmarkEnd w:id="96"/>
      <w:bookmarkStart w:id="97" w:name="_Toc59116901"/>
      <w:bookmarkEnd w:id="97"/>
      <w:bookmarkStart w:id="98" w:name="_Toc96358464"/>
      <w:bookmarkEnd w:id="98"/>
      <w:bookmarkStart w:id="99" w:name="_Toc57894325"/>
      <w:bookmarkEnd w:id="99"/>
      <w:bookmarkStart w:id="100" w:name="_Toc58861932"/>
      <w:bookmarkEnd w:id="100"/>
      <w:bookmarkStart w:id="101" w:name="_Toc58320186"/>
      <w:bookmarkEnd w:id="101"/>
      <w:bookmarkStart w:id="102" w:name="_Toc58320187"/>
      <w:bookmarkEnd w:id="102"/>
      <w:bookmarkStart w:id="103" w:name="_Toc57997615"/>
      <w:bookmarkEnd w:id="103"/>
      <w:bookmarkStart w:id="104" w:name="_Toc57893999"/>
      <w:bookmarkEnd w:id="104"/>
      <w:bookmarkStart w:id="105" w:name="_Toc57881118"/>
      <w:bookmarkEnd w:id="105"/>
      <w:bookmarkStart w:id="106" w:name="_Toc58259484"/>
      <w:bookmarkEnd w:id="106"/>
      <w:bookmarkStart w:id="107" w:name="_Toc59113727"/>
      <w:bookmarkEnd w:id="107"/>
      <w:bookmarkStart w:id="108" w:name="_Toc57998340"/>
      <w:bookmarkEnd w:id="108"/>
      <w:bookmarkStart w:id="109" w:name="_Toc59209187"/>
      <w:bookmarkEnd w:id="109"/>
      <w:bookmarkStart w:id="110" w:name="_Toc58319943"/>
      <w:bookmarkEnd w:id="110"/>
      <w:bookmarkStart w:id="111" w:name="_Toc58259483"/>
      <w:bookmarkEnd w:id="111"/>
      <w:bookmarkStart w:id="112" w:name="_Toc58319942"/>
      <w:bookmarkEnd w:id="112"/>
      <w:bookmarkStart w:id="113" w:name="_Toc58257165"/>
      <w:bookmarkEnd w:id="113"/>
      <w:bookmarkStart w:id="114" w:name="_Toc59203901"/>
      <w:bookmarkEnd w:id="114"/>
      <w:bookmarkStart w:id="115" w:name="_Toc58861674"/>
      <w:bookmarkEnd w:id="115"/>
      <w:bookmarkStart w:id="116" w:name="_Toc59546072"/>
      <w:bookmarkEnd w:id="116"/>
      <w:bookmarkStart w:id="117" w:name="_Toc59021400"/>
      <w:bookmarkEnd w:id="117"/>
      <w:bookmarkStart w:id="118" w:name="_Toc58259573"/>
      <w:bookmarkEnd w:id="118"/>
      <w:bookmarkStart w:id="119" w:name="_Toc58857910"/>
      <w:bookmarkEnd w:id="119"/>
      <w:bookmarkStart w:id="120" w:name="_Toc57889908"/>
      <w:bookmarkEnd w:id="120"/>
      <w:bookmarkStart w:id="121" w:name="_Toc59017207"/>
      <w:bookmarkEnd w:id="121"/>
      <w:bookmarkStart w:id="122" w:name="_Toc57881529"/>
      <w:bookmarkEnd w:id="122"/>
      <w:bookmarkStart w:id="123" w:name="_Toc57989263"/>
      <w:bookmarkEnd w:id="123"/>
      <w:bookmarkStart w:id="124" w:name="_Toc59114701"/>
      <w:bookmarkEnd w:id="124"/>
      <w:bookmarkStart w:id="125" w:name="_Toc59016892"/>
      <w:bookmarkEnd w:id="125"/>
      <w:bookmarkStart w:id="126" w:name="_Toc57992280"/>
      <w:bookmarkEnd w:id="126"/>
      <w:bookmarkStart w:id="127" w:name="_Toc59113296"/>
      <w:bookmarkEnd w:id="127"/>
      <w:bookmarkStart w:id="128" w:name="_Toc58245176"/>
      <w:bookmarkEnd w:id="128"/>
      <w:bookmarkStart w:id="129" w:name="_Toc57989206"/>
      <w:bookmarkEnd w:id="129"/>
      <w:bookmarkStart w:id="130" w:name="_Toc59116900"/>
      <w:bookmarkEnd w:id="130"/>
      <w:bookmarkStart w:id="131" w:name="_Toc58861933"/>
      <w:bookmarkEnd w:id="131"/>
      <w:bookmarkStart w:id="132" w:name="_Toc57894170"/>
      <w:bookmarkEnd w:id="132"/>
      <w:bookmarkStart w:id="133" w:name="_Toc58259574"/>
      <w:bookmarkEnd w:id="133"/>
      <w:bookmarkStart w:id="134" w:name="_Toc57889909"/>
      <w:bookmarkEnd w:id="134"/>
      <w:bookmarkStart w:id="135" w:name="_Toc58318780"/>
      <w:bookmarkEnd w:id="135"/>
      <w:bookmarkStart w:id="136" w:name="_Toc59631163"/>
      <w:bookmarkEnd w:id="136"/>
      <w:bookmarkStart w:id="137" w:name="_Toc57997616"/>
      <w:bookmarkEnd w:id="137"/>
      <w:bookmarkStart w:id="138" w:name="_Toc59016893"/>
      <w:bookmarkEnd w:id="138"/>
      <w:bookmarkStart w:id="139" w:name="_Toc58245177"/>
      <w:bookmarkEnd w:id="139"/>
      <w:bookmarkStart w:id="140" w:name="_Toc59630189"/>
      <w:bookmarkEnd w:id="140"/>
      <w:bookmarkStart w:id="141" w:name="_Toc57912472"/>
      <w:bookmarkEnd w:id="141"/>
      <w:bookmarkStart w:id="142" w:name="_Toc59630190"/>
      <w:bookmarkEnd w:id="142"/>
      <w:bookmarkStart w:id="143" w:name="_Toc57998341"/>
      <w:bookmarkEnd w:id="143"/>
      <w:bookmarkStart w:id="144" w:name="_Toc59113726"/>
      <w:bookmarkEnd w:id="144"/>
      <w:bookmarkStart w:id="145" w:name="_Toc58857909"/>
      <w:bookmarkEnd w:id="145"/>
      <w:bookmarkStart w:id="146" w:name="_Toc57995848"/>
      <w:bookmarkEnd w:id="146"/>
      <w:bookmarkStart w:id="147" w:name="_Toc59716752"/>
      <w:bookmarkEnd w:id="147"/>
      <w:bookmarkStart w:id="148" w:name="_Toc96358465"/>
      <w:bookmarkEnd w:id="148"/>
      <w:bookmarkStart w:id="149" w:name="_Toc57989262"/>
      <w:bookmarkEnd w:id="149"/>
      <w:bookmarkStart w:id="150" w:name="_Toc59203900"/>
      <w:bookmarkEnd w:id="150"/>
      <w:bookmarkStart w:id="151" w:name="_Toc57998253"/>
      <w:bookmarkEnd w:id="151"/>
      <w:bookmarkStart w:id="152" w:name="_Toc59631162"/>
      <w:bookmarkEnd w:id="152"/>
      <w:bookmarkStart w:id="153" w:name="_Toc59209186"/>
      <w:bookmarkEnd w:id="153"/>
      <w:bookmarkStart w:id="154" w:name="_Toc57995849"/>
      <w:bookmarkEnd w:id="154"/>
      <w:bookmarkStart w:id="155" w:name="_Toc58318622"/>
      <w:bookmarkEnd w:id="155"/>
      <w:bookmarkStart w:id="156" w:name="_Toc57893998"/>
      <w:bookmarkEnd w:id="156"/>
      <w:bookmarkStart w:id="157" w:name="_Toc57894324"/>
      <w:bookmarkEnd w:id="157"/>
      <w:bookmarkStart w:id="158" w:name="_Toc57998254"/>
      <w:bookmarkEnd w:id="158"/>
      <w:bookmarkStart w:id="159" w:name="_Toc58257164"/>
      <w:bookmarkEnd w:id="159"/>
      <w:bookmarkStart w:id="160" w:name="_Toc59716751"/>
      <w:bookmarkEnd w:id="160"/>
      <w:bookmarkStart w:id="161" w:name="_Toc57912473"/>
      <w:bookmarkEnd w:id="161"/>
      <w:bookmarkStart w:id="162" w:name="_Toc58318623"/>
      <w:bookmarkEnd w:id="162"/>
      <w:bookmarkStart w:id="163" w:name="_Toc58861673"/>
      <w:bookmarkEnd w:id="163"/>
      <w:bookmarkStart w:id="164" w:name="_Toc59113295"/>
      <w:bookmarkEnd w:id="164"/>
      <w:bookmarkStart w:id="165" w:name="_Toc96358463"/>
      <w:bookmarkEnd w:id="165"/>
      <w:bookmarkStart w:id="166" w:name="_Toc114734626"/>
      <w:bookmarkStart w:id="167" w:name="_Toc96358466"/>
      <w:bookmarkStart w:id="168" w:name="_Toc30575349"/>
      <w:bookmarkStart w:id="169" w:name="_Toc27919"/>
      <w:bookmarkStart w:id="170" w:name="_Toc70600545"/>
      <w:bookmarkStart w:id="171" w:name="_Toc535322512"/>
      <w:bookmarkStart w:id="172" w:name="_Toc12432"/>
      <w:bookmarkStart w:id="173" w:name="_Toc13900"/>
      <w:bookmarkStart w:id="174" w:name="_Toc126321308"/>
      <w:bookmarkStart w:id="175" w:name="_Toc8888"/>
      <w:bookmarkStart w:id="176" w:name="_Toc19888411"/>
      <w:r>
        <w:rPr>
          <w:rFonts w:hint="eastAsia"/>
          <w:lang w:val="zh-CN"/>
        </w:rPr>
        <w:t>地下</w:t>
      </w:r>
      <w:r>
        <w:rPr>
          <w:rFonts w:hint="eastAsia"/>
        </w:rPr>
        <w:t>空间总体</w:t>
      </w:r>
      <w:r>
        <w:rPr>
          <w:rFonts w:hint="eastAsia"/>
          <w:lang w:val="zh-CN"/>
        </w:rPr>
        <w:t>布置</w:t>
      </w:r>
      <w:bookmarkEnd w:id="166"/>
      <w:bookmarkEnd w:id="167"/>
      <w:bookmarkEnd w:id="168"/>
      <w:bookmarkEnd w:id="169"/>
      <w:bookmarkEnd w:id="170"/>
      <w:bookmarkEnd w:id="171"/>
      <w:bookmarkEnd w:id="172"/>
      <w:bookmarkEnd w:id="173"/>
      <w:bookmarkEnd w:id="174"/>
      <w:bookmarkEnd w:id="175"/>
      <w:bookmarkEnd w:id="176"/>
    </w:p>
    <w:p>
      <w:pPr>
        <w:pStyle w:val="4"/>
        <w:numPr>
          <w:ilvl w:val="0"/>
          <w:numId w:val="0"/>
        </w:numPr>
        <w:ind w:firstLine="200"/>
        <w:rPr>
          <w:bCs w:val="0"/>
        </w:rPr>
      </w:pPr>
      <w:r>
        <w:rPr>
          <w:b/>
          <w:bCs w:val="0"/>
          <w:lang w:val="zh-CN"/>
        </w:rPr>
        <w:t>4.2.1</w:t>
      </w:r>
      <w:r>
        <w:rPr>
          <w:b/>
          <w:bCs w:val="0"/>
        </w:rPr>
        <w:t xml:space="preserve">  </w:t>
      </w:r>
      <w:r>
        <w:rPr>
          <w:rFonts w:hint="eastAsia"/>
          <w:bCs w:val="0"/>
        </w:rPr>
        <w:t>地下空间总体布置应符合下列规定：</w:t>
      </w:r>
    </w:p>
    <w:p>
      <w:pPr>
        <w:ind w:firstLine="560"/>
        <w:jc w:val="both"/>
      </w:pPr>
      <w:r>
        <w:t>1</w:t>
      </w:r>
      <w:r>
        <w:rPr>
          <w:rFonts w:hint="eastAsia"/>
        </w:rPr>
        <w:t>平面布置应紧凑、合理，有效利用地下空间，减少工程投资；</w:t>
      </w:r>
    </w:p>
    <w:p>
      <w:pPr>
        <w:ind w:firstLine="560"/>
        <w:jc w:val="both"/>
      </w:pPr>
      <w:r>
        <w:t>2</w:t>
      </w:r>
      <w:r>
        <w:rPr>
          <w:rFonts w:hint="eastAsia"/>
        </w:rPr>
        <w:t>地下式污水处理厂的污水、污泥、臭气处理构筑物的布置应根据工艺及管理的需求进行功能分区，有利于工艺流程、生产运营、气流组织和交通顺畅；</w:t>
      </w:r>
    </w:p>
    <w:p>
      <w:pPr>
        <w:ind w:firstLine="560"/>
        <w:jc w:val="both"/>
        <w:rPr>
          <w:bCs/>
          <w:lang w:val="zh-CN"/>
        </w:rPr>
      </w:pPr>
      <w:r>
        <w:rPr>
          <w:rFonts w:hint="eastAsia"/>
        </w:rPr>
        <w:t>3</w:t>
      </w:r>
      <w:r>
        <w:t xml:space="preserve"> </w:t>
      </w:r>
      <w:r>
        <w:rPr>
          <w:rFonts w:hint="eastAsia"/>
          <w:lang w:val="zh-CN"/>
        </w:rPr>
        <w:t>各处理单元</w:t>
      </w:r>
      <w:r>
        <w:rPr>
          <w:rFonts w:hint="eastAsia"/>
        </w:rPr>
        <w:t>及设施</w:t>
      </w:r>
      <w:r>
        <w:rPr>
          <w:rFonts w:hint="eastAsia"/>
          <w:lang w:val="zh-CN"/>
        </w:rPr>
        <w:t>宜聚合布置，将各单元组团化、集成化、模块化集约布置；</w:t>
      </w:r>
    </w:p>
    <w:p>
      <w:pPr>
        <w:ind w:firstLine="560"/>
        <w:jc w:val="both"/>
        <w:rPr>
          <w:lang w:val="zh-CN"/>
        </w:rPr>
      </w:pPr>
      <w:r>
        <w:rPr>
          <w:rFonts w:hint="eastAsia"/>
        </w:rPr>
        <w:t>4</w:t>
      </w:r>
      <w:r>
        <w:t xml:space="preserve"> </w:t>
      </w:r>
      <w:r>
        <w:rPr>
          <w:rFonts w:hint="eastAsia"/>
          <w:lang w:val="zh-CN"/>
        </w:rPr>
        <w:t>水处理构筑物宜共壁布置，构筑物之间</w:t>
      </w:r>
      <w:r>
        <w:rPr>
          <w:rFonts w:hint="eastAsia"/>
        </w:rPr>
        <w:t>可</w:t>
      </w:r>
      <w:r>
        <w:rPr>
          <w:rFonts w:hint="eastAsia"/>
          <w:lang w:val="zh-CN"/>
        </w:rPr>
        <w:t>采用渠道连接，减少水头损失和占地，构筑物之间的间隙</w:t>
      </w:r>
      <w:r>
        <w:rPr>
          <w:rFonts w:hint="eastAsia"/>
        </w:rPr>
        <w:t>可</w:t>
      </w:r>
      <w:r>
        <w:rPr>
          <w:rFonts w:hint="eastAsia"/>
          <w:lang w:val="zh-CN"/>
        </w:rPr>
        <w:t>布置管廊，将管线、电缆等集中</w:t>
      </w:r>
      <w:r>
        <w:rPr>
          <w:rFonts w:hint="eastAsia"/>
        </w:rPr>
        <w:t>敷设</w:t>
      </w:r>
      <w:r>
        <w:rPr>
          <w:rFonts w:hint="eastAsia"/>
          <w:lang w:val="zh-CN"/>
        </w:rPr>
        <w:t>；</w:t>
      </w:r>
    </w:p>
    <w:p>
      <w:pPr>
        <w:ind w:firstLine="560"/>
        <w:jc w:val="both"/>
      </w:pPr>
      <w:r>
        <w:rPr>
          <w:rFonts w:hint="eastAsia"/>
        </w:rPr>
        <w:t>5</w:t>
      </w:r>
      <w:r>
        <w:t xml:space="preserve"> </w:t>
      </w:r>
      <w:r>
        <w:rPr>
          <w:rFonts w:hint="eastAsia"/>
          <w:lang w:val="zh-CN"/>
        </w:rPr>
        <w:t>附属建筑</w:t>
      </w:r>
      <w:r>
        <w:rPr>
          <w:rFonts w:hint="eastAsia"/>
        </w:rPr>
        <w:t>宜在</w:t>
      </w:r>
      <w:r>
        <w:rPr>
          <w:rFonts w:hint="eastAsia"/>
          <w:lang w:val="zh-CN"/>
        </w:rPr>
        <w:t>操作层分区集中布置；</w:t>
      </w:r>
    </w:p>
    <w:p>
      <w:pPr>
        <w:ind w:firstLine="560"/>
        <w:jc w:val="both"/>
      </w:pPr>
      <w:r>
        <w:rPr>
          <w:rFonts w:hint="eastAsia"/>
        </w:rPr>
        <w:t>6 厂内用电负荷较大的构筑物宜集中布置；</w:t>
      </w:r>
    </w:p>
    <w:p>
      <w:pPr>
        <w:ind w:firstLine="560"/>
        <w:jc w:val="both"/>
        <w:rPr>
          <w:lang w:val="zh-CN"/>
        </w:rPr>
      </w:pPr>
      <w:r>
        <w:rPr>
          <w:rFonts w:hint="eastAsia"/>
        </w:rPr>
        <w:t xml:space="preserve">7 </w:t>
      </w:r>
      <w:r>
        <w:rPr>
          <w:rFonts w:hint="eastAsia"/>
          <w:lang w:val="zh-CN"/>
        </w:rPr>
        <w:t>结构柱网的</w:t>
      </w:r>
      <w:r>
        <w:rPr>
          <w:rFonts w:hint="eastAsia"/>
        </w:rPr>
        <w:t>间距和</w:t>
      </w:r>
      <w:r>
        <w:rPr>
          <w:rFonts w:hint="eastAsia"/>
          <w:lang w:val="zh-CN"/>
        </w:rPr>
        <w:t>布置应综合考虑工艺要求、构筑物</w:t>
      </w:r>
      <w:r>
        <w:rPr>
          <w:rFonts w:hint="eastAsia"/>
        </w:rPr>
        <w:t>池型</w:t>
      </w:r>
      <w:r>
        <w:rPr>
          <w:rFonts w:hint="eastAsia"/>
          <w:lang w:val="zh-CN"/>
        </w:rPr>
        <w:t>等因素</w:t>
      </w:r>
      <w:r>
        <w:rPr>
          <w:rFonts w:hint="eastAsia"/>
        </w:rPr>
        <w:t>确定</w:t>
      </w:r>
      <w:r>
        <w:rPr>
          <w:rFonts w:hint="eastAsia"/>
          <w:lang w:val="zh-CN"/>
        </w:rPr>
        <w:t>，尽量均匀、跨度合理。</w:t>
      </w:r>
    </w:p>
    <w:p>
      <w:pPr>
        <w:pStyle w:val="4"/>
        <w:numPr>
          <w:ilvl w:val="0"/>
          <w:numId w:val="0"/>
        </w:numPr>
        <w:ind w:firstLine="200"/>
        <w:rPr>
          <w:lang w:val="zh-CN"/>
        </w:rPr>
      </w:pPr>
      <w:r>
        <w:rPr>
          <w:b/>
          <w:bCs w:val="0"/>
          <w:lang w:val="zh-CN"/>
        </w:rPr>
        <w:t>4.2.2</w:t>
      </w:r>
      <w:r>
        <w:rPr>
          <w:b/>
          <w:bCs w:val="0"/>
        </w:rPr>
        <w:t xml:space="preserve">  </w:t>
      </w:r>
      <w:r>
        <w:rPr>
          <w:rFonts w:hint="eastAsia"/>
          <w:bCs w:val="0"/>
        </w:rPr>
        <w:t>地下空间</w:t>
      </w:r>
      <w:r>
        <w:rPr>
          <w:rFonts w:hint="eastAsia"/>
          <w:bCs w:val="0"/>
          <w:lang w:val="zh-CN"/>
        </w:rPr>
        <w:t>应根据生产过程中空气质量要求、臭气浓度高低等合理划分分区。</w:t>
      </w:r>
    </w:p>
    <w:p>
      <w:pPr>
        <w:pStyle w:val="4"/>
        <w:numPr>
          <w:ilvl w:val="0"/>
          <w:numId w:val="0"/>
        </w:numPr>
        <w:ind w:firstLine="200"/>
        <w:rPr>
          <w:b/>
          <w:lang w:val="zh-CN"/>
        </w:rPr>
      </w:pPr>
      <w:r>
        <w:rPr>
          <w:b/>
          <w:lang w:val="zh-CN"/>
        </w:rPr>
        <w:t>4.</w:t>
      </w:r>
      <w:r>
        <w:rPr>
          <w:b/>
          <w:bCs w:val="0"/>
          <w:lang w:val="zh-CN"/>
        </w:rPr>
        <w:t>2</w:t>
      </w:r>
      <w:r>
        <w:rPr>
          <w:b/>
          <w:lang w:val="zh-CN"/>
        </w:rPr>
        <w:t>.</w:t>
      </w:r>
      <w:r>
        <w:rPr>
          <w:b/>
          <w:bCs w:val="0"/>
          <w:lang w:val="zh-CN"/>
        </w:rPr>
        <w:t>3</w:t>
      </w:r>
      <w:r>
        <w:rPr>
          <w:b/>
          <w:bCs w:val="0"/>
        </w:rPr>
        <w:t xml:space="preserve">  </w:t>
      </w:r>
      <w:r>
        <w:rPr>
          <w:rFonts w:hint="eastAsia"/>
          <w:bCs w:val="0"/>
          <w:lang w:val="zh-CN"/>
        </w:rPr>
        <w:t>地下空间应合理组织人流、车流及物流，合理规划参观路线、巡视路线、设备及物料的运输路线。</w:t>
      </w:r>
    </w:p>
    <w:p>
      <w:pPr>
        <w:pStyle w:val="4"/>
        <w:numPr>
          <w:ilvl w:val="0"/>
          <w:numId w:val="0"/>
        </w:numPr>
        <w:ind w:firstLine="200"/>
        <w:rPr>
          <w:b/>
          <w:lang w:val="zh-CN"/>
        </w:rPr>
      </w:pPr>
      <w:r>
        <w:rPr>
          <w:b/>
          <w:lang w:val="zh-CN"/>
        </w:rPr>
        <w:t>4.2.4</w:t>
      </w:r>
      <w:r>
        <w:rPr>
          <w:b/>
          <w:bCs w:val="0"/>
        </w:rPr>
        <w:t xml:space="preserve">  </w:t>
      </w:r>
      <w:r>
        <w:rPr>
          <w:rFonts w:hint="eastAsia"/>
          <w:bCs w:val="0"/>
          <w:lang w:val="zh-CN"/>
        </w:rPr>
        <w:t>地下空间出入口位置应满足地下空间通行要求，与地面交通顺畅衔接。地下空间通向厂区地面的进出通道，应符合下列规定：</w:t>
      </w:r>
    </w:p>
    <w:p>
      <w:pPr>
        <w:ind w:firstLine="562"/>
      </w:pPr>
      <w:r>
        <w:rPr>
          <w:b/>
        </w:rPr>
        <w:t>1</w:t>
      </w:r>
      <w:r>
        <w:rPr>
          <w:rFonts w:hint="eastAsia"/>
        </w:rPr>
        <w:t>车辆出入口宽度，双向行驶时不宜小于7.5m，单向行驶时不宜小于4.5m；</w:t>
      </w:r>
    </w:p>
    <w:p>
      <w:pPr>
        <w:ind w:firstLine="562"/>
      </w:pPr>
      <w:r>
        <w:rPr>
          <w:rFonts w:hint="eastAsia"/>
          <w:b/>
        </w:rPr>
        <w:t>2</w:t>
      </w:r>
      <w:r>
        <w:rPr>
          <w:rFonts w:hint="eastAsia"/>
        </w:rPr>
        <w:t>车行弯道和转弯处应考虑车辆行走的最不利点轨迹，并满足污泥运输、药剂运输及其他生产车辆通行要求；</w:t>
      </w:r>
    </w:p>
    <w:p>
      <w:pPr>
        <w:ind w:firstLine="562"/>
      </w:pPr>
      <w:r>
        <w:rPr>
          <w:rFonts w:hint="eastAsia"/>
          <w:b/>
        </w:rPr>
        <w:t>3</w:t>
      </w:r>
      <w:r>
        <w:rPr>
          <w:rFonts w:hint="eastAsia"/>
        </w:rPr>
        <w:t>车行道坡度不宜大于</w:t>
      </w:r>
      <w:r>
        <w:t>12</w:t>
      </w:r>
      <w:r>
        <w:rPr>
          <w:rFonts w:hint="eastAsia"/>
        </w:rPr>
        <w:t>%，转弯坡道应适度放缓；</w:t>
      </w:r>
    </w:p>
    <w:p>
      <w:pPr>
        <w:ind w:firstLine="562"/>
      </w:pPr>
      <w:r>
        <w:rPr>
          <w:rFonts w:hint="eastAsia"/>
          <w:b/>
        </w:rPr>
        <w:t>4</w:t>
      </w:r>
      <w:r>
        <w:rPr>
          <w:rFonts w:hint="eastAsia"/>
        </w:rPr>
        <w:t>地下空间的进出通道应设置反坡、截水沟、雨季应急抢险设施等，控制进入地下空间雨水量。</w:t>
      </w:r>
    </w:p>
    <w:p>
      <w:pPr>
        <w:pStyle w:val="4"/>
        <w:numPr>
          <w:ilvl w:val="0"/>
          <w:numId w:val="0"/>
        </w:numPr>
        <w:tabs>
          <w:tab w:val="left" w:pos="0"/>
          <w:tab w:val="clear" w:pos="567"/>
        </w:tabs>
      </w:pPr>
      <w:bookmarkStart w:id="177" w:name="_Toc535322514"/>
      <w:r>
        <w:rPr>
          <w:b/>
          <w:bCs w:val="0"/>
          <w:lang w:val="zh-CN"/>
        </w:rPr>
        <w:t>4.2.5</w:t>
      </w:r>
      <w:r>
        <w:rPr>
          <w:b/>
          <w:bCs w:val="0"/>
        </w:rPr>
        <w:t xml:space="preserve">  </w:t>
      </w:r>
      <w:r>
        <w:rPr>
          <w:rFonts w:hint="eastAsia"/>
        </w:rPr>
        <w:t>地下式城镇污水处理厂的处理构筑物应设置放空设施，宜优先考虑放空至并行生产线。放空可采用重力放空与强排放空相结合，当采用重力放空排放至排空泵房时，应设置专用密闭放空管。</w:t>
      </w:r>
    </w:p>
    <w:p>
      <w:pPr>
        <w:pStyle w:val="4"/>
        <w:numPr>
          <w:ilvl w:val="255"/>
          <w:numId w:val="0"/>
        </w:numPr>
        <w:tabs>
          <w:tab w:val="left" w:pos="0"/>
        </w:tabs>
        <w:rPr>
          <w:b/>
          <w:lang w:val="zh-CN"/>
        </w:rPr>
      </w:pPr>
      <w:r>
        <w:rPr>
          <w:b/>
          <w:lang w:val="zh-CN"/>
        </w:rPr>
        <w:t>4.</w:t>
      </w:r>
      <w:r>
        <w:rPr>
          <w:b/>
          <w:bCs w:val="0"/>
          <w:lang w:val="zh-CN"/>
        </w:rPr>
        <w:t>2</w:t>
      </w:r>
      <w:r>
        <w:rPr>
          <w:b/>
          <w:lang w:val="zh-CN"/>
        </w:rPr>
        <w:t>.</w:t>
      </w:r>
      <w:r>
        <w:rPr>
          <w:rFonts w:hint="eastAsia"/>
          <w:b/>
          <w:bCs w:val="0"/>
        </w:rPr>
        <w:t>6</w:t>
      </w:r>
      <w:r>
        <w:rPr>
          <w:b/>
          <w:bCs w:val="0"/>
        </w:rPr>
        <w:t xml:space="preserve">  </w:t>
      </w:r>
      <w:r>
        <w:rPr>
          <w:rFonts w:hint="eastAsia"/>
          <w:lang w:val="zh-CN"/>
        </w:rPr>
        <w:t>地下空间应</w:t>
      </w:r>
      <w:r>
        <w:rPr>
          <w:rFonts w:hint="eastAsia"/>
        </w:rPr>
        <w:t>在处理构筑物的顶部</w:t>
      </w:r>
      <w:r>
        <w:rPr>
          <w:rFonts w:hint="eastAsia"/>
          <w:lang w:val="zh-CN"/>
        </w:rPr>
        <w:t>设置</w:t>
      </w:r>
      <w:r>
        <w:rPr>
          <w:rFonts w:hint="eastAsia"/>
          <w:bCs w:val="0"/>
          <w:lang w:val="zh-CN"/>
        </w:rPr>
        <w:t>用于吊装、观察、取样及检修的孔洞，孔洞盖板应具有较好的密封性和耐腐蚀性。</w:t>
      </w:r>
      <w:r>
        <w:rPr>
          <w:rFonts w:hint="eastAsia"/>
          <w:bCs w:val="0"/>
        </w:rPr>
        <w:t>位于</w:t>
      </w:r>
      <w:r>
        <w:rPr>
          <w:rFonts w:hint="eastAsia"/>
          <w:bCs w:val="0"/>
          <w:lang w:val="zh-CN"/>
        </w:rPr>
        <w:t>人流、车流通道</w:t>
      </w:r>
      <w:r>
        <w:rPr>
          <w:rFonts w:hint="eastAsia"/>
          <w:bCs w:val="0"/>
        </w:rPr>
        <w:t>的盖板</w:t>
      </w:r>
      <w:r>
        <w:rPr>
          <w:rFonts w:hint="eastAsia"/>
          <w:bCs w:val="0"/>
          <w:lang w:val="zh-CN"/>
        </w:rPr>
        <w:t>需满足承载力的要求。</w:t>
      </w:r>
    </w:p>
    <w:p>
      <w:pPr>
        <w:pStyle w:val="4"/>
        <w:numPr>
          <w:ilvl w:val="255"/>
          <w:numId w:val="0"/>
        </w:numPr>
        <w:rPr>
          <w:lang w:val="zh-CN"/>
        </w:rPr>
      </w:pPr>
      <w:r>
        <w:rPr>
          <w:b/>
          <w:lang w:val="zh-CN"/>
        </w:rPr>
        <w:t>4.2.7</w:t>
      </w:r>
      <w:r>
        <w:rPr>
          <w:b/>
          <w:bCs w:val="0"/>
        </w:rPr>
        <w:t xml:space="preserve">  </w:t>
      </w:r>
      <w:r>
        <w:rPr>
          <w:rFonts w:hint="eastAsia"/>
        </w:rPr>
        <w:t>地下空间</w:t>
      </w:r>
      <w:r>
        <w:rPr>
          <w:rFonts w:hint="eastAsia"/>
          <w:lang w:val="zh-CN"/>
        </w:rPr>
        <w:t>各控制室和值班室应配备应急防护设施、便携式硫化氢检测报警仪等。</w:t>
      </w:r>
    </w:p>
    <w:p>
      <w:pPr>
        <w:pStyle w:val="3"/>
        <w:spacing w:before="624" w:after="624"/>
      </w:pPr>
      <w:bookmarkStart w:id="178" w:name="_Toc57989208"/>
      <w:bookmarkEnd w:id="178"/>
      <w:bookmarkStart w:id="179" w:name="_Toc57992283"/>
      <w:bookmarkEnd w:id="179"/>
      <w:bookmarkStart w:id="180" w:name="_Toc59114704"/>
      <w:bookmarkEnd w:id="180"/>
      <w:bookmarkStart w:id="181" w:name="_Toc57894001"/>
      <w:bookmarkEnd w:id="181"/>
      <w:bookmarkStart w:id="182" w:name="_Toc96352120"/>
      <w:bookmarkEnd w:id="182"/>
      <w:bookmarkStart w:id="183" w:name="_Toc58318625"/>
      <w:bookmarkEnd w:id="183"/>
      <w:bookmarkStart w:id="184" w:name="_Toc59017209"/>
      <w:bookmarkEnd w:id="184"/>
      <w:bookmarkStart w:id="185" w:name="_Toc59546074"/>
      <w:bookmarkEnd w:id="185"/>
      <w:bookmarkStart w:id="186" w:name="_Toc58319945"/>
      <w:bookmarkEnd w:id="186"/>
      <w:bookmarkStart w:id="187" w:name="_Toc58318783"/>
      <w:bookmarkEnd w:id="187"/>
      <w:bookmarkStart w:id="188" w:name="_Toc96358468"/>
      <w:bookmarkEnd w:id="188"/>
      <w:bookmarkStart w:id="189" w:name="_Toc57894173"/>
      <w:bookmarkEnd w:id="189"/>
      <w:bookmarkStart w:id="190" w:name="_Toc57998343"/>
      <w:bookmarkEnd w:id="190"/>
      <w:bookmarkStart w:id="191" w:name="_Toc59016895"/>
      <w:bookmarkEnd w:id="191"/>
      <w:bookmarkStart w:id="192" w:name="_Toc59631165"/>
      <w:bookmarkEnd w:id="192"/>
      <w:bookmarkStart w:id="193" w:name="_Toc58259576"/>
      <w:bookmarkEnd w:id="193"/>
      <w:bookmarkStart w:id="194" w:name="_Toc57998467"/>
      <w:bookmarkEnd w:id="194"/>
      <w:bookmarkStart w:id="195" w:name="_Toc58857912"/>
      <w:bookmarkEnd w:id="195"/>
      <w:bookmarkStart w:id="196" w:name="_Toc59542804"/>
      <w:bookmarkEnd w:id="196"/>
      <w:bookmarkStart w:id="197" w:name="_Toc59630192"/>
      <w:bookmarkEnd w:id="197"/>
      <w:bookmarkStart w:id="198" w:name="_Toc59209189"/>
      <w:bookmarkEnd w:id="198"/>
      <w:bookmarkStart w:id="199" w:name="_Toc58320189"/>
      <w:bookmarkEnd w:id="199"/>
      <w:bookmarkStart w:id="200" w:name="_Toc57995851"/>
      <w:bookmarkEnd w:id="200"/>
      <w:bookmarkStart w:id="201" w:name="_Toc57998256"/>
      <w:bookmarkEnd w:id="201"/>
      <w:bookmarkStart w:id="202" w:name="_Toc59113298"/>
      <w:bookmarkEnd w:id="202"/>
      <w:bookmarkStart w:id="203" w:name="_Toc59021402"/>
      <w:bookmarkEnd w:id="203"/>
      <w:bookmarkStart w:id="204" w:name="_Toc58245179"/>
      <w:bookmarkEnd w:id="204"/>
      <w:bookmarkStart w:id="205" w:name="_Toc58861935"/>
      <w:bookmarkEnd w:id="205"/>
      <w:bookmarkStart w:id="206" w:name="_Toc59113729"/>
      <w:bookmarkEnd w:id="206"/>
      <w:bookmarkStart w:id="207" w:name="_Toc59203903"/>
      <w:bookmarkEnd w:id="207"/>
      <w:bookmarkStart w:id="208" w:name="_Toc57894327"/>
      <w:bookmarkEnd w:id="208"/>
      <w:bookmarkStart w:id="209" w:name="_Toc58259486"/>
      <w:bookmarkEnd w:id="209"/>
      <w:bookmarkStart w:id="210" w:name="_Toc96351987"/>
      <w:bookmarkEnd w:id="210"/>
      <w:bookmarkStart w:id="211" w:name="_Toc58257167"/>
      <w:bookmarkEnd w:id="211"/>
      <w:bookmarkStart w:id="212" w:name="_Toc59116903"/>
      <w:bookmarkEnd w:id="212"/>
      <w:bookmarkStart w:id="213" w:name="_Toc96358467"/>
      <w:bookmarkEnd w:id="213"/>
      <w:bookmarkStart w:id="214" w:name="_Toc96351988"/>
      <w:bookmarkEnd w:id="214"/>
      <w:bookmarkStart w:id="215" w:name="_Toc58861676"/>
      <w:bookmarkEnd w:id="215"/>
      <w:bookmarkStart w:id="216" w:name="_Toc96352121"/>
      <w:bookmarkEnd w:id="216"/>
      <w:bookmarkStart w:id="217" w:name="_Toc57997618"/>
      <w:bookmarkEnd w:id="217"/>
      <w:bookmarkStart w:id="218" w:name="_Toc96352058"/>
      <w:bookmarkEnd w:id="218"/>
      <w:bookmarkStart w:id="219" w:name="_Toc96352059"/>
      <w:bookmarkEnd w:id="219"/>
      <w:bookmarkStart w:id="220" w:name="_Toc59716754"/>
      <w:bookmarkEnd w:id="220"/>
      <w:bookmarkStart w:id="221" w:name="_Toc57912475"/>
      <w:bookmarkEnd w:id="221"/>
      <w:bookmarkStart w:id="222" w:name="_Toc57989265"/>
      <w:bookmarkEnd w:id="222"/>
      <w:bookmarkStart w:id="223" w:name="_Toc19888409"/>
      <w:bookmarkStart w:id="224" w:name="_Toc12771"/>
      <w:bookmarkStart w:id="225" w:name="_Toc30575347"/>
      <w:bookmarkStart w:id="226" w:name="_Toc535322510"/>
      <w:bookmarkStart w:id="227" w:name="_Toc22438"/>
      <w:bookmarkStart w:id="228" w:name="_Toc13668"/>
      <w:bookmarkStart w:id="229" w:name="_Toc18712"/>
      <w:bookmarkStart w:id="230" w:name="_Toc126321309"/>
      <w:bookmarkStart w:id="231" w:name="_Toc70600546"/>
      <w:bookmarkStart w:id="232" w:name="_Toc96358469"/>
      <w:bookmarkStart w:id="233" w:name="_Toc114734627"/>
      <w:r>
        <w:rPr>
          <w:rFonts w:hint="eastAsia"/>
        </w:rPr>
        <w:t>污水处理工艺</w:t>
      </w:r>
      <w:bookmarkEnd w:id="223"/>
      <w:bookmarkEnd w:id="224"/>
      <w:bookmarkEnd w:id="225"/>
      <w:bookmarkEnd w:id="226"/>
      <w:bookmarkEnd w:id="227"/>
      <w:bookmarkEnd w:id="228"/>
      <w:bookmarkEnd w:id="229"/>
      <w:r>
        <w:rPr>
          <w:rFonts w:hint="eastAsia"/>
        </w:rPr>
        <w:t>设计</w:t>
      </w:r>
      <w:bookmarkEnd w:id="230"/>
      <w:bookmarkEnd w:id="231"/>
      <w:bookmarkEnd w:id="232"/>
      <w:bookmarkEnd w:id="233"/>
    </w:p>
    <w:bookmarkEnd w:id="177"/>
    <w:p>
      <w:pPr>
        <w:pStyle w:val="4"/>
        <w:numPr>
          <w:ilvl w:val="0"/>
          <w:numId w:val="0"/>
        </w:numPr>
        <w:rPr>
          <w:b/>
          <w:lang w:val="zh-CN"/>
        </w:rPr>
      </w:pPr>
      <w:r>
        <w:rPr>
          <w:b/>
          <w:bCs w:val="0"/>
          <w:lang w:val="zh-CN"/>
        </w:rPr>
        <w:t>4.3.1</w:t>
      </w:r>
      <w:r>
        <w:rPr>
          <w:b/>
          <w:bCs w:val="0"/>
        </w:rPr>
        <w:t xml:space="preserve">  </w:t>
      </w:r>
      <w:r>
        <w:rPr>
          <w:bCs w:val="0"/>
          <w:lang w:val="zh-CN"/>
        </w:rPr>
        <w:tab/>
      </w:r>
      <w:r>
        <w:rPr>
          <w:rFonts w:hint="eastAsia"/>
          <w:bCs w:val="0"/>
          <w:lang w:val="zh-CN"/>
        </w:rPr>
        <w:t>在保障出水水质稳定达标的</w:t>
      </w:r>
      <w:r>
        <w:rPr>
          <w:rFonts w:hint="eastAsia"/>
          <w:bCs w:val="0"/>
        </w:rPr>
        <w:t>基础上</w:t>
      </w:r>
      <w:r>
        <w:rPr>
          <w:rFonts w:hint="eastAsia"/>
          <w:bCs w:val="0"/>
          <w:lang w:val="zh-CN"/>
        </w:rPr>
        <w:t>，地下污水处理工艺设计应</w:t>
      </w:r>
      <w:r>
        <w:rPr>
          <w:rFonts w:hint="eastAsia"/>
          <w:bCs w:val="0"/>
        </w:rPr>
        <w:t>成熟</w:t>
      </w:r>
      <w:r>
        <w:rPr>
          <w:rFonts w:hint="eastAsia"/>
          <w:bCs w:val="0"/>
          <w:lang w:val="zh-CN"/>
        </w:rPr>
        <w:t>可靠、技术先进、造价合理、用地节省、维护简便。</w:t>
      </w:r>
    </w:p>
    <w:p>
      <w:pPr>
        <w:pStyle w:val="4"/>
        <w:numPr>
          <w:ilvl w:val="0"/>
          <w:numId w:val="0"/>
        </w:numPr>
        <w:rPr>
          <w:lang w:val="zh-CN"/>
        </w:rPr>
      </w:pPr>
      <w:r>
        <w:rPr>
          <w:b/>
          <w:bCs w:val="0"/>
          <w:lang w:val="zh-CN"/>
        </w:rPr>
        <w:t>4.3.2</w:t>
      </w:r>
      <w:r>
        <w:rPr>
          <w:b/>
          <w:bCs w:val="0"/>
        </w:rPr>
        <w:t xml:space="preserve">  </w:t>
      </w:r>
      <w:r>
        <w:rPr>
          <w:rFonts w:hint="eastAsia"/>
          <w:bCs w:val="0"/>
        </w:rPr>
        <w:t>地下污水处理厂总进水重力流管道应至少在进入地下空间前设置正向受压速闭闸（阀）和地下空间内设置总进水电动控制闸（阀）两道闸，速闭闸（阀）应满足事故状态下速闭的要求，闸（阀）启闭机及现场按钮箱应高于最高设计水位</w:t>
      </w:r>
      <w:r>
        <w:rPr>
          <w:bCs w:val="0"/>
        </w:rPr>
        <w:t>1m</w:t>
      </w:r>
      <w:r>
        <w:rPr>
          <w:rFonts w:hint="eastAsia"/>
          <w:bCs w:val="0"/>
          <w:lang w:val="zh-CN"/>
        </w:rPr>
        <w:t>。</w:t>
      </w:r>
    </w:p>
    <w:p>
      <w:pPr>
        <w:pStyle w:val="4"/>
        <w:numPr>
          <w:ilvl w:val="0"/>
          <w:numId w:val="0"/>
        </w:numPr>
        <w:rPr>
          <w:lang w:val="zh-CN"/>
        </w:rPr>
      </w:pPr>
      <w:r>
        <w:rPr>
          <w:b/>
          <w:bCs w:val="0"/>
          <w:lang w:val="zh-CN"/>
        </w:rPr>
        <w:t>4.3.3</w:t>
      </w:r>
      <w:r>
        <w:rPr>
          <w:b/>
          <w:bCs w:val="0"/>
        </w:rPr>
        <w:t xml:space="preserve">  </w:t>
      </w:r>
      <w:r>
        <w:rPr>
          <w:rFonts w:hint="eastAsia"/>
          <w:bCs w:val="0"/>
          <w:lang w:val="zh-CN"/>
        </w:rPr>
        <w:t>地下空间各处理构筑物个（格）数不应少于</w:t>
      </w:r>
      <w:r>
        <w:rPr>
          <w:bCs w:val="0"/>
          <w:lang w:val="zh-CN"/>
        </w:rPr>
        <w:t>2</w:t>
      </w:r>
      <w:r>
        <w:rPr>
          <w:rFonts w:hint="eastAsia"/>
          <w:bCs w:val="0"/>
          <w:lang w:val="zh-CN"/>
        </w:rPr>
        <w:t>个（格），按并联</w:t>
      </w:r>
      <w:r>
        <w:rPr>
          <w:rFonts w:hint="eastAsia"/>
          <w:bCs w:val="0"/>
        </w:rPr>
        <w:t>运行</w:t>
      </w:r>
      <w:r>
        <w:rPr>
          <w:rFonts w:hint="eastAsia"/>
          <w:bCs w:val="0"/>
          <w:lang w:val="zh-CN"/>
        </w:rPr>
        <w:t>设计，</w:t>
      </w:r>
      <w:r>
        <w:rPr>
          <w:rFonts w:hint="eastAsia"/>
          <w:bCs w:val="0"/>
        </w:rPr>
        <w:t>并设置均匀配水设施、</w:t>
      </w:r>
      <w:r>
        <w:rPr>
          <w:rFonts w:hint="eastAsia"/>
          <w:bCs w:val="0"/>
          <w:lang w:val="zh-CN"/>
        </w:rPr>
        <w:t>可切换的连通管渠</w:t>
      </w:r>
      <w:r>
        <w:rPr>
          <w:rFonts w:hint="eastAsia"/>
          <w:bCs w:val="0"/>
        </w:rPr>
        <w:t>及</w:t>
      </w:r>
      <w:r>
        <w:rPr>
          <w:rFonts w:hint="eastAsia"/>
          <w:bCs w:val="0"/>
          <w:lang w:val="zh-CN"/>
        </w:rPr>
        <w:t>超越管</w:t>
      </w:r>
      <w:r>
        <w:rPr>
          <w:rFonts w:hint="eastAsia"/>
          <w:bCs w:val="0"/>
        </w:rPr>
        <w:t>渠</w:t>
      </w:r>
      <w:r>
        <w:rPr>
          <w:rFonts w:hint="eastAsia"/>
          <w:bCs w:val="0"/>
          <w:lang w:val="zh-CN"/>
        </w:rPr>
        <w:t>。</w:t>
      </w:r>
      <w:r>
        <w:rPr>
          <w:rFonts w:hint="eastAsia"/>
          <w:bCs w:val="0"/>
        </w:rPr>
        <w:t>当</w:t>
      </w:r>
      <w:r>
        <w:rPr>
          <w:rFonts w:hint="eastAsia"/>
          <w:bCs w:val="0"/>
          <w:lang w:val="zh-CN"/>
        </w:rPr>
        <w:t>污水处理厂规模较大</w:t>
      </w:r>
      <w:r>
        <w:rPr>
          <w:rFonts w:hint="eastAsia"/>
          <w:bCs w:val="0"/>
        </w:rPr>
        <w:t>或区域</w:t>
      </w:r>
      <w:r>
        <w:rPr>
          <w:rFonts w:hint="eastAsia"/>
          <w:bCs w:val="0"/>
          <w:lang w:val="zh-CN"/>
        </w:rPr>
        <w:t>水环境状况敏感时，应适当增加构筑物个（格）数，满足事故状态、厂区大修时的处理需求。</w:t>
      </w:r>
    </w:p>
    <w:p>
      <w:pPr>
        <w:pStyle w:val="4"/>
        <w:numPr>
          <w:ilvl w:val="0"/>
          <w:numId w:val="0"/>
        </w:numPr>
        <w:rPr>
          <w:lang w:val="zh-CN"/>
        </w:rPr>
      </w:pPr>
      <w:r>
        <w:rPr>
          <w:b/>
          <w:bCs w:val="0"/>
          <w:lang w:val="zh-CN"/>
        </w:rPr>
        <w:t>4.3.4</w:t>
      </w:r>
      <w:r>
        <w:rPr>
          <w:b/>
          <w:bCs w:val="0"/>
        </w:rPr>
        <w:t xml:space="preserve">  </w:t>
      </w:r>
      <w:r>
        <w:rPr>
          <w:rFonts w:hint="eastAsia"/>
        </w:rPr>
        <w:t>处理构筑物</w:t>
      </w:r>
      <w:r>
        <w:rPr>
          <w:rFonts w:hint="eastAsia"/>
          <w:lang w:val="zh-CN"/>
        </w:rPr>
        <w:t>池体平面应与地下空间</w:t>
      </w:r>
      <w:r>
        <w:rPr>
          <w:rFonts w:hint="eastAsia"/>
        </w:rPr>
        <w:t>柱距</w:t>
      </w:r>
      <w:r>
        <w:rPr>
          <w:rFonts w:hint="eastAsia"/>
          <w:lang w:val="zh-CN"/>
        </w:rPr>
        <w:t>相适应，避免立柱阻水、影响</w:t>
      </w:r>
      <w:r>
        <w:rPr>
          <w:rFonts w:hint="eastAsia"/>
        </w:rPr>
        <w:t>水力</w:t>
      </w:r>
      <w:r>
        <w:rPr>
          <w:rFonts w:hint="eastAsia"/>
          <w:lang w:val="zh-CN"/>
        </w:rPr>
        <w:t>流态</w:t>
      </w:r>
      <w:r>
        <w:rPr>
          <w:rFonts w:hint="eastAsia"/>
        </w:rPr>
        <w:t>和设施布置</w:t>
      </w:r>
      <w:r>
        <w:rPr>
          <w:rFonts w:hint="eastAsia"/>
          <w:lang w:val="zh-CN"/>
        </w:rPr>
        <w:t>。</w:t>
      </w:r>
    </w:p>
    <w:p>
      <w:pPr>
        <w:pStyle w:val="4"/>
        <w:numPr>
          <w:ilvl w:val="0"/>
          <w:numId w:val="0"/>
        </w:numPr>
        <w:rPr>
          <w:lang w:val="zh-CN"/>
        </w:rPr>
      </w:pPr>
      <w:r>
        <w:rPr>
          <w:b/>
          <w:bCs w:val="0"/>
          <w:lang w:val="zh-CN"/>
        </w:rPr>
        <w:t>4.3.5</w:t>
      </w:r>
      <w:r>
        <w:rPr>
          <w:bCs w:val="0"/>
          <w:lang w:val="zh-CN"/>
        </w:rPr>
        <w:tab/>
      </w:r>
      <w:r>
        <w:rPr>
          <w:b/>
          <w:bCs w:val="0"/>
        </w:rPr>
        <w:t xml:space="preserve">  </w:t>
      </w:r>
      <w:r>
        <w:rPr>
          <w:rFonts w:hint="eastAsia"/>
          <w:bCs w:val="0"/>
          <w:lang w:val="zh-CN"/>
        </w:rPr>
        <w:t>进水泵房与地下</w:t>
      </w:r>
      <w:r>
        <w:rPr>
          <w:rFonts w:hint="eastAsia"/>
          <w:bCs w:val="0"/>
        </w:rPr>
        <w:t>大</w:t>
      </w:r>
      <w:r>
        <w:rPr>
          <w:rFonts w:hint="eastAsia"/>
          <w:bCs w:val="0"/>
          <w:lang w:val="zh-CN"/>
        </w:rPr>
        <w:t>空间宜分开独立设置。中间提升泵房和出水泵房</w:t>
      </w:r>
      <w:r>
        <w:rPr>
          <w:rFonts w:hint="eastAsia"/>
          <w:bCs w:val="0"/>
        </w:rPr>
        <w:t>的水泵</w:t>
      </w:r>
      <w:r>
        <w:rPr>
          <w:rFonts w:hint="eastAsia"/>
          <w:bCs w:val="0"/>
          <w:lang w:val="zh-CN"/>
        </w:rPr>
        <w:t>与进水速闭闸应设连锁控制。</w:t>
      </w:r>
    </w:p>
    <w:p>
      <w:pPr>
        <w:pStyle w:val="4"/>
        <w:numPr>
          <w:ilvl w:val="0"/>
          <w:numId w:val="0"/>
        </w:numPr>
        <w:rPr>
          <w:lang w:val="zh-CN"/>
        </w:rPr>
      </w:pPr>
      <w:r>
        <w:rPr>
          <w:b/>
          <w:lang w:val="zh-CN"/>
        </w:rPr>
        <w:t>4.3.6</w:t>
      </w:r>
      <w:r>
        <w:rPr>
          <w:b/>
          <w:bCs w:val="0"/>
        </w:rPr>
        <w:t xml:space="preserve">  </w:t>
      </w:r>
      <w:r>
        <w:rPr>
          <w:rFonts w:hint="eastAsia"/>
          <w:lang w:val="zh-CN"/>
        </w:rPr>
        <w:t>污水预处理系统应设置格栅，并应符合下列规定：</w:t>
      </w:r>
    </w:p>
    <w:p>
      <w:pPr>
        <w:ind w:firstLine="562" w:firstLineChars="0"/>
        <w:rPr>
          <w:bCs/>
          <w:lang w:val="zh-CN"/>
        </w:rPr>
      </w:pPr>
      <w:r>
        <w:rPr>
          <w:bCs/>
          <w:lang w:val="zh-CN"/>
        </w:rPr>
        <w:t>1</w:t>
      </w:r>
      <w:r>
        <w:rPr>
          <w:rFonts w:hint="eastAsia"/>
          <w:bCs/>
          <w:lang w:val="zh-CN"/>
        </w:rPr>
        <w:t>一级处理应设置粗格栅、细格栅两道格栅，不得超越。粗格栅栅距宜为</w:t>
      </w:r>
      <w:r>
        <w:rPr>
          <w:bCs/>
          <w:lang w:val="zh-CN"/>
        </w:rPr>
        <w:t>16</w:t>
      </w:r>
      <w:r>
        <w:rPr>
          <w:rFonts w:hint="eastAsia"/>
          <w:bCs/>
          <w:lang w:val="zh-CN"/>
        </w:rPr>
        <w:t xml:space="preserve"> mm</w:t>
      </w:r>
      <w:r>
        <w:rPr>
          <w:bCs/>
          <w:lang w:val="zh-CN"/>
        </w:rPr>
        <w:t xml:space="preserve"> ~2</w:t>
      </w:r>
      <w:r>
        <w:rPr>
          <w:rFonts w:hint="eastAsia"/>
          <w:bCs/>
        </w:rPr>
        <w:t>5</w:t>
      </w:r>
      <w:r>
        <w:rPr>
          <w:rFonts w:hint="eastAsia"/>
          <w:bCs/>
          <w:lang w:val="zh-CN"/>
        </w:rPr>
        <w:t>mm，细格栅栅距宜为</w:t>
      </w:r>
      <w:r>
        <w:rPr>
          <w:bCs/>
          <w:lang w:val="zh-CN"/>
        </w:rPr>
        <w:t>5</w:t>
      </w:r>
      <w:r>
        <w:rPr>
          <w:rFonts w:hint="eastAsia"/>
          <w:bCs/>
          <w:lang w:val="zh-CN"/>
        </w:rPr>
        <w:t xml:space="preserve"> mm</w:t>
      </w:r>
      <w:r>
        <w:rPr>
          <w:bCs/>
          <w:lang w:val="zh-CN"/>
        </w:rPr>
        <w:t xml:space="preserve"> ~10</w:t>
      </w:r>
      <w:r>
        <w:rPr>
          <w:rFonts w:hint="eastAsia"/>
          <w:bCs/>
          <w:lang w:val="zh-CN"/>
        </w:rPr>
        <w:t>mm；</w:t>
      </w:r>
    </w:p>
    <w:p>
      <w:pPr>
        <w:ind w:firstLine="562" w:firstLineChars="0"/>
        <w:rPr>
          <w:bCs/>
          <w:lang w:val="zh-CN"/>
        </w:rPr>
      </w:pPr>
      <w:r>
        <w:rPr>
          <w:bCs/>
          <w:lang w:val="zh-CN"/>
        </w:rPr>
        <w:t xml:space="preserve">2 </w:t>
      </w:r>
      <w:r>
        <w:rPr>
          <w:rFonts w:hint="eastAsia"/>
          <w:bCs/>
          <w:lang w:val="zh-CN"/>
        </w:rPr>
        <w:t>二级处理工艺要求设置精细格栅（超细格栅）</w:t>
      </w:r>
      <w:r>
        <w:rPr>
          <w:rFonts w:hint="eastAsia"/>
          <w:bCs/>
        </w:rPr>
        <w:t>时</w:t>
      </w:r>
      <w:r>
        <w:rPr>
          <w:rFonts w:hint="eastAsia"/>
          <w:bCs/>
          <w:lang w:val="zh-CN"/>
        </w:rPr>
        <w:t>，其栅距宜为</w:t>
      </w:r>
      <w:r>
        <w:rPr>
          <w:bCs/>
          <w:lang w:val="zh-CN"/>
        </w:rPr>
        <w:t>1</w:t>
      </w:r>
      <w:r>
        <w:rPr>
          <w:rFonts w:hint="eastAsia"/>
          <w:bCs/>
          <w:lang w:val="zh-CN"/>
        </w:rPr>
        <w:t xml:space="preserve"> mm</w:t>
      </w:r>
      <w:r>
        <w:rPr>
          <w:bCs/>
          <w:lang w:val="zh-CN"/>
        </w:rPr>
        <w:t xml:space="preserve"> ~3</w:t>
      </w:r>
      <w:r>
        <w:rPr>
          <w:rFonts w:hint="eastAsia"/>
          <w:bCs/>
          <w:lang w:val="zh-CN"/>
        </w:rPr>
        <w:t>mm，不应超越精细格栅；</w:t>
      </w:r>
    </w:p>
    <w:p>
      <w:pPr>
        <w:ind w:firstLine="562" w:firstLineChars="0"/>
        <w:rPr>
          <w:bCs/>
          <w:lang w:val="zh-CN"/>
        </w:rPr>
      </w:pPr>
      <w:r>
        <w:rPr>
          <w:bCs/>
          <w:lang w:val="zh-CN"/>
        </w:rPr>
        <w:t xml:space="preserve">3 </w:t>
      </w:r>
      <w:r>
        <w:rPr>
          <w:rFonts w:hint="eastAsia"/>
          <w:bCs/>
          <w:lang w:val="zh-CN"/>
        </w:rPr>
        <w:t>每道格栅应设置备用格栅，工作格栅超过4台时，备用格栅不宜少于2台；</w:t>
      </w:r>
    </w:p>
    <w:p>
      <w:pPr>
        <w:ind w:firstLine="562" w:firstLineChars="0"/>
        <w:rPr>
          <w:bCs/>
          <w:lang w:val="zh-CN"/>
        </w:rPr>
      </w:pPr>
      <w:r>
        <w:rPr>
          <w:bCs/>
          <w:lang w:val="zh-CN"/>
        </w:rPr>
        <w:t>4</w:t>
      </w:r>
      <w:r>
        <w:rPr>
          <w:rFonts w:hint="eastAsia"/>
          <w:bCs/>
          <w:lang w:val="zh-CN"/>
        </w:rPr>
        <w:t>格栅前后应设置自动液位计，对格栅前后的水位进行监测和报警，并能实现紧急控制进水泵的联动运行；</w:t>
      </w:r>
    </w:p>
    <w:p>
      <w:pPr>
        <w:ind w:firstLine="562" w:firstLineChars="0"/>
        <w:rPr>
          <w:bCs/>
          <w:lang w:val="zh-CN"/>
        </w:rPr>
      </w:pPr>
      <w:r>
        <w:rPr>
          <w:bCs/>
          <w:lang w:val="zh-CN"/>
        </w:rPr>
        <w:t>5</w:t>
      </w:r>
      <w:r>
        <w:rPr>
          <w:rFonts w:hint="eastAsia"/>
          <w:bCs/>
          <w:lang w:val="zh-CN"/>
        </w:rPr>
        <w:t>栅渣清理宜设置专用通道及运</w:t>
      </w:r>
      <w:r>
        <w:rPr>
          <w:rFonts w:hint="eastAsia"/>
          <w:bCs/>
        </w:rPr>
        <w:t>输</w:t>
      </w:r>
      <w:r>
        <w:rPr>
          <w:rFonts w:hint="eastAsia"/>
          <w:bCs/>
          <w:lang w:val="zh-CN"/>
        </w:rPr>
        <w:t>设备，</w:t>
      </w:r>
      <w:r>
        <w:rPr>
          <w:rFonts w:hint="eastAsia"/>
          <w:bCs/>
        </w:rPr>
        <w:t>并进行密封处理</w:t>
      </w:r>
      <w:r>
        <w:rPr>
          <w:rFonts w:hint="eastAsia"/>
          <w:bCs/>
          <w:lang w:val="zh-CN"/>
        </w:rPr>
        <w:t>。</w:t>
      </w:r>
    </w:p>
    <w:p>
      <w:pPr>
        <w:pStyle w:val="4"/>
        <w:numPr>
          <w:ilvl w:val="0"/>
          <w:numId w:val="0"/>
        </w:numPr>
        <w:rPr>
          <w:lang w:val="zh-CN"/>
        </w:rPr>
      </w:pPr>
      <w:r>
        <w:rPr>
          <w:b/>
          <w:bCs w:val="0"/>
          <w:lang w:val="zh-CN"/>
        </w:rPr>
        <w:t>4.3.7</w:t>
      </w:r>
      <w:r>
        <w:rPr>
          <w:b/>
          <w:bCs w:val="0"/>
        </w:rPr>
        <w:t xml:space="preserve">  </w:t>
      </w:r>
      <w:r>
        <w:rPr>
          <w:rFonts w:hint="eastAsia"/>
          <w:bCs w:val="0"/>
          <w:lang w:val="zh-CN"/>
        </w:rPr>
        <w:t>生物反应池曝气器应选用</w:t>
      </w:r>
      <w:r>
        <w:rPr>
          <w:rFonts w:hint="eastAsia"/>
          <w:bCs w:val="0"/>
        </w:rPr>
        <w:t>效率高、</w:t>
      </w:r>
      <w:r>
        <w:rPr>
          <w:rFonts w:hint="eastAsia"/>
          <w:bCs w:val="0"/>
          <w:lang w:val="zh-CN"/>
        </w:rPr>
        <w:t>寿命长、检修频率低的产品，</w:t>
      </w:r>
      <w:r>
        <w:rPr>
          <w:rFonts w:hint="eastAsia"/>
          <w:bCs w:val="0"/>
        </w:rPr>
        <w:t>单组曝气模块的输气管道应独立设阀门</w:t>
      </w:r>
      <w:r>
        <w:rPr>
          <w:rFonts w:hint="eastAsia"/>
          <w:bCs w:val="0"/>
          <w:lang w:val="zh-CN"/>
        </w:rPr>
        <w:t>。</w:t>
      </w:r>
    </w:p>
    <w:p>
      <w:pPr>
        <w:pStyle w:val="4"/>
        <w:numPr>
          <w:ilvl w:val="0"/>
          <w:numId w:val="0"/>
        </w:numPr>
        <w:rPr>
          <w:lang w:val="zh-CN"/>
        </w:rPr>
      </w:pPr>
      <w:r>
        <w:rPr>
          <w:b/>
          <w:lang w:val="zh-CN"/>
        </w:rPr>
        <w:t>4.3.8</w:t>
      </w:r>
      <w:r>
        <w:rPr>
          <w:b/>
          <w:bCs w:val="0"/>
        </w:rPr>
        <w:t xml:space="preserve">  </w:t>
      </w:r>
      <w:r>
        <w:rPr>
          <w:rFonts w:hint="eastAsia"/>
          <w:lang w:val="zh-CN"/>
        </w:rPr>
        <w:t>当采用膜生物反应器工艺时，</w:t>
      </w:r>
      <w:r>
        <w:rPr>
          <w:rFonts w:hint="eastAsia"/>
        </w:rPr>
        <w:t>其</w:t>
      </w:r>
      <w:r>
        <w:rPr>
          <w:rFonts w:hint="eastAsia"/>
          <w:lang w:val="zh-CN"/>
        </w:rPr>
        <w:t>工艺设计应符合现行国家及行业标准《室外排水设计标准》</w:t>
      </w:r>
      <w:r>
        <w:rPr>
          <w:lang w:val="zh-CN"/>
        </w:rPr>
        <w:t>GB 50014</w:t>
      </w:r>
      <w:r>
        <w:rPr>
          <w:rFonts w:hint="eastAsia"/>
          <w:lang w:val="zh-CN"/>
        </w:rPr>
        <w:t>和《膜生物反应器城镇污水处理工艺设计规程》</w:t>
      </w:r>
      <w:r>
        <w:rPr>
          <w:lang w:val="zh-CN"/>
        </w:rPr>
        <w:t>T/CECS 152</w:t>
      </w:r>
      <w:r>
        <w:rPr>
          <w:rFonts w:hint="eastAsia"/>
          <w:lang w:val="zh-CN"/>
        </w:rPr>
        <w:t>的规定，</w:t>
      </w:r>
      <w:r>
        <w:rPr>
          <w:rFonts w:hint="eastAsia"/>
        </w:rPr>
        <w:t>膜池应设置移动盖板，</w:t>
      </w:r>
      <w:r>
        <w:rPr>
          <w:rFonts w:hint="eastAsia"/>
          <w:lang w:val="zh-CN"/>
        </w:rPr>
        <w:t>膜车间加强防腐和通风换气。膜池应设置起吊装置，上部空间高度应满足设备起吊要求，起吊重量应按湿重考虑。</w:t>
      </w:r>
    </w:p>
    <w:p>
      <w:pPr>
        <w:pStyle w:val="4"/>
        <w:numPr>
          <w:ilvl w:val="0"/>
          <w:numId w:val="0"/>
        </w:numPr>
        <w:rPr>
          <w:bCs w:val="0"/>
          <w:u w:val="single"/>
          <w:lang w:val="zh-CN"/>
        </w:rPr>
      </w:pPr>
      <w:r>
        <w:rPr>
          <w:b/>
          <w:lang w:val="zh-CN"/>
        </w:rPr>
        <w:t>4.3</w:t>
      </w:r>
      <w:r>
        <w:rPr>
          <w:b/>
        </w:rPr>
        <w:t>.</w:t>
      </w:r>
      <w:r>
        <w:rPr>
          <w:rFonts w:hint="eastAsia"/>
          <w:b/>
        </w:rPr>
        <w:t>9</w:t>
      </w:r>
      <w:r>
        <w:rPr>
          <w:b/>
          <w:bCs w:val="0"/>
        </w:rPr>
        <w:t xml:space="preserve">  </w:t>
      </w:r>
      <w:r>
        <w:rPr>
          <w:rFonts w:hint="eastAsia"/>
          <w:bCs w:val="0"/>
          <w:lang w:val="zh-CN"/>
        </w:rPr>
        <w:t>鼓风机</w:t>
      </w:r>
      <w:r>
        <w:rPr>
          <w:rFonts w:hint="eastAsia"/>
          <w:bCs w:val="0"/>
        </w:rPr>
        <w:t>宜</w:t>
      </w:r>
      <w:r>
        <w:rPr>
          <w:rFonts w:hint="eastAsia"/>
          <w:bCs w:val="0"/>
          <w:lang w:val="zh-CN"/>
        </w:rPr>
        <w:t>选用噪音小、</w:t>
      </w:r>
      <w:r>
        <w:rPr>
          <w:rFonts w:hint="eastAsia"/>
          <w:bCs w:val="0"/>
        </w:rPr>
        <w:t>效率高、散热少</w:t>
      </w:r>
      <w:r>
        <w:rPr>
          <w:rFonts w:hint="eastAsia"/>
          <w:bCs w:val="0"/>
          <w:lang w:val="zh-CN"/>
        </w:rPr>
        <w:t>的设备。</w:t>
      </w:r>
      <w:r>
        <w:rPr>
          <w:rFonts w:hint="eastAsia"/>
          <w:bCs w:val="0"/>
        </w:rPr>
        <w:t>鼓风机房</w:t>
      </w:r>
      <w:r>
        <w:rPr>
          <w:rFonts w:hint="eastAsia"/>
          <w:bCs w:val="0"/>
          <w:lang w:val="zh-CN"/>
        </w:rPr>
        <w:t>应设置隔音、隔振、</w:t>
      </w:r>
      <w:r>
        <w:rPr>
          <w:rFonts w:hint="eastAsia"/>
          <w:bCs w:val="0"/>
        </w:rPr>
        <w:t>吸声</w:t>
      </w:r>
      <w:r>
        <w:rPr>
          <w:rFonts w:hint="eastAsia"/>
          <w:bCs w:val="0"/>
          <w:lang w:val="zh-CN"/>
        </w:rPr>
        <w:t>降噪等</w:t>
      </w:r>
      <w:r>
        <w:rPr>
          <w:rFonts w:hint="eastAsia"/>
          <w:bCs w:val="0"/>
        </w:rPr>
        <w:t>措施</w:t>
      </w:r>
      <w:r>
        <w:rPr>
          <w:rFonts w:hint="eastAsia"/>
          <w:bCs w:val="0"/>
          <w:lang w:val="zh-CN"/>
        </w:rPr>
        <w:t>，内墙</w:t>
      </w:r>
      <w:r>
        <w:rPr>
          <w:rFonts w:hint="eastAsia"/>
          <w:bCs w:val="0"/>
        </w:rPr>
        <w:t>设置</w:t>
      </w:r>
      <w:r>
        <w:rPr>
          <w:rFonts w:hint="eastAsia"/>
          <w:bCs w:val="0"/>
          <w:lang w:val="zh-CN"/>
        </w:rPr>
        <w:t>吸声</w:t>
      </w:r>
      <w:r>
        <w:rPr>
          <w:rFonts w:hint="eastAsia"/>
          <w:bCs w:val="0"/>
        </w:rPr>
        <w:t>材料</w:t>
      </w:r>
      <w:r>
        <w:rPr>
          <w:rFonts w:hint="eastAsia"/>
          <w:bCs w:val="0"/>
          <w:lang w:val="zh-CN"/>
        </w:rPr>
        <w:t>，门采用隔音门。风管宜采用不锈钢材质，外露风管应</w:t>
      </w:r>
      <w:r>
        <w:rPr>
          <w:rFonts w:hint="eastAsia"/>
          <w:bCs w:val="0"/>
        </w:rPr>
        <w:t>隔热</w:t>
      </w:r>
      <w:r>
        <w:rPr>
          <w:rFonts w:hint="eastAsia"/>
          <w:bCs w:val="0"/>
          <w:lang w:val="zh-CN"/>
        </w:rPr>
        <w:t>。</w:t>
      </w:r>
    </w:p>
    <w:p>
      <w:pPr>
        <w:pStyle w:val="4"/>
        <w:numPr>
          <w:ilvl w:val="0"/>
          <w:numId w:val="0"/>
        </w:numPr>
        <w:rPr>
          <w:bCs w:val="0"/>
          <w:lang w:val="zh-CN"/>
        </w:rPr>
      </w:pPr>
      <w:r>
        <w:rPr>
          <w:b/>
          <w:bCs w:val="0"/>
          <w:lang w:val="zh-CN"/>
        </w:rPr>
        <w:t>4.3.1</w:t>
      </w:r>
      <w:r>
        <w:rPr>
          <w:rFonts w:hint="eastAsia"/>
          <w:b/>
          <w:bCs w:val="0"/>
        </w:rPr>
        <w:t>0</w:t>
      </w:r>
      <w:r>
        <w:rPr>
          <w:b/>
          <w:bCs w:val="0"/>
        </w:rPr>
        <w:t xml:space="preserve">  </w:t>
      </w:r>
      <w:r>
        <w:rPr>
          <w:rFonts w:hint="eastAsia"/>
          <w:bCs w:val="0"/>
          <w:lang w:val="zh-CN"/>
        </w:rPr>
        <w:t>消毒工艺宜结合环保及卫生防护等要求，经技术经济比较后确定。当</w:t>
      </w:r>
      <w:r>
        <w:rPr>
          <w:rFonts w:hint="eastAsia"/>
          <w:bCs w:val="0"/>
        </w:rPr>
        <w:t>采</w:t>
      </w:r>
      <w:r>
        <w:rPr>
          <w:rFonts w:hint="eastAsia"/>
          <w:bCs w:val="0"/>
          <w:lang w:val="zh-CN"/>
        </w:rPr>
        <w:t>用二氧化氯或次氯酸钠消毒</w:t>
      </w:r>
      <w:r>
        <w:rPr>
          <w:rFonts w:hint="eastAsia"/>
          <w:bCs w:val="0"/>
        </w:rPr>
        <w:t>时，药品的储存和制备场所应符合国家现行危化品管理的相关要求</w:t>
      </w:r>
      <w:r>
        <w:rPr>
          <w:rFonts w:hint="eastAsia"/>
          <w:bCs w:val="0"/>
          <w:lang w:val="zh-CN"/>
        </w:rPr>
        <w:t>。</w:t>
      </w:r>
    </w:p>
    <w:p>
      <w:pPr>
        <w:pStyle w:val="4"/>
        <w:numPr>
          <w:ilvl w:val="0"/>
          <w:numId w:val="0"/>
        </w:numPr>
        <w:rPr>
          <w:lang w:val="zh-CN"/>
        </w:rPr>
      </w:pPr>
      <w:r>
        <w:rPr>
          <w:b/>
          <w:bCs w:val="0"/>
          <w:lang w:val="zh-CN"/>
        </w:rPr>
        <w:t>4.3.1</w:t>
      </w:r>
      <w:r>
        <w:rPr>
          <w:rFonts w:hint="eastAsia"/>
          <w:b/>
          <w:bCs w:val="0"/>
        </w:rPr>
        <w:t>1</w:t>
      </w:r>
      <w:r>
        <w:rPr>
          <w:b/>
          <w:bCs w:val="0"/>
        </w:rPr>
        <w:t xml:space="preserve">  </w:t>
      </w:r>
      <w:r>
        <w:rPr>
          <w:rFonts w:hint="eastAsia"/>
          <w:bCs w:val="0"/>
          <w:lang w:val="zh-CN"/>
        </w:rPr>
        <w:t>地下空间内的加药间不宜储存和使用危险化学品。药剂储存宜优先</w:t>
      </w:r>
      <w:r>
        <w:rPr>
          <w:rFonts w:hint="eastAsia"/>
          <w:bCs w:val="0"/>
        </w:rPr>
        <w:t>采用</w:t>
      </w:r>
      <w:r>
        <w:rPr>
          <w:rFonts w:hint="eastAsia"/>
          <w:bCs w:val="0"/>
          <w:lang w:val="zh-CN"/>
        </w:rPr>
        <w:t>钢筋混凝土池</w:t>
      </w:r>
      <w:r>
        <w:rPr>
          <w:rFonts w:hint="eastAsia"/>
          <w:bCs w:val="0"/>
        </w:rPr>
        <w:t>体</w:t>
      </w:r>
      <w:r>
        <w:rPr>
          <w:rFonts w:hint="eastAsia"/>
          <w:bCs w:val="0"/>
          <w:lang w:val="zh-CN"/>
        </w:rPr>
        <w:t>，采用成品储罐</w:t>
      </w:r>
      <w:r>
        <w:rPr>
          <w:rFonts w:hint="eastAsia"/>
          <w:bCs w:val="0"/>
        </w:rPr>
        <w:t>时</w:t>
      </w:r>
      <w:r>
        <w:rPr>
          <w:rFonts w:hint="eastAsia"/>
          <w:bCs w:val="0"/>
          <w:lang w:val="zh-CN"/>
        </w:rPr>
        <w:t>应设置围堰。卸药点应集中布置，应配备专用的防滴漏及外溢池，并有完善的冲洗和排水系统。采用地面槽罐车重力或泵</w:t>
      </w:r>
      <w:r>
        <w:rPr>
          <w:rFonts w:hint="eastAsia"/>
          <w:bCs w:val="0"/>
        </w:rPr>
        <w:t>压力卸药时</w:t>
      </w:r>
      <w:r>
        <w:rPr>
          <w:rFonts w:hint="eastAsia"/>
          <w:bCs w:val="0"/>
          <w:lang w:val="zh-CN"/>
        </w:rPr>
        <w:t>，储药池或储罐应配备液位计，液位信号与槽罐车或泵实现联动。</w:t>
      </w:r>
    </w:p>
    <w:p>
      <w:pPr>
        <w:pStyle w:val="4"/>
        <w:numPr>
          <w:ilvl w:val="0"/>
          <w:numId w:val="0"/>
        </w:numPr>
        <w:rPr>
          <w:b/>
          <w:lang w:val="zh-CN"/>
        </w:rPr>
      </w:pPr>
      <w:r>
        <w:rPr>
          <w:b/>
          <w:bCs w:val="0"/>
          <w:lang w:val="zh-CN"/>
        </w:rPr>
        <w:t>4.3.1</w:t>
      </w:r>
      <w:r>
        <w:rPr>
          <w:rFonts w:hint="eastAsia"/>
          <w:b/>
          <w:bCs w:val="0"/>
        </w:rPr>
        <w:t>2</w:t>
      </w:r>
      <w:r>
        <w:rPr>
          <w:b/>
          <w:bCs w:val="0"/>
        </w:rPr>
        <w:t xml:space="preserve">  </w:t>
      </w:r>
      <w:r>
        <w:rPr>
          <w:rFonts w:hint="eastAsia"/>
          <w:lang w:val="zh-CN"/>
        </w:rPr>
        <w:t>污水处理过程产生的废水应采取密闭管道输送至</w:t>
      </w:r>
      <w:r>
        <w:rPr>
          <w:rFonts w:hint="eastAsia"/>
        </w:rPr>
        <w:t>排空</w:t>
      </w:r>
      <w:r>
        <w:rPr>
          <w:rFonts w:hint="eastAsia"/>
          <w:lang w:val="zh-CN"/>
        </w:rPr>
        <w:t>泵房。</w:t>
      </w:r>
    </w:p>
    <w:p>
      <w:pPr>
        <w:pStyle w:val="4"/>
        <w:numPr>
          <w:ilvl w:val="0"/>
          <w:numId w:val="0"/>
        </w:numPr>
        <w:rPr>
          <w:bCs w:val="0"/>
        </w:rPr>
      </w:pPr>
      <w:r>
        <w:rPr>
          <w:b/>
          <w:bCs w:val="0"/>
          <w:lang w:val="zh-CN"/>
        </w:rPr>
        <w:t>4.3.1</w:t>
      </w:r>
      <w:r>
        <w:rPr>
          <w:rFonts w:hint="eastAsia"/>
          <w:b/>
          <w:bCs w:val="0"/>
        </w:rPr>
        <w:t>3</w:t>
      </w:r>
      <w:r>
        <w:rPr>
          <w:b/>
          <w:bCs w:val="0"/>
        </w:rPr>
        <w:t xml:space="preserve">  </w:t>
      </w:r>
      <w:r>
        <w:rPr>
          <w:rFonts w:hint="eastAsia"/>
          <w:bCs w:val="0"/>
          <w:lang w:val="zh-CN"/>
        </w:rPr>
        <w:t>污水再生利用方式主要包括景观环境用水、工业用水、城市杂用水等，</w:t>
      </w:r>
      <w:r>
        <w:rPr>
          <w:rFonts w:hint="eastAsia"/>
          <w:bCs w:val="0"/>
        </w:rPr>
        <w:t>其</w:t>
      </w:r>
      <w:r>
        <w:rPr>
          <w:rFonts w:hint="eastAsia"/>
          <w:bCs w:val="0"/>
          <w:lang w:val="zh-CN"/>
        </w:rPr>
        <w:t>水质指标应符合</w:t>
      </w:r>
      <w:r>
        <w:rPr>
          <w:rFonts w:hint="eastAsia"/>
          <w:bCs w:val="0"/>
        </w:rPr>
        <w:t>现行国家标准</w:t>
      </w:r>
      <w:r>
        <w:rPr>
          <w:rFonts w:hint="eastAsia"/>
          <w:bCs w:val="0"/>
          <w:lang w:val="zh-CN"/>
        </w:rPr>
        <w:t>的</w:t>
      </w:r>
      <w:r>
        <w:rPr>
          <w:rFonts w:hint="eastAsia"/>
          <w:bCs w:val="0"/>
        </w:rPr>
        <w:t>有关规定，出厂前应设置再生水的水质检测设施。</w:t>
      </w:r>
    </w:p>
    <w:p>
      <w:pPr>
        <w:ind w:firstLine="560" w:firstLineChars="0"/>
      </w:pPr>
    </w:p>
    <w:p>
      <w:pPr>
        <w:pStyle w:val="3"/>
        <w:spacing w:before="624" w:after="624"/>
      </w:pPr>
      <w:bookmarkStart w:id="234" w:name="_Toc58245185"/>
      <w:bookmarkEnd w:id="234"/>
      <w:bookmarkStart w:id="235" w:name="_Toc58861681"/>
      <w:bookmarkEnd w:id="235"/>
      <w:bookmarkStart w:id="236" w:name="_Toc58245184"/>
      <w:bookmarkEnd w:id="236"/>
      <w:bookmarkStart w:id="237" w:name="_Toc59716757"/>
      <w:bookmarkEnd w:id="237"/>
      <w:bookmarkStart w:id="238" w:name="_Toc57998349"/>
      <w:bookmarkEnd w:id="238"/>
      <w:bookmarkStart w:id="239" w:name="_Toc58861941"/>
      <w:bookmarkEnd w:id="239"/>
      <w:bookmarkStart w:id="240" w:name="_Toc58257171"/>
      <w:bookmarkEnd w:id="240"/>
      <w:bookmarkStart w:id="241" w:name="_Toc58320191"/>
      <w:bookmarkEnd w:id="241"/>
      <w:bookmarkStart w:id="242" w:name="_Toc59542808"/>
      <w:bookmarkEnd w:id="242"/>
      <w:bookmarkStart w:id="243" w:name="_Toc57989212"/>
      <w:bookmarkEnd w:id="243"/>
      <w:bookmarkStart w:id="244" w:name="_Toc57997625"/>
      <w:bookmarkEnd w:id="244"/>
      <w:bookmarkStart w:id="245" w:name="_Toc59116910"/>
      <w:bookmarkEnd w:id="245"/>
      <w:bookmarkStart w:id="246" w:name="_Toc57989210"/>
      <w:bookmarkEnd w:id="246"/>
      <w:bookmarkStart w:id="247" w:name="_Toc58259582"/>
      <w:bookmarkEnd w:id="247"/>
      <w:bookmarkStart w:id="248" w:name="_Toc59113305"/>
      <w:bookmarkEnd w:id="248"/>
      <w:bookmarkStart w:id="249" w:name="_Toc59716758"/>
      <w:bookmarkEnd w:id="249"/>
      <w:bookmarkStart w:id="250" w:name="_Toc59113731"/>
      <w:bookmarkEnd w:id="250"/>
      <w:bookmarkStart w:id="251" w:name="_Toc58861939"/>
      <w:bookmarkEnd w:id="251"/>
      <w:bookmarkStart w:id="252" w:name="_Toc58259489"/>
      <w:bookmarkEnd w:id="252"/>
      <w:bookmarkStart w:id="253" w:name="_Toc58245186"/>
      <w:bookmarkEnd w:id="253"/>
      <w:bookmarkStart w:id="254" w:name="_Toc57997624"/>
      <w:bookmarkEnd w:id="254"/>
      <w:bookmarkStart w:id="255" w:name="_Toc59017216"/>
      <w:bookmarkEnd w:id="255"/>
      <w:bookmarkStart w:id="256" w:name="_Toc59116905"/>
      <w:bookmarkEnd w:id="256"/>
      <w:bookmarkStart w:id="257" w:name="_Toc59542811"/>
      <w:bookmarkEnd w:id="257"/>
      <w:bookmarkStart w:id="258" w:name="_Toc59114707"/>
      <w:bookmarkEnd w:id="258"/>
      <w:bookmarkStart w:id="259" w:name="_Toc58259580"/>
      <w:bookmarkEnd w:id="259"/>
      <w:bookmarkStart w:id="260" w:name="_Toc57989272"/>
      <w:bookmarkEnd w:id="260"/>
      <w:bookmarkStart w:id="261" w:name="_Toc59630199"/>
      <w:bookmarkEnd w:id="261"/>
      <w:bookmarkStart w:id="262" w:name="_Toc59631172"/>
      <w:bookmarkEnd w:id="262"/>
      <w:bookmarkStart w:id="263" w:name="_Toc59630198"/>
      <w:bookmarkEnd w:id="263"/>
      <w:bookmarkStart w:id="264" w:name="_Toc59630195"/>
      <w:bookmarkEnd w:id="264"/>
      <w:bookmarkStart w:id="265" w:name="_Toc57998469"/>
      <w:bookmarkEnd w:id="265"/>
      <w:bookmarkStart w:id="266" w:name="_Toc58318790"/>
      <w:bookmarkEnd w:id="266"/>
      <w:bookmarkStart w:id="267" w:name="_Toc58857915"/>
      <w:bookmarkEnd w:id="267"/>
      <w:bookmarkStart w:id="268" w:name="_Toc57998261"/>
      <w:bookmarkEnd w:id="268"/>
      <w:bookmarkStart w:id="269" w:name="_Toc58318785"/>
      <w:bookmarkEnd w:id="269"/>
      <w:bookmarkStart w:id="270" w:name="_Toc58861937"/>
      <w:bookmarkEnd w:id="270"/>
      <w:bookmarkStart w:id="271" w:name="_Toc59116906"/>
      <w:bookmarkEnd w:id="271"/>
      <w:bookmarkStart w:id="272" w:name="_Toc59209194"/>
      <w:bookmarkEnd w:id="272"/>
      <w:bookmarkStart w:id="273" w:name="_Toc58318786"/>
      <w:bookmarkEnd w:id="273"/>
      <w:bookmarkStart w:id="274" w:name="_Toc59630196"/>
      <w:bookmarkEnd w:id="274"/>
      <w:bookmarkStart w:id="275" w:name="_Toc58318628"/>
      <w:bookmarkEnd w:id="275"/>
      <w:bookmarkStart w:id="276" w:name="_Toc58320194"/>
      <w:bookmarkEnd w:id="276"/>
      <w:bookmarkStart w:id="277" w:name="_Toc59209193"/>
      <w:bookmarkEnd w:id="277"/>
      <w:bookmarkStart w:id="278" w:name="_Toc58319947"/>
      <w:bookmarkEnd w:id="278"/>
      <w:bookmarkStart w:id="279" w:name="_Toc57998259"/>
      <w:bookmarkEnd w:id="279"/>
      <w:bookmarkStart w:id="280" w:name="_Toc58259579"/>
      <w:bookmarkEnd w:id="280"/>
      <w:bookmarkStart w:id="281" w:name="_Toc59113735"/>
      <w:bookmarkEnd w:id="281"/>
      <w:bookmarkStart w:id="282" w:name="_Toc58259578"/>
      <w:bookmarkEnd w:id="282"/>
      <w:bookmarkStart w:id="283" w:name="_Toc58257173"/>
      <w:bookmarkEnd w:id="283"/>
      <w:bookmarkStart w:id="284" w:name="_Toc59021409"/>
      <w:bookmarkEnd w:id="284"/>
      <w:bookmarkStart w:id="285" w:name="_Toc57995853"/>
      <w:bookmarkEnd w:id="285"/>
      <w:bookmarkStart w:id="286" w:name="_Toc58861680"/>
      <w:bookmarkEnd w:id="286"/>
      <w:bookmarkStart w:id="287" w:name="_Toc59016900"/>
      <w:bookmarkEnd w:id="287"/>
      <w:bookmarkStart w:id="288" w:name="_Toc59542810"/>
      <w:bookmarkEnd w:id="288"/>
      <w:bookmarkStart w:id="289" w:name="_Toc59017215"/>
      <w:bookmarkEnd w:id="289"/>
      <w:bookmarkStart w:id="290" w:name="_Toc57995857"/>
      <w:bookmarkEnd w:id="290"/>
      <w:bookmarkStart w:id="291" w:name="_Toc57995856"/>
      <w:bookmarkEnd w:id="291"/>
      <w:bookmarkStart w:id="292" w:name="_Toc57995858"/>
      <w:bookmarkEnd w:id="292"/>
      <w:bookmarkStart w:id="293" w:name="_Toc59021408"/>
      <w:bookmarkEnd w:id="293"/>
      <w:bookmarkStart w:id="294" w:name="_Toc59631170"/>
      <w:bookmarkEnd w:id="294"/>
      <w:bookmarkStart w:id="295" w:name="_Toc58245182"/>
      <w:bookmarkEnd w:id="295"/>
      <w:bookmarkStart w:id="296" w:name="_Toc59546077"/>
      <w:bookmarkEnd w:id="296"/>
      <w:bookmarkStart w:id="297" w:name="_Toc58259581"/>
      <w:bookmarkEnd w:id="297"/>
      <w:bookmarkStart w:id="298" w:name="_Toc57992288"/>
      <w:bookmarkEnd w:id="298"/>
      <w:bookmarkStart w:id="299" w:name="_Toc58320193"/>
      <w:bookmarkEnd w:id="299"/>
      <w:bookmarkStart w:id="300" w:name="_Toc58318788"/>
      <w:bookmarkEnd w:id="300"/>
      <w:bookmarkStart w:id="301" w:name="_Toc58861683"/>
      <w:bookmarkEnd w:id="301"/>
      <w:bookmarkStart w:id="302" w:name="_Toc57992287"/>
      <w:bookmarkEnd w:id="302"/>
      <w:bookmarkStart w:id="303" w:name="_Toc59113736"/>
      <w:bookmarkEnd w:id="303"/>
      <w:bookmarkStart w:id="304" w:name="_Toc59716759"/>
      <w:bookmarkEnd w:id="304"/>
      <w:bookmarkStart w:id="305" w:name="_Toc59203910"/>
      <w:bookmarkEnd w:id="305"/>
      <w:bookmarkStart w:id="306" w:name="_Toc59542807"/>
      <w:bookmarkEnd w:id="306"/>
      <w:bookmarkStart w:id="307" w:name="_Toc58857914"/>
      <w:bookmarkEnd w:id="307"/>
      <w:bookmarkStart w:id="308" w:name="_Toc59113301"/>
      <w:bookmarkEnd w:id="308"/>
      <w:bookmarkStart w:id="309" w:name="_Toc59016898"/>
      <w:bookmarkEnd w:id="309"/>
      <w:bookmarkStart w:id="310" w:name="_Toc59021405"/>
      <w:bookmarkEnd w:id="310"/>
      <w:bookmarkStart w:id="311" w:name="_Toc57992289"/>
      <w:bookmarkEnd w:id="311"/>
      <w:bookmarkStart w:id="312" w:name="_Toc57998347"/>
      <w:bookmarkEnd w:id="312"/>
      <w:bookmarkStart w:id="313" w:name="_Toc58861679"/>
      <w:bookmarkEnd w:id="313"/>
      <w:bookmarkStart w:id="314" w:name="_Toc57998346"/>
      <w:bookmarkEnd w:id="314"/>
      <w:bookmarkStart w:id="315" w:name="_Toc57989269"/>
      <w:bookmarkEnd w:id="315"/>
      <w:bookmarkStart w:id="316" w:name="_Toc58259488"/>
      <w:bookmarkEnd w:id="316"/>
      <w:bookmarkStart w:id="317" w:name="_Toc59116907"/>
      <w:bookmarkEnd w:id="317"/>
      <w:bookmarkStart w:id="318" w:name="_Toc59546076"/>
      <w:bookmarkEnd w:id="318"/>
      <w:bookmarkStart w:id="319" w:name="_Toc58257174"/>
      <w:bookmarkEnd w:id="319"/>
      <w:bookmarkStart w:id="320" w:name="_Toc59209191"/>
      <w:bookmarkEnd w:id="320"/>
      <w:bookmarkStart w:id="321" w:name="_Toc59716761"/>
      <w:bookmarkEnd w:id="321"/>
      <w:bookmarkStart w:id="322" w:name="_Toc57989215"/>
      <w:bookmarkEnd w:id="322"/>
      <w:bookmarkStart w:id="323" w:name="_Toc59631168"/>
      <w:bookmarkEnd w:id="323"/>
      <w:bookmarkStart w:id="324" w:name="_Toc58861682"/>
      <w:bookmarkEnd w:id="324"/>
      <w:bookmarkStart w:id="325" w:name="_Toc57998260"/>
      <w:bookmarkEnd w:id="325"/>
      <w:bookmarkStart w:id="326" w:name="_Toc58318629"/>
      <w:bookmarkEnd w:id="326"/>
      <w:bookmarkStart w:id="327" w:name="_Toc59209196"/>
      <w:bookmarkEnd w:id="327"/>
      <w:bookmarkStart w:id="328" w:name="_Toc59630194"/>
      <w:bookmarkEnd w:id="328"/>
      <w:bookmarkStart w:id="329" w:name="_Toc59116908"/>
      <w:bookmarkEnd w:id="329"/>
      <w:bookmarkStart w:id="330" w:name="_Toc59116909"/>
      <w:bookmarkEnd w:id="330"/>
      <w:bookmarkStart w:id="331" w:name="_Toc58318632"/>
      <w:bookmarkEnd w:id="331"/>
      <w:bookmarkStart w:id="332" w:name="_Toc59114706"/>
      <w:bookmarkEnd w:id="332"/>
      <w:bookmarkStart w:id="333" w:name="_Toc59114710"/>
      <w:bookmarkEnd w:id="333"/>
      <w:bookmarkStart w:id="334" w:name="_Toc58318787"/>
      <w:bookmarkEnd w:id="334"/>
      <w:bookmarkStart w:id="335" w:name="_Toc57989268"/>
      <w:bookmarkEnd w:id="335"/>
      <w:bookmarkStart w:id="336" w:name="_Toc59203908"/>
      <w:bookmarkEnd w:id="336"/>
      <w:bookmarkStart w:id="337" w:name="_Toc58319948"/>
      <w:bookmarkEnd w:id="337"/>
      <w:bookmarkStart w:id="338" w:name="_Toc58245183"/>
      <w:bookmarkEnd w:id="338"/>
      <w:bookmarkStart w:id="339" w:name="_Toc59021406"/>
      <w:bookmarkEnd w:id="339"/>
      <w:bookmarkStart w:id="340" w:name="_Toc59542806"/>
      <w:bookmarkEnd w:id="340"/>
      <w:bookmarkStart w:id="341" w:name="_Toc57992286"/>
      <w:bookmarkEnd w:id="341"/>
      <w:bookmarkStart w:id="342" w:name="_Toc57989214"/>
      <w:bookmarkEnd w:id="342"/>
      <w:bookmarkStart w:id="343" w:name="_Toc59114708"/>
      <w:bookmarkEnd w:id="343"/>
      <w:bookmarkStart w:id="344" w:name="_Toc59114711"/>
      <w:bookmarkEnd w:id="344"/>
      <w:bookmarkStart w:id="345" w:name="_Toc58857919"/>
      <w:bookmarkEnd w:id="345"/>
      <w:bookmarkStart w:id="346" w:name="_Toc59716756"/>
      <w:bookmarkEnd w:id="346"/>
      <w:bookmarkStart w:id="347" w:name="_Toc59631167"/>
      <w:bookmarkEnd w:id="347"/>
      <w:bookmarkStart w:id="348" w:name="_Toc58257169"/>
      <w:bookmarkEnd w:id="348"/>
      <w:bookmarkStart w:id="349" w:name="_Toc58857916"/>
      <w:bookmarkEnd w:id="349"/>
      <w:bookmarkStart w:id="350" w:name="_Toc59113302"/>
      <w:bookmarkEnd w:id="350"/>
      <w:bookmarkStart w:id="351" w:name="_Toc59113734"/>
      <w:bookmarkEnd w:id="351"/>
      <w:bookmarkStart w:id="352" w:name="_Toc58257172"/>
      <w:bookmarkEnd w:id="352"/>
      <w:bookmarkStart w:id="353" w:name="_Toc59017212"/>
      <w:bookmarkEnd w:id="353"/>
      <w:bookmarkStart w:id="354" w:name="_Toc57995854"/>
      <w:bookmarkEnd w:id="354"/>
      <w:bookmarkStart w:id="355" w:name="_Toc57998471"/>
      <w:bookmarkEnd w:id="355"/>
      <w:bookmarkStart w:id="356" w:name="_Toc59113733"/>
      <w:bookmarkEnd w:id="356"/>
      <w:bookmarkStart w:id="357" w:name="_Toc57992285"/>
      <w:bookmarkEnd w:id="357"/>
      <w:bookmarkStart w:id="358" w:name="_Toc59016897"/>
      <w:bookmarkEnd w:id="358"/>
      <w:bookmarkStart w:id="359" w:name="_Toc57998348"/>
      <w:bookmarkEnd w:id="359"/>
      <w:bookmarkStart w:id="360" w:name="_Toc59021404"/>
      <w:bookmarkEnd w:id="360"/>
      <w:bookmarkStart w:id="361" w:name="_Toc59113732"/>
      <w:bookmarkEnd w:id="361"/>
      <w:bookmarkStart w:id="362" w:name="_Toc59630197"/>
      <w:bookmarkEnd w:id="362"/>
      <w:bookmarkStart w:id="363" w:name="_Toc59542809"/>
      <w:bookmarkEnd w:id="363"/>
      <w:bookmarkStart w:id="364" w:name="_Toc58259583"/>
      <w:bookmarkEnd w:id="364"/>
      <w:bookmarkStart w:id="365" w:name="_Toc57989267"/>
      <w:bookmarkEnd w:id="365"/>
      <w:bookmarkStart w:id="366" w:name="_Toc59209192"/>
      <w:bookmarkEnd w:id="366"/>
      <w:bookmarkStart w:id="367" w:name="_Toc58319951"/>
      <w:bookmarkEnd w:id="367"/>
      <w:bookmarkStart w:id="368" w:name="_Toc58857918"/>
      <w:bookmarkEnd w:id="368"/>
      <w:bookmarkStart w:id="369" w:name="_Toc59016899"/>
      <w:bookmarkEnd w:id="369"/>
      <w:bookmarkStart w:id="370" w:name="_Toc57989213"/>
      <w:bookmarkEnd w:id="370"/>
      <w:bookmarkStart w:id="371" w:name="_Toc57997620"/>
      <w:bookmarkEnd w:id="371"/>
      <w:bookmarkStart w:id="372" w:name="_Toc57998350"/>
      <w:bookmarkEnd w:id="372"/>
      <w:bookmarkStart w:id="373" w:name="_Toc57997623"/>
      <w:bookmarkEnd w:id="373"/>
      <w:bookmarkStart w:id="374" w:name="_Toc59113300"/>
      <w:bookmarkEnd w:id="374"/>
      <w:bookmarkStart w:id="375" w:name="_Toc59546079"/>
      <w:bookmarkEnd w:id="375"/>
      <w:bookmarkStart w:id="376" w:name="_Toc57989211"/>
      <w:bookmarkEnd w:id="376"/>
      <w:bookmarkStart w:id="377" w:name="_Toc58245181"/>
      <w:bookmarkEnd w:id="377"/>
      <w:bookmarkStart w:id="378" w:name="_Toc57998345"/>
      <w:bookmarkEnd w:id="378"/>
      <w:bookmarkStart w:id="379" w:name="_Toc57997621"/>
      <w:bookmarkEnd w:id="379"/>
      <w:bookmarkStart w:id="380" w:name="_Toc57997622"/>
      <w:bookmarkEnd w:id="380"/>
      <w:bookmarkStart w:id="381" w:name="_Toc58319952"/>
      <w:bookmarkEnd w:id="381"/>
      <w:bookmarkStart w:id="382" w:name="_Toc58318630"/>
      <w:bookmarkEnd w:id="382"/>
      <w:bookmarkStart w:id="383" w:name="_Toc57998258"/>
      <w:bookmarkEnd w:id="383"/>
      <w:bookmarkStart w:id="384" w:name="_Toc58259491"/>
      <w:bookmarkEnd w:id="384"/>
      <w:bookmarkStart w:id="385" w:name="_Toc59203909"/>
      <w:bookmarkEnd w:id="385"/>
      <w:bookmarkStart w:id="386" w:name="_Toc59016902"/>
      <w:bookmarkEnd w:id="386"/>
      <w:bookmarkStart w:id="387" w:name="_Toc58857917"/>
      <w:bookmarkEnd w:id="387"/>
      <w:bookmarkStart w:id="388" w:name="_Toc58257170"/>
      <w:bookmarkEnd w:id="388"/>
      <w:bookmarkStart w:id="389" w:name="_Toc59114709"/>
      <w:bookmarkEnd w:id="389"/>
      <w:bookmarkStart w:id="390" w:name="_Toc59209195"/>
      <w:bookmarkEnd w:id="390"/>
      <w:bookmarkStart w:id="391" w:name="_Toc57989271"/>
      <w:bookmarkEnd w:id="391"/>
      <w:bookmarkStart w:id="392" w:name="_Toc57998472"/>
      <w:bookmarkEnd w:id="392"/>
      <w:bookmarkStart w:id="393" w:name="_Toc58318627"/>
      <w:bookmarkEnd w:id="393"/>
      <w:bookmarkStart w:id="394" w:name="_Toc57998263"/>
      <w:bookmarkEnd w:id="394"/>
      <w:bookmarkStart w:id="395" w:name="_Toc58319950"/>
      <w:bookmarkEnd w:id="395"/>
      <w:bookmarkStart w:id="396" w:name="_Toc57992290"/>
      <w:bookmarkEnd w:id="396"/>
      <w:bookmarkStart w:id="397" w:name="_Toc57989270"/>
      <w:bookmarkEnd w:id="397"/>
      <w:bookmarkStart w:id="398" w:name="_Toc58861942"/>
      <w:bookmarkEnd w:id="398"/>
      <w:bookmarkStart w:id="399" w:name="_Toc59021407"/>
      <w:bookmarkEnd w:id="399"/>
      <w:bookmarkStart w:id="400" w:name="_Toc58320192"/>
      <w:bookmarkEnd w:id="400"/>
      <w:bookmarkStart w:id="401" w:name="_Toc59017214"/>
      <w:bookmarkEnd w:id="401"/>
      <w:bookmarkStart w:id="402" w:name="_Toc59203907"/>
      <w:bookmarkEnd w:id="402"/>
      <w:bookmarkStart w:id="403" w:name="_Toc58861678"/>
      <w:bookmarkEnd w:id="403"/>
      <w:bookmarkStart w:id="404" w:name="_Toc57998470"/>
      <w:bookmarkEnd w:id="404"/>
      <w:bookmarkStart w:id="405" w:name="_Toc59546080"/>
      <w:bookmarkEnd w:id="405"/>
      <w:bookmarkStart w:id="406" w:name="_Toc59113304"/>
      <w:bookmarkEnd w:id="406"/>
      <w:bookmarkStart w:id="407" w:name="_Toc59546081"/>
      <w:bookmarkEnd w:id="407"/>
      <w:bookmarkStart w:id="408" w:name="_Toc59631169"/>
      <w:bookmarkEnd w:id="408"/>
      <w:bookmarkStart w:id="409" w:name="_Toc58320196"/>
      <w:bookmarkEnd w:id="409"/>
      <w:bookmarkStart w:id="410" w:name="_Toc58259490"/>
      <w:bookmarkEnd w:id="410"/>
      <w:bookmarkStart w:id="411" w:name="_Toc59716760"/>
      <w:bookmarkEnd w:id="411"/>
      <w:bookmarkStart w:id="412" w:name="_Toc59203906"/>
      <w:bookmarkEnd w:id="412"/>
      <w:bookmarkStart w:id="413" w:name="_Toc58861940"/>
      <w:bookmarkEnd w:id="413"/>
      <w:bookmarkStart w:id="414" w:name="_Toc57998473"/>
      <w:bookmarkEnd w:id="414"/>
      <w:bookmarkStart w:id="415" w:name="_Toc58259493"/>
      <w:bookmarkEnd w:id="415"/>
      <w:bookmarkStart w:id="416" w:name="_Toc59203905"/>
      <w:bookmarkEnd w:id="416"/>
      <w:bookmarkStart w:id="417" w:name="_Toc58259492"/>
      <w:bookmarkEnd w:id="417"/>
      <w:bookmarkStart w:id="418" w:name="_Toc59017211"/>
      <w:bookmarkEnd w:id="418"/>
      <w:bookmarkStart w:id="419" w:name="_Toc57998262"/>
      <w:bookmarkEnd w:id="419"/>
      <w:bookmarkStart w:id="420" w:name="_Toc57995855"/>
      <w:bookmarkEnd w:id="420"/>
      <w:bookmarkStart w:id="421" w:name="_Toc58318789"/>
      <w:bookmarkEnd w:id="421"/>
      <w:bookmarkStart w:id="422" w:name="_Toc59546078"/>
      <w:bookmarkEnd w:id="422"/>
      <w:bookmarkStart w:id="423" w:name="_Toc59631171"/>
      <w:bookmarkEnd w:id="423"/>
      <w:bookmarkStart w:id="424" w:name="_Toc58319949"/>
      <w:bookmarkEnd w:id="424"/>
      <w:bookmarkStart w:id="425" w:name="_Toc59017213"/>
      <w:bookmarkEnd w:id="425"/>
      <w:bookmarkStart w:id="426" w:name="_Toc59016901"/>
      <w:bookmarkEnd w:id="426"/>
      <w:bookmarkStart w:id="427" w:name="_Toc58861938"/>
      <w:bookmarkEnd w:id="427"/>
      <w:bookmarkStart w:id="428" w:name="_Toc58320195"/>
      <w:bookmarkEnd w:id="428"/>
      <w:bookmarkStart w:id="429" w:name="_Toc57998474"/>
      <w:bookmarkEnd w:id="429"/>
      <w:bookmarkStart w:id="430" w:name="_Toc58318631"/>
      <w:bookmarkEnd w:id="430"/>
      <w:bookmarkStart w:id="431" w:name="_Toc59113303"/>
      <w:bookmarkEnd w:id="431"/>
      <w:bookmarkStart w:id="432" w:name="_Toc70600554"/>
      <w:bookmarkStart w:id="433" w:name="_Toc114734628"/>
      <w:bookmarkStart w:id="434" w:name="_Toc126321310"/>
      <w:bookmarkStart w:id="435" w:name="_Toc96358470"/>
      <w:r>
        <w:rPr>
          <w:rFonts w:hint="eastAsia"/>
        </w:rPr>
        <w:t>污泥处理工艺设计</w:t>
      </w:r>
      <w:bookmarkEnd w:id="432"/>
      <w:bookmarkEnd w:id="433"/>
      <w:bookmarkEnd w:id="434"/>
      <w:bookmarkEnd w:id="435"/>
    </w:p>
    <w:p>
      <w:pPr>
        <w:pStyle w:val="4"/>
        <w:numPr>
          <w:ilvl w:val="0"/>
          <w:numId w:val="0"/>
        </w:numPr>
        <w:rPr>
          <w:b/>
          <w:bCs w:val="0"/>
          <w:lang w:val="zh-CN"/>
        </w:rPr>
      </w:pPr>
      <w:bookmarkStart w:id="436" w:name="_Toc20234"/>
      <w:bookmarkStart w:id="437" w:name="_Toc23874"/>
      <w:bookmarkStart w:id="438" w:name="_Toc19888415"/>
      <w:bookmarkStart w:id="439" w:name="_Toc535322516"/>
      <w:bookmarkStart w:id="440" w:name="_Toc30575353"/>
      <w:bookmarkStart w:id="441" w:name="_Toc6723"/>
      <w:bookmarkStart w:id="442" w:name="_Toc17038"/>
      <w:r>
        <w:rPr>
          <w:b/>
          <w:bCs w:val="0"/>
          <w:lang w:val="zh-CN"/>
        </w:rPr>
        <w:t>4.4.1</w:t>
      </w:r>
      <w:r>
        <w:rPr>
          <w:b/>
          <w:bCs w:val="0"/>
        </w:rPr>
        <w:t xml:space="preserve">  </w:t>
      </w:r>
      <w:r>
        <w:rPr>
          <w:rFonts w:hint="eastAsia"/>
          <w:bCs w:val="0"/>
          <w:lang w:val="zh-CN"/>
        </w:rPr>
        <w:t>污泥处理工艺</w:t>
      </w:r>
      <w:r>
        <w:rPr>
          <w:rFonts w:hint="eastAsia"/>
          <w:bCs w:val="0"/>
        </w:rPr>
        <w:t>应</w:t>
      </w:r>
      <w:r>
        <w:rPr>
          <w:rFonts w:hint="eastAsia"/>
          <w:bCs w:val="0"/>
          <w:lang w:val="zh-CN"/>
        </w:rPr>
        <w:t>综合污泥性质、处理要求、经济条件、占地空间等因素经技术、经济比较后</w:t>
      </w:r>
      <w:r>
        <w:rPr>
          <w:rFonts w:hint="eastAsia"/>
          <w:bCs w:val="0"/>
        </w:rPr>
        <w:t>合理</w:t>
      </w:r>
      <w:r>
        <w:rPr>
          <w:rFonts w:hint="eastAsia"/>
          <w:bCs w:val="0"/>
          <w:lang w:val="zh-CN"/>
        </w:rPr>
        <w:t>选择，</w:t>
      </w:r>
      <w:r>
        <w:rPr>
          <w:rFonts w:hint="eastAsia"/>
        </w:rPr>
        <w:t>宜优先考虑节能、节地、安全性能高的处理工艺。</w:t>
      </w:r>
    </w:p>
    <w:p>
      <w:pPr>
        <w:pStyle w:val="4"/>
        <w:numPr>
          <w:ilvl w:val="0"/>
          <w:numId w:val="0"/>
        </w:numPr>
        <w:rPr>
          <w:u w:val="single"/>
          <w:lang w:val="zh-CN"/>
        </w:rPr>
      </w:pPr>
      <w:r>
        <w:rPr>
          <w:b/>
          <w:bCs w:val="0"/>
          <w:lang w:val="zh-CN"/>
        </w:rPr>
        <w:t>4.4.2</w:t>
      </w:r>
      <w:r>
        <w:rPr>
          <w:b/>
          <w:bCs w:val="0"/>
        </w:rPr>
        <w:t xml:space="preserve">  </w:t>
      </w:r>
      <w:r>
        <w:rPr>
          <w:rFonts w:hint="eastAsia"/>
          <w:lang w:val="zh-CN"/>
        </w:rPr>
        <w:t>污泥处理设施的规模应根据污泥产量，综合考虑排水体制、污水处理水量、水质和工艺、季节变化对污泥产量的影响后合理确定。处理截留雨水的污水系统，其污泥处理处置设施的规模应统筹考虑相应的污泥增量，可在旱流污水量对应的污泥量上增加</w:t>
      </w:r>
      <w:r>
        <w:rPr>
          <w:lang w:val="zh-CN"/>
        </w:rPr>
        <w:t>20%</w:t>
      </w:r>
      <w:r>
        <w:rPr>
          <w:rFonts w:hint="eastAsia"/>
          <w:lang w:val="zh-CN"/>
        </w:rPr>
        <w:t>。土建</w:t>
      </w:r>
      <w:r>
        <w:rPr>
          <w:rFonts w:hint="eastAsia"/>
        </w:rPr>
        <w:t>应</w:t>
      </w:r>
      <w:r>
        <w:rPr>
          <w:rFonts w:hint="eastAsia"/>
          <w:lang w:val="zh-CN"/>
        </w:rPr>
        <w:t>按远期规模统筹考虑一次建成，设备可分期安装。</w:t>
      </w:r>
    </w:p>
    <w:p>
      <w:pPr>
        <w:pStyle w:val="4"/>
        <w:numPr>
          <w:ilvl w:val="0"/>
          <w:numId w:val="0"/>
        </w:numPr>
        <w:rPr>
          <w:lang w:val="zh-CN"/>
        </w:rPr>
      </w:pPr>
      <w:r>
        <w:rPr>
          <w:b/>
          <w:bCs w:val="0"/>
          <w:lang w:val="zh-CN"/>
        </w:rPr>
        <w:t>4.4.3</w:t>
      </w:r>
      <w:r>
        <w:rPr>
          <w:b/>
          <w:bCs w:val="0"/>
        </w:rPr>
        <w:t xml:space="preserve">  </w:t>
      </w:r>
      <w:r>
        <w:rPr>
          <w:rFonts w:hint="eastAsia"/>
          <w:lang w:val="zh-CN"/>
        </w:rPr>
        <w:t>污泥处理的生产线配置不应少于</w:t>
      </w:r>
      <w:r>
        <w:rPr>
          <w:lang w:val="zh-CN"/>
        </w:rPr>
        <w:t>2</w:t>
      </w:r>
      <w:r>
        <w:rPr>
          <w:rFonts w:hint="eastAsia"/>
          <w:lang w:val="zh-CN"/>
        </w:rPr>
        <w:t>条，应独立运行，</w:t>
      </w:r>
      <w:r>
        <w:rPr>
          <w:rFonts w:hint="eastAsia"/>
        </w:rPr>
        <w:t>主要设备</w:t>
      </w:r>
      <w:r>
        <w:rPr>
          <w:rFonts w:hint="eastAsia"/>
          <w:lang w:val="zh-CN"/>
        </w:rPr>
        <w:t>设置备用。</w:t>
      </w:r>
    </w:p>
    <w:p>
      <w:pPr>
        <w:pStyle w:val="4"/>
        <w:numPr>
          <w:ilvl w:val="0"/>
          <w:numId w:val="0"/>
        </w:numPr>
      </w:pPr>
      <w:r>
        <w:rPr>
          <w:b/>
          <w:bCs w:val="0"/>
          <w:lang w:val="zh-CN"/>
        </w:rPr>
        <w:t>4.4.4</w:t>
      </w:r>
      <w:r>
        <w:rPr>
          <w:b/>
          <w:bCs w:val="0"/>
        </w:rPr>
        <w:t xml:space="preserve">  </w:t>
      </w:r>
      <w:r>
        <w:rPr>
          <w:rFonts w:hint="eastAsia"/>
          <w:bCs w:val="0"/>
          <w:lang w:val="zh-CN"/>
        </w:rPr>
        <w:t>污泥处理构筑物及相关设备应集中布置，并独立于其他处理区域。</w:t>
      </w:r>
      <w:r>
        <w:rPr>
          <w:rFonts w:hint="eastAsia"/>
        </w:rPr>
        <w:t>有安全隐患的污泥处理设施不宜设于地下空间内。</w:t>
      </w:r>
    </w:p>
    <w:p>
      <w:pPr>
        <w:pStyle w:val="4"/>
        <w:numPr>
          <w:ilvl w:val="0"/>
          <w:numId w:val="0"/>
        </w:numPr>
      </w:pPr>
      <w:r>
        <w:rPr>
          <w:b/>
          <w:bCs w:val="0"/>
          <w:lang w:val="zh-CN"/>
        </w:rPr>
        <w:t>4.4.</w:t>
      </w:r>
      <w:r>
        <w:rPr>
          <w:b/>
          <w:bCs w:val="0"/>
        </w:rPr>
        <w:t xml:space="preserve">5  </w:t>
      </w:r>
      <w:r>
        <w:rPr>
          <w:rFonts w:hint="eastAsia"/>
          <w:bCs w:val="0"/>
          <w:lang w:val="zh-CN"/>
        </w:rPr>
        <w:t>污泥处理区域宜设置污泥</w:t>
      </w:r>
      <w:r>
        <w:rPr>
          <w:rFonts w:hint="eastAsia"/>
          <w:bCs w:val="0"/>
        </w:rPr>
        <w:t>运输</w:t>
      </w:r>
      <w:r>
        <w:rPr>
          <w:rFonts w:hint="eastAsia"/>
          <w:bCs w:val="0"/>
          <w:lang w:val="zh-CN"/>
        </w:rPr>
        <w:t>进出通道区，污泥</w:t>
      </w:r>
      <w:r>
        <w:rPr>
          <w:rFonts w:hint="eastAsia"/>
          <w:bCs w:val="0"/>
        </w:rPr>
        <w:t>运输</w:t>
      </w:r>
      <w:r>
        <w:rPr>
          <w:rFonts w:hint="eastAsia"/>
          <w:bCs w:val="0"/>
          <w:lang w:val="zh-CN"/>
        </w:rPr>
        <w:t>进出通道</w:t>
      </w:r>
      <w:r>
        <w:rPr>
          <w:rFonts w:hint="eastAsia"/>
          <w:bCs w:val="0"/>
        </w:rPr>
        <w:t>和人员通行通道宜分开设置。</w:t>
      </w:r>
    </w:p>
    <w:p>
      <w:pPr>
        <w:pStyle w:val="4"/>
        <w:numPr>
          <w:ilvl w:val="0"/>
          <w:numId w:val="0"/>
        </w:numPr>
        <w:rPr>
          <w:lang w:val="zh-CN"/>
        </w:rPr>
      </w:pPr>
      <w:r>
        <w:rPr>
          <w:b/>
          <w:bCs w:val="0"/>
          <w:lang w:val="zh-CN"/>
        </w:rPr>
        <w:t>4.4.</w:t>
      </w:r>
      <w:r>
        <w:rPr>
          <w:b/>
          <w:bCs w:val="0"/>
        </w:rPr>
        <w:t xml:space="preserve">6  </w:t>
      </w:r>
      <w:r>
        <w:rPr>
          <w:rFonts w:hint="eastAsia"/>
          <w:bCs w:val="0"/>
          <w:lang w:val="zh-CN"/>
        </w:rPr>
        <w:t>污泥</w:t>
      </w:r>
      <w:r>
        <w:rPr>
          <w:rFonts w:hint="eastAsia"/>
          <w:bCs w:val="0"/>
        </w:rPr>
        <w:t>处理全流程及</w:t>
      </w:r>
      <w:r>
        <w:rPr>
          <w:rFonts w:hint="eastAsia"/>
          <w:bCs w:val="0"/>
          <w:lang w:val="zh-CN"/>
        </w:rPr>
        <w:t>进出料、输送和</w:t>
      </w:r>
      <w:r>
        <w:rPr>
          <w:rFonts w:hint="eastAsia"/>
          <w:bCs w:val="0"/>
        </w:rPr>
        <w:t>贮存等</w:t>
      </w:r>
      <w:r>
        <w:rPr>
          <w:rFonts w:hint="eastAsia"/>
          <w:bCs w:val="0"/>
          <w:lang w:val="zh-CN"/>
        </w:rPr>
        <w:t>过程</w:t>
      </w:r>
      <w:r>
        <w:rPr>
          <w:rFonts w:hint="eastAsia"/>
          <w:bCs w:val="0"/>
        </w:rPr>
        <w:t>应</w:t>
      </w:r>
      <w:r>
        <w:rPr>
          <w:rFonts w:hint="eastAsia"/>
          <w:bCs w:val="0"/>
          <w:lang w:val="zh-CN"/>
        </w:rPr>
        <w:t>采取</w:t>
      </w:r>
      <w:r>
        <w:rPr>
          <w:rFonts w:hint="eastAsia"/>
          <w:bCs w:val="0"/>
        </w:rPr>
        <w:t>加强</w:t>
      </w:r>
      <w:r>
        <w:rPr>
          <w:rFonts w:hint="eastAsia"/>
          <w:bCs w:val="0"/>
          <w:lang w:val="zh-CN"/>
        </w:rPr>
        <w:t>密闭措施。</w:t>
      </w:r>
      <w:r>
        <w:rPr>
          <w:rFonts w:hint="eastAsia"/>
          <w:lang w:val="zh-CN"/>
        </w:rPr>
        <w:t>污泥卸料区与地下空间连接区域</w:t>
      </w:r>
      <w:r>
        <w:rPr>
          <w:rFonts w:hint="eastAsia"/>
        </w:rPr>
        <w:t>应</w:t>
      </w:r>
      <w:r>
        <w:rPr>
          <w:rFonts w:hint="eastAsia"/>
          <w:lang w:val="zh-CN"/>
        </w:rPr>
        <w:t>设置隔断门，</w:t>
      </w:r>
      <w:r>
        <w:rPr>
          <w:rFonts w:hint="eastAsia"/>
          <w:bCs w:val="0"/>
        </w:rPr>
        <w:t>独立收集污泥处理区产生的臭气进行强化处理</w:t>
      </w:r>
      <w:r>
        <w:rPr>
          <w:rFonts w:hint="eastAsia"/>
          <w:bCs w:val="0"/>
          <w:lang w:val="zh-CN"/>
        </w:rPr>
        <w:t>。</w:t>
      </w:r>
    </w:p>
    <w:p>
      <w:pPr>
        <w:pStyle w:val="4"/>
        <w:numPr>
          <w:ilvl w:val="0"/>
          <w:numId w:val="0"/>
        </w:numPr>
        <w:rPr>
          <w:lang w:val="zh-CN"/>
        </w:rPr>
      </w:pPr>
      <w:r>
        <w:rPr>
          <w:b/>
          <w:bCs w:val="0"/>
          <w:lang w:val="zh-CN"/>
        </w:rPr>
        <w:t>4.4.</w:t>
      </w:r>
      <w:r>
        <w:rPr>
          <w:b/>
          <w:bCs w:val="0"/>
        </w:rPr>
        <w:t xml:space="preserve">7  </w:t>
      </w:r>
      <w:r>
        <w:rPr>
          <w:rFonts w:hint="eastAsia"/>
          <w:bCs w:val="0"/>
          <w:lang w:val="zh-CN"/>
        </w:rPr>
        <w:t>污泥处理系统</w:t>
      </w:r>
      <w:r>
        <w:rPr>
          <w:rFonts w:hint="eastAsia"/>
          <w:bCs w:val="0"/>
        </w:rPr>
        <w:t>宜</w:t>
      </w:r>
      <w:r>
        <w:rPr>
          <w:rFonts w:hint="eastAsia"/>
          <w:bCs w:val="0"/>
          <w:lang w:val="zh-CN"/>
        </w:rPr>
        <w:t>设置脱水污泥应急出料系统。</w:t>
      </w:r>
    </w:p>
    <w:p>
      <w:pPr>
        <w:pStyle w:val="4"/>
        <w:numPr>
          <w:ilvl w:val="0"/>
          <w:numId w:val="0"/>
        </w:numPr>
        <w:rPr>
          <w:lang w:val="zh-CN"/>
        </w:rPr>
      </w:pPr>
      <w:r>
        <w:rPr>
          <w:b/>
          <w:bCs w:val="0"/>
          <w:lang w:val="zh-CN"/>
        </w:rPr>
        <w:t>4.4.8</w:t>
      </w:r>
      <w:r>
        <w:rPr>
          <w:b/>
          <w:bCs w:val="0"/>
        </w:rPr>
        <w:t xml:space="preserve">  </w:t>
      </w:r>
      <w:r>
        <w:rPr>
          <w:rFonts w:hint="eastAsia"/>
          <w:lang w:val="zh-CN"/>
        </w:rPr>
        <w:t>污泥干化车间和干化产品贮存设施，应符合国家现行有关防火规范的要求。</w:t>
      </w:r>
    </w:p>
    <w:p>
      <w:pPr>
        <w:pStyle w:val="4"/>
        <w:numPr>
          <w:ilvl w:val="0"/>
          <w:numId w:val="0"/>
        </w:numPr>
        <w:rPr>
          <w:lang w:val="zh-CN"/>
        </w:rPr>
      </w:pPr>
      <w:r>
        <w:rPr>
          <w:b/>
          <w:bCs w:val="0"/>
          <w:lang w:val="zh-CN"/>
        </w:rPr>
        <w:t>4.4.</w:t>
      </w:r>
      <w:r>
        <w:rPr>
          <w:b/>
          <w:bCs w:val="0"/>
        </w:rPr>
        <w:t xml:space="preserve">9  </w:t>
      </w:r>
      <w:r>
        <w:rPr>
          <w:rFonts w:hint="eastAsia"/>
          <w:bCs w:val="0"/>
          <w:lang w:val="zh-CN"/>
        </w:rPr>
        <w:t>当</w:t>
      </w:r>
      <w:r>
        <w:rPr>
          <w:rFonts w:hint="eastAsia"/>
          <w:bCs w:val="0"/>
        </w:rPr>
        <w:t>要求</w:t>
      </w:r>
      <w:r>
        <w:rPr>
          <w:rFonts w:hint="eastAsia"/>
          <w:bCs w:val="0"/>
          <w:lang w:val="zh-CN"/>
        </w:rPr>
        <w:t>将污泥含水率降至</w:t>
      </w:r>
      <w:r>
        <w:rPr>
          <w:bCs w:val="0"/>
          <w:lang w:val="zh-CN"/>
        </w:rPr>
        <w:t>30%-40%</w:t>
      </w:r>
      <w:r>
        <w:rPr>
          <w:rFonts w:hint="eastAsia"/>
          <w:bCs w:val="0"/>
          <w:lang w:val="zh-CN"/>
        </w:rPr>
        <w:t>时，宜选用低温干化工艺，</w:t>
      </w:r>
      <w:r>
        <w:rPr>
          <w:rFonts w:hint="eastAsia"/>
          <w:bCs w:val="0"/>
        </w:rPr>
        <w:t>可</w:t>
      </w:r>
      <w:r>
        <w:rPr>
          <w:rFonts w:hint="eastAsia"/>
          <w:bCs w:val="0"/>
          <w:lang w:val="zh-CN"/>
        </w:rPr>
        <w:t>采用污水源热泵为干化设备提供热源。</w:t>
      </w:r>
    </w:p>
    <w:p>
      <w:pPr>
        <w:pStyle w:val="4"/>
        <w:numPr>
          <w:ilvl w:val="0"/>
          <w:numId w:val="0"/>
        </w:numPr>
        <w:rPr>
          <w:b/>
          <w:bCs w:val="0"/>
          <w:lang w:val="zh-CN"/>
        </w:rPr>
      </w:pPr>
      <w:r>
        <w:rPr>
          <w:b/>
          <w:bCs w:val="0"/>
          <w:lang w:val="zh-CN"/>
        </w:rPr>
        <w:t>4.4.10</w:t>
      </w:r>
      <w:r>
        <w:rPr>
          <w:b/>
          <w:bCs w:val="0"/>
        </w:rPr>
        <w:t xml:space="preserve">  </w:t>
      </w:r>
      <w:r>
        <w:rPr>
          <w:rFonts w:hint="eastAsia"/>
          <w:lang w:val="zh-CN"/>
        </w:rPr>
        <w:t>污泥处理过程产生的废水应采取密闭管道输送至污水预处理单元，高温、高压</w:t>
      </w:r>
      <w:r>
        <w:rPr>
          <w:rFonts w:hint="eastAsia"/>
        </w:rPr>
        <w:t>废气和废液</w:t>
      </w:r>
      <w:r>
        <w:rPr>
          <w:rFonts w:hint="eastAsia"/>
          <w:lang w:val="zh-CN"/>
        </w:rPr>
        <w:t>应采取专门的缓冲系统处置后接入</w:t>
      </w:r>
      <w:r>
        <w:rPr>
          <w:rFonts w:hint="eastAsia"/>
        </w:rPr>
        <w:t>后续处理单位</w:t>
      </w:r>
      <w:r>
        <w:rPr>
          <w:rFonts w:hint="eastAsia"/>
          <w:lang w:val="zh-CN"/>
        </w:rPr>
        <w:t>。</w:t>
      </w:r>
    </w:p>
    <w:p>
      <w:pPr>
        <w:pStyle w:val="3"/>
        <w:spacing w:before="624" w:after="624"/>
      </w:pPr>
      <w:bookmarkStart w:id="443" w:name="_Toc96358471"/>
      <w:bookmarkEnd w:id="443"/>
      <w:bookmarkStart w:id="444" w:name="_Toc96352124"/>
      <w:bookmarkEnd w:id="444"/>
      <w:bookmarkStart w:id="445" w:name="_Toc96352062"/>
      <w:bookmarkEnd w:id="445"/>
      <w:bookmarkStart w:id="446" w:name="_Toc96351991"/>
      <w:bookmarkEnd w:id="446"/>
      <w:bookmarkStart w:id="447" w:name="_Toc70600555"/>
      <w:bookmarkStart w:id="448" w:name="_Toc96358472"/>
      <w:bookmarkStart w:id="449" w:name="_Toc114734629"/>
      <w:bookmarkStart w:id="450" w:name="_Toc126321311"/>
      <w:r>
        <w:rPr>
          <w:rFonts w:hint="eastAsia"/>
        </w:rPr>
        <w:t>建筑设计</w:t>
      </w:r>
      <w:bookmarkEnd w:id="436"/>
      <w:bookmarkEnd w:id="437"/>
      <w:bookmarkEnd w:id="438"/>
      <w:bookmarkEnd w:id="439"/>
      <w:bookmarkEnd w:id="440"/>
      <w:bookmarkEnd w:id="441"/>
      <w:bookmarkEnd w:id="442"/>
      <w:bookmarkEnd w:id="447"/>
      <w:bookmarkEnd w:id="448"/>
      <w:bookmarkEnd w:id="449"/>
      <w:bookmarkEnd w:id="450"/>
    </w:p>
    <w:p>
      <w:pPr>
        <w:pStyle w:val="4"/>
        <w:numPr>
          <w:ilvl w:val="0"/>
          <w:numId w:val="0"/>
        </w:numPr>
        <w:rPr>
          <w:bCs w:val="0"/>
          <w:lang w:val="zh-CN"/>
        </w:rPr>
      </w:pPr>
      <w:r>
        <w:rPr>
          <w:b/>
          <w:bCs w:val="0"/>
          <w:lang w:val="zh-CN"/>
        </w:rPr>
        <w:t>4.5.1</w:t>
      </w:r>
      <w:r>
        <w:rPr>
          <w:b/>
          <w:bCs w:val="0"/>
        </w:rPr>
        <w:t xml:space="preserve">  </w:t>
      </w:r>
      <w:r>
        <w:rPr>
          <w:rFonts w:hint="eastAsia"/>
          <w:bCs w:val="0"/>
          <w:lang w:val="zh-CN"/>
        </w:rPr>
        <w:t>地面建筑物整体风格应与城市总体规划风格一致，与周边环境协调，充分体现集约、绿色、便捷特点。</w:t>
      </w:r>
    </w:p>
    <w:p>
      <w:pPr>
        <w:pStyle w:val="4"/>
        <w:numPr>
          <w:ilvl w:val="0"/>
          <w:numId w:val="0"/>
        </w:numPr>
        <w:rPr>
          <w:bCs w:val="0"/>
          <w:lang w:val="zh-CN"/>
        </w:rPr>
      </w:pPr>
      <w:r>
        <w:rPr>
          <w:b/>
          <w:bCs w:val="0"/>
          <w:lang w:val="zh-CN"/>
        </w:rPr>
        <w:t>4.5.2</w:t>
      </w:r>
      <w:r>
        <w:rPr>
          <w:b/>
          <w:bCs w:val="0"/>
        </w:rPr>
        <w:t xml:space="preserve">  </w:t>
      </w:r>
      <w:r>
        <w:rPr>
          <w:rFonts w:hint="eastAsia"/>
          <w:bCs w:val="0"/>
          <w:lang w:val="zh-CN"/>
        </w:rPr>
        <w:t>地下式城镇污水厂的生产车辆出入口与其他出入口宜分开设置、分开管理。</w:t>
      </w:r>
      <w:r>
        <w:rPr>
          <w:rFonts w:hint="eastAsia"/>
          <w:bCs w:val="0"/>
        </w:rPr>
        <w:t>在条件时，</w:t>
      </w:r>
      <w:r>
        <w:rPr>
          <w:rFonts w:hint="eastAsia"/>
          <w:bCs w:val="0"/>
          <w:lang w:val="zh-CN"/>
        </w:rPr>
        <w:t>地面及地下总体布局应尽量做到人车分流，避免流线交叉。</w:t>
      </w:r>
    </w:p>
    <w:p>
      <w:pPr>
        <w:pStyle w:val="4"/>
        <w:numPr>
          <w:ilvl w:val="0"/>
          <w:numId w:val="0"/>
        </w:numPr>
        <w:rPr>
          <w:bCs w:val="0"/>
          <w:lang w:val="zh-CN"/>
        </w:rPr>
      </w:pPr>
      <w:r>
        <w:rPr>
          <w:b/>
          <w:bCs w:val="0"/>
          <w:lang w:val="zh-CN"/>
        </w:rPr>
        <w:t>4.5.3</w:t>
      </w:r>
      <w:r>
        <w:rPr>
          <w:b/>
          <w:bCs w:val="0"/>
        </w:rPr>
        <w:t xml:space="preserve">  </w:t>
      </w:r>
      <w:r>
        <w:rPr>
          <w:rFonts w:hint="eastAsia"/>
          <w:bCs w:val="0"/>
          <w:lang w:val="zh-CN"/>
        </w:rPr>
        <w:t>地面宜根据功能使用特点进行分区，可分为厂前区、生产区、公共区、综合开发利用区，避免相互干扰。</w:t>
      </w:r>
    </w:p>
    <w:p>
      <w:pPr>
        <w:pStyle w:val="4"/>
        <w:numPr>
          <w:ilvl w:val="0"/>
          <w:numId w:val="0"/>
        </w:numPr>
        <w:rPr>
          <w:bCs w:val="0"/>
          <w:lang w:val="zh-CN"/>
        </w:rPr>
      </w:pPr>
      <w:r>
        <w:rPr>
          <w:b/>
          <w:bCs w:val="0"/>
          <w:lang w:val="zh-CN"/>
        </w:rPr>
        <w:t>4.5.</w:t>
      </w:r>
      <w:r>
        <w:rPr>
          <w:rFonts w:hint="eastAsia"/>
          <w:b/>
          <w:bCs w:val="0"/>
        </w:rPr>
        <w:t>4</w:t>
      </w:r>
      <w:r>
        <w:rPr>
          <w:b/>
          <w:bCs w:val="0"/>
        </w:rPr>
        <w:t xml:space="preserve">  </w:t>
      </w:r>
      <w:r>
        <w:rPr>
          <w:rFonts w:hint="eastAsia"/>
          <w:bCs w:val="0"/>
          <w:lang w:val="zh-CN"/>
        </w:rPr>
        <w:t>布置在地下空间正上方的地面管理及</w:t>
      </w:r>
      <w:r>
        <w:rPr>
          <w:rFonts w:hint="eastAsia"/>
          <w:bCs w:val="0"/>
        </w:rPr>
        <w:t>辅助建筑</w:t>
      </w:r>
      <w:r>
        <w:rPr>
          <w:rFonts w:hint="eastAsia"/>
          <w:bCs w:val="0"/>
          <w:lang w:val="zh-CN"/>
        </w:rPr>
        <w:t>宜设置便捷的通道与地下生产车间相连，宜结合</w:t>
      </w:r>
      <w:r>
        <w:rPr>
          <w:rFonts w:hint="eastAsia"/>
          <w:bCs w:val="0"/>
        </w:rPr>
        <w:t>参观、</w:t>
      </w:r>
      <w:r>
        <w:rPr>
          <w:rFonts w:hint="eastAsia"/>
          <w:bCs w:val="0"/>
          <w:lang w:val="zh-CN"/>
        </w:rPr>
        <w:t>巡视、消防、运输设置电梯。</w:t>
      </w:r>
    </w:p>
    <w:p>
      <w:pPr>
        <w:pStyle w:val="4"/>
        <w:numPr>
          <w:ilvl w:val="0"/>
          <w:numId w:val="0"/>
        </w:numPr>
        <w:rPr>
          <w:bCs w:val="0"/>
          <w:lang w:val="zh-CN"/>
        </w:rPr>
      </w:pPr>
      <w:r>
        <w:rPr>
          <w:b/>
          <w:bCs w:val="0"/>
          <w:lang w:val="zh-CN"/>
        </w:rPr>
        <w:t>4.5.</w:t>
      </w:r>
      <w:r>
        <w:rPr>
          <w:rFonts w:hint="eastAsia"/>
          <w:b/>
          <w:bCs w:val="0"/>
        </w:rPr>
        <w:t>5</w:t>
      </w:r>
      <w:r>
        <w:rPr>
          <w:b/>
          <w:bCs w:val="0"/>
        </w:rPr>
        <w:t xml:space="preserve">  </w:t>
      </w:r>
      <w:r>
        <w:rPr>
          <w:rFonts w:hint="eastAsia"/>
          <w:bCs w:val="0"/>
          <w:lang w:val="zh-CN"/>
        </w:rPr>
        <w:t>尾气排放风塔、通风排风口的设计应</w:t>
      </w:r>
      <w:r>
        <w:rPr>
          <w:rFonts w:hint="eastAsia"/>
          <w:bCs w:val="0"/>
        </w:rPr>
        <w:t>符合</w:t>
      </w:r>
      <w:r>
        <w:rPr>
          <w:rFonts w:hint="eastAsia"/>
          <w:bCs w:val="0"/>
          <w:lang w:val="zh-CN"/>
        </w:rPr>
        <w:t>下</w:t>
      </w:r>
      <w:r>
        <w:rPr>
          <w:rFonts w:hint="eastAsia"/>
          <w:bCs w:val="0"/>
        </w:rPr>
        <w:t>列规定</w:t>
      </w:r>
      <w:r>
        <w:rPr>
          <w:rFonts w:hint="eastAsia"/>
          <w:bCs w:val="0"/>
          <w:lang w:val="zh-CN"/>
        </w:rPr>
        <w:t>：</w:t>
      </w:r>
    </w:p>
    <w:p>
      <w:pPr>
        <w:pStyle w:val="125"/>
        <w:numPr>
          <w:ilvl w:val="0"/>
          <w:numId w:val="0"/>
        </w:numPr>
        <w:ind w:left="282" w:firstLine="281" w:firstLineChars="100"/>
      </w:pPr>
      <w:r>
        <w:rPr>
          <w:b/>
        </w:rPr>
        <w:t>1</w:t>
      </w:r>
      <w:r>
        <w:t xml:space="preserve">  总平面的布置应有利于</w:t>
      </w:r>
      <w:r>
        <w:rPr>
          <w:rFonts w:hint="eastAsia"/>
        </w:rPr>
        <w:t>通风排放组织；</w:t>
      </w:r>
    </w:p>
    <w:p>
      <w:pPr>
        <w:pStyle w:val="125"/>
        <w:numPr>
          <w:ilvl w:val="0"/>
          <w:numId w:val="0"/>
        </w:numPr>
        <w:ind w:left="282" w:firstLine="281" w:firstLineChars="100"/>
      </w:pPr>
      <w:r>
        <w:rPr>
          <w:b/>
        </w:rPr>
        <w:t>2</w:t>
      </w:r>
      <w:r>
        <w:t xml:space="preserve">  风塔的下风位应避开敏感的建筑物和区域</w:t>
      </w:r>
      <w:r>
        <w:rPr>
          <w:rFonts w:hint="eastAsia"/>
        </w:rPr>
        <w:t>；</w:t>
      </w:r>
    </w:p>
    <w:p>
      <w:pPr>
        <w:pStyle w:val="125"/>
        <w:numPr>
          <w:ilvl w:val="0"/>
          <w:numId w:val="0"/>
        </w:numPr>
        <w:ind w:left="282" w:firstLine="281" w:firstLineChars="100"/>
      </w:pPr>
      <w:r>
        <w:rPr>
          <w:b/>
        </w:rPr>
        <w:t>3</w:t>
      </w:r>
      <w:r>
        <w:t xml:space="preserve">  风塔</w:t>
      </w:r>
      <w:r>
        <w:rPr>
          <w:rFonts w:hint="eastAsia"/>
        </w:rPr>
        <w:t>建筑造型应简洁美观，并与厂区建筑风格相协调；</w:t>
      </w:r>
    </w:p>
    <w:p>
      <w:pPr>
        <w:pStyle w:val="125"/>
        <w:numPr>
          <w:ilvl w:val="0"/>
          <w:numId w:val="0"/>
        </w:numPr>
        <w:ind w:left="282" w:firstLine="281" w:firstLineChars="100"/>
      </w:pPr>
      <w:r>
        <w:rPr>
          <w:b/>
        </w:rPr>
        <w:t>4</w:t>
      </w:r>
      <w:r>
        <w:t xml:space="preserve">  风塔的排放百叶不应将风导向地面，导风可采用平行或向上</w:t>
      </w:r>
      <w:r>
        <w:rPr>
          <w:rFonts w:hint="eastAsia"/>
        </w:rPr>
        <w:t>；</w:t>
      </w:r>
    </w:p>
    <w:p>
      <w:pPr>
        <w:pStyle w:val="125"/>
        <w:numPr>
          <w:ilvl w:val="0"/>
          <w:numId w:val="0"/>
        </w:numPr>
        <w:ind w:left="282" w:firstLine="281" w:firstLineChars="100"/>
      </w:pPr>
      <w:r>
        <w:rPr>
          <w:b/>
        </w:rPr>
        <w:t>5</w:t>
      </w:r>
      <w:r>
        <w:t xml:space="preserve">  风塔宜设置方便检修的爬梯</w:t>
      </w:r>
      <w:r>
        <w:rPr>
          <w:rFonts w:hint="eastAsia"/>
        </w:rPr>
        <w:t>；</w:t>
      </w:r>
    </w:p>
    <w:p>
      <w:pPr>
        <w:pStyle w:val="125"/>
        <w:numPr>
          <w:ilvl w:val="0"/>
          <w:numId w:val="0"/>
        </w:numPr>
        <w:ind w:left="282" w:firstLine="281" w:firstLineChars="100"/>
      </w:pPr>
      <w:r>
        <w:rPr>
          <w:b/>
        </w:rPr>
        <w:t>6</w:t>
      </w:r>
      <w:r>
        <w:t xml:space="preserve">  </w:t>
      </w:r>
      <w:r>
        <w:rPr>
          <w:rFonts w:hint="eastAsia"/>
        </w:rPr>
        <w:t>风塔应设置满足环保检测监测需要的取样口操作平台及上下通道；</w:t>
      </w:r>
    </w:p>
    <w:p>
      <w:pPr>
        <w:pStyle w:val="125"/>
        <w:numPr>
          <w:ilvl w:val="0"/>
          <w:numId w:val="0"/>
        </w:numPr>
        <w:ind w:left="282" w:firstLine="281" w:firstLineChars="100"/>
      </w:pPr>
      <w:r>
        <w:rPr>
          <w:b/>
        </w:rPr>
        <w:t>7</w:t>
      </w:r>
      <w:r>
        <w:t xml:space="preserve">  </w:t>
      </w:r>
      <w:r>
        <w:rPr>
          <w:rFonts w:hint="eastAsia"/>
        </w:rPr>
        <w:t>高空排放的排放塔（排气筒）布置宜与地面景观、周边建筑相结合。当排放塔（排气筒）可能影响航空器飞行安全时，应按现行国家标准《航空工业工程设计规范》GB 51170的有关规定设置航空障碍灯和标志。</w:t>
      </w:r>
    </w:p>
    <w:p>
      <w:pPr>
        <w:pStyle w:val="4"/>
        <w:numPr>
          <w:ilvl w:val="0"/>
          <w:numId w:val="0"/>
        </w:numPr>
        <w:rPr>
          <w:bCs w:val="0"/>
          <w:lang w:val="zh-CN"/>
        </w:rPr>
      </w:pPr>
      <w:r>
        <w:rPr>
          <w:b/>
          <w:bCs w:val="0"/>
          <w:lang w:val="zh-CN"/>
        </w:rPr>
        <w:t>4.5.</w:t>
      </w:r>
      <w:r>
        <w:rPr>
          <w:rFonts w:hint="eastAsia"/>
          <w:b/>
          <w:bCs w:val="0"/>
        </w:rPr>
        <w:t>6</w:t>
      </w:r>
      <w:r>
        <w:rPr>
          <w:b/>
          <w:bCs w:val="0"/>
        </w:rPr>
        <w:t xml:space="preserve">  </w:t>
      </w:r>
      <w:r>
        <w:rPr>
          <w:rFonts w:hint="eastAsia"/>
          <w:bCs w:val="0"/>
          <w:lang w:val="zh-CN"/>
        </w:rPr>
        <w:t>地下</w:t>
      </w:r>
      <w:r>
        <w:rPr>
          <w:rFonts w:hint="eastAsia"/>
          <w:bCs w:val="0"/>
        </w:rPr>
        <w:t>空间</w:t>
      </w:r>
      <w:r>
        <w:rPr>
          <w:rFonts w:hint="eastAsia"/>
          <w:bCs w:val="0"/>
          <w:lang w:val="zh-CN"/>
        </w:rPr>
        <w:t>防火分区宜按工艺功能来划分，并</w:t>
      </w:r>
      <w:r>
        <w:rPr>
          <w:rFonts w:hint="eastAsia"/>
          <w:bCs w:val="0"/>
        </w:rPr>
        <w:t>符合现行国家标准</w:t>
      </w:r>
      <w:r>
        <w:rPr>
          <w:rFonts w:hint="eastAsia"/>
          <w:bCs w:val="0"/>
          <w:lang w:val="zh-CN"/>
        </w:rPr>
        <w:t>《建筑设计防火规范》</w:t>
      </w:r>
      <w:r>
        <w:rPr>
          <w:bCs w:val="0"/>
          <w:lang w:val="zh-CN"/>
        </w:rPr>
        <w:t>GB 50016</w:t>
      </w:r>
      <w:r>
        <w:rPr>
          <w:rFonts w:hint="eastAsia"/>
          <w:bCs w:val="0"/>
          <w:lang w:val="zh-CN"/>
        </w:rPr>
        <w:t>的</w:t>
      </w:r>
      <w:r>
        <w:rPr>
          <w:rFonts w:hint="eastAsia"/>
          <w:bCs w:val="0"/>
        </w:rPr>
        <w:t>规定</w:t>
      </w:r>
      <w:r>
        <w:rPr>
          <w:rFonts w:hint="eastAsia"/>
          <w:bCs w:val="0"/>
          <w:lang w:val="zh-CN"/>
        </w:rPr>
        <w:t>。</w:t>
      </w:r>
    </w:p>
    <w:p>
      <w:pPr>
        <w:pStyle w:val="4"/>
        <w:numPr>
          <w:ilvl w:val="0"/>
          <w:numId w:val="0"/>
        </w:numPr>
        <w:rPr>
          <w:bCs w:val="0"/>
          <w:lang w:val="zh-CN"/>
        </w:rPr>
      </w:pPr>
      <w:r>
        <w:rPr>
          <w:b/>
          <w:bCs w:val="0"/>
          <w:lang w:val="zh-CN"/>
        </w:rPr>
        <w:t>4.5.</w:t>
      </w:r>
      <w:r>
        <w:rPr>
          <w:rFonts w:hint="eastAsia"/>
          <w:b/>
          <w:bCs w:val="0"/>
        </w:rPr>
        <w:t>7</w:t>
      </w:r>
      <w:r>
        <w:rPr>
          <w:b/>
          <w:bCs w:val="0"/>
        </w:rPr>
        <w:t xml:space="preserve">  </w:t>
      </w:r>
      <w:r>
        <w:rPr>
          <w:rFonts w:hint="eastAsia"/>
          <w:bCs w:val="0"/>
          <w:lang w:val="zh-CN"/>
        </w:rPr>
        <w:t>地下空间顶板宜</w:t>
      </w:r>
      <w:r>
        <w:rPr>
          <w:rFonts w:hint="eastAsia"/>
          <w:bCs w:val="0"/>
        </w:rPr>
        <w:t>采用</w:t>
      </w:r>
      <w:r>
        <w:rPr>
          <w:rFonts w:hint="eastAsia"/>
          <w:bCs w:val="0"/>
          <w:lang w:val="zh-CN"/>
        </w:rPr>
        <w:t>结构找坡，减少找坡构造量，增加地下负一层</w:t>
      </w:r>
      <w:r>
        <w:rPr>
          <w:rFonts w:hint="eastAsia"/>
          <w:bCs w:val="0"/>
        </w:rPr>
        <w:t>高度</w:t>
      </w:r>
      <w:r>
        <w:rPr>
          <w:rFonts w:hint="eastAsia"/>
          <w:bCs w:val="0"/>
          <w:lang w:val="zh-CN"/>
        </w:rPr>
        <w:t>。</w:t>
      </w:r>
    </w:p>
    <w:p>
      <w:pPr>
        <w:pStyle w:val="4"/>
        <w:numPr>
          <w:ilvl w:val="0"/>
          <w:numId w:val="0"/>
        </w:numPr>
        <w:rPr>
          <w:bCs w:val="0"/>
        </w:rPr>
      </w:pPr>
      <w:r>
        <w:rPr>
          <w:b/>
          <w:bCs w:val="0"/>
          <w:lang w:val="zh-CN"/>
        </w:rPr>
        <w:t>4.5.</w:t>
      </w:r>
      <w:r>
        <w:rPr>
          <w:rFonts w:hint="eastAsia"/>
          <w:b/>
          <w:bCs w:val="0"/>
          <w:lang w:val="zh-CN"/>
        </w:rPr>
        <w:t>8</w:t>
      </w:r>
      <w:r>
        <w:rPr>
          <w:b/>
          <w:bCs w:val="0"/>
        </w:rPr>
        <w:t xml:space="preserve">  </w:t>
      </w:r>
      <w:r>
        <w:rPr>
          <w:rFonts w:hint="eastAsia"/>
          <w:bCs w:val="0"/>
          <w:lang w:val="zh-CN"/>
        </w:rPr>
        <w:t>地下</w:t>
      </w:r>
      <w:r>
        <w:rPr>
          <w:rFonts w:hint="eastAsia"/>
          <w:bCs w:val="0"/>
        </w:rPr>
        <w:t>空间</w:t>
      </w:r>
      <w:r>
        <w:rPr>
          <w:rFonts w:hint="eastAsia"/>
          <w:bCs w:val="0"/>
          <w:lang w:val="zh-CN"/>
        </w:rPr>
        <w:t>生产防护栏杆设计应坚固耐用、防腐性能良好，局部有</w:t>
      </w:r>
      <w:r>
        <w:rPr>
          <w:rFonts w:hint="eastAsia"/>
          <w:bCs w:val="0"/>
        </w:rPr>
        <w:t>检修</w:t>
      </w:r>
      <w:r>
        <w:rPr>
          <w:rFonts w:hint="eastAsia"/>
          <w:bCs w:val="0"/>
          <w:lang w:val="zh-CN"/>
        </w:rPr>
        <w:t>要求的位置</w:t>
      </w:r>
      <w:r>
        <w:rPr>
          <w:rFonts w:hint="eastAsia"/>
          <w:bCs w:val="0"/>
        </w:rPr>
        <w:t>应设置</w:t>
      </w:r>
      <w:r>
        <w:rPr>
          <w:rFonts w:hint="eastAsia"/>
          <w:bCs w:val="0"/>
          <w:lang w:val="zh-CN"/>
        </w:rPr>
        <w:t>活动栏杆，栏杆底部宜设置防滑、防工具掉落安全挡板。</w:t>
      </w:r>
      <w:r>
        <w:rPr>
          <w:rFonts w:hint="eastAsia"/>
          <w:bCs w:val="0"/>
        </w:rPr>
        <w:t>安全疏散楼梯栏杆应符合现行国家标准</w:t>
      </w:r>
      <w:r>
        <w:rPr>
          <w:bCs w:val="0"/>
        </w:rPr>
        <w:t>《民用建筑设计统一标准》GB50352</w:t>
      </w:r>
      <w:r>
        <w:rPr>
          <w:rFonts w:hint="eastAsia"/>
          <w:bCs w:val="0"/>
        </w:rPr>
        <w:t>》的规定。</w:t>
      </w:r>
    </w:p>
    <w:p>
      <w:pPr>
        <w:pStyle w:val="4"/>
        <w:numPr>
          <w:ilvl w:val="255"/>
          <w:numId w:val="0"/>
        </w:numPr>
        <w:rPr>
          <w:b/>
          <w:bCs w:val="0"/>
          <w:lang w:val="zh-CN"/>
        </w:rPr>
      </w:pPr>
      <w:r>
        <w:rPr>
          <w:b/>
          <w:bCs w:val="0"/>
          <w:lang w:val="zh-CN"/>
        </w:rPr>
        <w:t>4.5.9</w:t>
      </w:r>
      <w:r>
        <w:rPr>
          <w:b/>
          <w:bCs w:val="0"/>
        </w:rPr>
        <w:t xml:space="preserve">  </w:t>
      </w:r>
      <w:r>
        <w:rPr>
          <w:rFonts w:hint="eastAsia"/>
          <w:lang w:val="zh-CN"/>
        </w:rPr>
        <w:t>地下空间顶板防水等级应为一级，其余为二级，上部为绿化的顶板防水层中应设置耐根穿刺防水层。</w:t>
      </w:r>
    </w:p>
    <w:p>
      <w:pPr>
        <w:pStyle w:val="4"/>
        <w:numPr>
          <w:ilvl w:val="0"/>
          <w:numId w:val="0"/>
        </w:numPr>
        <w:rPr>
          <w:bCs w:val="0"/>
          <w:lang w:val="zh-CN"/>
        </w:rPr>
      </w:pPr>
      <w:r>
        <w:rPr>
          <w:b/>
          <w:bCs w:val="0"/>
          <w:lang w:val="zh-CN"/>
        </w:rPr>
        <w:t>4.5.1</w:t>
      </w:r>
      <w:r>
        <w:rPr>
          <w:rFonts w:hint="eastAsia"/>
          <w:b/>
          <w:bCs w:val="0"/>
        </w:rPr>
        <w:t>0</w:t>
      </w:r>
      <w:r>
        <w:rPr>
          <w:b/>
          <w:bCs w:val="0"/>
        </w:rPr>
        <w:t xml:space="preserve">  </w:t>
      </w:r>
      <w:r>
        <w:rPr>
          <w:rFonts w:hint="eastAsia"/>
          <w:bCs w:val="0"/>
          <w:lang w:val="zh-CN"/>
        </w:rPr>
        <w:t>地下空间内应采用</w:t>
      </w:r>
      <w:r>
        <w:rPr>
          <w:rFonts w:hint="eastAsia"/>
          <w:bCs w:val="0"/>
        </w:rPr>
        <w:t>防火、</w:t>
      </w:r>
      <w:r>
        <w:rPr>
          <w:rFonts w:hint="eastAsia"/>
          <w:bCs w:val="0"/>
          <w:lang w:val="zh-CN"/>
        </w:rPr>
        <w:t>防潮、防腐、耐久、易清洁、便于施工维护的建筑材料，地面材料应防滑和耐磨。</w:t>
      </w:r>
    </w:p>
    <w:p>
      <w:pPr>
        <w:pStyle w:val="4"/>
        <w:numPr>
          <w:ilvl w:val="0"/>
          <w:numId w:val="0"/>
        </w:numPr>
        <w:rPr>
          <w:bCs w:val="0"/>
          <w:lang w:val="zh-CN"/>
        </w:rPr>
      </w:pPr>
      <w:r>
        <w:rPr>
          <w:b/>
          <w:bCs w:val="0"/>
          <w:lang w:val="zh-CN"/>
        </w:rPr>
        <w:t>4.5.1</w:t>
      </w:r>
      <w:r>
        <w:rPr>
          <w:rFonts w:hint="eastAsia"/>
          <w:b/>
          <w:bCs w:val="0"/>
        </w:rPr>
        <w:t>1</w:t>
      </w:r>
      <w:r>
        <w:rPr>
          <w:b/>
          <w:bCs w:val="0"/>
        </w:rPr>
        <w:t xml:space="preserve">  </w:t>
      </w:r>
      <w:r>
        <w:rPr>
          <w:rFonts w:hint="eastAsia"/>
          <w:bCs w:val="0"/>
          <w:lang w:val="zh-CN"/>
        </w:rPr>
        <w:t>地下空间内应结合防火分区进行防臭分区，有较大臭气污染源的工艺设备和构筑物宜采用分级密封，密封材料应采用气密性好，不易老化的材料。臭气浓度变化较大的不同区域间宜设置防臭门斗。</w:t>
      </w:r>
    </w:p>
    <w:p>
      <w:pPr>
        <w:pStyle w:val="4"/>
        <w:numPr>
          <w:ilvl w:val="0"/>
          <w:numId w:val="0"/>
        </w:numPr>
        <w:rPr>
          <w:b/>
          <w:lang w:val="zh-CN"/>
        </w:rPr>
      </w:pPr>
      <w:r>
        <w:rPr>
          <w:b/>
          <w:bCs w:val="0"/>
          <w:lang w:val="zh-CN"/>
        </w:rPr>
        <w:t>4.5.1</w:t>
      </w:r>
      <w:r>
        <w:rPr>
          <w:rFonts w:hint="eastAsia"/>
          <w:b/>
          <w:bCs w:val="0"/>
        </w:rPr>
        <w:t>2</w:t>
      </w:r>
      <w:r>
        <w:rPr>
          <w:b/>
          <w:bCs w:val="0"/>
        </w:rPr>
        <w:t xml:space="preserve">  </w:t>
      </w:r>
      <w:r>
        <w:rPr>
          <w:rFonts w:hint="eastAsia"/>
          <w:bCs w:val="0"/>
          <w:lang w:val="zh-CN"/>
        </w:rPr>
        <w:t>分期建设的地下</w:t>
      </w:r>
      <w:r>
        <w:rPr>
          <w:rFonts w:hint="eastAsia"/>
          <w:bCs w:val="0"/>
        </w:rPr>
        <w:t>空间</w:t>
      </w:r>
      <w:r>
        <w:rPr>
          <w:rFonts w:hint="eastAsia"/>
          <w:bCs w:val="0"/>
          <w:lang w:val="zh-CN"/>
        </w:rPr>
        <w:t>应预留远期扩建地下通道接口。</w:t>
      </w:r>
    </w:p>
    <w:p>
      <w:pPr>
        <w:pStyle w:val="4"/>
        <w:numPr>
          <w:ilvl w:val="0"/>
          <w:numId w:val="0"/>
        </w:numPr>
        <w:rPr>
          <w:bCs w:val="0"/>
          <w:lang w:val="zh-CN"/>
        </w:rPr>
      </w:pPr>
      <w:r>
        <w:rPr>
          <w:b/>
          <w:bCs w:val="0"/>
          <w:lang w:val="zh-CN"/>
        </w:rPr>
        <w:t>4.5.1</w:t>
      </w:r>
      <w:r>
        <w:rPr>
          <w:rFonts w:hint="eastAsia"/>
          <w:b/>
          <w:bCs w:val="0"/>
        </w:rPr>
        <w:t>3</w:t>
      </w:r>
      <w:r>
        <w:rPr>
          <w:b/>
          <w:bCs w:val="0"/>
        </w:rPr>
        <w:t xml:space="preserve">  </w:t>
      </w:r>
      <w:r>
        <w:rPr>
          <w:rFonts w:hint="eastAsia"/>
          <w:bCs w:val="0"/>
          <w:lang w:val="zh-CN"/>
        </w:rPr>
        <w:t>当条件适宜时，地面</w:t>
      </w:r>
      <w:r>
        <w:rPr>
          <w:rFonts w:hint="eastAsia"/>
          <w:bCs w:val="0"/>
        </w:rPr>
        <w:t>综合体</w:t>
      </w:r>
      <w:r>
        <w:rPr>
          <w:rFonts w:hint="eastAsia"/>
          <w:bCs w:val="0"/>
          <w:lang w:val="zh-CN"/>
        </w:rPr>
        <w:t>宜</w:t>
      </w:r>
      <w:r>
        <w:rPr>
          <w:bCs w:val="0"/>
          <w:lang w:val="zh-CN"/>
        </w:rPr>
        <w:t>结合城市整体开发建设需要，统筹考虑公共设施、主题公园、相关科技展馆及公益体育等综合利用</w:t>
      </w:r>
      <w:r>
        <w:rPr>
          <w:rFonts w:hint="eastAsia"/>
          <w:bCs w:val="0"/>
          <w:lang w:val="zh-CN"/>
        </w:rPr>
        <w:t>，</w:t>
      </w:r>
      <w:r>
        <w:rPr>
          <w:bCs w:val="0"/>
          <w:lang w:val="zh-CN"/>
        </w:rPr>
        <w:t>与周边环境景观相协调</w:t>
      </w:r>
      <w:r>
        <w:rPr>
          <w:rFonts w:hint="eastAsia"/>
          <w:bCs w:val="0"/>
          <w:lang w:val="zh-CN"/>
        </w:rPr>
        <w:t>，</w:t>
      </w:r>
      <w:r>
        <w:rPr>
          <w:rFonts w:hint="eastAsia"/>
          <w:bCs w:val="0"/>
        </w:rPr>
        <w:t>宜与</w:t>
      </w:r>
      <w:r>
        <w:rPr>
          <w:rFonts w:hint="eastAsia"/>
          <w:bCs w:val="0"/>
          <w:lang w:val="zh-CN"/>
        </w:rPr>
        <w:t>地下厂区同时设计、同时施工、同时投产使用。</w:t>
      </w:r>
    </w:p>
    <w:p>
      <w:pPr>
        <w:pStyle w:val="4"/>
        <w:numPr>
          <w:ilvl w:val="0"/>
          <w:numId w:val="0"/>
        </w:numPr>
        <w:rPr>
          <w:b/>
          <w:lang w:val="zh-CN"/>
        </w:rPr>
      </w:pPr>
      <w:r>
        <w:rPr>
          <w:b/>
          <w:bCs w:val="0"/>
          <w:lang w:val="zh-CN"/>
        </w:rPr>
        <w:t>4.5.1</w:t>
      </w:r>
      <w:r>
        <w:rPr>
          <w:b/>
          <w:bCs w:val="0"/>
        </w:rPr>
        <w:t xml:space="preserve">4  </w:t>
      </w:r>
      <w:r>
        <w:rPr>
          <w:rFonts w:hint="eastAsia"/>
          <w:bCs w:val="0"/>
          <w:lang w:val="zh-CN"/>
        </w:rPr>
        <w:t>设置在消防车道、</w:t>
      </w:r>
      <w:r>
        <w:rPr>
          <w:rFonts w:hint="eastAsia"/>
          <w:bCs w:val="0"/>
        </w:rPr>
        <w:t>物料</w:t>
      </w:r>
      <w:r>
        <w:rPr>
          <w:rFonts w:hint="eastAsia"/>
          <w:bCs w:val="0"/>
          <w:lang w:val="zh-CN"/>
        </w:rPr>
        <w:t>运输车道、</w:t>
      </w:r>
      <w:r>
        <w:rPr>
          <w:rFonts w:hint="eastAsia"/>
          <w:bCs w:val="0"/>
        </w:rPr>
        <w:t>消防救援场地和</w:t>
      </w:r>
      <w:r>
        <w:rPr>
          <w:rFonts w:hint="eastAsia"/>
          <w:bCs w:val="0"/>
          <w:lang w:val="zh-CN"/>
        </w:rPr>
        <w:t>设备检修</w:t>
      </w:r>
      <w:r>
        <w:rPr>
          <w:rFonts w:hint="eastAsia"/>
          <w:bCs w:val="0"/>
        </w:rPr>
        <w:t>吊装场地</w:t>
      </w:r>
      <w:r>
        <w:rPr>
          <w:rFonts w:hint="eastAsia"/>
          <w:bCs w:val="0"/>
          <w:lang w:val="zh-CN"/>
        </w:rPr>
        <w:t>之下的顶板应能承受重型消防车、</w:t>
      </w:r>
      <w:r>
        <w:rPr>
          <w:rFonts w:hint="eastAsia"/>
          <w:bCs w:val="0"/>
        </w:rPr>
        <w:t>物料</w:t>
      </w:r>
      <w:r>
        <w:rPr>
          <w:rFonts w:hint="eastAsia"/>
          <w:bCs w:val="0"/>
          <w:lang w:val="zh-CN"/>
        </w:rPr>
        <w:t>运输车、设备检修起吊车等</w:t>
      </w:r>
      <w:r>
        <w:rPr>
          <w:rFonts w:hint="eastAsia"/>
          <w:bCs w:val="0"/>
        </w:rPr>
        <w:t>荷载</w:t>
      </w:r>
      <w:r>
        <w:rPr>
          <w:rFonts w:hint="eastAsia"/>
          <w:bCs w:val="0"/>
          <w:lang w:val="zh-CN"/>
        </w:rPr>
        <w:t>的压力。</w:t>
      </w:r>
    </w:p>
    <w:p>
      <w:pPr>
        <w:ind w:firstLine="560" w:firstLineChars="0"/>
        <w:rPr>
          <w:b/>
          <w:lang w:val="zh-CN"/>
        </w:rPr>
      </w:pPr>
    </w:p>
    <w:p>
      <w:pPr>
        <w:pStyle w:val="3"/>
        <w:spacing w:before="624" w:after="624"/>
      </w:pPr>
      <w:bookmarkStart w:id="451" w:name="_Toc59113311"/>
      <w:bookmarkEnd w:id="451"/>
      <w:bookmarkStart w:id="452" w:name="_Toc58319963"/>
      <w:bookmarkEnd w:id="452"/>
      <w:bookmarkStart w:id="453" w:name="_Toc59113315"/>
      <w:bookmarkEnd w:id="453"/>
      <w:bookmarkStart w:id="454" w:name="_Toc58259496"/>
      <w:bookmarkEnd w:id="454"/>
      <w:bookmarkStart w:id="455" w:name="_Toc59114716"/>
      <w:bookmarkEnd w:id="455"/>
      <w:bookmarkStart w:id="456" w:name="_Toc59113741"/>
      <w:bookmarkEnd w:id="456"/>
      <w:bookmarkStart w:id="457" w:name="_Toc59631179"/>
      <w:bookmarkEnd w:id="457"/>
      <w:bookmarkStart w:id="458" w:name="_Toc58320201"/>
      <w:bookmarkEnd w:id="458"/>
      <w:bookmarkStart w:id="459" w:name="_Toc59116936"/>
      <w:bookmarkEnd w:id="459"/>
      <w:bookmarkStart w:id="460" w:name="_Toc58319958"/>
      <w:bookmarkEnd w:id="460"/>
      <w:bookmarkStart w:id="461" w:name="_Toc58245211"/>
      <w:bookmarkEnd w:id="461"/>
      <w:bookmarkStart w:id="462" w:name="_Toc58257178"/>
      <w:bookmarkEnd w:id="462"/>
      <w:bookmarkStart w:id="463" w:name="_Toc59203916"/>
      <w:bookmarkEnd w:id="463"/>
      <w:bookmarkStart w:id="464" w:name="_Toc58318636"/>
      <w:bookmarkEnd w:id="464"/>
      <w:bookmarkStart w:id="465" w:name="_Toc59016906"/>
      <w:bookmarkEnd w:id="465"/>
      <w:bookmarkStart w:id="466" w:name="_Toc59116915"/>
      <w:bookmarkEnd w:id="466"/>
      <w:bookmarkStart w:id="467" w:name="_Toc59113308"/>
      <w:bookmarkEnd w:id="467"/>
      <w:bookmarkStart w:id="468" w:name="_Toc59021420"/>
      <w:bookmarkEnd w:id="468"/>
      <w:bookmarkStart w:id="469" w:name="_Toc58861686"/>
      <w:bookmarkEnd w:id="469"/>
      <w:bookmarkStart w:id="470" w:name="_Toc59016928"/>
      <w:bookmarkEnd w:id="470"/>
      <w:bookmarkStart w:id="471" w:name="_Toc58857930"/>
      <w:bookmarkEnd w:id="471"/>
      <w:bookmarkStart w:id="472" w:name="_Toc58259500"/>
      <w:bookmarkEnd w:id="472"/>
      <w:bookmarkStart w:id="473" w:name="_Toc59631180"/>
      <w:bookmarkEnd w:id="473"/>
      <w:bookmarkStart w:id="474" w:name="_Toc59114736"/>
      <w:bookmarkEnd w:id="474"/>
      <w:bookmarkStart w:id="475" w:name="_Toc59630225"/>
      <w:bookmarkEnd w:id="475"/>
      <w:bookmarkStart w:id="476" w:name="_Toc59542821"/>
      <w:bookmarkEnd w:id="476"/>
      <w:bookmarkStart w:id="477" w:name="_Toc59016911"/>
      <w:bookmarkEnd w:id="477"/>
      <w:bookmarkStart w:id="478" w:name="_Toc59113313"/>
      <w:bookmarkEnd w:id="478"/>
      <w:bookmarkStart w:id="479" w:name="_Toc59017221"/>
      <w:bookmarkEnd w:id="479"/>
      <w:bookmarkStart w:id="480" w:name="_Toc58319978"/>
      <w:bookmarkEnd w:id="480"/>
      <w:bookmarkStart w:id="481" w:name="_Toc57998266"/>
      <w:bookmarkEnd w:id="481"/>
      <w:bookmarkStart w:id="482" w:name="_Toc59021435"/>
      <w:bookmarkEnd w:id="482"/>
      <w:bookmarkStart w:id="483" w:name="_Toc58857945"/>
      <w:bookmarkEnd w:id="483"/>
      <w:bookmarkStart w:id="484" w:name="_Toc59630202"/>
      <w:bookmarkEnd w:id="484"/>
      <w:bookmarkStart w:id="485" w:name="_Toc58861693"/>
      <w:bookmarkEnd w:id="485"/>
      <w:bookmarkStart w:id="486" w:name="_Toc58318643"/>
      <w:bookmarkEnd w:id="486"/>
      <w:bookmarkStart w:id="487" w:name="_Toc58318800"/>
      <w:bookmarkEnd w:id="487"/>
      <w:bookmarkStart w:id="488" w:name="_Toc59542814"/>
      <w:bookmarkEnd w:id="488"/>
      <w:bookmarkStart w:id="489" w:name="_Toc58319962"/>
      <w:bookmarkEnd w:id="489"/>
      <w:bookmarkStart w:id="490" w:name="_Toc57998477"/>
      <w:bookmarkEnd w:id="490"/>
      <w:bookmarkStart w:id="491" w:name="_Toc58318642"/>
      <w:bookmarkEnd w:id="491"/>
      <w:bookmarkStart w:id="492" w:name="_Toc58257184"/>
      <w:bookmarkEnd w:id="492"/>
      <w:bookmarkStart w:id="493" w:name="_Toc58861709"/>
      <w:bookmarkEnd w:id="493"/>
      <w:bookmarkStart w:id="494" w:name="_Toc59203921"/>
      <w:bookmarkEnd w:id="494"/>
      <w:bookmarkStart w:id="495" w:name="_Toc59016913"/>
      <w:bookmarkEnd w:id="495"/>
      <w:bookmarkStart w:id="496" w:name="_Toc59546084"/>
      <w:bookmarkEnd w:id="496"/>
      <w:bookmarkStart w:id="497" w:name="_Toc58861692"/>
      <w:bookmarkEnd w:id="497"/>
      <w:bookmarkStart w:id="498" w:name="_Toc58318658"/>
      <w:bookmarkEnd w:id="498"/>
      <w:bookmarkStart w:id="499" w:name="_Toc58257179"/>
      <w:bookmarkEnd w:id="499"/>
      <w:bookmarkStart w:id="500" w:name="_Toc59113310"/>
      <w:bookmarkEnd w:id="500"/>
      <w:bookmarkStart w:id="501" w:name="_Toc57998267"/>
      <w:bookmarkEnd w:id="501"/>
      <w:bookmarkStart w:id="502" w:name="_Toc58259592"/>
      <w:bookmarkEnd w:id="502"/>
      <w:bookmarkStart w:id="503" w:name="_Toc59542820"/>
      <w:bookmarkEnd w:id="503"/>
      <w:bookmarkStart w:id="504" w:name="_Toc59016905"/>
      <w:bookmarkEnd w:id="504"/>
      <w:bookmarkStart w:id="505" w:name="_Toc59203914"/>
      <w:bookmarkEnd w:id="505"/>
      <w:bookmarkStart w:id="506" w:name="_Toc58257181"/>
      <w:bookmarkEnd w:id="506"/>
      <w:bookmarkStart w:id="507" w:name="_Toc59631197"/>
      <w:bookmarkEnd w:id="507"/>
      <w:bookmarkStart w:id="508" w:name="_Toc59630203"/>
      <w:bookmarkEnd w:id="508"/>
      <w:bookmarkStart w:id="509" w:name="_Toc59021417"/>
      <w:bookmarkEnd w:id="509"/>
      <w:bookmarkStart w:id="510" w:name="_Toc59542818"/>
      <w:bookmarkEnd w:id="510"/>
      <w:bookmarkStart w:id="511" w:name="_Toc57998482"/>
      <w:bookmarkEnd w:id="511"/>
      <w:bookmarkStart w:id="512" w:name="_Toc57997649"/>
      <w:bookmarkEnd w:id="512"/>
      <w:bookmarkStart w:id="513" w:name="_Toc57997632"/>
      <w:bookmarkEnd w:id="513"/>
      <w:bookmarkStart w:id="514" w:name="_Toc58861953"/>
      <w:bookmarkEnd w:id="514"/>
      <w:bookmarkStart w:id="515" w:name="_Toc57998373"/>
      <w:bookmarkEnd w:id="515"/>
      <w:bookmarkStart w:id="516" w:name="_Toc59017227"/>
      <w:bookmarkEnd w:id="516"/>
      <w:bookmarkStart w:id="517" w:name="_Toc58861694"/>
      <w:bookmarkEnd w:id="517"/>
      <w:bookmarkStart w:id="518" w:name="_Toc59016908"/>
      <w:bookmarkEnd w:id="518"/>
      <w:bookmarkStart w:id="519" w:name="_Toc58861967"/>
      <w:bookmarkEnd w:id="519"/>
      <w:bookmarkStart w:id="520" w:name="_Toc58857922"/>
      <w:bookmarkEnd w:id="520"/>
      <w:bookmarkStart w:id="521" w:name="_Toc57997629"/>
      <w:bookmarkEnd w:id="521"/>
      <w:bookmarkStart w:id="522" w:name="_Toc59716772"/>
      <w:bookmarkEnd w:id="522"/>
      <w:bookmarkStart w:id="523" w:name="_Toc59542816"/>
      <w:bookmarkEnd w:id="523"/>
      <w:bookmarkStart w:id="524" w:name="_Toc58245194"/>
      <w:bookmarkEnd w:id="524"/>
      <w:bookmarkStart w:id="525" w:name="_Toc59716766"/>
      <w:bookmarkEnd w:id="525"/>
      <w:bookmarkStart w:id="526" w:name="_Toc57998498"/>
      <w:bookmarkEnd w:id="526"/>
      <w:bookmarkStart w:id="527" w:name="_Toc59203935"/>
      <w:bookmarkEnd w:id="527"/>
      <w:bookmarkStart w:id="528" w:name="_Toc57998478"/>
      <w:bookmarkEnd w:id="528"/>
      <w:bookmarkStart w:id="529" w:name="_Toc59542836"/>
      <w:bookmarkEnd w:id="529"/>
      <w:bookmarkStart w:id="530" w:name="_Toc59546090"/>
      <w:bookmarkEnd w:id="530"/>
      <w:bookmarkStart w:id="531" w:name="_Toc57997631"/>
      <w:bookmarkEnd w:id="531"/>
      <w:bookmarkStart w:id="532" w:name="_Toc58259498"/>
      <w:bookmarkEnd w:id="532"/>
      <w:bookmarkStart w:id="533" w:name="_Toc59631177"/>
      <w:bookmarkEnd w:id="533"/>
      <w:bookmarkStart w:id="534" w:name="_Toc59113316"/>
      <w:bookmarkEnd w:id="534"/>
      <w:bookmarkStart w:id="535" w:name="_Toc59021414"/>
      <w:bookmarkEnd w:id="535"/>
      <w:bookmarkStart w:id="536" w:name="_Toc58857929"/>
      <w:bookmarkEnd w:id="536"/>
      <w:bookmarkStart w:id="537" w:name="_Toc59116917"/>
      <w:bookmarkEnd w:id="537"/>
      <w:bookmarkStart w:id="538" w:name="_Toc59116921"/>
      <w:bookmarkEnd w:id="538"/>
      <w:bookmarkStart w:id="539" w:name="_Toc57998481"/>
      <w:bookmarkEnd w:id="539"/>
      <w:bookmarkStart w:id="540" w:name="_Toc59016927"/>
      <w:bookmarkEnd w:id="540"/>
      <w:bookmarkStart w:id="541" w:name="_Toc59021416"/>
      <w:bookmarkEnd w:id="541"/>
      <w:bookmarkStart w:id="542" w:name="_Toc58259586"/>
      <w:bookmarkEnd w:id="542"/>
      <w:bookmarkStart w:id="543" w:name="_Toc58318816"/>
      <w:bookmarkEnd w:id="543"/>
      <w:bookmarkStart w:id="544" w:name="_Toc59630204"/>
      <w:bookmarkEnd w:id="544"/>
      <w:bookmarkStart w:id="545" w:name="_Toc58320202"/>
      <w:bookmarkEnd w:id="545"/>
      <w:bookmarkStart w:id="546" w:name="_Toc59546092"/>
      <w:bookmarkEnd w:id="546"/>
      <w:bookmarkStart w:id="547" w:name="_Toc59016910"/>
      <w:bookmarkEnd w:id="547"/>
      <w:bookmarkStart w:id="548" w:name="_Toc96351993"/>
      <w:bookmarkEnd w:id="548"/>
      <w:bookmarkStart w:id="549" w:name="_Toc59716771"/>
      <w:bookmarkEnd w:id="549"/>
      <w:bookmarkStart w:id="550" w:name="_Toc59113331"/>
      <w:bookmarkEnd w:id="550"/>
      <w:bookmarkStart w:id="551" w:name="_Toc59113761"/>
      <w:bookmarkEnd w:id="551"/>
      <w:bookmarkStart w:id="552" w:name="_Toc59630205"/>
      <w:bookmarkEnd w:id="552"/>
      <w:bookmarkStart w:id="553" w:name="_Toc58318638"/>
      <w:bookmarkEnd w:id="553"/>
      <w:bookmarkStart w:id="554" w:name="_Toc59630207"/>
      <w:bookmarkEnd w:id="554"/>
      <w:bookmarkStart w:id="555" w:name="_Toc58259594"/>
      <w:bookmarkEnd w:id="555"/>
      <w:bookmarkStart w:id="556" w:name="_Toc59716786"/>
      <w:bookmarkEnd w:id="556"/>
      <w:bookmarkStart w:id="557" w:name="_Toc59203936"/>
      <w:bookmarkEnd w:id="557"/>
      <w:bookmarkStart w:id="558" w:name="_Toc58857927"/>
      <w:bookmarkEnd w:id="558"/>
      <w:bookmarkStart w:id="559" w:name="_Toc57998268"/>
      <w:bookmarkEnd w:id="559"/>
      <w:bookmarkStart w:id="560" w:name="_Toc58319960"/>
      <w:bookmarkEnd w:id="560"/>
      <w:bookmarkStart w:id="561" w:name="_Toc59116935"/>
      <w:bookmarkEnd w:id="561"/>
      <w:bookmarkStart w:id="562" w:name="_Toc59542837"/>
      <w:bookmarkEnd w:id="562"/>
      <w:bookmarkStart w:id="563" w:name="_Toc59016907"/>
      <w:bookmarkEnd w:id="563"/>
      <w:bookmarkStart w:id="564" w:name="_Toc59203919"/>
      <w:bookmarkEnd w:id="564"/>
      <w:bookmarkStart w:id="565" w:name="_Toc58861950"/>
      <w:bookmarkEnd w:id="565"/>
      <w:bookmarkStart w:id="566" w:name="_Toc59546091"/>
      <w:bookmarkEnd w:id="566"/>
      <w:bookmarkStart w:id="567" w:name="_Toc59209207"/>
      <w:bookmarkEnd w:id="567"/>
      <w:bookmarkStart w:id="568" w:name="_Toc59209204"/>
      <w:bookmarkEnd w:id="568"/>
      <w:bookmarkStart w:id="569" w:name="_Toc59630210"/>
      <w:bookmarkEnd w:id="569"/>
      <w:bookmarkStart w:id="570" w:name="_Toc58861708"/>
      <w:bookmarkEnd w:id="570"/>
      <w:bookmarkStart w:id="571" w:name="_Toc58318635"/>
      <w:bookmarkEnd w:id="571"/>
      <w:bookmarkStart w:id="572" w:name="_Toc57998354"/>
      <w:bookmarkEnd w:id="572"/>
      <w:bookmarkStart w:id="573" w:name="_Toc59017241"/>
      <w:bookmarkEnd w:id="573"/>
      <w:bookmarkStart w:id="574" w:name="_Toc58259504"/>
      <w:bookmarkEnd w:id="574"/>
      <w:bookmarkStart w:id="575" w:name="_Toc59546088"/>
      <w:bookmarkEnd w:id="575"/>
      <w:bookmarkStart w:id="576" w:name="_Toc57997630"/>
      <w:bookmarkEnd w:id="576"/>
      <w:bookmarkStart w:id="577" w:name="_Toc59021418"/>
      <w:bookmarkEnd w:id="577"/>
      <w:bookmarkStart w:id="578" w:name="_Toc57997648"/>
      <w:bookmarkEnd w:id="578"/>
      <w:bookmarkStart w:id="579" w:name="_Toc58259590"/>
      <w:bookmarkEnd w:id="579"/>
      <w:bookmarkStart w:id="580" w:name="_Toc59546107"/>
      <w:bookmarkEnd w:id="580"/>
      <w:bookmarkStart w:id="581" w:name="_Toc58257200"/>
      <w:bookmarkEnd w:id="581"/>
      <w:bookmarkStart w:id="582" w:name="_Toc59113330"/>
      <w:bookmarkEnd w:id="582"/>
      <w:bookmarkStart w:id="583" w:name="_Toc58257199"/>
      <w:bookmarkEnd w:id="583"/>
      <w:bookmarkStart w:id="584" w:name="_Toc59631183"/>
      <w:bookmarkEnd w:id="584"/>
      <w:bookmarkStart w:id="585" w:name="_Toc59209221"/>
      <w:bookmarkEnd w:id="585"/>
      <w:bookmarkStart w:id="586" w:name="_Toc57997633"/>
      <w:bookmarkEnd w:id="586"/>
      <w:bookmarkStart w:id="587" w:name="_Toc58319961"/>
      <w:bookmarkEnd w:id="587"/>
      <w:bookmarkStart w:id="588" w:name="_Toc59114737"/>
      <w:bookmarkEnd w:id="588"/>
      <w:bookmarkStart w:id="589" w:name="_Toc58318799"/>
      <w:bookmarkEnd w:id="589"/>
      <w:bookmarkStart w:id="590" w:name="_Toc58318798"/>
      <w:bookmarkEnd w:id="590"/>
      <w:bookmarkStart w:id="591" w:name="_Toc58861690"/>
      <w:bookmarkEnd w:id="591"/>
      <w:bookmarkStart w:id="592" w:name="_Toc59631198"/>
      <w:bookmarkEnd w:id="592"/>
      <w:bookmarkStart w:id="593" w:name="_Toc57998271"/>
      <w:bookmarkEnd w:id="593"/>
      <w:bookmarkStart w:id="594" w:name="_Toc58257183"/>
      <w:bookmarkEnd w:id="594"/>
      <w:bookmarkStart w:id="595" w:name="_Toc58245193"/>
      <w:bookmarkEnd w:id="595"/>
      <w:bookmarkStart w:id="596" w:name="_Toc59116914"/>
      <w:bookmarkEnd w:id="596"/>
      <w:bookmarkStart w:id="597" w:name="_Toc59016912"/>
      <w:bookmarkEnd w:id="597"/>
      <w:bookmarkStart w:id="598" w:name="_Toc59716770"/>
      <w:bookmarkEnd w:id="598"/>
      <w:bookmarkStart w:id="599" w:name="_Toc57998374"/>
      <w:bookmarkEnd w:id="599"/>
      <w:bookmarkStart w:id="600" w:name="_Toc58259591"/>
      <w:bookmarkEnd w:id="600"/>
      <w:bookmarkStart w:id="601" w:name="_Toc57998479"/>
      <w:bookmarkEnd w:id="601"/>
      <w:bookmarkStart w:id="602" w:name="_Toc96358473"/>
      <w:bookmarkEnd w:id="602"/>
      <w:bookmarkStart w:id="603" w:name="_Toc59116916"/>
      <w:bookmarkEnd w:id="603"/>
      <w:bookmarkStart w:id="604" w:name="_Toc59631181"/>
      <w:bookmarkEnd w:id="604"/>
      <w:bookmarkStart w:id="605" w:name="_Toc58318801"/>
      <w:bookmarkEnd w:id="605"/>
      <w:bookmarkStart w:id="606" w:name="_Toc58259609"/>
      <w:bookmarkEnd w:id="606"/>
      <w:bookmarkStart w:id="607" w:name="_Toc58320221"/>
      <w:bookmarkEnd w:id="607"/>
      <w:bookmarkStart w:id="608" w:name="_Toc59630209"/>
      <w:bookmarkEnd w:id="608"/>
      <w:bookmarkStart w:id="609" w:name="_Toc59021419"/>
      <w:bookmarkEnd w:id="609"/>
      <w:bookmarkStart w:id="610" w:name="_Toc58318640"/>
      <w:bookmarkEnd w:id="610"/>
      <w:bookmarkStart w:id="611" w:name="_Toc59116913"/>
      <w:bookmarkEnd w:id="611"/>
      <w:bookmarkStart w:id="612" w:name="_Toc58319959"/>
      <w:bookmarkEnd w:id="612"/>
      <w:bookmarkStart w:id="613" w:name="_Toc58245212"/>
      <w:bookmarkEnd w:id="613"/>
      <w:bookmarkStart w:id="614" w:name="_Toc59209206"/>
      <w:bookmarkEnd w:id="614"/>
      <w:bookmarkStart w:id="615" w:name="_Toc58857923"/>
      <w:bookmarkEnd w:id="615"/>
      <w:bookmarkStart w:id="616" w:name="_Toc58319977"/>
      <w:bookmarkEnd w:id="616"/>
      <w:bookmarkStart w:id="617" w:name="_Toc59021413"/>
      <w:bookmarkEnd w:id="617"/>
      <w:bookmarkStart w:id="618" w:name="_Toc59021412"/>
      <w:bookmarkEnd w:id="618"/>
      <w:bookmarkStart w:id="619" w:name="_Toc59546106"/>
      <w:bookmarkEnd w:id="619"/>
      <w:bookmarkStart w:id="620" w:name="_Toc59114719"/>
      <w:bookmarkEnd w:id="620"/>
      <w:bookmarkStart w:id="621" w:name="_Toc58257182"/>
      <w:bookmarkEnd w:id="621"/>
      <w:bookmarkStart w:id="622" w:name="_Toc59017220"/>
      <w:bookmarkEnd w:id="622"/>
      <w:bookmarkStart w:id="623" w:name="_Toc58857925"/>
      <w:bookmarkEnd w:id="623"/>
      <w:bookmarkStart w:id="624" w:name="_Toc59631182"/>
      <w:bookmarkEnd w:id="624"/>
      <w:bookmarkStart w:id="625" w:name="_Toc57998270"/>
      <w:bookmarkEnd w:id="625"/>
      <w:bookmarkStart w:id="626" w:name="_Toc59113745"/>
      <w:bookmarkEnd w:id="626"/>
      <w:bookmarkStart w:id="627" w:name="_Toc59542815"/>
      <w:bookmarkEnd w:id="627"/>
      <w:bookmarkStart w:id="628" w:name="_Toc58861688"/>
      <w:bookmarkEnd w:id="628"/>
      <w:bookmarkStart w:id="629" w:name="_Toc58257180"/>
      <w:bookmarkEnd w:id="629"/>
      <w:bookmarkStart w:id="630" w:name="_Toc57998359"/>
      <w:bookmarkEnd w:id="630"/>
      <w:bookmarkStart w:id="631" w:name="_Toc58861949"/>
      <w:bookmarkEnd w:id="631"/>
      <w:bookmarkStart w:id="632" w:name="_Toc57998269"/>
      <w:bookmarkEnd w:id="632"/>
      <w:bookmarkStart w:id="633" w:name="_Toc58245190"/>
      <w:bookmarkEnd w:id="633"/>
      <w:bookmarkStart w:id="634" w:name="_Toc57998483"/>
      <w:bookmarkEnd w:id="634"/>
      <w:bookmarkStart w:id="635" w:name="_Toc59631178"/>
      <w:bookmarkEnd w:id="635"/>
      <w:bookmarkStart w:id="636" w:name="_Toc58257185"/>
      <w:bookmarkEnd w:id="636"/>
      <w:bookmarkStart w:id="637" w:name="_Toc59546089"/>
      <w:bookmarkEnd w:id="637"/>
      <w:bookmarkStart w:id="638" w:name="_Toc58245197"/>
      <w:bookmarkEnd w:id="638"/>
      <w:bookmarkStart w:id="639" w:name="_Toc58857924"/>
      <w:bookmarkEnd w:id="639"/>
      <w:bookmarkStart w:id="640" w:name="_Toc58319957"/>
      <w:bookmarkEnd w:id="640"/>
      <w:bookmarkStart w:id="641" w:name="_Toc59630224"/>
      <w:bookmarkEnd w:id="641"/>
      <w:bookmarkStart w:id="642" w:name="_Toc59209199"/>
      <w:bookmarkEnd w:id="642"/>
      <w:bookmarkStart w:id="643" w:name="_Toc58318641"/>
      <w:bookmarkEnd w:id="643"/>
      <w:bookmarkStart w:id="644" w:name="_Toc58259518"/>
      <w:bookmarkEnd w:id="644"/>
      <w:bookmarkStart w:id="645" w:name="_Toc59546085"/>
      <w:bookmarkEnd w:id="645"/>
      <w:bookmarkStart w:id="646" w:name="_Toc58318657"/>
      <w:bookmarkEnd w:id="646"/>
      <w:bookmarkStart w:id="647" w:name="_Toc59113744"/>
      <w:bookmarkEnd w:id="647"/>
      <w:bookmarkStart w:id="648" w:name="_Toc57998356"/>
      <w:bookmarkEnd w:id="648"/>
      <w:bookmarkStart w:id="649" w:name="_Toc57998357"/>
      <w:bookmarkEnd w:id="649"/>
      <w:bookmarkStart w:id="650" w:name="_Toc57998353"/>
      <w:bookmarkEnd w:id="650"/>
      <w:bookmarkStart w:id="651" w:name="_Toc59113747"/>
      <w:bookmarkEnd w:id="651"/>
      <w:bookmarkStart w:id="652" w:name="_Toc58259587"/>
      <w:bookmarkEnd w:id="652"/>
      <w:bookmarkStart w:id="653" w:name="_Toc59209222"/>
      <w:bookmarkEnd w:id="653"/>
      <w:bookmarkStart w:id="654" w:name="_Toc58320205"/>
      <w:bookmarkEnd w:id="654"/>
      <w:bookmarkStart w:id="655" w:name="_Toc58259497"/>
      <w:bookmarkEnd w:id="655"/>
      <w:bookmarkStart w:id="656" w:name="_Toc57997634"/>
      <w:bookmarkEnd w:id="656"/>
      <w:bookmarkStart w:id="657" w:name="_Toc58861691"/>
      <w:bookmarkEnd w:id="657"/>
      <w:bookmarkStart w:id="658" w:name="_Toc96352064"/>
      <w:bookmarkEnd w:id="658"/>
      <w:bookmarkStart w:id="659" w:name="_Toc58861948"/>
      <w:bookmarkEnd w:id="659"/>
      <w:bookmarkStart w:id="660" w:name="_Toc59114717"/>
      <w:bookmarkEnd w:id="660"/>
      <w:bookmarkStart w:id="661" w:name="_Toc57997628"/>
      <w:bookmarkEnd w:id="661"/>
      <w:bookmarkStart w:id="662" w:name="_Toc59209203"/>
      <w:bookmarkEnd w:id="662"/>
      <w:bookmarkStart w:id="663" w:name="_Toc59114720"/>
      <w:bookmarkEnd w:id="663"/>
      <w:bookmarkStart w:id="664" w:name="_Toc59209201"/>
      <w:bookmarkEnd w:id="664"/>
      <w:bookmarkStart w:id="665" w:name="_Toc58245195"/>
      <w:bookmarkEnd w:id="665"/>
      <w:bookmarkStart w:id="666" w:name="_Toc59209200"/>
      <w:bookmarkEnd w:id="666"/>
      <w:bookmarkStart w:id="667" w:name="_Toc59716787"/>
      <w:bookmarkEnd w:id="667"/>
      <w:bookmarkStart w:id="668" w:name="_Toc57998286"/>
      <w:bookmarkEnd w:id="668"/>
      <w:bookmarkStart w:id="669" w:name="_Toc57998497"/>
      <w:bookmarkEnd w:id="669"/>
      <w:bookmarkStart w:id="670" w:name="_Toc59209205"/>
      <w:bookmarkEnd w:id="670"/>
      <w:bookmarkStart w:id="671" w:name="_Toc58857944"/>
      <w:bookmarkEnd w:id="671"/>
      <w:bookmarkStart w:id="672" w:name="_Toc59113309"/>
      <w:bookmarkEnd w:id="672"/>
      <w:bookmarkStart w:id="673" w:name="_Toc59017225"/>
      <w:bookmarkEnd w:id="673"/>
      <w:bookmarkStart w:id="674" w:name="_Toc59542817"/>
      <w:bookmarkEnd w:id="674"/>
      <w:bookmarkStart w:id="675" w:name="_Toc57998358"/>
      <w:bookmarkEnd w:id="675"/>
      <w:bookmarkStart w:id="676" w:name="_Toc59716764"/>
      <w:bookmarkEnd w:id="676"/>
      <w:bookmarkStart w:id="677" w:name="_Toc96352127"/>
      <w:bookmarkEnd w:id="677"/>
      <w:bookmarkStart w:id="678" w:name="_Toc59017219"/>
      <w:bookmarkEnd w:id="678"/>
      <w:bookmarkStart w:id="679" w:name="_Toc59716767"/>
      <w:bookmarkEnd w:id="679"/>
      <w:bookmarkStart w:id="680" w:name="_Toc59021415"/>
      <w:bookmarkEnd w:id="680"/>
      <w:bookmarkStart w:id="681" w:name="_Toc58259502"/>
      <w:bookmarkEnd w:id="681"/>
      <w:bookmarkStart w:id="682" w:name="_Toc58318797"/>
      <w:bookmarkEnd w:id="682"/>
      <w:bookmarkStart w:id="683" w:name="_Toc58320203"/>
      <w:bookmarkEnd w:id="683"/>
      <w:bookmarkStart w:id="684" w:name="_Toc59203913"/>
      <w:bookmarkEnd w:id="684"/>
      <w:bookmarkStart w:id="685" w:name="_Toc58320204"/>
      <w:bookmarkEnd w:id="685"/>
      <w:bookmarkStart w:id="686" w:name="_Toc59546086"/>
      <w:bookmarkEnd w:id="686"/>
      <w:bookmarkStart w:id="687" w:name="_Toc58861951"/>
      <w:bookmarkEnd w:id="687"/>
      <w:bookmarkStart w:id="688" w:name="_Toc59113742"/>
      <w:bookmarkEnd w:id="688"/>
      <w:bookmarkStart w:id="689" w:name="_Toc59209202"/>
      <w:bookmarkEnd w:id="689"/>
      <w:bookmarkStart w:id="690" w:name="_Toc59203920"/>
      <w:bookmarkEnd w:id="690"/>
      <w:bookmarkStart w:id="691" w:name="_Toc58259519"/>
      <w:bookmarkEnd w:id="691"/>
      <w:bookmarkStart w:id="692" w:name="_Toc59017224"/>
      <w:bookmarkEnd w:id="692"/>
      <w:bookmarkStart w:id="693" w:name="_Toc96352126"/>
      <w:bookmarkEnd w:id="693"/>
      <w:bookmarkStart w:id="694" w:name="_Toc58319955"/>
      <w:bookmarkEnd w:id="694"/>
      <w:bookmarkStart w:id="695" w:name="_Toc58245196"/>
      <w:bookmarkEnd w:id="695"/>
      <w:bookmarkStart w:id="696" w:name="_Toc58318796"/>
      <w:bookmarkEnd w:id="696"/>
      <w:bookmarkStart w:id="697" w:name="_Toc59630206"/>
      <w:bookmarkEnd w:id="697"/>
      <w:bookmarkStart w:id="698" w:name="_Toc59113312"/>
      <w:bookmarkEnd w:id="698"/>
      <w:bookmarkStart w:id="699" w:name="_Toc58259501"/>
      <w:bookmarkEnd w:id="699"/>
      <w:bookmarkStart w:id="700" w:name="_Toc96358474"/>
      <w:bookmarkEnd w:id="700"/>
      <w:bookmarkStart w:id="701" w:name="_Toc59542819"/>
      <w:bookmarkEnd w:id="701"/>
      <w:bookmarkStart w:id="702" w:name="_Toc58320199"/>
      <w:bookmarkEnd w:id="702"/>
      <w:bookmarkStart w:id="703" w:name="_Toc58259608"/>
      <w:bookmarkEnd w:id="703"/>
      <w:bookmarkStart w:id="704" w:name="_Toc59113314"/>
      <w:bookmarkEnd w:id="704"/>
      <w:bookmarkStart w:id="705" w:name="_Toc59203918"/>
      <w:bookmarkEnd w:id="705"/>
      <w:bookmarkStart w:id="706" w:name="_Toc57998480"/>
      <w:bookmarkEnd w:id="706"/>
      <w:bookmarkStart w:id="707" w:name="_Toc58259499"/>
      <w:bookmarkEnd w:id="707"/>
      <w:bookmarkStart w:id="708" w:name="_Toc57998287"/>
      <w:bookmarkEnd w:id="708"/>
      <w:bookmarkStart w:id="709" w:name="_Toc59114721"/>
      <w:bookmarkEnd w:id="709"/>
      <w:bookmarkStart w:id="710" w:name="_Toc59116920"/>
      <w:bookmarkEnd w:id="710"/>
      <w:bookmarkStart w:id="711" w:name="_Toc59116919"/>
      <w:bookmarkEnd w:id="711"/>
      <w:bookmarkStart w:id="712" w:name="_Toc59021434"/>
      <w:bookmarkEnd w:id="712"/>
      <w:bookmarkStart w:id="713" w:name="_Toc59716765"/>
      <w:bookmarkEnd w:id="713"/>
      <w:bookmarkStart w:id="714" w:name="_Toc58320207"/>
      <w:bookmarkEnd w:id="714"/>
      <w:bookmarkStart w:id="715" w:name="_Toc59114722"/>
      <w:bookmarkEnd w:id="715"/>
      <w:bookmarkStart w:id="716" w:name="_Toc59546087"/>
      <w:bookmarkEnd w:id="716"/>
      <w:bookmarkStart w:id="717" w:name="_Toc58320200"/>
      <w:bookmarkEnd w:id="717"/>
      <w:bookmarkStart w:id="718" w:name="_Toc59542822"/>
      <w:bookmarkEnd w:id="718"/>
      <w:bookmarkStart w:id="719" w:name="_Toc58245189"/>
      <w:bookmarkEnd w:id="719"/>
      <w:bookmarkStart w:id="720" w:name="_Toc96351994"/>
      <w:bookmarkEnd w:id="720"/>
      <w:bookmarkStart w:id="721" w:name="_Toc59017242"/>
      <w:bookmarkEnd w:id="721"/>
      <w:bookmarkStart w:id="722" w:name="_Toc59017226"/>
      <w:bookmarkEnd w:id="722"/>
      <w:bookmarkStart w:id="723" w:name="_Toc59631175"/>
      <w:bookmarkEnd w:id="723"/>
      <w:bookmarkStart w:id="724" w:name="_Toc58318815"/>
      <w:bookmarkEnd w:id="724"/>
      <w:bookmarkStart w:id="725" w:name="_Toc57998272"/>
      <w:bookmarkEnd w:id="725"/>
      <w:bookmarkStart w:id="726" w:name="_Toc58861946"/>
      <w:bookmarkEnd w:id="726"/>
      <w:bookmarkStart w:id="727" w:name="_Toc59630208"/>
      <w:bookmarkEnd w:id="727"/>
      <w:bookmarkStart w:id="728" w:name="_Toc58861945"/>
      <w:bookmarkEnd w:id="728"/>
      <w:bookmarkStart w:id="729" w:name="_Toc58857928"/>
      <w:bookmarkEnd w:id="729"/>
      <w:bookmarkStart w:id="730" w:name="_Toc58320222"/>
      <w:bookmarkEnd w:id="730"/>
      <w:bookmarkStart w:id="731" w:name="_Toc59716768"/>
      <w:bookmarkEnd w:id="731"/>
      <w:bookmarkStart w:id="732" w:name="_Toc58857926"/>
      <w:bookmarkEnd w:id="732"/>
      <w:bookmarkStart w:id="733" w:name="_Toc58318794"/>
      <w:bookmarkEnd w:id="733"/>
      <w:bookmarkStart w:id="734" w:name="_Toc59017222"/>
      <w:bookmarkEnd w:id="734"/>
      <w:bookmarkStart w:id="735" w:name="_Toc58319956"/>
      <w:bookmarkEnd w:id="735"/>
      <w:bookmarkStart w:id="736" w:name="_Toc58259588"/>
      <w:bookmarkEnd w:id="736"/>
      <w:bookmarkStart w:id="737" w:name="_Toc58259503"/>
      <w:bookmarkEnd w:id="737"/>
      <w:bookmarkStart w:id="738" w:name="_Toc58318793"/>
      <w:bookmarkEnd w:id="738"/>
      <w:bookmarkStart w:id="739" w:name="_Toc59114714"/>
      <w:bookmarkEnd w:id="739"/>
      <w:bookmarkStart w:id="740" w:name="_Toc59203917"/>
      <w:bookmarkEnd w:id="740"/>
      <w:bookmarkStart w:id="741" w:name="_Toc58259593"/>
      <w:bookmarkEnd w:id="741"/>
      <w:bookmarkStart w:id="742" w:name="_Toc58245191"/>
      <w:bookmarkEnd w:id="742"/>
      <w:bookmarkStart w:id="743" w:name="_Toc58861687"/>
      <w:bookmarkEnd w:id="743"/>
      <w:bookmarkStart w:id="744" w:name="_Toc58861968"/>
      <w:bookmarkEnd w:id="744"/>
      <w:bookmarkStart w:id="745" w:name="_Toc59113743"/>
      <w:bookmarkEnd w:id="745"/>
      <w:bookmarkStart w:id="746" w:name="_Toc59113746"/>
      <w:bookmarkEnd w:id="746"/>
      <w:bookmarkStart w:id="747" w:name="_Toc58320206"/>
      <w:bookmarkEnd w:id="747"/>
      <w:bookmarkStart w:id="748" w:name="_Toc58318639"/>
      <w:bookmarkEnd w:id="748"/>
      <w:bookmarkStart w:id="749" w:name="_Toc59114718"/>
      <w:bookmarkEnd w:id="749"/>
      <w:bookmarkStart w:id="750" w:name="_Toc58259589"/>
      <w:bookmarkEnd w:id="750"/>
      <w:bookmarkStart w:id="751" w:name="_Toc58318637"/>
      <w:bookmarkEnd w:id="751"/>
      <w:bookmarkStart w:id="752" w:name="_Toc59113739"/>
      <w:bookmarkEnd w:id="752"/>
      <w:bookmarkStart w:id="753" w:name="_Toc58257177"/>
      <w:bookmarkEnd w:id="753"/>
      <w:bookmarkStart w:id="754" w:name="_Toc59114715"/>
      <w:bookmarkEnd w:id="754"/>
      <w:bookmarkStart w:id="755" w:name="_Toc58861952"/>
      <w:bookmarkEnd w:id="755"/>
      <w:bookmarkStart w:id="756" w:name="_Toc59631176"/>
      <w:bookmarkEnd w:id="756"/>
      <w:bookmarkStart w:id="757" w:name="_Toc58861947"/>
      <w:bookmarkEnd w:id="757"/>
      <w:bookmarkStart w:id="758" w:name="_Toc96352065"/>
      <w:bookmarkEnd w:id="758"/>
      <w:bookmarkStart w:id="759" w:name="_Toc59017223"/>
      <w:bookmarkEnd w:id="759"/>
      <w:bookmarkStart w:id="760" w:name="_Toc59716769"/>
      <w:bookmarkEnd w:id="760"/>
      <w:bookmarkStart w:id="761" w:name="_Toc58861689"/>
      <w:bookmarkEnd w:id="761"/>
      <w:bookmarkStart w:id="762" w:name="_Toc58245192"/>
      <w:bookmarkEnd w:id="762"/>
      <w:bookmarkStart w:id="763" w:name="_Toc59113740"/>
      <w:bookmarkEnd w:id="763"/>
      <w:bookmarkStart w:id="764" w:name="_Toc59116918"/>
      <w:bookmarkEnd w:id="764"/>
      <w:bookmarkStart w:id="765" w:name="_Toc59113762"/>
      <w:bookmarkEnd w:id="765"/>
      <w:bookmarkStart w:id="766" w:name="_Toc58318795"/>
      <w:bookmarkEnd w:id="766"/>
      <w:bookmarkStart w:id="767" w:name="_Toc57998355"/>
      <w:bookmarkEnd w:id="767"/>
      <w:bookmarkStart w:id="768" w:name="_Toc59016909"/>
      <w:bookmarkEnd w:id="768"/>
      <w:bookmarkStart w:id="769" w:name="_Toc59203915"/>
      <w:bookmarkEnd w:id="769"/>
      <w:bookmarkStart w:id="770" w:name="_Toc126321312"/>
      <w:bookmarkStart w:id="771" w:name="_Toc114734630"/>
      <w:bookmarkStart w:id="772" w:name="_Toc70600563"/>
      <w:bookmarkStart w:id="773" w:name="_Toc96358475"/>
      <w:r>
        <w:rPr>
          <w:rFonts w:hint="eastAsia"/>
        </w:rPr>
        <w:t>绿化景观设计</w:t>
      </w:r>
      <w:bookmarkEnd w:id="770"/>
      <w:bookmarkEnd w:id="771"/>
      <w:bookmarkEnd w:id="772"/>
      <w:bookmarkEnd w:id="773"/>
    </w:p>
    <w:p>
      <w:pPr>
        <w:pStyle w:val="4"/>
        <w:numPr>
          <w:ilvl w:val="0"/>
          <w:numId w:val="0"/>
        </w:numPr>
        <w:rPr>
          <w:bCs w:val="0"/>
          <w:lang w:val="zh-CN"/>
        </w:rPr>
      </w:pPr>
      <w:r>
        <w:rPr>
          <w:b/>
          <w:bCs w:val="0"/>
          <w:lang w:val="zh-CN"/>
        </w:rPr>
        <w:t>4.6.1</w:t>
      </w:r>
      <w:r>
        <w:rPr>
          <w:b/>
          <w:bCs w:val="0"/>
        </w:rPr>
        <w:t xml:space="preserve">  </w:t>
      </w:r>
      <w:r>
        <w:rPr>
          <w:rFonts w:hint="eastAsia"/>
          <w:bCs w:val="0"/>
        </w:rPr>
        <w:t>地面</w:t>
      </w:r>
      <w:r>
        <w:rPr>
          <w:rFonts w:hint="eastAsia"/>
          <w:bCs w:val="0"/>
          <w:lang w:val="zh-CN"/>
        </w:rPr>
        <w:t>绿化景观整体风格应与</w:t>
      </w:r>
      <w:r>
        <w:rPr>
          <w:rFonts w:hint="eastAsia"/>
          <w:bCs w:val="0"/>
        </w:rPr>
        <w:t>区域</w:t>
      </w:r>
      <w:r>
        <w:rPr>
          <w:rFonts w:hint="eastAsia"/>
          <w:bCs w:val="0"/>
          <w:lang w:val="zh-CN"/>
        </w:rPr>
        <w:t>总体景观风格一致。与周边环境协调，充分体现海绵、生态优先、实用、绿色、因地制宜、美学特点。</w:t>
      </w:r>
    </w:p>
    <w:p>
      <w:pPr>
        <w:pStyle w:val="4"/>
        <w:numPr>
          <w:ilvl w:val="0"/>
          <w:numId w:val="0"/>
        </w:numPr>
        <w:rPr>
          <w:bCs w:val="0"/>
          <w:lang w:val="zh-CN"/>
        </w:rPr>
      </w:pPr>
      <w:r>
        <w:rPr>
          <w:b/>
          <w:bCs w:val="0"/>
          <w:lang w:val="zh-CN"/>
        </w:rPr>
        <w:t>4.6.2</w:t>
      </w:r>
      <w:r>
        <w:rPr>
          <w:b/>
          <w:bCs w:val="0"/>
        </w:rPr>
        <w:t xml:space="preserve">  </w:t>
      </w:r>
      <w:r>
        <w:rPr>
          <w:rFonts w:hint="eastAsia"/>
          <w:bCs w:val="0"/>
        </w:rPr>
        <w:t>地面</w:t>
      </w:r>
      <w:r>
        <w:rPr>
          <w:rFonts w:hint="eastAsia"/>
          <w:bCs w:val="0"/>
          <w:lang w:val="zh-CN"/>
        </w:rPr>
        <w:t>景观</w:t>
      </w:r>
      <w:r>
        <w:rPr>
          <w:rFonts w:hint="eastAsia"/>
          <w:bCs w:val="0"/>
        </w:rPr>
        <w:t>应</w:t>
      </w:r>
      <w:r>
        <w:rPr>
          <w:rFonts w:hint="eastAsia"/>
          <w:bCs w:val="0"/>
          <w:lang w:val="zh-CN"/>
        </w:rPr>
        <w:t>充分利用现有地形特点、地貌特征、植物景观，因地制宜、因物制宜、因时制宜，创造具有当地特色的景观空间。</w:t>
      </w:r>
    </w:p>
    <w:p>
      <w:pPr>
        <w:pStyle w:val="4"/>
        <w:numPr>
          <w:ilvl w:val="0"/>
          <w:numId w:val="0"/>
        </w:numPr>
        <w:rPr>
          <w:b/>
          <w:lang w:val="zh-CN"/>
        </w:rPr>
      </w:pPr>
      <w:r>
        <w:rPr>
          <w:b/>
          <w:bCs w:val="0"/>
          <w:lang w:val="zh-CN"/>
        </w:rPr>
        <w:t>4.6.3</w:t>
      </w:r>
      <w:r>
        <w:rPr>
          <w:b/>
          <w:bCs w:val="0"/>
        </w:rPr>
        <w:t xml:space="preserve">  </w:t>
      </w:r>
      <w:r>
        <w:rPr>
          <w:rFonts w:hint="eastAsia"/>
          <w:bCs w:val="0"/>
          <w:lang w:val="zh-CN"/>
        </w:rPr>
        <w:t>园建水体尽量避免跨越地下变形缝。</w:t>
      </w:r>
    </w:p>
    <w:p>
      <w:pPr>
        <w:pStyle w:val="4"/>
        <w:numPr>
          <w:ilvl w:val="0"/>
          <w:numId w:val="0"/>
        </w:numPr>
        <w:rPr>
          <w:bCs w:val="0"/>
          <w:lang w:val="zh-CN"/>
        </w:rPr>
      </w:pPr>
      <w:r>
        <w:rPr>
          <w:b/>
          <w:bCs w:val="0"/>
          <w:lang w:val="zh-CN"/>
        </w:rPr>
        <w:t>4.6.4</w:t>
      </w:r>
      <w:r>
        <w:rPr>
          <w:b/>
          <w:bCs w:val="0"/>
        </w:rPr>
        <w:t xml:space="preserve">  </w:t>
      </w:r>
      <w:r>
        <w:rPr>
          <w:rFonts w:hint="eastAsia"/>
          <w:bCs w:val="0"/>
          <w:lang w:val="zh-CN"/>
        </w:rPr>
        <w:t>园建铺装材质及休憩设施选择上，考虑其实用性和耐久性，选择耐久度高、再生材质及设施，减少后期使用和维护的成本。</w:t>
      </w:r>
    </w:p>
    <w:p>
      <w:pPr>
        <w:pStyle w:val="3"/>
        <w:spacing w:before="624" w:after="624"/>
      </w:pPr>
      <w:bookmarkStart w:id="774" w:name="_Toc28976784"/>
      <w:bookmarkEnd w:id="774"/>
      <w:bookmarkStart w:id="775" w:name="_Toc28976770"/>
      <w:bookmarkEnd w:id="775"/>
      <w:bookmarkStart w:id="776" w:name="_Toc28976785"/>
      <w:bookmarkEnd w:id="776"/>
      <w:bookmarkStart w:id="777" w:name="_Toc28978950"/>
      <w:bookmarkEnd w:id="777"/>
      <w:bookmarkStart w:id="778" w:name="_Toc28978925"/>
      <w:bookmarkEnd w:id="778"/>
      <w:bookmarkStart w:id="779" w:name="_Toc28978927"/>
      <w:bookmarkEnd w:id="779"/>
      <w:bookmarkStart w:id="780" w:name="_Toc28976768"/>
      <w:bookmarkEnd w:id="780"/>
      <w:bookmarkStart w:id="781" w:name="_Toc28978911"/>
      <w:bookmarkEnd w:id="781"/>
      <w:bookmarkStart w:id="782" w:name="_Toc28976769"/>
      <w:bookmarkEnd w:id="782"/>
      <w:bookmarkStart w:id="783" w:name="_Toc28976767"/>
      <w:bookmarkEnd w:id="783"/>
      <w:bookmarkStart w:id="784" w:name="_Toc28976786"/>
      <w:bookmarkEnd w:id="784"/>
      <w:bookmarkStart w:id="785" w:name="_Toc28978953"/>
      <w:bookmarkEnd w:id="785"/>
      <w:bookmarkStart w:id="786" w:name="_Toc28978902"/>
      <w:bookmarkEnd w:id="786"/>
      <w:bookmarkStart w:id="787" w:name="_Toc28976764"/>
      <w:bookmarkEnd w:id="787"/>
      <w:bookmarkStart w:id="788" w:name="_Toc28978949"/>
      <w:bookmarkEnd w:id="788"/>
      <w:bookmarkStart w:id="789" w:name="_Toc28978913"/>
      <w:bookmarkEnd w:id="789"/>
      <w:bookmarkStart w:id="790" w:name="_Toc28976800"/>
      <w:bookmarkEnd w:id="790"/>
      <w:bookmarkStart w:id="791" w:name="_Toc28978935"/>
      <w:bookmarkEnd w:id="791"/>
      <w:bookmarkStart w:id="792" w:name="_Toc28978910"/>
      <w:bookmarkEnd w:id="792"/>
      <w:bookmarkStart w:id="793" w:name="_Toc28976790"/>
      <w:bookmarkEnd w:id="793"/>
      <w:bookmarkStart w:id="794" w:name="_Toc28976796"/>
      <w:bookmarkEnd w:id="794"/>
      <w:bookmarkStart w:id="795" w:name="_Toc28976752"/>
      <w:bookmarkEnd w:id="795"/>
      <w:bookmarkStart w:id="796" w:name="_Toc96352130"/>
      <w:bookmarkEnd w:id="796"/>
      <w:bookmarkStart w:id="797" w:name="_Toc28976747"/>
      <w:bookmarkEnd w:id="797"/>
      <w:bookmarkStart w:id="798" w:name="_Toc28976763"/>
      <w:bookmarkEnd w:id="798"/>
      <w:bookmarkStart w:id="799" w:name="_Toc28978897"/>
      <w:bookmarkEnd w:id="799"/>
      <w:bookmarkStart w:id="800" w:name="_Toc28978932"/>
      <w:bookmarkEnd w:id="800"/>
      <w:bookmarkStart w:id="801" w:name="_Toc28976776"/>
      <w:bookmarkEnd w:id="801"/>
      <w:bookmarkStart w:id="802" w:name="_Toc28978945"/>
      <w:bookmarkEnd w:id="802"/>
      <w:bookmarkStart w:id="803" w:name="_Toc28976750"/>
      <w:bookmarkEnd w:id="803"/>
      <w:bookmarkStart w:id="804" w:name="_Toc28976804"/>
      <w:bookmarkEnd w:id="804"/>
      <w:bookmarkStart w:id="805" w:name="_Toc28978905"/>
      <w:bookmarkEnd w:id="805"/>
      <w:bookmarkStart w:id="806" w:name="_Toc28978955"/>
      <w:bookmarkEnd w:id="806"/>
      <w:bookmarkStart w:id="807" w:name="_Toc28976760"/>
      <w:bookmarkEnd w:id="807"/>
      <w:bookmarkStart w:id="808" w:name="_Toc28978917"/>
      <w:bookmarkEnd w:id="808"/>
      <w:bookmarkStart w:id="809" w:name="_Toc28978947"/>
      <w:bookmarkEnd w:id="809"/>
      <w:bookmarkStart w:id="810" w:name="_Toc28978907"/>
      <w:bookmarkEnd w:id="810"/>
      <w:bookmarkStart w:id="811" w:name="_Toc28976748"/>
      <w:bookmarkEnd w:id="811"/>
      <w:bookmarkStart w:id="812" w:name="_Toc28976754"/>
      <w:bookmarkEnd w:id="812"/>
      <w:bookmarkStart w:id="813" w:name="_Toc28976746"/>
      <w:bookmarkEnd w:id="813"/>
      <w:bookmarkStart w:id="814" w:name="_Toc28978943"/>
      <w:bookmarkEnd w:id="814"/>
      <w:bookmarkStart w:id="815" w:name="_Toc28978899"/>
      <w:bookmarkEnd w:id="815"/>
      <w:bookmarkStart w:id="816" w:name="_Toc28976762"/>
      <w:bookmarkEnd w:id="816"/>
      <w:bookmarkStart w:id="817" w:name="_Toc28976799"/>
      <w:bookmarkEnd w:id="817"/>
      <w:bookmarkStart w:id="818" w:name="_Toc28976755"/>
      <w:bookmarkEnd w:id="818"/>
      <w:bookmarkStart w:id="819" w:name="_Toc28976788"/>
      <w:bookmarkEnd w:id="819"/>
      <w:bookmarkStart w:id="820" w:name="_Toc28978912"/>
      <w:bookmarkEnd w:id="820"/>
      <w:bookmarkStart w:id="821" w:name="_Toc28976810"/>
      <w:bookmarkEnd w:id="821"/>
      <w:bookmarkStart w:id="822" w:name="_Toc28976806"/>
      <w:bookmarkEnd w:id="822"/>
      <w:bookmarkStart w:id="823" w:name="_Toc28976795"/>
      <w:bookmarkEnd w:id="823"/>
      <w:bookmarkStart w:id="824" w:name="_Toc28976802"/>
      <w:bookmarkEnd w:id="824"/>
      <w:bookmarkStart w:id="825" w:name="_Toc28978931"/>
      <w:bookmarkEnd w:id="825"/>
      <w:bookmarkStart w:id="826" w:name="_Toc28976778"/>
      <w:bookmarkEnd w:id="826"/>
      <w:bookmarkStart w:id="827" w:name="_Toc28978952"/>
      <w:bookmarkEnd w:id="827"/>
      <w:bookmarkStart w:id="828" w:name="_Toc28978896"/>
      <w:bookmarkEnd w:id="828"/>
      <w:bookmarkStart w:id="829" w:name="_Toc28978948"/>
      <w:bookmarkEnd w:id="829"/>
      <w:bookmarkStart w:id="830" w:name="_Toc28976773"/>
      <w:bookmarkEnd w:id="830"/>
      <w:bookmarkStart w:id="831" w:name="_Toc28978904"/>
      <w:bookmarkEnd w:id="831"/>
      <w:bookmarkStart w:id="832" w:name="_Toc28978921"/>
      <w:bookmarkEnd w:id="832"/>
      <w:bookmarkStart w:id="833" w:name="_Toc28976771"/>
      <w:bookmarkEnd w:id="833"/>
      <w:bookmarkStart w:id="834" w:name="_Toc28976749"/>
      <w:bookmarkEnd w:id="834"/>
      <w:bookmarkStart w:id="835" w:name="_Toc28978901"/>
      <w:bookmarkEnd w:id="835"/>
      <w:bookmarkStart w:id="836" w:name="_Toc28976759"/>
      <w:bookmarkEnd w:id="836"/>
      <w:bookmarkStart w:id="837" w:name="_Toc96358476"/>
      <w:bookmarkEnd w:id="837"/>
      <w:bookmarkStart w:id="838" w:name="_Toc28978944"/>
      <w:bookmarkEnd w:id="838"/>
      <w:bookmarkStart w:id="839" w:name="_Toc28978892"/>
      <w:bookmarkEnd w:id="839"/>
      <w:bookmarkStart w:id="840" w:name="_Toc28976756"/>
      <w:bookmarkEnd w:id="840"/>
      <w:bookmarkStart w:id="841" w:name="_Toc28978915"/>
      <w:bookmarkEnd w:id="841"/>
      <w:bookmarkStart w:id="842" w:name="_Toc28978914"/>
      <w:bookmarkEnd w:id="842"/>
      <w:bookmarkStart w:id="843" w:name="_Toc28978942"/>
      <w:bookmarkEnd w:id="843"/>
      <w:bookmarkStart w:id="844" w:name="_Toc28976793"/>
      <w:bookmarkEnd w:id="844"/>
      <w:bookmarkStart w:id="845" w:name="_Toc28978938"/>
      <w:bookmarkEnd w:id="845"/>
      <w:bookmarkStart w:id="846" w:name="_Toc96352068"/>
      <w:bookmarkEnd w:id="846"/>
      <w:bookmarkStart w:id="847" w:name="_Toc28976792"/>
      <w:bookmarkEnd w:id="847"/>
      <w:bookmarkStart w:id="848" w:name="_Toc28978893"/>
      <w:bookmarkEnd w:id="848"/>
      <w:bookmarkStart w:id="849" w:name="_Toc28976757"/>
      <w:bookmarkEnd w:id="849"/>
      <w:bookmarkStart w:id="850" w:name="_Toc28978908"/>
      <w:bookmarkEnd w:id="850"/>
      <w:bookmarkStart w:id="851" w:name="_Toc28978926"/>
      <w:bookmarkEnd w:id="851"/>
      <w:bookmarkStart w:id="852" w:name="_Toc28978923"/>
      <w:bookmarkEnd w:id="852"/>
      <w:bookmarkStart w:id="853" w:name="_Toc96351997"/>
      <w:bookmarkEnd w:id="853"/>
      <w:bookmarkStart w:id="854" w:name="_Toc28978930"/>
      <w:bookmarkEnd w:id="854"/>
      <w:bookmarkStart w:id="855" w:name="_Toc28978900"/>
      <w:bookmarkEnd w:id="855"/>
      <w:bookmarkStart w:id="856" w:name="_Toc28978922"/>
      <w:bookmarkEnd w:id="856"/>
      <w:bookmarkStart w:id="857" w:name="_Toc28978933"/>
      <w:bookmarkEnd w:id="857"/>
      <w:bookmarkStart w:id="858" w:name="_Toc28978939"/>
      <w:bookmarkEnd w:id="858"/>
      <w:bookmarkStart w:id="859" w:name="_Toc28978951"/>
      <w:bookmarkEnd w:id="859"/>
      <w:bookmarkStart w:id="860" w:name="_Toc28976777"/>
      <w:bookmarkEnd w:id="860"/>
      <w:bookmarkStart w:id="861" w:name="_Toc28976775"/>
      <w:bookmarkEnd w:id="861"/>
      <w:bookmarkStart w:id="862" w:name="_Toc96358477"/>
      <w:bookmarkEnd w:id="862"/>
      <w:bookmarkStart w:id="863" w:name="_Toc28976805"/>
      <w:bookmarkEnd w:id="863"/>
      <w:bookmarkStart w:id="864" w:name="_Toc28976782"/>
      <w:bookmarkEnd w:id="864"/>
      <w:bookmarkStart w:id="865" w:name="_Toc28976808"/>
      <w:bookmarkEnd w:id="865"/>
      <w:bookmarkStart w:id="866" w:name="_Toc28976774"/>
      <w:bookmarkEnd w:id="866"/>
      <w:bookmarkStart w:id="867" w:name="_Toc28978918"/>
      <w:bookmarkEnd w:id="867"/>
      <w:bookmarkStart w:id="868" w:name="_Toc28976766"/>
      <w:bookmarkEnd w:id="868"/>
      <w:bookmarkStart w:id="869" w:name="_Toc28976798"/>
      <w:bookmarkEnd w:id="869"/>
      <w:bookmarkStart w:id="870" w:name="_Toc28976761"/>
      <w:bookmarkEnd w:id="870"/>
      <w:bookmarkStart w:id="871" w:name="_Toc28978946"/>
      <w:bookmarkEnd w:id="871"/>
      <w:bookmarkStart w:id="872" w:name="_Toc28978924"/>
      <w:bookmarkEnd w:id="872"/>
      <w:bookmarkStart w:id="873" w:name="_Toc28976803"/>
      <w:bookmarkEnd w:id="873"/>
      <w:bookmarkStart w:id="874" w:name="_Toc28976780"/>
      <w:bookmarkEnd w:id="874"/>
      <w:bookmarkStart w:id="875" w:name="_Toc28976809"/>
      <w:bookmarkEnd w:id="875"/>
      <w:bookmarkStart w:id="876" w:name="_Toc28976758"/>
      <w:bookmarkEnd w:id="876"/>
      <w:bookmarkStart w:id="877" w:name="_Toc28978919"/>
      <w:bookmarkEnd w:id="877"/>
      <w:bookmarkStart w:id="878" w:name="_Toc28976794"/>
      <w:bookmarkEnd w:id="878"/>
      <w:bookmarkStart w:id="879" w:name="_Toc28978928"/>
      <w:bookmarkEnd w:id="879"/>
      <w:bookmarkStart w:id="880" w:name="_Toc28978936"/>
      <w:bookmarkEnd w:id="880"/>
      <w:bookmarkStart w:id="881" w:name="_Toc28978937"/>
      <w:bookmarkEnd w:id="881"/>
      <w:bookmarkStart w:id="882" w:name="_Toc28978891"/>
      <w:bookmarkEnd w:id="882"/>
      <w:bookmarkStart w:id="883" w:name="_Toc28976801"/>
      <w:bookmarkEnd w:id="883"/>
      <w:bookmarkStart w:id="884" w:name="_Toc28976772"/>
      <w:bookmarkEnd w:id="884"/>
      <w:bookmarkStart w:id="885" w:name="_Toc28978954"/>
      <w:bookmarkEnd w:id="885"/>
      <w:bookmarkStart w:id="886" w:name="_Toc28976789"/>
      <w:bookmarkEnd w:id="886"/>
      <w:bookmarkStart w:id="887" w:name="_Toc96352129"/>
      <w:bookmarkEnd w:id="887"/>
      <w:bookmarkStart w:id="888" w:name="_Toc28976787"/>
      <w:bookmarkEnd w:id="888"/>
      <w:bookmarkStart w:id="889" w:name="_Toc28978898"/>
      <w:bookmarkEnd w:id="889"/>
      <w:bookmarkStart w:id="890" w:name="_Toc28978934"/>
      <w:bookmarkEnd w:id="890"/>
      <w:bookmarkStart w:id="891" w:name="_Toc28976751"/>
      <w:bookmarkEnd w:id="891"/>
      <w:bookmarkStart w:id="892" w:name="_Toc28976781"/>
      <w:bookmarkEnd w:id="892"/>
      <w:bookmarkStart w:id="893" w:name="_Toc28978916"/>
      <w:bookmarkEnd w:id="893"/>
      <w:bookmarkStart w:id="894" w:name="_Toc28976779"/>
      <w:bookmarkEnd w:id="894"/>
      <w:bookmarkStart w:id="895" w:name="_Toc96351996"/>
      <w:bookmarkEnd w:id="895"/>
      <w:bookmarkStart w:id="896" w:name="_Toc28976783"/>
      <w:bookmarkEnd w:id="896"/>
      <w:bookmarkStart w:id="897" w:name="_Toc28978909"/>
      <w:bookmarkEnd w:id="897"/>
      <w:bookmarkStart w:id="898" w:name="_Toc28978894"/>
      <w:bookmarkEnd w:id="898"/>
      <w:bookmarkStart w:id="899" w:name="_Toc28976797"/>
      <w:bookmarkEnd w:id="899"/>
      <w:bookmarkStart w:id="900" w:name="_Toc28978903"/>
      <w:bookmarkEnd w:id="900"/>
      <w:bookmarkStart w:id="901" w:name="_Toc28978940"/>
      <w:bookmarkEnd w:id="901"/>
      <w:bookmarkStart w:id="902" w:name="_Toc28976753"/>
      <w:bookmarkEnd w:id="902"/>
      <w:bookmarkStart w:id="903" w:name="_Toc28978941"/>
      <w:bookmarkEnd w:id="903"/>
      <w:bookmarkStart w:id="904" w:name="_Toc28976807"/>
      <w:bookmarkEnd w:id="904"/>
      <w:bookmarkStart w:id="905" w:name="_Toc28978929"/>
      <w:bookmarkEnd w:id="905"/>
      <w:bookmarkStart w:id="906" w:name="_Toc28976765"/>
      <w:bookmarkEnd w:id="906"/>
      <w:bookmarkStart w:id="907" w:name="_Toc28978906"/>
      <w:bookmarkEnd w:id="907"/>
      <w:bookmarkStart w:id="908" w:name="_Toc28976791"/>
      <w:bookmarkEnd w:id="908"/>
      <w:bookmarkStart w:id="909" w:name="_Toc96352067"/>
      <w:bookmarkEnd w:id="909"/>
      <w:bookmarkStart w:id="910" w:name="_Toc28978920"/>
      <w:bookmarkEnd w:id="910"/>
      <w:bookmarkStart w:id="911" w:name="_Toc28978895"/>
      <w:bookmarkEnd w:id="911"/>
      <w:bookmarkStart w:id="912" w:name="_Toc19888423"/>
      <w:bookmarkStart w:id="913" w:name="_Toc114734631"/>
      <w:bookmarkStart w:id="914" w:name="_Toc535322522"/>
      <w:bookmarkStart w:id="915" w:name="_Toc10666"/>
      <w:bookmarkStart w:id="916" w:name="_Toc10557"/>
      <w:bookmarkStart w:id="917" w:name="_Toc3482"/>
      <w:bookmarkStart w:id="918" w:name="_Toc126321313"/>
      <w:bookmarkStart w:id="919" w:name="_Toc30575358"/>
      <w:bookmarkStart w:id="920" w:name="_Toc96358478"/>
      <w:bookmarkStart w:id="921" w:name="_Toc19485"/>
      <w:bookmarkStart w:id="922" w:name="_Toc70600564"/>
      <w:r>
        <w:rPr>
          <w:rFonts w:hint="eastAsia"/>
        </w:rPr>
        <w:t>结构设计</w:t>
      </w:r>
      <w:bookmarkEnd w:id="912"/>
      <w:bookmarkEnd w:id="913"/>
      <w:bookmarkEnd w:id="914"/>
      <w:bookmarkEnd w:id="915"/>
      <w:bookmarkEnd w:id="916"/>
      <w:bookmarkEnd w:id="917"/>
      <w:bookmarkEnd w:id="918"/>
      <w:bookmarkEnd w:id="919"/>
      <w:bookmarkEnd w:id="920"/>
      <w:bookmarkEnd w:id="921"/>
      <w:bookmarkEnd w:id="922"/>
    </w:p>
    <w:p>
      <w:pPr>
        <w:pStyle w:val="4"/>
        <w:numPr>
          <w:ilvl w:val="0"/>
          <w:numId w:val="0"/>
        </w:numPr>
        <w:rPr>
          <w:bCs w:val="0"/>
          <w:lang w:val="zh-CN"/>
        </w:rPr>
      </w:pPr>
      <w:bookmarkStart w:id="923" w:name="_Toc535322523"/>
      <w:bookmarkStart w:id="924" w:name="_Toc28038"/>
      <w:bookmarkStart w:id="925" w:name="_Toc20639"/>
      <w:bookmarkStart w:id="926" w:name="_Toc3908"/>
      <w:bookmarkStart w:id="927" w:name="_Toc19888424"/>
      <w:bookmarkStart w:id="928" w:name="_Toc21427"/>
      <w:r>
        <w:rPr>
          <w:b/>
          <w:bCs w:val="0"/>
          <w:lang w:val="zh-CN"/>
        </w:rPr>
        <w:t>4.7.1</w:t>
      </w:r>
      <w:r>
        <w:rPr>
          <w:b/>
          <w:bCs w:val="0"/>
        </w:rPr>
        <w:t xml:space="preserve">  </w:t>
      </w:r>
      <w:r>
        <w:rPr>
          <w:rFonts w:hint="eastAsia"/>
          <w:bCs w:val="0"/>
          <w:lang w:val="zh-CN"/>
        </w:rPr>
        <w:t>结构设计应结合当地工程实际情况</w:t>
      </w:r>
      <w:r>
        <w:rPr>
          <w:rFonts w:hint="eastAsia"/>
          <w:bCs w:val="0"/>
        </w:rPr>
        <w:t>执行国家及地方现行有关标准的规定，</w:t>
      </w:r>
      <w:r>
        <w:rPr>
          <w:rFonts w:hint="eastAsia"/>
          <w:bCs w:val="0"/>
          <w:lang w:val="zh-CN"/>
        </w:rPr>
        <w:t>做到技术先进、安全可靠、经济合理、施工方便、绿色环保，</w:t>
      </w:r>
      <w:r>
        <w:rPr>
          <w:rFonts w:hint="eastAsia"/>
          <w:bCs w:val="0"/>
        </w:rPr>
        <w:t>积极</w:t>
      </w:r>
      <w:r>
        <w:rPr>
          <w:rFonts w:hint="eastAsia"/>
          <w:bCs w:val="0"/>
          <w:lang w:val="zh-CN"/>
        </w:rPr>
        <w:t>采用新材料、新技术。</w:t>
      </w:r>
    </w:p>
    <w:p>
      <w:pPr>
        <w:pStyle w:val="4"/>
        <w:numPr>
          <w:ilvl w:val="0"/>
          <w:numId w:val="0"/>
        </w:numPr>
        <w:rPr>
          <w:bCs w:val="0"/>
          <w:lang w:val="zh-CN"/>
        </w:rPr>
      </w:pPr>
      <w:r>
        <w:rPr>
          <w:b/>
          <w:bCs w:val="0"/>
          <w:lang w:val="zh-CN"/>
        </w:rPr>
        <w:t>4.7.2</w:t>
      </w:r>
      <w:r>
        <w:rPr>
          <w:b/>
          <w:bCs w:val="0"/>
        </w:rPr>
        <w:t xml:space="preserve">  </w:t>
      </w:r>
      <w:r>
        <w:rPr>
          <w:rFonts w:hint="eastAsia"/>
          <w:bCs w:val="0"/>
          <w:lang w:val="zh-CN"/>
        </w:rPr>
        <w:t>结构应按承载能力极限状态、正常使用极限状态和耐久性极限状态进行设计。</w:t>
      </w:r>
    </w:p>
    <w:p>
      <w:pPr>
        <w:pStyle w:val="4"/>
        <w:numPr>
          <w:ilvl w:val="0"/>
          <w:numId w:val="0"/>
        </w:numPr>
        <w:rPr>
          <w:bCs w:val="0"/>
          <w:lang w:val="zh-CN"/>
        </w:rPr>
      </w:pPr>
      <w:r>
        <w:rPr>
          <w:b/>
          <w:bCs w:val="0"/>
          <w:lang w:val="zh-CN"/>
        </w:rPr>
        <w:t>4.7.3</w:t>
      </w:r>
      <w:r>
        <w:rPr>
          <w:b/>
          <w:bCs w:val="0"/>
        </w:rPr>
        <w:t xml:space="preserve">  </w:t>
      </w:r>
      <w:r>
        <w:rPr>
          <w:rFonts w:hint="eastAsia"/>
          <w:bCs w:val="0"/>
          <w:lang w:val="zh-CN"/>
        </w:rPr>
        <w:t>地下式城镇污水处理厂的结构设计使用年限不应少于</w:t>
      </w:r>
      <w:r>
        <w:rPr>
          <w:bCs w:val="0"/>
          <w:lang w:val="zh-CN"/>
        </w:rPr>
        <w:t>50</w:t>
      </w:r>
      <w:r>
        <w:rPr>
          <w:rFonts w:hint="eastAsia"/>
          <w:bCs w:val="0"/>
          <w:lang w:val="zh-CN"/>
        </w:rPr>
        <w:t>年。结构的安全等级不应低于二级。</w:t>
      </w:r>
    </w:p>
    <w:p>
      <w:pPr>
        <w:pStyle w:val="4"/>
        <w:numPr>
          <w:ilvl w:val="0"/>
          <w:numId w:val="0"/>
        </w:numPr>
        <w:rPr>
          <w:bCs w:val="0"/>
          <w:lang w:val="zh-CN"/>
        </w:rPr>
      </w:pPr>
      <w:r>
        <w:rPr>
          <w:b/>
          <w:bCs w:val="0"/>
          <w:lang w:val="zh-CN"/>
        </w:rPr>
        <w:t>4.7.4</w:t>
      </w:r>
      <w:r>
        <w:rPr>
          <w:b/>
          <w:bCs w:val="0"/>
        </w:rPr>
        <w:t xml:space="preserve">  </w:t>
      </w:r>
      <w:r>
        <w:rPr>
          <w:rFonts w:hint="eastAsia"/>
          <w:bCs w:val="0"/>
          <w:lang w:val="zh-CN"/>
        </w:rPr>
        <w:t>地下空间结构主体裂缝控制等级应为三级。结构构件的最大裂缝宽度限值应小于或等于</w:t>
      </w:r>
      <w:r>
        <w:rPr>
          <w:bCs w:val="0"/>
          <w:lang w:val="zh-CN"/>
        </w:rPr>
        <w:t>0.2mm</w:t>
      </w:r>
      <w:r>
        <w:rPr>
          <w:rFonts w:hint="eastAsia"/>
          <w:bCs w:val="0"/>
          <w:lang w:val="zh-CN"/>
        </w:rPr>
        <w:t>，且不得贯通。</w:t>
      </w:r>
    </w:p>
    <w:p>
      <w:pPr>
        <w:pStyle w:val="4"/>
        <w:numPr>
          <w:ilvl w:val="0"/>
          <w:numId w:val="0"/>
        </w:numPr>
        <w:rPr>
          <w:bCs w:val="0"/>
          <w:lang w:val="zh-CN"/>
        </w:rPr>
      </w:pPr>
      <w:r>
        <w:rPr>
          <w:b/>
          <w:bCs w:val="0"/>
          <w:lang w:val="zh-CN"/>
        </w:rPr>
        <w:t>4.7.5</w:t>
      </w:r>
      <w:r>
        <w:rPr>
          <w:b/>
          <w:bCs w:val="0"/>
        </w:rPr>
        <w:t xml:space="preserve">  </w:t>
      </w:r>
      <w:r>
        <w:rPr>
          <w:rFonts w:hint="eastAsia"/>
          <w:bCs w:val="0"/>
          <w:lang w:val="zh-CN"/>
        </w:rPr>
        <w:t>地下式城镇污水处理厂的基坑围护结构在周边环境允许条件下宜优先采用无内支撑的支护体系，可根据开挖深度及地质条件及周边环境采用不同支护结构。支护结构类型可分为放坡、土钉墙、桩锚、悬臂桩、双排桩、重力式挡土墙等。</w:t>
      </w:r>
    </w:p>
    <w:p>
      <w:pPr>
        <w:pStyle w:val="4"/>
        <w:numPr>
          <w:ilvl w:val="0"/>
          <w:numId w:val="0"/>
        </w:numPr>
        <w:rPr>
          <w:bCs w:val="0"/>
          <w:lang w:val="zh-CN"/>
        </w:rPr>
      </w:pPr>
      <w:r>
        <w:rPr>
          <w:b/>
          <w:bCs w:val="0"/>
          <w:lang w:val="zh-CN"/>
        </w:rPr>
        <w:t>4.7.6</w:t>
      </w:r>
      <w:r>
        <w:rPr>
          <w:b/>
          <w:bCs w:val="0"/>
        </w:rPr>
        <w:t xml:space="preserve">  </w:t>
      </w:r>
      <w:r>
        <w:rPr>
          <w:rFonts w:hint="eastAsia"/>
          <w:bCs w:val="0"/>
          <w:lang w:val="zh-CN"/>
        </w:rPr>
        <w:t>地下污水处理厂的活荷载标准值应考虑各功能单元具体需求确定。其中地下式中板车道应考虑运泥车、消防车等重型车辆荷载，并做好车道引导和分隔，地下式中板其他位置应考虑仓库设备药剂储存、设备堆放等功能要求。未特殊说明部分</w:t>
      </w:r>
      <w:r>
        <w:rPr>
          <w:rFonts w:hint="eastAsia"/>
          <w:bCs w:val="0"/>
        </w:rPr>
        <w:t>应符合现行国家标准</w:t>
      </w:r>
      <w:r>
        <w:rPr>
          <w:rFonts w:hint="eastAsia"/>
          <w:bCs w:val="0"/>
          <w:lang w:val="zh-CN"/>
        </w:rPr>
        <w:t>《建筑结构荷载规范》</w:t>
      </w:r>
      <w:r>
        <w:rPr>
          <w:bCs w:val="0"/>
          <w:lang w:val="zh-CN"/>
        </w:rPr>
        <w:t>GB 50009</w:t>
      </w:r>
      <w:r>
        <w:rPr>
          <w:rFonts w:hint="eastAsia"/>
          <w:bCs w:val="0"/>
          <w:lang w:val="zh-CN"/>
        </w:rPr>
        <w:t>的相应规定。</w:t>
      </w:r>
    </w:p>
    <w:p>
      <w:pPr>
        <w:pStyle w:val="4"/>
        <w:numPr>
          <w:ilvl w:val="0"/>
          <w:numId w:val="0"/>
        </w:numPr>
        <w:rPr>
          <w:bCs w:val="0"/>
          <w:lang w:val="zh-CN"/>
        </w:rPr>
      </w:pPr>
      <w:r>
        <w:rPr>
          <w:b/>
          <w:bCs w:val="0"/>
          <w:lang w:val="zh-CN"/>
        </w:rPr>
        <w:t>4.7.7</w:t>
      </w:r>
      <w:r>
        <w:rPr>
          <w:b/>
          <w:bCs w:val="0"/>
        </w:rPr>
        <w:t xml:space="preserve">  </w:t>
      </w:r>
      <w:r>
        <w:rPr>
          <w:rFonts w:hint="eastAsia"/>
          <w:bCs w:val="0"/>
          <w:lang w:val="zh-CN"/>
        </w:rPr>
        <w:t>地下式城镇污水处理厂的地基基础设计应</w:t>
      </w:r>
      <w:r>
        <w:rPr>
          <w:rFonts w:hint="eastAsia"/>
          <w:bCs w:val="0"/>
        </w:rPr>
        <w:t>符合现行国家标准</w:t>
      </w:r>
      <w:r>
        <w:rPr>
          <w:rFonts w:hint="eastAsia"/>
          <w:bCs w:val="0"/>
          <w:lang w:val="zh-CN"/>
        </w:rPr>
        <w:t>《建筑地基基础设计规范》</w:t>
      </w:r>
      <w:r>
        <w:rPr>
          <w:bCs w:val="0"/>
          <w:lang w:val="zh-CN"/>
        </w:rPr>
        <w:t>GB 50007</w:t>
      </w:r>
      <w:r>
        <w:rPr>
          <w:rFonts w:hint="eastAsia"/>
          <w:bCs w:val="0"/>
          <w:lang w:val="zh-CN"/>
        </w:rPr>
        <w:t>的有关规定。地下主体结构基础等级为甲级。</w:t>
      </w:r>
    </w:p>
    <w:p>
      <w:pPr>
        <w:pStyle w:val="4"/>
        <w:numPr>
          <w:ilvl w:val="0"/>
          <w:numId w:val="0"/>
        </w:numPr>
        <w:rPr>
          <w:bCs w:val="0"/>
          <w:lang w:val="zh-CN"/>
        </w:rPr>
      </w:pPr>
      <w:r>
        <w:rPr>
          <w:b/>
          <w:bCs w:val="0"/>
          <w:lang w:val="zh-CN"/>
        </w:rPr>
        <w:t>4.7.8</w:t>
      </w:r>
      <w:r>
        <w:rPr>
          <w:b/>
          <w:bCs w:val="0"/>
        </w:rPr>
        <w:t xml:space="preserve">  </w:t>
      </w:r>
      <w:r>
        <w:rPr>
          <w:rFonts w:hint="eastAsia"/>
          <w:bCs w:val="0"/>
          <w:lang w:val="zh-CN"/>
        </w:rPr>
        <w:t>地下空间应进行结构抗浮计算，勘察报告中应明确抗浮水位，计算时不应计入设备及水自重以及侧壁阻力，其他各项作用均取标准值，应满足抗浮抗力系数不低于</w:t>
      </w:r>
      <w:r>
        <w:rPr>
          <w:bCs w:val="0"/>
          <w:lang w:val="zh-CN"/>
        </w:rPr>
        <w:t>1.1</w:t>
      </w:r>
      <w:r>
        <w:rPr>
          <w:rFonts w:hint="eastAsia"/>
          <w:bCs w:val="0"/>
          <w:lang w:val="zh-CN"/>
        </w:rPr>
        <w:t>。</w:t>
      </w:r>
    </w:p>
    <w:p>
      <w:pPr>
        <w:pStyle w:val="4"/>
        <w:numPr>
          <w:ilvl w:val="0"/>
          <w:numId w:val="0"/>
        </w:numPr>
        <w:rPr>
          <w:bCs w:val="0"/>
          <w:lang w:val="zh-CN"/>
        </w:rPr>
      </w:pPr>
      <w:r>
        <w:rPr>
          <w:b/>
          <w:bCs w:val="0"/>
          <w:lang w:val="zh-CN"/>
        </w:rPr>
        <w:t>4.7.9</w:t>
      </w:r>
      <w:r>
        <w:rPr>
          <w:b/>
          <w:bCs w:val="0"/>
        </w:rPr>
        <w:t xml:space="preserve">  </w:t>
      </w:r>
      <w:r>
        <w:rPr>
          <w:rFonts w:hint="eastAsia"/>
          <w:bCs w:val="0"/>
          <w:lang w:val="zh-CN"/>
        </w:rPr>
        <w:t>地下式城镇污水处理厂结构应采用防水混凝土，设计抗渗等级不应低于</w:t>
      </w:r>
      <w:r>
        <w:rPr>
          <w:bCs w:val="0"/>
          <w:lang w:val="zh-CN"/>
        </w:rPr>
        <w:t>P8</w:t>
      </w:r>
      <w:r>
        <w:rPr>
          <w:rFonts w:hint="eastAsia"/>
          <w:bCs w:val="0"/>
          <w:lang w:val="zh-CN"/>
        </w:rPr>
        <w:t>。与土壤、水接触的外壁板应</w:t>
      </w:r>
      <w:r>
        <w:rPr>
          <w:rFonts w:hint="eastAsia"/>
          <w:bCs w:val="0"/>
        </w:rPr>
        <w:t>采取</w:t>
      </w:r>
      <w:r>
        <w:rPr>
          <w:rFonts w:hint="eastAsia"/>
          <w:bCs w:val="0"/>
          <w:lang w:val="zh-CN"/>
        </w:rPr>
        <w:t>防水</w:t>
      </w:r>
      <w:r>
        <w:rPr>
          <w:rFonts w:hint="eastAsia"/>
          <w:bCs w:val="0"/>
        </w:rPr>
        <w:t>措施</w:t>
      </w:r>
      <w:r>
        <w:rPr>
          <w:rFonts w:hint="eastAsia"/>
          <w:bCs w:val="0"/>
          <w:lang w:val="zh-CN"/>
        </w:rPr>
        <w:t>。地下式城镇污水处理厂混凝土中的钢筋应符合抗震性能指标。</w:t>
      </w:r>
    </w:p>
    <w:p>
      <w:pPr>
        <w:pStyle w:val="4"/>
        <w:numPr>
          <w:ilvl w:val="0"/>
          <w:numId w:val="0"/>
        </w:numPr>
        <w:rPr>
          <w:bCs w:val="0"/>
          <w:lang w:val="zh-CN"/>
        </w:rPr>
      </w:pPr>
      <w:r>
        <w:rPr>
          <w:b/>
          <w:bCs w:val="0"/>
          <w:lang w:val="zh-CN"/>
        </w:rPr>
        <w:t>4.7.10</w:t>
      </w:r>
      <w:r>
        <w:rPr>
          <w:b/>
          <w:bCs w:val="0"/>
        </w:rPr>
        <w:t xml:space="preserve">  </w:t>
      </w:r>
      <w:r>
        <w:rPr>
          <w:rFonts w:hint="eastAsia"/>
          <w:bCs w:val="0"/>
        </w:rPr>
        <w:t>水池</w:t>
      </w:r>
      <w:r>
        <w:rPr>
          <w:rFonts w:hint="eastAsia"/>
          <w:bCs w:val="0"/>
          <w:lang w:val="zh-CN"/>
        </w:rPr>
        <w:t>内壁应</w:t>
      </w:r>
      <w:r>
        <w:rPr>
          <w:rFonts w:hint="eastAsia"/>
          <w:bCs w:val="0"/>
        </w:rPr>
        <w:t>采取根据内部介质、区域等采用相应</w:t>
      </w:r>
      <w:r>
        <w:rPr>
          <w:rFonts w:hint="eastAsia"/>
          <w:bCs w:val="0"/>
          <w:lang w:val="zh-CN"/>
        </w:rPr>
        <w:t>防腐</w:t>
      </w:r>
      <w:r>
        <w:rPr>
          <w:rFonts w:hint="eastAsia"/>
          <w:bCs w:val="0"/>
        </w:rPr>
        <w:t>措施</w:t>
      </w:r>
      <w:r>
        <w:rPr>
          <w:rFonts w:hint="eastAsia"/>
          <w:bCs w:val="0"/>
          <w:lang w:val="zh-CN"/>
        </w:rPr>
        <w:t>。</w:t>
      </w:r>
    </w:p>
    <w:p>
      <w:pPr>
        <w:pStyle w:val="4"/>
        <w:numPr>
          <w:ilvl w:val="0"/>
          <w:numId w:val="0"/>
        </w:numPr>
        <w:rPr>
          <w:bCs w:val="0"/>
          <w:lang w:val="zh-CN"/>
        </w:rPr>
      </w:pPr>
      <w:r>
        <w:rPr>
          <w:b/>
          <w:bCs w:val="0"/>
          <w:lang w:val="zh-CN"/>
        </w:rPr>
        <w:t>4.7.11</w:t>
      </w:r>
      <w:r>
        <w:rPr>
          <w:b/>
          <w:bCs w:val="0"/>
        </w:rPr>
        <w:t xml:space="preserve">  </w:t>
      </w:r>
      <w:r>
        <w:rPr>
          <w:rFonts w:hint="eastAsia"/>
          <w:bCs w:val="0"/>
          <w:lang w:val="zh-CN"/>
        </w:rPr>
        <w:t>地下主体结构宜按空间体系进行结构整体分析，并宜考虑结构单元的弯曲、剪切和扭转等对结构内力的影响，</w:t>
      </w:r>
      <w:r>
        <w:rPr>
          <w:rFonts w:hint="eastAsia"/>
          <w:bCs w:val="0"/>
        </w:rPr>
        <w:t>分析</w:t>
      </w:r>
      <w:r>
        <w:rPr>
          <w:rFonts w:hint="eastAsia"/>
          <w:bCs w:val="0"/>
          <w:lang w:val="zh-CN"/>
        </w:rPr>
        <w:t>不同工况条件下各荷载组合作用。</w:t>
      </w:r>
    </w:p>
    <w:p>
      <w:pPr>
        <w:pStyle w:val="4"/>
        <w:numPr>
          <w:ilvl w:val="0"/>
          <w:numId w:val="0"/>
        </w:numPr>
        <w:rPr>
          <w:bCs w:val="0"/>
          <w:lang w:val="zh-CN"/>
        </w:rPr>
      </w:pPr>
      <w:r>
        <w:rPr>
          <w:b/>
          <w:bCs w:val="0"/>
          <w:lang w:val="zh-CN"/>
        </w:rPr>
        <w:t>4.7.12</w:t>
      </w:r>
      <w:r>
        <w:rPr>
          <w:b/>
          <w:bCs w:val="0"/>
        </w:rPr>
        <w:t xml:space="preserve">  </w:t>
      </w:r>
      <w:r>
        <w:rPr>
          <w:rFonts w:hint="eastAsia"/>
          <w:bCs w:val="0"/>
          <w:lang w:val="zh-CN"/>
        </w:rPr>
        <w:t>主体结构宜采用变形缝与后浇带或分段跳仓法浇筑相结合的方式进行设计，</w:t>
      </w:r>
      <w:r>
        <w:rPr>
          <w:rFonts w:hint="eastAsia"/>
          <w:bCs w:val="0"/>
        </w:rPr>
        <w:t>以</w:t>
      </w:r>
      <w:r>
        <w:rPr>
          <w:rFonts w:hint="eastAsia"/>
          <w:bCs w:val="0"/>
          <w:lang w:val="zh-CN"/>
        </w:rPr>
        <w:t>减少设置变形缝数量。位于有防水要求部位的变形缝，应设置埋入式止水带，止水带宜采用钢边橡胶止水带。地下主体结构的负二层不宜设置变形缝。</w:t>
      </w:r>
    </w:p>
    <w:p>
      <w:pPr>
        <w:pStyle w:val="4"/>
        <w:numPr>
          <w:ilvl w:val="0"/>
          <w:numId w:val="0"/>
        </w:numPr>
        <w:rPr>
          <w:bCs w:val="0"/>
          <w:lang w:val="zh-CN"/>
        </w:rPr>
      </w:pPr>
      <w:r>
        <w:rPr>
          <w:b/>
          <w:bCs w:val="0"/>
          <w:lang w:val="zh-CN"/>
        </w:rPr>
        <w:t>4.7.13</w:t>
      </w:r>
      <w:r>
        <w:rPr>
          <w:b/>
          <w:bCs w:val="0"/>
        </w:rPr>
        <w:t xml:space="preserve">  </w:t>
      </w:r>
      <w:r>
        <w:rPr>
          <w:rFonts w:hint="eastAsia"/>
          <w:bCs w:val="0"/>
          <w:lang w:val="zh-CN"/>
        </w:rPr>
        <w:t>地下式城镇污水处理厂的主体结构底板厚度应大于池壁厚度。</w:t>
      </w:r>
    </w:p>
    <w:p>
      <w:pPr>
        <w:pStyle w:val="4"/>
        <w:numPr>
          <w:ilvl w:val="0"/>
          <w:numId w:val="0"/>
        </w:numPr>
        <w:adjustRightInd w:val="0"/>
        <w:rPr>
          <w:bCs w:val="0"/>
          <w:lang w:val="zh-CN"/>
        </w:rPr>
      </w:pPr>
      <w:r>
        <w:rPr>
          <w:b/>
          <w:bCs w:val="0"/>
          <w:lang w:val="zh-CN"/>
        </w:rPr>
        <w:t>4.7.14</w:t>
      </w:r>
      <w:r>
        <w:rPr>
          <w:b/>
          <w:bCs w:val="0"/>
        </w:rPr>
        <w:t xml:space="preserve">  </w:t>
      </w:r>
      <w:r>
        <w:rPr>
          <w:rFonts w:hint="eastAsia"/>
          <w:lang w:val="zh-CN"/>
        </w:rPr>
        <w:t>管道、箱涵及进出通道与主体结构连接处，应采取柔性止水连接，并采取措施减少接缝两侧的局部沉降差，同时应采取措施确保管道、箱涵穿越基坑深厚新填土时的结构安全和变形控制要求。</w:t>
      </w:r>
    </w:p>
    <w:p>
      <w:pPr>
        <w:pStyle w:val="4"/>
        <w:numPr>
          <w:ilvl w:val="0"/>
          <w:numId w:val="0"/>
        </w:numPr>
        <w:rPr>
          <w:bCs w:val="0"/>
          <w:lang w:val="zh-CN"/>
        </w:rPr>
      </w:pPr>
      <w:r>
        <w:rPr>
          <w:b/>
          <w:bCs w:val="0"/>
          <w:lang w:val="zh-CN"/>
        </w:rPr>
        <w:t>4.7.15</w:t>
      </w:r>
      <w:r>
        <w:rPr>
          <w:b/>
          <w:bCs w:val="0"/>
        </w:rPr>
        <w:t xml:space="preserve">  </w:t>
      </w:r>
      <w:r>
        <w:rPr>
          <w:rFonts w:hint="eastAsia"/>
          <w:bCs w:val="0"/>
          <w:lang w:val="zh-CN"/>
        </w:rPr>
        <w:t>钢筋混凝土墙（壁）的拐角及顶、底板的交接处宜设置腋角。</w:t>
      </w:r>
    </w:p>
    <w:p>
      <w:pPr>
        <w:pStyle w:val="4"/>
        <w:numPr>
          <w:ilvl w:val="0"/>
          <w:numId w:val="0"/>
        </w:numPr>
        <w:rPr>
          <w:bCs w:val="0"/>
          <w:lang w:val="zh-CN"/>
        </w:rPr>
      </w:pPr>
      <w:r>
        <w:rPr>
          <w:b/>
          <w:bCs w:val="0"/>
          <w:lang w:val="zh-CN"/>
        </w:rPr>
        <w:t>4.7.</w:t>
      </w:r>
      <w:r>
        <w:rPr>
          <w:rFonts w:hint="eastAsia"/>
          <w:b/>
          <w:bCs w:val="0"/>
          <w:lang w:val="zh-CN"/>
        </w:rPr>
        <w:t>1</w:t>
      </w:r>
      <w:r>
        <w:rPr>
          <w:b/>
          <w:bCs w:val="0"/>
          <w:lang w:val="zh-CN"/>
        </w:rPr>
        <w:t>6</w:t>
      </w:r>
      <w:r>
        <w:rPr>
          <w:b/>
          <w:bCs w:val="0"/>
        </w:rPr>
        <w:t xml:space="preserve">  </w:t>
      </w:r>
      <w:r>
        <w:rPr>
          <w:rFonts w:hint="eastAsia"/>
          <w:bCs w:val="0"/>
          <w:lang w:val="zh-CN"/>
        </w:rPr>
        <w:t>地下式城镇污水处理厂的顶板结构厚度不宜小于</w:t>
      </w:r>
      <w:r>
        <w:rPr>
          <w:bCs w:val="0"/>
          <w:lang w:val="zh-CN"/>
        </w:rPr>
        <w:t>200mm</w:t>
      </w:r>
      <w:r>
        <w:rPr>
          <w:rFonts w:hint="eastAsia"/>
          <w:bCs w:val="0"/>
          <w:lang w:val="zh-CN"/>
        </w:rPr>
        <w:t>，应采用双层双向配筋。</w:t>
      </w:r>
    </w:p>
    <w:p>
      <w:pPr>
        <w:pStyle w:val="4"/>
        <w:numPr>
          <w:ilvl w:val="0"/>
          <w:numId w:val="0"/>
        </w:numPr>
        <w:adjustRightInd w:val="0"/>
        <w:rPr>
          <w:bCs w:val="0"/>
          <w:lang w:val="zh-CN"/>
        </w:rPr>
      </w:pPr>
      <w:r>
        <w:rPr>
          <w:b/>
          <w:bCs w:val="0"/>
          <w:lang w:val="zh-CN"/>
        </w:rPr>
        <w:t>4.7.</w:t>
      </w:r>
      <w:r>
        <w:rPr>
          <w:rFonts w:hint="eastAsia"/>
          <w:b/>
          <w:bCs w:val="0"/>
          <w:lang w:val="zh-CN"/>
        </w:rPr>
        <w:t>1</w:t>
      </w:r>
      <w:r>
        <w:rPr>
          <w:b/>
          <w:bCs w:val="0"/>
          <w:lang w:val="zh-CN"/>
        </w:rPr>
        <w:t>7</w:t>
      </w:r>
      <w:r>
        <w:rPr>
          <w:b/>
          <w:bCs w:val="0"/>
        </w:rPr>
        <w:t xml:space="preserve">  </w:t>
      </w:r>
      <w:r>
        <w:rPr>
          <w:rFonts w:hint="eastAsia"/>
          <w:bCs w:val="0"/>
          <w:lang w:val="zh-CN"/>
        </w:rPr>
        <w:t>钢筋的混凝土保护层厚度应根据设计使用年限及</w:t>
      </w:r>
      <w:r>
        <w:rPr>
          <w:rFonts w:hint="eastAsia"/>
          <w:bCs w:val="0"/>
        </w:rPr>
        <w:t>地下空间</w:t>
      </w:r>
      <w:r>
        <w:rPr>
          <w:rFonts w:hint="eastAsia"/>
          <w:bCs w:val="0"/>
          <w:lang w:val="zh-CN"/>
        </w:rPr>
        <w:t>外水土、</w:t>
      </w:r>
      <w:r>
        <w:rPr>
          <w:rFonts w:hint="eastAsia"/>
          <w:bCs w:val="0"/>
        </w:rPr>
        <w:t>地下空间</w:t>
      </w:r>
      <w:r>
        <w:rPr>
          <w:rFonts w:hint="eastAsia"/>
          <w:bCs w:val="0"/>
          <w:lang w:val="zh-CN"/>
        </w:rPr>
        <w:t>内污水、气体环境对混凝土的作用等级等条件综合确定。最低要求应符合表</w:t>
      </w:r>
      <w:r>
        <w:rPr>
          <w:rFonts w:hint="eastAsia"/>
          <w:bCs w:val="0"/>
        </w:rPr>
        <w:t>4.7.1</w:t>
      </w:r>
      <w:r>
        <w:rPr>
          <w:bCs w:val="0"/>
        </w:rPr>
        <w:t>7</w:t>
      </w:r>
      <w:r>
        <w:rPr>
          <w:rFonts w:hint="eastAsia"/>
          <w:bCs w:val="0"/>
          <w:lang w:val="zh-CN"/>
        </w:rPr>
        <w:t>的规定。</w:t>
      </w:r>
    </w:p>
    <w:p>
      <w:pPr>
        <w:keepLines/>
        <w:spacing w:line="440" w:lineRule="exact"/>
        <w:ind w:firstLine="562"/>
        <w:jc w:val="center"/>
        <w:rPr>
          <w:b/>
        </w:rPr>
      </w:pPr>
      <w:r>
        <w:rPr>
          <w:rFonts w:hint="eastAsia"/>
          <w:b/>
        </w:rPr>
        <w:t>表</w:t>
      </w:r>
      <w:r>
        <w:rPr>
          <w:b/>
        </w:rPr>
        <w:t>4.7.</w:t>
      </w:r>
      <w:r>
        <w:rPr>
          <w:rFonts w:hint="eastAsia"/>
          <w:b/>
        </w:rPr>
        <w:t>1</w:t>
      </w:r>
      <w:r>
        <w:rPr>
          <w:b/>
        </w:rPr>
        <w:t>7</w:t>
      </w:r>
      <w:r>
        <w:rPr>
          <w:rFonts w:hint="eastAsia"/>
          <w:b/>
        </w:rPr>
        <w:t>各部位钢筋的最小混凝土保护层厚度（mm）</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200"/>
        <w:gridCol w:w="1795"/>
        <w:gridCol w:w="1795"/>
        <w:gridCol w:w="141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0" w:type="pct"/>
            <w:gridSpan w:val="2"/>
            <w:vMerge w:val="restart"/>
            <w:vAlign w:val="center"/>
          </w:tcPr>
          <w:p>
            <w:pPr>
              <w:keepLines/>
              <w:spacing w:line="240" w:lineRule="auto"/>
              <w:ind w:firstLine="0" w:firstLineChars="0"/>
              <w:jc w:val="center"/>
              <w:rPr>
                <w:kern w:val="0"/>
                <w:sz w:val="21"/>
              </w:rPr>
            </w:pPr>
            <w:r>
              <w:rPr>
                <w:rFonts w:hint="eastAsia"/>
                <w:kern w:val="0"/>
                <w:sz w:val="21"/>
              </w:rPr>
              <w:t>环境类别</w:t>
            </w:r>
          </w:p>
          <w:p>
            <w:pPr>
              <w:keepLines/>
              <w:spacing w:line="240" w:lineRule="auto"/>
              <w:ind w:firstLine="0" w:firstLineChars="0"/>
              <w:jc w:val="center"/>
              <w:rPr>
                <w:kern w:val="0"/>
                <w:sz w:val="21"/>
              </w:rPr>
            </w:pPr>
          </w:p>
        </w:tc>
        <w:tc>
          <w:tcPr>
            <w:tcW w:w="2034" w:type="pct"/>
            <w:gridSpan w:val="2"/>
            <w:vAlign w:val="center"/>
          </w:tcPr>
          <w:p>
            <w:pPr>
              <w:keepLines/>
              <w:spacing w:line="240" w:lineRule="auto"/>
              <w:ind w:firstLine="0" w:firstLineChars="0"/>
              <w:jc w:val="center"/>
              <w:rPr>
                <w:kern w:val="0"/>
                <w:sz w:val="21"/>
              </w:rPr>
            </w:pPr>
            <w:r>
              <w:rPr>
                <w:rFonts w:hint="eastAsia"/>
                <w:kern w:val="0"/>
                <w:sz w:val="21"/>
              </w:rPr>
              <w:t>板、墙、壳</w:t>
            </w:r>
          </w:p>
        </w:tc>
        <w:tc>
          <w:tcPr>
            <w:tcW w:w="1606" w:type="pct"/>
            <w:gridSpan w:val="2"/>
            <w:vAlign w:val="center"/>
          </w:tcPr>
          <w:p>
            <w:pPr>
              <w:keepLines/>
              <w:spacing w:line="240" w:lineRule="auto"/>
              <w:ind w:firstLine="0" w:firstLineChars="0"/>
              <w:jc w:val="center"/>
              <w:rPr>
                <w:kern w:val="0"/>
                <w:sz w:val="21"/>
              </w:rPr>
            </w:pPr>
            <w:r>
              <w:rPr>
                <w:rFonts w:hint="eastAsia"/>
                <w:kern w:val="0"/>
                <w:sz w:val="21"/>
              </w:rPr>
              <w:t>梁、柱、杆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0" w:type="pct"/>
            <w:gridSpan w:val="2"/>
            <w:vMerge w:val="continue"/>
            <w:vAlign w:val="center"/>
          </w:tcPr>
          <w:p>
            <w:pPr>
              <w:keepLines/>
              <w:spacing w:line="240" w:lineRule="auto"/>
              <w:ind w:firstLine="0" w:firstLineChars="0"/>
              <w:jc w:val="center"/>
              <w:rPr>
                <w:kern w:val="0"/>
                <w:sz w:val="21"/>
              </w:rPr>
            </w:pPr>
          </w:p>
        </w:tc>
        <w:tc>
          <w:tcPr>
            <w:tcW w:w="1017" w:type="pct"/>
            <w:vAlign w:val="center"/>
          </w:tcPr>
          <w:p>
            <w:pPr>
              <w:keepLines/>
              <w:spacing w:line="240" w:lineRule="auto"/>
              <w:ind w:firstLine="0" w:firstLineChars="0"/>
              <w:jc w:val="center"/>
              <w:rPr>
                <w:kern w:val="0"/>
                <w:sz w:val="21"/>
              </w:rPr>
            </w:pPr>
            <w:r>
              <w:rPr>
                <w:rFonts w:hint="eastAsia"/>
                <w:kern w:val="0"/>
                <w:sz w:val="21"/>
              </w:rPr>
              <w:t>C25～C45</w:t>
            </w:r>
          </w:p>
        </w:tc>
        <w:tc>
          <w:tcPr>
            <w:tcW w:w="1017" w:type="pct"/>
            <w:vAlign w:val="center"/>
          </w:tcPr>
          <w:p>
            <w:pPr>
              <w:keepLines/>
              <w:spacing w:line="240" w:lineRule="auto"/>
              <w:ind w:firstLine="0" w:firstLineChars="0"/>
              <w:jc w:val="center"/>
              <w:rPr>
                <w:kern w:val="0"/>
                <w:sz w:val="21"/>
              </w:rPr>
            </w:pPr>
            <w:r>
              <w:rPr>
                <w:rFonts w:hint="eastAsia"/>
                <w:kern w:val="0"/>
                <w:sz w:val="21"/>
              </w:rPr>
              <w:t>≥C50</w:t>
            </w:r>
          </w:p>
        </w:tc>
        <w:tc>
          <w:tcPr>
            <w:tcW w:w="804" w:type="pct"/>
            <w:vAlign w:val="center"/>
          </w:tcPr>
          <w:p>
            <w:pPr>
              <w:keepLines/>
              <w:spacing w:line="240" w:lineRule="auto"/>
              <w:ind w:firstLine="0" w:firstLineChars="0"/>
              <w:jc w:val="center"/>
              <w:rPr>
                <w:kern w:val="0"/>
                <w:sz w:val="21"/>
              </w:rPr>
            </w:pPr>
            <w:r>
              <w:rPr>
                <w:rFonts w:hint="eastAsia"/>
                <w:kern w:val="0"/>
                <w:sz w:val="21"/>
              </w:rPr>
              <w:t>C25～C45</w:t>
            </w:r>
          </w:p>
        </w:tc>
        <w:tc>
          <w:tcPr>
            <w:tcW w:w="802" w:type="pct"/>
            <w:vAlign w:val="center"/>
          </w:tcPr>
          <w:p>
            <w:pPr>
              <w:keepLines/>
              <w:spacing w:line="240" w:lineRule="auto"/>
              <w:ind w:firstLine="0" w:firstLineChars="0"/>
              <w:jc w:val="center"/>
              <w:rPr>
                <w:kern w:val="0"/>
                <w:sz w:val="21"/>
              </w:rPr>
            </w:pPr>
            <w:r>
              <w:rPr>
                <w:rFonts w:hint="eastAsia"/>
                <w:kern w:val="0"/>
                <w:sz w:val="21"/>
              </w:rPr>
              <w:t>≥C50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0" w:type="pct"/>
            <w:gridSpan w:val="2"/>
          </w:tcPr>
          <w:p>
            <w:pPr>
              <w:keepLines/>
              <w:spacing w:line="240" w:lineRule="auto"/>
              <w:ind w:firstLine="420"/>
              <w:jc w:val="center"/>
              <w:rPr>
                <w:kern w:val="0"/>
                <w:sz w:val="21"/>
              </w:rPr>
            </w:pPr>
            <w:r>
              <w:rPr>
                <w:rFonts w:hint="eastAsia"/>
                <w:kern w:val="0"/>
                <w:sz w:val="21"/>
              </w:rPr>
              <w:t>一</w:t>
            </w:r>
          </w:p>
        </w:tc>
        <w:tc>
          <w:tcPr>
            <w:tcW w:w="1017" w:type="pct"/>
          </w:tcPr>
          <w:p>
            <w:pPr>
              <w:keepLines/>
              <w:spacing w:line="240" w:lineRule="auto"/>
              <w:ind w:firstLine="0" w:firstLineChars="0"/>
              <w:jc w:val="center"/>
              <w:rPr>
                <w:kern w:val="0"/>
                <w:sz w:val="21"/>
              </w:rPr>
            </w:pPr>
            <w:r>
              <w:rPr>
                <w:kern w:val="0"/>
                <w:sz w:val="21"/>
              </w:rPr>
              <w:t>15</w:t>
            </w:r>
          </w:p>
        </w:tc>
        <w:tc>
          <w:tcPr>
            <w:tcW w:w="1017" w:type="pct"/>
            <w:vAlign w:val="center"/>
          </w:tcPr>
          <w:p>
            <w:pPr>
              <w:keepLines/>
              <w:spacing w:line="240" w:lineRule="auto"/>
              <w:ind w:firstLine="0" w:firstLineChars="0"/>
              <w:jc w:val="center"/>
              <w:rPr>
                <w:kern w:val="0"/>
                <w:sz w:val="21"/>
              </w:rPr>
            </w:pPr>
            <w:r>
              <w:rPr>
                <w:kern w:val="0"/>
                <w:sz w:val="21"/>
              </w:rPr>
              <w:t>15</w:t>
            </w:r>
          </w:p>
        </w:tc>
        <w:tc>
          <w:tcPr>
            <w:tcW w:w="804" w:type="pct"/>
          </w:tcPr>
          <w:p>
            <w:pPr>
              <w:keepLines/>
              <w:spacing w:line="240" w:lineRule="auto"/>
              <w:ind w:firstLine="0" w:firstLineChars="0"/>
              <w:jc w:val="center"/>
              <w:rPr>
                <w:kern w:val="0"/>
                <w:sz w:val="21"/>
              </w:rPr>
            </w:pPr>
            <w:r>
              <w:rPr>
                <w:kern w:val="0"/>
                <w:sz w:val="21"/>
              </w:rPr>
              <w:t>25</w:t>
            </w:r>
          </w:p>
        </w:tc>
        <w:tc>
          <w:tcPr>
            <w:tcW w:w="802" w:type="pct"/>
            <w:vAlign w:val="center"/>
          </w:tcPr>
          <w:p>
            <w:pPr>
              <w:keepLines/>
              <w:spacing w:line="240" w:lineRule="auto"/>
              <w:ind w:firstLine="0" w:firstLineChars="0"/>
              <w:jc w:val="center"/>
              <w:rPr>
                <w:kern w:val="0"/>
                <w:sz w:val="21"/>
              </w:rPr>
            </w:pPr>
            <w:r>
              <w:rPr>
                <w:kern w:val="0"/>
                <w:sz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0" w:type="pct"/>
            <w:vMerge w:val="restart"/>
          </w:tcPr>
          <w:p>
            <w:pPr>
              <w:keepLines/>
              <w:spacing w:line="240" w:lineRule="auto"/>
              <w:ind w:firstLine="0" w:firstLineChars="0"/>
              <w:jc w:val="center"/>
              <w:rPr>
                <w:kern w:val="0"/>
                <w:sz w:val="21"/>
              </w:rPr>
            </w:pPr>
            <w:r>
              <w:rPr>
                <w:rFonts w:hint="eastAsia"/>
                <w:kern w:val="0"/>
                <w:sz w:val="21"/>
              </w:rPr>
              <w:t>二</w:t>
            </w:r>
          </w:p>
        </w:tc>
        <w:tc>
          <w:tcPr>
            <w:tcW w:w="680" w:type="pct"/>
            <w:vAlign w:val="center"/>
          </w:tcPr>
          <w:p>
            <w:pPr>
              <w:keepLines/>
              <w:spacing w:line="240" w:lineRule="auto"/>
              <w:ind w:firstLine="0" w:firstLineChars="0"/>
              <w:jc w:val="center"/>
              <w:rPr>
                <w:kern w:val="0"/>
                <w:sz w:val="21"/>
              </w:rPr>
            </w:pPr>
            <w:r>
              <w:rPr>
                <w:kern w:val="0"/>
                <w:sz w:val="21"/>
              </w:rPr>
              <w:t>a</w:t>
            </w:r>
          </w:p>
        </w:tc>
        <w:tc>
          <w:tcPr>
            <w:tcW w:w="1017" w:type="pct"/>
          </w:tcPr>
          <w:p>
            <w:pPr>
              <w:keepLines/>
              <w:spacing w:line="240" w:lineRule="auto"/>
              <w:ind w:firstLine="0" w:firstLineChars="0"/>
              <w:jc w:val="center"/>
              <w:rPr>
                <w:kern w:val="0"/>
                <w:sz w:val="21"/>
              </w:rPr>
            </w:pPr>
            <w:r>
              <w:rPr>
                <w:kern w:val="0"/>
                <w:sz w:val="21"/>
              </w:rPr>
              <w:t>20</w:t>
            </w:r>
          </w:p>
        </w:tc>
        <w:tc>
          <w:tcPr>
            <w:tcW w:w="1017" w:type="pct"/>
            <w:vAlign w:val="center"/>
          </w:tcPr>
          <w:p>
            <w:pPr>
              <w:keepLines/>
              <w:spacing w:line="240" w:lineRule="auto"/>
              <w:ind w:firstLine="0" w:firstLineChars="0"/>
              <w:jc w:val="center"/>
              <w:rPr>
                <w:kern w:val="0"/>
                <w:sz w:val="21"/>
              </w:rPr>
            </w:pPr>
            <w:r>
              <w:rPr>
                <w:kern w:val="0"/>
                <w:sz w:val="21"/>
              </w:rPr>
              <w:t>20</w:t>
            </w:r>
          </w:p>
        </w:tc>
        <w:tc>
          <w:tcPr>
            <w:tcW w:w="804" w:type="pct"/>
          </w:tcPr>
          <w:p>
            <w:pPr>
              <w:keepLines/>
              <w:spacing w:line="240" w:lineRule="auto"/>
              <w:ind w:firstLine="0" w:firstLineChars="0"/>
              <w:jc w:val="center"/>
              <w:rPr>
                <w:kern w:val="0"/>
                <w:sz w:val="21"/>
              </w:rPr>
            </w:pPr>
            <w:r>
              <w:rPr>
                <w:kern w:val="0"/>
                <w:sz w:val="21"/>
              </w:rPr>
              <w:t>30</w:t>
            </w:r>
          </w:p>
        </w:tc>
        <w:tc>
          <w:tcPr>
            <w:tcW w:w="802" w:type="pct"/>
            <w:vAlign w:val="center"/>
          </w:tcPr>
          <w:p>
            <w:pPr>
              <w:keepLines/>
              <w:spacing w:line="240" w:lineRule="auto"/>
              <w:ind w:firstLine="0" w:firstLineChars="0"/>
              <w:jc w:val="center"/>
              <w:rPr>
                <w:kern w:val="0"/>
                <w:sz w:val="21"/>
              </w:rPr>
            </w:pPr>
            <w:r>
              <w:rPr>
                <w:kern w:val="0"/>
                <w:sz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0" w:type="pct"/>
            <w:vMerge w:val="continue"/>
          </w:tcPr>
          <w:p>
            <w:pPr>
              <w:keepLines/>
              <w:spacing w:before="624" w:line="240" w:lineRule="auto"/>
              <w:ind w:firstLine="454"/>
              <w:jc w:val="center"/>
              <w:rPr>
                <w:b/>
                <w:spacing w:val="8"/>
                <w:kern w:val="0"/>
                <w:sz w:val="21"/>
              </w:rPr>
            </w:pPr>
          </w:p>
        </w:tc>
        <w:tc>
          <w:tcPr>
            <w:tcW w:w="680" w:type="pct"/>
            <w:vAlign w:val="center"/>
          </w:tcPr>
          <w:p>
            <w:pPr>
              <w:keepLines/>
              <w:spacing w:line="240" w:lineRule="auto"/>
              <w:ind w:firstLine="0" w:firstLineChars="0"/>
              <w:jc w:val="center"/>
              <w:rPr>
                <w:kern w:val="0"/>
                <w:sz w:val="21"/>
              </w:rPr>
            </w:pPr>
            <w:r>
              <w:rPr>
                <w:kern w:val="0"/>
                <w:sz w:val="21"/>
              </w:rPr>
              <w:t>b</w:t>
            </w:r>
          </w:p>
        </w:tc>
        <w:tc>
          <w:tcPr>
            <w:tcW w:w="1017" w:type="pct"/>
          </w:tcPr>
          <w:p>
            <w:pPr>
              <w:keepLines/>
              <w:spacing w:line="240" w:lineRule="auto"/>
              <w:ind w:firstLine="0" w:firstLineChars="0"/>
              <w:jc w:val="center"/>
              <w:rPr>
                <w:kern w:val="0"/>
                <w:sz w:val="21"/>
              </w:rPr>
            </w:pPr>
            <w:r>
              <w:rPr>
                <w:kern w:val="0"/>
                <w:sz w:val="21"/>
              </w:rPr>
              <w:t>25</w:t>
            </w:r>
          </w:p>
        </w:tc>
        <w:tc>
          <w:tcPr>
            <w:tcW w:w="1017" w:type="pct"/>
            <w:vAlign w:val="center"/>
          </w:tcPr>
          <w:p>
            <w:pPr>
              <w:keepLines/>
              <w:spacing w:line="240" w:lineRule="auto"/>
              <w:ind w:firstLine="0" w:firstLineChars="0"/>
              <w:jc w:val="center"/>
              <w:rPr>
                <w:kern w:val="0"/>
                <w:sz w:val="21"/>
              </w:rPr>
            </w:pPr>
            <w:r>
              <w:rPr>
                <w:kern w:val="0"/>
                <w:sz w:val="21"/>
              </w:rPr>
              <w:t>20</w:t>
            </w:r>
          </w:p>
        </w:tc>
        <w:tc>
          <w:tcPr>
            <w:tcW w:w="804" w:type="pct"/>
          </w:tcPr>
          <w:p>
            <w:pPr>
              <w:keepLines/>
              <w:spacing w:line="240" w:lineRule="auto"/>
              <w:ind w:firstLine="0" w:firstLineChars="0"/>
              <w:jc w:val="center"/>
              <w:rPr>
                <w:kern w:val="0"/>
                <w:sz w:val="21"/>
              </w:rPr>
            </w:pPr>
            <w:r>
              <w:rPr>
                <w:kern w:val="0"/>
                <w:sz w:val="21"/>
              </w:rPr>
              <w:t>35</w:t>
            </w:r>
          </w:p>
        </w:tc>
        <w:tc>
          <w:tcPr>
            <w:tcW w:w="802" w:type="pct"/>
            <w:vAlign w:val="center"/>
          </w:tcPr>
          <w:p>
            <w:pPr>
              <w:keepLines/>
              <w:spacing w:line="240" w:lineRule="auto"/>
              <w:ind w:firstLine="0" w:firstLineChars="0"/>
              <w:jc w:val="center"/>
              <w:rPr>
                <w:kern w:val="0"/>
                <w:sz w:val="21"/>
              </w:rPr>
            </w:pPr>
            <w:r>
              <w:rPr>
                <w:kern w:val="0"/>
                <w:sz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0" w:type="pct"/>
            <w:vMerge w:val="restart"/>
          </w:tcPr>
          <w:p>
            <w:pPr>
              <w:keepLines/>
              <w:spacing w:line="240" w:lineRule="auto"/>
              <w:ind w:firstLine="0" w:firstLineChars="0"/>
              <w:jc w:val="center"/>
              <w:rPr>
                <w:kern w:val="0"/>
                <w:sz w:val="21"/>
              </w:rPr>
            </w:pPr>
            <w:r>
              <w:rPr>
                <w:rFonts w:hint="eastAsia"/>
                <w:kern w:val="0"/>
                <w:sz w:val="21"/>
              </w:rPr>
              <w:t>三</w:t>
            </w:r>
          </w:p>
        </w:tc>
        <w:tc>
          <w:tcPr>
            <w:tcW w:w="680" w:type="pct"/>
            <w:vAlign w:val="center"/>
          </w:tcPr>
          <w:p>
            <w:pPr>
              <w:keepLines/>
              <w:spacing w:line="240" w:lineRule="auto"/>
              <w:ind w:firstLine="0" w:firstLineChars="0"/>
              <w:jc w:val="center"/>
              <w:rPr>
                <w:kern w:val="0"/>
                <w:sz w:val="21"/>
              </w:rPr>
            </w:pPr>
            <w:r>
              <w:rPr>
                <w:kern w:val="0"/>
                <w:sz w:val="21"/>
              </w:rPr>
              <w:t>a</w:t>
            </w:r>
          </w:p>
        </w:tc>
        <w:tc>
          <w:tcPr>
            <w:tcW w:w="1017" w:type="pct"/>
          </w:tcPr>
          <w:p>
            <w:pPr>
              <w:keepLines/>
              <w:spacing w:line="240" w:lineRule="auto"/>
              <w:ind w:firstLine="0" w:firstLineChars="0"/>
              <w:jc w:val="center"/>
              <w:rPr>
                <w:kern w:val="0"/>
                <w:sz w:val="21"/>
              </w:rPr>
            </w:pPr>
            <w:r>
              <w:rPr>
                <w:kern w:val="0"/>
                <w:sz w:val="21"/>
              </w:rPr>
              <w:t>30</w:t>
            </w:r>
          </w:p>
        </w:tc>
        <w:tc>
          <w:tcPr>
            <w:tcW w:w="1017" w:type="pct"/>
            <w:vAlign w:val="center"/>
          </w:tcPr>
          <w:p>
            <w:pPr>
              <w:keepLines/>
              <w:spacing w:line="240" w:lineRule="auto"/>
              <w:ind w:firstLine="0" w:firstLineChars="0"/>
              <w:jc w:val="center"/>
              <w:rPr>
                <w:kern w:val="0"/>
                <w:sz w:val="21"/>
              </w:rPr>
            </w:pPr>
            <w:r>
              <w:rPr>
                <w:kern w:val="0"/>
                <w:sz w:val="21"/>
              </w:rPr>
              <w:t>25</w:t>
            </w:r>
          </w:p>
        </w:tc>
        <w:tc>
          <w:tcPr>
            <w:tcW w:w="804" w:type="pct"/>
          </w:tcPr>
          <w:p>
            <w:pPr>
              <w:keepLines/>
              <w:spacing w:line="240" w:lineRule="auto"/>
              <w:ind w:firstLine="0" w:firstLineChars="0"/>
              <w:jc w:val="center"/>
              <w:rPr>
                <w:kern w:val="0"/>
                <w:sz w:val="21"/>
              </w:rPr>
            </w:pPr>
            <w:r>
              <w:rPr>
                <w:kern w:val="0"/>
                <w:sz w:val="21"/>
              </w:rPr>
              <w:t>40</w:t>
            </w:r>
          </w:p>
        </w:tc>
        <w:tc>
          <w:tcPr>
            <w:tcW w:w="802" w:type="pct"/>
            <w:vAlign w:val="center"/>
          </w:tcPr>
          <w:p>
            <w:pPr>
              <w:keepLines/>
              <w:spacing w:line="240" w:lineRule="auto"/>
              <w:ind w:firstLine="0" w:firstLineChars="0"/>
              <w:jc w:val="center"/>
              <w:rPr>
                <w:kern w:val="0"/>
                <w:sz w:val="21"/>
              </w:rPr>
            </w:pPr>
            <w:r>
              <w:rPr>
                <w:kern w:val="0"/>
                <w:sz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0" w:type="pct"/>
            <w:vMerge w:val="continue"/>
          </w:tcPr>
          <w:p>
            <w:pPr>
              <w:keepLines/>
              <w:spacing w:line="240" w:lineRule="auto"/>
              <w:ind w:firstLine="420"/>
              <w:jc w:val="center"/>
              <w:rPr>
                <w:kern w:val="0"/>
                <w:sz w:val="21"/>
              </w:rPr>
            </w:pPr>
          </w:p>
        </w:tc>
        <w:tc>
          <w:tcPr>
            <w:tcW w:w="680" w:type="pct"/>
            <w:vAlign w:val="center"/>
          </w:tcPr>
          <w:p>
            <w:pPr>
              <w:keepLines/>
              <w:spacing w:line="240" w:lineRule="auto"/>
              <w:ind w:firstLine="0" w:firstLineChars="0"/>
              <w:jc w:val="center"/>
              <w:rPr>
                <w:kern w:val="0"/>
                <w:sz w:val="21"/>
              </w:rPr>
            </w:pPr>
            <w:r>
              <w:rPr>
                <w:kern w:val="0"/>
                <w:sz w:val="21"/>
              </w:rPr>
              <w:t>b</w:t>
            </w:r>
          </w:p>
        </w:tc>
        <w:tc>
          <w:tcPr>
            <w:tcW w:w="1017" w:type="pct"/>
          </w:tcPr>
          <w:p>
            <w:pPr>
              <w:keepLines/>
              <w:spacing w:line="240" w:lineRule="auto"/>
              <w:ind w:firstLine="0" w:firstLineChars="0"/>
              <w:jc w:val="center"/>
              <w:rPr>
                <w:kern w:val="0"/>
                <w:sz w:val="21"/>
              </w:rPr>
            </w:pPr>
            <w:r>
              <w:rPr>
                <w:kern w:val="0"/>
                <w:sz w:val="21"/>
              </w:rPr>
              <w:t>40</w:t>
            </w:r>
          </w:p>
        </w:tc>
        <w:tc>
          <w:tcPr>
            <w:tcW w:w="1017" w:type="pct"/>
            <w:vAlign w:val="center"/>
          </w:tcPr>
          <w:p>
            <w:pPr>
              <w:keepLines/>
              <w:spacing w:line="240" w:lineRule="auto"/>
              <w:ind w:firstLine="0" w:firstLineChars="0"/>
              <w:jc w:val="center"/>
              <w:rPr>
                <w:kern w:val="0"/>
                <w:sz w:val="21"/>
              </w:rPr>
            </w:pPr>
            <w:r>
              <w:rPr>
                <w:kern w:val="0"/>
                <w:sz w:val="21"/>
              </w:rPr>
              <w:t>35</w:t>
            </w:r>
          </w:p>
        </w:tc>
        <w:tc>
          <w:tcPr>
            <w:tcW w:w="804" w:type="pct"/>
          </w:tcPr>
          <w:p>
            <w:pPr>
              <w:keepLines/>
              <w:spacing w:line="240" w:lineRule="auto"/>
              <w:ind w:firstLine="0" w:firstLineChars="0"/>
              <w:jc w:val="center"/>
              <w:rPr>
                <w:kern w:val="0"/>
                <w:sz w:val="21"/>
              </w:rPr>
            </w:pPr>
            <w:r>
              <w:rPr>
                <w:kern w:val="0"/>
                <w:sz w:val="21"/>
              </w:rPr>
              <w:t>50</w:t>
            </w:r>
          </w:p>
        </w:tc>
        <w:tc>
          <w:tcPr>
            <w:tcW w:w="802" w:type="pct"/>
            <w:vAlign w:val="center"/>
          </w:tcPr>
          <w:p>
            <w:pPr>
              <w:keepLines/>
              <w:spacing w:line="240" w:lineRule="auto"/>
              <w:ind w:firstLine="0" w:firstLineChars="0"/>
              <w:jc w:val="center"/>
              <w:rPr>
                <w:kern w:val="0"/>
                <w:sz w:val="21"/>
              </w:rPr>
            </w:pPr>
            <w:r>
              <w:rPr>
                <w:kern w:val="0"/>
                <w:sz w:val="21"/>
              </w:rPr>
              <w:t>45</w:t>
            </w:r>
          </w:p>
        </w:tc>
      </w:tr>
    </w:tbl>
    <w:p>
      <w:pPr>
        <w:ind w:firstLine="0" w:firstLineChars="0"/>
        <w:rPr>
          <w:bCs/>
          <w:sz w:val="21"/>
        </w:rPr>
      </w:pPr>
      <w:r>
        <w:rPr>
          <w:rFonts w:hint="eastAsia"/>
          <w:sz w:val="21"/>
        </w:rPr>
        <w:t>注：</w:t>
      </w:r>
      <w:r>
        <w:rPr>
          <w:bCs/>
          <w:sz w:val="21"/>
        </w:rPr>
        <w:t>1</w:t>
      </w:r>
      <w:r>
        <w:rPr>
          <w:rFonts w:hint="eastAsia"/>
          <w:bCs/>
          <w:sz w:val="21"/>
        </w:rPr>
        <w:t>环境类别的划分应符合现行国家标准《混凝土结构设计规范》</w:t>
      </w:r>
      <w:r>
        <w:rPr>
          <w:bCs/>
          <w:sz w:val="21"/>
        </w:rPr>
        <w:t>GB50010</w:t>
      </w:r>
      <w:r>
        <w:rPr>
          <w:rFonts w:hint="eastAsia"/>
          <w:bCs/>
          <w:sz w:val="21"/>
        </w:rPr>
        <w:t>的有关规定。</w:t>
      </w:r>
    </w:p>
    <w:p>
      <w:pPr>
        <w:ind w:firstLine="422" w:firstLineChars="0"/>
        <w:rPr>
          <w:bCs/>
          <w:sz w:val="21"/>
        </w:rPr>
      </w:pPr>
      <w:r>
        <w:rPr>
          <w:bCs/>
          <w:sz w:val="21"/>
        </w:rPr>
        <w:t xml:space="preserve">2 </w:t>
      </w:r>
      <w:r>
        <w:rPr>
          <w:rFonts w:hint="eastAsia"/>
          <w:bCs/>
          <w:sz w:val="21"/>
        </w:rPr>
        <w:t>混凝土保护层厚度不应小于钢筋的公称直径。</w:t>
      </w:r>
    </w:p>
    <w:p>
      <w:pPr>
        <w:ind w:firstLine="422"/>
        <w:rPr>
          <w:sz w:val="21"/>
        </w:rPr>
      </w:pPr>
      <w:r>
        <w:rPr>
          <w:rFonts w:hint="eastAsia"/>
          <w:b/>
          <w:sz w:val="21"/>
        </w:rPr>
        <w:t>3</w:t>
      </w:r>
      <w:r>
        <w:rPr>
          <w:rFonts w:hint="eastAsia"/>
          <w:sz w:val="21"/>
        </w:rPr>
        <w:t>板、墙、壳中分布钢筋的混凝土保护层厚度不应小于上表相应数值-10，且不小于10。</w:t>
      </w:r>
    </w:p>
    <w:p>
      <w:pPr>
        <w:ind w:firstLine="422"/>
        <w:rPr>
          <w:sz w:val="21"/>
        </w:rPr>
      </w:pPr>
      <w:r>
        <w:rPr>
          <w:rFonts w:hint="eastAsia"/>
          <w:b/>
          <w:sz w:val="21"/>
        </w:rPr>
        <w:t>4</w:t>
      </w:r>
      <w:r>
        <w:rPr>
          <w:rFonts w:hint="eastAsia"/>
          <w:sz w:val="21"/>
        </w:rPr>
        <w:t>基础中纵向受力钢筋的混凝土保护层厚度不应小于40（有垫层时），地下室底板及外壁迎水面的混凝土保护层厚度为50。</w:t>
      </w:r>
    </w:p>
    <w:p>
      <w:pPr>
        <w:pStyle w:val="4"/>
        <w:numPr>
          <w:ilvl w:val="0"/>
          <w:numId w:val="0"/>
        </w:numPr>
        <w:rPr>
          <w:bCs w:val="0"/>
          <w:lang w:val="zh-CN"/>
        </w:rPr>
      </w:pPr>
      <w:r>
        <w:rPr>
          <w:b/>
          <w:bCs w:val="0"/>
          <w:lang w:val="zh-CN"/>
        </w:rPr>
        <w:t>4.7.</w:t>
      </w:r>
      <w:r>
        <w:rPr>
          <w:rFonts w:hint="eastAsia"/>
          <w:b/>
          <w:bCs w:val="0"/>
          <w:lang w:val="zh-CN"/>
        </w:rPr>
        <w:t>1</w:t>
      </w:r>
      <w:r>
        <w:rPr>
          <w:b/>
          <w:bCs w:val="0"/>
          <w:lang w:val="zh-CN"/>
        </w:rPr>
        <w:t>8</w:t>
      </w:r>
      <w:r>
        <w:rPr>
          <w:b/>
          <w:bCs w:val="0"/>
        </w:rPr>
        <w:t xml:space="preserve">  </w:t>
      </w:r>
      <w:r>
        <w:rPr>
          <w:rFonts w:hint="eastAsia"/>
          <w:bCs w:val="0"/>
          <w:lang w:val="zh-CN"/>
        </w:rPr>
        <w:t>后浇带不应设置在结构复杂的位置。</w:t>
      </w:r>
    </w:p>
    <w:p>
      <w:pPr>
        <w:pStyle w:val="4"/>
        <w:numPr>
          <w:ilvl w:val="0"/>
          <w:numId w:val="0"/>
        </w:numPr>
        <w:rPr>
          <w:bCs w:val="0"/>
          <w:lang w:val="zh-CN"/>
        </w:rPr>
      </w:pPr>
      <w:r>
        <w:rPr>
          <w:b/>
          <w:bCs w:val="0"/>
          <w:lang w:val="zh-CN"/>
        </w:rPr>
        <w:t>4.7.</w:t>
      </w:r>
      <w:r>
        <w:rPr>
          <w:rFonts w:hint="eastAsia"/>
          <w:b/>
          <w:bCs w:val="0"/>
        </w:rPr>
        <w:t>1</w:t>
      </w:r>
      <w:r>
        <w:rPr>
          <w:b/>
          <w:bCs w:val="0"/>
        </w:rPr>
        <w:t xml:space="preserve">9  </w:t>
      </w:r>
      <w:r>
        <w:rPr>
          <w:rFonts w:hint="eastAsia"/>
          <w:bCs w:val="0"/>
          <w:lang w:val="zh-CN"/>
        </w:rPr>
        <w:t>地下空间构筑物、调度中心、变配电房按乙类设防，其他辅助建筑物按丙类设防。地上结构抗震设防分类应符合现行《建筑工程抗震设防分类标准》</w:t>
      </w:r>
      <w:r>
        <w:rPr>
          <w:bCs w:val="0"/>
          <w:lang w:val="zh-CN"/>
        </w:rPr>
        <w:t>GB 50223</w:t>
      </w:r>
      <w:r>
        <w:rPr>
          <w:rFonts w:hint="eastAsia"/>
          <w:bCs w:val="0"/>
          <w:lang w:val="zh-CN"/>
        </w:rPr>
        <w:t>的相关规定。地下</w:t>
      </w:r>
      <w:r>
        <w:rPr>
          <w:rFonts w:hint="eastAsia"/>
          <w:bCs w:val="0"/>
        </w:rPr>
        <w:t>空间</w:t>
      </w:r>
      <w:r>
        <w:rPr>
          <w:rFonts w:hint="eastAsia"/>
          <w:bCs w:val="0"/>
          <w:lang w:val="zh-CN"/>
        </w:rPr>
        <w:t>结构的抗震等级应符合表</w:t>
      </w:r>
      <w:r>
        <w:rPr>
          <w:rFonts w:hint="eastAsia"/>
          <w:bCs w:val="0"/>
        </w:rPr>
        <w:t>4.7.1</w:t>
      </w:r>
      <w:r>
        <w:rPr>
          <w:bCs w:val="0"/>
        </w:rPr>
        <w:t>9</w:t>
      </w:r>
      <w:r>
        <w:rPr>
          <w:rFonts w:hint="eastAsia"/>
          <w:bCs w:val="0"/>
          <w:lang w:val="zh-CN"/>
        </w:rPr>
        <w:t>规定。</w:t>
      </w:r>
    </w:p>
    <w:p>
      <w:pPr>
        <w:keepLines/>
        <w:spacing w:line="440" w:lineRule="exact"/>
        <w:ind w:firstLine="562"/>
        <w:jc w:val="center"/>
        <w:rPr>
          <w:b/>
        </w:rPr>
      </w:pPr>
      <w:r>
        <w:rPr>
          <w:rFonts w:hint="eastAsia"/>
          <w:b/>
        </w:rPr>
        <w:t>表</w:t>
      </w:r>
      <w:r>
        <w:rPr>
          <w:b/>
        </w:rPr>
        <w:t>4.7.</w:t>
      </w:r>
      <w:r>
        <w:rPr>
          <w:rFonts w:hint="eastAsia"/>
          <w:b/>
        </w:rPr>
        <w:t>1</w:t>
      </w:r>
      <w:r>
        <w:rPr>
          <w:b/>
        </w:rPr>
        <w:t>9</w:t>
      </w:r>
      <w:r>
        <w:rPr>
          <w:rFonts w:hint="eastAsia"/>
          <w:b/>
        </w:rPr>
        <w:t>地下空间结构的抗震等级</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88"/>
        <w:gridCol w:w="1489"/>
        <w:gridCol w:w="1488"/>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410" w:type="dxa"/>
          </w:tcPr>
          <w:p>
            <w:pPr>
              <w:widowControl/>
              <w:spacing w:line="240" w:lineRule="auto"/>
              <w:ind w:firstLine="1260" w:firstLineChars="600"/>
              <w:rPr>
                <w:kern w:val="0"/>
                <w:sz w:val="21"/>
              </w:rPr>
            </w:pPr>
            <w:r>
              <w:rPr>
                <w:rFonts w:hint="eastAsia"/>
                <w:kern w:val="0"/>
                <w:sz w:val="21"/>
              </w:rPr>
              <w:t>设防烈度</w:t>
            </w:r>
          </w:p>
          <w:p>
            <w:pPr>
              <w:widowControl/>
              <w:spacing w:line="240" w:lineRule="auto"/>
              <w:ind w:firstLine="210" w:firstLineChars="100"/>
              <w:rPr>
                <w:sz w:val="21"/>
              </w:rPr>
            </w:pPr>
            <w:r>
              <w:rPr>
                <w:rFonts w:hint="eastAsia"/>
                <w:sz w:val="21"/>
              </w:rPr>
              <w:t>设防类别</w:t>
            </w:r>
          </w:p>
        </w:tc>
        <w:tc>
          <w:tcPr>
            <w:tcW w:w="1488" w:type="dxa"/>
            <w:vAlign w:val="center"/>
          </w:tcPr>
          <w:p>
            <w:pPr>
              <w:widowControl/>
              <w:spacing w:line="240" w:lineRule="auto"/>
              <w:ind w:firstLine="0" w:firstLineChars="0"/>
              <w:jc w:val="center"/>
              <w:rPr>
                <w:kern w:val="0"/>
                <w:sz w:val="21"/>
              </w:rPr>
            </w:pPr>
            <w:r>
              <w:rPr>
                <w:rFonts w:hint="eastAsia"/>
                <w:kern w:val="0"/>
                <w:sz w:val="21"/>
              </w:rPr>
              <w:t>6度</w:t>
            </w:r>
          </w:p>
        </w:tc>
        <w:tc>
          <w:tcPr>
            <w:tcW w:w="1489" w:type="dxa"/>
            <w:vAlign w:val="center"/>
          </w:tcPr>
          <w:p>
            <w:pPr>
              <w:widowControl/>
              <w:spacing w:line="240" w:lineRule="auto"/>
              <w:ind w:firstLine="0" w:firstLineChars="0"/>
              <w:jc w:val="center"/>
              <w:rPr>
                <w:kern w:val="0"/>
                <w:sz w:val="21"/>
              </w:rPr>
            </w:pPr>
            <w:r>
              <w:rPr>
                <w:rFonts w:hint="eastAsia"/>
                <w:kern w:val="0"/>
                <w:sz w:val="21"/>
              </w:rPr>
              <w:t>7度</w:t>
            </w:r>
          </w:p>
        </w:tc>
        <w:tc>
          <w:tcPr>
            <w:tcW w:w="1488" w:type="dxa"/>
            <w:vAlign w:val="center"/>
          </w:tcPr>
          <w:p>
            <w:pPr>
              <w:widowControl/>
              <w:spacing w:line="240" w:lineRule="auto"/>
              <w:ind w:firstLine="0" w:firstLineChars="0"/>
              <w:jc w:val="center"/>
              <w:rPr>
                <w:kern w:val="0"/>
                <w:sz w:val="21"/>
              </w:rPr>
            </w:pPr>
            <w:r>
              <w:rPr>
                <w:rFonts w:hint="eastAsia"/>
                <w:kern w:val="0"/>
                <w:sz w:val="21"/>
              </w:rPr>
              <w:t>8度</w:t>
            </w:r>
          </w:p>
        </w:tc>
        <w:tc>
          <w:tcPr>
            <w:tcW w:w="1489" w:type="dxa"/>
            <w:vAlign w:val="center"/>
          </w:tcPr>
          <w:p>
            <w:pPr>
              <w:widowControl/>
              <w:spacing w:line="240" w:lineRule="auto"/>
              <w:ind w:firstLine="0" w:firstLineChars="0"/>
              <w:jc w:val="center"/>
              <w:rPr>
                <w:kern w:val="0"/>
                <w:sz w:val="21"/>
              </w:rPr>
            </w:pPr>
            <w:r>
              <w:rPr>
                <w:rFonts w:hint="eastAsia"/>
                <w:kern w:val="0"/>
                <w:sz w:val="21"/>
              </w:rPr>
              <w:t>9度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0" w:type="dxa"/>
          </w:tcPr>
          <w:p>
            <w:pPr>
              <w:widowControl/>
              <w:spacing w:line="240" w:lineRule="auto"/>
              <w:ind w:firstLine="0" w:firstLineChars="0"/>
              <w:jc w:val="center"/>
              <w:rPr>
                <w:kern w:val="0"/>
                <w:sz w:val="21"/>
              </w:rPr>
            </w:pPr>
            <w:r>
              <w:rPr>
                <w:rFonts w:hint="eastAsia"/>
                <w:kern w:val="0"/>
                <w:sz w:val="21"/>
              </w:rPr>
              <w:t>重点设防类（乙类）</w:t>
            </w:r>
          </w:p>
        </w:tc>
        <w:tc>
          <w:tcPr>
            <w:tcW w:w="1488" w:type="dxa"/>
            <w:vAlign w:val="center"/>
          </w:tcPr>
          <w:p>
            <w:pPr>
              <w:widowControl/>
              <w:spacing w:line="240" w:lineRule="auto"/>
              <w:ind w:left="1" w:hanging="1" w:firstLineChars="0"/>
              <w:jc w:val="center"/>
              <w:rPr>
                <w:kern w:val="0"/>
                <w:sz w:val="21"/>
              </w:rPr>
            </w:pPr>
            <w:r>
              <w:rPr>
                <w:rFonts w:hint="eastAsia"/>
                <w:kern w:val="0"/>
                <w:sz w:val="21"/>
              </w:rPr>
              <w:t>三</w:t>
            </w:r>
          </w:p>
        </w:tc>
        <w:tc>
          <w:tcPr>
            <w:tcW w:w="1489" w:type="dxa"/>
            <w:vAlign w:val="center"/>
          </w:tcPr>
          <w:p>
            <w:pPr>
              <w:widowControl/>
              <w:spacing w:line="240" w:lineRule="auto"/>
              <w:ind w:hanging="1" w:firstLineChars="0"/>
              <w:jc w:val="center"/>
              <w:rPr>
                <w:kern w:val="0"/>
                <w:sz w:val="21"/>
              </w:rPr>
            </w:pPr>
            <w:r>
              <w:rPr>
                <w:rFonts w:hint="eastAsia"/>
                <w:kern w:val="0"/>
                <w:sz w:val="21"/>
              </w:rPr>
              <w:t>三</w:t>
            </w:r>
          </w:p>
        </w:tc>
        <w:tc>
          <w:tcPr>
            <w:tcW w:w="1488" w:type="dxa"/>
            <w:vAlign w:val="center"/>
          </w:tcPr>
          <w:p>
            <w:pPr>
              <w:widowControl/>
              <w:spacing w:line="240" w:lineRule="auto"/>
              <w:ind w:hanging="1" w:firstLineChars="0"/>
              <w:jc w:val="center"/>
              <w:rPr>
                <w:kern w:val="0"/>
                <w:sz w:val="21"/>
              </w:rPr>
            </w:pPr>
            <w:r>
              <w:rPr>
                <w:rFonts w:hint="eastAsia"/>
                <w:kern w:val="0"/>
                <w:sz w:val="21"/>
              </w:rPr>
              <w:t>二</w:t>
            </w:r>
          </w:p>
        </w:tc>
        <w:tc>
          <w:tcPr>
            <w:tcW w:w="1489" w:type="dxa"/>
            <w:vAlign w:val="center"/>
          </w:tcPr>
          <w:p>
            <w:pPr>
              <w:widowControl/>
              <w:spacing w:line="240" w:lineRule="auto"/>
              <w:ind w:hanging="1" w:firstLineChars="0"/>
              <w:jc w:val="center"/>
              <w:rPr>
                <w:kern w:val="0"/>
                <w:sz w:val="21"/>
              </w:rPr>
            </w:pPr>
            <w:r>
              <w:rPr>
                <w:rFonts w:hint="eastAsia"/>
                <w:kern w:val="0"/>
                <w:sz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widowControl/>
              <w:spacing w:line="240" w:lineRule="auto"/>
              <w:ind w:firstLine="0" w:firstLineChars="0"/>
              <w:jc w:val="center"/>
              <w:rPr>
                <w:kern w:val="0"/>
                <w:sz w:val="21"/>
              </w:rPr>
            </w:pPr>
            <w:r>
              <w:rPr>
                <w:rFonts w:hint="eastAsia"/>
                <w:kern w:val="0"/>
                <w:sz w:val="21"/>
              </w:rPr>
              <w:t>标准设防类（丙类）</w:t>
            </w:r>
          </w:p>
        </w:tc>
        <w:tc>
          <w:tcPr>
            <w:tcW w:w="1488" w:type="dxa"/>
            <w:vAlign w:val="center"/>
          </w:tcPr>
          <w:p>
            <w:pPr>
              <w:widowControl/>
              <w:spacing w:line="240" w:lineRule="auto"/>
              <w:ind w:hanging="1" w:firstLineChars="0"/>
              <w:jc w:val="center"/>
              <w:rPr>
                <w:kern w:val="0"/>
                <w:sz w:val="21"/>
              </w:rPr>
            </w:pPr>
            <w:r>
              <w:rPr>
                <w:rFonts w:hint="eastAsia"/>
                <w:kern w:val="0"/>
                <w:sz w:val="21"/>
              </w:rPr>
              <w:t>四</w:t>
            </w:r>
          </w:p>
        </w:tc>
        <w:tc>
          <w:tcPr>
            <w:tcW w:w="1489" w:type="dxa"/>
            <w:vAlign w:val="center"/>
          </w:tcPr>
          <w:p>
            <w:pPr>
              <w:widowControl/>
              <w:spacing w:line="240" w:lineRule="auto"/>
              <w:ind w:hanging="1" w:firstLineChars="0"/>
              <w:jc w:val="center"/>
              <w:rPr>
                <w:kern w:val="0"/>
                <w:sz w:val="21"/>
              </w:rPr>
            </w:pPr>
            <w:r>
              <w:rPr>
                <w:rFonts w:hint="eastAsia"/>
                <w:kern w:val="0"/>
                <w:sz w:val="21"/>
              </w:rPr>
              <w:t>三</w:t>
            </w:r>
          </w:p>
        </w:tc>
        <w:tc>
          <w:tcPr>
            <w:tcW w:w="1488" w:type="dxa"/>
            <w:vAlign w:val="center"/>
          </w:tcPr>
          <w:p>
            <w:pPr>
              <w:widowControl/>
              <w:spacing w:line="240" w:lineRule="auto"/>
              <w:ind w:hanging="1" w:firstLineChars="0"/>
              <w:jc w:val="center"/>
              <w:rPr>
                <w:kern w:val="0"/>
                <w:sz w:val="21"/>
              </w:rPr>
            </w:pPr>
            <w:r>
              <w:rPr>
                <w:rFonts w:hint="eastAsia"/>
                <w:kern w:val="0"/>
                <w:sz w:val="21"/>
              </w:rPr>
              <w:t>三</w:t>
            </w:r>
          </w:p>
        </w:tc>
        <w:tc>
          <w:tcPr>
            <w:tcW w:w="1489" w:type="dxa"/>
            <w:vAlign w:val="center"/>
          </w:tcPr>
          <w:p>
            <w:pPr>
              <w:widowControl/>
              <w:spacing w:line="240" w:lineRule="auto"/>
              <w:ind w:hanging="1" w:firstLineChars="0"/>
              <w:jc w:val="center"/>
              <w:rPr>
                <w:kern w:val="0"/>
                <w:sz w:val="21"/>
              </w:rPr>
            </w:pPr>
            <w:r>
              <w:rPr>
                <w:rFonts w:hint="eastAsia"/>
                <w:kern w:val="0"/>
                <w:sz w:val="21"/>
              </w:rPr>
              <w:t>二</w:t>
            </w:r>
          </w:p>
        </w:tc>
      </w:tr>
    </w:tbl>
    <w:p>
      <w:pPr>
        <w:pStyle w:val="4"/>
        <w:numPr>
          <w:ilvl w:val="0"/>
          <w:numId w:val="0"/>
        </w:numPr>
        <w:rPr>
          <w:bCs w:val="0"/>
          <w:lang w:val="zh-CN"/>
        </w:rPr>
      </w:pPr>
      <w:r>
        <w:rPr>
          <w:b/>
          <w:bCs w:val="0"/>
          <w:lang w:val="zh-CN"/>
        </w:rPr>
        <w:t>4.7.20</w:t>
      </w:r>
      <w:r>
        <w:rPr>
          <w:b/>
          <w:bCs w:val="0"/>
        </w:rPr>
        <w:t xml:space="preserve">  </w:t>
      </w:r>
      <w:r>
        <w:rPr>
          <w:rFonts w:hint="eastAsia"/>
          <w:bCs w:val="0"/>
          <w:lang w:val="zh-CN"/>
        </w:rPr>
        <w:t>抗震墙和框架结构及非结构性构件的抗震措施应</w:t>
      </w:r>
      <w:r>
        <w:rPr>
          <w:rFonts w:hint="eastAsia"/>
          <w:bCs w:val="0"/>
        </w:rPr>
        <w:t>符合国家</w:t>
      </w:r>
      <w:r>
        <w:rPr>
          <w:rFonts w:hint="eastAsia"/>
          <w:bCs w:val="0"/>
          <w:lang w:val="zh-CN"/>
        </w:rPr>
        <w:t>现行</w:t>
      </w:r>
      <w:r>
        <w:rPr>
          <w:rFonts w:hint="eastAsia"/>
          <w:bCs w:val="0"/>
        </w:rPr>
        <w:t>标准</w:t>
      </w:r>
      <w:r>
        <w:rPr>
          <w:rFonts w:hint="eastAsia"/>
          <w:bCs w:val="0"/>
          <w:lang w:val="zh-CN"/>
        </w:rPr>
        <w:t>《建筑抗震设计规范》</w:t>
      </w:r>
      <w:r>
        <w:rPr>
          <w:bCs w:val="0"/>
          <w:lang w:val="zh-CN"/>
        </w:rPr>
        <w:t>GB 50011</w:t>
      </w:r>
      <w:r>
        <w:rPr>
          <w:rFonts w:hint="eastAsia"/>
          <w:bCs w:val="0"/>
          <w:lang w:val="zh-CN"/>
        </w:rPr>
        <w:t>相关规定。</w:t>
      </w:r>
    </w:p>
    <w:p>
      <w:pPr>
        <w:pStyle w:val="4"/>
        <w:numPr>
          <w:ilvl w:val="0"/>
          <w:numId w:val="0"/>
        </w:numPr>
        <w:rPr>
          <w:bCs w:val="0"/>
          <w:lang w:val="zh-CN"/>
        </w:rPr>
      </w:pPr>
      <w:r>
        <w:rPr>
          <w:b/>
          <w:bCs w:val="0"/>
          <w:lang w:val="zh-CN"/>
        </w:rPr>
        <w:t>4.7.2</w:t>
      </w:r>
      <w:r>
        <w:rPr>
          <w:b/>
          <w:bCs w:val="0"/>
        </w:rPr>
        <w:t xml:space="preserve">1  </w:t>
      </w:r>
      <w:r>
        <w:rPr>
          <w:rFonts w:hint="eastAsia"/>
          <w:bCs w:val="0"/>
          <w:lang w:val="zh-CN"/>
        </w:rPr>
        <w:t>结构应根据使用年限和环境类别进行耐久性设计，</w:t>
      </w:r>
      <w:r>
        <w:rPr>
          <w:rFonts w:hint="eastAsia"/>
          <w:bCs w:val="0"/>
        </w:rPr>
        <w:t>并符合</w:t>
      </w:r>
      <w:r>
        <w:rPr>
          <w:rFonts w:hint="eastAsia"/>
          <w:bCs w:val="0"/>
          <w:lang w:val="zh-CN"/>
        </w:rPr>
        <w:t>现行国家标准《混凝土结构耐久性设计规范》</w:t>
      </w:r>
      <w:r>
        <w:rPr>
          <w:bCs w:val="0"/>
          <w:lang w:val="zh-CN"/>
        </w:rPr>
        <w:t>GB/T</w:t>
      </w:r>
      <w:r>
        <w:rPr>
          <w:rFonts w:hint="eastAsia"/>
          <w:bCs w:val="0"/>
          <w:lang w:val="zh-CN"/>
        </w:rPr>
        <w:t xml:space="preserve"> </w:t>
      </w:r>
      <w:r>
        <w:rPr>
          <w:bCs w:val="0"/>
          <w:lang w:val="zh-CN"/>
        </w:rPr>
        <w:t>50476</w:t>
      </w:r>
      <w:r>
        <w:rPr>
          <w:rFonts w:hint="eastAsia"/>
          <w:bCs w:val="0"/>
          <w:lang w:val="zh-CN"/>
        </w:rPr>
        <w:t>的有关规定。钢筋混凝土的强度等级、水胶比、氯离子含量、碱含量应根据设计使用年限及地下空间外水土、地下空间内污水、气体环境对混凝土的作用等级等条件综合确定。</w:t>
      </w:r>
    </w:p>
    <w:p>
      <w:pPr>
        <w:ind w:firstLine="560"/>
        <w:rPr>
          <w:lang w:val="zh-CN"/>
        </w:rPr>
      </w:pPr>
    </w:p>
    <w:bookmarkEnd w:id="83"/>
    <w:bookmarkEnd w:id="84"/>
    <w:bookmarkEnd w:id="923"/>
    <w:bookmarkEnd w:id="924"/>
    <w:bookmarkEnd w:id="925"/>
    <w:bookmarkEnd w:id="926"/>
    <w:bookmarkEnd w:id="927"/>
    <w:bookmarkEnd w:id="928"/>
    <w:p>
      <w:pPr>
        <w:pStyle w:val="3"/>
        <w:spacing w:before="624" w:after="624"/>
      </w:pPr>
      <w:bookmarkStart w:id="929" w:name="_Toc59542851"/>
      <w:bookmarkEnd w:id="929"/>
      <w:bookmarkStart w:id="930" w:name="_Toc59209236"/>
      <w:bookmarkEnd w:id="930"/>
      <w:bookmarkStart w:id="931" w:name="_Toc59546121"/>
      <w:bookmarkEnd w:id="931"/>
      <w:bookmarkStart w:id="932" w:name="_Toc59631213"/>
      <w:bookmarkEnd w:id="932"/>
      <w:bookmarkStart w:id="933" w:name="_Toc59631212"/>
      <w:bookmarkEnd w:id="933"/>
      <w:bookmarkStart w:id="934" w:name="_Toc59716801"/>
      <w:bookmarkEnd w:id="934"/>
      <w:bookmarkStart w:id="935" w:name="_Toc59114752"/>
      <w:bookmarkEnd w:id="935"/>
      <w:bookmarkStart w:id="936" w:name="_Toc59113345"/>
      <w:bookmarkEnd w:id="936"/>
      <w:bookmarkStart w:id="937" w:name="_Toc59114751"/>
      <w:bookmarkEnd w:id="937"/>
      <w:bookmarkStart w:id="938" w:name="_Toc59016942"/>
      <w:bookmarkEnd w:id="938"/>
      <w:bookmarkStart w:id="939" w:name="_Toc59021449"/>
      <w:bookmarkEnd w:id="939"/>
      <w:bookmarkStart w:id="940" w:name="_Toc59203951"/>
      <w:bookmarkEnd w:id="940"/>
      <w:bookmarkStart w:id="941" w:name="_Toc59546122"/>
      <w:bookmarkEnd w:id="941"/>
      <w:bookmarkStart w:id="942" w:name="_Toc59113346"/>
      <w:bookmarkEnd w:id="942"/>
      <w:bookmarkStart w:id="943" w:name="_Toc70593411"/>
      <w:bookmarkEnd w:id="943"/>
      <w:bookmarkStart w:id="944" w:name="_Toc59116951"/>
      <w:bookmarkEnd w:id="944"/>
      <w:bookmarkStart w:id="945" w:name="_Toc59113776"/>
      <w:bookmarkEnd w:id="945"/>
      <w:bookmarkStart w:id="946" w:name="_Toc59630239"/>
      <w:bookmarkEnd w:id="946"/>
      <w:bookmarkStart w:id="947" w:name="_Toc70600565"/>
      <w:bookmarkEnd w:id="947"/>
      <w:bookmarkStart w:id="948" w:name="_Toc59203950"/>
      <w:bookmarkEnd w:id="948"/>
      <w:bookmarkStart w:id="949" w:name="_Toc70506480"/>
      <w:bookmarkEnd w:id="949"/>
      <w:bookmarkStart w:id="950" w:name="_Toc59116950"/>
      <w:bookmarkEnd w:id="950"/>
      <w:bookmarkStart w:id="951" w:name="_Toc59716802"/>
      <w:bookmarkEnd w:id="951"/>
      <w:bookmarkStart w:id="952" w:name="_Toc59021450"/>
      <w:bookmarkEnd w:id="952"/>
      <w:bookmarkStart w:id="953" w:name="_Toc59630240"/>
      <w:bookmarkEnd w:id="953"/>
      <w:bookmarkStart w:id="954" w:name="_Toc59113777"/>
      <w:bookmarkEnd w:id="954"/>
      <w:bookmarkStart w:id="955" w:name="_Toc59209237"/>
      <w:bookmarkEnd w:id="955"/>
      <w:bookmarkStart w:id="956" w:name="_Toc59016943"/>
      <w:bookmarkEnd w:id="956"/>
      <w:bookmarkStart w:id="957" w:name="_Toc59017256"/>
      <w:bookmarkEnd w:id="957"/>
      <w:bookmarkStart w:id="958" w:name="_Toc59017257"/>
      <w:bookmarkEnd w:id="958"/>
      <w:bookmarkStart w:id="959" w:name="_Toc59542852"/>
      <w:bookmarkEnd w:id="959"/>
      <w:bookmarkStart w:id="960" w:name="_Toc535322528"/>
      <w:bookmarkStart w:id="961" w:name="_Toc126321314"/>
      <w:bookmarkStart w:id="962" w:name="_Toc30575365"/>
      <w:bookmarkStart w:id="963" w:name="_Toc15400"/>
      <w:bookmarkStart w:id="964" w:name="_Toc16755"/>
      <w:bookmarkStart w:id="965" w:name="_Toc114734632"/>
      <w:bookmarkStart w:id="966" w:name="_Toc2611"/>
      <w:bookmarkStart w:id="967" w:name="_Toc70600682"/>
      <w:bookmarkStart w:id="968" w:name="_Toc96358479"/>
      <w:bookmarkStart w:id="969" w:name="_Toc9088"/>
      <w:bookmarkStart w:id="970" w:name="_Toc19888430"/>
      <w:r>
        <w:rPr>
          <w:rFonts w:hint="eastAsia"/>
        </w:rPr>
        <w:t>通风与除臭设计</w:t>
      </w:r>
      <w:bookmarkEnd w:id="960"/>
      <w:bookmarkEnd w:id="961"/>
      <w:bookmarkEnd w:id="962"/>
      <w:bookmarkEnd w:id="963"/>
      <w:bookmarkEnd w:id="964"/>
      <w:bookmarkEnd w:id="965"/>
      <w:bookmarkEnd w:id="966"/>
      <w:bookmarkEnd w:id="967"/>
      <w:bookmarkEnd w:id="968"/>
      <w:bookmarkEnd w:id="969"/>
      <w:bookmarkEnd w:id="970"/>
      <w:bookmarkStart w:id="971" w:name="_Toc535322530"/>
      <w:bookmarkStart w:id="972" w:name="_Toc18610"/>
    </w:p>
    <w:bookmarkEnd w:id="971"/>
    <w:p>
      <w:pPr>
        <w:pStyle w:val="4"/>
        <w:numPr>
          <w:ilvl w:val="0"/>
          <w:numId w:val="0"/>
        </w:numPr>
        <w:rPr>
          <w:bCs w:val="0"/>
          <w:lang w:val="zh-CN"/>
        </w:rPr>
      </w:pPr>
      <w:r>
        <w:rPr>
          <w:b/>
          <w:bCs w:val="0"/>
          <w:lang w:val="zh-CN"/>
        </w:rPr>
        <w:t>4.8.1</w:t>
      </w:r>
      <w:r>
        <w:rPr>
          <w:b/>
          <w:bCs w:val="0"/>
        </w:rPr>
        <w:t xml:space="preserve">  </w:t>
      </w:r>
      <w:r>
        <w:rPr>
          <w:rFonts w:hint="eastAsia"/>
          <w:bCs w:val="0"/>
          <w:lang w:val="zh-CN"/>
        </w:rPr>
        <w:t>地下式城镇污水处理厂宜结合周边环境统筹考虑</w:t>
      </w:r>
      <w:r>
        <w:rPr>
          <w:rFonts w:hint="eastAsia"/>
          <w:bCs w:val="0"/>
        </w:rPr>
        <w:t>通风方式</w:t>
      </w:r>
      <w:r>
        <w:rPr>
          <w:rFonts w:hint="eastAsia"/>
          <w:bCs w:val="0"/>
          <w:lang w:val="zh-CN"/>
        </w:rPr>
        <w:t>，地下空间优先采用自然通风。当自然通风不能满足卫生、环保或生产工艺要求时，应采用机械通风或自然与机械相结合的联合通风。</w:t>
      </w:r>
    </w:p>
    <w:p>
      <w:pPr>
        <w:pStyle w:val="4"/>
        <w:numPr>
          <w:ilvl w:val="0"/>
          <w:numId w:val="0"/>
        </w:numPr>
        <w:rPr>
          <w:bCs w:val="0"/>
          <w:lang w:val="zh-CN"/>
        </w:rPr>
      </w:pPr>
      <w:r>
        <w:rPr>
          <w:b/>
          <w:bCs w:val="0"/>
          <w:lang w:val="zh-CN"/>
        </w:rPr>
        <w:t>4.8.2</w:t>
      </w:r>
      <w:r>
        <w:rPr>
          <w:b/>
          <w:bCs w:val="0"/>
        </w:rPr>
        <w:t xml:space="preserve">  </w:t>
      </w:r>
      <w:r>
        <w:rPr>
          <w:rFonts w:hint="eastAsia"/>
          <w:bCs w:val="0"/>
        </w:rPr>
        <w:t>通风与除臭系统</w:t>
      </w:r>
      <w:r>
        <w:rPr>
          <w:rFonts w:hint="eastAsia"/>
          <w:bCs w:val="0"/>
          <w:lang w:val="zh-CN"/>
        </w:rPr>
        <w:t>应贯彻全过程控制理念，</w:t>
      </w:r>
      <w:r>
        <w:rPr>
          <w:rFonts w:hint="eastAsia"/>
          <w:szCs w:val="24"/>
          <w:lang w:bidi="ar"/>
        </w:rPr>
        <w:t>在设计、施工、验收及运行管理的各环节，严格做好通风换气、臭气源密闭、臭气有效收集和集中处理，通风系统宜与有毒有害气体检测仪表联动控制，实现地下空间环境的有效控制。</w:t>
      </w:r>
    </w:p>
    <w:p>
      <w:pPr>
        <w:pStyle w:val="4"/>
        <w:numPr>
          <w:ilvl w:val="0"/>
          <w:numId w:val="0"/>
        </w:numPr>
        <w:rPr>
          <w:bCs w:val="0"/>
          <w:lang w:val="zh-CN"/>
        </w:rPr>
      </w:pPr>
      <w:r>
        <w:rPr>
          <w:b/>
          <w:bCs w:val="0"/>
          <w:lang w:val="zh-CN"/>
        </w:rPr>
        <w:t>4.8.</w:t>
      </w:r>
      <w:r>
        <w:rPr>
          <w:rFonts w:hint="eastAsia"/>
          <w:b/>
          <w:bCs w:val="0"/>
        </w:rPr>
        <w:t>3</w:t>
      </w:r>
      <w:r>
        <w:rPr>
          <w:b/>
          <w:bCs w:val="0"/>
        </w:rPr>
        <w:t xml:space="preserve">  </w:t>
      </w:r>
      <w:r>
        <w:rPr>
          <w:rFonts w:hint="eastAsia"/>
          <w:bCs w:val="0"/>
          <w:lang w:val="zh-CN"/>
        </w:rPr>
        <w:t>通风系统应按不同功能区域单独设置，横向不宜跨越防火分区。机械通风系统应进行风量平衡及热平衡计算，计算参数及全面排风量应符合现行国家标准《工业建筑供暖通风与空气调节设计规范》</w:t>
      </w:r>
      <w:r>
        <w:rPr>
          <w:bCs w:val="0"/>
          <w:lang w:val="zh-CN"/>
        </w:rPr>
        <w:t>GB 50019</w:t>
      </w:r>
      <w:r>
        <w:rPr>
          <w:rFonts w:hint="eastAsia"/>
          <w:bCs w:val="0"/>
          <w:lang w:val="zh-CN"/>
        </w:rPr>
        <w:t>的有关规定。</w:t>
      </w:r>
    </w:p>
    <w:p>
      <w:pPr>
        <w:pStyle w:val="4"/>
        <w:numPr>
          <w:ilvl w:val="0"/>
          <w:numId w:val="0"/>
        </w:numPr>
        <w:rPr>
          <w:bCs w:val="0"/>
          <w:lang w:val="zh-CN"/>
        </w:rPr>
      </w:pPr>
      <w:r>
        <w:rPr>
          <w:b/>
          <w:bCs w:val="0"/>
          <w:lang w:val="zh-CN"/>
        </w:rPr>
        <w:t>4.8.</w:t>
      </w:r>
      <w:r>
        <w:rPr>
          <w:rFonts w:hint="eastAsia"/>
          <w:b/>
          <w:bCs w:val="0"/>
        </w:rPr>
        <w:t>4</w:t>
      </w:r>
      <w:r>
        <w:rPr>
          <w:b/>
          <w:bCs w:val="0"/>
        </w:rPr>
        <w:t xml:space="preserve">  </w:t>
      </w:r>
      <w:r>
        <w:rPr>
          <w:rFonts w:hint="eastAsia"/>
          <w:bCs w:val="0"/>
          <w:lang w:val="zh-CN"/>
        </w:rPr>
        <w:t>地下空间应统筹兼顾通风系统和除臭系统的流速场，合理组织气流，并应满足余热和余湿排除、臭气浓度控制的要求。</w:t>
      </w:r>
    </w:p>
    <w:p>
      <w:pPr>
        <w:pStyle w:val="4"/>
        <w:widowControl/>
        <w:numPr>
          <w:ilvl w:val="0"/>
          <w:numId w:val="0"/>
        </w:numPr>
        <w:rPr>
          <w:b/>
          <w:lang w:val="zh-CN" w:bidi="ar"/>
        </w:rPr>
      </w:pPr>
      <w:r>
        <w:rPr>
          <w:b/>
          <w:bCs w:val="0"/>
          <w:lang w:val="zh-CN"/>
        </w:rPr>
        <w:t>4.8.5</w:t>
      </w:r>
      <w:r>
        <w:rPr>
          <w:b/>
          <w:bCs w:val="0"/>
        </w:rPr>
        <w:t xml:space="preserve">  </w:t>
      </w:r>
      <w:r>
        <w:rPr>
          <w:rFonts w:hint="eastAsia"/>
          <w:lang w:val="zh-CN" w:bidi="ar"/>
        </w:rPr>
        <w:t>参观通道</w:t>
      </w:r>
      <w:r>
        <w:rPr>
          <w:rFonts w:hint="eastAsia"/>
          <w:lang w:bidi="ar"/>
        </w:rPr>
        <w:t>应</w:t>
      </w:r>
      <w:r>
        <w:rPr>
          <w:rFonts w:hint="eastAsia"/>
          <w:lang w:val="zh-CN" w:bidi="ar"/>
        </w:rPr>
        <w:t>与臭气产生源</w:t>
      </w:r>
      <w:r>
        <w:rPr>
          <w:rFonts w:hint="eastAsia"/>
          <w:lang w:bidi="ar"/>
        </w:rPr>
        <w:t>隔离</w:t>
      </w:r>
      <w:r>
        <w:rPr>
          <w:rFonts w:hint="eastAsia"/>
          <w:lang w:val="zh-CN" w:bidi="ar"/>
        </w:rPr>
        <w:t>，并设置独立的新风系统，维持正压</w:t>
      </w:r>
      <w:r>
        <w:rPr>
          <w:rFonts w:hint="eastAsia"/>
          <w:lang w:bidi="ar"/>
        </w:rPr>
        <w:t>状态</w:t>
      </w:r>
      <w:r>
        <w:rPr>
          <w:rFonts w:hint="eastAsia"/>
          <w:lang w:val="zh-CN" w:bidi="ar"/>
        </w:rPr>
        <w:t>，保证空气质量清新。</w:t>
      </w:r>
    </w:p>
    <w:p>
      <w:pPr>
        <w:pStyle w:val="4"/>
        <w:numPr>
          <w:ilvl w:val="0"/>
          <w:numId w:val="0"/>
        </w:numPr>
        <w:rPr>
          <w:bCs w:val="0"/>
          <w:szCs w:val="24"/>
          <w:lang w:bidi="ar"/>
        </w:rPr>
      </w:pPr>
      <w:r>
        <w:rPr>
          <w:b/>
          <w:bCs w:val="0"/>
          <w:lang w:val="zh-CN"/>
        </w:rPr>
        <w:t>4.8.</w:t>
      </w:r>
      <w:r>
        <w:rPr>
          <w:rFonts w:hint="eastAsia"/>
          <w:b/>
          <w:bCs w:val="0"/>
        </w:rPr>
        <w:t>6</w:t>
      </w:r>
      <w:r>
        <w:rPr>
          <w:b/>
          <w:bCs w:val="0"/>
        </w:rPr>
        <w:t xml:space="preserve">  </w:t>
      </w:r>
      <w:r>
        <w:rPr>
          <w:rFonts w:hint="eastAsia"/>
          <w:bCs w:val="0"/>
          <w:lang w:val="zh-CN"/>
        </w:rPr>
        <w:t>事故排风系统的吸风口应设在有毒有害气体放散量最大或聚集最多的地点。事故排风的死角处应采取导流措施。事故通风换气次数不应少于</w:t>
      </w:r>
      <w:r>
        <w:rPr>
          <w:bCs w:val="0"/>
          <w:lang w:val="zh-CN"/>
        </w:rPr>
        <w:t>12</w:t>
      </w:r>
      <w:r>
        <w:rPr>
          <w:rFonts w:hint="eastAsia"/>
          <w:bCs w:val="0"/>
          <w:lang w:val="zh-CN"/>
        </w:rPr>
        <w:t>次</w:t>
      </w:r>
      <w:r>
        <w:rPr>
          <w:bCs w:val="0"/>
          <w:lang w:val="zh-CN"/>
        </w:rPr>
        <w:t>/</w:t>
      </w:r>
      <w:r>
        <w:rPr>
          <w:rFonts w:hint="eastAsia"/>
          <w:bCs w:val="0"/>
          <w:lang w:val="zh-CN"/>
        </w:rPr>
        <w:t>小时。</w:t>
      </w:r>
    </w:p>
    <w:p>
      <w:pPr>
        <w:pStyle w:val="4"/>
        <w:numPr>
          <w:ilvl w:val="0"/>
          <w:numId w:val="0"/>
        </w:numPr>
        <w:rPr>
          <w:bCs w:val="0"/>
          <w:szCs w:val="24"/>
          <w:lang w:val="zh-CN" w:bidi="ar"/>
        </w:rPr>
      </w:pPr>
      <w:r>
        <w:rPr>
          <w:b/>
          <w:bCs w:val="0"/>
          <w:lang w:val="zh-CN"/>
        </w:rPr>
        <w:t>4.8.</w:t>
      </w:r>
      <w:r>
        <w:rPr>
          <w:rFonts w:hint="eastAsia"/>
          <w:b/>
          <w:bCs w:val="0"/>
        </w:rPr>
        <w:t>7</w:t>
      </w:r>
      <w:r>
        <w:rPr>
          <w:b/>
          <w:bCs w:val="0"/>
        </w:rPr>
        <w:t xml:space="preserve">  </w:t>
      </w:r>
      <w:r>
        <w:rPr>
          <w:rFonts w:hint="eastAsia"/>
          <w:bCs w:val="0"/>
          <w:lang w:val="zh-CN"/>
        </w:rPr>
        <w:t>散发臭气的池体和设备，宜采用小空间单独封闭，分区负压收集、就近处理。</w:t>
      </w:r>
      <w:r>
        <w:rPr>
          <w:rFonts w:hint="eastAsia"/>
          <w:bCs w:val="0"/>
        </w:rPr>
        <w:t>当不具备</w:t>
      </w:r>
      <w:r>
        <w:rPr>
          <w:rFonts w:hint="eastAsia"/>
          <w:bCs w:val="0"/>
          <w:lang w:val="zh-CN"/>
        </w:rPr>
        <w:t>就近处理</w:t>
      </w:r>
      <w:r>
        <w:rPr>
          <w:rFonts w:hint="eastAsia"/>
          <w:bCs w:val="0"/>
        </w:rPr>
        <w:t>条件时</w:t>
      </w:r>
      <w:r>
        <w:rPr>
          <w:rFonts w:hint="eastAsia"/>
          <w:bCs w:val="0"/>
          <w:lang w:val="zh-CN"/>
        </w:rPr>
        <w:t>，应将多个小空间臭气分别收集后集中处理。臭气源的密封方式包括空间隔离、设备加盖或加罩密封等。</w:t>
      </w:r>
    </w:p>
    <w:p>
      <w:pPr>
        <w:pStyle w:val="4"/>
        <w:numPr>
          <w:ilvl w:val="0"/>
          <w:numId w:val="0"/>
        </w:numPr>
        <w:rPr>
          <w:bCs w:val="0"/>
          <w:lang w:val="zh-CN"/>
        </w:rPr>
      </w:pPr>
      <w:r>
        <w:rPr>
          <w:b/>
          <w:bCs w:val="0"/>
          <w:lang w:val="zh-CN"/>
        </w:rPr>
        <w:t>4.8.</w:t>
      </w:r>
      <w:r>
        <w:rPr>
          <w:rFonts w:hint="eastAsia"/>
          <w:b/>
          <w:bCs w:val="0"/>
        </w:rPr>
        <w:t>8</w:t>
      </w:r>
      <w:r>
        <w:rPr>
          <w:b/>
          <w:bCs w:val="0"/>
        </w:rPr>
        <w:t xml:space="preserve">  </w:t>
      </w:r>
      <w:r>
        <w:rPr>
          <w:rFonts w:hint="eastAsia"/>
          <w:bCs w:val="0"/>
          <w:lang w:val="zh-CN"/>
        </w:rPr>
        <w:t>操作和巡视人员不</w:t>
      </w:r>
      <w:r>
        <w:rPr>
          <w:rFonts w:hint="eastAsia"/>
          <w:bCs w:val="0"/>
        </w:rPr>
        <w:t>应</w:t>
      </w:r>
      <w:r>
        <w:rPr>
          <w:rFonts w:hint="eastAsia"/>
          <w:bCs w:val="0"/>
          <w:lang w:val="zh-CN"/>
        </w:rPr>
        <w:t>直接暴露在密闭的臭气散发源内，操作和巡视频繁的空间应加强通风并维持正压。</w:t>
      </w:r>
    </w:p>
    <w:p>
      <w:pPr>
        <w:pStyle w:val="4"/>
        <w:numPr>
          <w:ilvl w:val="0"/>
          <w:numId w:val="0"/>
        </w:numPr>
        <w:rPr>
          <w:bCs w:val="0"/>
          <w:lang w:val="zh-CN"/>
        </w:rPr>
      </w:pPr>
      <w:r>
        <w:rPr>
          <w:b/>
          <w:bCs w:val="0"/>
          <w:lang w:val="zh-CN"/>
        </w:rPr>
        <w:t>4.8.</w:t>
      </w:r>
      <w:r>
        <w:rPr>
          <w:rFonts w:hint="eastAsia"/>
          <w:b/>
          <w:bCs w:val="0"/>
        </w:rPr>
        <w:t>9</w:t>
      </w:r>
      <w:r>
        <w:rPr>
          <w:b/>
          <w:bCs w:val="0"/>
        </w:rPr>
        <w:t xml:space="preserve">  </w:t>
      </w:r>
      <w:r>
        <w:rPr>
          <w:rFonts w:hint="eastAsia"/>
          <w:bCs w:val="0"/>
          <w:lang w:val="zh-CN"/>
        </w:rPr>
        <w:t>湿度要求较高或人员经常进入的地区宜设置有效的除湿措施。</w:t>
      </w:r>
    </w:p>
    <w:p>
      <w:pPr>
        <w:pStyle w:val="4"/>
        <w:numPr>
          <w:ilvl w:val="0"/>
          <w:numId w:val="0"/>
        </w:numPr>
        <w:rPr>
          <w:bCs w:val="0"/>
          <w:lang w:val="zh-CN"/>
        </w:rPr>
      </w:pPr>
      <w:r>
        <w:rPr>
          <w:b/>
          <w:bCs w:val="0"/>
          <w:lang w:val="zh-CN"/>
        </w:rPr>
        <w:t>4.8.</w:t>
      </w:r>
      <w:r>
        <w:rPr>
          <w:rFonts w:hint="eastAsia"/>
          <w:b/>
          <w:bCs w:val="0"/>
        </w:rPr>
        <w:t>10</w:t>
      </w:r>
      <w:r>
        <w:rPr>
          <w:b/>
          <w:bCs w:val="0"/>
        </w:rPr>
        <w:t xml:space="preserve">  </w:t>
      </w:r>
      <w:r>
        <w:rPr>
          <w:rFonts w:hint="eastAsia"/>
          <w:bCs w:val="0"/>
          <w:lang w:val="zh-CN"/>
        </w:rPr>
        <w:t>通风除臭设计除</w:t>
      </w:r>
      <w:r>
        <w:rPr>
          <w:rFonts w:hint="eastAsia"/>
          <w:bCs w:val="0"/>
        </w:rPr>
        <w:t>符合</w:t>
      </w:r>
      <w:r>
        <w:rPr>
          <w:rFonts w:hint="eastAsia"/>
          <w:bCs w:val="0"/>
          <w:lang w:val="zh-CN"/>
        </w:rPr>
        <w:t>国家现行标准外，还应</w:t>
      </w:r>
      <w:r>
        <w:rPr>
          <w:rFonts w:hint="eastAsia"/>
          <w:bCs w:val="0"/>
        </w:rPr>
        <w:t>执行</w:t>
      </w:r>
      <w:r>
        <w:rPr>
          <w:rFonts w:hint="eastAsia"/>
          <w:bCs w:val="0"/>
          <w:lang w:val="zh-CN"/>
        </w:rPr>
        <w:t>广东省现行标准《城镇地下污水处理设施通风与除臭处理技术标准》</w:t>
      </w:r>
      <w:r>
        <w:rPr>
          <w:bCs w:val="0"/>
          <w:lang w:val="zh-CN"/>
        </w:rPr>
        <w:t>DB</w:t>
      </w:r>
      <w:r>
        <w:rPr>
          <w:rFonts w:hint="eastAsia"/>
          <w:bCs w:val="0"/>
          <w:lang w:val="zh-CN"/>
        </w:rPr>
        <w:t>J/T</w:t>
      </w:r>
      <w:r>
        <w:rPr>
          <w:bCs w:val="0"/>
          <w:lang w:val="zh-CN"/>
        </w:rPr>
        <w:t xml:space="preserve"> </w:t>
      </w:r>
      <w:r>
        <w:rPr>
          <w:rFonts w:hint="eastAsia"/>
          <w:bCs w:val="0"/>
          <w:lang w:val="zh-CN"/>
        </w:rPr>
        <w:t>15-202的</w:t>
      </w:r>
      <w:r>
        <w:rPr>
          <w:rFonts w:hint="eastAsia"/>
          <w:bCs w:val="0"/>
        </w:rPr>
        <w:t>规定</w:t>
      </w:r>
      <w:r>
        <w:rPr>
          <w:rFonts w:hint="eastAsia"/>
          <w:bCs w:val="0"/>
          <w:lang w:val="zh-CN"/>
        </w:rPr>
        <w:t>。</w:t>
      </w:r>
    </w:p>
    <w:p>
      <w:pPr>
        <w:ind w:firstLine="560" w:firstLineChars="0"/>
        <w:rPr>
          <w:lang w:val="zh-CN"/>
        </w:rPr>
        <w:sectPr>
          <w:pgSz w:w="11850" w:h="16783"/>
          <w:pgMar w:top="1440" w:right="1440" w:bottom="1117" w:left="1800" w:header="851" w:footer="992" w:gutter="0"/>
          <w:cols w:space="425" w:num="1"/>
          <w:docGrid w:type="lines" w:linePitch="312" w:charSpace="0"/>
        </w:sectPr>
      </w:pPr>
    </w:p>
    <w:bookmarkEnd w:id="972"/>
    <w:p>
      <w:pPr>
        <w:pStyle w:val="3"/>
        <w:spacing w:before="624" w:after="624"/>
      </w:pPr>
      <w:bookmarkStart w:id="973" w:name="_Toc59117060"/>
      <w:bookmarkEnd w:id="973"/>
      <w:bookmarkStart w:id="974" w:name="_Toc58862044"/>
      <w:bookmarkEnd w:id="974"/>
      <w:bookmarkStart w:id="975" w:name="_Toc59113348"/>
      <w:bookmarkEnd w:id="975"/>
      <w:bookmarkStart w:id="976" w:name="_Toc59204012"/>
      <w:bookmarkEnd w:id="976"/>
      <w:bookmarkStart w:id="977" w:name="_Toc59542978"/>
      <w:bookmarkEnd w:id="977"/>
      <w:bookmarkStart w:id="978" w:name="_Toc58320297"/>
      <w:bookmarkEnd w:id="978"/>
      <w:bookmarkStart w:id="979" w:name="_Toc59204057"/>
      <w:bookmarkEnd w:id="979"/>
      <w:bookmarkStart w:id="980" w:name="_Toc58861835"/>
      <w:bookmarkEnd w:id="980"/>
      <w:bookmarkStart w:id="981" w:name="_Toc59017321"/>
      <w:bookmarkEnd w:id="981"/>
      <w:bookmarkStart w:id="982" w:name="_Toc59204065"/>
      <w:bookmarkEnd w:id="982"/>
      <w:bookmarkStart w:id="983" w:name="_Toc59542950"/>
      <w:bookmarkEnd w:id="983"/>
      <w:bookmarkStart w:id="984" w:name="_Toc58320349"/>
      <w:bookmarkEnd w:id="984"/>
      <w:bookmarkStart w:id="985" w:name="_Toc59017367"/>
      <w:bookmarkEnd w:id="985"/>
      <w:bookmarkStart w:id="986" w:name="_Toc59716805"/>
      <w:bookmarkEnd w:id="986"/>
      <w:bookmarkStart w:id="987" w:name="_Toc59209389"/>
      <w:bookmarkEnd w:id="987"/>
      <w:bookmarkStart w:id="988" w:name="_Toc59631321"/>
      <w:bookmarkEnd w:id="988"/>
      <w:bookmarkStart w:id="989" w:name="_Toc59017077"/>
      <w:bookmarkEnd w:id="989"/>
      <w:bookmarkStart w:id="990" w:name="_Toc59021581"/>
      <w:bookmarkEnd w:id="990"/>
      <w:bookmarkStart w:id="991" w:name="_Toc59117047"/>
      <w:bookmarkEnd w:id="991"/>
      <w:bookmarkStart w:id="992" w:name="_Toc58858072"/>
      <w:bookmarkEnd w:id="992"/>
      <w:bookmarkStart w:id="993" w:name="_Toc58320125"/>
      <w:bookmarkEnd w:id="993"/>
      <w:bookmarkStart w:id="994" w:name="_Toc59017370"/>
      <w:bookmarkEnd w:id="994"/>
      <w:bookmarkStart w:id="995" w:name="_Toc59017362"/>
      <w:bookmarkEnd w:id="995"/>
      <w:bookmarkStart w:id="996" w:name="_Toc59542916"/>
      <w:bookmarkEnd w:id="996"/>
      <w:bookmarkStart w:id="997" w:name="_Toc58320056"/>
      <w:bookmarkEnd w:id="997"/>
      <w:bookmarkStart w:id="998" w:name="_Toc59631328"/>
      <w:bookmarkEnd w:id="998"/>
      <w:bookmarkStart w:id="999" w:name="_Toc59203956"/>
      <w:bookmarkEnd w:id="999"/>
      <w:bookmarkStart w:id="1000" w:name="_Toc59114849"/>
      <w:bookmarkEnd w:id="1000"/>
      <w:bookmarkStart w:id="1001" w:name="_Toc59021455"/>
      <w:bookmarkEnd w:id="1001"/>
      <w:bookmarkStart w:id="1002" w:name="_Toc59016948"/>
      <w:bookmarkEnd w:id="1002"/>
      <w:bookmarkStart w:id="1003" w:name="_Toc59630297"/>
      <w:bookmarkEnd w:id="1003"/>
      <w:bookmarkStart w:id="1004" w:name="_Toc59021515"/>
      <w:bookmarkEnd w:id="1004"/>
      <w:bookmarkStart w:id="1005" w:name="_Toc59113351"/>
      <w:bookmarkEnd w:id="1005"/>
      <w:bookmarkStart w:id="1006" w:name="_Toc59630336"/>
      <w:bookmarkEnd w:id="1006"/>
      <w:bookmarkStart w:id="1007" w:name="_Toc59546276"/>
      <w:bookmarkEnd w:id="1007"/>
      <w:bookmarkStart w:id="1008" w:name="_Toc59716808"/>
      <w:bookmarkEnd w:id="1008"/>
      <w:bookmarkStart w:id="1009" w:name="_Toc59017095"/>
      <w:bookmarkEnd w:id="1009"/>
      <w:bookmarkStart w:id="1010" w:name="_Toc59716955"/>
      <w:bookmarkEnd w:id="1010"/>
      <w:bookmarkStart w:id="1011" w:name="_Toc58319996"/>
      <w:bookmarkEnd w:id="1011"/>
      <w:bookmarkStart w:id="1012" w:name="_Toc59546255"/>
      <w:bookmarkEnd w:id="1012"/>
      <w:bookmarkStart w:id="1013" w:name="_Toc58320119"/>
      <w:bookmarkEnd w:id="1013"/>
      <w:bookmarkStart w:id="1014" w:name="_Toc58857963"/>
      <w:bookmarkEnd w:id="1014"/>
      <w:bookmarkStart w:id="1015" w:name="_Toc59631348"/>
      <w:bookmarkEnd w:id="1015"/>
      <w:bookmarkStart w:id="1016" w:name="_Toc58862109"/>
      <w:bookmarkEnd w:id="1016"/>
      <w:bookmarkStart w:id="1017" w:name="_Toc58862036"/>
      <w:bookmarkEnd w:id="1017"/>
      <w:bookmarkStart w:id="1018" w:name="_Toc59116959"/>
      <w:bookmarkEnd w:id="1018"/>
      <w:bookmarkStart w:id="1019" w:name="_Toc59203976"/>
      <w:bookmarkEnd w:id="1019"/>
      <w:bookmarkStart w:id="1020" w:name="_Toc58320363"/>
      <w:bookmarkEnd w:id="1020"/>
      <w:bookmarkStart w:id="1021" w:name="_Toc59209345"/>
      <w:bookmarkEnd w:id="1021"/>
      <w:bookmarkStart w:id="1022" w:name="_Toc59116955"/>
      <w:bookmarkEnd w:id="1022"/>
      <w:bookmarkStart w:id="1023" w:name="_Toc58862134"/>
      <w:bookmarkEnd w:id="1023"/>
      <w:bookmarkStart w:id="1024" w:name="_Toc59630339"/>
      <w:bookmarkEnd w:id="1024"/>
      <w:bookmarkStart w:id="1025" w:name="_Toc59209241"/>
      <w:bookmarkEnd w:id="1025"/>
      <w:bookmarkStart w:id="1026" w:name="_Toc59113385"/>
      <w:bookmarkEnd w:id="1026"/>
      <w:bookmarkStart w:id="1027" w:name="_Toc59114904"/>
      <w:bookmarkEnd w:id="1027"/>
      <w:bookmarkStart w:id="1028" w:name="_Toc59021456"/>
      <w:bookmarkEnd w:id="1028"/>
      <w:bookmarkStart w:id="1029" w:name="_Toc59113352"/>
      <w:bookmarkEnd w:id="1029"/>
      <w:bookmarkStart w:id="1030" w:name="_Toc59716897"/>
      <w:bookmarkEnd w:id="1030"/>
      <w:bookmarkStart w:id="1031" w:name="_Toc59542922"/>
      <w:bookmarkEnd w:id="1031"/>
      <w:bookmarkStart w:id="1032" w:name="_Toc59543006"/>
      <w:bookmarkEnd w:id="1032"/>
      <w:bookmarkStart w:id="1033" w:name="_Toc59204015"/>
      <w:bookmarkEnd w:id="1033"/>
      <w:bookmarkStart w:id="1034" w:name="_Toc59203958"/>
      <w:bookmarkEnd w:id="1034"/>
      <w:bookmarkStart w:id="1035" w:name="_Toc59204105"/>
      <w:bookmarkEnd w:id="1035"/>
      <w:bookmarkStart w:id="1036" w:name="_Toc59113475"/>
      <w:bookmarkEnd w:id="1036"/>
      <w:bookmarkStart w:id="1037" w:name="_Toc58861989"/>
      <w:bookmarkEnd w:id="1037"/>
      <w:bookmarkStart w:id="1038" w:name="_Toc59204077"/>
      <w:bookmarkEnd w:id="1038"/>
      <w:bookmarkStart w:id="1039" w:name="_Toc58320238"/>
      <w:bookmarkEnd w:id="1039"/>
      <w:bookmarkStart w:id="1040" w:name="_Toc58858089"/>
      <w:bookmarkEnd w:id="1040"/>
      <w:bookmarkStart w:id="1041" w:name="_Toc59209391"/>
      <w:bookmarkEnd w:id="1041"/>
      <w:bookmarkStart w:id="1042" w:name="_Toc59017003"/>
      <w:bookmarkEnd w:id="1042"/>
      <w:bookmarkStart w:id="1043" w:name="_Toc59114755"/>
      <w:bookmarkEnd w:id="1043"/>
      <w:bookmarkStart w:id="1044" w:name="_Toc59113779"/>
      <w:bookmarkEnd w:id="1044"/>
      <w:bookmarkStart w:id="1045" w:name="_Toc59021514"/>
      <w:bookmarkEnd w:id="1045"/>
      <w:bookmarkStart w:id="1046" w:name="_Toc58320004"/>
      <w:bookmarkEnd w:id="1046"/>
      <w:bookmarkStart w:id="1047" w:name="_Toc59017073"/>
      <w:bookmarkEnd w:id="1047"/>
      <w:bookmarkStart w:id="1048" w:name="_Toc59546231"/>
      <w:bookmarkEnd w:id="1048"/>
      <w:bookmarkStart w:id="1049" w:name="_Toc59117014"/>
      <w:bookmarkEnd w:id="1049"/>
      <w:bookmarkStart w:id="1050" w:name="_Toc59017261"/>
      <w:bookmarkEnd w:id="1050"/>
      <w:bookmarkStart w:id="1051" w:name="_Toc59114770"/>
      <w:bookmarkEnd w:id="1051"/>
      <w:bookmarkStart w:id="1052" w:name="_Toc59546235"/>
      <w:bookmarkEnd w:id="1052"/>
      <w:bookmarkStart w:id="1053" w:name="_Toc58862096"/>
      <w:bookmarkEnd w:id="1053"/>
      <w:bookmarkStart w:id="1054" w:name="_Toc59631219"/>
      <w:bookmarkEnd w:id="1054"/>
      <w:bookmarkStart w:id="1055" w:name="_Toc59113473"/>
      <w:bookmarkEnd w:id="1055"/>
      <w:bookmarkStart w:id="1056" w:name="_Toc59016993"/>
      <w:bookmarkEnd w:id="1056"/>
      <w:bookmarkStart w:id="1057" w:name="_Toc58858020"/>
      <w:bookmarkEnd w:id="1057"/>
      <w:bookmarkStart w:id="1058" w:name="_Toc58320239"/>
      <w:bookmarkEnd w:id="1058"/>
      <w:bookmarkStart w:id="1059" w:name="_Toc59017275"/>
      <w:bookmarkEnd w:id="1059"/>
      <w:bookmarkStart w:id="1060" w:name="_Toc58320292"/>
      <w:bookmarkEnd w:id="1060"/>
      <w:bookmarkStart w:id="1061" w:name="_Toc59542949"/>
      <w:bookmarkEnd w:id="1061"/>
      <w:bookmarkStart w:id="1062" w:name="_Toc59546186"/>
      <w:bookmarkEnd w:id="1062"/>
      <w:bookmarkStart w:id="1063" w:name="_Toc59542918"/>
      <w:bookmarkEnd w:id="1063"/>
      <w:bookmarkStart w:id="1064" w:name="_Toc59716866"/>
      <w:bookmarkEnd w:id="1064"/>
      <w:bookmarkStart w:id="1065" w:name="_Toc59542980"/>
      <w:bookmarkEnd w:id="1065"/>
      <w:bookmarkStart w:id="1066" w:name="_Toc59017096"/>
      <w:bookmarkEnd w:id="1066"/>
      <w:bookmarkStart w:id="1067" w:name="_Toc59113472"/>
      <w:bookmarkEnd w:id="1067"/>
      <w:bookmarkStart w:id="1068" w:name="_Toc59630304"/>
      <w:bookmarkEnd w:id="1068"/>
      <w:bookmarkStart w:id="1069" w:name="_Toc59204063"/>
      <w:bookmarkEnd w:id="1069"/>
      <w:bookmarkStart w:id="1070" w:name="_Toc59546147"/>
      <w:bookmarkEnd w:id="1070"/>
      <w:bookmarkStart w:id="1071" w:name="_Toc58320030"/>
      <w:bookmarkEnd w:id="1071"/>
      <w:bookmarkStart w:id="1072" w:name="_Toc59542941"/>
      <w:bookmarkEnd w:id="1072"/>
      <w:bookmarkStart w:id="1073" w:name="_Toc59021512"/>
      <w:bookmarkEnd w:id="1073"/>
      <w:bookmarkStart w:id="1074" w:name="_Toc58861753"/>
      <w:bookmarkEnd w:id="1074"/>
      <w:bookmarkStart w:id="1075" w:name="_Toc59209327"/>
      <w:bookmarkEnd w:id="1075"/>
      <w:bookmarkStart w:id="1076" w:name="_Toc59113861"/>
      <w:bookmarkEnd w:id="1076"/>
      <w:bookmarkStart w:id="1077" w:name="_Toc59631279"/>
      <w:bookmarkEnd w:id="1077"/>
      <w:bookmarkStart w:id="1078" w:name="_Toc59716852"/>
      <w:bookmarkEnd w:id="1078"/>
      <w:bookmarkStart w:id="1079" w:name="_Toc59114756"/>
      <w:bookmarkEnd w:id="1079"/>
      <w:bookmarkStart w:id="1080" w:name="_Toc59631307"/>
      <w:bookmarkEnd w:id="1080"/>
      <w:bookmarkStart w:id="1081" w:name="_Toc58862071"/>
      <w:bookmarkEnd w:id="1081"/>
      <w:bookmarkStart w:id="1082" w:name="_Toc59113785"/>
      <w:bookmarkEnd w:id="1082"/>
      <w:bookmarkStart w:id="1083" w:name="_Toc59113409"/>
      <w:bookmarkEnd w:id="1083"/>
      <w:bookmarkStart w:id="1084" w:name="_Toc59630319"/>
      <w:bookmarkEnd w:id="1084"/>
      <w:bookmarkStart w:id="1085" w:name="_Toc59631220"/>
      <w:bookmarkEnd w:id="1085"/>
      <w:bookmarkStart w:id="1086" w:name="_Toc59542906"/>
      <w:bookmarkEnd w:id="1086"/>
      <w:bookmarkStart w:id="1087" w:name="_Toc59542982"/>
      <w:bookmarkEnd w:id="1087"/>
      <w:bookmarkStart w:id="1088" w:name="_Toc59017323"/>
      <w:bookmarkEnd w:id="1088"/>
      <w:bookmarkStart w:id="1089" w:name="_Toc59716893"/>
      <w:bookmarkEnd w:id="1089"/>
      <w:bookmarkStart w:id="1090" w:name="_Toc59114843"/>
      <w:bookmarkEnd w:id="1090"/>
      <w:bookmarkStart w:id="1091" w:name="_Toc59017319"/>
      <w:bookmarkEnd w:id="1091"/>
      <w:bookmarkStart w:id="1092" w:name="_Toc58858022"/>
      <w:bookmarkEnd w:id="1092"/>
      <w:bookmarkStart w:id="1093" w:name="_Toc59117038"/>
      <w:bookmarkEnd w:id="1093"/>
      <w:bookmarkStart w:id="1094" w:name="_Toc59017036"/>
      <w:bookmarkEnd w:id="1094"/>
      <w:bookmarkStart w:id="1095" w:name="_Toc59546205"/>
      <w:bookmarkEnd w:id="1095"/>
      <w:bookmarkStart w:id="1096" w:name="_Toc59631271"/>
      <w:bookmarkEnd w:id="1096"/>
      <w:bookmarkStart w:id="1097" w:name="_Toc59546209"/>
      <w:bookmarkEnd w:id="1097"/>
      <w:bookmarkStart w:id="1098" w:name="_Toc59631268"/>
      <w:bookmarkEnd w:id="1098"/>
      <w:bookmarkStart w:id="1099" w:name="_Toc58320325"/>
      <w:bookmarkEnd w:id="1099"/>
      <w:bookmarkStart w:id="1100" w:name="_Toc59716900"/>
      <w:bookmarkEnd w:id="1100"/>
      <w:bookmarkStart w:id="1101" w:name="_Toc59542948"/>
      <w:bookmarkEnd w:id="1101"/>
      <w:bookmarkStart w:id="1102" w:name="_Toc58320303"/>
      <w:bookmarkEnd w:id="1102"/>
      <w:bookmarkStart w:id="1103" w:name="_Toc59017041"/>
      <w:bookmarkEnd w:id="1103"/>
      <w:bookmarkStart w:id="1104" w:name="_Toc59114861"/>
      <w:bookmarkEnd w:id="1104"/>
      <w:bookmarkStart w:id="1105" w:name="_Toc58320083"/>
      <w:bookmarkEnd w:id="1105"/>
      <w:bookmarkStart w:id="1106" w:name="_Toc59021507"/>
      <w:bookmarkEnd w:id="1106"/>
      <w:bookmarkStart w:id="1107" w:name="_Toc58858045"/>
      <w:bookmarkEnd w:id="1107"/>
      <w:bookmarkStart w:id="1108" w:name="_Toc59209339"/>
      <w:bookmarkEnd w:id="1108"/>
      <w:bookmarkStart w:id="1109" w:name="_Toc59209355"/>
      <w:bookmarkEnd w:id="1109"/>
      <w:bookmarkStart w:id="1110" w:name="_Toc58862042"/>
      <w:bookmarkEnd w:id="1110"/>
      <w:bookmarkStart w:id="1111" w:name="_Toc58320076"/>
      <w:bookmarkEnd w:id="1111"/>
      <w:bookmarkStart w:id="1112" w:name="_Toc58861813"/>
      <w:bookmarkEnd w:id="1112"/>
      <w:bookmarkStart w:id="1113" w:name="_Toc58862012"/>
      <w:bookmarkEnd w:id="1113"/>
      <w:bookmarkStart w:id="1114" w:name="_Toc58320016"/>
      <w:bookmarkEnd w:id="1114"/>
      <w:bookmarkStart w:id="1115" w:name="_Toc59542943"/>
      <w:bookmarkEnd w:id="1115"/>
      <w:bookmarkStart w:id="1116" w:name="_Toc59204043"/>
      <w:bookmarkEnd w:id="1116"/>
      <w:bookmarkStart w:id="1117" w:name="_Toc59117039"/>
      <w:bookmarkEnd w:id="1117"/>
      <w:bookmarkStart w:id="1118" w:name="_Toc59716841"/>
      <w:bookmarkEnd w:id="1118"/>
      <w:bookmarkStart w:id="1119" w:name="_Toc59021510"/>
      <w:bookmarkEnd w:id="1119"/>
      <w:bookmarkStart w:id="1120" w:name="_Toc59016946"/>
      <w:bookmarkEnd w:id="1120"/>
      <w:bookmarkStart w:id="1121" w:name="_Toc59209363"/>
      <w:bookmarkEnd w:id="1121"/>
      <w:bookmarkStart w:id="1122" w:name="_Toc58320091"/>
      <w:bookmarkEnd w:id="1122"/>
      <w:bookmarkStart w:id="1123" w:name="_Toc59113790"/>
      <w:bookmarkEnd w:id="1123"/>
      <w:bookmarkStart w:id="1124" w:name="_Toc59716918"/>
      <w:bookmarkEnd w:id="1124"/>
      <w:bookmarkStart w:id="1125" w:name="_Toc59017260"/>
      <w:bookmarkEnd w:id="1125"/>
      <w:bookmarkStart w:id="1126" w:name="_Toc58862020"/>
      <w:bookmarkEnd w:id="1126"/>
      <w:bookmarkStart w:id="1127" w:name="_Toc59546230"/>
      <w:bookmarkEnd w:id="1127"/>
      <w:bookmarkStart w:id="1128" w:name="_Toc59542913"/>
      <w:bookmarkEnd w:id="1128"/>
      <w:bookmarkStart w:id="1129" w:name="_Toc58320071"/>
      <w:bookmarkEnd w:id="1129"/>
      <w:bookmarkStart w:id="1130" w:name="_Toc59204066"/>
      <w:bookmarkEnd w:id="1130"/>
      <w:bookmarkStart w:id="1131" w:name="_Toc59631266"/>
      <w:bookmarkEnd w:id="1131"/>
      <w:bookmarkStart w:id="1132" w:name="_Toc59114777"/>
      <w:bookmarkEnd w:id="1132"/>
      <w:bookmarkStart w:id="1133" w:name="_Toc59542877"/>
      <w:bookmarkEnd w:id="1133"/>
      <w:bookmarkStart w:id="1134" w:name="_Toc58858044"/>
      <w:bookmarkEnd w:id="1134"/>
      <w:bookmarkStart w:id="1135" w:name="_Toc59630329"/>
      <w:bookmarkEnd w:id="1135"/>
      <w:bookmarkStart w:id="1136" w:name="_Toc59546174"/>
      <w:bookmarkEnd w:id="1136"/>
      <w:bookmarkStart w:id="1137" w:name="_Toc59542958"/>
      <w:bookmarkEnd w:id="1137"/>
      <w:bookmarkStart w:id="1138" w:name="_Toc59117056"/>
      <w:bookmarkEnd w:id="1138"/>
      <w:bookmarkStart w:id="1139" w:name="_Toc59204011"/>
      <w:bookmarkEnd w:id="1139"/>
      <w:bookmarkStart w:id="1140" w:name="_Toc58320354"/>
      <w:bookmarkEnd w:id="1140"/>
      <w:bookmarkStart w:id="1141" w:name="_Toc59542911"/>
      <w:bookmarkEnd w:id="1141"/>
      <w:bookmarkStart w:id="1142" w:name="_Toc59716854"/>
      <w:bookmarkEnd w:id="1142"/>
      <w:bookmarkStart w:id="1143" w:name="_Toc59209326"/>
      <w:bookmarkEnd w:id="1143"/>
      <w:bookmarkStart w:id="1144" w:name="_Toc59631231"/>
      <w:bookmarkEnd w:id="1144"/>
      <w:bookmarkStart w:id="1145" w:name="_Toc59631299"/>
      <w:bookmarkEnd w:id="1145"/>
      <w:bookmarkStart w:id="1146" w:name="_Toc59113895"/>
      <w:bookmarkEnd w:id="1146"/>
      <w:bookmarkStart w:id="1147" w:name="_Toc59542953"/>
      <w:bookmarkEnd w:id="1147"/>
      <w:bookmarkStart w:id="1148" w:name="_Toc59204009"/>
      <w:bookmarkEnd w:id="1148"/>
      <w:bookmarkStart w:id="1149" w:name="_Toc59631331"/>
      <w:bookmarkEnd w:id="1149"/>
      <w:bookmarkStart w:id="1150" w:name="_Toc59113441"/>
      <w:bookmarkEnd w:id="1150"/>
      <w:bookmarkStart w:id="1151" w:name="_Toc58320285"/>
      <w:bookmarkEnd w:id="1151"/>
      <w:bookmarkStart w:id="1152" w:name="_Toc59114846"/>
      <w:bookmarkEnd w:id="1152"/>
      <w:bookmarkStart w:id="1153" w:name="_Toc59716856"/>
      <w:bookmarkEnd w:id="1153"/>
      <w:bookmarkStart w:id="1154" w:name="_Toc58862098"/>
      <w:bookmarkEnd w:id="1154"/>
      <w:bookmarkStart w:id="1155" w:name="_Toc58320110"/>
      <w:bookmarkEnd w:id="1155"/>
      <w:bookmarkStart w:id="1156" w:name="_Toc59114811"/>
      <w:bookmarkEnd w:id="1156"/>
      <w:bookmarkStart w:id="1157" w:name="_Toc58320074"/>
      <w:bookmarkEnd w:id="1157"/>
      <w:bookmarkStart w:id="1158" w:name="_Toc59114845"/>
      <w:bookmarkEnd w:id="1158"/>
      <w:bookmarkStart w:id="1159" w:name="_Toc59117035"/>
      <w:bookmarkEnd w:id="1159"/>
      <w:bookmarkStart w:id="1160" w:name="_Toc59546216"/>
      <w:bookmarkEnd w:id="1160"/>
      <w:bookmarkStart w:id="1161" w:name="_Toc59716888"/>
      <w:bookmarkEnd w:id="1161"/>
      <w:bookmarkStart w:id="1162" w:name="_Toc59117061"/>
      <w:bookmarkEnd w:id="1162"/>
      <w:bookmarkStart w:id="1163" w:name="_Toc59716896"/>
      <w:bookmarkEnd w:id="1163"/>
      <w:bookmarkStart w:id="1164" w:name="_Toc59204013"/>
      <w:bookmarkEnd w:id="1164"/>
      <w:bookmarkStart w:id="1165" w:name="_Toc59117007"/>
      <w:bookmarkEnd w:id="1165"/>
      <w:bookmarkStart w:id="1166" w:name="_Toc59017365"/>
      <w:bookmarkEnd w:id="1166"/>
      <w:bookmarkStart w:id="1167" w:name="_Toc59209289"/>
      <w:bookmarkEnd w:id="1167"/>
      <w:bookmarkStart w:id="1168" w:name="_Toc59113896"/>
      <w:bookmarkEnd w:id="1168"/>
      <w:bookmarkStart w:id="1169" w:name="_Toc59630328"/>
      <w:bookmarkEnd w:id="1169"/>
      <w:bookmarkStart w:id="1170" w:name="_Toc58862070"/>
      <w:bookmarkEnd w:id="1170"/>
      <w:bookmarkStart w:id="1171" w:name="_Toc58862088"/>
      <w:bookmarkEnd w:id="1171"/>
      <w:bookmarkStart w:id="1172" w:name="_Toc58858091"/>
      <w:bookmarkEnd w:id="1172"/>
      <w:bookmarkStart w:id="1173" w:name="_Toc59017049"/>
      <w:bookmarkEnd w:id="1173"/>
      <w:bookmarkStart w:id="1174" w:name="_Toc59716919"/>
      <w:bookmarkEnd w:id="1174"/>
      <w:bookmarkStart w:id="1175" w:name="_Toc58861840"/>
      <w:bookmarkEnd w:id="1175"/>
      <w:bookmarkStart w:id="1176" w:name="_Toc59113894"/>
      <w:bookmarkEnd w:id="1176"/>
      <w:bookmarkStart w:id="1177" w:name="_Toc59630245"/>
      <w:bookmarkEnd w:id="1177"/>
      <w:bookmarkStart w:id="1178" w:name="_Toc59716910"/>
      <w:bookmarkEnd w:id="1178"/>
      <w:bookmarkStart w:id="1179" w:name="_Toc59113431"/>
      <w:bookmarkEnd w:id="1179"/>
      <w:bookmarkStart w:id="1180" w:name="_Toc59209349"/>
      <w:bookmarkEnd w:id="1180"/>
      <w:bookmarkStart w:id="1181" w:name="_Toc58858061"/>
      <w:bookmarkEnd w:id="1181"/>
      <w:bookmarkStart w:id="1182" w:name="_Toc59113463"/>
      <w:bookmarkEnd w:id="1182"/>
      <w:bookmarkStart w:id="1183" w:name="_Toc59716909"/>
      <w:bookmarkEnd w:id="1183"/>
      <w:bookmarkStart w:id="1184" w:name="_Toc58862040"/>
      <w:bookmarkEnd w:id="1184"/>
      <w:bookmarkStart w:id="1185" w:name="_Toc59542942"/>
      <w:bookmarkEnd w:id="1185"/>
      <w:bookmarkStart w:id="1186" w:name="_Toc58320343"/>
      <w:bookmarkEnd w:id="1186"/>
      <w:bookmarkStart w:id="1187" w:name="_Toc59113868"/>
      <w:bookmarkEnd w:id="1187"/>
      <w:bookmarkStart w:id="1188" w:name="_Toc59021539"/>
      <w:bookmarkEnd w:id="1188"/>
      <w:bookmarkStart w:id="1189" w:name="_Toc59630361"/>
      <w:bookmarkEnd w:id="1189"/>
      <w:bookmarkStart w:id="1190" w:name="_Toc58320097"/>
      <w:bookmarkEnd w:id="1190"/>
      <w:bookmarkStart w:id="1191" w:name="_Toc59630359"/>
      <w:bookmarkEnd w:id="1191"/>
      <w:bookmarkStart w:id="1192" w:name="_Toc59204004"/>
      <w:bookmarkEnd w:id="1192"/>
      <w:bookmarkStart w:id="1193" w:name="_Toc59631318"/>
      <w:bookmarkEnd w:id="1193"/>
      <w:bookmarkStart w:id="1194" w:name="_Toc59017345"/>
      <w:bookmarkEnd w:id="1194"/>
      <w:bookmarkStart w:id="1195" w:name="_Toc58862091"/>
      <w:bookmarkEnd w:id="1195"/>
      <w:bookmarkStart w:id="1196" w:name="_Toc59630349"/>
      <w:bookmarkEnd w:id="1196"/>
      <w:bookmarkStart w:id="1197" w:name="_Toc59113884"/>
      <w:bookmarkEnd w:id="1197"/>
      <w:bookmarkStart w:id="1198" w:name="_Toc59017371"/>
      <w:bookmarkEnd w:id="1198"/>
      <w:bookmarkStart w:id="1199" w:name="_Toc58861774"/>
      <w:bookmarkEnd w:id="1199"/>
      <w:bookmarkStart w:id="1200" w:name="_Toc59117045"/>
      <w:bookmarkEnd w:id="1200"/>
      <w:bookmarkStart w:id="1201" w:name="_Toc58862069"/>
      <w:bookmarkEnd w:id="1201"/>
      <w:bookmarkStart w:id="1202" w:name="_Toc58320322"/>
      <w:bookmarkEnd w:id="1202"/>
      <w:bookmarkStart w:id="1203" w:name="_Toc58320078"/>
      <w:bookmarkEnd w:id="1203"/>
      <w:bookmarkStart w:id="1204" w:name="_Toc58320274"/>
      <w:bookmarkEnd w:id="1204"/>
      <w:bookmarkStart w:id="1205" w:name="_Toc58858049"/>
      <w:bookmarkEnd w:id="1205"/>
      <w:bookmarkStart w:id="1206" w:name="_Toc59546193"/>
      <w:bookmarkEnd w:id="1206"/>
      <w:bookmarkStart w:id="1207" w:name="_Toc58862049"/>
      <w:bookmarkEnd w:id="1207"/>
      <w:bookmarkStart w:id="1208" w:name="_Toc59021541"/>
      <w:bookmarkEnd w:id="1208"/>
      <w:bookmarkStart w:id="1209" w:name="_Toc59113446"/>
      <w:bookmarkEnd w:id="1209"/>
      <w:bookmarkStart w:id="1210" w:name="_Toc58320009"/>
      <w:bookmarkEnd w:id="1210"/>
      <w:bookmarkStart w:id="1211" w:name="_Toc59016996"/>
      <w:bookmarkEnd w:id="1211"/>
      <w:bookmarkStart w:id="1212" w:name="_Toc59113500"/>
      <w:bookmarkEnd w:id="1212"/>
      <w:bookmarkStart w:id="1213" w:name="_Toc59204045"/>
      <w:bookmarkEnd w:id="1213"/>
      <w:bookmarkStart w:id="1214" w:name="_Toc59630247"/>
      <w:bookmarkEnd w:id="1214"/>
      <w:bookmarkStart w:id="1215" w:name="_Toc59017375"/>
      <w:bookmarkEnd w:id="1215"/>
      <w:bookmarkStart w:id="1216" w:name="_Toc59716892"/>
      <w:bookmarkEnd w:id="1216"/>
      <w:bookmarkStart w:id="1217" w:name="_Toc58858048"/>
      <w:bookmarkEnd w:id="1217"/>
      <w:bookmarkStart w:id="1218" w:name="_Toc59542936"/>
      <w:bookmarkEnd w:id="1218"/>
      <w:bookmarkStart w:id="1219" w:name="_Toc59017373"/>
      <w:bookmarkEnd w:id="1219"/>
      <w:bookmarkStart w:id="1220" w:name="_Toc59204042"/>
      <w:bookmarkEnd w:id="1220"/>
      <w:bookmarkStart w:id="1221" w:name="_Toc59716914"/>
      <w:bookmarkEnd w:id="1221"/>
      <w:bookmarkStart w:id="1222" w:name="_Toc59630324"/>
      <w:bookmarkEnd w:id="1222"/>
      <w:bookmarkStart w:id="1223" w:name="_Toc59546184"/>
      <w:bookmarkEnd w:id="1223"/>
      <w:bookmarkStart w:id="1224" w:name="_Toc58320316"/>
      <w:bookmarkEnd w:id="1224"/>
      <w:bookmarkStart w:id="1225" w:name="_Toc59546153"/>
      <w:bookmarkEnd w:id="1225"/>
      <w:bookmarkStart w:id="1226" w:name="_Toc59209320"/>
      <w:bookmarkEnd w:id="1226"/>
      <w:bookmarkStart w:id="1227" w:name="_Toc58858042"/>
      <w:bookmarkEnd w:id="1227"/>
      <w:bookmarkStart w:id="1228" w:name="_Toc59630331"/>
      <w:bookmarkEnd w:id="1228"/>
      <w:bookmarkStart w:id="1229" w:name="_Toc59546206"/>
      <w:bookmarkEnd w:id="1229"/>
      <w:bookmarkStart w:id="1230" w:name="_Toc58858039"/>
      <w:bookmarkEnd w:id="1230"/>
      <w:bookmarkStart w:id="1231" w:name="_Toc58320073"/>
      <w:bookmarkEnd w:id="1231"/>
      <w:bookmarkStart w:id="1232" w:name="_Toc59209331"/>
      <w:bookmarkEnd w:id="1232"/>
      <w:bookmarkStart w:id="1233" w:name="_Toc59017341"/>
      <w:bookmarkEnd w:id="1233"/>
      <w:bookmarkStart w:id="1234" w:name="_Toc59542954"/>
      <w:bookmarkEnd w:id="1234"/>
      <w:bookmarkStart w:id="1235" w:name="_Toc59114836"/>
      <w:bookmarkEnd w:id="1235"/>
      <w:bookmarkStart w:id="1236" w:name="_Toc59542865"/>
      <w:bookmarkEnd w:id="1236"/>
      <w:bookmarkStart w:id="1237" w:name="_Toc58861815"/>
      <w:bookmarkEnd w:id="1237"/>
      <w:bookmarkStart w:id="1238" w:name="_Toc59113440"/>
      <w:bookmarkEnd w:id="1238"/>
      <w:bookmarkStart w:id="1239" w:name="_Toc58320086"/>
      <w:bookmarkEnd w:id="1239"/>
      <w:bookmarkStart w:id="1240" w:name="_Toc59716891"/>
      <w:bookmarkEnd w:id="1240"/>
      <w:bookmarkStart w:id="1241" w:name="_Toc59113424"/>
      <w:bookmarkEnd w:id="1241"/>
      <w:bookmarkStart w:id="1242" w:name="_Toc59546201"/>
      <w:bookmarkEnd w:id="1242"/>
      <w:bookmarkStart w:id="1243" w:name="_Toc58320080"/>
      <w:bookmarkEnd w:id="1243"/>
      <w:bookmarkStart w:id="1244" w:name="_Toc59114837"/>
      <w:bookmarkEnd w:id="1244"/>
      <w:bookmarkStart w:id="1245" w:name="_Toc58320082"/>
      <w:bookmarkEnd w:id="1245"/>
      <w:bookmarkStart w:id="1246" w:name="_Toc59204037"/>
      <w:bookmarkEnd w:id="1246"/>
      <w:bookmarkStart w:id="1247" w:name="_Toc58862060"/>
      <w:bookmarkEnd w:id="1247"/>
      <w:bookmarkStart w:id="1248" w:name="_Toc59542914"/>
      <w:bookmarkEnd w:id="1248"/>
      <w:bookmarkStart w:id="1249" w:name="_Toc59630330"/>
      <w:bookmarkEnd w:id="1249"/>
      <w:bookmarkStart w:id="1250" w:name="_Toc59546211"/>
      <w:bookmarkEnd w:id="1250"/>
      <w:bookmarkStart w:id="1251" w:name="_Toc59542937"/>
      <w:bookmarkEnd w:id="1251"/>
      <w:bookmarkStart w:id="1252" w:name="_Toc59114838"/>
      <w:bookmarkEnd w:id="1252"/>
      <w:bookmarkStart w:id="1253" w:name="_Toc58320328"/>
      <w:bookmarkEnd w:id="1253"/>
      <w:bookmarkStart w:id="1254" w:name="_Toc59716884"/>
      <w:bookmarkEnd w:id="1254"/>
      <w:bookmarkStart w:id="1255" w:name="_Toc58861801"/>
      <w:bookmarkEnd w:id="1255"/>
      <w:bookmarkStart w:id="1256" w:name="_Toc59017353"/>
      <w:bookmarkEnd w:id="1256"/>
      <w:bookmarkStart w:id="1257" w:name="_Toc59113859"/>
      <w:bookmarkEnd w:id="1257"/>
      <w:bookmarkStart w:id="1258" w:name="_Toc59204024"/>
      <w:bookmarkEnd w:id="1258"/>
      <w:bookmarkStart w:id="1259" w:name="_Toc58862077"/>
      <w:bookmarkEnd w:id="1259"/>
      <w:bookmarkStart w:id="1260" w:name="_Toc59017349"/>
      <w:bookmarkEnd w:id="1260"/>
      <w:bookmarkStart w:id="1261" w:name="_Toc59204032"/>
      <w:bookmarkEnd w:id="1261"/>
      <w:bookmarkStart w:id="1262" w:name="_Toc58320326"/>
      <w:bookmarkEnd w:id="1262"/>
      <w:bookmarkStart w:id="1263" w:name="_Toc59017342"/>
      <w:bookmarkEnd w:id="1263"/>
      <w:bookmarkStart w:id="1264" w:name="_Toc59630334"/>
      <w:bookmarkEnd w:id="1264"/>
      <w:bookmarkStart w:id="1265" w:name="_Toc58861805"/>
      <w:bookmarkEnd w:id="1265"/>
      <w:bookmarkStart w:id="1266" w:name="_Toc58861786"/>
      <w:bookmarkEnd w:id="1266"/>
      <w:bookmarkStart w:id="1267" w:name="_Toc59017344"/>
      <w:bookmarkEnd w:id="1267"/>
      <w:bookmarkStart w:id="1268" w:name="_Toc59113426"/>
      <w:bookmarkEnd w:id="1268"/>
      <w:bookmarkStart w:id="1269" w:name="_Toc59017033"/>
      <w:bookmarkEnd w:id="1269"/>
      <w:bookmarkStart w:id="1270" w:name="_Toc59113434"/>
      <w:bookmarkEnd w:id="1270"/>
      <w:bookmarkStart w:id="1271" w:name="_Toc59113432"/>
      <w:bookmarkEnd w:id="1271"/>
      <w:bookmarkStart w:id="1272" w:name="_Toc58858053"/>
      <w:bookmarkEnd w:id="1272"/>
      <w:bookmarkStart w:id="1273" w:name="_Toc59114814"/>
      <w:bookmarkEnd w:id="1273"/>
      <w:bookmarkStart w:id="1274" w:name="_Toc59117052"/>
      <w:bookmarkEnd w:id="1274"/>
      <w:bookmarkStart w:id="1275" w:name="_Toc59017354"/>
      <w:bookmarkEnd w:id="1275"/>
      <w:bookmarkStart w:id="1276" w:name="_Toc58320350"/>
      <w:bookmarkEnd w:id="1276"/>
      <w:bookmarkStart w:id="1277" w:name="_Toc59631293"/>
      <w:bookmarkEnd w:id="1277"/>
      <w:bookmarkStart w:id="1278" w:name="_Toc59017343"/>
      <w:bookmarkEnd w:id="1278"/>
      <w:bookmarkStart w:id="1279" w:name="_Toc59546223"/>
      <w:bookmarkEnd w:id="1279"/>
      <w:bookmarkStart w:id="1280" w:name="_Toc59114842"/>
      <w:bookmarkEnd w:id="1280"/>
      <w:bookmarkStart w:id="1281" w:name="_Toc59546208"/>
      <w:bookmarkEnd w:id="1281"/>
      <w:bookmarkStart w:id="1282" w:name="_Toc59716881"/>
      <w:bookmarkEnd w:id="1282"/>
      <w:bookmarkStart w:id="1283" w:name="_Toc59114831"/>
      <w:bookmarkEnd w:id="1283"/>
      <w:bookmarkStart w:id="1284" w:name="_Toc58857962"/>
      <w:bookmarkEnd w:id="1284"/>
      <w:bookmarkStart w:id="1285" w:name="_Toc59209322"/>
      <w:bookmarkEnd w:id="1285"/>
      <w:bookmarkStart w:id="1286" w:name="_Toc58320318"/>
      <w:bookmarkEnd w:id="1286"/>
      <w:bookmarkStart w:id="1287" w:name="_Toc59114847"/>
      <w:bookmarkEnd w:id="1287"/>
      <w:bookmarkStart w:id="1288" w:name="_Toc59116954"/>
      <w:bookmarkEnd w:id="1288"/>
      <w:bookmarkStart w:id="1289" w:name="_Toc59542945"/>
      <w:bookmarkEnd w:id="1289"/>
      <w:bookmarkStart w:id="1290" w:name="_Toc59017312"/>
      <w:bookmarkEnd w:id="1290"/>
      <w:bookmarkStart w:id="1291" w:name="_Toc59114841"/>
      <w:bookmarkEnd w:id="1291"/>
      <w:bookmarkStart w:id="1292" w:name="_Toc59716879"/>
      <w:bookmarkEnd w:id="1292"/>
      <w:bookmarkStart w:id="1293" w:name="_Toc58862074"/>
      <w:bookmarkEnd w:id="1293"/>
      <w:bookmarkStart w:id="1294" w:name="_Toc59631314"/>
      <w:bookmarkEnd w:id="1294"/>
      <w:bookmarkStart w:id="1295" w:name="_Toc58858050"/>
      <w:bookmarkEnd w:id="1295"/>
      <w:bookmarkStart w:id="1296" w:name="_Toc59021453"/>
      <w:bookmarkEnd w:id="1296"/>
      <w:bookmarkStart w:id="1297" w:name="_Toc58862041"/>
      <w:bookmarkEnd w:id="1297"/>
      <w:bookmarkStart w:id="1298" w:name="_Toc59021545"/>
      <w:bookmarkEnd w:id="1298"/>
      <w:bookmarkStart w:id="1299" w:name="_Toc58320054"/>
      <w:bookmarkEnd w:id="1299"/>
      <w:bookmarkStart w:id="1300" w:name="_Toc59114813"/>
      <w:bookmarkEnd w:id="1300"/>
      <w:bookmarkStart w:id="1301" w:name="_Toc59631322"/>
      <w:bookmarkEnd w:id="1301"/>
      <w:bookmarkStart w:id="1302" w:name="_Toc58861779"/>
      <w:bookmarkEnd w:id="1302"/>
      <w:bookmarkStart w:id="1303" w:name="_Toc59117017"/>
      <w:bookmarkEnd w:id="1303"/>
      <w:bookmarkStart w:id="1304" w:name="_Toc58861984"/>
      <w:bookmarkEnd w:id="1304"/>
      <w:bookmarkStart w:id="1305" w:name="_Toc59021511"/>
      <w:bookmarkEnd w:id="1305"/>
      <w:bookmarkStart w:id="1306" w:name="_Toc58858055"/>
      <w:bookmarkEnd w:id="1306"/>
      <w:bookmarkStart w:id="1307" w:name="_Toc59204048"/>
      <w:bookmarkEnd w:id="1307"/>
      <w:bookmarkStart w:id="1308" w:name="_Toc58320087"/>
      <w:bookmarkEnd w:id="1308"/>
      <w:bookmarkStart w:id="1309" w:name="_Toc59017057"/>
      <w:bookmarkEnd w:id="1309"/>
      <w:bookmarkStart w:id="1310" w:name="_Toc59546183"/>
      <w:bookmarkEnd w:id="1310"/>
      <w:bookmarkStart w:id="1311" w:name="_Toc59542963"/>
      <w:bookmarkEnd w:id="1311"/>
      <w:bookmarkStart w:id="1312" w:name="_Toc59113405"/>
      <w:bookmarkEnd w:id="1312"/>
      <w:bookmarkStart w:id="1313" w:name="_Toc59630350"/>
      <w:bookmarkEnd w:id="1313"/>
      <w:bookmarkStart w:id="1314" w:name="_Toc58861724"/>
      <w:bookmarkEnd w:id="1314"/>
      <w:bookmarkStart w:id="1315" w:name="_Toc58320089"/>
      <w:bookmarkEnd w:id="1315"/>
      <w:bookmarkStart w:id="1316" w:name="_Toc59017263"/>
      <w:bookmarkEnd w:id="1316"/>
      <w:bookmarkStart w:id="1317" w:name="_Toc58862093"/>
      <w:bookmarkEnd w:id="1317"/>
      <w:bookmarkStart w:id="1318" w:name="_Toc59630244"/>
      <w:bookmarkEnd w:id="1318"/>
      <w:bookmarkStart w:id="1319" w:name="_Toc59113349"/>
      <w:bookmarkEnd w:id="1319"/>
      <w:bookmarkStart w:id="1320" w:name="_Toc59546219"/>
      <w:bookmarkEnd w:id="1320"/>
      <w:bookmarkStart w:id="1321" w:name="_Toc58319995"/>
      <w:bookmarkEnd w:id="1321"/>
      <w:bookmarkStart w:id="1322" w:name="_Toc58320352"/>
      <w:bookmarkEnd w:id="1322"/>
      <w:bookmarkStart w:id="1323" w:name="_Toc58320049"/>
      <w:bookmarkEnd w:id="1323"/>
      <w:bookmarkStart w:id="1324" w:name="_Toc59546250"/>
      <w:bookmarkEnd w:id="1324"/>
      <w:bookmarkStart w:id="1325" w:name="_Toc59542965"/>
      <w:bookmarkEnd w:id="1325"/>
      <w:bookmarkStart w:id="1326" w:name="_Toc59631270"/>
      <w:bookmarkEnd w:id="1326"/>
      <w:bookmarkStart w:id="1327" w:name="_Toc58319994"/>
      <w:bookmarkEnd w:id="1327"/>
      <w:bookmarkStart w:id="1328" w:name="_Toc59546188"/>
      <w:bookmarkEnd w:id="1328"/>
      <w:bookmarkStart w:id="1329" w:name="_Toc58320389"/>
      <w:bookmarkEnd w:id="1329"/>
      <w:bookmarkStart w:id="1330" w:name="_Toc58320090"/>
      <w:bookmarkEnd w:id="1330"/>
      <w:bookmarkStart w:id="1331" w:name="_Toc59117025"/>
      <w:bookmarkEnd w:id="1331"/>
      <w:bookmarkStart w:id="1332" w:name="_Toc59114882"/>
      <w:bookmarkEnd w:id="1332"/>
      <w:bookmarkStart w:id="1333" w:name="_Toc59114850"/>
      <w:bookmarkEnd w:id="1333"/>
      <w:bookmarkStart w:id="1334" w:name="_Toc59204062"/>
      <w:bookmarkEnd w:id="1334"/>
      <w:bookmarkStart w:id="1335" w:name="_Toc59546127"/>
      <w:bookmarkEnd w:id="1335"/>
      <w:bookmarkStart w:id="1336" w:name="_Toc59017014"/>
      <w:bookmarkEnd w:id="1336"/>
      <w:bookmarkStart w:id="1337" w:name="_Toc58862053"/>
      <w:bookmarkEnd w:id="1337"/>
      <w:bookmarkStart w:id="1338" w:name="_Toc59017329"/>
      <w:bookmarkEnd w:id="1338"/>
      <w:bookmarkStart w:id="1339" w:name="_Toc59113413"/>
      <w:bookmarkEnd w:id="1339"/>
      <w:bookmarkStart w:id="1340" w:name="_Toc59546225"/>
      <w:bookmarkEnd w:id="1340"/>
      <w:bookmarkStart w:id="1341" w:name="_Toc58861845"/>
      <w:bookmarkEnd w:id="1341"/>
      <w:bookmarkStart w:id="1342" w:name="_Toc59113442"/>
      <w:bookmarkEnd w:id="1342"/>
      <w:bookmarkStart w:id="1343" w:name="_Toc59631294"/>
      <w:bookmarkEnd w:id="1343"/>
      <w:bookmarkStart w:id="1344" w:name="_Toc59630315"/>
      <w:bookmarkEnd w:id="1344"/>
      <w:bookmarkStart w:id="1345" w:name="_Toc58857961"/>
      <w:bookmarkEnd w:id="1345"/>
      <w:bookmarkStart w:id="1346" w:name="_Toc59630243"/>
      <w:bookmarkEnd w:id="1346"/>
      <w:bookmarkStart w:id="1347" w:name="_Toc59631310"/>
      <w:bookmarkEnd w:id="1347"/>
      <w:bookmarkStart w:id="1348" w:name="_Toc59113808"/>
      <w:bookmarkEnd w:id="1348"/>
      <w:bookmarkStart w:id="1349" w:name="_Toc59631273"/>
      <w:bookmarkEnd w:id="1349"/>
      <w:bookmarkStart w:id="1350" w:name="_Toc59631324"/>
      <w:bookmarkEnd w:id="1350"/>
      <w:bookmarkStart w:id="1351" w:name="_Toc58858058"/>
      <w:bookmarkEnd w:id="1351"/>
      <w:bookmarkStart w:id="1352" w:name="_Toc59021505"/>
      <w:bookmarkEnd w:id="1352"/>
      <w:bookmarkStart w:id="1353" w:name="_Toc59542925"/>
      <w:bookmarkEnd w:id="1353"/>
      <w:bookmarkStart w:id="1354" w:name="_Toc58320108"/>
      <w:bookmarkEnd w:id="1354"/>
      <w:bookmarkStart w:id="1355" w:name="_Toc58858056"/>
      <w:bookmarkEnd w:id="1355"/>
      <w:bookmarkStart w:id="1356" w:name="_Toc59017355"/>
      <w:bookmarkEnd w:id="1356"/>
      <w:bookmarkStart w:id="1357" w:name="_Toc59114880"/>
      <w:bookmarkEnd w:id="1357"/>
      <w:bookmarkStart w:id="1358" w:name="_Toc59113891"/>
      <w:bookmarkEnd w:id="1358"/>
      <w:bookmarkStart w:id="1359" w:name="_Toc59114879"/>
      <w:bookmarkEnd w:id="1359"/>
      <w:bookmarkStart w:id="1360" w:name="_Toc59113417"/>
      <w:bookmarkEnd w:id="1360"/>
      <w:bookmarkStart w:id="1361" w:name="_Toc59114829"/>
      <w:bookmarkEnd w:id="1361"/>
      <w:bookmarkStart w:id="1362" w:name="_Toc58320304"/>
      <w:bookmarkEnd w:id="1362"/>
      <w:bookmarkStart w:id="1363" w:name="_Toc59017340"/>
      <w:bookmarkEnd w:id="1363"/>
      <w:bookmarkStart w:id="1364" w:name="_Toc58320332"/>
      <w:bookmarkEnd w:id="1364"/>
      <w:bookmarkStart w:id="1365" w:name="_Toc59017006"/>
      <w:bookmarkEnd w:id="1365"/>
      <w:bookmarkStart w:id="1366" w:name="_Toc58862090"/>
      <w:bookmarkEnd w:id="1366"/>
      <w:bookmarkStart w:id="1367" w:name="_Toc59114823"/>
      <w:bookmarkEnd w:id="1367"/>
      <w:bookmarkStart w:id="1368" w:name="_Toc58861792"/>
      <w:bookmarkEnd w:id="1368"/>
      <w:bookmarkStart w:id="1369" w:name="_Toc59542924"/>
      <w:bookmarkEnd w:id="1369"/>
      <w:bookmarkStart w:id="1370" w:name="_Toc59630353"/>
      <w:bookmarkEnd w:id="1370"/>
      <w:bookmarkStart w:id="1371" w:name="_Toc58862055"/>
      <w:bookmarkEnd w:id="1371"/>
      <w:bookmarkStart w:id="1372" w:name="_Toc59117018"/>
      <w:bookmarkEnd w:id="1372"/>
      <w:bookmarkStart w:id="1373" w:name="_Toc59542926"/>
      <w:bookmarkEnd w:id="1373"/>
      <w:bookmarkStart w:id="1374" w:name="_Toc59114822"/>
      <w:bookmarkEnd w:id="1374"/>
      <w:bookmarkStart w:id="1375" w:name="_Toc59113849"/>
      <w:bookmarkEnd w:id="1375"/>
      <w:bookmarkStart w:id="1376" w:name="_Toc59117030"/>
      <w:bookmarkEnd w:id="1376"/>
      <w:bookmarkStart w:id="1377" w:name="_Toc59117016"/>
      <w:bookmarkEnd w:id="1377"/>
      <w:bookmarkStart w:id="1378" w:name="_Toc58858030"/>
      <w:bookmarkEnd w:id="1378"/>
      <w:bookmarkStart w:id="1379" w:name="_Toc58861800"/>
      <w:bookmarkEnd w:id="1379"/>
      <w:bookmarkStart w:id="1380" w:name="_Toc59021506"/>
      <w:bookmarkEnd w:id="1380"/>
      <w:bookmarkStart w:id="1381" w:name="_Toc58320061"/>
      <w:bookmarkEnd w:id="1381"/>
      <w:bookmarkStart w:id="1382" w:name="_Toc59209294"/>
      <w:bookmarkEnd w:id="1382"/>
      <w:bookmarkStart w:id="1383" w:name="_Toc59113414"/>
      <w:bookmarkEnd w:id="1383"/>
      <w:bookmarkStart w:id="1384" w:name="_Toc58861780"/>
      <w:bookmarkEnd w:id="1384"/>
      <w:bookmarkStart w:id="1385" w:name="_Toc59209305"/>
      <w:bookmarkEnd w:id="1385"/>
      <w:bookmarkStart w:id="1386" w:name="_Toc59113907"/>
      <w:bookmarkEnd w:id="1386"/>
      <w:bookmarkStart w:id="1387" w:name="_Toc59204020"/>
      <w:bookmarkEnd w:id="1387"/>
      <w:bookmarkStart w:id="1388" w:name="_Toc59113842"/>
      <w:bookmarkEnd w:id="1388"/>
      <w:bookmarkStart w:id="1389" w:name="_Toc59630309"/>
      <w:bookmarkEnd w:id="1389"/>
      <w:bookmarkStart w:id="1390" w:name="_Toc59017372"/>
      <w:bookmarkEnd w:id="1390"/>
      <w:bookmarkStart w:id="1391" w:name="_Toc58862064"/>
      <w:bookmarkEnd w:id="1391"/>
      <w:bookmarkStart w:id="1392" w:name="_Toc59114827"/>
      <w:bookmarkEnd w:id="1392"/>
      <w:bookmarkStart w:id="1393" w:name="_Toc59117028"/>
      <w:bookmarkEnd w:id="1393"/>
      <w:bookmarkStart w:id="1394" w:name="_Toc59113416"/>
      <w:bookmarkEnd w:id="1394"/>
      <w:bookmarkStart w:id="1395" w:name="_Toc59546197"/>
      <w:bookmarkEnd w:id="1395"/>
      <w:bookmarkStart w:id="1396" w:name="_Toc59716873"/>
      <w:bookmarkEnd w:id="1396"/>
      <w:bookmarkStart w:id="1397" w:name="_Toc58858036"/>
      <w:bookmarkEnd w:id="1397"/>
      <w:bookmarkStart w:id="1398" w:name="_Toc59631292"/>
      <w:bookmarkEnd w:id="1398"/>
      <w:bookmarkStart w:id="1399" w:name="_Toc59017317"/>
      <w:bookmarkEnd w:id="1399"/>
      <w:bookmarkStart w:id="1400" w:name="_Toc58861797"/>
      <w:bookmarkEnd w:id="1400"/>
      <w:bookmarkStart w:id="1401" w:name="_Toc58320058"/>
      <w:bookmarkEnd w:id="1401"/>
      <w:bookmarkStart w:id="1402" w:name="_Toc59017018"/>
      <w:bookmarkEnd w:id="1402"/>
      <w:bookmarkStart w:id="1403" w:name="_Toc58861794"/>
      <w:bookmarkEnd w:id="1403"/>
      <w:bookmarkStart w:id="1404" w:name="_Toc59546185"/>
      <w:bookmarkEnd w:id="1404"/>
      <w:bookmarkStart w:id="1405" w:name="_Toc58858034"/>
      <w:bookmarkEnd w:id="1405"/>
      <w:bookmarkStart w:id="1406" w:name="_Toc59204025"/>
      <w:bookmarkEnd w:id="1406"/>
      <w:bookmarkStart w:id="1407" w:name="_Toc58862057"/>
      <w:bookmarkEnd w:id="1407"/>
      <w:bookmarkStart w:id="1408" w:name="_Toc59021519"/>
      <w:bookmarkEnd w:id="1408"/>
      <w:bookmarkStart w:id="1409" w:name="_Toc58857989"/>
      <w:bookmarkEnd w:id="1409"/>
      <w:bookmarkStart w:id="1410" w:name="_Toc58861790"/>
      <w:bookmarkEnd w:id="1410"/>
      <w:bookmarkStart w:id="1411" w:name="_Toc59017020"/>
      <w:bookmarkEnd w:id="1411"/>
      <w:bookmarkStart w:id="1412" w:name="_Toc59113415"/>
      <w:bookmarkEnd w:id="1412"/>
      <w:bookmarkStart w:id="1413" w:name="_Toc59017327"/>
      <w:bookmarkEnd w:id="1413"/>
      <w:bookmarkStart w:id="1414" w:name="_Toc59017053"/>
      <w:bookmarkEnd w:id="1414"/>
      <w:bookmarkStart w:id="1415" w:name="_Toc59716867"/>
      <w:bookmarkEnd w:id="1415"/>
      <w:bookmarkStart w:id="1416" w:name="_Toc58858035"/>
      <w:bookmarkEnd w:id="1416"/>
      <w:bookmarkStart w:id="1417" w:name="_Toc59016997"/>
      <w:bookmarkEnd w:id="1417"/>
      <w:bookmarkStart w:id="1418" w:name="_Toc59204019"/>
      <w:bookmarkEnd w:id="1418"/>
      <w:bookmarkStart w:id="1419" w:name="_Toc59209307"/>
      <w:bookmarkEnd w:id="1419"/>
      <w:bookmarkStart w:id="1420" w:name="_Toc59542930"/>
      <w:bookmarkEnd w:id="1420"/>
      <w:bookmarkStart w:id="1421" w:name="_Toc59021518"/>
      <w:bookmarkEnd w:id="1421"/>
      <w:bookmarkStart w:id="1422" w:name="_Toc59117023"/>
      <w:bookmarkEnd w:id="1422"/>
      <w:bookmarkStart w:id="1423" w:name="_Toc59631238"/>
      <w:bookmarkEnd w:id="1423"/>
      <w:bookmarkStart w:id="1424" w:name="_Toc59631287"/>
      <w:bookmarkEnd w:id="1424"/>
      <w:bookmarkStart w:id="1425" w:name="_Toc59542920"/>
      <w:bookmarkEnd w:id="1425"/>
      <w:bookmarkStart w:id="1426" w:name="_Toc59209311"/>
      <w:bookmarkEnd w:id="1426"/>
      <w:bookmarkStart w:id="1427" w:name="_Toc58320306"/>
      <w:bookmarkEnd w:id="1427"/>
      <w:bookmarkStart w:id="1428" w:name="_Toc59204017"/>
      <w:bookmarkEnd w:id="1428"/>
      <w:bookmarkStart w:id="1429" w:name="_Toc58320305"/>
      <w:bookmarkEnd w:id="1429"/>
      <w:bookmarkStart w:id="1430" w:name="_Toc59716871"/>
      <w:bookmarkEnd w:id="1430"/>
      <w:bookmarkStart w:id="1431" w:name="_Toc59017025"/>
      <w:bookmarkEnd w:id="1431"/>
      <w:bookmarkStart w:id="1432" w:name="_Toc59209316"/>
      <w:bookmarkEnd w:id="1432"/>
      <w:bookmarkStart w:id="1433" w:name="_Toc59209314"/>
      <w:bookmarkEnd w:id="1433"/>
      <w:bookmarkStart w:id="1434" w:name="_Toc59113854"/>
      <w:bookmarkEnd w:id="1434"/>
      <w:bookmarkStart w:id="1435" w:name="_Toc58858037"/>
      <w:bookmarkEnd w:id="1435"/>
      <w:bookmarkStart w:id="1436" w:name="_Toc59021526"/>
      <w:bookmarkEnd w:id="1436"/>
      <w:bookmarkStart w:id="1437" w:name="_Toc58862056"/>
      <w:bookmarkEnd w:id="1437"/>
      <w:bookmarkStart w:id="1438" w:name="_Toc59114835"/>
      <w:bookmarkEnd w:id="1438"/>
      <w:bookmarkStart w:id="1439" w:name="_Toc59117021"/>
      <w:bookmarkEnd w:id="1439"/>
      <w:bookmarkStart w:id="1440" w:name="_Toc58858033"/>
      <w:bookmarkEnd w:id="1440"/>
      <w:bookmarkStart w:id="1441" w:name="_Toc59631226"/>
      <w:bookmarkEnd w:id="1441"/>
      <w:bookmarkStart w:id="1442" w:name="_Toc59542927"/>
      <w:bookmarkEnd w:id="1442"/>
      <w:bookmarkStart w:id="1443" w:name="_Toc59021481"/>
      <w:bookmarkEnd w:id="1443"/>
      <w:bookmarkStart w:id="1444" w:name="_Toc59716872"/>
      <w:bookmarkEnd w:id="1444"/>
      <w:bookmarkStart w:id="1445" w:name="_Toc59209317"/>
      <w:bookmarkEnd w:id="1445"/>
      <w:bookmarkStart w:id="1446" w:name="_Toc59017017"/>
      <w:bookmarkEnd w:id="1446"/>
      <w:bookmarkStart w:id="1447" w:name="_Toc59630314"/>
      <w:bookmarkEnd w:id="1447"/>
      <w:bookmarkStart w:id="1448" w:name="_Toc58861799"/>
      <w:bookmarkEnd w:id="1448"/>
      <w:bookmarkStart w:id="1449" w:name="_Toc58320064"/>
      <w:bookmarkEnd w:id="1449"/>
      <w:bookmarkStart w:id="1450" w:name="_Toc59209315"/>
      <w:bookmarkEnd w:id="1450"/>
      <w:bookmarkStart w:id="1451" w:name="_Toc59716875"/>
      <w:bookmarkEnd w:id="1451"/>
      <w:bookmarkStart w:id="1452" w:name="_Toc58862051"/>
      <w:bookmarkEnd w:id="1452"/>
      <w:bookmarkStart w:id="1453" w:name="_Toc59114821"/>
      <w:bookmarkEnd w:id="1453"/>
      <w:bookmarkStart w:id="1454" w:name="_Toc58320307"/>
      <w:bookmarkEnd w:id="1454"/>
      <w:bookmarkStart w:id="1455" w:name="_Toc59542923"/>
      <w:bookmarkEnd w:id="1455"/>
      <w:bookmarkStart w:id="1456" w:name="_Toc58858043"/>
      <w:bookmarkEnd w:id="1456"/>
      <w:bookmarkStart w:id="1457" w:name="_Toc59630316"/>
      <w:bookmarkEnd w:id="1457"/>
      <w:bookmarkStart w:id="1458" w:name="_Toc59630310"/>
      <w:bookmarkEnd w:id="1458"/>
      <w:bookmarkStart w:id="1459" w:name="_Toc59203955"/>
      <w:bookmarkEnd w:id="1459"/>
      <w:bookmarkStart w:id="1460" w:name="_Toc59630313"/>
      <w:bookmarkEnd w:id="1460"/>
      <w:bookmarkStart w:id="1461" w:name="_Toc59630291"/>
      <w:bookmarkEnd w:id="1461"/>
      <w:bookmarkStart w:id="1462" w:name="_Toc59630352"/>
      <w:bookmarkEnd w:id="1462"/>
      <w:bookmarkStart w:id="1463" w:name="_Toc59546195"/>
      <w:bookmarkEnd w:id="1463"/>
      <w:bookmarkStart w:id="1464" w:name="_Toc59630293"/>
      <w:bookmarkEnd w:id="1464"/>
      <w:bookmarkStart w:id="1465" w:name="_Toc59542931"/>
      <w:bookmarkEnd w:id="1465"/>
      <w:bookmarkStart w:id="1466" w:name="_Toc59716880"/>
      <w:bookmarkEnd w:id="1466"/>
      <w:bookmarkStart w:id="1467" w:name="_Toc59017022"/>
      <w:bookmarkEnd w:id="1467"/>
      <w:bookmarkStart w:id="1468" w:name="_Toc59113422"/>
      <w:bookmarkEnd w:id="1468"/>
      <w:bookmarkStart w:id="1469" w:name="_Toc58320047"/>
      <w:bookmarkEnd w:id="1469"/>
      <w:bookmarkStart w:id="1470" w:name="_Toc59716878"/>
      <w:bookmarkEnd w:id="1470"/>
      <w:bookmarkStart w:id="1471" w:name="_Toc59113897"/>
      <w:bookmarkEnd w:id="1471"/>
      <w:bookmarkStart w:id="1472" w:name="_Toc58861803"/>
      <w:bookmarkEnd w:id="1472"/>
      <w:bookmarkStart w:id="1473" w:name="_Toc59017011"/>
      <w:bookmarkEnd w:id="1473"/>
      <w:bookmarkStart w:id="1474" w:name="_Toc58320062"/>
      <w:bookmarkEnd w:id="1474"/>
      <w:bookmarkStart w:id="1475" w:name="_Toc59114820"/>
      <w:bookmarkEnd w:id="1475"/>
      <w:bookmarkStart w:id="1476" w:name="_Toc58858024"/>
      <w:bookmarkEnd w:id="1476"/>
      <w:bookmarkStart w:id="1477" w:name="_Toc59209364"/>
      <w:bookmarkEnd w:id="1477"/>
      <w:bookmarkStart w:id="1478" w:name="_Toc59630318"/>
      <w:bookmarkEnd w:id="1478"/>
      <w:bookmarkStart w:id="1479" w:name="_Toc59113421"/>
      <w:bookmarkEnd w:id="1479"/>
      <w:bookmarkStart w:id="1480" w:name="_Toc59017333"/>
      <w:bookmarkEnd w:id="1480"/>
      <w:bookmarkStart w:id="1481" w:name="_Toc58858025"/>
      <w:bookmarkEnd w:id="1481"/>
      <w:bookmarkStart w:id="1482" w:name="_Toc58861795"/>
      <w:bookmarkEnd w:id="1482"/>
      <w:bookmarkStart w:id="1483" w:name="_Toc59117033"/>
      <w:bookmarkEnd w:id="1483"/>
      <w:bookmarkStart w:id="1484" w:name="_Toc59021561"/>
      <w:bookmarkEnd w:id="1484"/>
      <w:bookmarkStart w:id="1485" w:name="_Toc59113425"/>
      <w:bookmarkEnd w:id="1485"/>
      <w:bookmarkStart w:id="1486" w:name="_Toc59113847"/>
      <w:bookmarkEnd w:id="1486"/>
      <w:bookmarkStart w:id="1487" w:name="_Toc59113844"/>
      <w:bookmarkEnd w:id="1487"/>
      <w:bookmarkStart w:id="1488" w:name="_Toc58861987"/>
      <w:bookmarkEnd w:id="1488"/>
      <w:bookmarkStart w:id="1489" w:name="_Toc59016956"/>
      <w:bookmarkEnd w:id="1489"/>
      <w:bookmarkStart w:id="1490" w:name="_Toc58320345"/>
      <w:bookmarkEnd w:id="1490"/>
      <w:bookmarkStart w:id="1491" w:name="_Toc59209255"/>
      <w:bookmarkEnd w:id="1491"/>
      <w:bookmarkStart w:id="1492" w:name="_Toc58320314"/>
      <w:bookmarkEnd w:id="1492"/>
      <w:bookmarkStart w:id="1493" w:name="_Toc58858008"/>
      <w:bookmarkEnd w:id="1493"/>
      <w:bookmarkStart w:id="1494" w:name="_Toc59021563"/>
      <w:bookmarkEnd w:id="1494"/>
      <w:bookmarkStart w:id="1495" w:name="_Toc59016950"/>
      <w:bookmarkEnd w:id="1495"/>
      <w:bookmarkStart w:id="1496" w:name="_Toc59021579"/>
      <w:bookmarkEnd w:id="1496"/>
      <w:bookmarkStart w:id="1497" w:name="_Toc59114840"/>
      <w:bookmarkEnd w:id="1497"/>
      <w:bookmarkStart w:id="1498" w:name="_Toc59630306"/>
      <w:bookmarkEnd w:id="1498"/>
      <w:bookmarkStart w:id="1499" w:name="_Toc58320310"/>
      <w:bookmarkEnd w:id="1499"/>
      <w:bookmarkStart w:id="1500" w:name="_Toc59716912"/>
      <w:bookmarkEnd w:id="1500"/>
      <w:bookmarkStart w:id="1501" w:name="_Toc59546240"/>
      <w:bookmarkEnd w:id="1501"/>
      <w:bookmarkStart w:id="1502" w:name="_Toc58858032"/>
      <w:bookmarkEnd w:id="1502"/>
      <w:bookmarkStart w:id="1503" w:name="_Toc59113869"/>
      <w:bookmarkEnd w:id="1503"/>
      <w:bookmarkStart w:id="1504" w:name="_Toc59542929"/>
      <w:bookmarkEnd w:id="1504"/>
      <w:bookmarkStart w:id="1505" w:name="_Toc59017331"/>
      <w:bookmarkEnd w:id="1505"/>
      <w:bookmarkStart w:id="1506" w:name="_Toc58320347"/>
      <w:bookmarkEnd w:id="1506"/>
      <w:bookmarkStart w:id="1507" w:name="_Toc58858017"/>
      <w:bookmarkEnd w:id="1507"/>
      <w:bookmarkStart w:id="1508" w:name="_Toc59117034"/>
      <w:bookmarkEnd w:id="1508"/>
      <w:bookmarkStart w:id="1509" w:name="_Toc58320079"/>
      <w:bookmarkEnd w:id="1509"/>
      <w:bookmarkStart w:id="1510" w:name="_Toc59631281"/>
      <w:bookmarkEnd w:id="1510"/>
      <w:bookmarkStart w:id="1511" w:name="_Toc59017063"/>
      <w:bookmarkEnd w:id="1511"/>
      <w:bookmarkStart w:id="1512" w:name="_Toc59209243"/>
      <w:bookmarkEnd w:id="1512"/>
      <w:bookmarkStart w:id="1513" w:name="_Toc59017316"/>
      <w:bookmarkEnd w:id="1513"/>
      <w:bookmarkStart w:id="1514" w:name="_Toc58862006"/>
      <w:bookmarkEnd w:id="1514"/>
      <w:bookmarkStart w:id="1515" w:name="_Toc58862066"/>
      <w:bookmarkEnd w:id="1515"/>
      <w:bookmarkStart w:id="1516" w:name="_Toc58320066"/>
      <w:bookmarkEnd w:id="1516"/>
      <w:bookmarkStart w:id="1517" w:name="_Toc59113456"/>
      <w:bookmarkEnd w:id="1517"/>
      <w:bookmarkStart w:id="1518" w:name="_Toc59542933"/>
      <w:bookmarkEnd w:id="1518"/>
      <w:bookmarkStart w:id="1519" w:name="_Toc59017366"/>
      <w:bookmarkEnd w:id="1519"/>
      <w:bookmarkStart w:id="1520" w:name="_Toc59630335"/>
      <w:bookmarkEnd w:id="1520"/>
      <w:bookmarkStart w:id="1521" w:name="_Toc59113444"/>
      <w:bookmarkEnd w:id="1521"/>
      <w:bookmarkStart w:id="1522" w:name="_Toc59630242"/>
      <w:bookmarkEnd w:id="1522"/>
      <w:bookmarkStart w:id="1523" w:name="_Toc59204044"/>
      <w:bookmarkEnd w:id="1523"/>
      <w:bookmarkStart w:id="1524" w:name="_Toc58862078"/>
      <w:bookmarkEnd w:id="1524"/>
      <w:bookmarkStart w:id="1525" w:name="_Toc59113410"/>
      <w:bookmarkEnd w:id="1525"/>
      <w:bookmarkStart w:id="1526" w:name="_Toc59209296"/>
      <w:bookmarkEnd w:id="1526"/>
      <w:bookmarkStart w:id="1527" w:name="_Toc59114906"/>
      <w:bookmarkEnd w:id="1527"/>
      <w:bookmarkStart w:id="1528" w:name="_Toc59017259"/>
      <w:bookmarkEnd w:id="1528"/>
      <w:bookmarkStart w:id="1529" w:name="_Toc59631297"/>
      <w:bookmarkEnd w:id="1529"/>
      <w:bookmarkStart w:id="1530" w:name="_Toc58862133"/>
      <w:bookmarkEnd w:id="1530"/>
      <w:bookmarkStart w:id="1531" w:name="_Toc59546248"/>
      <w:bookmarkEnd w:id="1531"/>
      <w:bookmarkStart w:id="1532" w:name="_Toc59021602"/>
      <w:bookmarkEnd w:id="1532"/>
      <w:bookmarkStart w:id="1533" w:name="_Toc59113865"/>
      <w:bookmarkEnd w:id="1533"/>
      <w:bookmarkStart w:id="1534" w:name="_Toc59716877"/>
      <w:bookmarkEnd w:id="1534"/>
      <w:bookmarkStart w:id="1535" w:name="_Toc59017070"/>
      <w:bookmarkEnd w:id="1535"/>
      <w:bookmarkStart w:id="1536" w:name="_Toc59631339"/>
      <w:bookmarkEnd w:id="1536"/>
      <w:bookmarkStart w:id="1537" w:name="_Toc59204041"/>
      <w:bookmarkEnd w:id="1537"/>
      <w:bookmarkStart w:id="1538" w:name="_Toc59542951"/>
      <w:bookmarkEnd w:id="1538"/>
      <w:bookmarkStart w:id="1539" w:name="_Toc59204078"/>
      <w:bookmarkEnd w:id="1539"/>
      <w:bookmarkStart w:id="1540" w:name="_Toc58861726"/>
      <w:bookmarkEnd w:id="1540"/>
      <w:bookmarkStart w:id="1541" w:name="_Toc58320301"/>
      <w:bookmarkEnd w:id="1541"/>
      <w:bookmarkStart w:id="1542" w:name="_Toc58861985"/>
      <w:bookmarkEnd w:id="1542"/>
      <w:bookmarkStart w:id="1543" w:name="_Toc59017058"/>
      <w:bookmarkEnd w:id="1543"/>
      <w:bookmarkStart w:id="1544" w:name="_Toc59113874"/>
      <w:bookmarkEnd w:id="1544"/>
      <w:bookmarkStart w:id="1545" w:name="_Toc59117078"/>
      <w:bookmarkEnd w:id="1545"/>
      <w:bookmarkStart w:id="1546" w:name="_Toc59209291"/>
      <w:bookmarkEnd w:id="1546"/>
      <w:bookmarkStart w:id="1547" w:name="_Toc59114878"/>
      <w:bookmarkEnd w:id="1547"/>
      <w:bookmarkStart w:id="1548" w:name="_Toc58862032"/>
      <w:bookmarkEnd w:id="1548"/>
      <w:bookmarkStart w:id="1549" w:name="_Toc59113350"/>
      <w:bookmarkEnd w:id="1549"/>
      <w:bookmarkStart w:id="1550" w:name="_Toc59113429"/>
      <w:bookmarkEnd w:id="1550"/>
      <w:bookmarkStart w:id="1551" w:name="_Toc58861819"/>
      <w:bookmarkEnd w:id="1551"/>
      <w:bookmarkStart w:id="1552" w:name="_Toc59630368"/>
      <w:bookmarkEnd w:id="1552"/>
      <w:bookmarkStart w:id="1553" w:name="_Toc58861727"/>
      <w:bookmarkEnd w:id="1553"/>
      <w:bookmarkStart w:id="1554" w:name="_Toc59113905"/>
      <w:bookmarkEnd w:id="1554"/>
      <w:bookmarkStart w:id="1555" w:name="_Toc58861850"/>
      <w:bookmarkEnd w:id="1555"/>
      <w:bookmarkStart w:id="1556" w:name="_Toc59117006"/>
      <w:bookmarkEnd w:id="1556"/>
      <w:bookmarkStart w:id="1557" w:name="_Toc59542932"/>
      <w:bookmarkEnd w:id="1557"/>
      <w:bookmarkStart w:id="1558" w:name="_Toc58858031"/>
      <w:bookmarkEnd w:id="1558"/>
      <w:bookmarkStart w:id="1559" w:name="_Toc59021531"/>
      <w:bookmarkEnd w:id="1559"/>
      <w:bookmarkStart w:id="1560" w:name="_Toc59546220"/>
      <w:bookmarkEnd w:id="1560"/>
      <w:bookmarkStart w:id="1561" w:name="_Toc59631216"/>
      <w:bookmarkEnd w:id="1561"/>
      <w:bookmarkStart w:id="1562" w:name="_Toc58861817"/>
      <w:bookmarkEnd w:id="1562"/>
      <w:bookmarkStart w:id="1563" w:name="_Toc58861853"/>
      <w:bookmarkEnd w:id="1563"/>
      <w:bookmarkStart w:id="1564" w:name="_Toc59021568"/>
      <w:bookmarkEnd w:id="1564"/>
      <w:bookmarkStart w:id="1565" w:name="_Toc59204102"/>
      <w:bookmarkEnd w:id="1565"/>
      <w:bookmarkStart w:id="1566" w:name="_Toc59113929"/>
      <w:bookmarkEnd w:id="1566"/>
      <w:bookmarkStart w:id="1567" w:name="_Toc59017069"/>
      <w:bookmarkEnd w:id="1567"/>
      <w:bookmarkStart w:id="1568" w:name="_Toc59113782"/>
      <w:bookmarkEnd w:id="1568"/>
      <w:bookmarkStart w:id="1569" w:name="_Toc59114807"/>
      <w:bookmarkEnd w:id="1569"/>
      <w:bookmarkStart w:id="1570" w:name="_Toc59631263"/>
      <w:bookmarkEnd w:id="1570"/>
      <w:bookmarkStart w:id="1571" w:name="_Toc58858057"/>
      <w:bookmarkEnd w:id="1571"/>
      <w:bookmarkStart w:id="1572" w:name="_Toc59546196"/>
      <w:bookmarkEnd w:id="1572"/>
      <w:bookmarkStart w:id="1573" w:name="_Toc59021521"/>
      <w:bookmarkEnd w:id="1573"/>
      <w:bookmarkStart w:id="1574" w:name="_Toc58320068"/>
      <w:bookmarkEnd w:id="1574"/>
      <w:bookmarkStart w:id="1575" w:name="_Toc59630248"/>
      <w:bookmarkEnd w:id="1575"/>
      <w:bookmarkStart w:id="1576" w:name="_Toc59631291"/>
      <w:bookmarkEnd w:id="1576"/>
      <w:bookmarkStart w:id="1577" w:name="_Toc59631367"/>
      <w:bookmarkEnd w:id="1577"/>
      <w:bookmarkStart w:id="1578" w:name="_Toc59113930"/>
      <w:bookmarkEnd w:id="1578"/>
      <w:bookmarkStart w:id="1579" w:name="_Toc59021527"/>
      <w:bookmarkEnd w:id="1579"/>
      <w:bookmarkStart w:id="1580" w:name="_Toc58320311"/>
      <w:bookmarkEnd w:id="1580"/>
      <w:bookmarkStart w:id="1581" w:name="_Toc59209310"/>
      <w:bookmarkEnd w:id="1581"/>
      <w:bookmarkStart w:id="1582" w:name="_Toc58320063"/>
      <w:bookmarkEnd w:id="1582"/>
      <w:bookmarkStart w:id="1583" w:name="_Toc58858085"/>
      <w:bookmarkEnd w:id="1583"/>
      <w:bookmarkStart w:id="1584" w:name="_Toc59546227"/>
      <w:bookmarkEnd w:id="1584"/>
      <w:bookmarkStart w:id="1585" w:name="_Toc58320260"/>
      <w:bookmarkEnd w:id="1585"/>
      <w:bookmarkStart w:id="1586" w:name="_Toc59203982"/>
      <w:bookmarkEnd w:id="1586"/>
      <w:bookmarkStart w:id="1587" w:name="_Toc59631218"/>
      <w:bookmarkEnd w:id="1587"/>
      <w:bookmarkStart w:id="1588" w:name="_Toc59113455"/>
      <w:bookmarkEnd w:id="1588"/>
      <w:bookmarkStart w:id="1589" w:name="_Toc59204079"/>
      <w:bookmarkEnd w:id="1589"/>
      <w:bookmarkStart w:id="1590" w:name="_Toc59021525"/>
      <w:bookmarkEnd w:id="1590"/>
      <w:bookmarkStart w:id="1591" w:name="_Toc58320291"/>
      <w:bookmarkEnd w:id="1591"/>
      <w:bookmarkStart w:id="1592" w:name="_Toc59209312"/>
      <w:bookmarkEnd w:id="1592"/>
      <w:bookmarkStart w:id="1593" w:name="_Toc58320067"/>
      <w:bookmarkEnd w:id="1593"/>
      <w:bookmarkStart w:id="1594" w:name="_Toc58861986"/>
      <w:bookmarkEnd w:id="1594"/>
      <w:bookmarkStart w:id="1595" w:name="_Toc58862054"/>
      <w:bookmarkEnd w:id="1595"/>
      <w:bookmarkStart w:id="1596" w:name="_Toc58857966"/>
      <w:bookmarkEnd w:id="1596"/>
      <w:bookmarkStart w:id="1597" w:name="_Toc58857965"/>
      <w:bookmarkEnd w:id="1597"/>
      <w:bookmarkStart w:id="1598" w:name="_Toc59113850"/>
      <w:bookmarkEnd w:id="1598"/>
      <w:bookmarkStart w:id="1599" w:name="_Toc59117083"/>
      <w:bookmarkEnd w:id="1599"/>
      <w:bookmarkStart w:id="1600" w:name="_Toc58320366"/>
      <w:bookmarkEnd w:id="1600"/>
      <w:bookmarkStart w:id="1601" w:name="_Toc58320046"/>
      <w:bookmarkEnd w:id="1601"/>
      <w:bookmarkStart w:id="1602" w:name="_Toc59113830"/>
      <w:bookmarkEnd w:id="1602"/>
      <w:bookmarkStart w:id="1603" w:name="_Toc59546194"/>
      <w:bookmarkEnd w:id="1603"/>
      <w:bookmarkStart w:id="1604" w:name="_Toc59113498"/>
      <w:bookmarkEnd w:id="1604"/>
      <w:bookmarkStart w:id="1605" w:name="_Toc59630311"/>
      <w:bookmarkEnd w:id="1605"/>
      <w:bookmarkStart w:id="1606" w:name="_Toc59546251"/>
      <w:bookmarkEnd w:id="1606"/>
      <w:bookmarkStart w:id="1607" w:name="_Toc59209308"/>
      <w:bookmarkEnd w:id="1607"/>
      <w:bookmarkStart w:id="1608" w:name="_Toc59113418"/>
      <w:bookmarkEnd w:id="1608"/>
      <w:bookmarkStart w:id="1609" w:name="_Toc59114760"/>
      <w:bookmarkEnd w:id="1609"/>
      <w:bookmarkStart w:id="1610" w:name="_Toc59204022"/>
      <w:bookmarkEnd w:id="1610"/>
      <w:bookmarkStart w:id="1611" w:name="_Toc59017035"/>
      <w:bookmarkEnd w:id="1611"/>
      <w:bookmarkStart w:id="1612" w:name="_Toc59113420"/>
      <w:bookmarkEnd w:id="1612"/>
      <w:bookmarkStart w:id="1613" w:name="_Toc59113857"/>
      <w:bookmarkEnd w:id="1613"/>
      <w:bookmarkStart w:id="1614" w:name="_Toc59546221"/>
      <w:bookmarkEnd w:id="1614"/>
      <w:bookmarkStart w:id="1615" w:name="_Toc59021524"/>
      <w:bookmarkEnd w:id="1615"/>
      <w:bookmarkStart w:id="1616" w:name="_Toc59542858"/>
      <w:bookmarkEnd w:id="1616"/>
      <w:bookmarkStart w:id="1617" w:name="_Toc59113451"/>
      <w:bookmarkEnd w:id="1617"/>
      <w:bookmarkStart w:id="1618" w:name="_Toc59113462"/>
      <w:bookmarkEnd w:id="1618"/>
      <w:bookmarkStart w:id="1619" w:name="_Toc59113888"/>
      <w:bookmarkEnd w:id="1619"/>
      <w:bookmarkStart w:id="1620" w:name="_Toc59016995"/>
      <w:bookmarkEnd w:id="1620"/>
      <w:bookmarkStart w:id="1621" w:name="_Toc59631327"/>
      <w:bookmarkEnd w:id="1621"/>
      <w:bookmarkStart w:id="1622" w:name="_Toc58861775"/>
      <w:bookmarkEnd w:id="1622"/>
      <w:bookmarkStart w:id="1623" w:name="_Toc59021503"/>
      <w:bookmarkEnd w:id="1623"/>
      <w:bookmarkStart w:id="1624" w:name="_Toc59114854"/>
      <w:bookmarkEnd w:id="1624"/>
      <w:bookmarkStart w:id="1625" w:name="_Toc59204006"/>
      <w:bookmarkEnd w:id="1625"/>
      <w:bookmarkStart w:id="1626" w:name="_Toc59631343"/>
      <w:bookmarkEnd w:id="1626"/>
      <w:bookmarkStart w:id="1627" w:name="_Toc59546176"/>
      <w:bookmarkEnd w:id="1627"/>
      <w:bookmarkStart w:id="1628" w:name="_Toc59631325"/>
      <w:bookmarkEnd w:id="1628"/>
      <w:bookmarkStart w:id="1629" w:name="_Toc59113458"/>
      <w:bookmarkEnd w:id="1629"/>
      <w:bookmarkStart w:id="1630" w:name="_Toc58861832"/>
      <w:bookmarkEnd w:id="1630"/>
      <w:bookmarkStart w:id="1631" w:name="_Toc59209287"/>
      <w:bookmarkEnd w:id="1631"/>
      <w:bookmarkStart w:id="1632" w:name="_Toc59021573"/>
      <w:bookmarkEnd w:id="1632"/>
      <w:bookmarkStart w:id="1633" w:name="_Toc59716931"/>
      <w:bookmarkEnd w:id="1633"/>
      <w:bookmarkStart w:id="1634" w:name="_Toc59631337"/>
      <w:bookmarkEnd w:id="1634"/>
      <w:bookmarkStart w:id="1635" w:name="_Toc59114783"/>
      <w:bookmarkEnd w:id="1635"/>
      <w:bookmarkStart w:id="1636" w:name="_Toc59546253"/>
      <w:bookmarkEnd w:id="1636"/>
      <w:bookmarkStart w:id="1637" w:name="_Toc59630355"/>
      <w:bookmarkEnd w:id="1637"/>
      <w:bookmarkStart w:id="1638" w:name="_Toc59716855"/>
      <w:bookmarkEnd w:id="1638"/>
      <w:bookmarkStart w:id="1639" w:name="_Toc59209342"/>
      <w:bookmarkEnd w:id="1639"/>
      <w:bookmarkStart w:id="1640" w:name="_Toc59204002"/>
      <w:bookmarkEnd w:id="1640"/>
      <w:bookmarkStart w:id="1641" w:name="_Toc59542967"/>
      <w:bookmarkEnd w:id="1641"/>
      <w:bookmarkStart w:id="1642" w:name="_Toc59117046"/>
      <w:bookmarkEnd w:id="1642"/>
      <w:bookmarkStart w:id="1643" w:name="_Toc59716915"/>
      <w:bookmarkEnd w:id="1643"/>
      <w:bookmarkStart w:id="1644" w:name="_Toc59114869"/>
      <w:bookmarkEnd w:id="1644"/>
      <w:bookmarkStart w:id="1645" w:name="_Toc58861824"/>
      <w:bookmarkEnd w:id="1645"/>
      <w:bookmarkStart w:id="1646" w:name="_Toc59542975"/>
      <w:bookmarkEnd w:id="1646"/>
      <w:bookmarkStart w:id="1647" w:name="_Toc58862082"/>
      <w:bookmarkEnd w:id="1647"/>
      <w:bookmarkStart w:id="1648" w:name="_Toc59117077"/>
      <w:bookmarkEnd w:id="1648"/>
      <w:bookmarkStart w:id="1649" w:name="_Toc59204053"/>
      <w:bookmarkEnd w:id="1649"/>
      <w:bookmarkStart w:id="1650" w:name="_Toc59209344"/>
      <w:bookmarkEnd w:id="1650"/>
      <w:bookmarkStart w:id="1651" w:name="_Toc59542964"/>
      <w:bookmarkEnd w:id="1651"/>
      <w:bookmarkStart w:id="1652" w:name="_Toc58320360"/>
      <w:bookmarkEnd w:id="1652"/>
      <w:bookmarkStart w:id="1653" w:name="_Toc59209348"/>
      <w:bookmarkEnd w:id="1653"/>
      <w:bookmarkStart w:id="1654" w:name="_Toc59630292"/>
      <w:bookmarkEnd w:id="1654"/>
      <w:bookmarkStart w:id="1655" w:name="_Toc59021501"/>
      <w:bookmarkEnd w:id="1655"/>
      <w:bookmarkStart w:id="1656" w:name="_Toc59016974"/>
      <w:bookmarkEnd w:id="1656"/>
      <w:bookmarkStart w:id="1657" w:name="_Toc59716807"/>
      <w:bookmarkEnd w:id="1657"/>
      <w:bookmarkStart w:id="1658" w:name="_Toc59716899"/>
      <w:bookmarkEnd w:id="1658"/>
      <w:bookmarkStart w:id="1659" w:name="_Toc58320287"/>
      <w:bookmarkEnd w:id="1659"/>
      <w:bookmarkStart w:id="1660" w:name="_Toc59017377"/>
      <w:bookmarkEnd w:id="1660"/>
      <w:bookmarkStart w:id="1661" w:name="_Toc58862099"/>
      <w:bookmarkEnd w:id="1661"/>
      <w:bookmarkStart w:id="1662" w:name="_Toc58320340"/>
      <w:bookmarkEnd w:id="1662"/>
      <w:bookmarkStart w:id="1663" w:name="_Toc59542870"/>
      <w:bookmarkEnd w:id="1663"/>
      <w:bookmarkStart w:id="1664" w:name="_Toc59204060"/>
      <w:bookmarkEnd w:id="1664"/>
      <w:bookmarkStart w:id="1665" w:name="_Toc59017042"/>
      <w:bookmarkEnd w:id="1665"/>
      <w:bookmarkStart w:id="1666" w:name="_Toc59017002"/>
      <w:bookmarkEnd w:id="1666"/>
      <w:bookmarkStart w:id="1667" w:name="_Toc59017043"/>
      <w:bookmarkEnd w:id="1667"/>
      <w:bookmarkStart w:id="1668" w:name="_Toc59546173"/>
      <w:bookmarkEnd w:id="1668"/>
      <w:bookmarkStart w:id="1669" w:name="_Toc58857983"/>
      <w:bookmarkEnd w:id="1669"/>
      <w:bookmarkStart w:id="1670" w:name="_Toc59542970"/>
      <w:bookmarkEnd w:id="1670"/>
      <w:bookmarkStart w:id="1671" w:name="_Toc59017387"/>
      <w:bookmarkEnd w:id="1671"/>
      <w:bookmarkStart w:id="1672" w:name="_Toc59113898"/>
      <w:bookmarkEnd w:id="1672"/>
      <w:bookmarkStart w:id="1673" w:name="_Toc59542981"/>
      <w:bookmarkEnd w:id="1673"/>
      <w:bookmarkStart w:id="1674" w:name="_Toc59542907"/>
      <w:bookmarkEnd w:id="1674"/>
      <w:bookmarkStart w:id="1675" w:name="_Toc58861838"/>
      <w:bookmarkEnd w:id="1675"/>
      <w:bookmarkStart w:id="1676" w:name="_Toc59017383"/>
      <w:bookmarkEnd w:id="1676"/>
      <w:bookmarkStart w:id="1677" w:name="_Toc58861875"/>
      <w:bookmarkEnd w:id="1677"/>
      <w:bookmarkStart w:id="1678" w:name="_Toc59546274"/>
      <w:bookmarkEnd w:id="1678"/>
      <w:bookmarkStart w:id="1679" w:name="_Toc58320052"/>
      <w:bookmarkEnd w:id="1679"/>
      <w:bookmarkStart w:id="1680" w:name="_Toc59630369"/>
      <w:bookmarkEnd w:id="1680"/>
      <w:bookmarkStart w:id="1681" w:name="_Toc59209365"/>
      <w:bookmarkEnd w:id="1681"/>
      <w:bookmarkStart w:id="1682" w:name="_Toc59114903"/>
      <w:bookmarkEnd w:id="1682"/>
      <w:bookmarkStart w:id="1683" w:name="_Toc58320365"/>
      <w:bookmarkEnd w:id="1683"/>
      <w:bookmarkStart w:id="1684" w:name="_Toc59546236"/>
      <w:bookmarkEnd w:id="1684"/>
      <w:bookmarkStart w:id="1685" w:name="_Toc59631217"/>
      <w:bookmarkEnd w:id="1685"/>
      <w:bookmarkStart w:id="1686" w:name="_Toc59209360"/>
      <w:bookmarkEnd w:id="1686"/>
      <w:bookmarkStart w:id="1687" w:name="_Toc59546226"/>
      <w:bookmarkEnd w:id="1687"/>
      <w:bookmarkStart w:id="1688" w:name="_Toc59113401"/>
      <w:bookmarkEnd w:id="1688"/>
      <w:bookmarkStart w:id="1689" w:name="_Toc58862135"/>
      <w:bookmarkEnd w:id="1689"/>
      <w:bookmarkStart w:id="1690" w:name="_Toc59209330"/>
      <w:bookmarkEnd w:id="1690"/>
      <w:bookmarkStart w:id="1691" w:name="_Toc58320042"/>
      <w:bookmarkEnd w:id="1691"/>
      <w:bookmarkStart w:id="1692" w:name="_Toc59716920"/>
      <w:bookmarkEnd w:id="1692"/>
      <w:bookmarkStart w:id="1693" w:name="_Toc59017288"/>
      <w:bookmarkEnd w:id="1693"/>
      <w:bookmarkStart w:id="1694" w:name="_Toc59542908"/>
      <w:bookmarkEnd w:id="1694"/>
      <w:bookmarkStart w:id="1695" w:name="_Toc58320116"/>
      <w:bookmarkEnd w:id="1695"/>
      <w:bookmarkStart w:id="1696" w:name="_Toc59117103"/>
      <w:bookmarkEnd w:id="1696"/>
      <w:bookmarkStart w:id="1697" w:name="_Toc59116956"/>
      <w:bookmarkEnd w:id="1697"/>
      <w:bookmarkStart w:id="1698" w:name="_Toc59716913"/>
      <w:bookmarkEnd w:id="1698"/>
      <w:bookmarkStart w:id="1699" w:name="_Toc59209329"/>
      <w:bookmarkEnd w:id="1699"/>
      <w:bookmarkStart w:id="1700" w:name="_Toc59113443"/>
      <w:bookmarkEnd w:id="1700"/>
      <w:bookmarkStart w:id="1701" w:name="_Toc58862039"/>
      <w:bookmarkEnd w:id="1701"/>
      <w:bookmarkStart w:id="1702" w:name="_Toc59114757"/>
      <w:bookmarkEnd w:id="1702"/>
      <w:bookmarkStart w:id="1703" w:name="_Toc58320293"/>
      <w:bookmarkEnd w:id="1703"/>
      <w:bookmarkStart w:id="1704" w:name="_Toc59117012"/>
      <w:bookmarkEnd w:id="1704"/>
      <w:bookmarkStart w:id="1705" w:name="_Toc58320144"/>
      <w:bookmarkEnd w:id="1705"/>
      <w:bookmarkStart w:id="1706" w:name="_Toc58320241"/>
      <w:bookmarkEnd w:id="1706"/>
      <w:bookmarkStart w:id="1707" w:name="_Toc59113832"/>
      <w:bookmarkEnd w:id="1707"/>
      <w:bookmarkStart w:id="1708" w:name="_Toc58861822"/>
      <w:bookmarkEnd w:id="1708"/>
      <w:bookmarkStart w:id="1709" w:name="_Toc59631215"/>
      <w:bookmarkEnd w:id="1709"/>
      <w:bookmarkStart w:id="1710" w:name="_Toc58319997"/>
      <w:bookmarkEnd w:id="1710"/>
      <w:bookmarkStart w:id="1711" w:name="_Toc58858080"/>
      <w:bookmarkEnd w:id="1711"/>
      <w:bookmarkStart w:id="1712" w:name="_Toc58861851"/>
      <w:bookmarkEnd w:id="1712"/>
      <w:bookmarkStart w:id="1713" w:name="_Toc59114754"/>
      <w:bookmarkEnd w:id="1713"/>
      <w:bookmarkStart w:id="1714" w:name="_Toc59209239"/>
      <w:bookmarkEnd w:id="1714"/>
      <w:bookmarkStart w:id="1715" w:name="_Toc59113399"/>
      <w:bookmarkEnd w:id="1715"/>
      <w:bookmarkStart w:id="1716" w:name="_Toc59021475"/>
      <w:bookmarkEnd w:id="1716"/>
      <w:bookmarkStart w:id="1717" w:name="_Toc58858111"/>
      <w:bookmarkEnd w:id="1717"/>
      <w:bookmarkStart w:id="1718" w:name="_Toc59209332"/>
      <w:bookmarkEnd w:id="1718"/>
      <w:bookmarkStart w:id="1719" w:name="_Toc59114856"/>
      <w:bookmarkEnd w:id="1719"/>
      <w:bookmarkStart w:id="1720" w:name="_Toc59021554"/>
      <w:bookmarkEnd w:id="1720"/>
      <w:bookmarkStart w:id="1721" w:name="_Toc58320240"/>
      <w:bookmarkEnd w:id="1721"/>
      <w:bookmarkStart w:id="1722" w:name="_Toc58320114"/>
      <w:bookmarkEnd w:id="1722"/>
      <w:bookmarkStart w:id="1723" w:name="_Toc59630370"/>
      <w:bookmarkEnd w:id="1723"/>
      <w:bookmarkStart w:id="1724" w:name="_Toc59114864"/>
      <w:bookmarkEnd w:id="1724"/>
      <w:bookmarkStart w:id="1725" w:name="_Toc59114875"/>
      <w:bookmarkEnd w:id="1725"/>
      <w:bookmarkStart w:id="1726" w:name="_Toc58320122"/>
      <w:bookmarkEnd w:id="1726"/>
      <w:bookmarkStart w:id="1727" w:name="_Toc59117079"/>
      <w:bookmarkEnd w:id="1727"/>
      <w:bookmarkStart w:id="1728" w:name="_Toc59114881"/>
      <w:bookmarkEnd w:id="1728"/>
      <w:bookmarkStart w:id="1729" w:name="_Toc59546247"/>
      <w:bookmarkEnd w:id="1729"/>
      <w:bookmarkStart w:id="1730" w:name="_Toc59017071"/>
      <w:bookmarkEnd w:id="1730"/>
      <w:bookmarkStart w:id="1731" w:name="_Toc59113452"/>
      <w:bookmarkEnd w:id="1731"/>
      <w:bookmarkStart w:id="1732" w:name="_Toc59117010"/>
      <w:bookmarkEnd w:id="1732"/>
      <w:bookmarkStart w:id="1733" w:name="_Toc59021546"/>
      <w:bookmarkEnd w:id="1733"/>
      <w:bookmarkStart w:id="1734" w:name="_Toc58858110"/>
      <w:bookmarkEnd w:id="1734"/>
      <w:bookmarkStart w:id="1735" w:name="_Toc58857997"/>
      <w:bookmarkEnd w:id="1735"/>
      <w:bookmarkStart w:id="1736" w:name="_Toc59021580"/>
      <w:bookmarkEnd w:id="1736"/>
      <w:bookmarkStart w:id="1737" w:name="_Toc59017386"/>
      <w:bookmarkEnd w:id="1737"/>
      <w:bookmarkStart w:id="1738" w:name="_Toc59113499"/>
      <w:bookmarkEnd w:id="1738"/>
      <w:bookmarkStart w:id="1739" w:name="_Toc59716853"/>
      <w:bookmarkEnd w:id="1739"/>
      <w:bookmarkStart w:id="1740" w:name="_Toc59204103"/>
      <w:bookmarkEnd w:id="1740"/>
      <w:bookmarkStart w:id="1741" w:name="_Toc58320243"/>
      <w:bookmarkEnd w:id="1741"/>
      <w:bookmarkStart w:id="1742" w:name="_Toc59546249"/>
      <w:bookmarkEnd w:id="1742"/>
      <w:bookmarkStart w:id="1743" w:name="_Toc59543005"/>
      <w:bookmarkEnd w:id="1743"/>
      <w:bookmarkStart w:id="1744" w:name="_Toc58861874"/>
      <w:bookmarkEnd w:id="1744"/>
      <w:bookmarkStart w:id="1745" w:name="_Toc58320057"/>
      <w:bookmarkEnd w:id="1745"/>
      <w:bookmarkStart w:id="1746" w:name="_Toc59017044"/>
      <w:bookmarkEnd w:id="1746"/>
      <w:bookmarkStart w:id="1747" w:name="_Toc58320342"/>
      <w:bookmarkEnd w:id="1747"/>
      <w:bookmarkStart w:id="1748" w:name="_Toc59113474"/>
      <w:bookmarkEnd w:id="1748"/>
      <w:bookmarkStart w:id="1749" w:name="_Toc59016999"/>
      <w:bookmarkEnd w:id="1749"/>
      <w:bookmarkStart w:id="1750" w:name="_Toc58858082"/>
      <w:bookmarkEnd w:id="1750"/>
      <w:bookmarkStart w:id="1751" w:name="_Toc59113457"/>
      <w:bookmarkEnd w:id="1751"/>
      <w:bookmarkStart w:id="1752" w:name="_Toc58320121"/>
      <w:bookmarkEnd w:id="1752"/>
      <w:bookmarkStart w:id="1753" w:name="_Toc59543004"/>
      <w:bookmarkEnd w:id="1753"/>
      <w:bookmarkStart w:id="1754" w:name="_Toc58862107"/>
      <w:bookmarkEnd w:id="1754"/>
      <w:bookmarkStart w:id="1755" w:name="_Toc59716930"/>
      <w:bookmarkEnd w:id="1755"/>
      <w:bookmarkStart w:id="1756" w:name="_Toc58858012"/>
      <w:bookmarkEnd w:id="1756"/>
      <w:bookmarkStart w:id="1757" w:name="_Toc58858087"/>
      <w:bookmarkEnd w:id="1757"/>
      <w:bookmarkStart w:id="1758" w:name="_Toc59630367"/>
      <w:bookmarkEnd w:id="1758"/>
      <w:bookmarkStart w:id="1759" w:name="_Toc58858067"/>
      <w:bookmarkEnd w:id="1759"/>
      <w:bookmarkStart w:id="1760" w:name="_Toc59017385"/>
      <w:bookmarkEnd w:id="1760"/>
      <w:bookmarkStart w:id="1761" w:name="_Toc58320387"/>
      <w:bookmarkEnd w:id="1761"/>
      <w:bookmarkStart w:id="1762" w:name="_Toc59204008"/>
      <w:bookmarkEnd w:id="1762"/>
      <w:bookmarkStart w:id="1763" w:name="_Toc59113878"/>
      <w:bookmarkEnd w:id="1763"/>
      <w:bookmarkStart w:id="1764" w:name="_Toc59716904"/>
      <w:bookmarkEnd w:id="1764"/>
      <w:bookmarkStart w:id="1765" w:name="_Toc59630337"/>
      <w:bookmarkEnd w:id="1765"/>
      <w:bookmarkStart w:id="1766" w:name="_Toc59113476"/>
      <w:bookmarkEnd w:id="1766"/>
      <w:bookmarkStart w:id="1767" w:name="_Toc59113784"/>
      <w:bookmarkEnd w:id="1767"/>
      <w:bookmarkStart w:id="1768" w:name="_Toc59204055"/>
      <w:bookmarkEnd w:id="1768"/>
      <w:bookmarkStart w:id="1769" w:name="_Toc59114905"/>
      <w:bookmarkEnd w:id="1769"/>
      <w:bookmarkStart w:id="1770" w:name="_Toc59021578"/>
      <w:bookmarkEnd w:id="1770"/>
      <w:bookmarkStart w:id="1771" w:name="_Toc59542979"/>
      <w:bookmarkEnd w:id="1771"/>
      <w:bookmarkStart w:id="1772" w:name="_Toc59113903"/>
      <w:bookmarkEnd w:id="1772"/>
      <w:bookmarkStart w:id="1773" w:name="_Toc58861876"/>
      <w:bookmarkEnd w:id="1773"/>
      <w:bookmarkStart w:id="1774" w:name="_Toc59542956"/>
      <w:bookmarkEnd w:id="1774"/>
      <w:bookmarkStart w:id="1775" w:name="_Toc59017074"/>
      <w:bookmarkEnd w:id="1775"/>
      <w:bookmarkStart w:id="1776" w:name="_Toc58862113"/>
      <w:bookmarkEnd w:id="1776"/>
      <w:bookmarkStart w:id="1777" w:name="_Toc59716901"/>
      <w:bookmarkEnd w:id="1777"/>
      <w:bookmarkStart w:id="1778" w:name="_Toc58862108"/>
      <w:bookmarkEnd w:id="1778"/>
      <w:bookmarkStart w:id="1779" w:name="_Toc58320248"/>
      <w:bookmarkEnd w:id="1779"/>
      <w:bookmarkStart w:id="1780" w:name="_Toc59117080"/>
      <w:bookmarkEnd w:id="1780"/>
      <w:bookmarkStart w:id="1781" w:name="_Toc59021458"/>
      <w:bookmarkEnd w:id="1781"/>
      <w:bookmarkStart w:id="1782" w:name="_Toc58858054"/>
      <w:bookmarkEnd w:id="1782"/>
      <w:bookmarkStart w:id="1783" w:name="_Toc58861728"/>
      <w:bookmarkEnd w:id="1783"/>
      <w:bookmarkStart w:id="1784" w:name="_Toc59021457"/>
      <w:bookmarkEnd w:id="1784"/>
      <w:bookmarkStart w:id="1785" w:name="_Toc59546175"/>
      <w:bookmarkEnd w:id="1785"/>
      <w:bookmarkStart w:id="1786" w:name="_Toc59117102"/>
      <w:bookmarkEnd w:id="1786"/>
      <w:bookmarkStart w:id="1787" w:name="_Toc59117053"/>
      <w:bookmarkEnd w:id="1787"/>
      <w:bookmarkStart w:id="1788" w:name="_Toc59716928"/>
      <w:bookmarkEnd w:id="1788"/>
      <w:bookmarkStart w:id="1789" w:name="_Toc59114758"/>
      <w:bookmarkEnd w:id="1789"/>
      <w:bookmarkStart w:id="1790" w:name="_Toc58861852"/>
      <w:bookmarkEnd w:id="1790"/>
      <w:bookmarkStart w:id="1791" w:name="_Toc59021603"/>
      <w:bookmarkEnd w:id="1791"/>
      <w:bookmarkStart w:id="1792" w:name="_Toc59631364"/>
      <w:bookmarkEnd w:id="1792"/>
      <w:bookmarkStart w:id="1793" w:name="_Toc59209341"/>
      <w:bookmarkEnd w:id="1793"/>
      <w:bookmarkStart w:id="1794" w:name="_Toc59203959"/>
      <w:bookmarkEnd w:id="1794"/>
      <w:bookmarkStart w:id="1795" w:name="_Toc59117081"/>
      <w:bookmarkEnd w:id="1795"/>
      <w:bookmarkStart w:id="1796" w:name="_Toc59113879"/>
      <w:bookmarkEnd w:id="1796"/>
      <w:bookmarkStart w:id="1797" w:name="_Toc58862076"/>
      <w:bookmarkEnd w:id="1797"/>
      <w:bookmarkStart w:id="1798" w:name="_Toc59630391"/>
      <w:bookmarkEnd w:id="1798"/>
      <w:bookmarkStart w:id="1799" w:name="_Toc58320145"/>
      <w:bookmarkEnd w:id="1799"/>
      <w:bookmarkStart w:id="1800" w:name="_Toc59113354"/>
      <w:bookmarkEnd w:id="1800"/>
      <w:bookmarkStart w:id="1801" w:name="_Toc59113906"/>
      <w:bookmarkEnd w:id="1801"/>
      <w:bookmarkStart w:id="1802" w:name="_Toc59017389"/>
      <w:bookmarkEnd w:id="1802"/>
      <w:bookmarkStart w:id="1803" w:name="_Toc58862111"/>
      <w:bookmarkEnd w:id="1803"/>
      <w:bookmarkStart w:id="1804" w:name="_Toc59017072"/>
      <w:bookmarkEnd w:id="1804"/>
      <w:bookmarkStart w:id="1805" w:name="_Toc59117055"/>
      <w:bookmarkEnd w:id="1805"/>
      <w:bookmarkStart w:id="1806" w:name="_Toc59631365"/>
      <w:bookmarkEnd w:id="1806"/>
      <w:bookmarkStart w:id="1807" w:name="_Toc59546273"/>
      <w:bookmarkEnd w:id="1807"/>
      <w:bookmarkStart w:id="1808" w:name="_Toc59204046"/>
      <w:bookmarkEnd w:id="1808"/>
      <w:bookmarkStart w:id="1809" w:name="_Toc59021571"/>
      <w:bookmarkEnd w:id="1809"/>
      <w:bookmarkStart w:id="1810" w:name="_Toc59204081"/>
      <w:bookmarkEnd w:id="1810"/>
      <w:bookmarkStart w:id="1811" w:name="_Toc59630342"/>
      <w:bookmarkEnd w:id="1811"/>
      <w:bookmarkStart w:id="1812" w:name="_Toc59209366"/>
      <w:bookmarkEnd w:id="1812"/>
      <w:bookmarkStart w:id="1813" w:name="_Toc58858069"/>
      <w:bookmarkEnd w:id="1813"/>
      <w:bookmarkStart w:id="1814" w:name="_Toc59716953"/>
      <w:bookmarkEnd w:id="1814"/>
      <w:bookmarkStart w:id="1815" w:name="_Toc58320364"/>
      <w:bookmarkEnd w:id="1815"/>
      <w:bookmarkStart w:id="1816" w:name="_Toc58858063"/>
      <w:bookmarkEnd w:id="1816"/>
      <w:bookmarkStart w:id="1817" w:name="_Toc58861844"/>
      <w:bookmarkEnd w:id="1817"/>
      <w:bookmarkStart w:id="1818" w:name="_Toc59021552"/>
      <w:bookmarkEnd w:id="1818"/>
      <w:bookmarkStart w:id="1819" w:name="_Toc59017410"/>
      <w:bookmarkEnd w:id="1819"/>
      <w:bookmarkStart w:id="1820" w:name="_Toc59542957"/>
      <w:bookmarkEnd w:id="1820"/>
      <w:bookmarkStart w:id="1821" w:name="_Toc59209357"/>
      <w:bookmarkEnd w:id="1821"/>
      <w:bookmarkStart w:id="1822" w:name="_Toc59204080"/>
      <w:bookmarkEnd w:id="1822"/>
      <w:bookmarkStart w:id="1823" w:name="_Toc58858062"/>
      <w:bookmarkEnd w:id="1823"/>
      <w:bookmarkStart w:id="1824" w:name="_Toc59021569"/>
      <w:bookmarkEnd w:id="1824"/>
      <w:bookmarkStart w:id="1825" w:name="_Toc59630364"/>
      <w:bookmarkEnd w:id="1825"/>
      <w:bookmarkStart w:id="1826" w:name="_Toc59209388"/>
      <w:bookmarkEnd w:id="1826"/>
      <w:bookmarkStart w:id="1827" w:name="_Toc59631315"/>
      <w:bookmarkEnd w:id="1827"/>
      <w:bookmarkStart w:id="1828" w:name="_Toc58862110"/>
      <w:bookmarkEnd w:id="1828"/>
      <w:bookmarkStart w:id="1829" w:name="_Toc59204068"/>
      <w:bookmarkEnd w:id="1829"/>
      <w:bookmarkStart w:id="1830" w:name="_Toc59716863"/>
      <w:bookmarkEnd w:id="1830"/>
      <w:bookmarkStart w:id="1831" w:name="_Toc59017378"/>
      <w:bookmarkEnd w:id="1831"/>
      <w:bookmarkStart w:id="1832" w:name="_Toc59543003"/>
      <w:bookmarkEnd w:id="1832"/>
      <w:bookmarkStart w:id="1833" w:name="_Toc59631312"/>
      <w:bookmarkEnd w:id="1833"/>
      <w:bookmarkStart w:id="1834" w:name="_Toc59630344"/>
      <w:bookmarkEnd w:id="1834"/>
      <w:bookmarkStart w:id="1835" w:name="_Toc58320143"/>
      <w:bookmarkEnd w:id="1835"/>
      <w:bookmarkStart w:id="1836" w:name="_Toc59631264"/>
      <w:bookmarkEnd w:id="1836"/>
      <w:bookmarkStart w:id="1837" w:name="_Toc58862089"/>
      <w:bookmarkEnd w:id="1837"/>
      <w:bookmarkStart w:id="1838" w:name="_Toc59114848"/>
      <w:bookmarkEnd w:id="1838"/>
      <w:bookmarkStart w:id="1839" w:name="_Toc59021570"/>
      <w:bookmarkEnd w:id="1839"/>
      <w:bookmarkStart w:id="1840" w:name="_Toc59209333"/>
      <w:bookmarkEnd w:id="1840"/>
      <w:bookmarkStart w:id="1841" w:name="_Toc59204058"/>
      <w:bookmarkEnd w:id="1841"/>
      <w:bookmarkStart w:id="1842" w:name="_Toc58320120"/>
      <w:bookmarkEnd w:id="1842"/>
      <w:bookmarkStart w:id="1843" w:name="_Toc59546135"/>
      <w:bookmarkEnd w:id="1843"/>
      <w:bookmarkStart w:id="1844" w:name="_Toc59017051"/>
      <w:bookmarkEnd w:id="1844"/>
      <w:bookmarkStart w:id="1845" w:name="_Toc59716924"/>
      <w:bookmarkEnd w:id="1845"/>
      <w:bookmarkStart w:id="1846" w:name="_Toc58862081"/>
      <w:bookmarkEnd w:id="1846"/>
      <w:bookmarkStart w:id="1847" w:name="_Toc58320338"/>
      <w:bookmarkEnd w:id="1847"/>
      <w:bookmarkStart w:id="1848" w:name="_Toc58858088"/>
      <w:bookmarkEnd w:id="1848"/>
      <w:bookmarkStart w:id="1849" w:name="_Toc59021574"/>
      <w:bookmarkEnd w:id="1849"/>
      <w:bookmarkStart w:id="1850" w:name="_Toc59017363"/>
      <w:bookmarkEnd w:id="1850"/>
      <w:bookmarkStart w:id="1851" w:name="_Toc58861788"/>
      <w:bookmarkEnd w:id="1851"/>
      <w:bookmarkStart w:id="1852" w:name="_Toc59630360"/>
      <w:bookmarkEnd w:id="1852"/>
      <w:bookmarkStart w:id="1853" w:name="_Toc58862092"/>
      <w:bookmarkEnd w:id="1853"/>
      <w:bookmarkStart w:id="1854" w:name="_Toc59630394"/>
      <w:bookmarkEnd w:id="1854"/>
      <w:bookmarkStart w:id="1855" w:name="_Toc59113881"/>
      <w:bookmarkEnd w:id="1855"/>
      <w:bookmarkStart w:id="1856" w:name="_Toc59204054"/>
      <w:bookmarkEnd w:id="1856"/>
      <w:bookmarkStart w:id="1857" w:name="_Toc59542955"/>
      <w:bookmarkEnd w:id="1857"/>
      <w:bookmarkStart w:id="1858" w:name="_Toc59209336"/>
      <w:bookmarkEnd w:id="1858"/>
      <w:bookmarkStart w:id="1859" w:name="_Toc59716906"/>
      <w:bookmarkEnd w:id="1859"/>
      <w:bookmarkStart w:id="1860" w:name="_Toc59716926"/>
      <w:bookmarkEnd w:id="1860"/>
      <w:bookmarkStart w:id="1861" w:name="_Toc58862100"/>
      <w:bookmarkEnd w:id="1861"/>
      <w:bookmarkStart w:id="1862" w:name="_Toc58320107"/>
      <w:bookmarkEnd w:id="1862"/>
      <w:bookmarkStart w:id="1863" w:name="_Toc58861847"/>
      <w:bookmarkEnd w:id="1863"/>
      <w:bookmarkStart w:id="1864" w:name="_Toc59017050"/>
      <w:bookmarkEnd w:id="1864"/>
      <w:bookmarkStart w:id="1865" w:name="_Toc59021547"/>
      <w:bookmarkEnd w:id="1865"/>
      <w:bookmarkStart w:id="1866" w:name="_Toc59204070"/>
      <w:bookmarkEnd w:id="1866"/>
      <w:bookmarkStart w:id="1867" w:name="_Toc59209346"/>
      <w:bookmarkEnd w:id="1867"/>
      <w:bookmarkStart w:id="1868" w:name="_Toc58862083"/>
      <w:bookmarkEnd w:id="1868"/>
      <w:bookmarkStart w:id="1869" w:name="_Toc59117054"/>
      <w:bookmarkEnd w:id="1869"/>
      <w:bookmarkStart w:id="1870" w:name="_Toc59113872"/>
      <w:bookmarkEnd w:id="1870"/>
      <w:bookmarkStart w:id="1871" w:name="_Toc59017068"/>
      <w:bookmarkEnd w:id="1871"/>
      <w:bookmarkStart w:id="1872" w:name="_Toc59209367"/>
      <w:bookmarkEnd w:id="1872"/>
      <w:bookmarkStart w:id="1873" w:name="_Toc59542983"/>
      <w:bookmarkEnd w:id="1873"/>
      <w:bookmarkStart w:id="1874" w:name="_Toc59542857"/>
      <w:bookmarkEnd w:id="1874"/>
      <w:bookmarkStart w:id="1875" w:name="_Toc59017356"/>
      <w:bookmarkEnd w:id="1875"/>
      <w:bookmarkStart w:id="1876" w:name="_Toc59017382"/>
      <w:bookmarkEnd w:id="1876"/>
      <w:bookmarkStart w:id="1877" w:name="_Toc58320334"/>
      <w:bookmarkEnd w:id="1877"/>
      <w:bookmarkStart w:id="1878" w:name="_Toc59113449"/>
      <w:bookmarkEnd w:id="1878"/>
      <w:bookmarkStart w:id="1879" w:name="_Toc59716907"/>
      <w:bookmarkEnd w:id="1879"/>
      <w:bookmarkStart w:id="1880" w:name="_Toc59631340"/>
      <w:bookmarkEnd w:id="1880"/>
      <w:bookmarkStart w:id="1881" w:name="_Toc58862106"/>
      <w:bookmarkEnd w:id="1881"/>
      <w:bookmarkStart w:id="1882" w:name="_Toc59113899"/>
      <w:bookmarkEnd w:id="1882"/>
      <w:bookmarkStart w:id="1883" w:name="_Toc59117050"/>
      <w:bookmarkEnd w:id="1883"/>
      <w:bookmarkStart w:id="1884" w:name="_Toc59117074"/>
      <w:bookmarkEnd w:id="1884"/>
      <w:bookmarkStart w:id="1885" w:name="_Toc58320341"/>
      <w:bookmarkEnd w:id="1885"/>
      <w:bookmarkStart w:id="1886" w:name="_Toc59113448"/>
      <w:bookmarkEnd w:id="1886"/>
      <w:bookmarkStart w:id="1887" w:name="_Toc59017358"/>
      <w:bookmarkEnd w:id="1887"/>
      <w:bookmarkStart w:id="1888" w:name="_Toc58861841"/>
      <w:bookmarkEnd w:id="1888"/>
      <w:bookmarkStart w:id="1889" w:name="_Toc59114877"/>
      <w:bookmarkEnd w:id="1889"/>
      <w:bookmarkStart w:id="1890" w:name="_Toc58861827"/>
      <w:bookmarkEnd w:id="1890"/>
      <w:bookmarkStart w:id="1891" w:name="_Toc59113468"/>
      <w:bookmarkEnd w:id="1891"/>
      <w:bookmarkStart w:id="1892" w:name="_Toc58862105"/>
      <w:bookmarkEnd w:id="1892"/>
      <w:bookmarkStart w:id="1893" w:name="_Toc58320339"/>
      <w:bookmarkEnd w:id="1893"/>
      <w:bookmarkStart w:id="1894" w:name="_Toc59021562"/>
      <w:bookmarkEnd w:id="1894"/>
      <w:bookmarkStart w:id="1895" w:name="_Toc59021559"/>
      <w:bookmarkEnd w:id="1895"/>
      <w:bookmarkStart w:id="1896" w:name="_Toc59542959"/>
      <w:bookmarkEnd w:id="1896"/>
      <w:bookmarkStart w:id="1897" w:name="_Toc59117058"/>
      <w:bookmarkEnd w:id="1897"/>
      <w:bookmarkStart w:id="1898" w:name="_Toc59542969"/>
      <w:bookmarkEnd w:id="1898"/>
      <w:bookmarkStart w:id="1899" w:name="_Toc59113882"/>
      <w:bookmarkEnd w:id="1899"/>
      <w:bookmarkStart w:id="1900" w:name="_Toc59209356"/>
      <w:bookmarkEnd w:id="1900"/>
      <w:bookmarkStart w:id="1901" w:name="_Toc59716954"/>
      <w:bookmarkEnd w:id="1901"/>
      <w:bookmarkStart w:id="1902" w:name="_Toc59204072"/>
      <w:bookmarkEnd w:id="1902"/>
      <w:bookmarkStart w:id="1903" w:name="_Toc59113902"/>
      <w:bookmarkEnd w:id="1903"/>
      <w:bookmarkStart w:id="1904" w:name="_Toc58858060"/>
      <w:bookmarkEnd w:id="1904"/>
      <w:bookmarkStart w:id="1905" w:name="_Toc59113403"/>
      <w:bookmarkEnd w:id="1905"/>
      <w:bookmarkStart w:id="1906" w:name="_Toc58861846"/>
      <w:bookmarkEnd w:id="1906"/>
      <w:bookmarkStart w:id="1907" w:name="_Toc59114866"/>
      <w:bookmarkEnd w:id="1907"/>
      <w:bookmarkStart w:id="1908" w:name="_Toc59546222"/>
      <w:bookmarkEnd w:id="1908"/>
      <w:bookmarkStart w:id="1909" w:name="_Toc59204056"/>
      <w:bookmarkEnd w:id="1909"/>
      <w:bookmarkStart w:id="1910" w:name="_Toc59117064"/>
      <w:bookmarkEnd w:id="1910"/>
      <w:bookmarkStart w:id="1911" w:name="_Toc58320099"/>
      <w:bookmarkEnd w:id="1911"/>
      <w:bookmarkStart w:id="1912" w:name="_Toc59630393"/>
      <w:bookmarkEnd w:id="1912"/>
      <w:bookmarkStart w:id="1913" w:name="_Toc59546237"/>
      <w:bookmarkEnd w:id="1913"/>
      <w:bookmarkStart w:id="1914" w:name="_Toc59113908"/>
      <w:bookmarkEnd w:id="1914"/>
      <w:bookmarkStart w:id="1915" w:name="_Toc59021575"/>
      <w:bookmarkEnd w:id="1915"/>
      <w:bookmarkStart w:id="1916" w:name="_Toc59117051"/>
      <w:bookmarkEnd w:id="1916"/>
      <w:bookmarkStart w:id="1917" w:name="_Toc59017060"/>
      <w:bookmarkEnd w:id="1917"/>
      <w:bookmarkStart w:id="1918" w:name="_Toc59630345"/>
      <w:bookmarkEnd w:id="1918"/>
      <w:bookmarkStart w:id="1919" w:name="_Toc59209361"/>
      <w:bookmarkEnd w:id="1919"/>
      <w:bookmarkStart w:id="1920" w:name="_Toc59716903"/>
      <w:bookmarkEnd w:id="1920"/>
      <w:bookmarkStart w:id="1921" w:name="_Toc58320357"/>
      <w:bookmarkEnd w:id="1921"/>
      <w:bookmarkStart w:id="1922" w:name="_Toc59114858"/>
      <w:bookmarkEnd w:id="1922"/>
      <w:bookmarkStart w:id="1923" w:name="_Toc59716916"/>
      <w:bookmarkEnd w:id="1923"/>
      <w:bookmarkStart w:id="1924" w:name="_Toc59113461"/>
      <w:bookmarkEnd w:id="1924"/>
      <w:bookmarkStart w:id="1925" w:name="_Toc59113885"/>
      <w:bookmarkEnd w:id="1925"/>
      <w:bookmarkStart w:id="1926" w:name="_Toc59209358"/>
      <w:bookmarkEnd w:id="1926"/>
      <w:bookmarkStart w:id="1927" w:name="_Toc59631346"/>
      <w:bookmarkEnd w:id="1927"/>
      <w:bookmarkStart w:id="1928" w:name="_Toc59117057"/>
      <w:bookmarkEnd w:id="1928"/>
      <w:bookmarkStart w:id="1929" w:name="_Toc59204086"/>
      <w:bookmarkEnd w:id="1929"/>
      <w:bookmarkStart w:id="1930" w:name="_Toc58320358"/>
      <w:bookmarkEnd w:id="1930"/>
      <w:bookmarkStart w:id="1931" w:name="_Toc59716929"/>
      <w:bookmarkEnd w:id="1931"/>
      <w:bookmarkStart w:id="1932" w:name="_Toc58320359"/>
      <w:bookmarkEnd w:id="1932"/>
      <w:bookmarkStart w:id="1933" w:name="_Toc59116958"/>
      <w:bookmarkEnd w:id="1933"/>
      <w:bookmarkStart w:id="1934" w:name="_Toc59117073"/>
      <w:bookmarkEnd w:id="1934"/>
      <w:bookmarkStart w:id="1935" w:name="_Toc59113466"/>
      <w:bookmarkEnd w:id="1935"/>
      <w:bookmarkStart w:id="1936" w:name="_Toc59017352"/>
      <w:bookmarkEnd w:id="1936"/>
      <w:bookmarkStart w:id="1937" w:name="_Toc59630362"/>
      <w:bookmarkEnd w:id="1937"/>
      <w:bookmarkStart w:id="1938" w:name="_Toc59021556"/>
      <w:bookmarkEnd w:id="1938"/>
      <w:bookmarkStart w:id="1939" w:name="_Toc58320102"/>
      <w:bookmarkEnd w:id="1939"/>
      <w:bookmarkStart w:id="1940" w:name="_Toc59209353"/>
      <w:bookmarkEnd w:id="1940"/>
      <w:bookmarkStart w:id="1941" w:name="_Toc59113901"/>
      <w:bookmarkEnd w:id="1941"/>
      <w:bookmarkStart w:id="1942" w:name="_Toc59017059"/>
      <w:bookmarkEnd w:id="1942"/>
      <w:bookmarkStart w:id="1943" w:name="_Toc59113467"/>
      <w:bookmarkEnd w:id="1943"/>
      <w:bookmarkStart w:id="1944" w:name="_Toc58858084"/>
      <w:bookmarkEnd w:id="1944"/>
      <w:bookmarkStart w:id="1945" w:name="_Toc59017388"/>
      <w:bookmarkEnd w:id="1945"/>
      <w:bookmarkStart w:id="1946" w:name="_Toc59017038"/>
      <w:bookmarkEnd w:id="1946"/>
      <w:bookmarkStart w:id="1947" w:name="_Toc59017064"/>
      <w:bookmarkEnd w:id="1947"/>
      <w:bookmarkStart w:id="1948" w:name="_Toc58861830"/>
      <w:bookmarkEnd w:id="1948"/>
      <w:bookmarkStart w:id="1949" w:name="_Toc59114808"/>
      <w:bookmarkEnd w:id="1949"/>
      <w:bookmarkStart w:id="1950" w:name="_Toc59630365"/>
      <w:bookmarkEnd w:id="1950"/>
      <w:bookmarkStart w:id="1951" w:name="_Toc59716917"/>
      <w:bookmarkEnd w:id="1951"/>
      <w:bookmarkStart w:id="1952" w:name="_Toc59631332"/>
      <w:bookmarkEnd w:id="1952"/>
      <w:bookmarkStart w:id="1953" w:name="_Toc59021566"/>
      <w:bookmarkEnd w:id="1953"/>
      <w:bookmarkStart w:id="1954" w:name="_Toc59017055"/>
      <w:bookmarkEnd w:id="1954"/>
      <w:bookmarkStart w:id="1955" w:name="_Toc59113873"/>
      <w:bookmarkEnd w:id="1955"/>
      <w:bookmarkStart w:id="1956" w:name="_Toc59017350"/>
      <w:bookmarkEnd w:id="1956"/>
      <w:bookmarkStart w:id="1957" w:name="_Toc58320106"/>
      <w:bookmarkEnd w:id="1957"/>
      <w:bookmarkStart w:id="1958" w:name="_Toc59114862"/>
      <w:bookmarkEnd w:id="1958"/>
      <w:bookmarkStart w:id="1959" w:name="_Toc59017391"/>
      <w:bookmarkEnd w:id="1959"/>
      <w:bookmarkStart w:id="1960" w:name="_Toc58862047"/>
      <w:bookmarkEnd w:id="1960"/>
      <w:bookmarkStart w:id="1961" w:name="_Toc59542962"/>
      <w:bookmarkEnd w:id="1961"/>
      <w:bookmarkStart w:id="1962" w:name="_Toc59631316"/>
      <w:bookmarkEnd w:id="1962"/>
      <w:bookmarkStart w:id="1963" w:name="_Toc58862095"/>
      <w:bookmarkEnd w:id="1963"/>
      <w:bookmarkStart w:id="1964" w:name="_Toc58861837"/>
      <w:bookmarkEnd w:id="1964"/>
      <w:bookmarkStart w:id="1965" w:name="_Toc58862094"/>
      <w:bookmarkEnd w:id="1965"/>
      <w:bookmarkStart w:id="1966" w:name="_Toc59204061"/>
      <w:bookmarkEnd w:id="1966"/>
      <w:bookmarkStart w:id="1967" w:name="_Toc59209359"/>
      <w:bookmarkEnd w:id="1967"/>
      <w:bookmarkStart w:id="1968" w:name="_Toc59021582"/>
      <w:bookmarkEnd w:id="1968"/>
      <w:bookmarkStart w:id="1969" w:name="_Toc59021565"/>
      <w:bookmarkEnd w:id="1969"/>
      <w:bookmarkStart w:id="1970" w:name="_Toc58858073"/>
      <w:bookmarkEnd w:id="1970"/>
      <w:bookmarkStart w:id="1971" w:name="_Toc59021553"/>
      <w:bookmarkEnd w:id="1971"/>
      <w:bookmarkStart w:id="1972" w:name="_Toc59209297"/>
      <w:bookmarkEnd w:id="1972"/>
      <w:bookmarkStart w:id="1973" w:name="_Toc59113454"/>
      <w:bookmarkEnd w:id="1973"/>
      <w:bookmarkStart w:id="1974" w:name="_Toc59542909"/>
      <w:bookmarkEnd w:id="1974"/>
      <w:bookmarkStart w:id="1975" w:name="_Toc59113889"/>
      <w:bookmarkEnd w:id="1975"/>
      <w:bookmarkStart w:id="1976" w:name="_Toc59542947"/>
      <w:bookmarkEnd w:id="1976"/>
      <w:bookmarkStart w:id="1977" w:name="_Toc58320101"/>
      <w:bookmarkEnd w:id="1977"/>
      <w:bookmarkStart w:id="1978" w:name="_Toc59631326"/>
      <w:bookmarkEnd w:id="1978"/>
      <w:bookmarkStart w:id="1979" w:name="_Toc59630347"/>
      <w:bookmarkEnd w:id="1979"/>
      <w:bookmarkStart w:id="1980" w:name="_Toc59117009"/>
      <w:bookmarkEnd w:id="1980"/>
      <w:bookmarkStart w:id="1981" w:name="_Toc59017008"/>
      <w:bookmarkEnd w:id="1981"/>
      <w:bookmarkStart w:id="1982" w:name="_Toc58320344"/>
      <w:bookmarkEnd w:id="1982"/>
      <w:bookmarkStart w:id="1983" w:name="_Toc58320104"/>
      <w:bookmarkEnd w:id="1983"/>
      <w:bookmarkStart w:id="1984" w:name="_Toc59114865"/>
      <w:bookmarkEnd w:id="1984"/>
      <w:bookmarkStart w:id="1985" w:name="_Toc59546217"/>
      <w:bookmarkEnd w:id="1985"/>
      <w:bookmarkStart w:id="1986" w:name="_Toc59017369"/>
      <w:bookmarkEnd w:id="1986"/>
      <w:bookmarkStart w:id="1987" w:name="_Toc59716898"/>
      <w:bookmarkEnd w:id="1987"/>
      <w:bookmarkStart w:id="1988" w:name="_Toc59716927"/>
      <w:bookmarkEnd w:id="1988"/>
      <w:bookmarkStart w:id="1989" w:name="_Toc59113478"/>
      <w:bookmarkEnd w:id="1989"/>
      <w:bookmarkStart w:id="1990" w:name="_Toc59630296"/>
      <w:bookmarkEnd w:id="1990"/>
      <w:bookmarkStart w:id="1991" w:name="_Toc59630305"/>
      <w:bookmarkEnd w:id="1991"/>
      <w:bookmarkStart w:id="1992" w:name="_Toc59017065"/>
      <w:bookmarkEnd w:id="1992"/>
      <w:bookmarkStart w:id="1993" w:name="_Toc59630341"/>
      <w:bookmarkEnd w:id="1993"/>
      <w:bookmarkStart w:id="1994" w:name="_Toc58861836"/>
      <w:bookmarkEnd w:id="1994"/>
      <w:bookmarkStart w:id="1995" w:name="_Toc59716862"/>
      <w:bookmarkEnd w:id="1995"/>
      <w:bookmarkStart w:id="1996" w:name="_Toc58861820"/>
      <w:bookmarkEnd w:id="1996"/>
      <w:bookmarkStart w:id="1997" w:name="_Toc58320355"/>
      <w:bookmarkEnd w:id="1997"/>
      <w:bookmarkStart w:id="1998" w:name="_Toc59716908"/>
      <w:bookmarkEnd w:id="1998"/>
      <w:bookmarkStart w:id="1999" w:name="_Toc59113911"/>
      <w:bookmarkEnd w:id="1999"/>
      <w:bookmarkStart w:id="2000" w:name="_Toc58862097"/>
      <w:bookmarkEnd w:id="2000"/>
      <w:bookmarkStart w:id="2001" w:name="_Toc59546179"/>
      <w:bookmarkEnd w:id="2001"/>
      <w:bookmarkStart w:id="2002" w:name="_Toc59021557"/>
      <w:bookmarkEnd w:id="2002"/>
      <w:bookmarkStart w:id="2003" w:name="_Toc59114868"/>
      <w:bookmarkEnd w:id="2003"/>
      <w:bookmarkStart w:id="2004" w:name="_Toc59631330"/>
      <w:bookmarkEnd w:id="2004"/>
      <w:bookmarkStart w:id="2005" w:name="_Toc59630354"/>
      <w:bookmarkEnd w:id="2005"/>
      <w:bookmarkStart w:id="2006" w:name="_Toc59017040"/>
      <w:bookmarkEnd w:id="2006"/>
      <w:bookmarkStart w:id="2007" w:name="_Toc58858041"/>
      <w:bookmarkEnd w:id="2007"/>
      <w:bookmarkStart w:id="2008" w:name="_Toc59546125"/>
      <w:bookmarkEnd w:id="2008"/>
      <w:bookmarkStart w:id="2009" w:name="_Toc59117063"/>
      <w:bookmarkEnd w:id="2009"/>
      <w:bookmarkStart w:id="2010" w:name="_Toc59631269"/>
      <w:bookmarkEnd w:id="2010"/>
      <w:bookmarkStart w:id="2011" w:name="_Toc58320351"/>
      <w:bookmarkEnd w:id="2011"/>
      <w:bookmarkStart w:id="2012" w:name="_Toc59017061"/>
      <w:bookmarkEnd w:id="2012"/>
      <w:bookmarkStart w:id="2013" w:name="_Toc59017314"/>
      <w:bookmarkEnd w:id="2013"/>
      <w:bookmarkStart w:id="2014" w:name="_Toc59017005"/>
      <w:bookmarkEnd w:id="2014"/>
      <w:bookmarkStart w:id="2015" w:name="_Toc58862079"/>
      <w:bookmarkEnd w:id="2015"/>
      <w:bookmarkStart w:id="2016" w:name="_Toc59630346"/>
      <w:bookmarkEnd w:id="2016"/>
      <w:bookmarkStart w:id="2017" w:name="_Toc59113460"/>
      <w:bookmarkEnd w:id="2017"/>
      <w:bookmarkStart w:id="2018" w:name="_Toc59204073"/>
      <w:bookmarkEnd w:id="2018"/>
      <w:bookmarkStart w:id="2019" w:name="_Toc59546178"/>
      <w:bookmarkEnd w:id="2019"/>
      <w:bookmarkStart w:id="2020" w:name="_Toc59113836"/>
      <w:bookmarkEnd w:id="2020"/>
      <w:bookmarkStart w:id="2021" w:name="_Toc59542960"/>
      <w:bookmarkEnd w:id="2021"/>
      <w:bookmarkStart w:id="2022" w:name="_Toc59542966"/>
      <w:bookmarkEnd w:id="2022"/>
      <w:bookmarkStart w:id="2023" w:name="_Toc58320048"/>
      <w:bookmarkEnd w:id="2023"/>
      <w:bookmarkStart w:id="2024" w:name="_Toc59017001"/>
      <w:bookmarkEnd w:id="2024"/>
      <w:bookmarkStart w:id="2025" w:name="_Toc58858074"/>
      <w:bookmarkEnd w:id="2025"/>
      <w:bookmarkStart w:id="2026" w:name="_Toc59113450"/>
      <w:bookmarkEnd w:id="2026"/>
      <w:bookmarkStart w:id="2027" w:name="_Toc58320094"/>
      <w:bookmarkEnd w:id="2027"/>
      <w:bookmarkStart w:id="2028" w:name="_Toc58320124"/>
      <w:bookmarkEnd w:id="2028"/>
      <w:bookmarkStart w:id="2029" w:name="_Toc58320100"/>
      <w:bookmarkEnd w:id="2029"/>
      <w:bookmarkStart w:id="2030" w:name="_Toc59117062"/>
      <w:bookmarkEnd w:id="2030"/>
      <w:bookmarkStart w:id="2031" w:name="_Toc59017364"/>
      <w:bookmarkEnd w:id="2031"/>
      <w:bookmarkStart w:id="2032" w:name="_Toc58320353"/>
      <w:bookmarkEnd w:id="2032"/>
      <w:bookmarkStart w:id="2033" w:name="_Toc58320055"/>
      <w:bookmarkEnd w:id="2033"/>
      <w:bookmarkStart w:id="2034" w:name="_Toc58320296"/>
      <w:bookmarkEnd w:id="2034"/>
      <w:bookmarkStart w:id="2035" w:name="_Toc58861833"/>
      <w:bookmarkEnd w:id="2035"/>
      <w:bookmarkStart w:id="2036" w:name="_Toc59113876"/>
      <w:bookmarkEnd w:id="2036"/>
      <w:bookmarkStart w:id="2037" w:name="_Toc59021558"/>
      <w:bookmarkEnd w:id="2037"/>
      <w:bookmarkStart w:id="2038" w:name="_Toc59113877"/>
      <w:bookmarkEnd w:id="2038"/>
      <w:bookmarkStart w:id="2039" w:name="_Toc59113402"/>
      <w:bookmarkEnd w:id="2039"/>
      <w:bookmarkStart w:id="2040" w:name="_Toc58858071"/>
      <w:bookmarkEnd w:id="2040"/>
      <w:bookmarkStart w:id="2041" w:name="_Toc58320295"/>
      <w:bookmarkEnd w:id="2041"/>
      <w:bookmarkStart w:id="2042" w:name="_Toc59630307"/>
      <w:bookmarkEnd w:id="2042"/>
      <w:bookmarkStart w:id="2043" w:name="_Toc59117067"/>
      <w:bookmarkEnd w:id="2043"/>
      <w:bookmarkStart w:id="2044" w:name="_Toc59113408"/>
      <w:bookmarkEnd w:id="2044"/>
      <w:bookmarkStart w:id="2045" w:name="_Toc59546215"/>
      <w:bookmarkEnd w:id="2045"/>
      <w:bookmarkStart w:id="2046" w:name="_Toc59021544"/>
      <w:bookmarkEnd w:id="2046"/>
      <w:bookmarkStart w:id="2047" w:name="_Toc59017359"/>
      <w:bookmarkEnd w:id="2047"/>
      <w:bookmarkStart w:id="2048" w:name="_Toc59204035"/>
      <w:bookmarkEnd w:id="2048"/>
      <w:bookmarkStart w:id="2049" w:name="_Toc59630298"/>
      <w:bookmarkEnd w:id="2049"/>
      <w:bookmarkStart w:id="2050" w:name="_Toc59546212"/>
      <w:bookmarkEnd w:id="2050"/>
      <w:bookmarkStart w:id="2051" w:name="_Toc59204051"/>
      <w:bookmarkEnd w:id="2051"/>
      <w:bookmarkStart w:id="2052" w:name="_Toc59017351"/>
      <w:bookmarkEnd w:id="2052"/>
      <w:bookmarkStart w:id="2053" w:name="_Toc59113890"/>
      <w:bookmarkEnd w:id="2053"/>
      <w:bookmarkStart w:id="2054" w:name="_Toc58861735"/>
      <w:bookmarkEnd w:id="2054"/>
      <w:bookmarkStart w:id="2055" w:name="_Toc59113837"/>
      <w:bookmarkEnd w:id="2055"/>
      <w:bookmarkStart w:id="2056" w:name="_Toc58861812"/>
      <w:bookmarkEnd w:id="2056"/>
      <w:bookmarkStart w:id="2057" w:name="_Toc58320336"/>
      <w:bookmarkEnd w:id="2057"/>
      <w:bookmarkStart w:id="2058" w:name="_Toc59546241"/>
      <w:bookmarkEnd w:id="2058"/>
      <w:bookmarkStart w:id="2059" w:name="_Toc58862104"/>
      <w:bookmarkEnd w:id="2059"/>
      <w:bookmarkStart w:id="2060" w:name="_Toc58858065"/>
      <w:bookmarkEnd w:id="2060"/>
      <w:bookmarkStart w:id="2061" w:name="_Toc59631302"/>
      <w:bookmarkEnd w:id="2061"/>
      <w:bookmarkStart w:id="2062" w:name="_Toc58320337"/>
      <w:bookmarkEnd w:id="2062"/>
      <w:bookmarkStart w:id="2063" w:name="_Toc59546180"/>
      <w:bookmarkEnd w:id="2063"/>
      <w:bookmarkStart w:id="2064" w:name="_Toc59117044"/>
      <w:bookmarkEnd w:id="2064"/>
      <w:bookmarkStart w:id="2065" w:name="_Toc58320059"/>
      <w:bookmarkEnd w:id="2065"/>
      <w:bookmarkStart w:id="2066" w:name="_Toc59113886"/>
      <w:bookmarkEnd w:id="2066"/>
      <w:bookmarkStart w:id="2067" w:name="_Toc59017311"/>
      <w:bookmarkEnd w:id="2067"/>
      <w:bookmarkStart w:id="2068" w:name="_Toc59021551"/>
      <w:bookmarkEnd w:id="2068"/>
      <w:bookmarkStart w:id="2069" w:name="_Toc59542952"/>
      <w:bookmarkEnd w:id="2069"/>
      <w:bookmarkStart w:id="2070" w:name="_Toc59017048"/>
      <w:bookmarkEnd w:id="2070"/>
      <w:bookmarkStart w:id="2071" w:name="_Toc59204052"/>
      <w:bookmarkEnd w:id="2071"/>
      <w:bookmarkStart w:id="2072" w:name="_Toc59630308"/>
      <w:bookmarkEnd w:id="2072"/>
      <w:bookmarkStart w:id="2073" w:name="_Toc59017360"/>
      <w:bookmarkEnd w:id="2073"/>
      <w:bookmarkStart w:id="2074" w:name="_Toc58858068"/>
      <w:bookmarkEnd w:id="2074"/>
      <w:bookmarkStart w:id="2075" w:name="_Toc59113846"/>
      <w:bookmarkEnd w:id="2075"/>
      <w:bookmarkStart w:id="2076" w:name="_Toc58320085"/>
      <w:bookmarkEnd w:id="2076"/>
      <w:bookmarkStart w:id="2077" w:name="_Toc59116990"/>
      <w:bookmarkEnd w:id="2077"/>
      <w:bookmarkStart w:id="2078" w:name="_Toc59630358"/>
      <w:bookmarkEnd w:id="2078"/>
      <w:bookmarkStart w:id="2079" w:name="_Toc58320098"/>
      <w:bookmarkEnd w:id="2079"/>
      <w:bookmarkStart w:id="2080" w:name="_Toc59204047"/>
      <w:bookmarkEnd w:id="2080"/>
      <w:bookmarkStart w:id="2081" w:name="_Toc59546232"/>
      <w:bookmarkEnd w:id="2081"/>
      <w:bookmarkStart w:id="2082" w:name="_Toc59542968"/>
      <w:bookmarkEnd w:id="2082"/>
      <w:bookmarkStart w:id="2083" w:name="_Toc59017052"/>
      <w:bookmarkEnd w:id="2083"/>
      <w:bookmarkStart w:id="2084" w:name="_Toc59546181"/>
      <w:bookmarkEnd w:id="2084"/>
      <w:bookmarkStart w:id="2085" w:name="_Toc58862085"/>
      <w:bookmarkEnd w:id="2085"/>
      <w:bookmarkStart w:id="2086" w:name="_Toc59204049"/>
      <w:bookmarkEnd w:id="2086"/>
      <w:bookmarkStart w:id="2087" w:name="_Toc59542961"/>
      <w:bookmarkEnd w:id="2087"/>
      <w:bookmarkStart w:id="2088" w:name="_Toc59546224"/>
      <w:bookmarkEnd w:id="2088"/>
      <w:bookmarkStart w:id="2089" w:name="_Toc59630357"/>
      <w:bookmarkEnd w:id="2089"/>
      <w:bookmarkStart w:id="2090" w:name="_Toc59113802"/>
      <w:bookmarkEnd w:id="2090"/>
      <w:bookmarkStart w:id="2091" w:name="_Toc59204007"/>
      <w:bookmarkEnd w:id="2091"/>
      <w:bookmarkStart w:id="2092" w:name="_Toc58861816"/>
      <w:bookmarkEnd w:id="2092"/>
      <w:bookmarkStart w:id="2093" w:name="_Toc58858028"/>
      <w:bookmarkEnd w:id="2093"/>
      <w:bookmarkStart w:id="2094" w:name="_Toc58858070"/>
      <w:bookmarkEnd w:id="2094"/>
      <w:bookmarkStart w:id="2095" w:name="_Toc59021564"/>
      <w:bookmarkEnd w:id="2095"/>
      <w:bookmarkStart w:id="2096" w:name="_Toc59114804"/>
      <w:bookmarkEnd w:id="2096"/>
      <w:bookmarkStart w:id="2097" w:name="_Toc59113419"/>
      <w:bookmarkEnd w:id="2097"/>
      <w:bookmarkStart w:id="2098" w:name="_Toc59113464"/>
      <w:bookmarkEnd w:id="2098"/>
      <w:bookmarkStart w:id="2099" w:name="_Toc59204001"/>
      <w:bookmarkEnd w:id="2099"/>
      <w:bookmarkStart w:id="2100" w:name="_Toc58861798"/>
      <w:bookmarkEnd w:id="2100"/>
      <w:bookmarkStart w:id="2101" w:name="_Toc59546229"/>
      <w:bookmarkEnd w:id="2101"/>
      <w:bookmarkStart w:id="2102" w:name="_Toc59113892"/>
      <w:bookmarkEnd w:id="2102"/>
      <w:bookmarkStart w:id="2103" w:name="_Toc59117008"/>
      <w:bookmarkEnd w:id="2103"/>
      <w:bookmarkStart w:id="2104" w:name="_Toc59546140"/>
      <w:bookmarkEnd w:id="2104"/>
      <w:bookmarkStart w:id="2105" w:name="_Toc58861814"/>
      <w:bookmarkEnd w:id="2105"/>
      <w:bookmarkStart w:id="2106" w:name="_Toc59209292"/>
      <w:bookmarkEnd w:id="2106"/>
      <w:bookmarkStart w:id="2107" w:name="_Toc59017265"/>
      <w:bookmarkEnd w:id="2107"/>
      <w:bookmarkStart w:id="2108" w:name="_Toc59113396"/>
      <w:bookmarkEnd w:id="2108"/>
      <w:bookmarkStart w:id="2109" w:name="_Toc59546245"/>
      <w:bookmarkEnd w:id="2109"/>
      <w:bookmarkStart w:id="2110" w:name="_Toc59113398"/>
      <w:bookmarkEnd w:id="2110"/>
      <w:bookmarkStart w:id="2111" w:name="_Toc58862062"/>
      <w:bookmarkEnd w:id="2111"/>
      <w:bookmarkStart w:id="2112" w:name="_Toc59114828"/>
      <w:bookmarkEnd w:id="2112"/>
      <w:bookmarkStart w:id="2113" w:name="_Toc59021555"/>
      <w:bookmarkEnd w:id="2113"/>
      <w:bookmarkStart w:id="2114" w:name="_Toc59716902"/>
      <w:bookmarkEnd w:id="2114"/>
      <w:bookmarkStart w:id="2115" w:name="_Toc59204069"/>
      <w:bookmarkEnd w:id="2115"/>
      <w:bookmarkStart w:id="2116" w:name="_Toc58858066"/>
      <w:bookmarkEnd w:id="2116"/>
      <w:bookmarkStart w:id="2117" w:name="_Toc59546213"/>
      <w:bookmarkEnd w:id="2117"/>
      <w:bookmarkStart w:id="2118" w:name="_Toc59630325"/>
      <w:bookmarkEnd w:id="2118"/>
      <w:bookmarkStart w:id="2119" w:name="_Toc59631317"/>
      <w:bookmarkEnd w:id="2119"/>
      <w:bookmarkStart w:id="2120" w:name="_Toc59114832"/>
      <w:bookmarkEnd w:id="2120"/>
      <w:bookmarkStart w:id="2121" w:name="_Toc59113883"/>
      <w:bookmarkEnd w:id="2121"/>
      <w:bookmarkStart w:id="2122" w:name="_Toc59017032"/>
      <w:bookmarkEnd w:id="2122"/>
      <w:bookmarkStart w:id="2123" w:name="_Toc59113364"/>
      <w:bookmarkEnd w:id="2123"/>
      <w:bookmarkStart w:id="2124" w:name="_Toc59209338"/>
      <w:bookmarkEnd w:id="2124"/>
      <w:bookmarkStart w:id="2125" w:name="_Toc59716857"/>
      <w:bookmarkEnd w:id="2125"/>
      <w:bookmarkStart w:id="2126" w:name="_Toc59716882"/>
      <w:bookmarkEnd w:id="2126"/>
      <w:bookmarkStart w:id="2127" w:name="_Toc59113853"/>
      <w:bookmarkEnd w:id="2127"/>
      <w:bookmarkStart w:id="2128" w:name="_Toc58858016"/>
      <w:bookmarkEnd w:id="2128"/>
      <w:bookmarkStart w:id="2129" w:name="_Toc58320369"/>
      <w:bookmarkEnd w:id="2129"/>
      <w:bookmarkStart w:id="2130" w:name="_Toc59117071"/>
      <w:bookmarkEnd w:id="2130"/>
      <w:bookmarkStart w:id="2131" w:name="_Toc59113397"/>
      <w:bookmarkEnd w:id="2131"/>
      <w:bookmarkStart w:id="2132" w:name="_Toc59114806"/>
      <w:bookmarkEnd w:id="2132"/>
      <w:bookmarkStart w:id="2133" w:name="_Toc58320308"/>
      <w:bookmarkEnd w:id="2133"/>
      <w:bookmarkStart w:id="2134" w:name="_Toc59542928"/>
      <w:bookmarkEnd w:id="2134"/>
      <w:bookmarkStart w:id="2135" w:name="_Toc59114824"/>
      <w:bookmarkEnd w:id="2135"/>
      <w:bookmarkStart w:id="2136" w:name="_Toc58320070"/>
      <w:bookmarkEnd w:id="2136"/>
      <w:bookmarkStart w:id="2137" w:name="_Toc59116957"/>
      <w:bookmarkEnd w:id="2137"/>
      <w:bookmarkStart w:id="2138" w:name="_Toc59113852"/>
      <w:bookmarkEnd w:id="2138"/>
      <w:bookmarkStart w:id="2139" w:name="_Toc59209319"/>
      <w:bookmarkEnd w:id="2139"/>
      <w:bookmarkStart w:id="2140" w:name="_Toc59546198"/>
      <w:bookmarkEnd w:id="2140"/>
      <w:bookmarkStart w:id="2141" w:name="_Toc59204074"/>
      <w:bookmarkEnd w:id="2141"/>
      <w:bookmarkStart w:id="2142" w:name="_Toc59630312"/>
      <w:bookmarkEnd w:id="2142"/>
      <w:bookmarkStart w:id="2143" w:name="_Toc59546192"/>
      <w:bookmarkEnd w:id="2143"/>
      <w:bookmarkStart w:id="2144" w:name="_Toc59209290"/>
      <w:bookmarkEnd w:id="2144"/>
      <w:bookmarkStart w:id="2145" w:name="_Toc59113400"/>
      <w:bookmarkEnd w:id="2145"/>
      <w:bookmarkStart w:id="2146" w:name="_Toc58320103"/>
      <w:bookmarkEnd w:id="2146"/>
      <w:bookmarkStart w:id="2147" w:name="_Toc59017338"/>
      <w:bookmarkEnd w:id="2147"/>
      <w:bookmarkStart w:id="2148" w:name="_Toc59204027"/>
      <w:bookmarkEnd w:id="2148"/>
      <w:bookmarkStart w:id="2149" w:name="_Toc58858013"/>
      <w:bookmarkEnd w:id="2149"/>
      <w:bookmarkStart w:id="2150" w:name="_Toc59204028"/>
      <w:bookmarkEnd w:id="2150"/>
      <w:bookmarkStart w:id="2151" w:name="_Toc59113816"/>
      <w:bookmarkEnd w:id="2151"/>
      <w:bookmarkStart w:id="2152" w:name="_Toc59113863"/>
      <w:bookmarkEnd w:id="2152"/>
      <w:bookmarkStart w:id="2153" w:name="_Toc59113404"/>
      <w:bookmarkEnd w:id="2153"/>
      <w:bookmarkStart w:id="2154" w:name="_Toc58320069"/>
      <w:bookmarkEnd w:id="2154"/>
      <w:bookmarkStart w:id="2155" w:name="_Toc59021523"/>
      <w:bookmarkEnd w:id="2155"/>
      <w:bookmarkStart w:id="2156" w:name="_Toc59204023"/>
      <w:bookmarkEnd w:id="2156"/>
      <w:bookmarkStart w:id="2157" w:name="_Toc59546202"/>
      <w:bookmarkEnd w:id="2157"/>
      <w:bookmarkStart w:id="2158" w:name="_Toc58320111"/>
      <w:bookmarkEnd w:id="2158"/>
      <w:bookmarkStart w:id="2159" w:name="_Toc59204031"/>
      <w:bookmarkEnd w:id="2159"/>
      <w:bookmarkStart w:id="2160" w:name="_Toc58861804"/>
      <w:bookmarkEnd w:id="2160"/>
      <w:bookmarkStart w:id="2161" w:name="_Toc59017021"/>
      <w:bookmarkEnd w:id="2161"/>
      <w:bookmarkStart w:id="2162" w:name="_Toc59546161"/>
      <w:bookmarkEnd w:id="2162"/>
      <w:bookmarkStart w:id="2163" w:name="_Toc58862058"/>
      <w:bookmarkEnd w:id="2163"/>
      <w:bookmarkStart w:id="2164" w:name="_Toc58861796"/>
      <w:bookmarkEnd w:id="2164"/>
      <w:bookmarkStart w:id="2165" w:name="_Toc59209262"/>
      <w:bookmarkEnd w:id="2165"/>
      <w:bookmarkStart w:id="2166" w:name="_Toc59017336"/>
      <w:bookmarkEnd w:id="2166"/>
      <w:bookmarkStart w:id="2167" w:name="_Toc59021528"/>
      <w:bookmarkEnd w:id="2167"/>
      <w:bookmarkStart w:id="2168" w:name="_Toc59546203"/>
      <w:bookmarkEnd w:id="2168"/>
      <w:bookmarkStart w:id="2169" w:name="_Toc59546204"/>
      <w:bookmarkEnd w:id="2169"/>
      <w:bookmarkStart w:id="2170" w:name="_Toc59117024"/>
      <w:bookmarkEnd w:id="2170"/>
      <w:bookmarkStart w:id="2171" w:name="_Toc59113848"/>
      <w:bookmarkEnd w:id="2171"/>
      <w:bookmarkStart w:id="2172" w:name="_Toc59630317"/>
      <w:bookmarkEnd w:id="2172"/>
      <w:bookmarkStart w:id="2173" w:name="_Toc59021529"/>
      <w:bookmarkEnd w:id="2173"/>
      <w:bookmarkStart w:id="2174" w:name="_Toc59204034"/>
      <w:bookmarkEnd w:id="2174"/>
      <w:bookmarkStart w:id="2175" w:name="_Toc58858038"/>
      <w:bookmarkEnd w:id="2175"/>
      <w:bookmarkStart w:id="2176" w:name="_Toc59209268"/>
      <w:bookmarkEnd w:id="2176"/>
      <w:bookmarkStart w:id="2177" w:name="_Toc59114834"/>
      <w:bookmarkEnd w:id="2177"/>
      <w:bookmarkStart w:id="2178" w:name="_Toc59204029"/>
      <w:bookmarkEnd w:id="2178"/>
      <w:bookmarkStart w:id="2179" w:name="_Toc59630258"/>
      <w:bookmarkEnd w:id="2179"/>
      <w:bookmarkStart w:id="2180" w:name="_Toc59017334"/>
      <w:bookmarkEnd w:id="2180"/>
      <w:bookmarkStart w:id="2181" w:name="_Toc59117004"/>
      <w:bookmarkEnd w:id="2181"/>
      <w:bookmarkStart w:id="2182" w:name="_Toc59117031"/>
      <w:bookmarkEnd w:id="2182"/>
      <w:bookmarkStart w:id="2183" w:name="_Toc59113860"/>
      <w:bookmarkEnd w:id="2183"/>
      <w:bookmarkStart w:id="2184" w:name="_Toc58320313"/>
      <w:bookmarkEnd w:id="2184"/>
      <w:bookmarkStart w:id="2185" w:name="_Toc58320043"/>
      <w:bookmarkEnd w:id="2185"/>
      <w:bookmarkStart w:id="2186" w:name="_Toc59630320"/>
      <w:bookmarkEnd w:id="2186"/>
      <w:bookmarkStart w:id="2187" w:name="_Toc58320286"/>
      <w:bookmarkEnd w:id="2187"/>
      <w:bookmarkStart w:id="2188" w:name="_Toc59117032"/>
      <w:bookmarkEnd w:id="2188"/>
      <w:bookmarkStart w:id="2189" w:name="_Toc59114825"/>
      <w:bookmarkEnd w:id="2189"/>
      <w:bookmarkStart w:id="2190" w:name="_Toc58861839"/>
      <w:bookmarkEnd w:id="2190"/>
      <w:bookmarkStart w:id="2191" w:name="_Toc59546199"/>
      <w:bookmarkEnd w:id="2191"/>
      <w:bookmarkStart w:id="2192" w:name="_Toc59021468"/>
      <w:bookmarkEnd w:id="2192"/>
      <w:bookmarkStart w:id="2193" w:name="_Toc59117040"/>
      <w:bookmarkEnd w:id="2193"/>
      <w:bookmarkStart w:id="2194" w:name="_Toc59630333"/>
      <w:bookmarkEnd w:id="2194"/>
      <w:bookmarkStart w:id="2195" w:name="_Toc58862072"/>
      <w:bookmarkEnd w:id="2195"/>
      <w:bookmarkStart w:id="2196" w:name="_Toc58861999"/>
      <w:bookmarkEnd w:id="2196"/>
      <w:bookmarkStart w:id="2197" w:name="_Toc58858009"/>
      <w:bookmarkEnd w:id="2197"/>
      <w:bookmarkStart w:id="2198" w:name="_Toc59021534"/>
      <w:bookmarkEnd w:id="2198"/>
      <w:bookmarkStart w:id="2199" w:name="_Toc59017270"/>
      <w:bookmarkEnd w:id="2199"/>
      <w:bookmarkStart w:id="2200" w:name="_Toc59113828"/>
      <w:bookmarkEnd w:id="2200"/>
      <w:bookmarkStart w:id="2201" w:name="_Toc59017097"/>
      <w:bookmarkEnd w:id="2201"/>
      <w:bookmarkStart w:id="2202" w:name="_Toc58320290"/>
      <w:bookmarkEnd w:id="2202"/>
      <w:bookmarkStart w:id="2203" w:name="_Toc59117104"/>
      <w:bookmarkEnd w:id="2203"/>
      <w:bookmarkStart w:id="2204" w:name="_Toc59716887"/>
      <w:bookmarkEnd w:id="2204"/>
      <w:bookmarkStart w:id="2205" w:name="_Toc59017282"/>
      <w:bookmarkEnd w:id="2205"/>
      <w:bookmarkStart w:id="2206" w:name="_Toc58320253"/>
      <w:bookmarkEnd w:id="2206"/>
      <w:bookmarkStart w:id="2207" w:name="_Toc59631278"/>
      <w:bookmarkEnd w:id="2207"/>
      <w:bookmarkStart w:id="2208" w:name="_Toc59113845"/>
      <w:bookmarkEnd w:id="2208"/>
      <w:bookmarkStart w:id="2209" w:name="_Toc59204014"/>
      <w:bookmarkEnd w:id="2209"/>
      <w:bookmarkStart w:id="2210" w:name="_Toc58862034"/>
      <w:bookmarkEnd w:id="2210"/>
      <w:bookmarkStart w:id="2211" w:name="_Toc59113407"/>
      <w:bookmarkEnd w:id="2211"/>
      <w:bookmarkStart w:id="2212" w:name="_Toc59113371"/>
      <w:bookmarkEnd w:id="2212"/>
      <w:bookmarkStart w:id="2213" w:name="_Toc58861740"/>
      <w:bookmarkEnd w:id="2213"/>
      <w:bookmarkStart w:id="2214" w:name="_Toc58861807"/>
      <w:bookmarkEnd w:id="2214"/>
      <w:bookmarkStart w:id="2215" w:name="_Toc59114857"/>
      <w:bookmarkEnd w:id="2215"/>
      <w:bookmarkStart w:id="2216" w:name="_Toc59630271"/>
      <w:bookmarkEnd w:id="2216"/>
      <w:bookmarkStart w:id="2217" w:name="_Toc59017339"/>
      <w:bookmarkEnd w:id="2217"/>
      <w:bookmarkStart w:id="2218" w:name="_Toc58858011"/>
      <w:bookmarkEnd w:id="2218"/>
      <w:bookmarkStart w:id="2219" w:name="_Toc59630323"/>
      <w:bookmarkEnd w:id="2219"/>
      <w:bookmarkStart w:id="2220" w:name="_Toc58319999"/>
      <w:bookmarkEnd w:id="2220"/>
      <w:bookmarkStart w:id="2221" w:name="_Toc59630299"/>
      <w:bookmarkEnd w:id="2221"/>
      <w:bookmarkStart w:id="2222" w:name="_Toc58862035"/>
      <w:bookmarkEnd w:id="2222"/>
      <w:bookmarkStart w:id="2223" w:name="_Toc59017024"/>
      <w:bookmarkEnd w:id="2223"/>
      <w:bookmarkStart w:id="2224" w:name="_Toc58320320"/>
      <w:bookmarkEnd w:id="2224"/>
      <w:bookmarkStart w:id="2225" w:name="_Toc59542939"/>
      <w:bookmarkEnd w:id="2225"/>
      <w:bookmarkStart w:id="2226" w:name="_Toc59204039"/>
      <w:bookmarkEnd w:id="2226"/>
      <w:bookmarkStart w:id="2227" w:name="_Toc59209323"/>
      <w:bookmarkEnd w:id="2227"/>
      <w:bookmarkStart w:id="2228" w:name="_Toc59021533"/>
      <w:bookmarkEnd w:id="2228"/>
      <w:bookmarkStart w:id="2229" w:name="_Toc58320323"/>
      <w:bookmarkEnd w:id="2229"/>
      <w:bookmarkStart w:id="2230" w:name="_Toc59021540"/>
      <w:bookmarkEnd w:id="2230"/>
      <w:bookmarkStart w:id="2231" w:name="_Toc59113437"/>
      <w:bookmarkEnd w:id="2231"/>
      <w:bookmarkStart w:id="2232" w:name="_Toc58320022"/>
      <w:bookmarkEnd w:id="2232"/>
      <w:bookmarkStart w:id="2233" w:name="_Toc59209276"/>
      <w:bookmarkEnd w:id="2233"/>
      <w:bookmarkStart w:id="2234" w:name="_Toc59631308"/>
      <w:bookmarkEnd w:id="2234"/>
      <w:bookmarkStart w:id="2235" w:name="_Toc58861988"/>
      <w:bookmarkEnd w:id="2235"/>
      <w:bookmarkStart w:id="2236" w:name="_Toc59542938"/>
      <w:bookmarkEnd w:id="2236"/>
      <w:bookmarkStart w:id="2237" w:name="_Toc59021542"/>
      <w:bookmarkEnd w:id="2237"/>
      <w:bookmarkStart w:id="2238" w:name="_Toc59631305"/>
      <w:bookmarkEnd w:id="2238"/>
      <w:bookmarkStart w:id="2239" w:name="_Toc59542944"/>
      <w:bookmarkEnd w:id="2239"/>
      <w:bookmarkStart w:id="2240" w:name="_Toc59017346"/>
      <w:bookmarkEnd w:id="2240"/>
      <w:bookmarkStart w:id="2241" w:name="_Toc58858047"/>
      <w:bookmarkEnd w:id="2241"/>
      <w:bookmarkStart w:id="2242" w:name="_Toc59113862"/>
      <w:bookmarkEnd w:id="2242"/>
      <w:bookmarkStart w:id="2243" w:name="_Toc58861747"/>
      <w:bookmarkEnd w:id="2243"/>
      <w:bookmarkStart w:id="2244" w:name="_Toc58858015"/>
      <w:bookmarkEnd w:id="2244"/>
      <w:bookmarkStart w:id="2245" w:name="_Toc59113931"/>
      <w:bookmarkEnd w:id="2245"/>
      <w:bookmarkStart w:id="2246" w:name="_Toc59117022"/>
      <w:bookmarkEnd w:id="2246"/>
      <w:bookmarkStart w:id="2247" w:name="_Toc59113866"/>
      <w:bookmarkEnd w:id="2247"/>
      <w:bookmarkStart w:id="2248" w:name="_Toc58320242"/>
      <w:bookmarkEnd w:id="2248"/>
      <w:bookmarkStart w:id="2249" w:name="_Toc58858052"/>
      <w:bookmarkEnd w:id="2249"/>
      <w:bookmarkStart w:id="2250" w:name="_Toc59546190"/>
      <w:bookmarkEnd w:id="2250"/>
      <w:bookmarkStart w:id="2251" w:name="_Toc59716869"/>
      <w:bookmarkEnd w:id="2251"/>
      <w:bookmarkStart w:id="2252" w:name="_Toc59716889"/>
      <w:bookmarkEnd w:id="2252"/>
      <w:bookmarkStart w:id="2253" w:name="_Toc59021535"/>
      <w:bookmarkEnd w:id="2253"/>
      <w:bookmarkStart w:id="2254" w:name="_Toc59113870"/>
      <w:bookmarkEnd w:id="2254"/>
      <w:bookmarkStart w:id="2255" w:name="_Toc58862075"/>
      <w:bookmarkEnd w:id="2255"/>
      <w:bookmarkStart w:id="2256" w:name="_Toc59017348"/>
      <w:bookmarkEnd w:id="2256"/>
      <w:bookmarkStart w:id="2257" w:name="_Toc59017034"/>
      <w:bookmarkEnd w:id="2257"/>
      <w:bookmarkStart w:id="2258" w:name="_Toc59113867"/>
      <w:bookmarkEnd w:id="2258"/>
      <w:bookmarkStart w:id="2259" w:name="_Toc59113438"/>
      <w:bookmarkEnd w:id="2259"/>
      <w:bookmarkStart w:id="2260" w:name="_Toc59204033"/>
      <w:bookmarkEnd w:id="2260"/>
      <w:bookmarkStart w:id="2261" w:name="_Toc59209347"/>
      <w:bookmarkEnd w:id="2261"/>
      <w:bookmarkStart w:id="2262" w:name="_Toc58320075"/>
      <w:bookmarkEnd w:id="2262"/>
      <w:bookmarkStart w:id="2263" w:name="_Toc59631304"/>
      <w:bookmarkEnd w:id="2263"/>
      <w:bookmarkStart w:id="2264" w:name="_Toc58862073"/>
      <w:bookmarkEnd w:id="2264"/>
      <w:bookmarkStart w:id="2265" w:name="_Toc59209337"/>
      <w:bookmarkEnd w:id="2265"/>
      <w:bookmarkStart w:id="2266" w:name="_Toc59017028"/>
      <w:bookmarkEnd w:id="2266"/>
      <w:bookmarkStart w:id="2267" w:name="_Toc59114872"/>
      <w:bookmarkEnd w:id="2267"/>
      <w:bookmarkStart w:id="2268" w:name="_Toc59021538"/>
      <w:bookmarkEnd w:id="2268"/>
      <w:bookmarkStart w:id="2269" w:name="_Toc59117042"/>
      <w:bookmarkEnd w:id="2269"/>
      <w:bookmarkStart w:id="2270" w:name="_Toc59113433"/>
      <w:bookmarkEnd w:id="2270"/>
      <w:bookmarkStart w:id="2271" w:name="_Toc59631320"/>
      <w:bookmarkEnd w:id="2271"/>
      <w:bookmarkStart w:id="2272" w:name="_Toc59630351"/>
      <w:bookmarkEnd w:id="2272"/>
      <w:bookmarkStart w:id="2273" w:name="_Toc59114844"/>
      <w:bookmarkEnd w:id="2273"/>
      <w:bookmarkStart w:id="2274" w:name="_Toc58320335"/>
      <w:bookmarkEnd w:id="2274"/>
      <w:bookmarkStart w:id="2275" w:name="_Toc59113436"/>
      <w:bookmarkEnd w:id="2275"/>
      <w:bookmarkStart w:id="2276" w:name="_Toc59631301"/>
      <w:bookmarkEnd w:id="2276"/>
      <w:bookmarkStart w:id="2277" w:name="_Toc58862084"/>
      <w:bookmarkEnd w:id="2277"/>
      <w:bookmarkStart w:id="2278" w:name="_Toc58861810"/>
      <w:bookmarkEnd w:id="2278"/>
      <w:bookmarkStart w:id="2279" w:name="_Toc58858059"/>
      <w:bookmarkEnd w:id="2279"/>
      <w:bookmarkStart w:id="2280" w:name="_Toc59021543"/>
      <w:bookmarkEnd w:id="2280"/>
      <w:bookmarkStart w:id="2281" w:name="_Toc59204038"/>
      <w:bookmarkEnd w:id="2281"/>
      <w:bookmarkStart w:id="2282" w:name="_Toc59209335"/>
      <w:bookmarkEnd w:id="2282"/>
      <w:bookmarkStart w:id="2283" w:name="_Toc59630348"/>
      <w:bookmarkEnd w:id="2283"/>
      <w:bookmarkStart w:id="2284" w:name="_Toc58858075"/>
      <w:bookmarkEnd w:id="2284"/>
      <w:bookmarkStart w:id="2285" w:name="_Toc59117075"/>
      <w:bookmarkEnd w:id="2285"/>
      <w:bookmarkStart w:id="2286" w:name="_Toc59113855"/>
      <w:bookmarkEnd w:id="2286"/>
      <w:bookmarkStart w:id="2287" w:name="_Toc59630332"/>
      <w:bookmarkEnd w:id="2287"/>
      <w:bookmarkStart w:id="2288" w:name="_Toc58861806"/>
      <w:bookmarkEnd w:id="2288"/>
      <w:bookmarkStart w:id="2289" w:name="_Toc58320331"/>
      <w:bookmarkEnd w:id="2289"/>
      <w:bookmarkStart w:id="2290" w:name="_Toc59114852"/>
      <w:bookmarkEnd w:id="2290"/>
      <w:bookmarkStart w:id="2291" w:name="_Toc59546243"/>
      <w:bookmarkEnd w:id="2291"/>
      <w:bookmarkStart w:id="2292" w:name="_Toc59021548"/>
      <w:bookmarkEnd w:id="2292"/>
      <w:bookmarkStart w:id="2293" w:name="_Toc59114867"/>
      <w:bookmarkEnd w:id="2293"/>
      <w:bookmarkStart w:id="2294" w:name="_Toc59204040"/>
      <w:bookmarkEnd w:id="2294"/>
      <w:bookmarkStart w:id="2295" w:name="_Toc59716894"/>
      <w:bookmarkEnd w:id="2295"/>
      <w:bookmarkStart w:id="2296" w:name="_Toc58861829"/>
      <w:bookmarkEnd w:id="2296"/>
      <w:bookmarkStart w:id="2297" w:name="_Toc59113875"/>
      <w:bookmarkEnd w:id="2297"/>
      <w:bookmarkStart w:id="2298" w:name="_Toc59631313"/>
      <w:bookmarkEnd w:id="2298"/>
      <w:bookmarkStart w:id="2299" w:name="_Toc59630340"/>
      <w:bookmarkEnd w:id="2299"/>
      <w:bookmarkStart w:id="2300" w:name="_Toc58862117"/>
      <w:bookmarkEnd w:id="2300"/>
      <w:bookmarkStart w:id="2301" w:name="_Toc59546228"/>
      <w:bookmarkEnd w:id="2301"/>
      <w:bookmarkStart w:id="2302" w:name="_Toc59017062"/>
      <w:bookmarkEnd w:id="2302"/>
      <w:bookmarkStart w:id="2303" w:name="_Toc59204050"/>
      <w:bookmarkEnd w:id="2303"/>
      <w:bookmarkStart w:id="2304" w:name="_Toc59017046"/>
      <w:bookmarkEnd w:id="2304"/>
      <w:bookmarkStart w:id="2305" w:name="_Toc59114859"/>
      <w:bookmarkEnd w:id="2305"/>
      <w:bookmarkStart w:id="2306" w:name="_Toc58858076"/>
      <w:bookmarkEnd w:id="2306"/>
      <w:bookmarkStart w:id="2307" w:name="_Toc59542973"/>
      <w:bookmarkEnd w:id="2307"/>
      <w:bookmarkStart w:id="2308" w:name="_Toc58320327"/>
      <w:bookmarkEnd w:id="2308"/>
      <w:bookmarkStart w:id="2309" w:name="_Toc59631311"/>
      <w:bookmarkEnd w:id="2309"/>
      <w:bookmarkStart w:id="2310" w:name="_Toc58858051"/>
      <w:bookmarkEnd w:id="2310"/>
      <w:bookmarkStart w:id="2311" w:name="_Toc58862086"/>
      <w:bookmarkEnd w:id="2311"/>
      <w:bookmarkStart w:id="2312" w:name="_Toc59021532"/>
      <w:bookmarkEnd w:id="2312"/>
      <w:bookmarkStart w:id="2313" w:name="_Toc58862068"/>
      <w:bookmarkEnd w:id="2313"/>
      <w:bookmarkStart w:id="2314" w:name="_Toc59546210"/>
      <w:bookmarkEnd w:id="2314"/>
      <w:bookmarkStart w:id="2315" w:name="_Toc59017026"/>
      <w:bookmarkEnd w:id="2315"/>
      <w:bookmarkStart w:id="2316" w:name="_Toc59017078"/>
      <w:bookmarkEnd w:id="2316"/>
      <w:bookmarkStart w:id="2317" w:name="_Toc58320330"/>
      <w:bookmarkEnd w:id="2317"/>
      <w:bookmarkStart w:id="2318" w:name="_Toc59209324"/>
      <w:bookmarkEnd w:id="2318"/>
      <w:bookmarkStart w:id="2319" w:name="_Toc59117041"/>
      <w:bookmarkEnd w:id="2319"/>
      <w:bookmarkStart w:id="2320" w:name="_Toc59021560"/>
      <w:bookmarkEnd w:id="2320"/>
      <w:bookmarkStart w:id="2321" w:name="_Toc58862102"/>
      <w:bookmarkEnd w:id="2321"/>
      <w:bookmarkStart w:id="2322" w:name="_Toc59546244"/>
      <w:bookmarkEnd w:id="2322"/>
      <w:bookmarkStart w:id="2323" w:name="_Toc59542987"/>
      <w:bookmarkEnd w:id="2323"/>
      <w:bookmarkStart w:id="2324" w:name="_Toc59113880"/>
      <w:bookmarkEnd w:id="2324"/>
      <w:bookmarkStart w:id="2325" w:name="_Toc59630373"/>
      <w:bookmarkEnd w:id="2325"/>
      <w:bookmarkStart w:id="2326" w:name="_Toc59113447"/>
      <w:bookmarkEnd w:id="2326"/>
      <w:bookmarkStart w:id="2327" w:name="_Toc58320329"/>
      <w:bookmarkEnd w:id="2327"/>
      <w:bookmarkStart w:id="2328" w:name="_Toc59117069"/>
      <w:bookmarkEnd w:id="2328"/>
      <w:bookmarkStart w:id="2329" w:name="_Toc59117065"/>
      <w:bookmarkEnd w:id="2329"/>
      <w:bookmarkStart w:id="2330" w:name="_Toc59017031"/>
      <w:bookmarkEnd w:id="2330"/>
      <w:bookmarkStart w:id="2331" w:name="_Toc59542972"/>
      <w:bookmarkEnd w:id="2331"/>
      <w:bookmarkStart w:id="2332" w:name="_Toc59117043"/>
      <w:bookmarkEnd w:id="2332"/>
      <w:bookmarkStart w:id="2333" w:name="_Toc59113439"/>
      <w:bookmarkEnd w:id="2333"/>
      <w:bookmarkStart w:id="2334" w:name="_Toc58861818"/>
      <w:bookmarkEnd w:id="2334"/>
      <w:bookmarkStart w:id="2335" w:name="_Toc58320096"/>
      <w:bookmarkEnd w:id="2335"/>
      <w:bookmarkStart w:id="2336" w:name="_Toc59631345"/>
      <w:bookmarkEnd w:id="2336"/>
      <w:bookmarkStart w:id="2337" w:name="_Toc59209334"/>
      <w:bookmarkEnd w:id="2337"/>
      <w:bookmarkStart w:id="2338" w:name="_Toc58862118"/>
      <w:bookmarkEnd w:id="2338"/>
      <w:bookmarkStart w:id="2339" w:name="_Toc59542940"/>
      <w:bookmarkEnd w:id="2339"/>
      <w:bookmarkStart w:id="2340" w:name="_Toc59542974"/>
      <w:bookmarkEnd w:id="2340"/>
      <w:bookmarkStart w:id="2341" w:name="_Toc59017045"/>
      <w:bookmarkEnd w:id="2341"/>
      <w:bookmarkStart w:id="2342" w:name="_Toc59017075"/>
      <w:bookmarkEnd w:id="2342"/>
      <w:bookmarkStart w:id="2343" w:name="_Toc58320356"/>
      <w:bookmarkEnd w:id="2343"/>
      <w:bookmarkStart w:id="2344" w:name="_Toc59630338"/>
      <w:bookmarkEnd w:id="2344"/>
      <w:bookmarkStart w:id="2345" w:name="_Toc59209352"/>
      <w:bookmarkEnd w:id="2345"/>
      <w:bookmarkStart w:id="2346" w:name="_Toc59630343"/>
      <w:bookmarkEnd w:id="2346"/>
      <w:bookmarkStart w:id="2347" w:name="_Toc58861831"/>
      <w:bookmarkEnd w:id="2347"/>
      <w:bookmarkStart w:id="2348" w:name="_Toc59631306"/>
      <w:bookmarkEnd w:id="2348"/>
      <w:bookmarkStart w:id="2349" w:name="_Toc59114860"/>
      <w:bookmarkEnd w:id="2349"/>
      <w:bookmarkStart w:id="2350" w:name="_Toc59209328"/>
      <w:bookmarkEnd w:id="2350"/>
      <w:bookmarkStart w:id="2351" w:name="_Toc59546239"/>
      <w:bookmarkEnd w:id="2351"/>
      <w:bookmarkStart w:id="2352" w:name="_Toc59117076"/>
      <w:bookmarkEnd w:id="2352"/>
      <w:bookmarkStart w:id="2353" w:name="_Toc58858077"/>
      <w:bookmarkEnd w:id="2353"/>
      <w:bookmarkStart w:id="2354" w:name="_Toc59209373"/>
      <w:bookmarkEnd w:id="2354"/>
      <w:bookmarkStart w:id="2355" w:name="_Toc58320371"/>
      <w:bookmarkEnd w:id="2355"/>
      <w:bookmarkStart w:id="2356" w:name="_Toc59209368"/>
      <w:bookmarkEnd w:id="2356"/>
      <w:bookmarkStart w:id="2357" w:name="_Toc59716925"/>
      <w:bookmarkEnd w:id="2357"/>
      <w:bookmarkStart w:id="2358" w:name="_Toc58858093"/>
      <w:bookmarkEnd w:id="2358"/>
      <w:bookmarkStart w:id="2359" w:name="_Toc59017393"/>
      <w:bookmarkEnd w:id="2359"/>
      <w:bookmarkStart w:id="2360" w:name="_Toc59017066"/>
      <w:bookmarkEnd w:id="2360"/>
      <w:bookmarkStart w:id="2361" w:name="_Toc59209343"/>
      <w:bookmarkEnd w:id="2361"/>
      <w:bookmarkStart w:id="2362" w:name="_Toc59113900"/>
      <w:bookmarkEnd w:id="2362"/>
      <w:bookmarkStart w:id="2363" w:name="_Toc59113465"/>
      <w:bookmarkEnd w:id="2363"/>
      <w:bookmarkStart w:id="2364" w:name="_Toc59113477"/>
      <w:bookmarkEnd w:id="2364"/>
      <w:bookmarkStart w:id="2365" w:name="_Toc58320361"/>
      <w:bookmarkEnd w:id="2365"/>
      <w:bookmarkStart w:id="2366" w:name="_Toc59113469"/>
      <w:bookmarkEnd w:id="2366"/>
      <w:bookmarkStart w:id="2367" w:name="_Toc58861842"/>
      <w:bookmarkEnd w:id="2367"/>
      <w:bookmarkStart w:id="2368" w:name="_Toc58320109"/>
      <w:bookmarkEnd w:id="2368"/>
      <w:bookmarkStart w:id="2369" w:name="_Toc59017379"/>
      <w:bookmarkEnd w:id="2369"/>
      <w:bookmarkStart w:id="2370" w:name="_Toc58862103"/>
      <w:bookmarkEnd w:id="2370"/>
      <w:bookmarkStart w:id="2371" w:name="_Toc58320112"/>
      <w:bookmarkEnd w:id="2371"/>
      <w:bookmarkStart w:id="2372" w:name="_Toc58858097"/>
      <w:bookmarkEnd w:id="2372"/>
      <w:bookmarkStart w:id="2373" w:name="_Toc59630371"/>
      <w:bookmarkEnd w:id="2373"/>
      <w:bookmarkStart w:id="2374" w:name="_Toc59117085"/>
      <w:bookmarkEnd w:id="2374"/>
      <w:bookmarkStart w:id="2375" w:name="_Toc59114855"/>
      <w:bookmarkEnd w:id="2375"/>
      <w:bookmarkStart w:id="2376" w:name="_Toc59017047"/>
      <w:bookmarkEnd w:id="2376"/>
      <w:bookmarkStart w:id="2377" w:name="_Toc59204083"/>
      <w:bookmarkEnd w:id="2377"/>
      <w:bookmarkStart w:id="2378" w:name="_Toc59630378"/>
      <w:bookmarkEnd w:id="2378"/>
      <w:bookmarkStart w:id="2379" w:name="_Toc58320367"/>
      <w:bookmarkEnd w:id="2379"/>
      <w:bookmarkStart w:id="2380" w:name="_Toc59017376"/>
      <w:bookmarkEnd w:id="2380"/>
      <w:bookmarkStart w:id="2381" w:name="_Toc59204085"/>
      <w:bookmarkEnd w:id="2381"/>
      <w:bookmarkStart w:id="2382" w:name="_Toc59542946"/>
      <w:bookmarkEnd w:id="2382"/>
      <w:bookmarkStart w:id="2383" w:name="_Toc59546242"/>
      <w:bookmarkEnd w:id="2383"/>
      <w:bookmarkStart w:id="2384" w:name="_Toc58862120"/>
      <w:bookmarkEnd w:id="2384"/>
      <w:bookmarkStart w:id="2385" w:name="_Toc59546238"/>
      <w:bookmarkEnd w:id="2385"/>
      <w:bookmarkStart w:id="2386" w:name="_Toc59017401"/>
      <w:bookmarkEnd w:id="2386"/>
      <w:bookmarkStart w:id="2387" w:name="_Toc59114885"/>
      <w:bookmarkEnd w:id="2387"/>
      <w:bookmarkStart w:id="2388" w:name="_Toc59017395"/>
      <w:bookmarkEnd w:id="2388"/>
      <w:bookmarkStart w:id="2389" w:name="_Toc59716940"/>
      <w:bookmarkEnd w:id="2389"/>
      <w:bookmarkStart w:id="2390" w:name="_Toc58862101"/>
      <w:bookmarkEnd w:id="2390"/>
      <w:bookmarkStart w:id="2391" w:name="_Toc59716923"/>
      <w:bookmarkEnd w:id="2391"/>
      <w:bookmarkStart w:id="2392" w:name="_Toc58861821"/>
      <w:bookmarkEnd w:id="2392"/>
      <w:bookmarkStart w:id="2393" w:name="_Toc59716922"/>
      <w:bookmarkEnd w:id="2393"/>
      <w:bookmarkStart w:id="2394" w:name="_Toc59114871"/>
      <w:bookmarkEnd w:id="2394"/>
      <w:bookmarkStart w:id="2395" w:name="_Toc59209370"/>
      <w:bookmarkEnd w:id="2395"/>
      <w:bookmarkStart w:id="2396" w:name="_Toc58320092"/>
      <w:bookmarkEnd w:id="2396"/>
      <w:bookmarkStart w:id="2397" w:name="_Toc59114873"/>
      <w:bookmarkEnd w:id="2397"/>
      <w:bookmarkStart w:id="2398" w:name="_Toc59021572"/>
      <w:bookmarkEnd w:id="2398"/>
      <w:bookmarkStart w:id="2399" w:name="_Toc58858064"/>
      <w:bookmarkEnd w:id="2399"/>
      <w:bookmarkStart w:id="2400" w:name="_Toc59631333"/>
      <w:bookmarkEnd w:id="2400"/>
      <w:bookmarkStart w:id="2401" w:name="_Toc59113482"/>
      <w:bookmarkEnd w:id="2401"/>
      <w:bookmarkStart w:id="2402" w:name="_Toc59546246"/>
      <w:bookmarkEnd w:id="2402"/>
      <w:bookmarkStart w:id="2403" w:name="_Toc59117059"/>
      <w:bookmarkEnd w:id="2403"/>
      <w:bookmarkStart w:id="2404" w:name="_Toc59631338"/>
      <w:bookmarkEnd w:id="2404"/>
      <w:bookmarkStart w:id="2405" w:name="_Toc58320123"/>
      <w:bookmarkEnd w:id="2405"/>
      <w:bookmarkStart w:id="2406" w:name="_Toc59546254"/>
      <w:bookmarkEnd w:id="2406"/>
      <w:bookmarkStart w:id="2407" w:name="_Toc59542984"/>
      <w:bookmarkEnd w:id="2407"/>
      <w:bookmarkStart w:id="2408" w:name="_Toc59113479"/>
      <w:bookmarkEnd w:id="2408"/>
      <w:bookmarkStart w:id="2409" w:name="_Toc58861823"/>
      <w:bookmarkEnd w:id="2409"/>
      <w:bookmarkStart w:id="2410" w:name="_Toc59542989"/>
      <w:bookmarkEnd w:id="2410"/>
      <w:bookmarkStart w:id="2411" w:name="_Toc59114870"/>
      <w:bookmarkEnd w:id="2411"/>
      <w:bookmarkStart w:id="2412" w:name="_Toc58320368"/>
      <w:bookmarkEnd w:id="2412"/>
      <w:bookmarkStart w:id="2413" w:name="_Toc58858092"/>
      <w:bookmarkEnd w:id="2413"/>
      <w:bookmarkStart w:id="2414" w:name="_Toc58320370"/>
      <w:bookmarkEnd w:id="2414"/>
      <w:bookmarkStart w:id="2415" w:name="_Toc58320084"/>
      <w:bookmarkEnd w:id="2415"/>
      <w:bookmarkStart w:id="2416" w:name="_Toc59542986"/>
      <w:bookmarkEnd w:id="2416"/>
      <w:bookmarkStart w:id="2417" w:name="_Toc59716921"/>
      <w:bookmarkEnd w:id="2417"/>
      <w:bookmarkStart w:id="2418" w:name="_Toc58858083"/>
      <w:bookmarkEnd w:id="2418"/>
      <w:bookmarkStart w:id="2419" w:name="_Toc59113480"/>
      <w:bookmarkEnd w:id="2419"/>
      <w:bookmarkStart w:id="2420" w:name="_Toc59630375"/>
      <w:bookmarkEnd w:id="2420"/>
      <w:bookmarkStart w:id="2421" w:name="_Toc59204084"/>
      <w:bookmarkEnd w:id="2421"/>
      <w:bookmarkStart w:id="2422" w:name="_Toc58861828"/>
      <w:bookmarkEnd w:id="2422"/>
      <w:bookmarkStart w:id="2423" w:name="_Toc59542992"/>
      <w:bookmarkEnd w:id="2423"/>
      <w:bookmarkStart w:id="2424" w:name="_Toc58320113"/>
      <w:bookmarkEnd w:id="2424"/>
      <w:bookmarkStart w:id="2425" w:name="_Toc59546257"/>
      <w:bookmarkEnd w:id="2425"/>
      <w:bookmarkStart w:id="2426" w:name="_Toc59114883"/>
      <w:bookmarkEnd w:id="2426"/>
      <w:bookmarkStart w:id="2427" w:name="_Toc59117070"/>
      <w:bookmarkEnd w:id="2427"/>
      <w:bookmarkStart w:id="2428" w:name="_Toc59630372"/>
      <w:bookmarkEnd w:id="2428"/>
      <w:bookmarkStart w:id="2429" w:name="_Toc59117066"/>
      <w:bookmarkEnd w:id="2429"/>
      <w:bookmarkStart w:id="2430" w:name="_Toc59017398"/>
      <w:bookmarkEnd w:id="2430"/>
      <w:bookmarkStart w:id="2431" w:name="_Toc59113481"/>
      <w:bookmarkEnd w:id="2431"/>
      <w:bookmarkStart w:id="2432" w:name="_Toc59021586"/>
      <w:bookmarkEnd w:id="2432"/>
      <w:bookmarkStart w:id="2433" w:name="_Toc59021584"/>
      <w:bookmarkEnd w:id="2433"/>
      <w:bookmarkStart w:id="2434" w:name="_Toc59209374"/>
      <w:bookmarkEnd w:id="2434"/>
      <w:bookmarkStart w:id="2435" w:name="_Toc58858079"/>
      <w:bookmarkEnd w:id="2435"/>
      <w:bookmarkStart w:id="2436" w:name="_Toc59209354"/>
      <w:bookmarkEnd w:id="2436"/>
      <w:bookmarkStart w:id="2437" w:name="_Toc59716895"/>
      <w:bookmarkEnd w:id="2437"/>
      <w:bookmarkStart w:id="2438" w:name="_Toc59114886"/>
      <w:bookmarkEnd w:id="2438"/>
      <w:bookmarkStart w:id="2439" w:name="_Toc59542971"/>
      <w:bookmarkEnd w:id="2439"/>
      <w:bookmarkStart w:id="2440" w:name="_Toc59113893"/>
      <w:bookmarkEnd w:id="2440"/>
      <w:bookmarkStart w:id="2441" w:name="_Toc59209371"/>
      <w:bookmarkEnd w:id="2441"/>
      <w:bookmarkStart w:id="2442" w:name="_Toc58858081"/>
      <w:bookmarkEnd w:id="2442"/>
      <w:bookmarkStart w:id="2443" w:name="_Toc58320374"/>
      <w:bookmarkEnd w:id="2443"/>
      <w:bookmarkStart w:id="2444" w:name="_Toc59113909"/>
      <w:bookmarkEnd w:id="2444"/>
      <w:bookmarkStart w:id="2445" w:name="_Toc59716942"/>
      <w:bookmarkEnd w:id="2445"/>
      <w:bookmarkStart w:id="2446" w:name="_Toc59117090"/>
      <w:bookmarkEnd w:id="2446"/>
      <w:bookmarkStart w:id="2447" w:name="_Toc59017390"/>
      <w:bookmarkEnd w:id="2447"/>
      <w:bookmarkStart w:id="2448" w:name="_Toc59017079"/>
      <w:bookmarkEnd w:id="2448"/>
      <w:bookmarkStart w:id="2449" w:name="_Toc59631319"/>
      <w:bookmarkEnd w:id="2449"/>
      <w:bookmarkStart w:id="2450" w:name="_Toc59630356"/>
      <w:bookmarkEnd w:id="2450"/>
      <w:bookmarkStart w:id="2451" w:name="_Toc59631349"/>
      <w:bookmarkEnd w:id="2451"/>
      <w:bookmarkStart w:id="2452" w:name="_Toc59542976"/>
      <w:bookmarkEnd w:id="2452"/>
      <w:bookmarkStart w:id="2453" w:name="_Toc59209369"/>
      <w:bookmarkEnd w:id="2453"/>
      <w:bookmarkStart w:id="2454" w:name="_Toc59017396"/>
      <w:bookmarkEnd w:id="2454"/>
      <w:bookmarkStart w:id="2455" w:name="_Toc59630376"/>
      <w:bookmarkEnd w:id="2455"/>
      <w:bookmarkStart w:id="2456" w:name="_Toc58858090"/>
      <w:bookmarkEnd w:id="2456"/>
      <w:bookmarkStart w:id="2457" w:name="_Toc59017067"/>
      <w:bookmarkEnd w:id="2457"/>
      <w:bookmarkStart w:id="2458" w:name="_Toc59204075"/>
      <w:bookmarkEnd w:id="2458"/>
      <w:bookmarkStart w:id="2459" w:name="_Toc59017381"/>
      <w:bookmarkEnd w:id="2459"/>
      <w:bookmarkStart w:id="2460" w:name="_Toc59114884"/>
      <w:bookmarkEnd w:id="2460"/>
      <w:bookmarkStart w:id="2461" w:name="_Toc59209377"/>
      <w:bookmarkEnd w:id="2461"/>
      <w:bookmarkStart w:id="2462" w:name="_Toc59631353"/>
      <w:bookmarkEnd w:id="2462"/>
      <w:bookmarkStart w:id="2463" w:name="_Toc58861865"/>
      <w:bookmarkEnd w:id="2463"/>
      <w:bookmarkStart w:id="2464" w:name="_Toc58320115"/>
      <w:bookmarkEnd w:id="2464"/>
      <w:bookmarkStart w:id="2465" w:name="_Toc59209376"/>
      <w:bookmarkEnd w:id="2465"/>
      <w:bookmarkStart w:id="2466" w:name="_Toc59546259"/>
      <w:bookmarkEnd w:id="2466"/>
      <w:bookmarkStart w:id="2467" w:name="_Toc59542985"/>
      <w:bookmarkEnd w:id="2467"/>
      <w:bookmarkStart w:id="2468" w:name="_Toc58862114"/>
      <w:bookmarkEnd w:id="2468"/>
      <w:bookmarkStart w:id="2469" w:name="_Toc58861859"/>
      <w:bookmarkEnd w:id="2469"/>
      <w:bookmarkStart w:id="2470" w:name="_Toc59117068"/>
      <w:bookmarkEnd w:id="2470"/>
      <w:bookmarkStart w:id="2471" w:name="_Toc59117086"/>
      <w:bookmarkEnd w:id="2471"/>
      <w:bookmarkStart w:id="2472" w:name="_Toc58320129"/>
      <w:bookmarkEnd w:id="2472"/>
      <w:bookmarkStart w:id="2473" w:name="_Toc59631344"/>
      <w:bookmarkEnd w:id="2473"/>
      <w:bookmarkStart w:id="2474" w:name="_Toc59716938"/>
      <w:bookmarkEnd w:id="2474"/>
      <w:bookmarkStart w:id="2475" w:name="_Toc59113471"/>
      <w:bookmarkEnd w:id="2475"/>
      <w:bookmarkStart w:id="2476" w:name="_Toc59542994"/>
      <w:bookmarkEnd w:id="2476"/>
      <w:bookmarkStart w:id="2477" w:name="_Toc58861864"/>
      <w:bookmarkEnd w:id="2477"/>
      <w:bookmarkStart w:id="2478" w:name="_Toc58320379"/>
      <w:bookmarkEnd w:id="2478"/>
      <w:bookmarkStart w:id="2479" w:name="_Toc59113912"/>
      <w:bookmarkEnd w:id="2479"/>
      <w:bookmarkStart w:id="2480" w:name="_Toc59204087"/>
      <w:bookmarkEnd w:id="2480"/>
      <w:bookmarkStart w:id="2481" w:name="_Toc59631350"/>
      <w:bookmarkEnd w:id="2481"/>
      <w:bookmarkStart w:id="2482" w:name="_Toc59209362"/>
      <w:bookmarkEnd w:id="2482"/>
      <w:bookmarkStart w:id="2483" w:name="_Toc58862126"/>
      <w:bookmarkEnd w:id="2483"/>
      <w:bookmarkStart w:id="2484" w:name="_Toc58862124"/>
      <w:bookmarkEnd w:id="2484"/>
      <w:bookmarkStart w:id="2485" w:name="_Toc58861857"/>
      <w:bookmarkEnd w:id="2485"/>
      <w:bookmarkStart w:id="2486" w:name="_Toc58320373"/>
      <w:bookmarkEnd w:id="2486"/>
      <w:bookmarkStart w:id="2487" w:name="_Toc59204093"/>
      <w:bookmarkEnd w:id="2487"/>
      <w:bookmarkStart w:id="2488" w:name="_Toc59021585"/>
      <w:bookmarkEnd w:id="2488"/>
      <w:bookmarkStart w:id="2489" w:name="_Toc59017090"/>
      <w:bookmarkEnd w:id="2489"/>
      <w:bookmarkStart w:id="2490" w:name="_Toc59114893"/>
      <w:bookmarkEnd w:id="2490"/>
      <w:bookmarkStart w:id="2491" w:name="_Toc59021583"/>
      <w:bookmarkEnd w:id="2491"/>
      <w:bookmarkStart w:id="2492" w:name="_Toc58861848"/>
      <w:bookmarkEnd w:id="2492"/>
      <w:bookmarkStart w:id="2493" w:name="_Toc59021594"/>
      <w:bookmarkEnd w:id="2493"/>
      <w:bookmarkStart w:id="2494" w:name="_Toc59017402"/>
      <w:bookmarkEnd w:id="2494"/>
      <w:bookmarkStart w:id="2495" w:name="_Toc59021587"/>
      <w:bookmarkEnd w:id="2495"/>
      <w:bookmarkStart w:id="2496" w:name="_Toc59017083"/>
      <w:bookmarkEnd w:id="2496"/>
      <w:bookmarkStart w:id="2497" w:name="_Toc58320372"/>
      <w:bookmarkEnd w:id="2497"/>
      <w:bookmarkStart w:id="2498" w:name="_Toc59114887"/>
      <w:bookmarkEnd w:id="2498"/>
      <w:bookmarkStart w:id="2499" w:name="_Toc59117072"/>
      <w:bookmarkEnd w:id="2499"/>
      <w:bookmarkStart w:id="2500" w:name="_Toc59114888"/>
      <w:bookmarkEnd w:id="2500"/>
      <w:bookmarkStart w:id="2501" w:name="_Toc59542977"/>
      <w:bookmarkEnd w:id="2501"/>
      <w:bookmarkStart w:id="2502" w:name="_Toc58861856"/>
      <w:bookmarkEnd w:id="2502"/>
      <w:bookmarkStart w:id="2503" w:name="_Toc59716935"/>
      <w:bookmarkEnd w:id="2503"/>
      <w:bookmarkStart w:id="2504" w:name="_Toc59117091"/>
      <w:bookmarkEnd w:id="2504"/>
      <w:bookmarkStart w:id="2505" w:name="_Toc58320130"/>
      <w:bookmarkEnd w:id="2505"/>
      <w:bookmarkStart w:id="2506" w:name="_Toc59716946"/>
      <w:bookmarkEnd w:id="2506"/>
      <w:bookmarkStart w:id="2507" w:name="_Toc59117088"/>
      <w:bookmarkEnd w:id="2507"/>
      <w:bookmarkStart w:id="2508" w:name="_Toc59631347"/>
      <w:bookmarkEnd w:id="2508"/>
      <w:bookmarkStart w:id="2509" w:name="_Toc59017076"/>
      <w:bookmarkEnd w:id="2509"/>
      <w:bookmarkStart w:id="2510" w:name="_Toc58320132"/>
      <w:bookmarkEnd w:id="2510"/>
      <w:bookmarkStart w:id="2511" w:name="_Toc59017082"/>
      <w:bookmarkEnd w:id="2511"/>
      <w:bookmarkStart w:id="2512" w:name="_Toc58320117"/>
      <w:bookmarkEnd w:id="2512"/>
      <w:bookmarkStart w:id="2513" w:name="_Toc58320142"/>
      <w:bookmarkEnd w:id="2513"/>
      <w:bookmarkStart w:id="2514" w:name="_Toc59117082"/>
      <w:bookmarkEnd w:id="2514"/>
      <w:bookmarkStart w:id="2515" w:name="_Toc59716950"/>
      <w:bookmarkEnd w:id="2515"/>
      <w:bookmarkStart w:id="2516" w:name="_Toc59630385"/>
      <w:bookmarkEnd w:id="2516"/>
      <w:bookmarkStart w:id="2517" w:name="_Toc59204100"/>
      <w:bookmarkEnd w:id="2517"/>
      <w:bookmarkStart w:id="2518" w:name="_Toc59542995"/>
      <w:bookmarkEnd w:id="2518"/>
      <w:bookmarkStart w:id="2519" w:name="_Toc59209381"/>
      <w:bookmarkEnd w:id="2519"/>
      <w:bookmarkStart w:id="2520" w:name="_Toc59113918"/>
      <w:bookmarkEnd w:id="2520"/>
      <w:bookmarkStart w:id="2521" w:name="_Toc58861869"/>
      <w:bookmarkEnd w:id="2521"/>
      <w:bookmarkStart w:id="2522" w:name="_Toc58858104"/>
      <w:bookmarkEnd w:id="2522"/>
      <w:bookmarkStart w:id="2523" w:name="_Toc58861866"/>
      <w:bookmarkEnd w:id="2523"/>
      <w:bookmarkStart w:id="2524" w:name="_Toc59017092"/>
      <w:bookmarkEnd w:id="2524"/>
      <w:bookmarkStart w:id="2525" w:name="_Toc59017407"/>
      <w:bookmarkEnd w:id="2525"/>
      <w:bookmarkStart w:id="2526" w:name="_Toc59209380"/>
      <w:bookmarkEnd w:id="2526"/>
      <w:bookmarkStart w:id="2527" w:name="_Toc59017399"/>
      <w:bookmarkEnd w:id="2527"/>
      <w:bookmarkStart w:id="2528" w:name="_Toc59017091"/>
      <w:bookmarkEnd w:id="2528"/>
      <w:bookmarkStart w:id="2529" w:name="_Toc59542991"/>
      <w:bookmarkEnd w:id="2529"/>
      <w:bookmarkStart w:id="2530" w:name="_Toc59113922"/>
      <w:bookmarkEnd w:id="2530"/>
      <w:bookmarkStart w:id="2531" w:name="_Toc59630387"/>
      <w:bookmarkEnd w:id="2531"/>
      <w:bookmarkStart w:id="2532" w:name="_Toc58862130"/>
      <w:bookmarkEnd w:id="2532"/>
      <w:bookmarkStart w:id="2533" w:name="_Toc59113492"/>
      <w:bookmarkEnd w:id="2533"/>
      <w:bookmarkStart w:id="2534" w:name="_Toc59113483"/>
      <w:bookmarkEnd w:id="2534"/>
      <w:bookmarkStart w:id="2535" w:name="_Toc59117095"/>
      <w:bookmarkEnd w:id="2535"/>
      <w:bookmarkStart w:id="2536" w:name="_Toc58320137"/>
      <w:bookmarkEnd w:id="2536"/>
      <w:bookmarkStart w:id="2537" w:name="_Toc59114899"/>
      <w:bookmarkEnd w:id="2537"/>
      <w:bookmarkStart w:id="2538" w:name="_Toc59113497"/>
      <w:bookmarkEnd w:id="2538"/>
      <w:bookmarkStart w:id="2539" w:name="_Toc59631336"/>
      <w:bookmarkEnd w:id="2539"/>
      <w:bookmarkStart w:id="2540" w:name="_Toc59113916"/>
      <w:bookmarkEnd w:id="2540"/>
      <w:bookmarkStart w:id="2541" w:name="_Toc59716949"/>
      <w:bookmarkEnd w:id="2541"/>
      <w:bookmarkStart w:id="2542" w:name="_Toc59113920"/>
      <w:bookmarkEnd w:id="2542"/>
      <w:bookmarkStart w:id="2543" w:name="_Toc59113924"/>
      <w:bookmarkEnd w:id="2543"/>
      <w:bookmarkStart w:id="2544" w:name="_Toc58862116"/>
      <w:bookmarkEnd w:id="2544"/>
      <w:bookmarkStart w:id="2545" w:name="_Toc59630383"/>
      <w:bookmarkEnd w:id="2545"/>
      <w:bookmarkStart w:id="2546" w:name="_Toc59631360"/>
      <w:bookmarkEnd w:id="2546"/>
      <w:bookmarkStart w:id="2547" w:name="_Toc59209378"/>
      <w:bookmarkEnd w:id="2547"/>
      <w:bookmarkStart w:id="2548" w:name="_Toc59716948"/>
      <w:bookmarkEnd w:id="2548"/>
      <w:bookmarkStart w:id="2549" w:name="_Toc59017087"/>
      <w:bookmarkEnd w:id="2549"/>
      <w:bookmarkStart w:id="2550" w:name="_Toc59716951"/>
      <w:bookmarkEnd w:id="2550"/>
      <w:bookmarkStart w:id="2551" w:name="_Toc59113928"/>
      <w:bookmarkEnd w:id="2551"/>
      <w:bookmarkStart w:id="2552" w:name="_Toc59114895"/>
      <w:bookmarkEnd w:id="2552"/>
      <w:bookmarkStart w:id="2553" w:name="_Toc59113926"/>
      <w:bookmarkEnd w:id="2553"/>
      <w:bookmarkStart w:id="2554" w:name="_Toc59209384"/>
      <w:bookmarkEnd w:id="2554"/>
      <w:bookmarkStart w:id="2555" w:name="_Toc59630381"/>
      <w:bookmarkEnd w:id="2555"/>
      <w:bookmarkStart w:id="2556" w:name="_Toc59631355"/>
      <w:bookmarkEnd w:id="2556"/>
      <w:bookmarkStart w:id="2557" w:name="_Toc59209382"/>
      <w:bookmarkEnd w:id="2557"/>
      <w:bookmarkStart w:id="2558" w:name="_Toc59716939"/>
      <w:bookmarkEnd w:id="2558"/>
      <w:bookmarkStart w:id="2559" w:name="_Toc58320131"/>
      <w:bookmarkEnd w:id="2559"/>
      <w:bookmarkStart w:id="2560" w:name="_Toc59630384"/>
      <w:bookmarkEnd w:id="2560"/>
      <w:bookmarkStart w:id="2561" w:name="_Toc59631354"/>
      <w:bookmarkEnd w:id="2561"/>
      <w:bookmarkStart w:id="2562" w:name="_Toc59021596"/>
      <w:bookmarkEnd w:id="2562"/>
      <w:bookmarkStart w:id="2563" w:name="_Toc59209375"/>
      <w:bookmarkEnd w:id="2563"/>
      <w:bookmarkStart w:id="2564" w:name="_Toc59114894"/>
      <w:bookmarkEnd w:id="2564"/>
      <w:bookmarkStart w:id="2565" w:name="_Toc58320135"/>
      <w:bookmarkEnd w:id="2565"/>
      <w:bookmarkStart w:id="2566" w:name="_Toc59114896"/>
      <w:bookmarkEnd w:id="2566"/>
      <w:bookmarkStart w:id="2567" w:name="_Toc58320140"/>
      <w:bookmarkEnd w:id="2567"/>
      <w:bookmarkStart w:id="2568" w:name="_Toc59630379"/>
      <w:bookmarkEnd w:id="2568"/>
      <w:bookmarkStart w:id="2569" w:name="_Toc59017081"/>
      <w:bookmarkEnd w:id="2569"/>
      <w:bookmarkStart w:id="2570" w:name="_Toc58858108"/>
      <w:bookmarkEnd w:id="2570"/>
      <w:bookmarkStart w:id="2571" w:name="_Toc58861867"/>
      <w:bookmarkEnd w:id="2571"/>
      <w:bookmarkStart w:id="2572" w:name="_Toc58320138"/>
      <w:bookmarkEnd w:id="2572"/>
      <w:bookmarkStart w:id="2573" w:name="_Toc58858101"/>
      <w:bookmarkEnd w:id="2573"/>
      <w:bookmarkStart w:id="2574" w:name="_Toc59114898"/>
      <w:bookmarkEnd w:id="2574"/>
      <w:bookmarkStart w:id="2575" w:name="_Toc59021595"/>
      <w:bookmarkEnd w:id="2575"/>
      <w:bookmarkStart w:id="2576" w:name="_Toc58320133"/>
      <w:bookmarkEnd w:id="2576"/>
      <w:bookmarkStart w:id="2577" w:name="_Toc58320384"/>
      <w:bookmarkEnd w:id="2577"/>
      <w:bookmarkStart w:id="2578" w:name="_Toc59716941"/>
      <w:bookmarkEnd w:id="2578"/>
      <w:bookmarkStart w:id="2579" w:name="_Toc59546263"/>
      <w:bookmarkEnd w:id="2579"/>
      <w:bookmarkStart w:id="2580" w:name="_Toc58320377"/>
      <w:bookmarkEnd w:id="2580"/>
      <w:bookmarkStart w:id="2581" w:name="_Toc59113489"/>
      <w:bookmarkEnd w:id="2581"/>
      <w:bookmarkStart w:id="2582" w:name="_Toc59117099"/>
      <w:bookmarkEnd w:id="2582"/>
      <w:bookmarkStart w:id="2583" w:name="_Toc59546272"/>
      <w:bookmarkEnd w:id="2583"/>
      <w:bookmarkStart w:id="2584" w:name="_Toc59204098"/>
      <w:bookmarkEnd w:id="2584"/>
      <w:bookmarkStart w:id="2585" w:name="_Toc59113921"/>
      <w:bookmarkEnd w:id="2585"/>
      <w:bookmarkStart w:id="2586" w:name="_Toc59209386"/>
      <w:bookmarkEnd w:id="2586"/>
      <w:bookmarkStart w:id="2587" w:name="_Toc59017094"/>
      <w:bookmarkEnd w:id="2587"/>
      <w:bookmarkStart w:id="2588" w:name="_Toc58858107"/>
      <w:bookmarkEnd w:id="2588"/>
      <w:bookmarkStart w:id="2589" w:name="_Toc58320381"/>
      <w:bookmarkEnd w:id="2589"/>
      <w:bookmarkStart w:id="2590" w:name="_Toc59546262"/>
      <w:bookmarkEnd w:id="2590"/>
      <w:bookmarkStart w:id="2591" w:name="_Toc59204091"/>
      <w:bookmarkEnd w:id="2591"/>
      <w:bookmarkStart w:id="2592" w:name="_Toc58861871"/>
      <w:bookmarkEnd w:id="2592"/>
      <w:bookmarkStart w:id="2593" w:name="_Toc59017403"/>
      <w:bookmarkEnd w:id="2593"/>
      <w:bookmarkStart w:id="2594" w:name="_Toc59114892"/>
      <w:bookmarkEnd w:id="2594"/>
      <w:bookmarkStart w:id="2595" w:name="_Toc59631358"/>
      <w:bookmarkEnd w:id="2595"/>
      <w:bookmarkStart w:id="2596" w:name="_Toc59204094"/>
      <w:bookmarkEnd w:id="2596"/>
      <w:bookmarkStart w:id="2597" w:name="_Toc58320134"/>
      <w:bookmarkEnd w:id="2597"/>
      <w:bookmarkStart w:id="2598" w:name="_Toc59113493"/>
      <w:bookmarkEnd w:id="2598"/>
      <w:bookmarkStart w:id="2599" w:name="_Toc59716945"/>
      <w:bookmarkEnd w:id="2599"/>
      <w:bookmarkStart w:id="2600" w:name="_Toc59021593"/>
      <w:bookmarkEnd w:id="2600"/>
      <w:bookmarkStart w:id="2601" w:name="_Toc59546269"/>
      <w:bookmarkEnd w:id="2601"/>
      <w:bookmarkStart w:id="2602" w:name="_Toc58858105"/>
      <w:bookmarkEnd w:id="2602"/>
      <w:bookmarkStart w:id="2603" w:name="_Toc59113487"/>
      <w:bookmarkEnd w:id="2603"/>
      <w:bookmarkStart w:id="2604" w:name="_Toc59017408"/>
      <w:bookmarkEnd w:id="2604"/>
      <w:bookmarkStart w:id="2605" w:name="_Toc59021600"/>
      <w:bookmarkEnd w:id="2605"/>
      <w:bookmarkStart w:id="2606" w:name="_Toc59021598"/>
      <w:bookmarkEnd w:id="2606"/>
      <w:bookmarkStart w:id="2607" w:name="_Toc59542997"/>
      <w:bookmarkEnd w:id="2607"/>
      <w:bookmarkStart w:id="2608" w:name="_Toc59204097"/>
      <w:bookmarkEnd w:id="2608"/>
      <w:bookmarkStart w:id="2609" w:name="_Toc58862129"/>
      <w:bookmarkEnd w:id="2609"/>
      <w:bookmarkStart w:id="2610" w:name="_Toc59716956"/>
      <w:bookmarkEnd w:id="2610"/>
      <w:bookmarkStart w:id="2611" w:name="_Toc59113927"/>
      <w:bookmarkEnd w:id="2611"/>
      <w:bookmarkStart w:id="2612" w:name="_Toc59204101"/>
      <w:bookmarkEnd w:id="2612"/>
      <w:bookmarkStart w:id="2613" w:name="_Toc59017093"/>
      <w:bookmarkEnd w:id="2613"/>
      <w:bookmarkStart w:id="2614" w:name="_Toc58862131"/>
      <w:bookmarkEnd w:id="2614"/>
      <w:bookmarkStart w:id="2615" w:name="_Toc59209387"/>
      <w:bookmarkEnd w:id="2615"/>
      <w:bookmarkStart w:id="2616" w:name="_Toc59114900"/>
      <w:bookmarkEnd w:id="2616"/>
      <w:bookmarkStart w:id="2617" w:name="_Toc58858102"/>
      <w:bookmarkEnd w:id="2617"/>
      <w:bookmarkStart w:id="2618" w:name="_Toc59017089"/>
      <w:bookmarkEnd w:id="2618"/>
      <w:bookmarkStart w:id="2619" w:name="_Toc59113925"/>
      <w:bookmarkEnd w:id="2619"/>
      <w:bookmarkStart w:id="2620" w:name="_Toc59113495"/>
      <w:bookmarkEnd w:id="2620"/>
      <w:bookmarkStart w:id="2621" w:name="_Toc59114901"/>
      <w:bookmarkEnd w:id="2621"/>
      <w:bookmarkStart w:id="2622" w:name="_Toc59543001"/>
      <w:bookmarkEnd w:id="2622"/>
      <w:bookmarkStart w:id="2623" w:name="_Toc59113490"/>
      <w:bookmarkEnd w:id="2623"/>
      <w:bookmarkStart w:id="2624" w:name="_Toc59117101"/>
      <w:bookmarkEnd w:id="2624"/>
      <w:bookmarkStart w:id="2625" w:name="_Toc59631362"/>
      <w:bookmarkEnd w:id="2625"/>
      <w:bookmarkStart w:id="2626" w:name="_Toc59543002"/>
      <w:bookmarkEnd w:id="2626"/>
      <w:bookmarkStart w:id="2627" w:name="_Toc58861868"/>
      <w:bookmarkEnd w:id="2627"/>
      <w:bookmarkStart w:id="2628" w:name="_Toc59114890"/>
      <w:bookmarkEnd w:id="2628"/>
      <w:bookmarkStart w:id="2629" w:name="_Toc59631361"/>
      <w:bookmarkEnd w:id="2629"/>
      <w:bookmarkStart w:id="2630" w:name="_Toc59543000"/>
      <w:bookmarkEnd w:id="2630"/>
      <w:bookmarkStart w:id="2631" w:name="_Toc59542996"/>
      <w:bookmarkEnd w:id="2631"/>
      <w:bookmarkStart w:id="2632" w:name="_Toc59546270"/>
      <w:bookmarkEnd w:id="2632"/>
      <w:bookmarkStart w:id="2633" w:name="_Toc59631363"/>
      <w:bookmarkEnd w:id="2633"/>
      <w:bookmarkStart w:id="2634" w:name="_Toc59017404"/>
      <w:bookmarkEnd w:id="2634"/>
      <w:bookmarkStart w:id="2635" w:name="_Toc59021597"/>
      <w:bookmarkEnd w:id="2635"/>
      <w:bookmarkStart w:id="2636" w:name="_Toc59021601"/>
      <w:bookmarkEnd w:id="2636"/>
      <w:bookmarkStart w:id="2637" w:name="_Toc59017409"/>
      <w:bookmarkEnd w:id="2637"/>
      <w:bookmarkStart w:id="2638" w:name="_Toc59021590"/>
      <w:bookmarkEnd w:id="2638"/>
      <w:bookmarkStart w:id="2639" w:name="_Toc59114902"/>
      <w:bookmarkEnd w:id="2639"/>
      <w:bookmarkStart w:id="2640" w:name="_Toc59716947"/>
      <w:bookmarkEnd w:id="2640"/>
      <w:bookmarkStart w:id="2641" w:name="_Toc59209385"/>
      <w:bookmarkEnd w:id="2641"/>
      <w:bookmarkStart w:id="2642" w:name="_Toc58320141"/>
      <w:bookmarkEnd w:id="2642"/>
      <w:bookmarkStart w:id="2643" w:name="_Toc59113494"/>
      <w:bookmarkEnd w:id="2643"/>
      <w:bookmarkStart w:id="2644" w:name="_Toc59630389"/>
      <w:bookmarkEnd w:id="2644"/>
      <w:bookmarkStart w:id="2645" w:name="_Toc58858106"/>
      <w:bookmarkEnd w:id="2645"/>
      <w:bookmarkStart w:id="2646" w:name="_Toc59542999"/>
      <w:bookmarkEnd w:id="2646"/>
      <w:bookmarkStart w:id="2647" w:name="_Toc59542860"/>
      <w:bookmarkEnd w:id="2647"/>
      <w:bookmarkStart w:id="2648" w:name="_Toc58858103"/>
      <w:bookmarkEnd w:id="2648"/>
      <w:bookmarkStart w:id="2649" w:name="_Toc59117020"/>
      <w:bookmarkEnd w:id="2649"/>
      <w:bookmarkStart w:id="2650" w:name="_Toc59117100"/>
      <w:bookmarkEnd w:id="2650"/>
      <w:bookmarkStart w:id="2651" w:name="_Toc59631359"/>
      <w:bookmarkEnd w:id="2651"/>
      <w:bookmarkStart w:id="2652" w:name="_Toc59630382"/>
      <w:bookmarkEnd w:id="2652"/>
      <w:bookmarkStart w:id="2653" w:name="_Toc59716952"/>
      <w:bookmarkEnd w:id="2653"/>
      <w:bookmarkStart w:id="2654" w:name="_Toc59630390"/>
      <w:bookmarkEnd w:id="2654"/>
      <w:bookmarkStart w:id="2655" w:name="_Toc58320382"/>
      <w:bookmarkEnd w:id="2655"/>
      <w:bookmarkStart w:id="2656" w:name="_Toc58320383"/>
      <w:bookmarkEnd w:id="2656"/>
      <w:bookmarkStart w:id="2657" w:name="_Toc58861872"/>
      <w:bookmarkEnd w:id="2657"/>
      <w:bookmarkStart w:id="2658" w:name="_Toc59630386"/>
      <w:bookmarkEnd w:id="2658"/>
      <w:bookmarkStart w:id="2659" w:name="_Toc59204099"/>
      <w:bookmarkEnd w:id="2659"/>
      <w:bookmarkStart w:id="2660" w:name="_Toc58858109"/>
      <w:bookmarkEnd w:id="2660"/>
      <w:bookmarkStart w:id="2661" w:name="_Toc59630388"/>
      <w:bookmarkEnd w:id="2661"/>
      <w:bookmarkStart w:id="2662" w:name="_Toc58320385"/>
      <w:bookmarkEnd w:id="2662"/>
      <w:bookmarkStart w:id="2663" w:name="_Toc59209299"/>
      <w:bookmarkEnd w:id="2663"/>
      <w:bookmarkStart w:id="2664" w:name="_Toc58861791"/>
      <w:bookmarkEnd w:id="2664"/>
      <w:bookmarkStart w:id="2665" w:name="_Toc58858021"/>
      <w:bookmarkEnd w:id="2665"/>
      <w:bookmarkStart w:id="2666" w:name="_Toc58861994"/>
      <w:bookmarkEnd w:id="2666"/>
      <w:bookmarkStart w:id="2667" w:name="_Toc58862050"/>
      <w:bookmarkEnd w:id="2667"/>
      <w:bookmarkStart w:id="2668" w:name="_Toc59017086"/>
      <w:bookmarkEnd w:id="2668"/>
      <w:bookmarkStart w:id="2669" w:name="_Toc59542919"/>
      <w:bookmarkEnd w:id="2669"/>
      <w:bookmarkStart w:id="2670" w:name="_Toc58862132"/>
      <w:bookmarkEnd w:id="2670"/>
      <w:bookmarkStart w:id="2671" w:name="_Toc58861873"/>
      <w:bookmarkEnd w:id="2671"/>
      <w:bookmarkStart w:id="2672" w:name="_Toc59204096"/>
      <w:bookmarkEnd w:id="2672"/>
      <w:bookmarkStart w:id="2673" w:name="_Toc59017013"/>
      <w:bookmarkEnd w:id="2673"/>
      <w:bookmarkStart w:id="2674" w:name="_Toc59716944"/>
      <w:bookmarkEnd w:id="2674"/>
      <w:bookmarkStart w:id="2675" w:name="_Toc59021599"/>
      <w:bookmarkEnd w:id="2675"/>
      <w:bookmarkStart w:id="2676" w:name="_Toc59716870"/>
      <w:bookmarkEnd w:id="2676"/>
      <w:bookmarkStart w:id="2677" w:name="_Toc59021591"/>
      <w:bookmarkEnd w:id="2677"/>
      <w:bookmarkStart w:id="2678" w:name="_Toc59113496"/>
      <w:bookmarkEnd w:id="2678"/>
      <w:bookmarkStart w:id="2679" w:name="_Toc59113923"/>
      <w:bookmarkEnd w:id="2679"/>
      <w:bookmarkStart w:id="2680" w:name="_Toc59631244"/>
      <w:bookmarkEnd w:id="2680"/>
      <w:bookmarkStart w:id="2681" w:name="_Toc58861793"/>
      <w:bookmarkEnd w:id="2681"/>
      <w:bookmarkStart w:id="2682" w:name="_Toc58320299"/>
      <w:bookmarkEnd w:id="2682"/>
      <w:bookmarkStart w:id="2683" w:name="_Toc59117098"/>
      <w:bookmarkEnd w:id="2683"/>
      <w:bookmarkStart w:id="2684" w:name="_Toc59017405"/>
      <w:bookmarkEnd w:id="2684"/>
      <w:bookmarkStart w:id="2685" w:name="_Toc59209383"/>
      <w:bookmarkEnd w:id="2685"/>
      <w:bookmarkStart w:id="2686" w:name="_Toc59546268"/>
      <w:bookmarkEnd w:id="2686"/>
      <w:bookmarkStart w:id="2687" w:name="_Toc58320136"/>
      <w:bookmarkEnd w:id="2687"/>
      <w:bookmarkStart w:id="2688" w:name="_Toc59716868"/>
      <w:bookmarkEnd w:id="2688"/>
      <w:bookmarkStart w:id="2689" w:name="_Toc59209298"/>
      <w:bookmarkEnd w:id="2689"/>
      <w:bookmarkStart w:id="2690" w:name="_Toc59546271"/>
      <w:bookmarkEnd w:id="2690"/>
      <w:bookmarkStart w:id="2691" w:name="_Toc59114818"/>
      <w:bookmarkEnd w:id="2691"/>
      <w:bookmarkStart w:id="2692" w:name="_Toc59017007"/>
      <w:bookmarkEnd w:id="2692"/>
      <w:bookmarkStart w:id="2693" w:name="_Toc59017010"/>
      <w:bookmarkEnd w:id="2693"/>
      <w:bookmarkStart w:id="2694" w:name="_Toc59114897"/>
      <w:bookmarkEnd w:id="2694"/>
      <w:bookmarkStart w:id="2695" w:name="_Toc59716874"/>
      <w:bookmarkEnd w:id="2695"/>
      <w:bookmarkStart w:id="2696" w:name="_Toc59017324"/>
      <w:bookmarkEnd w:id="2696"/>
      <w:bookmarkStart w:id="2697" w:name="_Toc59546266"/>
      <w:bookmarkEnd w:id="2697"/>
      <w:bookmarkStart w:id="2698" w:name="_Toc59017406"/>
      <w:bookmarkEnd w:id="2698"/>
      <w:bookmarkStart w:id="2699" w:name="_Toc59209250"/>
      <w:bookmarkEnd w:id="2699"/>
      <w:bookmarkStart w:id="2700" w:name="_Toc59017328"/>
      <w:bookmarkEnd w:id="2700"/>
      <w:bookmarkStart w:id="2701" w:name="_Toc59204016"/>
      <w:bookmarkEnd w:id="2701"/>
      <w:bookmarkStart w:id="2702" w:name="_Toc58858018"/>
      <w:bookmarkEnd w:id="2702"/>
      <w:bookmarkStart w:id="2703" w:name="_Toc59113838"/>
      <w:bookmarkEnd w:id="2703"/>
      <w:bookmarkStart w:id="2704" w:name="_Toc59116982"/>
      <w:bookmarkEnd w:id="2704"/>
      <w:bookmarkStart w:id="2705" w:name="_Toc59546191"/>
      <w:bookmarkEnd w:id="2705"/>
      <w:bookmarkStart w:id="2706" w:name="_Toc59716860"/>
      <w:bookmarkEnd w:id="2706"/>
      <w:bookmarkStart w:id="2707" w:name="_Toc59017296"/>
      <w:bookmarkEnd w:id="2707"/>
      <w:bookmarkStart w:id="2708" w:name="_Toc59021520"/>
      <w:bookmarkEnd w:id="2708"/>
      <w:bookmarkStart w:id="2709" w:name="_Toc59017000"/>
      <w:bookmarkEnd w:id="2709"/>
      <w:bookmarkStart w:id="2710" w:name="_Toc59113412"/>
      <w:bookmarkEnd w:id="2710"/>
      <w:bookmarkStart w:id="2711" w:name="_Toc59204104"/>
      <w:bookmarkEnd w:id="2711"/>
      <w:bookmarkStart w:id="2712" w:name="_Toc59716865"/>
      <w:bookmarkEnd w:id="2712"/>
      <w:bookmarkStart w:id="2713" w:name="_Toc59017325"/>
      <w:bookmarkEnd w:id="2713"/>
      <w:bookmarkStart w:id="2714" w:name="_Toc58862052"/>
      <w:bookmarkEnd w:id="2714"/>
      <w:bookmarkStart w:id="2715" w:name="_Toc59017088"/>
      <w:bookmarkEnd w:id="2715"/>
      <w:bookmarkStart w:id="2716" w:name="_Toc59017019"/>
      <w:bookmarkEnd w:id="2716"/>
      <w:bookmarkStart w:id="2717" w:name="_Toc59017016"/>
      <w:bookmarkEnd w:id="2717"/>
      <w:bookmarkStart w:id="2718" w:name="_Toc58320060"/>
      <w:bookmarkEnd w:id="2718"/>
      <w:bookmarkStart w:id="2719" w:name="_Toc58861870"/>
      <w:bookmarkEnd w:id="2719"/>
      <w:bookmarkStart w:id="2720" w:name="_Toc58862046"/>
      <w:bookmarkEnd w:id="2720"/>
      <w:bookmarkStart w:id="2721" w:name="_Toc59113411"/>
      <w:bookmarkEnd w:id="2721"/>
      <w:bookmarkStart w:id="2722" w:name="_Toc58861789"/>
      <w:bookmarkEnd w:id="2722"/>
      <w:bookmarkStart w:id="2723" w:name="_Toc59631277"/>
      <w:bookmarkEnd w:id="2723"/>
      <w:bookmarkStart w:id="2724" w:name="_Toc59113843"/>
      <w:bookmarkEnd w:id="2724"/>
      <w:bookmarkStart w:id="2725" w:name="_Toc59716859"/>
      <w:bookmarkEnd w:id="2725"/>
      <w:bookmarkStart w:id="2726" w:name="_Toc58861776"/>
      <w:bookmarkEnd w:id="2726"/>
      <w:bookmarkStart w:id="2727" w:name="_Toc58862065"/>
      <w:bookmarkEnd w:id="2727"/>
      <w:bookmarkStart w:id="2728" w:name="_Toc59116976"/>
      <w:bookmarkEnd w:id="2728"/>
      <w:bookmarkStart w:id="2729" w:name="_Toc59546189"/>
      <w:bookmarkEnd w:id="2729"/>
      <w:bookmarkStart w:id="2730" w:name="_Toc59209306"/>
      <w:bookmarkEnd w:id="2730"/>
      <w:bookmarkStart w:id="2731" w:name="_Toc59631286"/>
      <w:bookmarkEnd w:id="2731"/>
      <w:bookmarkStart w:id="2732" w:name="_Toc58320309"/>
      <w:bookmarkEnd w:id="2732"/>
      <w:bookmarkStart w:id="2733" w:name="_Toc58320053"/>
      <w:bookmarkEnd w:id="2733"/>
      <w:bookmarkStart w:id="2734" w:name="_Toc59546200"/>
      <w:bookmarkEnd w:id="2734"/>
      <w:bookmarkStart w:id="2735" w:name="_Toc59021517"/>
      <w:bookmarkEnd w:id="2735"/>
      <w:bookmarkStart w:id="2736" w:name="_Toc59113864"/>
      <w:bookmarkEnd w:id="2736"/>
      <w:bookmarkStart w:id="2737" w:name="_Toc58858029"/>
      <w:bookmarkEnd w:id="2737"/>
      <w:bookmarkStart w:id="2738" w:name="_Toc59631276"/>
      <w:bookmarkEnd w:id="2738"/>
      <w:bookmarkStart w:id="2739" w:name="_Toc59113840"/>
      <w:bookmarkEnd w:id="2739"/>
      <w:bookmarkStart w:id="2740" w:name="_Toc59017335"/>
      <w:bookmarkEnd w:id="2740"/>
      <w:bookmarkStart w:id="2741" w:name="_Toc59546126"/>
      <w:bookmarkEnd w:id="2741"/>
      <w:bookmarkStart w:id="2742" w:name="_Toc59631284"/>
      <w:bookmarkEnd w:id="2742"/>
      <w:bookmarkStart w:id="2743" w:name="_Toc59021530"/>
      <w:bookmarkEnd w:id="2743"/>
      <w:bookmarkStart w:id="2744" w:name="_Toc59630327"/>
      <w:bookmarkEnd w:id="2744"/>
      <w:bookmarkStart w:id="2745" w:name="_Toc58861802"/>
      <w:bookmarkEnd w:id="2745"/>
      <w:bookmarkStart w:id="2746" w:name="_Toc59631283"/>
      <w:bookmarkEnd w:id="2746"/>
      <w:bookmarkStart w:id="2747" w:name="_Toc59017332"/>
      <w:bookmarkEnd w:id="2747"/>
      <w:bookmarkStart w:id="2748" w:name="_Toc59542935"/>
      <w:bookmarkEnd w:id="2748"/>
      <w:bookmarkStart w:id="2749" w:name="_Toc58858027"/>
      <w:bookmarkEnd w:id="2749"/>
      <w:bookmarkStart w:id="2750" w:name="_Toc59113435"/>
      <w:bookmarkEnd w:id="2750"/>
      <w:bookmarkStart w:id="2751" w:name="_Toc58862059"/>
      <w:bookmarkEnd w:id="2751"/>
      <w:bookmarkStart w:id="2752" w:name="_Toc58320298"/>
      <w:bookmarkEnd w:id="2752"/>
      <w:bookmarkStart w:id="2753" w:name="_Toc59021522"/>
      <w:bookmarkEnd w:id="2753"/>
      <w:bookmarkStart w:id="2754" w:name="_Toc59017330"/>
      <w:bookmarkEnd w:id="2754"/>
      <w:bookmarkStart w:id="2755" w:name="_Toc59113839"/>
      <w:bookmarkEnd w:id="2755"/>
      <w:bookmarkStart w:id="2756" w:name="_Toc58857964"/>
      <w:bookmarkEnd w:id="2756"/>
      <w:bookmarkStart w:id="2757" w:name="_Toc59631290"/>
      <w:bookmarkEnd w:id="2757"/>
      <w:bookmarkStart w:id="2758" w:name="_Toc58862043"/>
      <w:bookmarkEnd w:id="2758"/>
      <w:bookmarkStart w:id="2759" w:name="_Toc59209325"/>
      <w:bookmarkEnd w:id="2759"/>
      <w:bookmarkStart w:id="2760" w:name="_Toc59114851"/>
      <w:bookmarkEnd w:id="2760"/>
      <w:bookmarkStart w:id="2761" w:name="_Toc59542934"/>
      <w:bookmarkEnd w:id="2761"/>
      <w:bookmarkStart w:id="2762" w:name="_Toc59117029"/>
      <w:bookmarkEnd w:id="2762"/>
      <w:bookmarkStart w:id="2763" w:name="_Toc58861729"/>
      <w:bookmarkEnd w:id="2763"/>
      <w:bookmarkStart w:id="2764" w:name="_Toc59630326"/>
      <w:bookmarkEnd w:id="2764"/>
      <w:bookmarkStart w:id="2765" w:name="_Toc59021463"/>
      <w:bookmarkEnd w:id="2765"/>
      <w:bookmarkStart w:id="2766" w:name="_Toc59017037"/>
      <w:bookmarkEnd w:id="2766"/>
      <w:bookmarkStart w:id="2767" w:name="_Toc59017023"/>
      <w:bookmarkEnd w:id="2767"/>
      <w:bookmarkStart w:id="2768" w:name="_Toc59113423"/>
      <w:bookmarkEnd w:id="2768"/>
      <w:bookmarkStart w:id="2769" w:name="_Toc59542883"/>
      <w:bookmarkEnd w:id="2769"/>
      <w:bookmarkStart w:id="2770" w:name="_Toc58320300"/>
      <w:bookmarkEnd w:id="2770"/>
      <w:bookmarkStart w:id="2771" w:name="_Toc59117105"/>
      <w:bookmarkEnd w:id="2771"/>
      <w:bookmarkStart w:id="2772" w:name="_Toc58320081"/>
      <w:bookmarkEnd w:id="2772"/>
      <w:bookmarkStart w:id="2773" w:name="_Toc59017337"/>
      <w:bookmarkEnd w:id="2773"/>
      <w:bookmarkStart w:id="2774" w:name="_Toc59716876"/>
      <w:bookmarkEnd w:id="2774"/>
      <w:bookmarkStart w:id="2775" w:name="_Toc59204030"/>
      <w:bookmarkEnd w:id="2775"/>
      <w:bookmarkStart w:id="2776" w:name="_Toc59716804"/>
      <w:bookmarkEnd w:id="2776"/>
      <w:bookmarkStart w:id="2777" w:name="_Toc58861849"/>
      <w:bookmarkEnd w:id="2777"/>
      <w:bookmarkStart w:id="2778" w:name="_Toc59630366"/>
      <w:bookmarkEnd w:id="2778"/>
      <w:bookmarkStart w:id="2779" w:name="_Toc59017029"/>
      <w:bookmarkEnd w:id="2779"/>
      <w:bookmarkStart w:id="2780" w:name="_Toc59209309"/>
      <w:bookmarkEnd w:id="2780"/>
      <w:bookmarkStart w:id="2781" w:name="_Toc59021454"/>
      <w:bookmarkEnd w:id="2781"/>
      <w:bookmarkStart w:id="2782" w:name="_Toc59114826"/>
      <w:bookmarkEnd w:id="2782"/>
      <w:bookmarkStart w:id="2783" w:name="_Toc58862067"/>
      <w:bookmarkEnd w:id="2783"/>
      <w:bookmarkStart w:id="2784" w:name="_Toc59630392"/>
      <w:bookmarkEnd w:id="2784"/>
      <w:bookmarkStart w:id="2785" w:name="_Toc59113795"/>
      <w:bookmarkEnd w:id="2785"/>
      <w:bookmarkStart w:id="2786" w:name="_Toc58320065"/>
      <w:bookmarkEnd w:id="2786"/>
      <w:bookmarkStart w:id="2787" w:name="_Toc59630321"/>
      <w:bookmarkEnd w:id="2787"/>
      <w:bookmarkStart w:id="2788" w:name="_Toc58862063"/>
      <w:bookmarkEnd w:id="2788"/>
      <w:bookmarkStart w:id="2789" w:name="_Toc59113858"/>
      <w:bookmarkEnd w:id="2789"/>
      <w:bookmarkStart w:id="2790" w:name="_Toc59716809"/>
      <w:bookmarkEnd w:id="2790"/>
      <w:bookmarkStart w:id="2791" w:name="_Toc58862048"/>
      <w:bookmarkEnd w:id="2791"/>
      <w:bookmarkStart w:id="2792" w:name="_Toc59116969"/>
      <w:bookmarkEnd w:id="2792"/>
      <w:bookmarkStart w:id="2793" w:name="_Toc59209304"/>
      <w:bookmarkEnd w:id="2793"/>
      <w:bookmarkStart w:id="2794" w:name="_Toc59630294"/>
      <w:bookmarkEnd w:id="2794"/>
      <w:bookmarkStart w:id="2795" w:name="_Toc58320362"/>
      <w:bookmarkEnd w:id="2795"/>
      <w:bookmarkStart w:id="2796" w:name="_Toc59114805"/>
      <w:bookmarkEnd w:id="2796"/>
      <w:bookmarkStart w:id="2797" w:name="_Toc58862031"/>
      <w:bookmarkEnd w:id="2797"/>
      <w:bookmarkStart w:id="2798" w:name="_Toc59113430"/>
      <w:bookmarkEnd w:id="2798"/>
      <w:bookmarkStart w:id="2799" w:name="_Toc59113783"/>
      <w:bookmarkEnd w:id="2799"/>
      <w:bookmarkStart w:id="2800" w:name="_Toc59630246"/>
      <w:bookmarkEnd w:id="2800"/>
      <w:bookmarkStart w:id="2801" w:name="_Toc59716820"/>
      <w:bookmarkEnd w:id="2801"/>
      <w:bookmarkStart w:id="2802" w:name="_Toc59631296"/>
      <w:bookmarkEnd w:id="2802"/>
      <w:bookmarkStart w:id="2803" w:name="_Toc58861781"/>
      <w:bookmarkEnd w:id="2803"/>
      <w:bookmarkStart w:id="2804" w:name="_Toc58320266"/>
      <w:bookmarkEnd w:id="2804"/>
      <w:bookmarkStart w:id="2805" w:name="_Toc59016951"/>
      <w:bookmarkEnd w:id="2805"/>
      <w:bookmarkStart w:id="2806" w:name="_Toc59546256"/>
      <w:bookmarkEnd w:id="2806"/>
      <w:bookmarkStart w:id="2807" w:name="_Toc58858112"/>
      <w:bookmarkEnd w:id="2807"/>
      <w:bookmarkStart w:id="2808" w:name="_Toc59204026"/>
      <w:bookmarkEnd w:id="2808"/>
      <w:bookmarkStart w:id="2809" w:name="_Toc59114815"/>
      <w:bookmarkEnd w:id="2809"/>
      <w:bookmarkStart w:id="2810" w:name="_Toc59113833"/>
      <w:bookmarkEnd w:id="2810"/>
      <w:bookmarkStart w:id="2811" w:name="_Toc59203964"/>
      <w:bookmarkEnd w:id="2811"/>
      <w:bookmarkStart w:id="2812" w:name="_Toc59716883"/>
      <w:bookmarkEnd w:id="2812"/>
      <w:bookmarkStart w:id="2813" w:name="_Toc59021536"/>
      <w:bookmarkEnd w:id="2813"/>
      <w:bookmarkStart w:id="2814" w:name="_Toc59114765"/>
      <w:bookmarkEnd w:id="2814"/>
      <w:bookmarkStart w:id="2815" w:name="_Toc59546129"/>
      <w:bookmarkEnd w:id="2815"/>
      <w:bookmarkStart w:id="2816" w:name="_Toc59114819"/>
      <w:bookmarkEnd w:id="2816"/>
      <w:bookmarkStart w:id="2817" w:name="_Toc58320050"/>
      <w:bookmarkEnd w:id="2817"/>
      <w:bookmarkStart w:id="2818" w:name="_Toc59117048"/>
      <w:bookmarkEnd w:id="2818"/>
      <w:bookmarkStart w:id="2819" w:name="_Toc59546130"/>
      <w:bookmarkEnd w:id="2819"/>
      <w:bookmarkStart w:id="2820" w:name="_Toc59631285"/>
      <w:bookmarkEnd w:id="2820"/>
      <w:bookmarkStart w:id="2821" w:name="_Toc59630300"/>
      <w:bookmarkEnd w:id="2821"/>
      <w:bookmarkStart w:id="2822" w:name="_Toc59546275"/>
      <w:bookmarkEnd w:id="2822"/>
      <w:bookmarkStart w:id="2823" w:name="_Toc59114817"/>
      <w:bookmarkEnd w:id="2823"/>
      <w:bookmarkStart w:id="2824" w:name="_Toc58320288"/>
      <w:bookmarkEnd w:id="2824"/>
      <w:bookmarkStart w:id="2825" w:name="_Toc59209295"/>
      <w:bookmarkEnd w:id="2825"/>
      <w:bookmarkStart w:id="2826" w:name="_Toc59542859"/>
      <w:bookmarkEnd w:id="2826"/>
      <w:bookmarkStart w:id="2827" w:name="_Toc59021500"/>
      <w:bookmarkEnd w:id="2827"/>
      <w:bookmarkStart w:id="2828" w:name="_Toc59016982"/>
      <w:bookmarkEnd w:id="2828"/>
      <w:bookmarkStart w:id="2829" w:name="_Toc59021508"/>
      <w:bookmarkEnd w:id="2829"/>
      <w:bookmarkStart w:id="2830" w:name="_Toc59630265"/>
      <w:bookmarkEnd w:id="2830"/>
      <w:bookmarkStart w:id="2831" w:name="_Toc58862112"/>
      <w:bookmarkEnd w:id="2831"/>
      <w:bookmarkStart w:id="2832" w:name="_Toc58862037"/>
      <w:bookmarkEnd w:id="2832"/>
      <w:bookmarkStart w:id="2833" w:name="_Toc58858014"/>
      <w:bookmarkEnd w:id="2833"/>
      <w:bookmarkStart w:id="2834" w:name="_Toc59017009"/>
      <w:bookmarkEnd w:id="2834"/>
      <w:bookmarkStart w:id="2835" w:name="_Toc59716858"/>
      <w:bookmarkEnd w:id="2835"/>
      <w:bookmarkStart w:id="2836" w:name="_Toc59209321"/>
      <w:bookmarkEnd w:id="2836"/>
      <w:bookmarkStart w:id="2837" w:name="_Toc58861787"/>
      <w:bookmarkEnd w:id="2837"/>
      <w:bookmarkStart w:id="2838" w:name="_Toc59016968"/>
      <w:bookmarkEnd w:id="2838"/>
      <w:bookmarkStart w:id="2839" w:name="_Toc58320077"/>
      <w:bookmarkEnd w:id="2839"/>
      <w:bookmarkStart w:id="2840" w:name="_Toc59542902"/>
      <w:bookmarkEnd w:id="2840"/>
      <w:bookmarkStart w:id="2841" w:name="_Toc58858046"/>
      <w:bookmarkEnd w:id="2841"/>
      <w:bookmarkStart w:id="2842" w:name="_Toc59017326"/>
      <w:bookmarkEnd w:id="2842"/>
      <w:bookmarkStart w:id="2843" w:name="_Toc59113353"/>
      <w:bookmarkEnd w:id="2843"/>
      <w:bookmarkStart w:id="2844" w:name="_Toc59631274"/>
      <w:bookmarkEnd w:id="2844"/>
      <w:bookmarkStart w:id="2845" w:name="_Toc59113904"/>
      <w:bookmarkEnd w:id="2845"/>
      <w:bookmarkStart w:id="2846" w:name="_Toc59209390"/>
      <w:bookmarkEnd w:id="2846"/>
      <w:bookmarkStart w:id="2847" w:name="_Toc59017368"/>
      <w:bookmarkEnd w:id="2847"/>
      <w:bookmarkStart w:id="2848" w:name="_Toc59016994"/>
      <w:bookmarkEnd w:id="2848"/>
      <w:bookmarkStart w:id="2849" w:name="_Toc59209303"/>
      <w:bookmarkEnd w:id="2849"/>
      <w:bookmarkStart w:id="2850" w:name="_Toc59113406"/>
      <w:bookmarkEnd w:id="2850"/>
      <w:bookmarkStart w:id="2851" w:name="_Toc59016947"/>
      <w:bookmarkEnd w:id="2851"/>
      <w:bookmarkStart w:id="2852" w:name="_Toc59630302"/>
      <w:bookmarkEnd w:id="2852"/>
      <w:bookmarkStart w:id="2853" w:name="_Toc59117013"/>
      <w:bookmarkEnd w:id="2853"/>
      <w:bookmarkStart w:id="2854" w:name="_Toc59204021"/>
      <w:bookmarkEnd w:id="2854"/>
      <w:bookmarkStart w:id="2855" w:name="_Toc59716864"/>
      <w:bookmarkEnd w:id="2855"/>
      <w:bookmarkStart w:id="2856" w:name="_Toc59017030"/>
      <w:bookmarkEnd w:id="2856"/>
      <w:bookmarkStart w:id="2857" w:name="_Toc59113827"/>
      <w:bookmarkEnd w:id="2857"/>
      <w:bookmarkStart w:id="2858" w:name="_Toc58857976"/>
      <w:bookmarkEnd w:id="2858"/>
      <w:bookmarkStart w:id="2859" w:name="_Toc59716861"/>
      <w:bookmarkEnd w:id="2859"/>
      <w:bookmarkStart w:id="2860" w:name="_Toc59542905"/>
      <w:bookmarkEnd w:id="2860"/>
      <w:bookmarkStart w:id="2861" w:name="_Toc59542912"/>
      <w:bookmarkEnd w:id="2861"/>
      <w:bookmarkStart w:id="2862" w:name="_Toc59546233"/>
      <w:bookmarkEnd w:id="2862"/>
      <w:bookmarkStart w:id="2863" w:name="_Toc59117011"/>
      <w:bookmarkEnd w:id="2863"/>
      <w:bookmarkStart w:id="2864" w:name="_Toc59631366"/>
      <w:bookmarkEnd w:id="2864"/>
      <w:bookmarkStart w:id="2865" w:name="_Toc59116964"/>
      <w:bookmarkEnd w:id="2865"/>
      <w:bookmarkStart w:id="2866" w:name="_Toc59631280"/>
      <w:bookmarkEnd w:id="2866"/>
      <w:bookmarkStart w:id="2867" w:name="_Toc58857971"/>
      <w:bookmarkEnd w:id="2867"/>
      <w:bookmarkStart w:id="2868" w:name="_Toc59114810"/>
      <w:bookmarkEnd w:id="2868"/>
      <w:bookmarkStart w:id="2869" w:name="_Toc59631221"/>
      <w:bookmarkEnd w:id="2869"/>
      <w:bookmarkStart w:id="2870" w:name="_Toc59631300"/>
      <w:bookmarkEnd w:id="2870"/>
      <w:bookmarkStart w:id="2871" w:name="_Toc59631267"/>
      <w:bookmarkEnd w:id="2871"/>
      <w:bookmarkStart w:id="2872" w:name="_Toc59546187"/>
      <w:bookmarkEnd w:id="2872"/>
      <w:bookmarkStart w:id="2873" w:name="_Toc59021489"/>
      <w:bookmarkEnd w:id="2873"/>
      <w:bookmarkStart w:id="2874" w:name="_Toc59114816"/>
      <w:bookmarkEnd w:id="2874"/>
      <w:bookmarkStart w:id="2875" w:name="_Toc59630295"/>
      <w:bookmarkEnd w:id="2875"/>
      <w:bookmarkStart w:id="2876" w:name="_Toc58862033"/>
      <w:bookmarkEnd w:id="2876"/>
      <w:bookmarkStart w:id="2877" w:name="_Toc59113835"/>
      <w:bookmarkEnd w:id="2877"/>
      <w:bookmarkStart w:id="2878" w:name="_Toc59017374"/>
      <w:bookmarkEnd w:id="2878"/>
      <w:bookmarkStart w:id="2879" w:name="_Toc59114803"/>
      <w:bookmarkEnd w:id="2879"/>
      <w:bookmarkStart w:id="2880" w:name="_Toc58862038"/>
      <w:bookmarkEnd w:id="2880"/>
      <w:bookmarkStart w:id="2881" w:name="_Toc58320315"/>
      <w:bookmarkEnd w:id="2881"/>
      <w:bookmarkStart w:id="2882" w:name="_Toc59016961"/>
      <w:bookmarkEnd w:id="2882"/>
      <w:bookmarkStart w:id="2883" w:name="_Toc58320051"/>
      <w:bookmarkEnd w:id="2883"/>
      <w:bookmarkStart w:id="2884" w:name="_Toc59017015"/>
      <w:bookmarkEnd w:id="2884"/>
      <w:bookmarkStart w:id="2885" w:name="_Toc59017308"/>
      <w:bookmarkEnd w:id="2885"/>
      <w:bookmarkStart w:id="2886" w:name="_Toc59017307"/>
      <w:bookmarkEnd w:id="2886"/>
      <w:bookmarkStart w:id="2887" w:name="_Toc58861782"/>
      <w:bookmarkEnd w:id="2887"/>
      <w:bookmarkStart w:id="2888" w:name="_Toc58320321"/>
      <w:bookmarkEnd w:id="2888"/>
      <w:bookmarkStart w:id="2889" w:name="_Toc58861825"/>
      <w:bookmarkEnd w:id="2889"/>
      <w:bookmarkStart w:id="2890" w:name="_Toc59021513"/>
      <w:bookmarkEnd w:id="2890"/>
      <w:bookmarkStart w:id="2891" w:name="_Toc59113359"/>
      <w:bookmarkEnd w:id="2891"/>
      <w:bookmarkStart w:id="2892" w:name="_Toc59117037"/>
      <w:bookmarkEnd w:id="2892"/>
      <w:bookmarkStart w:id="2893" w:name="_Toc59546214"/>
      <w:bookmarkEnd w:id="2893"/>
      <w:bookmarkStart w:id="2894" w:name="_Toc59114791"/>
      <w:bookmarkEnd w:id="2894"/>
      <w:bookmarkStart w:id="2895" w:name="_Toc59021502"/>
      <w:bookmarkEnd w:id="2895"/>
      <w:bookmarkStart w:id="2896" w:name="_Toc59017318"/>
      <w:bookmarkEnd w:id="2896"/>
      <w:bookmarkStart w:id="2897" w:name="_Toc59716886"/>
      <w:bookmarkEnd w:id="2897"/>
      <w:bookmarkStart w:id="2898" w:name="_Toc58320294"/>
      <w:bookmarkEnd w:id="2898"/>
      <w:bookmarkStart w:id="2899" w:name="_Toc58858040"/>
      <w:bookmarkEnd w:id="2899"/>
      <w:bookmarkStart w:id="2900" w:name="_Toc59114830"/>
      <w:bookmarkEnd w:id="2900"/>
      <w:bookmarkStart w:id="2901" w:name="_Toc59209340"/>
      <w:bookmarkEnd w:id="2901"/>
      <w:bookmarkStart w:id="2902" w:name="_Toc59113841"/>
      <w:bookmarkEnd w:id="2902"/>
      <w:bookmarkStart w:id="2903" w:name="_Toc59542903"/>
      <w:bookmarkEnd w:id="2903"/>
      <w:bookmarkStart w:id="2904" w:name="_Toc59631334"/>
      <w:bookmarkEnd w:id="2904"/>
      <w:bookmarkStart w:id="2905" w:name="_Toc59204082"/>
      <w:bookmarkEnd w:id="2905"/>
      <w:bookmarkStart w:id="2906" w:name="_Toc58320095"/>
      <w:bookmarkEnd w:id="2906"/>
      <w:bookmarkStart w:id="2907" w:name="_Toc59017264"/>
      <w:bookmarkEnd w:id="2907"/>
      <w:bookmarkStart w:id="2908" w:name="_Toc59017411"/>
      <w:bookmarkEnd w:id="2908"/>
      <w:bookmarkStart w:id="2909" w:name="_Toc59716810"/>
      <w:bookmarkEnd w:id="2909"/>
      <w:bookmarkStart w:id="2910" w:name="_Toc58861730"/>
      <w:bookmarkEnd w:id="2910"/>
      <w:bookmarkStart w:id="2911" w:name="_Toc59117001"/>
      <w:bookmarkEnd w:id="2911"/>
      <w:bookmarkStart w:id="2912" w:name="_Toc59113453"/>
      <w:bookmarkEnd w:id="2912"/>
      <w:bookmarkStart w:id="2913" w:name="_Toc58320289"/>
      <w:bookmarkEnd w:id="2913"/>
      <w:bookmarkStart w:id="2914" w:name="_Toc58861761"/>
      <w:bookmarkEnd w:id="2914"/>
      <w:bookmarkStart w:id="2915" w:name="_Toc59017309"/>
      <w:bookmarkEnd w:id="2915"/>
      <w:bookmarkStart w:id="2916" w:name="_Toc59017315"/>
      <w:bookmarkEnd w:id="2916"/>
      <w:bookmarkStart w:id="2917" w:name="_Toc58320317"/>
      <w:bookmarkEnd w:id="2917"/>
      <w:bookmarkStart w:id="2918" w:name="_Toc59630279"/>
      <w:bookmarkEnd w:id="2918"/>
      <w:bookmarkStart w:id="2919" w:name="_Toc59204036"/>
      <w:bookmarkEnd w:id="2919"/>
      <w:bookmarkStart w:id="2920" w:name="_Toc59021537"/>
      <w:bookmarkEnd w:id="2920"/>
      <w:bookmarkStart w:id="2921" w:name="_Toc59631282"/>
      <w:bookmarkEnd w:id="2921"/>
      <w:bookmarkStart w:id="2922" w:name="_Toc59546207"/>
      <w:bookmarkEnd w:id="2922"/>
      <w:bookmarkStart w:id="2923" w:name="_Toc59631335"/>
      <w:bookmarkEnd w:id="2923"/>
      <w:bookmarkStart w:id="2924" w:name="_Toc59017054"/>
      <w:bookmarkEnd w:id="2924"/>
      <w:bookmarkStart w:id="2925" w:name="_Toc59017313"/>
      <w:bookmarkEnd w:id="2925"/>
      <w:bookmarkStart w:id="2926" w:name="_Toc58858078"/>
      <w:bookmarkEnd w:id="2926"/>
      <w:bookmarkStart w:id="2927" w:name="_Toc59631252"/>
      <w:bookmarkEnd w:id="2927"/>
      <w:bookmarkStart w:id="2928" w:name="_Toc59716905"/>
      <w:bookmarkEnd w:id="2928"/>
      <w:bookmarkStart w:id="2929" w:name="_Toc58861808"/>
      <w:bookmarkEnd w:id="2929"/>
      <w:bookmarkStart w:id="2930" w:name="_Toc58861826"/>
      <w:bookmarkEnd w:id="2930"/>
      <w:bookmarkStart w:id="2931" w:name="_Toc59117005"/>
      <w:bookmarkEnd w:id="2931"/>
      <w:bookmarkStart w:id="2932" w:name="_Toc59716827"/>
      <w:bookmarkEnd w:id="2932"/>
      <w:bookmarkStart w:id="2933" w:name="_Toc59017357"/>
      <w:bookmarkEnd w:id="2933"/>
      <w:bookmarkStart w:id="2934" w:name="_Toc59209300"/>
      <w:bookmarkEnd w:id="2934"/>
      <w:bookmarkStart w:id="2935" w:name="_Toc58861777"/>
      <w:bookmarkEnd w:id="2935"/>
      <w:bookmarkStart w:id="2936" w:name="_Toc58861773"/>
      <w:bookmarkEnd w:id="2936"/>
      <w:bookmarkStart w:id="2937" w:name="_Toc58320041"/>
      <w:bookmarkEnd w:id="2937"/>
      <w:bookmarkStart w:id="2938" w:name="_Toc59017361"/>
      <w:bookmarkEnd w:id="2938"/>
      <w:bookmarkStart w:id="2939" w:name="_Toc59017039"/>
      <w:bookmarkEnd w:id="2939"/>
      <w:bookmarkStart w:id="2940" w:name="_Toc59114853"/>
      <w:bookmarkEnd w:id="2940"/>
      <w:bookmarkStart w:id="2941" w:name="_Toc59204003"/>
      <w:bookmarkEnd w:id="2941"/>
      <w:bookmarkStart w:id="2942" w:name="_Toc59113428"/>
      <w:bookmarkEnd w:id="2942"/>
      <w:bookmarkStart w:id="2943" w:name="_Toc58320093"/>
      <w:bookmarkEnd w:id="2943"/>
      <w:bookmarkStart w:id="2944" w:name="_Toc58861772"/>
      <w:bookmarkEnd w:id="2944"/>
      <w:bookmarkStart w:id="2945" w:name="_Toc59021549"/>
      <w:bookmarkEnd w:id="2945"/>
      <w:bookmarkStart w:id="2946" w:name="_Toc59017310"/>
      <w:bookmarkEnd w:id="2946"/>
      <w:bookmarkStart w:id="2947" w:name="_Toc58861809"/>
      <w:bookmarkEnd w:id="2947"/>
      <w:bookmarkStart w:id="2948" w:name="_Toc59021550"/>
      <w:bookmarkEnd w:id="2948"/>
      <w:bookmarkStart w:id="2949" w:name="_Toc58858010"/>
      <w:bookmarkEnd w:id="2949"/>
      <w:bookmarkStart w:id="2950" w:name="_Toc59716911"/>
      <w:bookmarkEnd w:id="2950"/>
      <w:bookmarkStart w:id="2951" w:name="_Toc59017320"/>
      <w:bookmarkEnd w:id="2951"/>
      <w:bookmarkStart w:id="2952" w:name="_Toc59117003"/>
      <w:bookmarkEnd w:id="2952"/>
      <w:bookmarkStart w:id="2953" w:name="_Toc58320324"/>
      <w:bookmarkEnd w:id="2953"/>
      <w:bookmarkStart w:id="2954" w:name="_Toc59716934"/>
      <w:bookmarkEnd w:id="2954"/>
      <w:bookmarkStart w:id="2955" w:name="_Toc59209244"/>
      <w:bookmarkEnd w:id="2955"/>
      <w:bookmarkStart w:id="2956" w:name="_Toc59114802"/>
      <w:bookmarkEnd w:id="2956"/>
      <w:bookmarkStart w:id="2957" w:name="_Toc59204018"/>
      <w:bookmarkEnd w:id="2957"/>
      <w:bookmarkStart w:id="2958" w:name="_Toc59542891"/>
      <w:bookmarkEnd w:id="2958"/>
      <w:bookmarkStart w:id="2959" w:name="_Toc58320045"/>
      <w:bookmarkEnd w:id="2959"/>
      <w:bookmarkStart w:id="2960" w:name="_Toc59209288"/>
      <w:bookmarkEnd w:id="2960"/>
      <w:bookmarkStart w:id="2961" w:name="_Toc59017347"/>
      <w:bookmarkEnd w:id="2961"/>
      <w:bookmarkStart w:id="2962" w:name="_Toc59021567"/>
      <w:bookmarkEnd w:id="2962"/>
      <w:bookmarkStart w:id="2963" w:name="_Toc58320044"/>
      <w:bookmarkEnd w:id="2963"/>
      <w:bookmarkStart w:id="2964" w:name="_Toc59117027"/>
      <w:bookmarkEnd w:id="2964"/>
      <w:bookmarkStart w:id="2965" w:name="_Toc59113377"/>
      <w:bookmarkEnd w:id="2965"/>
      <w:bookmarkStart w:id="2966" w:name="_Toc58320319"/>
      <w:bookmarkEnd w:id="2966"/>
      <w:bookmarkStart w:id="2967" w:name="_Toc59630253"/>
      <w:bookmarkEnd w:id="2967"/>
      <w:bookmarkStart w:id="2968" w:name="_Toc58858026"/>
      <w:bookmarkEnd w:id="2968"/>
      <w:bookmarkStart w:id="2969" w:name="_Toc59117026"/>
      <w:bookmarkEnd w:id="2969"/>
      <w:bookmarkStart w:id="2970" w:name="_Toc59630290"/>
      <w:bookmarkEnd w:id="2970"/>
      <w:bookmarkStart w:id="2971" w:name="_Toc59204071"/>
      <w:bookmarkEnd w:id="2971"/>
      <w:bookmarkStart w:id="2972" w:name="_Toc59117036"/>
      <w:bookmarkEnd w:id="2972"/>
      <w:bookmarkStart w:id="2973" w:name="_Toc58319998"/>
      <w:bookmarkEnd w:id="2973"/>
      <w:bookmarkStart w:id="2974" w:name="_Toc59204067"/>
      <w:bookmarkEnd w:id="2974"/>
      <w:bookmarkStart w:id="2975" w:name="_Toc59631295"/>
      <w:bookmarkEnd w:id="2975"/>
      <w:bookmarkStart w:id="2976" w:name="_Toc58861778"/>
      <w:bookmarkEnd w:id="2976"/>
      <w:bookmarkStart w:id="2977" w:name="_Toc59546172"/>
      <w:bookmarkEnd w:id="2977"/>
      <w:bookmarkStart w:id="2978" w:name="_Toc59113831"/>
      <w:bookmarkEnd w:id="2978"/>
      <w:bookmarkStart w:id="2979" w:name="_Toc59542910"/>
      <w:bookmarkEnd w:id="2979"/>
      <w:bookmarkStart w:id="2980" w:name="_Toc59021504"/>
      <w:bookmarkEnd w:id="2980"/>
      <w:bookmarkStart w:id="2981" w:name="_Toc58861983"/>
      <w:bookmarkEnd w:id="2981"/>
      <w:bookmarkStart w:id="2982" w:name="_Toc59117002"/>
      <w:bookmarkEnd w:id="2982"/>
      <w:bookmarkStart w:id="2983" w:name="_Toc59203990"/>
      <w:bookmarkEnd w:id="2983"/>
      <w:bookmarkStart w:id="2984" w:name="_Toc59021509"/>
      <w:bookmarkEnd w:id="2984"/>
      <w:bookmarkStart w:id="2985" w:name="_Toc59716833"/>
      <w:bookmarkEnd w:id="2985"/>
      <w:bookmarkStart w:id="2986" w:name="_Toc59113829"/>
      <w:bookmarkEnd w:id="2986"/>
      <w:bookmarkStart w:id="2987" w:name="_Toc59631265"/>
      <w:bookmarkEnd w:id="2987"/>
      <w:bookmarkStart w:id="2988" w:name="_Toc59017012"/>
      <w:bookmarkEnd w:id="2988"/>
      <w:bookmarkStart w:id="2989" w:name="_Toc59017004"/>
      <w:bookmarkEnd w:id="2989"/>
      <w:bookmarkStart w:id="2990" w:name="_Toc59204005"/>
      <w:bookmarkEnd w:id="2990"/>
      <w:bookmarkStart w:id="2991" w:name="_Toc59716885"/>
      <w:bookmarkEnd w:id="2991"/>
      <w:bookmarkStart w:id="2992" w:name="_Toc59716890"/>
      <w:bookmarkEnd w:id="2992"/>
      <w:bookmarkStart w:id="2993" w:name="_Toc59203969"/>
      <w:bookmarkEnd w:id="2993"/>
      <w:bookmarkStart w:id="2994" w:name="_Toc59209245"/>
      <w:bookmarkEnd w:id="2994"/>
      <w:bookmarkStart w:id="2995" w:name="_Toc59113856"/>
      <w:bookmarkEnd w:id="2995"/>
      <w:bookmarkStart w:id="2996" w:name="_Toc59017027"/>
      <w:bookmarkEnd w:id="2996"/>
      <w:bookmarkStart w:id="2997" w:name="_Toc58320312"/>
      <w:bookmarkEnd w:id="2997"/>
      <w:bookmarkStart w:id="2998" w:name="_Toc59631303"/>
      <w:bookmarkEnd w:id="2998"/>
      <w:bookmarkStart w:id="2999" w:name="_Toc59114809"/>
      <w:bookmarkEnd w:id="2999"/>
      <w:bookmarkStart w:id="3000" w:name="_Toc59114833"/>
      <w:bookmarkEnd w:id="3000"/>
      <w:bookmarkStart w:id="3001" w:name="_Toc59114759"/>
      <w:bookmarkEnd w:id="3001"/>
      <w:bookmarkStart w:id="3002" w:name="_Toc59209242"/>
      <w:bookmarkEnd w:id="3002"/>
      <w:bookmarkStart w:id="3003" w:name="_Toc58320388"/>
      <w:bookmarkEnd w:id="3003"/>
      <w:bookmarkStart w:id="3004" w:name="_Toc59016998"/>
      <w:bookmarkEnd w:id="3004"/>
      <w:bookmarkStart w:id="3005" w:name="_Toc58320072"/>
      <w:bookmarkEnd w:id="3005"/>
      <w:bookmarkStart w:id="3006" w:name="_Toc59204010"/>
      <w:bookmarkEnd w:id="3006"/>
      <w:bookmarkStart w:id="3007" w:name="_Toc59209313"/>
      <w:bookmarkEnd w:id="3007"/>
      <w:bookmarkStart w:id="3008" w:name="_Toc59113851"/>
      <w:bookmarkEnd w:id="3008"/>
      <w:bookmarkStart w:id="3009" w:name="_Toc59631288"/>
      <w:bookmarkEnd w:id="3009"/>
      <w:bookmarkStart w:id="3010" w:name="_Toc59209318"/>
      <w:bookmarkEnd w:id="3010"/>
      <w:bookmarkStart w:id="3011" w:name="_Toc59113427"/>
      <w:bookmarkEnd w:id="3011"/>
      <w:bookmarkStart w:id="3012" w:name="_Toc59542904"/>
      <w:bookmarkEnd w:id="3012"/>
      <w:bookmarkStart w:id="3013" w:name="_Toc58861811"/>
      <w:bookmarkEnd w:id="3013"/>
      <w:bookmarkStart w:id="3014" w:name="_Toc59546177"/>
      <w:bookmarkEnd w:id="3014"/>
      <w:bookmarkStart w:id="3015" w:name="_Toc59021604"/>
      <w:bookmarkEnd w:id="3015"/>
      <w:bookmarkStart w:id="3016" w:name="_Toc59716815"/>
      <w:bookmarkEnd w:id="3016"/>
      <w:bookmarkStart w:id="3017" w:name="_Toc58320088"/>
      <w:bookmarkEnd w:id="3017"/>
      <w:bookmarkStart w:id="3018" w:name="_Toc58862061"/>
      <w:bookmarkEnd w:id="3018"/>
      <w:bookmarkStart w:id="3019" w:name="_Toc59017380"/>
      <w:bookmarkEnd w:id="3019"/>
      <w:bookmarkStart w:id="3020" w:name="_Toc58862121"/>
      <w:bookmarkEnd w:id="3020"/>
      <w:bookmarkStart w:id="3021" w:name="_Toc58862128"/>
      <w:bookmarkEnd w:id="3021"/>
      <w:bookmarkStart w:id="3022" w:name="_Toc59113919"/>
      <w:bookmarkEnd w:id="3022"/>
      <w:bookmarkStart w:id="3023" w:name="_Toc59113871"/>
      <w:bookmarkEnd w:id="3023"/>
      <w:bookmarkStart w:id="3024" w:name="_Toc59542921"/>
      <w:bookmarkEnd w:id="3024"/>
      <w:bookmarkStart w:id="3025" w:name="_Toc58858098"/>
      <w:bookmarkEnd w:id="3025"/>
      <w:bookmarkStart w:id="3026" w:name="_Toc59113910"/>
      <w:bookmarkEnd w:id="3026"/>
      <w:bookmarkStart w:id="3027" w:name="_Toc59542990"/>
      <w:bookmarkEnd w:id="3027"/>
      <w:bookmarkStart w:id="3028" w:name="_Toc59209240"/>
      <w:bookmarkEnd w:id="3028"/>
      <w:bookmarkStart w:id="3029" w:name="_Toc58858099"/>
      <w:bookmarkEnd w:id="3029"/>
      <w:bookmarkStart w:id="3030" w:name="_Toc59631272"/>
      <w:bookmarkEnd w:id="3030"/>
      <w:bookmarkStart w:id="3031" w:name="_Toc59113913"/>
      <w:bookmarkEnd w:id="3031"/>
      <w:bookmarkStart w:id="3032" w:name="_Toc58861783"/>
      <w:bookmarkEnd w:id="3032"/>
      <w:bookmarkStart w:id="3033" w:name="_Toc59114839"/>
      <w:bookmarkEnd w:id="3033"/>
      <w:bookmarkStart w:id="3034" w:name="_Toc59631289"/>
      <w:bookmarkEnd w:id="3034"/>
      <w:bookmarkStart w:id="3035" w:name="_Toc59021516"/>
      <w:bookmarkEnd w:id="3035"/>
      <w:bookmarkStart w:id="3036" w:name="_Toc59209372"/>
      <w:bookmarkEnd w:id="3036"/>
      <w:bookmarkStart w:id="3037" w:name="_Toc59631298"/>
      <w:bookmarkEnd w:id="3037"/>
      <w:bookmarkStart w:id="3038" w:name="_Toc59630322"/>
      <w:bookmarkEnd w:id="3038"/>
      <w:bookmarkStart w:id="3039" w:name="_Toc59117019"/>
      <w:bookmarkEnd w:id="3039"/>
      <w:bookmarkStart w:id="3040" w:name="_Toc58858086"/>
      <w:bookmarkEnd w:id="3040"/>
      <w:bookmarkStart w:id="3041" w:name="_Toc59114889"/>
      <w:bookmarkEnd w:id="3041"/>
      <w:bookmarkStart w:id="3042" w:name="_Toc58320380"/>
      <w:bookmarkEnd w:id="3042"/>
      <w:bookmarkStart w:id="3043" w:name="_Toc59113488"/>
      <w:bookmarkEnd w:id="3043"/>
      <w:bookmarkStart w:id="3044" w:name="_Toc58858094"/>
      <w:bookmarkEnd w:id="3044"/>
      <w:bookmarkStart w:id="3045" w:name="_Toc59117097"/>
      <w:bookmarkEnd w:id="3045"/>
      <w:bookmarkStart w:id="3046" w:name="_Toc59021592"/>
      <w:bookmarkEnd w:id="3046"/>
      <w:bookmarkStart w:id="3047" w:name="_Toc58861785"/>
      <w:bookmarkEnd w:id="3047"/>
      <w:bookmarkStart w:id="3048" w:name="_Toc59546252"/>
      <w:bookmarkEnd w:id="3048"/>
      <w:bookmarkStart w:id="3049" w:name="_Toc59546234"/>
      <w:bookmarkEnd w:id="3049"/>
      <w:bookmarkStart w:id="3050" w:name="_Toc58862080"/>
      <w:bookmarkEnd w:id="3050"/>
      <w:bookmarkStart w:id="3051" w:name="_Toc59204064"/>
      <w:bookmarkEnd w:id="3051"/>
      <w:bookmarkStart w:id="3052" w:name="_Toc58320346"/>
      <w:bookmarkEnd w:id="3052"/>
      <w:bookmarkStart w:id="3053" w:name="_Toc59630303"/>
      <w:bookmarkEnd w:id="3053"/>
      <w:bookmarkStart w:id="3054" w:name="_Toc59631309"/>
      <w:bookmarkEnd w:id="3054"/>
      <w:bookmarkStart w:id="3055" w:name="_Toc59542915"/>
      <w:bookmarkEnd w:id="3055"/>
      <w:bookmarkStart w:id="3056" w:name="_Toc58861725"/>
      <w:bookmarkEnd w:id="3056"/>
      <w:bookmarkStart w:id="3057" w:name="_Toc59630301"/>
      <w:bookmarkEnd w:id="3057"/>
      <w:bookmarkStart w:id="3058" w:name="_Toc59113781"/>
      <w:bookmarkEnd w:id="3058"/>
      <w:bookmarkStart w:id="3059" w:name="_Toc59203953"/>
      <w:bookmarkEnd w:id="3059"/>
      <w:bookmarkStart w:id="3060" w:name="_Toc59209301"/>
      <w:bookmarkEnd w:id="3060"/>
      <w:bookmarkStart w:id="3061" w:name="_Toc58320348"/>
      <w:bookmarkEnd w:id="3061"/>
      <w:bookmarkStart w:id="3062" w:name="_Toc59716932"/>
      <w:bookmarkEnd w:id="3062"/>
      <w:bookmarkStart w:id="3063" w:name="_Toc59631342"/>
      <w:bookmarkEnd w:id="3063"/>
      <w:bookmarkStart w:id="3064" w:name="_Toc59017322"/>
      <w:bookmarkEnd w:id="3064"/>
      <w:bookmarkStart w:id="3065" w:name="_Toc59546182"/>
      <w:bookmarkEnd w:id="3065"/>
      <w:bookmarkStart w:id="3066" w:name="_Toc59117049"/>
      <w:bookmarkEnd w:id="3066"/>
      <w:bookmarkStart w:id="3067" w:name="_Toc59631275"/>
      <w:bookmarkEnd w:id="3067"/>
      <w:bookmarkStart w:id="3068" w:name="_Toc59631329"/>
      <w:bookmarkEnd w:id="3068"/>
      <w:bookmarkStart w:id="3069" w:name="_Toc59021577"/>
      <w:bookmarkEnd w:id="3069"/>
      <w:bookmarkStart w:id="3070" w:name="_Toc59716806"/>
      <w:bookmarkEnd w:id="3070"/>
      <w:bookmarkStart w:id="3071" w:name="_Toc59117015"/>
      <w:bookmarkEnd w:id="3071"/>
      <w:bookmarkStart w:id="3072" w:name="_Toc58857960"/>
      <w:bookmarkEnd w:id="3072"/>
      <w:bookmarkStart w:id="3073" w:name="_Toc59114812"/>
      <w:bookmarkEnd w:id="3073"/>
      <w:bookmarkStart w:id="3074" w:name="_Toc59542856"/>
      <w:bookmarkEnd w:id="3074"/>
      <w:bookmarkStart w:id="3075" w:name="_Toc58319993"/>
      <w:bookmarkEnd w:id="3075"/>
      <w:bookmarkStart w:id="3076" w:name="_Toc59114863"/>
      <w:bookmarkEnd w:id="3076"/>
      <w:bookmarkStart w:id="3077" w:name="_Toc58858019"/>
      <w:bookmarkEnd w:id="3077"/>
      <w:bookmarkStart w:id="3078" w:name="_Toc59116953"/>
      <w:bookmarkEnd w:id="3078"/>
      <w:bookmarkStart w:id="3079" w:name="_Toc59203954"/>
      <w:bookmarkEnd w:id="3079"/>
      <w:bookmarkStart w:id="3080" w:name="_Toc59546218"/>
      <w:bookmarkEnd w:id="3080"/>
      <w:bookmarkStart w:id="3081" w:name="_Toc58320237"/>
      <w:bookmarkEnd w:id="3081"/>
      <w:bookmarkStart w:id="3082" w:name="_Toc59542917"/>
      <w:bookmarkEnd w:id="3082"/>
      <w:bookmarkStart w:id="3083" w:name="_Toc59203957"/>
      <w:bookmarkEnd w:id="3083"/>
      <w:bookmarkStart w:id="3084" w:name="_Toc58320118"/>
      <w:bookmarkEnd w:id="3084"/>
      <w:bookmarkStart w:id="3085" w:name="_Toc59113834"/>
      <w:bookmarkEnd w:id="3085"/>
      <w:bookmarkStart w:id="3086" w:name="_Toc59204059"/>
      <w:bookmarkEnd w:id="3086"/>
      <w:bookmarkStart w:id="3087" w:name="_Toc59113887"/>
      <w:bookmarkEnd w:id="3087"/>
      <w:bookmarkStart w:id="3088" w:name="_Toc59546128"/>
      <w:bookmarkEnd w:id="3088"/>
      <w:bookmarkStart w:id="3089" w:name="_Toc59021576"/>
      <w:bookmarkEnd w:id="3089"/>
      <w:bookmarkStart w:id="3090" w:name="_Toc58858023"/>
      <w:bookmarkEnd w:id="3090"/>
      <w:bookmarkStart w:id="3091" w:name="_Toc59113445"/>
      <w:bookmarkEnd w:id="3091"/>
      <w:bookmarkStart w:id="3092" w:name="_Toc58320302"/>
      <w:bookmarkEnd w:id="3092"/>
      <w:bookmarkStart w:id="3093" w:name="_Toc59542854"/>
      <w:bookmarkEnd w:id="3093"/>
      <w:bookmarkStart w:id="3094" w:name="_Toc58862087"/>
      <w:bookmarkEnd w:id="3094"/>
      <w:bookmarkStart w:id="3095" w:name="_Toc59209351"/>
      <w:bookmarkEnd w:id="3095"/>
      <w:bookmarkStart w:id="3096" w:name="_Toc59542855"/>
      <w:bookmarkEnd w:id="3096"/>
      <w:bookmarkStart w:id="3097" w:name="_Toc59631341"/>
      <w:bookmarkEnd w:id="3097"/>
      <w:bookmarkStart w:id="3098" w:name="_Toc58861834"/>
      <w:bookmarkEnd w:id="3098"/>
      <w:bookmarkStart w:id="3099" w:name="_Toc59209302"/>
      <w:bookmarkEnd w:id="3099"/>
      <w:bookmarkStart w:id="3100" w:name="_Toc59631323"/>
      <w:bookmarkEnd w:id="3100"/>
      <w:bookmarkStart w:id="3101" w:name="_Toc58861784"/>
      <w:bookmarkEnd w:id="3101"/>
      <w:bookmarkStart w:id="3102" w:name="_Toc58320105"/>
      <w:bookmarkEnd w:id="3102"/>
      <w:bookmarkStart w:id="3103" w:name="_Toc59113459"/>
      <w:bookmarkEnd w:id="3103"/>
      <w:bookmarkStart w:id="3104" w:name="_Toc59017262"/>
      <w:bookmarkEnd w:id="3104"/>
      <w:bookmarkStart w:id="3105" w:name="_Toc59546124"/>
      <w:bookmarkEnd w:id="3105"/>
      <w:bookmarkStart w:id="3106" w:name="_Toc58320333"/>
      <w:bookmarkEnd w:id="3106"/>
      <w:bookmarkStart w:id="3107" w:name="_Toc58862045"/>
      <w:bookmarkEnd w:id="3107"/>
      <w:bookmarkStart w:id="3108" w:name="_Toc59017384"/>
      <w:bookmarkEnd w:id="3108"/>
      <w:bookmarkStart w:id="3109" w:name="_Toc59021452"/>
      <w:bookmarkEnd w:id="3109"/>
      <w:bookmarkStart w:id="3110" w:name="_Toc59017056"/>
      <w:bookmarkEnd w:id="3110"/>
      <w:bookmarkStart w:id="3111" w:name="_Toc59631352"/>
      <w:bookmarkEnd w:id="3111"/>
      <w:bookmarkStart w:id="3112" w:name="_Toc58861858"/>
      <w:bookmarkEnd w:id="3112"/>
      <w:bookmarkStart w:id="3113" w:name="_Toc59113470"/>
      <w:bookmarkEnd w:id="3113"/>
      <w:bookmarkStart w:id="3114" w:name="_Toc59114876"/>
      <w:bookmarkEnd w:id="3114"/>
      <w:bookmarkStart w:id="3115" w:name="_Toc59204076"/>
      <w:bookmarkEnd w:id="3115"/>
      <w:bookmarkStart w:id="3116" w:name="_Toc58858095"/>
      <w:bookmarkEnd w:id="3116"/>
      <w:bookmarkStart w:id="3117" w:name="_Toc58861860"/>
      <w:bookmarkEnd w:id="3117"/>
      <w:bookmarkStart w:id="3118" w:name="_Toc59630363"/>
      <w:bookmarkEnd w:id="3118"/>
      <w:bookmarkStart w:id="3119" w:name="_Toc59209379"/>
      <w:bookmarkEnd w:id="3119"/>
      <w:bookmarkStart w:id="3120" w:name="_Toc59114874"/>
      <w:bookmarkEnd w:id="3120"/>
      <w:bookmarkStart w:id="3121" w:name="_Toc59716943"/>
      <w:bookmarkEnd w:id="3121"/>
      <w:bookmarkStart w:id="3122" w:name="_Toc59113917"/>
      <w:bookmarkEnd w:id="3122"/>
      <w:bookmarkStart w:id="3123" w:name="_Toc59630377"/>
      <w:bookmarkEnd w:id="3123"/>
      <w:bookmarkStart w:id="3124" w:name="_Toc59546258"/>
      <w:bookmarkEnd w:id="3124"/>
      <w:bookmarkStart w:id="3125" w:name="_Toc59117093"/>
      <w:bookmarkEnd w:id="3125"/>
      <w:bookmarkStart w:id="3126" w:name="_Toc59117084"/>
      <w:bookmarkEnd w:id="3126"/>
      <w:bookmarkStart w:id="3127" w:name="_Toc59021588"/>
      <w:bookmarkEnd w:id="3127"/>
      <w:bookmarkStart w:id="3128" w:name="_Toc59017084"/>
      <w:bookmarkEnd w:id="3128"/>
      <w:bookmarkStart w:id="3129" w:name="_Toc59204090"/>
      <w:bookmarkEnd w:id="3129"/>
      <w:bookmarkStart w:id="3130" w:name="_Toc58861843"/>
      <w:bookmarkEnd w:id="3130"/>
      <w:bookmarkStart w:id="3131" w:name="_Toc59209350"/>
      <w:bookmarkEnd w:id="3131"/>
      <w:bookmarkStart w:id="3132" w:name="_Toc59016945"/>
      <w:bookmarkEnd w:id="3132"/>
      <w:bookmarkStart w:id="3133" w:name="_Toc59209293"/>
      <w:bookmarkEnd w:id="3133"/>
      <w:bookmarkStart w:id="3134" w:name="_Toc58320378"/>
      <w:bookmarkEnd w:id="3134"/>
      <w:bookmarkStart w:id="3135" w:name="_Toc59542993"/>
      <w:bookmarkEnd w:id="3135"/>
      <w:bookmarkStart w:id="3136" w:name="_Toc59117087"/>
      <w:bookmarkEnd w:id="3136"/>
      <w:bookmarkStart w:id="3137" w:name="_Toc58858096"/>
      <w:bookmarkEnd w:id="3137"/>
      <w:bookmarkStart w:id="3138" w:name="_Toc59016949"/>
      <w:bookmarkEnd w:id="3138"/>
      <w:bookmarkStart w:id="3139" w:name="_Toc59113484"/>
      <w:bookmarkEnd w:id="3139"/>
      <w:bookmarkStart w:id="3140" w:name="_Toc59113780"/>
      <w:bookmarkEnd w:id="3140"/>
      <w:bookmarkStart w:id="3141" w:name="_Toc58861855"/>
      <w:bookmarkEnd w:id="3141"/>
      <w:bookmarkStart w:id="3142" w:name="_Toc59631356"/>
      <w:bookmarkEnd w:id="3142"/>
      <w:bookmarkStart w:id="3143" w:name="_Toc58320127"/>
      <w:bookmarkEnd w:id="3143"/>
      <w:bookmarkStart w:id="3144" w:name="_Toc59017392"/>
      <w:bookmarkEnd w:id="3144"/>
      <w:bookmarkStart w:id="3145" w:name="_Toc58862123"/>
      <w:bookmarkEnd w:id="3145"/>
      <w:bookmarkStart w:id="3146" w:name="_Toc59631357"/>
      <w:bookmarkEnd w:id="3146"/>
      <w:bookmarkStart w:id="3147" w:name="_Toc58861854"/>
      <w:bookmarkEnd w:id="3147"/>
      <w:bookmarkStart w:id="3148" w:name="_Toc58320376"/>
      <w:bookmarkEnd w:id="3148"/>
      <w:bookmarkStart w:id="3149" w:name="_Toc59546261"/>
      <w:bookmarkEnd w:id="3149"/>
      <w:bookmarkStart w:id="3150" w:name="_Toc58862127"/>
      <w:bookmarkEnd w:id="3150"/>
      <w:bookmarkStart w:id="3151" w:name="_Toc59117096"/>
      <w:bookmarkEnd w:id="3151"/>
      <w:bookmarkStart w:id="3152" w:name="_Toc59021589"/>
      <w:bookmarkEnd w:id="3152"/>
      <w:bookmarkStart w:id="3153" w:name="_Toc58861862"/>
      <w:bookmarkEnd w:id="3153"/>
      <w:bookmarkStart w:id="3154" w:name="_Toc59117094"/>
      <w:bookmarkEnd w:id="3154"/>
      <w:bookmarkStart w:id="3155" w:name="_Toc59114891"/>
      <w:bookmarkEnd w:id="3155"/>
      <w:bookmarkStart w:id="3156" w:name="_Toc59017400"/>
      <w:bookmarkEnd w:id="3156"/>
      <w:bookmarkStart w:id="3157" w:name="_Toc58320139"/>
      <w:bookmarkEnd w:id="3157"/>
      <w:bookmarkStart w:id="3158" w:name="_Toc59546265"/>
      <w:bookmarkEnd w:id="3158"/>
      <w:bookmarkStart w:id="3159" w:name="_Toc59204088"/>
      <w:bookmarkEnd w:id="3159"/>
      <w:bookmarkStart w:id="3160" w:name="_Toc58862119"/>
      <w:bookmarkEnd w:id="3160"/>
      <w:bookmarkStart w:id="3161" w:name="_Toc59546264"/>
      <w:bookmarkEnd w:id="3161"/>
      <w:bookmarkStart w:id="3162" w:name="_Toc58862125"/>
      <w:bookmarkEnd w:id="3162"/>
      <w:bookmarkStart w:id="3163" w:name="_Toc59017397"/>
      <w:bookmarkEnd w:id="3163"/>
      <w:bookmarkStart w:id="3164" w:name="_Toc59113485"/>
      <w:bookmarkEnd w:id="3164"/>
      <w:bookmarkStart w:id="3165" w:name="_Toc59542988"/>
      <w:bookmarkEnd w:id="3165"/>
      <w:bookmarkStart w:id="3166" w:name="_Toc58862115"/>
      <w:bookmarkEnd w:id="3166"/>
      <w:bookmarkStart w:id="3167" w:name="_Toc59204089"/>
      <w:bookmarkEnd w:id="3167"/>
      <w:bookmarkStart w:id="3168" w:name="_Toc58320128"/>
      <w:bookmarkEnd w:id="3168"/>
      <w:bookmarkStart w:id="3169" w:name="_Toc59716936"/>
      <w:bookmarkEnd w:id="3169"/>
      <w:bookmarkStart w:id="3170" w:name="_Toc59546260"/>
      <w:bookmarkEnd w:id="3170"/>
      <w:bookmarkStart w:id="3171" w:name="_Toc59716933"/>
      <w:bookmarkEnd w:id="3171"/>
      <w:bookmarkStart w:id="3172" w:name="_Toc59017394"/>
      <w:bookmarkEnd w:id="3172"/>
      <w:bookmarkStart w:id="3173" w:name="_Toc59113914"/>
      <w:bookmarkEnd w:id="3173"/>
      <w:bookmarkStart w:id="3174" w:name="_Toc59113915"/>
      <w:bookmarkEnd w:id="3174"/>
      <w:bookmarkStart w:id="3175" w:name="_Toc59631351"/>
      <w:bookmarkEnd w:id="3175"/>
      <w:bookmarkStart w:id="3176" w:name="_Toc59017085"/>
      <w:bookmarkEnd w:id="3176"/>
      <w:bookmarkStart w:id="3177" w:name="_Toc59546267"/>
      <w:bookmarkEnd w:id="3177"/>
      <w:bookmarkStart w:id="3178" w:name="_Toc58320375"/>
      <w:bookmarkEnd w:id="3178"/>
      <w:bookmarkStart w:id="3179" w:name="_Toc58862122"/>
      <w:bookmarkEnd w:id="3179"/>
      <w:bookmarkStart w:id="3180" w:name="_Toc59017080"/>
      <w:bookmarkEnd w:id="3180"/>
      <w:bookmarkStart w:id="3181" w:name="_Toc59204092"/>
      <w:bookmarkEnd w:id="3181"/>
      <w:bookmarkStart w:id="3182" w:name="_Toc58861861"/>
      <w:bookmarkEnd w:id="3182"/>
      <w:bookmarkStart w:id="3183" w:name="_Toc58320386"/>
      <w:bookmarkEnd w:id="3183"/>
      <w:bookmarkStart w:id="3184" w:name="_Toc59204095"/>
      <w:bookmarkEnd w:id="3184"/>
      <w:bookmarkStart w:id="3185" w:name="_Toc59117089"/>
      <w:bookmarkEnd w:id="3185"/>
      <w:bookmarkStart w:id="3186" w:name="_Toc59117092"/>
      <w:bookmarkEnd w:id="3186"/>
      <w:bookmarkStart w:id="3187" w:name="_Toc59113486"/>
      <w:bookmarkEnd w:id="3187"/>
      <w:bookmarkStart w:id="3188" w:name="_Toc59630380"/>
      <w:bookmarkEnd w:id="3188"/>
      <w:bookmarkStart w:id="3189" w:name="_Toc59113491"/>
      <w:bookmarkEnd w:id="3189"/>
      <w:bookmarkStart w:id="3190" w:name="_Toc59716937"/>
      <w:bookmarkEnd w:id="3190"/>
      <w:bookmarkStart w:id="3191" w:name="_Toc58858100"/>
      <w:bookmarkEnd w:id="3191"/>
      <w:bookmarkStart w:id="3192" w:name="_Toc59542998"/>
      <w:bookmarkEnd w:id="3192"/>
      <w:bookmarkStart w:id="3193" w:name="_Toc58320126"/>
      <w:bookmarkEnd w:id="3193"/>
      <w:bookmarkStart w:id="3194" w:name="_Toc58861863"/>
      <w:bookmarkEnd w:id="3194"/>
      <w:bookmarkStart w:id="3195" w:name="_Toc59630374"/>
      <w:bookmarkEnd w:id="3195"/>
      <w:bookmarkStart w:id="3196" w:name="_Toc96358480"/>
      <w:bookmarkStart w:id="3197" w:name="_Toc535322538"/>
      <w:bookmarkStart w:id="3198" w:name="_Toc2214"/>
      <w:bookmarkStart w:id="3199" w:name="_Toc114734633"/>
      <w:bookmarkStart w:id="3200" w:name="_Toc126321315"/>
      <w:bookmarkStart w:id="3201" w:name="_Toc70600683"/>
      <w:bookmarkStart w:id="3202" w:name="_Toc13143"/>
      <w:bookmarkStart w:id="3203" w:name="_Toc19888444"/>
      <w:bookmarkStart w:id="3204" w:name="_Toc30575377"/>
      <w:bookmarkStart w:id="3205" w:name="_Toc7258"/>
      <w:bookmarkStart w:id="3206" w:name="_Toc7427"/>
      <w:r>
        <w:rPr>
          <w:rFonts w:hint="eastAsia"/>
        </w:rPr>
        <w:t>电气设计</w:t>
      </w:r>
      <w:bookmarkEnd w:id="3196"/>
      <w:bookmarkEnd w:id="3197"/>
      <w:bookmarkEnd w:id="3198"/>
      <w:bookmarkEnd w:id="3199"/>
      <w:bookmarkEnd w:id="3200"/>
      <w:bookmarkEnd w:id="3201"/>
      <w:bookmarkEnd w:id="3202"/>
      <w:bookmarkEnd w:id="3203"/>
      <w:bookmarkEnd w:id="3204"/>
      <w:bookmarkEnd w:id="3205"/>
      <w:bookmarkEnd w:id="3206"/>
    </w:p>
    <w:p>
      <w:pPr>
        <w:pStyle w:val="4"/>
        <w:numPr>
          <w:ilvl w:val="0"/>
          <w:numId w:val="0"/>
        </w:numPr>
        <w:rPr>
          <w:b/>
          <w:bCs w:val="0"/>
          <w:lang w:val="zh-CN"/>
        </w:rPr>
      </w:pPr>
      <w:r>
        <w:rPr>
          <w:b/>
          <w:bCs w:val="0"/>
          <w:lang w:val="zh-CN"/>
        </w:rPr>
        <w:t>4.9.1</w:t>
      </w:r>
      <w:r>
        <w:rPr>
          <w:b/>
          <w:bCs w:val="0"/>
        </w:rPr>
        <w:t xml:space="preserve">  </w:t>
      </w:r>
      <w:r>
        <w:rPr>
          <w:rFonts w:hint="eastAsia"/>
          <w:bCs w:val="0"/>
          <w:lang w:val="zh-CN"/>
        </w:rPr>
        <w:t>地下式城镇污水处理厂电气设计应根据工程规模、</w:t>
      </w:r>
      <w:r>
        <w:rPr>
          <w:rFonts w:hint="eastAsia"/>
          <w:bCs w:val="0"/>
        </w:rPr>
        <w:t>工艺流程、</w:t>
      </w:r>
      <w:r>
        <w:rPr>
          <w:rFonts w:hint="eastAsia"/>
          <w:bCs w:val="0"/>
          <w:lang w:val="zh-CN"/>
        </w:rPr>
        <w:t>运行管理、电业电网供电及管理要求确定。</w:t>
      </w:r>
    </w:p>
    <w:p>
      <w:pPr>
        <w:pStyle w:val="4"/>
        <w:numPr>
          <w:ilvl w:val="0"/>
          <w:numId w:val="0"/>
        </w:numPr>
        <w:rPr>
          <w:b/>
          <w:bCs w:val="0"/>
        </w:rPr>
      </w:pPr>
      <w:r>
        <w:rPr>
          <w:b/>
          <w:bCs w:val="0"/>
          <w:lang w:val="zh-CN"/>
        </w:rPr>
        <w:t>4.9.2</w:t>
      </w:r>
      <w:r>
        <w:rPr>
          <w:b/>
          <w:bCs w:val="0"/>
        </w:rPr>
        <w:t xml:space="preserve">  </w:t>
      </w:r>
      <w:r>
        <w:rPr>
          <w:rFonts w:hint="eastAsia" w:ascii="宋体" w:hAnsi="宋体"/>
        </w:rPr>
        <w:t>供电系统应按二级负荷设计，地下式城镇污水厂内的重要部位应按一级负荷设计，设置备用应急供电设施，并</w:t>
      </w:r>
      <w:r>
        <w:rPr>
          <w:rFonts w:hint="eastAsia"/>
          <w:bCs w:val="0"/>
          <w:lang w:val="zh-CN"/>
        </w:rPr>
        <w:t>应符合</w:t>
      </w:r>
      <w:r>
        <w:rPr>
          <w:rFonts w:hint="eastAsia"/>
          <w:bCs w:val="0"/>
        </w:rPr>
        <w:t>现行国家及行业标准《供配电系统设计规范》GB</w:t>
      </w:r>
      <w:r>
        <w:rPr>
          <w:bCs w:val="0"/>
        </w:rPr>
        <w:t xml:space="preserve"> </w:t>
      </w:r>
      <w:r>
        <w:rPr>
          <w:rFonts w:hint="eastAsia"/>
          <w:bCs w:val="0"/>
        </w:rPr>
        <w:t>50052和</w:t>
      </w:r>
      <w:r>
        <w:rPr>
          <w:rFonts w:hint="eastAsia"/>
          <w:bCs w:val="0"/>
          <w:lang w:val="zh-CN"/>
        </w:rPr>
        <w:t>《城镇排水系统电气与自动化工程技术标准》CJJ/T</w:t>
      </w:r>
      <w:r>
        <w:rPr>
          <w:bCs w:val="0"/>
          <w:lang w:val="zh-CN"/>
        </w:rPr>
        <w:t xml:space="preserve"> </w:t>
      </w:r>
      <w:r>
        <w:rPr>
          <w:rFonts w:hint="eastAsia"/>
          <w:bCs w:val="0"/>
          <w:lang w:val="zh-CN"/>
        </w:rPr>
        <w:t>120的</w:t>
      </w:r>
      <w:r>
        <w:rPr>
          <w:rFonts w:hint="eastAsia"/>
          <w:bCs w:val="0"/>
        </w:rPr>
        <w:t>有关</w:t>
      </w:r>
      <w:r>
        <w:rPr>
          <w:rFonts w:hint="eastAsia"/>
          <w:bCs w:val="0"/>
          <w:lang w:val="zh-CN"/>
        </w:rPr>
        <w:t>规定。</w:t>
      </w:r>
    </w:p>
    <w:p>
      <w:pPr>
        <w:pStyle w:val="4"/>
        <w:numPr>
          <w:ilvl w:val="0"/>
          <w:numId w:val="0"/>
        </w:numPr>
        <w:rPr>
          <w:b/>
          <w:bCs w:val="0"/>
          <w:lang w:val="zh-CN"/>
        </w:rPr>
      </w:pPr>
      <w:r>
        <w:rPr>
          <w:b/>
          <w:bCs w:val="0"/>
          <w:lang w:val="zh-CN"/>
        </w:rPr>
        <w:t>4.9.</w:t>
      </w:r>
      <w:r>
        <w:rPr>
          <w:rFonts w:hint="eastAsia"/>
          <w:b/>
          <w:bCs w:val="0"/>
        </w:rPr>
        <w:t>3</w:t>
      </w:r>
      <w:r>
        <w:rPr>
          <w:b/>
          <w:bCs w:val="0"/>
        </w:rPr>
        <w:t xml:space="preserve">  </w:t>
      </w:r>
      <w:r>
        <w:rPr>
          <w:rFonts w:hint="eastAsia"/>
          <w:lang w:val="zh-CN"/>
        </w:rPr>
        <w:t>供电系统需设置多个变电所时，宜采用两级供电方案，设置总变电所和分变电所。变电所宜</w:t>
      </w:r>
      <w:r>
        <w:rPr>
          <w:rFonts w:hint="eastAsia"/>
        </w:rPr>
        <w:t>靠近</w:t>
      </w:r>
      <w:r>
        <w:rPr>
          <w:rFonts w:hint="eastAsia"/>
          <w:lang w:val="zh-CN"/>
        </w:rPr>
        <w:t>负荷中心，方便设备和电缆进出，并应符合现行国家标准《20kV及以下变电所设计规范》的有关规定。</w:t>
      </w:r>
    </w:p>
    <w:p>
      <w:pPr>
        <w:pStyle w:val="4"/>
        <w:numPr>
          <w:ilvl w:val="0"/>
          <w:numId w:val="0"/>
        </w:numPr>
        <w:rPr>
          <w:lang w:val="zh-CN"/>
        </w:rPr>
      </w:pPr>
      <w:r>
        <w:rPr>
          <w:b/>
          <w:bCs w:val="0"/>
          <w:lang w:val="zh-CN"/>
        </w:rPr>
        <w:t>4.9.</w:t>
      </w:r>
      <w:r>
        <w:rPr>
          <w:rFonts w:hint="eastAsia"/>
          <w:b/>
          <w:bCs w:val="0"/>
        </w:rPr>
        <w:t>4</w:t>
      </w:r>
      <w:r>
        <w:rPr>
          <w:b/>
          <w:bCs w:val="0"/>
        </w:rPr>
        <w:t xml:space="preserve">  </w:t>
      </w:r>
      <w:r>
        <w:rPr>
          <w:rFonts w:hint="eastAsia"/>
          <w:lang w:val="zh-CN"/>
        </w:rPr>
        <w:t>地下式城镇污水处理厂的变电所、配电间、控制室不应设置在地下空间的最底层。</w:t>
      </w:r>
    </w:p>
    <w:p>
      <w:pPr>
        <w:pStyle w:val="4"/>
        <w:numPr>
          <w:ilvl w:val="0"/>
          <w:numId w:val="0"/>
        </w:numPr>
        <w:rPr>
          <w:b/>
          <w:bCs w:val="0"/>
        </w:rPr>
      </w:pPr>
      <w:r>
        <w:rPr>
          <w:b/>
          <w:bCs w:val="0"/>
          <w:lang w:val="zh-CN"/>
        </w:rPr>
        <w:t>4.9.</w:t>
      </w:r>
      <w:r>
        <w:rPr>
          <w:rFonts w:hint="eastAsia"/>
          <w:b/>
          <w:bCs w:val="0"/>
        </w:rPr>
        <w:t>5</w:t>
      </w:r>
      <w:r>
        <w:rPr>
          <w:b/>
          <w:bCs w:val="0"/>
        </w:rPr>
        <w:t xml:space="preserve">  </w:t>
      </w:r>
      <w:r>
        <w:rPr>
          <w:rFonts w:hint="eastAsia"/>
          <w:bCs w:val="0"/>
          <w:szCs w:val="24"/>
        </w:rPr>
        <w:t>地下空间内变电所、配电间、控制室应独立房间布置，带变频、软启动的控制柜宜设置在控制室，配置独立的新风或空调系统。</w:t>
      </w:r>
    </w:p>
    <w:p>
      <w:pPr>
        <w:pStyle w:val="4"/>
        <w:numPr>
          <w:ilvl w:val="0"/>
          <w:numId w:val="0"/>
        </w:numPr>
        <w:rPr>
          <w:b/>
          <w:bCs w:val="0"/>
          <w:lang w:val="zh-CN"/>
        </w:rPr>
      </w:pPr>
      <w:r>
        <w:rPr>
          <w:b/>
          <w:bCs w:val="0"/>
          <w:lang w:val="zh-CN"/>
        </w:rPr>
        <w:t>4.9.</w:t>
      </w:r>
      <w:r>
        <w:rPr>
          <w:rFonts w:hint="eastAsia"/>
          <w:b/>
          <w:bCs w:val="0"/>
        </w:rPr>
        <w:t>6</w:t>
      </w:r>
      <w:r>
        <w:rPr>
          <w:b/>
          <w:bCs w:val="0"/>
        </w:rPr>
        <w:t xml:space="preserve">  </w:t>
      </w:r>
      <w:r>
        <w:rPr>
          <w:rFonts w:hint="eastAsia"/>
          <w:bCs w:val="0"/>
          <w:szCs w:val="24"/>
        </w:rPr>
        <w:t>进出地下空间的线缆宜通过电缆竖井敷设，并应采取防水措施。电缆穿墙部位宜采用防水耐火组件。电缆沟、电缆井宜采用独立的排水系统。</w:t>
      </w:r>
    </w:p>
    <w:p>
      <w:pPr>
        <w:pStyle w:val="4"/>
        <w:numPr>
          <w:ilvl w:val="0"/>
          <w:numId w:val="0"/>
        </w:numPr>
        <w:rPr>
          <w:b/>
          <w:bCs w:val="0"/>
        </w:rPr>
      </w:pPr>
      <w:r>
        <w:rPr>
          <w:b/>
          <w:bCs w:val="0"/>
          <w:lang w:val="zh-CN"/>
        </w:rPr>
        <w:t>4.9.</w:t>
      </w:r>
      <w:r>
        <w:rPr>
          <w:rFonts w:hint="eastAsia"/>
          <w:b/>
          <w:bCs w:val="0"/>
        </w:rPr>
        <w:t>7</w:t>
      </w:r>
      <w:r>
        <w:rPr>
          <w:b/>
          <w:bCs w:val="0"/>
        </w:rPr>
        <w:t xml:space="preserve">  </w:t>
      </w:r>
      <w:r>
        <w:rPr>
          <w:rFonts w:hint="eastAsia"/>
        </w:rPr>
        <w:t>变压器布置在</w:t>
      </w:r>
      <w:r>
        <w:rPr>
          <w:rFonts w:hint="eastAsia"/>
          <w:szCs w:val="24"/>
        </w:rPr>
        <w:t>地下空间时，不应采用油浸式设备，</w:t>
      </w:r>
      <w:r>
        <w:rPr>
          <w:rFonts w:hint="eastAsia" w:ascii="宋体" w:hAnsi="宋体"/>
        </w:rPr>
        <w:t>宜采用干式节能型变压器</w:t>
      </w:r>
      <w:r>
        <w:rPr>
          <w:rFonts w:hint="eastAsia"/>
          <w:szCs w:val="24"/>
        </w:rPr>
        <w:t>。</w:t>
      </w:r>
    </w:p>
    <w:p>
      <w:pPr>
        <w:pStyle w:val="4"/>
        <w:numPr>
          <w:ilvl w:val="0"/>
          <w:numId w:val="0"/>
        </w:numPr>
        <w:rPr>
          <w:b/>
          <w:bCs w:val="0"/>
        </w:rPr>
      </w:pPr>
      <w:r>
        <w:rPr>
          <w:b/>
          <w:bCs w:val="0"/>
          <w:lang w:val="zh-CN"/>
        </w:rPr>
        <w:t>4.9.</w:t>
      </w:r>
      <w:r>
        <w:rPr>
          <w:rFonts w:hint="eastAsia"/>
          <w:b/>
          <w:bCs w:val="0"/>
        </w:rPr>
        <w:t>8</w:t>
      </w:r>
      <w:r>
        <w:rPr>
          <w:b/>
          <w:bCs w:val="0"/>
        </w:rPr>
        <w:t xml:space="preserve">  </w:t>
      </w:r>
      <w:r>
        <w:rPr>
          <w:rFonts w:hint="eastAsia"/>
          <w:bCs w:val="0"/>
          <w:szCs w:val="24"/>
        </w:rPr>
        <w:t>地下式城镇污水处理厂的电气设备应设置防潮防腐措施。</w:t>
      </w:r>
    </w:p>
    <w:p>
      <w:pPr>
        <w:pStyle w:val="4"/>
        <w:numPr>
          <w:ilvl w:val="0"/>
          <w:numId w:val="0"/>
        </w:numPr>
        <w:rPr>
          <w:b/>
          <w:bCs w:val="0"/>
        </w:rPr>
      </w:pPr>
      <w:r>
        <w:rPr>
          <w:b/>
          <w:bCs w:val="0"/>
          <w:lang w:val="zh-CN"/>
        </w:rPr>
        <w:t>4.9.</w:t>
      </w:r>
      <w:r>
        <w:rPr>
          <w:rFonts w:hint="eastAsia"/>
          <w:b/>
          <w:bCs w:val="0"/>
        </w:rPr>
        <w:t>9</w:t>
      </w:r>
      <w:r>
        <w:rPr>
          <w:b/>
          <w:bCs w:val="0"/>
        </w:rPr>
        <w:t xml:space="preserve">  </w:t>
      </w:r>
      <w:r>
        <w:rPr>
          <w:rFonts w:hint="eastAsia"/>
          <w:bCs w:val="0"/>
          <w:szCs w:val="24"/>
        </w:rPr>
        <w:t>地下式城镇污水处理厂的电缆宜采用阻燃电缆，消防设备电缆应采用耐火电缆。</w:t>
      </w:r>
    </w:p>
    <w:p>
      <w:pPr>
        <w:widowControl/>
        <w:tabs>
          <w:tab w:val="left" w:pos="-2549"/>
          <w:tab w:val="left" w:pos="-991"/>
          <w:tab w:val="left" w:pos="567"/>
        </w:tabs>
        <w:ind w:firstLine="0" w:firstLineChars="0"/>
        <w:rPr>
          <w:rFonts w:ascii="宋体" w:hAnsi="宋体"/>
          <w:b/>
          <w:lang w:val="zh-CN"/>
        </w:rPr>
      </w:pPr>
      <w:r>
        <w:rPr>
          <w:b/>
          <w:lang w:val="zh-CN"/>
        </w:rPr>
        <w:t>4.9.</w:t>
      </w:r>
      <w:r>
        <w:rPr>
          <w:rFonts w:hint="eastAsia"/>
          <w:b/>
        </w:rPr>
        <w:t>10</w:t>
      </w:r>
      <w:r>
        <w:rPr>
          <w:b/>
        </w:rPr>
        <w:t xml:space="preserve">  </w:t>
      </w:r>
      <w:r>
        <w:rPr>
          <w:rFonts w:hint="eastAsia" w:ascii="宋体" w:hAnsi="宋体"/>
          <w:lang w:val="zh-CN"/>
        </w:rPr>
        <w:t>地下空间内</w:t>
      </w:r>
      <w:r>
        <w:rPr>
          <w:rFonts w:hint="eastAsia" w:ascii="宋体" w:hAnsi="宋体"/>
        </w:rPr>
        <w:t>应</w:t>
      </w:r>
      <w:r>
        <w:rPr>
          <w:rFonts w:hint="eastAsia" w:ascii="宋体" w:hAnsi="宋体"/>
          <w:lang w:val="zh-CN"/>
        </w:rPr>
        <w:t>设置正常照明和应急照明。</w:t>
      </w:r>
      <w:r>
        <w:rPr>
          <w:rFonts w:hint="eastAsia" w:ascii="宋体" w:hAnsi="宋体"/>
        </w:rPr>
        <w:t>照明灯具</w:t>
      </w:r>
      <w:r>
        <w:rPr>
          <w:rFonts w:hint="eastAsia" w:ascii="宋体" w:hAnsi="宋体"/>
          <w:lang w:val="zh-CN"/>
        </w:rPr>
        <w:t>应选用防潮防腐节能灯具，防爆</w:t>
      </w:r>
      <w:r>
        <w:rPr>
          <w:rFonts w:hint="eastAsia" w:ascii="宋体" w:hAnsi="宋体"/>
        </w:rPr>
        <w:t>区域</w:t>
      </w:r>
      <w:r>
        <w:rPr>
          <w:rFonts w:hint="eastAsia" w:ascii="宋体" w:hAnsi="宋体"/>
          <w:lang w:val="zh-CN"/>
        </w:rPr>
        <w:t>应采用防爆灯具。</w:t>
      </w:r>
      <w:r>
        <w:rPr>
          <w:rFonts w:hint="eastAsia" w:ascii="宋体" w:hAnsi="宋体"/>
        </w:rPr>
        <w:t>地下空间</w:t>
      </w:r>
      <w:r>
        <w:rPr>
          <w:rFonts w:ascii="宋体" w:hAnsi="宋体"/>
          <w:lang w:bidi="ar"/>
        </w:rPr>
        <w:t>可采用光导照明等利用自然光的照明装置。</w:t>
      </w:r>
    </w:p>
    <w:p>
      <w:pPr>
        <w:pStyle w:val="4"/>
        <w:numPr>
          <w:ilvl w:val="0"/>
          <w:numId w:val="0"/>
        </w:numPr>
        <w:rPr>
          <w:b/>
          <w:bCs w:val="0"/>
          <w:lang w:val="zh-CN"/>
        </w:rPr>
      </w:pPr>
      <w:r>
        <w:rPr>
          <w:b/>
          <w:bCs w:val="0"/>
          <w:lang w:val="zh-CN"/>
        </w:rPr>
        <w:t>4.9.</w:t>
      </w:r>
      <w:r>
        <w:rPr>
          <w:rFonts w:hint="eastAsia"/>
          <w:b/>
          <w:bCs w:val="0"/>
        </w:rPr>
        <w:t>11</w:t>
      </w:r>
      <w:r>
        <w:rPr>
          <w:b/>
          <w:bCs w:val="0"/>
        </w:rPr>
        <w:t xml:space="preserve">  </w:t>
      </w:r>
      <w:r>
        <w:rPr>
          <w:rFonts w:hint="eastAsia"/>
          <w:bCs w:val="0"/>
          <w:lang w:val="zh-CN"/>
        </w:rPr>
        <w:t>地下式城镇污水处理厂各区域照明标准</w:t>
      </w:r>
      <w:r>
        <w:rPr>
          <w:rFonts w:hint="eastAsia"/>
          <w:bCs w:val="0"/>
        </w:rPr>
        <w:t>可按表4.9.11的规定取值，并</w:t>
      </w:r>
      <w:r>
        <w:rPr>
          <w:rFonts w:hint="eastAsia"/>
          <w:bCs w:val="0"/>
          <w:lang w:val="zh-CN"/>
        </w:rPr>
        <w:t>应符合</w:t>
      </w:r>
      <w:r>
        <w:rPr>
          <w:rFonts w:hint="eastAsia"/>
          <w:bCs w:val="0"/>
        </w:rPr>
        <w:t>现行国家标准</w:t>
      </w:r>
      <w:r>
        <w:rPr>
          <w:rFonts w:hint="eastAsia"/>
          <w:bCs w:val="0"/>
          <w:lang w:val="zh-CN"/>
        </w:rPr>
        <w:t>《建筑节能与可再生能源利用通用规范》</w:t>
      </w:r>
      <w:r>
        <w:rPr>
          <w:bCs w:val="0"/>
          <w:lang w:val="zh-CN"/>
        </w:rPr>
        <w:t xml:space="preserve"> GB </w:t>
      </w:r>
      <w:r>
        <w:rPr>
          <w:rFonts w:hint="eastAsia"/>
          <w:bCs w:val="0"/>
          <w:lang w:val="zh-CN"/>
        </w:rPr>
        <w:t>5</w:t>
      </w:r>
      <w:r>
        <w:rPr>
          <w:bCs w:val="0"/>
          <w:lang w:val="zh-CN"/>
        </w:rPr>
        <w:t>5015</w:t>
      </w:r>
      <w:r>
        <w:rPr>
          <w:rFonts w:hint="eastAsia"/>
          <w:bCs w:val="0"/>
          <w:lang w:val="zh-CN"/>
        </w:rPr>
        <w:t>的相关规定。</w:t>
      </w:r>
    </w:p>
    <w:p>
      <w:pPr>
        <w:ind w:firstLine="560"/>
        <w:jc w:val="center"/>
        <w:rPr>
          <w:rFonts w:eastAsia="黑体" w:cs="黑体"/>
          <w:bCs/>
          <w:szCs w:val="21"/>
        </w:rPr>
      </w:pPr>
      <w:bookmarkStart w:id="3207" w:name="_Toc33888595"/>
      <w:bookmarkStart w:id="3208" w:name="_Toc11935"/>
      <w:bookmarkStart w:id="3209" w:name="_Toc33861349"/>
      <w:r>
        <w:rPr>
          <w:rFonts w:hint="eastAsia" w:eastAsia="黑体" w:cs="黑体"/>
          <w:bCs/>
          <w:szCs w:val="21"/>
        </w:rPr>
        <w:t>表4.9.11  各区域照明标准</w:t>
      </w:r>
      <w:bookmarkEnd w:id="3207"/>
      <w:bookmarkEnd w:id="3208"/>
      <w:bookmarkEnd w:id="3209"/>
    </w:p>
    <w:tbl>
      <w:tblPr>
        <w:tblStyle w:val="23"/>
        <w:tblW w:w="85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301"/>
        <w:gridCol w:w="1402"/>
        <w:gridCol w:w="1686"/>
        <w:gridCol w:w="25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 w:hRule="atLeast"/>
          <w:jc w:val="center"/>
        </w:trPr>
        <w:tc>
          <w:tcPr>
            <w:tcW w:w="599" w:type="dxa"/>
            <w:tcBorders>
              <w:tl2br w:val="nil"/>
              <w:tr2bl w:val="nil"/>
            </w:tcBorders>
            <w:vAlign w:val="center"/>
          </w:tcPr>
          <w:p>
            <w:pPr>
              <w:pStyle w:val="127"/>
              <w:jc w:val="center"/>
              <w:rPr>
                <w:rFonts w:ascii="Times New Roman" w:hAnsi="Times New Roman" w:cs="Times New Roman"/>
                <w:bCs/>
                <w:szCs w:val="21"/>
              </w:rPr>
            </w:pPr>
            <w:r>
              <w:rPr>
                <w:rFonts w:hint="eastAsia" w:ascii="Times New Roman" w:hAnsi="Times New Roman" w:cs="Times New Roman"/>
                <w:bCs/>
                <w:szCs w:val="21"/>
              </w:rPr>
              <w:t>序号</w:t>
            </w:r>
          </w:p>
        </w:tc>
        <w:tc>
          <w:tcPr>
            <w:tcW w:w="2253" w:type="dxa"/>
            <w:tcBorders>
              <w:tl2br w:val="nil"/>
              <w:tr2bl w:val="nil"/>
            </w:tcBorders>
            <w:vAlign w:val="center"/>
          </w:tcPr>
          <w:p>
            <w:pPr>
              <w:pStyle w:val="127"/>
              <w:jc w:val="center"/>
              <w:rPr>
                <w:rFonts w:ascii="Times New Roman" w:hAnsi="Times New Roman" w:cs="Times New Roman"/>
                <w:bCs/>
                <w:szCs w:val="21"/>
              </w:rPr>
            </w:pPr>
            <w:r>
              <w:rPr>
                <w:rFonts w:hint="eastAsia" w:ascii="Times New Roman" w:hAnsi="Times New Roman" w:cs="Times New Roman"/>
                <w:bCs/>
                <w:szCs w:val="21"/>
              </w:rPr>
              <w:t>区域</w:t>
            </w:r>
          </w:p>
        </w:tc>
        <w:tc>
          <w:tcPr>
            <w:tcW w:w="1373" w:type="dxa"/>
            <w:tcBorders>
              <w:tl2br w:val="nil"/>
              <w:tr2bl w:val="nil"/>
            </w:tcBorders>
            <w:vAlign w:val="center"/>
          </w:tcPr>
          <w:p>
            <w:pPr>
              <w:pStyle w:val="127"/>
              <w:jc w:val="center"/>
              <w:rPr>
                <w:rFonts w:ascii="Times New Roman" w:hAnsi="Times New Roman" w:cs="Times New Roman"/>
                <w:bCs/>
                <w:szCs w:val="21"/>
              </w:rPr>
            </w:pPr>
            <w:r>
              <w:rPr>
                <w:rFonts w:hint="eastAsia" w:ascii="Times New Roman" w:hAnsi="Times New Roman" w:cs="Times New Roman"/>
                <w:bCs/>
                <w:szCs w:val="21"/>
              </w:rPr>
              <w:t>参考平面</w:t>
            </w:r>
          </w:p>
        </w:tc>
        <w:tc>
          <w:tcPr>
            <w:tcW w:w="1651" w:type="dxa"/>
            <w:tcBorders>
              <w:tl2br w:val="nil"/>
              <w:tr2bl w:val="nil"/>
            </w:tcBorders>
            <w:vAlign w:val="center"/>
          </w:tcPr>
          <w:p>
            <w:pPr>
              <w:pStyle w:val="127"/>
              <w:jc w:val="center"/>
              <w:rPr>
                <w:rFonts w:ascii="Times New Roman" w:hAnsi="Times New Roman" w:cs="Times New Roman"/>
                <w:bCs/>
                <w:szCs w:val="21"/>
              </w:rPr>
            </w:pPr>
            <w:r>
              <w:rPr>
                <w:rFonts w:hint="eastAsia" w:ascii="Times New Roman" w:hAnsi="Times New Roman" w:cs="Times New Roman"/>
                <w:bCs/>
                <w:szCs w:val="21"/>
              </w:rPr>
              <w:t>照度标准值（lx）</w:t>
            </w:r>
          </w:p>
        </w:tc>
        <w:tc>
          <w:tcPr>
            <w:tcW w:w="2467" w:type="dxa"/>
            <w:tcBorders>
              <w:tl2br w:val="nil"/>
              <w:tr2bl w:val="nil"/>
            </w:tcBorders>
            <w:vAlign w:val="center"/>
          </w:tcPr>
          <w:p>
            <w:pPr>
              <w:pStyle w:val="127"/>
              <w:ind w:right="2"/>
              <w:jc w:val="center"/>
              <w:rPr>
                <w:rFonts w:ascii="Times New Roman" w:hAnsi="Times New Roman" w:cs="Times New Roman"/>
                <w:bCs/>
                <w:szCs w:val="21"/>
              </w:rPr>
            </w:pPr>
            <w:r>
              <w:rPr>
                <w:rFonts w:hint="eastAsia" w:ascii="Times New Roman" w:hAnsi="Times New Roman" w:cs="Times New Roman"/>
                <w:bCs/>
                <w:szCs w:val="21"/>
              </w:rPr>
              <w:t>照明功率密度限值（W/m</w:t>
            </w:r>
            <w:r>
              <w:rPr>
                <w:rFonts w:ascii="Times New Roman" w:hAnsi="Times New Roman" w:cs="Times New Roman"/>
                <w:bCs/>
                <w:szCs w:val="21"/>
              </w:rPr>
              <w:t>²</w:t>
            </w:r>
            <w:r>
              <w:rPr>
                <w:rFonts w:hint="eastAsia" w:ascii="Times New Roman" w:hAnsi="Times New Roman" w:cs="Times New Roman"/>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 w:hRule="atLeast"/>
          <w:jc w:val="center"/>
        </w:trPr>
        <w:tc>
          <w:tcPr>
            <w:tcW w:w="599" w:type="dxa"/>
            <w:tcBorders>
              <w:tl2br w:val="nil"/>
              <w:tr2bl w:val="nil"/>
            </w:tcBorders>
            <w:vAlign w:val="center"/>
          </w:tcPr>
          <w:p>
            <w:pPr>
              <w:pStyle w:val="127"/>
              <w:ind w:right="1"/>
              <w:jc w:val="center"/>
              <w:rPr>
                <w:rFonts w:ascii="Times New Roman" w:hAnsi="Times New Roman" w:cs="Times New Roman"/>
                <w:bCs/>
                <w:szCs w:val="21"/>
              </w:rPr>
            </w:pPr>
            <w:r>
              <w:rPr>
                <w:rFonts w:ascii="Times New Roman" w:hAnsi="Times New Roman" w:cs="Times New Roman"/>
                <w:bCs/>
                <w:szCs w:val="21"/>
              </w:rPr>
              <w:t>1</w:t>
            </w:r>
          </w:p>
        </w:tc>
        <w:tc>
          <w:tcPr>
            <w:tcW w:w="225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地下厂区内操作区域</w:t>
            </w:r>
          </w:p>
        </w:tc>
        <w:tc>
          <w:tcPr>
            <w:tcW w:w="137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操作位平面</w:t>
            </w:r>
          </w:p>
        </w:tc>
        <w:tc>
          <w:tcPr>
            <w:tcW w:w="1651" w:type="dxa"/>
            <w:tcBorders>
              <w:tl2br w:val="nil"/>
              <w:tr2bl w:val="nil"/>
            </w:tcBorders>
            <w:vAlign w:val="center"/>
          </w:tcPr>
          <w:p>
            <w:pPr>
              <w:pStyle w:val="127"/>
              <w:jc w:val="center"/>
              <w:rPr>
                <w:rFonts w:ascii="Times New Roman" w:hAnsi="Times New Roman" w:cs="Times New Roman"/>
                <w:bCs/>
                <w:szCs w:val="21"/>
              </w:rPr>
            </w:pPr>
            <w:r>
              <w:rPr>
                <w:rFonts w:ascii="Times New Roman" w:hAnsi="Times New Roman" w:cs="Times New Roman"/>
                <w:bCs/>
                <w:szCs w:val="21"/>
              </w:rPr>
              <w:t>100</w:t>
            </w:r>
          </w:p>
        </w:tc>
        <w:tc>
          <w:tcPr>
            <w:tcW w:w="2467" w:type="dxa"/>
            <w:tcBorders>
              <w:tl2br w:val="nil"/>
              <w:tr2bl w:val="nil"/>
            </w:tcBorders>
            <w:vAlign w:val="center"/>
          </w:tcPr>
          <w:p>
            <w:pPr>
              <w:pStyle w:val="127"/>
              <w:ind w:right="2"/>
              <w:jc w:val="center"/>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 w:hRule="atLeast"/>
          <w:jc w:val="center"/>
        </w:trPr>
        <w:tc>
          <w:tcPr>
            <w:tcW w:w="599" w:type="dxa"/>
            <w:tcBorders>
              <w:tl2br w:val="nil"/>
              <w:tr2bl w:val="nil"/>
            </w:tcBorders>
            <w:vAlign w:val="center"/>
          </w:tcPr>
          <w:p>
            <w:pPr>
              <w:pStyle w:val="127"/>
              <w:ind w:right="1"/>
              <w:jc w:val="center"/>
              <w:rPr>
                <w:rFonts w:ascii="Times New Roman" w:hAnsi="Times New Roman" w:cs="Times New Roman"/>
                <w:bCs/>
                <w:szCs w:val="21"/>
              </w:rPr>
            </w:pPr>
            <w:r>
              <w:rPr>
                <w:rFonts w:ascii="Times New Roman" w:hAnsi="Times New Roman" w:cs="Times New Roman"/>
                <w:bCs/>
                <w:szCs w:val="21"/>
              </w:rPr>
              <w:t>2</w:t>
            </w:r>
          </w:p>
        </w:tc>
        <w:tc>
          <w:tcPr>
            <w:tcW w:w="225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主通道、风机房、泵房</w:t>
            </w:r>
          </w:p>
        </w:tc>
        <w:tc>
          <w:tcPr>
            <w:tcW w:w="137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地面</w:t>
            </w:r>
          </w:p>
        </w:tc>
        <w:tc>
          <w:tcPr>
            <w:tcW w:w="1651" w:type="dxa"/>
            <w:tcBorders>
              <w:tl2br w:val="nil"/>
              <w:tr2bl w:val="nil"/>
            </w:tcBorders>
            <w:vAlign w:val="center"/>
          </w:tcPr>
          <w:p>
            <w:pPr>
              <w:pStyle w:val="127"/>
              <w:ind w:left="2"/>
              <w:jc w:val="center"/>
              <w:rPr>
                <w:rFonts w:ascii="Times New Roman" w:hAnsi="Times New Roman" w:cs="Times New Roman"/>
                <w:bCs/>
                <w:szCs w:val="21"/>
              </w:rPr>
            </w:pPr>
            <w:r>
              <w:rPr>
                <w:rFonts w:ascii="Times New Roman" w:hAnsi="Times New Roman" w:cs="Times New Roman"/>
                <w:bCs/>
                <w:szCs w:val="21"/>
              </w:rPr>
              <w:t>100</w:t>
            </w:r>
          </w:p>
        </w:tc>
        <w:tc>
          <w:tcPr>
            <w:tcW w:w="2467" w:type="dxa"/>
            <w:tcBorders>
              <w:tl2br w:val="nil"/>
              <w:tr2bl w:val="nil"/>
            </w:tcBorders>
            <w:vAlign w:val="center"/>
          </w:tcPr>
          <w:p>
            <w:pPr>
              <w:pStyle w:val="127"/>
              <w:ind w:right="3"/>
              <w:jc w:val="center"/>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 w:hRule="atLeast"/>
          <w:jc w:val="center"/>
        </w:trPr>
        <w:tc>
          <w:tcPr>
            <w:tcW w:w="599" w:type="dxa"/>
            <w:tcBorders>
              <w:tl2br w:val="nil"/>
              <w:tr2bl w:val="nil"/>
            </w:tcBorders>
            <w:vAlign w:val="center"/>
          </w:tcPr>
          <w:p>
            <w:pPr>
              <w:pStyle w:val="127"/>
              <w:ind w:right="1"/>
              <w:jc w:val="center"/>
              <w:rPr>
                <w:rFonts w:ascii="Times New Roman" w:hAnsi="Times New Roman" w:cs="Times New Roman"/>
                <w:bCs/>
                <w:szCs w:val="21"/>
              </w:rPr>
            </w:pPr>
            <w:r>
              <w:rPr>
                <w:rFonts w:ascii="Times New Roman" w:hAnsi="Times New Roman" w:cs="Times New Roman"/>
                <w:bCs/>
                <w:szCs w:val="21"/>
              </w:rPr>
              <w:t>3</w:t>
            </w:r>
          </w:p>
        </w:tc>
        <w:tc>
          <w:tcPr>
            <w:tcW w:w="225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污泥脱水机房、加药间</w:t>
            </w:r>
          </w:p>
        </w:tc>
        <w:tc>
          <w:tcPr>
            <w:tcW w:w="137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0.75m水平面</w:t>
            </w:r>
          </w:p>
        </w:tc>
        <w:tc>
          <w:tcPr>
            <w:tcW w:w="1651" w:type="dxa"/>
            <w:tcBorders>
              <w:tl2br w:val="nil"/>
              <w:tr2bl w:val="nil"/>
            </w:tcBorders>
            <w:vAlign w:val="center"/>
          </w:tcPr>
          <w:p>
            <w:pPr>
              <w:pStyle w:val="127"/>
              <w:ind w:left="2"/>
              <w:jc w:val="center"/>
              <w:rPr>
                <w:rFonts w:ascii="Times New Roman" w:hAnsi="Times New Roman" w:cs="Times New Roman"/>
                <w:bCs/>
                <w:szCs w:val="21"/>
              </w:rPr>
            </w:pPr>
            <w:r>
              <w:rPr>
                <w:rFonts w:ascii="Times New Roman" w:hAnsi="Times New Roman" w:cs="Times New Roman"/>
                <w:bCs/>
                <w:szCs w:val="21"/>
              </w:rPr>
              <w:t>150</w:t>
            </w:r>
          </w:p>
        </w:tc>
        <w:tc>
          <w:tcPr>
            <w:tcW w:w="2467" w:type="dxa"/>
            <w:tcBorders>
              <w:tl2br w:val="nil"/>
              <w:tr2bl w:val="nil"/>
            </w:tcBorders>
            <w:vAlign w:val="center"/>
          </w:tcPr>
          <w:p>
            <w:pPr>
              <w:pStyle w:val="127"/>
              <w:ind w:right="3"/>
              <w:jc w:val="center"/>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 w:hRule="atLeast"/>
          <w:jc w:val="center"/>
        </w:trPr>
        <w:tc>
          <w:tcPr>
            <w:tcW w:w="599" w:type="dxa"/>
            <w:tcBorders>
              <w:tl2br w:val="nil"/>
              <w:tr2bl w:val="nil"/>
            </w:tcBorders>
            <w:vAlign w:val="center"/>
          </w:tcPr>
          <w:p>
            <w:pPr>
              <w:pStyle w:val="127"/>
              <w:ind w:right="1"/>
              <w:jc w:val="center"/>
              <w:rPr>
                <w:rFonts w:ascii="Times New Roman" w:hAnsi="Times New Roman" w:cs="Times New Roman"/>
                <w:bCs/>
                <w:szCs w:val="21"/>
              </w:rPr>
            </w:pPr>
            <w:r>
              <w:rPr>
                <w:rFonts w:ascii="Times New Roman" w:hAnsi="Times New Roman" w:cs="Times New Roman"/>
                <w:bCs/>
                <w:szCs w:val="21"/>
              </w:rPr>
              <w:t>4</w:t>
            </w:r>
          </w:p>
        </w:tc>
        <w:tc>
          <w:tcPr>
            <w:tcW w:w="225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深度处理间</w:t>
            </w:r>
          </w:p>
        </w:tc>
        <w:tc>
          <w:tcPr>
            <w:tcW w:w="137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0.75m水平面</w:t>
            </w:r>
          </w:p>
        </w:tc>
        <w:tc>
          <w:tcPr>
            <w:tcW w:w="1651" w:type="dxa"/>
            <w:tcBorders>
              <w:tl2br w:val="nil"/>
              <w:tr2bl w:val="nil"/>
            </w:tcBorders>
            <w:vAlign w:val="center"/>
          </w:tcPr>
          <w:p>
            <w:pPr>
              <w:pStyle w:val="127"/>
              <w:ind w:left="2"/>
              <w:jc w:val="center"/>
              <w:rPr>
                <w:rFonts w:ascii="Times New Roman" w:hAnsi="Times New Roman" w:cs="Times New Roman"/>
                <w:bCs/>
                <w:szCs w:val="21"/>
              </w:rPr>
            </w:pPr>
            <w:r>
              <w:rPr>
                <w:rFonts w:ascii="Times New Roman" w:hAnsi="Times New Roman" w:cs="Times New Roman"/>
                <w:bCs/>
                <w:szCs w:val="21"/>
              </w:rPr>
              <w:t>100</w:t>
            </w:r>
          </w:p>
        </w:tc>
        <w:tc>
          <w:tcPr>
            <w:tcW w:w="2467" w:type="dxa"/>
            <w:tcBorders>
              <w:tl2br w:val="nil"/>
              <w:tr2bl w:val="nil"/>
            </w:tcBorders>
            <w:vAlign w:val="center"/>
          </w:tcPr>
          <w:p>
            <w:pPr>
              <w:pStyle w:val="127"/>
              <w:ind w:right="3"/>
              <w:jc w:val="center"/>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 w:hRule="atLeast"/>
          <w:jc w:val="center"/>
        </w:trPr>
        <w:tc>
          <w:tcPr>
            <w:tcW w:w="599" w:type="dxa"/>
            <w:tcBorders>
              <w:tl2br w:val="nil"/>
              <w:tr2bl w:val="nil"/>
            </w:tcBorders>
            <w:vAlign w:val="center"/>
          </w:tcPr>
          <w:p>
            <w:pPr>
              <w:pStyle w:val="127"/>
              <w:ind w:right="1"/>
              <w:jc w:val="center"/>
              <w:rPr>
                <w:rFonts w:ascii="Times New Roman" w:hAnsi="Times New Roman" w:cs="Times New Roman"/>
                <w:bCs/>
                <w:szCs w:val="21"/>
              </w:rPr>
            </w:pPr>
            <w:r>
              <w:rPr>
                <w:rFonts w:ascii="Times New Roman" w:hAnsi="Times New Roman" w:cs="Times New Roman"/>
                <w:bCs/>
                <w:szCs w:val="21"/>
              </w:rPr>
              <w:t>5</w:t>
            </w:r>
          </w:p>
        </w:tc>
        <w:tc>
          <w:tcPr>
            <w:tcW w:w="225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中央控制室、化验室</w:t>
            </w:r>
          </w:p>
        </w:tc>
        <w:tc>
          <w:tcPr>
            <w:tcW w:w="137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0.75m水平面</w:t>
            </w:r>
          </w:p>
        </w:tc>
        <w:tc>
          <w:tcPr>
            <w:tcW w:w="1651" w:type="dxa"/>
            <w:tcBorders>
              <w:tl2br w:val="nil"/>
              <w:tr2bl w:val="nil"/>
            </w:tcBorders>
            <w:vAlign w:val="center"/>
          </w:tcPr>
          <w:p>
            <w:pPr>
              <w:pStyle w:val="127"/>
              <w:ind w:left="2"/>
              <w:jc w:val="center"/>
              <w:rPr>
                <w:rFonts w:ascii="Times New Roman" w:hAnsi="Times New Roman" w:cs="Times New Roman"/>
                <w:bCs/>
                <w:szCs w:val="21"/>
              </w:rPr>
            </w:pPr>
            <w:r>
              <w:rPr>
                <w:rFonts w:ascii="Times New Roman" w:hAnsi="Times New Roman" w:cs="Times New Roman"/>
                <w:bCs/>
                <w:szCs w:val="21"/>
              </w:rPr>
              <w:t>300</w:t>
            </w:r>
          </w:p>
        </w:tc>
        <w:tc>
          <w:tcPr>
            <w:tcW w:w="2467" w:type="dxa"/>
            <w:tcBorders>
              <w:tl2br w:val="nil"/>
              <w:tr2bl w:val="nil"/>
            </w:tcBorders>
            <w:vAlign w:val="center"/>
          </w:tcPr>
          <w:p>
            <w:pPr>
              <w:pStyle w:val="127"/>
              <w:ind w:right="3"/>
              <w:jc w:val="center"/>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 w:hRule="atLeast"/>
          <w:jc w:val="center"/>
        </w:trPr>
        <w:tc>
          <w:tcPr>
            <w:tcW w:w="599" w:type="dxa"/>
            <w:tcBorders>
              <w:tl2br w:val="nil"/>
              <w:tr2bl w:val="nil"/>
            </w:tcBorders>
            <w:vAlign w:val="center"/>
          </w:tcPr>
          <w:p>
            <w:pPr>
              <w:pStyle w:val="127"/>
              <w:ind w:right="1"/>
              <w:jc w:val="center"/>
              <w:rPr>
                <w:rFonts w:ascii="Times New Roman" w:hAnsi="Times New Roman" w:cs="Times New Roman"/>
                <w:bCs/>
                <w:szCs w:val="21"/>
              </w:rPr>
            </w:pPr>
            <w:r>
              <w:rPr>
                <w:rFonts w:ascii="Times New Roman" w:hAnsi="Times New Roman" w:cs="Times New Roman"/>
                <w:bCs/>
                <w:szCs w:val="21"/>
              </w:rPr>
              <w:t>6</w:t>
            </w:r>
          </w:p>
        </w:tc>
        <w:tc>
          <w:tcPr>
            <w:tcW w:w="225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变电所、配电室</w:t>
            </w:r>
          </w:p>
        </w:tc>
        <w:tc>
          <w:tcPr>
            <w:tcW w:w="1373" w:type="dxa"/>
            <w:tcBorders>
              <w:tl2br w:val="nil"/>
              <w:tr2bl w:val="nil"/>
            </w:tcBorders>
            <w:vAlign w:val="center"/>
          </w:tcPr>
          <w:p>
            <w:pPr>
              <w:pStyle w:val="127"/>
              <w:jc w:val="left"/>
              <w:rPr>
                <w:rFonts w:ascii="Times New Roman" w:hAnsi="Times New Roman" w:cs="Times New Roman"/>
                <w:bCs/>
                <w:szCs w:val="21"/>
              </w:rPr>
            </w:pPr>
            <w:r>
              <w:rPr>
                <w:rFonts w:hint="eastAsia" w:ascii="Times New Roman" w:hAnsi="Times New Roman" w:cs="Times New Roman"/>
                <w:bCs/>
                <w:szCs w:val="21"/>
              </w:rPr>
              <w:t>0.75m水平面</w:t>
            </w:r>
          </w:p>
        </w:tc>
        <w:tc>
          <w:tcPr>
            <w:tcW w:w="1651" w:type="dxa"/>
            <w:tcBorders>
              <w:tl2br w:val="nil"/>
              <w:tr2bl w:val="nil"/>
            </w:tcBorders>
            <w:vAlign w:val="center"/>
          </w:tcPr>
          <w:p>
            <w:pPr>
              <w:pStyle w:val="127"/>
              <w:ind w:left="2"/>
              <w:jc w:val="center"/>
              <w:rPr>
                <w:rFonts w:ascii="Times New Roman" w:hAnsi="Times New Roman" w:cs="Times New Roman"/>
                <w:bCs/>
                <w:szCs w:val="21"/>
              </w:rPr>
            </w:pPr>
            <w:r>
              <w:rPr>
                <w:rFonts w:ascii="Times New Roman" w:hAnsi="Times New Roman" w:cs="Times New Roman"/>
                <w:bCs/>
                <w:szCs w:val="21"/>
              </w:rPr>
              <w:t>200</w:t>
            </w:r>
          </w:p>
        </w:tc>
        <w:tc>
          <w:tcPr>
            <w:tcW w:w="2467" w:type="dxa"/>
            <w:tcBorders>
              <w:tl2br w:val="nil"/>
              <w:tr2bl w:val="nil"/>
            </w:tcBorders>
            <w:vAlign w:val="center"/>
          </w:tcPr>
          <w:p>
            <w:pPr>
              <w:pStyle w:val="127"/>
              <w:ind w:right="3"/>
              <w:jc w:val="center"/>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8345" w:type="dxa"/>
            <w:gridSpan w:val="5"/>
            <w:tcBorders>
              <w:tl2br w:val="nil"/>
              <w:tr2bl w:val="nil"/>
            </w:tcBorders>
            <w:vAlign w:val="center"/>
          </w:tcPr>
          <w:p>
            <w:pPr>
              <w:pStyle w:val="127"/>
              <w:ind w:right="3"/>
              <w:jc w:val="left"/>
              <w:rPr>
                <w:rFonts w:ascii="Times New Roman" w:hAnsi="Times New Roman" w:cs="Times New Roman"/>
                <w:bCs/>
                <w:szCs w:val="21"/>
              </w:rPr>
            </w:pPr>
            <w:r>
              <w:rPr>
                <w:rFonts w:hint="eastAsia" w:ascii="Times New Roman" w:hAnsi="Times New Roman" w:cs="Times New Roman"/>
                <w:bCs/>
                <w:szCs w:val="21"/>
              </w:rPr>
              <w:t>注：对于结构复杂、空间狭小、视觉对操作安全有重要影响的作业场所，作业面或参考平面的照度标准值可按现行国家标准《建筑节能与可再生能源利用通用规范建筑照明设计标准》 GB 5003455015的分级提高一级。</w:t>
            </w:r>
          </w:p>
        </w:tc>
      </w:tr>
    </w:tbl>
    <w:p>
      <w:pPr>
        <w:widowControl/>
        <w:tabs>
          <w:tab w:val="left" w:pos="-2549"/>
          <w:tab w:val="left" w:pos="-991"/>
          <w:tab w:val="left" w:pos="567"/>
        </w:tabs>
        <w:ind w:firstLine="560"/>
        <w:rPr>
          <w:bCs/>
          <w:lang w:val="zh-CN"/>
        </w:rPr>
      </w:pPr>
    </w:p>
    <w:p>
      <w:pPr>
        <w:pStyle w:val="4"/>
        <w:numPr>
          <w:ilvl w:val="0"/>
          <w:numId w:val="0"/>
        </w:numPr>
        <w:rPr>
          <w:bCs w:val="0"/>
          <w:lang w:val="zh-CN"/>
        </w:rPr>
      </w:pPr>
      <w:r>
        <w:rPr>
          <w:b/>
          <w:bCs w:val="0"/>
          <w:lang w:val="zh-CN"/>
        </w:rPr>
        <w:t>4.9.</w:t>
      </w:r>
      <w:r>
        <w:rPr>
          <w:rFonts w:hint="eastAsia"/>
          <w:b/>
          <w:bCs w:val="0"/>
        </w:rPr>
        <w:t>12</w:t>
      </w:r>
      <w:r>
        <w:rPr>
          <w:b/>
          <w:bCs w:val="0"/>
        </w:rPr>
        <w:t xml:space="preserve">  </w:t>
      </w:r>
      <w:r>
        <w:rPr>
          <w:rFonts w:hint="eastAsia"/>
          <w:bCs w:val="0"/>
          <w:lang w:val="zh-CN"/>
        </w:rPr>
        <w:t>地下式城镇污水处理厂宜设置智能照明控制系统，对不同工况的不同照度进线控制，提高照明效率及有效节能。</w:t>
      </w:r>
    </w:p>
    <w:p>
      <w:pPr>
        <w:pStyle w:val="4"/>
        <w:numPr>
          <w:ilvl w:val="0"/>
          <w:numId w:val="0"/>
        </w:numPr>
        <w:rPr>
          <w:bCs w:val="0"/>
          <w:lang w:val="zh-CN"/>
        </w:rPr>
      </w:pPr>
      <w:r>
        <w:rPr>
          <w:b/>
          <w:bCs w:val="0"/>
          <w:lang w:val="zh-CN"/>
        </w:rPr>
        <w:t>4.9.</w:t>
      </w:r>
      <w:r>
        <w:rPr>
          <w:rFonts w:hint="eastAsia"/>
          <w:b/>
          <w:bCs w:val="0"/>
        </w:rPr>
        <w:t>1</w:t>
      </w:r>
      <w:r>
        <w:rPr>
          <w:b/>
          <w:bCs w:val="0"/>
        </w:rPr>
        <w:t xml:space="preserve">3  </w:t>
      </w:r>
      <w:r>
        <w:rPr>
          <w:rFonts w:hint="eastAsia"/>
          <w:bCs w:val="0"/>
        </w:rPr>
        <w:t>电气设备效能及选型应符合现行国家标准《建筑节能与可再生能源利用通用规范》GB 55015</w:t>
      </w:r>
      <w:r>
        <w:rPr>
          <w:bCs w:val="0"/>
        </w:rPr>
        <w:t xml:space="preserve"> </w:t>
      </w:r>
      <w:r>
        <w:rPr>
          <w:rFonts w:hint="eastAsia"/>
          <w:bCs w:val="0"/>
        </w:rPr>
        <w:t>的有关规定</w:t>
      </w:r>
      <w:r>
        <w:rPr>
          <w:rFonts w:hint="eastAsia"/>
          <w:bCs w:val="0"/>
          <w:lang w:val="zh-CN"/>
        </w:rPr>
        <w:t>。</w:t>
      </w:r>
    </w:p>
    <w:p>
      <w:pPr>
        <w:pStyle w:val="4"/>
        <w:numPr>
          <w:ilvl w:val="0"/>
          <w:numId w:val="0"/>
        </w:numPr>
        <w:rPr>
          <w:bCs w:val="0"/>
          <w:lang w:val="zh-CN"/>
        </w:rPr>
      </w:pPr>
      <w:r>
        <w:rPr>
          <w:b/>
          <w:bCs w:val="0"/>
          <w:lang w:val="zh-CN"/>
        </w:rPr>
        <w:t>4.9.</w:t>
      </w:r>
      <w:r>
        <w:rPr>
          <w:rFonts w:hint="eastAsia"/>
          <w:b/>
          <w:bCs w:val="0"/>
        </w:rPr>
        <w:t>1</w:t>
      </w:r>
      <w:r>
        <w:rPr>
          <w:b/>
          <w:bCs w:val="0"/>
        </w:rPr>
        <w:t xml:space="preserve">4  </w:t>
      </w:r>
      <w:r>
        <w:rPr>
          <w:rFonts w:hint="eastAsia"/>
          <w:bCs w:val="0"/>
        </w:rPr>
        <w:t>地下式城镇污水处理厂防雷接地应符合现行国家标准《建筑物防雷设计规范》GB 5</w:t>
      </w:r>
      <w:r>
        <w:rPr>
          <w:bCs w:val="0"/>
        </w:rPr>
        <w:t>0</w:t>
      </w:r>
      <w:r>
        <w:rPr>
          <w:rFonts w:hint="eastAsia"/>
          <w:bCs w:val="0"/>
        </w:rPr>
        <w:t>0</w:t>
      </w:r>
      <w:r>
        <w:rPr>
          <w:bCs w:val="0"/>
        </w:rPr>
        <w:t xml:space="preserve">57 </w:t>
      </w:r>
      <w:r>
        <w:rPr>
          <w:rFonts w:hint="eastAsia"/>
          <w:bCs w:val="0"/>
        </w:rPr>
        <w:t>的有关规定</w:t>
      </w:r>
      <w:r>
        <w:rPr>
          <w:rFonts w:hint="eastAsia"/>
          <w:bCs w:val="0"/>
          <w:lang w:val="zh-CN"/>
        </w:rPr>
        <w:t>。</w:t>
      </w:r>
    </w:p>
    <w:p>
      <w:pPr>
        <w:pStyle w:val="4"/>
        <w:numPr>
          <w:ilvl w:val="0"/>
          <w:numId w:val="0"/>
        </w:numPr>
        <w:rPr>
          <w:lang w:val="zh-CN"/>
        </w:rPr>
      </w:pPr>
      <w:r>
        <w:rPr>
          <w:b/>
          <w:bCs w:val="0"/>
          <w:lang w:val="zh-CN"/>
        </w:rPr>
        <w:t>4.9.15</w:t>
      </w:r>
      <w:r>
        <w:rPr>
          <w:b/>
          <w:bCs w:val="0"/>
        </w:rPr>
        <w:t xml:space="preserve">  </w:t>
      </w:r>
      <w:r>
        <w:rPr>
          <w:rFonts w:hint="eastAsia"/>
        </w:rPr>
        <w:t>地下式城镇污水处理厂电气设计宜优先采用“可再生能源利用”相应技术，促进节能降耗、实现智能控制，保障人员安全和运行安全。</w:t>
      </w:r>
    </w:p>
    <w:p>
      <w:pPr>
        <w:ind w:firstLine="0" w:firstLineChars="0"/>
      </w:pPr>
    </w:p>
    <w:p>
      <w:pPr>
        <w:pStyle w:val="3"/>
        <w:spacing w:before="624" w:after="624"/>
      </w:pPr>
      <w:bookmarkStart w:id="3210" w:name="_Toc59716970"/>
      <w:bookmarkEnd w:id="3210"/>
      <w:bookmarkStart w:id="3211" w:name="_Toc59209398"/>
      <w:bookmarkEnd w:id="3211"/>
      <w:bookmarkStart w:id="3212" w:name="_Toc59113505"/>
      <w:bookmarkEnd w:id="3212"/>
      <w:bookmarkStart w:id="3213" w:name="_Toc58861881"/>
      <w:bookmarkEnd w:id="3213"/>
      <w:bookmarkStart w:id="3214" w:name="_Toc59117108"/>
      <w:bookmarkEnd w:id="3214"/>
      <w:bookmarkStart w:id="3215" w:name="_Toc59017106"/>
      <w:bookmarkEnd w:id="3215"/>
      <w:bookmarkStart w:id="3216" w:name="_Toc59716974"/>
      <w:bookmarkEnd w:id="3216"/>
      <w:bookmarkStart w:id="3217" w:name="_Toc59631373"/>
      <w:bookmarkEnd w:id="3217"/>
      <w:bookmarkStart w:id="3218" w:name="_Toc59546279"/>
      <w:bookmarkEnd w:id="3218"/>
      <w:bookmarkStart w:id="3219" w:name="_Toc59117122"/>
      <w:bookmarkEnd w:id="3219"/>
      <w:bookmarkStart w:id="3220" w:name="_Toc59021611"/>
      <w:bookmarkEnd w:id="3220"/>
      <w:bookmarkStart w:id="3221" w:name="_Toc59209402"/>
      <w:bookmarkEnd w:id="3221"/>
      <w:bookmarkStart w:id="3222" w:name="_Toc59546280"/>
      <w:bookmarkEnd w:id="3222"/>
      <w:bookmarkStart w:id="3223" w:name="_Toc59543024"/>
      <w:bookmarkEnd w:id="3223"/>
      <w:bookmarkStart w:id="3224" w:name="_Toc59113518"/>
      <w:bookmarkEnd w:id="3224"/>
      <w:bookmarkStart w:id="3225" w:name="_Toc59716964"/>
      <w:bookmarkEnd w:id="3225"/>
      <w:bookmarkStart w:id="3226" w:name="_Toc59021620"/>
      <w:bookmarkEnd w:id="3226"/>
      <w:bookmarkStart w:id="3227" w:name="_Toc59114917"/>
      <w:bookmarkEnd w:id="3227"/>
      <w:bookmarkStart w:id="3228" w:name="_Toc58862153"/>
      <w:bookmarkEnd w:id="3228"/>
      <w:bookmarkStart w:id="3229" w:name="_Toc59546289"/>
      <w:bookmarkEnd w:id="3229"/>
      <w:bookmarkStart w:id="3230" w:name="_Toc59113517"/>
      <w:bookmarkEnd w:id="3230"/>
      <w:bookmarkStart w:id="3231" w:name="_Toc59021608"/>
      <w:bookmarkEnd w:id="3231"/>
      <w:bookmarkStart w:id="3232" w:name="_Toc59716969"/>
      <w:bookmarkEnd w:id="3232"/>
      <w:bookmarkStart w:id="3233" w:name="_Toc59204110"/>
      <w:bookmarkEnd w:id="3233"/>
      <w:bookmarkStart w:id="3234" w:name="_Toc59114911"/>
      <w:bookmarkEnd w:id="3234"/>
      <w:bookmarkStart w:id="3235" w:name="_Toc59113512"/>
      <w:bookmarkEnd w:id="3235"/>
      <w:bookmarkStart w:id="3236" w:name="_Toc59204118"/>
      <w:bookmarkEnd w:id="3236"/>
      <w:bookmarkStart w:id="3237" w:name="_Toc59113943"/>
      <w:bookmarkEnd w:id="3237"/>
      <w:bookmarkStart w:id="3238" w:name="_Toc58862145"/>
      <w:bookmarkEnd w:id="3238"/>
      <w:bookmarkStart w:id="3239" w:name="_Toc59113949"/>
      <w:bookmarkEnd w:id="3239"/>
      <w:bookmarkStart w:id="3240" w:name="_Toc59021621"/>
      <w:bookmarkEnd w:id="3240"/>
      <w:bookmarkStart w:id="3241" w:name="_Toc59117120"/>
      <w:bookmarkEnd w:id="3241"/>
      <w:bookmarkStart w:id="3242" w:name="_Toc59017113"/>
      <w:bookmarkEnd w:id="3242"/>
      <w:bookmarkStart w:id="3243" w:name="_Toc58861889"/>
      <w:bookmarkEnd w:id="3243"/>
      <w:bookmarkStart w:id="3244" w:name="_Toc58861893"/>
      <w:bookmarkEnd w:id="3244"/>
      <w:bookmarkStart w:id="3245" w:name="_Toc59543023"/>
      <w:bookmarkEnd w:id="3245"/>
      <w:bookmarkStart w:id="3246" w:name="_Toc59117107"/>
      <w:bookmarkEnd w:id="3246"/>
      <w:bookmarkStart w:id="3247" w:name="_Toc59017413"/>
      <w:bookmarkEnd w:id="3247"/>
      <w:bookmarkStart w:id="3248" w:name="_Toc59117110"/>
      <w:bookmarkEnd w:id="3248"/>
      <w:bookmarkStart w:id="3249" w:name="_Toc59543017"/>
      <w:bookmarkEnd w:id="3249"/>
      <w:bookmarkStart w:id="3250" w:name="_Toc59017416"/>
      <w:bookmarkEnd w:id="3250"/>
      <w:bookmarkStart w:id="3251" w:name="_Toc59716963"/>
      <w:bookmarkEnd w:id="3251"/>
      <w:bookmarkStart w:id="3252" w:name="_Toc59021615"/>
      <w:bookmarkEnd w:id="3252"/>
      <w:bookmarkStart w:id="3253" w:name="_Toc59546290"/>
      <w:bookmarkEnd w:id="3253"/>
      <w:bookmarkStart w:id="3254" w:name="_Toc59021606"/>
      <w:bookmarkEnd w:id="3254"/>
      <w:bookmarkStart w:id="3255" w:name="_Toc59017415"/>
      <w:bookmarkEnd w:id="3255"/>
      <w:bookmarkStart w:id="3256" w:name="_Toc59631371"/>
      <w:bookmarkEnd w:id="3256"/>
      <w:bookmarkStart w:id="3257" w:name="_Toc58858128"/>
      <w:bookmarkEnd w:id="3257"/>
      <w:bookmarkStart w:id="3258" w:name="_Toc59017414"/>
      <w:bookmarkEnd w:id="3258"/>
      <w:bookmarkStart w:id="3259" w:name="_Toc58858119"/>
      <w:bookmarkEnd w:id="3259"/>
      <w:bookmarkStart w:id="3260" w:name="_Toc59117114"/>
      <w:bookmarkEnd w:id="3260"/>
      <w:bookmarkStart w:id="3261" w:name="_Toc59117116"/>
      <w:bookmarkEnd w:id="3261"/>
      <w:bookmarkStart w:id="3262" w:name="_Toc59017422"/>
      <w:bookmarkEnd w:id="3262"/>
      <w:bookmarkStart w:id="3263" w:name="_Toc59630402"/>
      <w:bookmarkEnd w:id="3263"/>
      <w:bookmarkStart w:id="3264" w:name="_Toc59113506"/>
      <w:bookmarkEnd w:id="3264"/>
      <w:bookmarkStart w:id="3265" w:name="_Toc59113933"/>
      <w:bookmarkEnd w:id="3265"/>
      <w:bookmarkStart w:id="3266" w:name="_Toc59017428"/>
      <w:bookmarkEnd w:id="3266"/>
      <w:bookmarkStart w:id="3267" w:name="_Toc59716973"/>
      <w:bookmarkEnd w:id="3267"/>
      <w:bookmarkStart w:id="3268" w:name="_Toc59114916"/>
      <w:bookmarkEnd w:id="3268"/>
      <w:bookmarkStart w:id="3269" w:name="_Toc59543011"/>
      <w:bookmarkEnd w:id="3269"/>
      <w:bookmarkStart w:id="3270" w:name="_Toc59716962"/>
      <w:bookmarkEnd w:id="3270"/>
      <w:bookmarkStart w:id="3271" w:name="_Toc59716958"/>
      <w:bookmarkEnd w:id="3271"/>
      <w:bookmarkStart w:id="3272" w:name="_Toc58861878"/>
      <w:bookmarkEnd w:id="3272"/>
      <w:bookmarkStart w:id="3273" w:name="_Toc59543020"/>
      <w:bookmarkEnd w:id="3273"/>
      <w:bookmarkStart w:id="3274" w:name="_Toc59117113"/>
      <w:bookmarkEnd w:id="3274"/>
      <w:bookmarkStart w:id="3275" w:name="_Toc59113947"/>
      <w:bookmarkEnd w:id="3275"/>
      <w:bookmarkStart w:id="3276" w:name="_Toc59209400"/>
      <w:bookmarkEnd w:id="3276"/>
      <w:bookmarkStart w:id="3277" w:name="_Toc59543013"/>
      <w:bookmarkEnd w:id="3277"/>
      <w:bookmarkStart w:id="3278" w:name="_Toc59546288"/>
      <w:bookmarkEnd w:id="3278"/>
      <w:bookmarkStart w:id="3279" w:name="_Toc59021616"/>
      <w:bookmarkEnd w:id="3279"/>
      <w:bookmarkStart w:id="3280" w:name="_Toc59209396"/>
      <w:bookmarkEnd w:id="3280"/>
      <w:bookmarkStart w:id="3281" w:name="_Toc59209399"/>
      <w:bookmarkEnd w:id="3281"/>
      <w:bookmarkStart w:id="3282" w:name="_Toc59017103"/>
      <w:bookmarkEnd w:id="3282"/>
      <w:bookmarkStart w:id="3283" w:name="_Toc59017425"/>
      <w:bookmarkEnd w:id="3283"/>
      <w:bookmarkStart w:id="3284" w:name="_Toc58858117"/>
      <w:bookmarkEnd w:id="3284"/>
      <w:bookmarkStart w:id="3285" w:name="_Toc59017111"/>
      <w:bookmarkEnd w:id="3285"/>
      <w:bookmarkStart w:id="3286" w:name="_Toc59017104"/>
      <w:bookmarkEnd w:id="3286"/>
      <w:bookmarkStart w:id="3287" w:name="_Toc59204119"/>
      <w:bookmarkEnd w:id="3287"/>
      <w:bookmarkStart w:id="3288" w:name="_Toc59204112"/>
      <w:bookmarkEnd w:id="3288"/>
      <w:bookmarkStart w:id="3289" w:name="_Toc59630403"/>
      <w:bookmarkEnd w:id="3289"/>
      <w:bookmarkStart w:id="3290" w:name="_Toc59631377"/>
      <w:bookmarkEnd w:id="3290"/>
      <w:bookmarkStart w:id="3291" w:name="_Toc59630405"/>
      <w:bookmarkEnd w:id="3291"/>
      <w:bookmarkStart w:id="3292" w:name="_Toc59113944"/>
      <w:bookmarkEnd w:id="3292"/>
      <w:bookmarkStart w:id="3293" w:name="_Toc59017107"/>
      <w:bookmarkEnd w:id="3293"/>
      <w:bookmarkStart w:id="3294" w:name="_Toc59114912"/>
      <w:bookmarkEnd w:id="3294"/>
      <w:bookmarkStart w:id="3295" w:name="_Toc59117112"/>
      <w:bookmarkEnd w:id="3295"/>
      <w:bookmarkStart w:id="3296" w:name="_Toc59113503"/>
      <w:bookmarkEnd w:id="3296"/>
      <w:bookmarkStart w:id="3297" w:name="_Toc58861892"/>
      <w:bookmarkEnd w:id="3297"/>
      <w:bookmarkStart w:id="3298" w:name="_Toc58861883"/>
      <w:bookmarkEnd w:id="3298"/>
      <w:bookmarkStart w:id="3299" w:name="_Toc59204115"/>
      <w:bookmarkEnd w:id="3299"/>
      <w:bookmarkStart w:id="3300" w:name="_Toc59021609"/>
      <w:bookmarkEnd w:id="3300"/>
      <w:bookmarkStart w:id="3301" w:name="_Toc58858115"/>
      <w:bookmarkEnd w:id="3301"/>
      <w:bookmarkStart w:id="3302" w:name="_Toc59546285"/>
      <w:bookmarkEnd w:id="3302"/>
      <w:bookmarkStart w:id="3303" w:name="_Toc59017417"/>
      <w:bookmarkEnd w:id="3303"/>
      <w:bookmarkStart w:id="3304" w:name="_Toc59543015"/>
      <w:bookmarkEnd w:id="3304"/>
      <w:bookmarkStart w:id="3305" w:name="_Toc59021614"/>
      <w:bookmarkEnd w:id="3305"/>
      <w:bookmarkStart w:id="3306" w:name="_Toc59631370"/>
      <w:bookmarkEnd w:id="3306"/>
      <w:bookmarkStart w:id="3307" w:name="_Toc59631381"/>
      <w:bookmarkEnd w:id="3307"/>
      <w:bookmarkStart w:id="3308" w:name="_Toc58858129"/>
      <w:bookmarkEnd w:id="3308"/>
      <w:bookmarkStart w:id="3309" w:name="_Toc59204107"/>
      <w:bookmarkEnd w:id="3309"/>
      <w:bookmarkStart w:id="3310" w:name="_Toc59543009"/>
      <w:bookmarkEnd w:id="3310"/>
      <w:bookmarkStart w:id="3311" w:name="_Toc59546286"/>
      <w:bookmarkEnd w:id="3311"/>
      <w:bookmarkStart w:id="3312" w:name="_Toc58858118"/>
      <w:bookmarkEnd w:id="3312"/>
      <w:bookmarkStart w:id="3313" w:name="_Toc59204121"/>
      <w:bookmarkEnd w:id="3313"/>
      <w:bookmarkStart w:id="3314" w:name="_Toc59114920"/>
      <w:bookmarkEnd w:id="3314"/>
      <w:bookmarkStart w:id="3315" w:name="_Toc59117109"/>
      <w:bookmarkEnd w:id="3315"/>
      <w:bookmarkStart w:id="3316" w:name="_Toc59113940"/>
      <w:bookmarkEnd w:id="3316"/>
      <w:bookmarkStart w:id="3317" w:name="_Toc59209409"/>
      <w:bookmarkEnd w:id="3317"/>
      <w:bookmarkStart w:id="3318" w:name="_Toc58861879"/>
      <w:bookmarkEnd w:id="3318"/>
      <w:bookmarkStart w:id="3319" w:name="_Toc59543021"/>
      <w:bookmarkEnd w:id="3319"/>
      <w:bookmarkStart w:id="3320" w:name="_Toc59546281"/>
      <w:bookmarkEnd w:id="3320"/>
      <w:bookmarkStart w:id="3321" w:name="_Toc59204120"/>
      <w:bookmarkEnd w:id="3321"/>
      <w:bookmarkStart w:id="3322" w:name="_Toc59021613"/>
      <w:bookmarkEnd w:id="3322"/>
      <w:bookmarkStart w:id="3323" w:name="_Toc59017427"/>
      <w:bookmarkEnd w:id="3323"/>
      <w:bookmarkStart w:id="3324" w:name="_Toc59631369"/>
      <w:bookmarkEnd w:id="3324"/>
      <w:bookmarkStart w:id="3325" w:name="_Toc58861891"/>
      <w:bookmarkEnd w:id="3325"/>
      <w:bookmarkStart w:id="3326" w:name="_Toc59209406"/>
      <w:bookmarkEnd w:id="3326"/>
      <w:bookmarkStart w:id="3327" w:name="_Toc59113939"/>
      <w:bookmarkEnd w:id="3327"/>
      <w:bookmarkStart w:id="3328" w:name="_Toc59630410"/>
      <w:bookmarkEnd w:id="3328"/>
      <w:bookmarkStart w:id="3329" w:name="_Toc59209395"/>
      <w:bookmarkEnd w:id="3329"/>
      <w:bookmarkStart w:id="3330" w:name="_Toc59546291"/>
      <w:bookmarkEnd w:id="3330"/>
      <w:bookmarkStart w:id="3331" w:name="_Toc59113504"/>
      <w:bookmarkEnd w:id="3331"/>
      <w:bookmarkStart w:id="3332" w:name="_Toc59117117"/>
      <w:bookmarkEnd w:id="3332"/>
      <w:bookmarkStart w:id="3333" w:name="_Toc59630400"/>
      <w:bookmarkEnd w:id="3333"/>
      <w:bookmarkStart w:id="3334" w:name="_Toc59204116"/>
      <w:bookmarkEnd w:id="3334"/>
      <w:bookmarkStart w:id="3335" w:name="_Toc59543014"/>
      <w:bookmarkEnd w:id="3335"/>
      <w:bookmarkStart w:id="3336" w:name="_Toc59716965"/>
      <w:bookmarkEnd w:id="3336"/>
      <w:bookmarkStart w:id="3337" w:name="_Toc59209393"/>
      <w:bookmarkEnd w:id="3337"/>
      <w:bookmarkStart w:id="3338" w:name="_Toc59017424"/>
      <w:bookmarkEnd w:id="3338"/>
      <w:bookmarkStart w:id="3339" w:name="_Toc59716971"/>
      <w:bookmarkEnd w:id="3339"/>
      <w:bookmarkStart w:id="3340" w:name="_Toc59113941"/>
      <w:bookmarkEnd w:id="3340"/>
      <w:bookmarkStart w:id="3341" w:name="_Toc59630406"/>
      <w:bookmarkEnd w:id="3341"/>
      <w:bookmarkStart w:id="3342" w:name="_Toc58858130"/>
      <w:bookmarkEnd w:id="3342"/>
      <w:bookmarkStart w:id="3343" w:name="_Toc59204113"/>
      <w:bookmarkEnd w:id="3343"/>
      <w:bookmarkStart w:id="3344" w:name="_Toc59113934"/>
      <w:bookmarkEnd w:id="3344"/>
      <w:bookmarkStart w:id="3345" w:name="_Toc58862139"/>
      <w:bookmarkEnd w:id="3345"/>
      <w:bookmarkStart w:id="3346" w:name="_Toc59204108"/>
      <w:bookmarkEnd w:id="3346"/>
      <w:bookmarkStart w:id="3347" w:name="_Toc59631378"/>
      <w:bookmarkEnd w:id="3347"/>
      <w:bookmarkStart w:id="3348" w:name="_Toc58858120"/>
      <w:bookmarkEnd w:id="3348"/>
      <w:bookmarkStart w:id="3349" w:name="_Toc59716961"/>
      <w:bookmarkEnd w:id="3349"/>
      <w:bookmarkStart w:id="3350" w:name="_Toc59630411"/>
      <w:bookmarkEnd w:id="3350"/>
      <w:bookmarkStart w:id="3351" w:name="_Toc59017110"/>
      <w:bookmarkEnd w:id="3351"/>
      <w:bookmarkStart w:id="3352" w:name="_Toc58858126"/>
      <w:bookmarkEnd w:id="3352"/>
      <w:bookmarkStart w:id="3353" w:name="_Toc58862142"/>
      <w:bookmarkEnd w:id="3353"/>
      <w:bookmarkStart w:id="3354" w:name="_Toc58862149"/>
      <w:bookmarkEnd w:id="3354"/>
      <w:bookmarkStart w:id="3355" w:name="_Toc59017102"/>
      <w:bookmarkEnd w:id="3355"/>
      <w:bookmarkStart w:id="3356" w:name="_Toc59543019"/>
      <w:bookmarkEnd w:id="3356"/>
      <w:bookmarkStart w:id="3357" w:name="_Toc58862150"/>
      <w:bookmarkEnd w:id="3357"/>
      <w:bookmarkStart w:id="3358" w:name="_Toc59114915"/>
      <w:bookmarkEnd w:id="3358"/>
      <w:bookmarkStart w:id="3359" w:name="_Toc59546283"/>
      <w:bookmarkEnd w:id="3359"/>
      <w:bookmarkStart w:id="3360" w:name="_Toc59113507"/>
      <w:bookmarkEnd w:id="3360"/>
      <w:bookmarkStart w:id="3361" w:name="_Toc59113935"/>
      <w:bookmarkEnd w:id="3361"/>
      <w:bookmarkStart w:id="3362" w:name="_Toc59114909"/>
      <w:bookmarkEnd w:id="3362"/>
      <w:bookmarkStart w:id="3363" w:name="_Toc59716960"/>
      <w:bookmarkEnd w:id="3363"/>
      <w:bookmarkStart w:id="3364" w:name="_Toc59716967"/>
      <w:bookmarkEnd w:id="3364"/>
      <w:bookmarkStart w:id="3365" w:name="_Toc58858125"/>
      <w:bookmarkEnd w:id="3365"/>
      <w:bookmarkStart w:id="3366" w:name="_Toc59021618"/>
      <w:bookmarkEnd w:id="3366"/>
      <w:bookmarkStart w:id="3367" w:name="_Toc59113513"/>
      <w:bookmarkEnd w:id="3367"/>
      <w:bookmarkStart w:id="3368" w:name="_Toc59209401"/>
      <w:bookmarkEnd w:id="3368"/>
      <w:bookmarkStart w:id="3369" w:name="_Toc58858114"/>
      <w:bookmarkEnd w:id="3369"/>
      <w:bookmarkStart w:id="3370" w:name="_Toc59114921"/>
      <w:bookmarkEnd w:id="3370"/>
      <w:bookmarkStart w:id="3371" w:name="_Toc59630408"/>
      <w:bookmarkEnd w:id="3371"/>
      <w:bookmarkStart w:id="3372" w:name="_Toc59017109"/>
      <w:bookmarkEnd w:id="3372"/>
      <w:bookmarkStart w:id="3373" w:name="_Toc59631379"/>
      <w:bookmarkEnd w:id="3373"/>
      <w:bookmarkStart w:id="3374" w:name="_Toc58861880"/>
      <w:bookmarkEnd w:id="3374"/>
      <w:bookmarkStart w:id="3375" w:name="_Toc59114913"/>
      <w:bookmarkEnd w:id="3375"/>
      <w:bookmarkStart w:id="3376" w:name="_Toc58861884"/>
      <w:bookmarkEnd w:id="3376"/>
      <w:bookmarkStart w:id="3377" w:name="_Toc59114914"/>
      <w:bookmarkEnd w:id="3377"/>
      <w:bookmarkStart w:id="3378" w:name="_Toc59017105"/>
      <w:bookmarkEnd w:id="3378"/>
      <w:bookmarkStart w:id="3379" w:name="_Toc59209394"/>
      <w:bookmarkEnd w:id="3379"/>
      <w:bookmarkStart w:id="3380" w:name="_Toc59117119"/>
      <w:bookmarkEnd w:id="3380"/>
      <w:bookmarkStart w:id="3381" w:name="_Toc59113515"/>
      <w:bookmarkEnd w:id="3381"/>
      <w:bookmarkStart w:id="3382" w:name="_Toc58862146"/>
      <w:bookmarkEnd w:id="3382"/>
      <w:bookmarkStart w:id="3383" w:name="_Toc59204122"/>
      <w:bookmarkEnd w:id="3383"/>
      <w:bookmarkStart w:id="3384" w:name="_Toc59546293"/>
      <w:bookmarkEnd w:id="3384"/>
      <w:bookmarkStart w:id="3385" w:name="_Toc59546292"/>
      <w:bookmarkEnd w:id="3385"/>
      <w:bookmarkStart w:id="3386" w:name="_Toc59113942"/>
      <w:bookmarkEnd w:id="3386"/>
      <w:bookmarkStart w:id="3387" w:name="_Toc59017099"/>
      <w:bookmarkEnd w:id="3387"/>
      <w:bookmarkStart w:id="3388" w:name="_Toc59630397"/>
      <w:bookmarkEnd w:id="3388"/>
      <w:bookmarkStart w:id="3389" w:name="_Toc58862141"/>
      <w:bookmarkEnd w:id="3389"/>
      <w:bookmarkStart w:id="3390" w:name="_Toc59204117"/>
      <w:bookmarkEnd w:id="3390"/>
      <w:bookmarkStart w:id="3391" w:name="_Toc59543008"/>
      <w:bookmarkEnd w:id="3391"/>
      <w:bookmarkStart w:id="3392" w:name="_Toc59209403"/>
      <w:bookmarkEnd w:id="3392"/>
      <w:bookmarkStart w:id="3393" w:name="_Toc59117111"/>
      <w:bookmarkEnd w:id="3393"/>
      <w:bookmarkStart w:id="3394" w:name="_Toc59017429"/>
      <w:bookmarkEnd w:id="3394"/>
      <w:bookmarkStart w:id="3395" w:name="_Toc59209408"/>
      <w:bookmarkEnd w:id="3395"/>
      <w:bookmarkStart w:id="3396" w:name="_Toc59630404"/>
      <w:bookmarkEnd w:id="3396"/>
      <w:bookmarkStart w:id="3397" w:name="_Toc59021617"/>
      <w:bookmarkEnd w:id="3397"/>
      <w:bookmarkStart w:id="3398" w:name="_Toc59113516"/>
      <w:bookmarkEnd w:id="3398"/>
      <w:bookmarkStart w:id="3399" w:name="_Toc59630398"/>
      <w:bookmarkEnd w:id="3399"/>
      <w:bookmarkStart w:id="3400" w:name="_Toc59017421"/>
      <w:bookmarkEnd w:id="3400"/>
      <w:bookmarkStart w:id="3401" w:name="_Toc59546284"/>
      <w:bookmarkEnd w:id="3401"/>
      <w:bookmarkStart w:id="3402" w:name="_Toc59017423"/>
      <w:bookmarkEnd w:id="3402"/>
      <w:bookmarkStart w:id="3403" w:name="_Toc59546287"/>
      <w:bookmarkEnd w:id="3403"/>
      <w:bookmarkStart w:id="3404" w:name="_Toc59631375"/>
      <w:bookmarkEnd w:id="3404"/>
      <w:bookmarkStart w:id="3405" w:name="_Toc59114910"/>
      <w:bookmarkEnd w:id="3405"/>
      <w:bookmarkStart w:id="3406" w:name="_Toc59113946"/>
      <w:bookmarkEnd w:id="3406"/>
      <w:bookmarkStart w:id="3407" w:name="_Toc59017420"/>
      <w:bookmarkEnd w:id="3407"/>
      <w:bookmarkStart w:id="3408" w:name="_Toc59209407"/>
      <w:bookmarkEnd w:id="3408"/>
      <w:bookmarkStart w:id="3409" w:name="_Toc59017100"/>
      <w:bookmarkEnd w:id="3409"/>
      <w:bookmarkStart w:id="3410" w:name="_Toc59204123"/>
      <w:bookmarkEnd w:id="3410"/>
      <w:bookmarkStart w:id="3411" w:name="_Toc59546282"/>
      <w:bookmarkEnd w:id="3411"/>
      <w:bookmarkStart w:id="3412" w:name="_Toc59630399"/>
      <w:bookmarkEnd w:id="3412"/>
      <w:bookmarkStart w:id="3413" w:name="_Toc59716968"/>
      <w:bookmarkEnd w:id="3413"/>
      <w:bookmarkStart w:id="3414" w:name="_Toc58861888"/>
      <w:bookmarkEnd w:id="3414"/>
      <w:bookmarkStart w:id="3415" w:name="_Toc59543018"/>
      <w:bookmarkEnd w:id="3415"/>
      <w:bookmarkStart w:id="3416" w:name="_Toc58861894"/>
      <w:bookmarkEnd w:id="3416"/>
      <w:bookmarkStart w:id="3417" w:name="_Toc59113937"/>
      <w:bookmarkEnd w:id="3417"/>
      <w:bookmarkStart w:id="3418" w:name="_Toc58862151"/>
      <w:bookmarkEnd w:id="3418"/>
      <w:bookmarkStart w:id="3419" w:name="_Toc58858127"/>
      <w:bookmarkEnd w:id="3419"/>
      <w:bookmarkStart w:id="3420" w:name="_Toc59716972"/>
      <w:bookmarkEnd w:id="3420"/>
      <w:bookmarkStart w:id="3421" w:name="_Toc58862138"/>
      <w:bookmarkEnd w:id="3421"/>
      <w:bookmarkStart w:id="3422" w:name="_Toc59113508"/>
      <w:bookmarkEnd w:id="3422"/>
      <w:bookmarkStart w:id="3423" w:name="_Toc59546278"/>
      <w:bookmarkEnd w:id="3423"/>
      <w:bookmarkStart w:id="3424" w:name="_Toc59017108"/>
      <w:bookmarkEnd w:id="3424"/>
      <w:bookmarkStart w:id="3425" w:name="_Toc58862148"/>
      <w:bookmarkEnd w:id="3425"/>
      <w:bookmarkStart w:id="3426" w:name="_Toc59630396"/>
      <w:bookmarkEnd w:id="3426"/>
      <w:bookmarkStart w:id="3427" w:name="_Toc59113509"/>
      <w:bookmarkEnd w:id="3427"/>
      <w:bookmarkStart w:id="3428" w:name="_Toc58861890"/>
      <w:bookmarkEnd w:id="3428"/>
      <w:bookmarkStart w:id="3429" w:name="_Toc59204114"/>
      <w:bookmarkEnd w:id="3429"/>
      <w:bookmarkStart w:id="3430" w:name="_Toc58858124"/>
      <w:bookmarkEnd w:id="3430"/>
      <w:bookmarkStart w:id="3431" w:name="_Toc58862147"/>
      <w:bookmarkEnd w:id="3431"/>
      <w:bookmarkStart w:id="3432" w:name="_Toc58862137"/>
      <w:bookmarkEnd w:id="3432"/>
      <w:bookmarkStart w:id="3433" w:name="_Toc59209397"/>
      <w:bookmarkEnd w:id="3433"/>
      <w:bookmarkStart w:id="3434" w:name="_Toc59631372"/>
      <w:bookmarkEnd w:id="3434"/>
      <w:bookmarkStart w:id="3435" w:name="_Toc59114918"/>
      <w:bookmarkEnd w:id="3435"/>
      <w:bookmarkStart w:id="3436" w:name="_Toc59631376"/>
      <w:bookmarkEnd w:id="3436"/>
      <w:bookmarkStart w:id="3437" w:name="_Toc58861885"/>
      <w:bookmarkEnd w:id="3437"/>
      <w:bookmarkStart w:id="3438" w:name="_Toc59630401"/>
      <w:bookmarkEnd w:id="3438"/>
      <w:bookmarkStart w:id="3439" w:name="_Toc59017115"/>
      <w:bookmarkEnd w:id="3439"/>
      <w:bookmarkStart w:id="3440" w:name="_Toc59017101"/>
      <w:bookmarkEnd w:id="3440"/>
      <w:bookmarkStart w:id="3441" w:name="_Toc59631383"/>
      <w:bookmarkEnd w:id="3441"/>
      <w:bookmarkStart w:id="3442" w:name="_Toc59114923"/>
      <w:bookmarkEnd w:id="3442"/>
      <w:bookmarkStart w:id="3443" w:name="_Toc59543010"/>
      <w:bookmarkEnd w:id="3443"/>
      <w:bookmarkStart w:id="3444" w:name="_Toc58858123"/>
      <w:bookmarkEnd w:id="3444"/>
      <w:bookmarkStart w:id="3445" w:name="_Toc58861887"/>
      <w:bookmarkEnd w:id="3445"/>
      <w:bookmarkStart w:id="3446" w:name="_Toc59117115"/>
      <w:bookmarkEnd w:id="3446"/>
      <w:bookmarkStart w:id="3447" w:name="_Toc59631382"/>
      <w:bookmarkEnd w:id="3447"/>
      <w:bookmarkStart w:id="3448" w:name="_Toc59630407"/>
      <w:bookmarkEnd w:id="3448"/>
      <w:bookmarkStart w:id="3449" w:name="_Toc59546294"/>
      <w:bookmarkEnd w:id="3449"/>
      <w:bookmarkStart w:id="3450" w:name="_Toc59209404"/>
      <w:bookmarkEnd w:id="3450"/>
      <w:bookmarkStart w:id="3451" w:name="_Toc59113510"/>
      <w:bookmarkEnd w:id="3451"/>
      <w:bookmarkStart w:id="3452" w:name="_Toc59114919"/>
      <w:bookmarkEnd w:id="3452"/>
      <w:bookmarkStart w:id="3453" w:name="_Toc59113502"/>
      <w:bookmarkEnd w:id="3453"/>
      <w:bookmarkStart w:id="3454" w:name="_Toc58858116"/>
      <w:bookmarkEnd w:id="3454"/>
      <w:bookmarkStart w:id="3455" w:name="_Toc59117121"/>
      <w:bookmarkEnd w:id="3455"/>
      <w:bookmarkStart w:id="3456" w:name="_Toc59209405"/>
      <w:bookmarkEnd w:id="3456"/>
      <w:bookmarkStart w:id="3457" w:name="_Toc59017114"/>
      <w:bookmarkEnd w:id="3457"/>
      <w:bookmarkStart w:id="3458" w:name="_Toc58862140"/>
      <w:bookmarkEnd w:id="3458"/>
      <w:bookmarkStart w:id="3459" w:name="_Toc59631380"/>
      <w:bookmarkEnd w:id="3459"/>
      <w:bookmarkStart w:id="3460" w:name="_Toc59017426"/>
      <w:bookmarkEnd w:id="3460"/>
      <w:bookmarkStart w:id="3461" w:name="_Toc59117118"/>
      <w:bookmarkEnd w:id="3461"/>
      <w:bookmarkStart w:id="3462" w:name="_Toc59631374"/>
      <w:bookmarkEnd w:id="3462"/>
      <w:bookmarkStart w:id="3463" w:name="_Toc59021612"/>
      <w:bookmarkEnd w:id="3463"/>
      <w:bookmarkStart w:id="3464" w:name="_Toc59017418"/>
      <w:bookmarkEnd w:id="3464"/>
      <w:bookmarkStart w:id="3465" w:name="_Toc59113514"/>
      <w:bookmarkEnd w:id="3465"/>
      <w:bookmarkStart w:id="3466" w:name="_Toc59630412"/>
      <w:bookmarkEnd w:id="3466"/>
      <w:bookmarkStart w:id="3467" w:name="_Toc58858122"/>
      <w:bookmarkEnd w:id="3467"/>
      <w:bookmarkStart w:id="3468" w:name="_Toc58862152"/>
      <w:bookmarkEnd w:id="3468"/>
      <w:bookmarkStart w:id="3469" w:name="_Toc59021622"/>
      <w:bookmarkEnd w:id="3469"/>
      <w:bookmarkStart w:id="3470" w:name="_Toc59631384"/>
      <w:bookmarkEnd w:id="3470"/>
      <w:bookmarkStart w:id="3471" w:name="_Toc59114908"/>
      <w:bookmarkEnd w:id="3471"/>
      <w:bookmarkStart w:id="3472" w:name="_Toc59113511"/>
      <w:bookmarkEnd w:id="3472"/>
      <w:bookmarkStart w:id="3473" w:name="_Toc59117123"/>
      <w:bookmarkEnd w:id="3473"/>
      <w:bookmarkStart w:id="3474" w:name="_Toc59021619"/>
      <w:bookmarkEnd w:id="3474"/>
      <w:bookmarkStart w:id="3475" w:name="_Toc59716959"/>
      <w:bookmarkEnd w:id="3475"/>
      <w:bookmarkStart w:id="3476" w:name="_Toc59716966"/>
      <w:bookmarkEnd w:id="3476"/>
      <w:bookmarkStart w:id="3477" w:name="_Toc59021607"/>
      <w:bookmarkEnd w:id="3477"/>
      <w:bookmarkStart w:id="3478" w:name="_Toc58862144"/>
      <w:bookmarkEnd w:id="3478"/>
      <w:bookmarkStart w:id="3479" w:name="_Toc59021610"/>
      <w:bookmarkEnd w:id="3479"/>
      <w:bookmarkStart w:id="3480" w:name="_Toc59017112"/>
      <w:bookmarkEnd w:id="3480"/>
      <w:bookmarkStart w:id="3481" w:name="_Toc59204109"/>
      <w:bookmarkEnd w:id="3481"/>
      <w:bookmarkStart w:id="3482" w:name="_Toc59113936"/>
      <w:bookmarkEnd w:id="3482"/>
      <w:bookmarkStart w:id="3483" w:name="_Toc59114924"/>
      <w:bookmarkEnd w:id="3483"/>
      <w:bookmarkStart w:id="3484" w:name="_Toc59017419"/>
      <w:bookmarkEnd w:id="3484"/>
      <w:bookmarkStart w:id="3485" w:name="_Toc59204111"/>
      <w:bookmarkEnd w:id="3485"/>
      <w:bookmarkStart w:id="3486" w:name="_Toc59113945"/>
      <w:bookmarkEnd w:id="3486"/>
      <w:bookmarkStart w:id="3487" w:name="_Toc59631385"/>
      <w:bookmarkEnd w:id="3487"/>
      <w:bookmarkStart w:id="3488" w:name="_Toc58862143"/>
      <w:bookmarkEnd w:id="3488"/>
      <w:bookmarkStart w:id="3489" w:name="_Toc59543022"/>
      <w:bookmarkEnd w:id="3489"/>
      <w:bookmarkStart w:id="3490" w:name="_Toc59113938"/>
      <w:bookmarkEnd w:id="3490"/>
      <w:bookmarkStart w:id="3491" w:name="_Toc59113948"/>
      <w:bookmarkEnd w:id="3491"/>
      <w:bookmarkStart w:id="3492" w:name="_Toc58858121"/>
      <w:bookmarkEnd w:id="3492"/>
      <w:bookmarkStart w:id="3493" w:name="_Toc59630409"/>
      <w:bookmarkEnd w:id="3493"/>
      <w:bookmarkStart w:id="3494" w:name="_Toc59543012"/>
      <w:bookmarkEnd w:id="3494"/>
      <w:bookmarkStart w:id="3495" w:name="_Toc59114922"/>
      <w:bookmarkEnd w:id="3495"/>
      <w:bookmarkStart w:id="3496" w:name="_Toc58861882"/>
      <w:bookmarkEnd w:id="3496"/>
      <w:bookmarkStart w:id="3497" w:name="_Toc58861886"/>
      <w:bookmarkEnd w:id="3497"/>
      <w:bookmarkStart w:id="3498" w:name="_Toc59543016"/>
      <w:bookmarkEnd w:id="3498"/>
      <w:bookmarkStart w:id="3499" w:name="_Toc70600684"/>
      <w:bookmarkStart w:id="3500" w:name="_Toc96358481"/>
      <w:bookmarkStart w:id="3501" w:name="_Toc114734634"/>
      <w:bookmarkStart w:id="3502" w:name="_Toc126321316"/>
      <w:r>
        <w:rPr>
          <w:rFonts w:hint="eastAsia"/>
        </w:rPr>
        <w:t>自控</w:t>
      </w:r>
      <w:bookmarkEnd w:id="3499"/>
      <w:r>
        <w:rPr>
          <w:rFonts w:hint="eastAsia"/>
        </w:rPr>
        <w:t>及智能化设计</w:t>
      </w:r>
      <w:bookmarkEnd w:id="3500"/>
      <w:bookmarkEnd w:id="3501"/>
      <w:bookmarkEnd w:id="3502"/>
    </w:p>
    <w:p>
      <w:pPr>
        <w:pStyle w:val="4"/>
        <w:numPr>
          <w:ilvl w:val="0"/>
          <w:numId w:val="0"/>
        </w:numPr>
        <w:rPr>
          <w:b/>
          <w:bCs w:val="0"/>
          <w:lang w:val="zh-CN"/>
        </w:rPr>
      </w:pPr>
      <w:r>
        <w:rPr>
          <w:b/>
          <w:bCs w:val="0"/>
          <w:lang w:val="zh-CN"/>
        </w:rPr>
        <w:t>4.10.1</w:t>
      </w:r>
      <w:r>
        <w:rPr>
          <w:b/>
          <w:bCs w:val="0"/>
        </w:rPr>
        <w:t xml:space="preserve">  </w:t>
      </w:r>
      <w:r>
        <w:rPr>
          <w:rFonts w:hint="eastAsia"/>
          <w:bCs w:val="0"/>
          <w:lang w:val="zh-CN"/>
        </w:rPr>
        <w:t>地下式城镇污水处理厂</w:t>
      </w:r>
      <w:r>
        <w:rPr>
          <w:rFonts w:hint="eastAsia"/>
          <w:bCs w:val="0"/>
        </w:rPr>
        <w:t>的自控及智能化系统</w:t>
      </w:r>
      <w:r>
        <w:rPr>
          <w:rFonts w:hint="eastAsia"/>
          <w:bCs w:val="0"/>
          <w:lang w:val="zh-CN"/>
        </w:rPr>
        <w:t>应</w:t>
      </w:r>
      <w:r>
        <w:rPr>
          <w:rFonts w:hint="eastAsia"/>
          <w:bCs w:val="0"/>
        </w:rPr>
        <w:t>结合工程规模、工艺流程、运行</w:t>
      </w:r>
      <w:r>
        <w:rPr>
          <w:rFonts w:hint="eastAsia"/>
          <w:bCs w:val="0"/>
          <w:lang w:val="zh-CN"/>
        </w:rPr>
        <w:t>管理、</w:t>
      </w:r>
      <w:r>
        <w:rPr>
          <w:rFonts w:hint="eastAsia"/>
          <w:bCs w:val="0"/>
        </w:rPr>
        <w:t>环保监督、</w:t>
      </w:r>
      <w:r>
        <w:rPr>
          <w:rFonts w:hint="eastAsia"/>
          <w:bCs w:val="0"/>
          <w:lang w:val="zh-CN"/>
        </w:rPr>
        <w:t>智慧水</w:t>
      </w:r>
      <w:r>
        <w:rPr>
          <w:rFonts w:hint="eastAsia"/>
          <w:bCs w:val="0"/>
        </w:rPr>
        <w:t>厂</w:t>
      </w:r>
      <w:r>
        <w:rPr>
          <w:rFonts w:hint="eastAsia"/>
          <w:bCs w:val="0"/>
          <w:lang w:val="zh-CN"/>
        </w:rPr>
        <w:t>、</w:t>
      </w:r>
      <w:r>
        <w:rPr>
          <w:rFonts w:hint="eastAsia"/>
          <w:bCs w:val="0"/>
        </w:rPr>
        <w:t>经济条件等</w:t>
      </w:r>
      <w:r>
        <w:rPr>
          <w:rFonts w:hint="eastAsia"/>
          <w:bCs w:val="0"/>
          <w:lang w:val="zh-CN"/>
        </w:rPr>
        <w:t>要求</w:t>
      </w:r>
      <w:r>
        <w:rPr>
          <w:rFonts w:hint="eastAsia"/>
          <w:bCs w:val="0"/>
        </w:rPr>
        <w:t>合理确定</w:t>
      </w:r>
      <w:r>
        <w:rPr>
          <w:rFonts w:hint="eastAsia"/>
          <w:bCs w:val="0"/>
          <w:lang w:val="zh-CN"/>
        </w:rPr>
        <w:t>，</w:t>
      </w:r>
      <w:r>
        <w:rPr>
          <w:rFonts w:hint="eastAsia"/>
          <w:bCs w:val="0"/>
        </w:rPr>
        <w:t>宜</w:t>
      </w:r>
      <w:r>
        <w:rPr>
          <w:rFonts w:hint="eastAsia"/>
          <w:bCs w:val="0"/>
          <w:lang w:val="zh-CN"/>
        </w:rPr>
        <w:t>设置</w:t>
      </w:r>
      <w:r>
        <w:rPr>
          <w:rFonts w:hint="eastAsia"/>
          <w:bCs w:val="0"/>
        </w:rPr>
        <w:t>检测系统、自动化系统、信息化系统和智能化系统。</w:t>
      </w:r>
    </w:p>
    <w:p>
      <w:pPr>
        <w:ind w:firstLine="560"/>
      </w:pPr>
      <w:r>
        <w:rPr>
          <w:rFonts w:hint="eastAsia"/>
          <w:lang w:val="zh-CN"/>
        </w:rPr>
        <w:t>地下式城镇污水处理厂</w:t>
      </w:r>
      <w:r>
        <w:rPr>
          <w:rFonts w:hint="eastAsia"/>
        </w:rPr>
        <w:t>的控制模式推荐采用无人值守的全自动控制方式，现场设备可实现就地无人化、智慧化控制；工作人员可在中控室对现场设备进行集中监管，达到正常运行时现场无人操作，工作人员定时巡检。</w:t>
      </w:r>
    </w:p>
    <w:p>
      <w:pPr>
        <w:pStyle w:val="4"/>
        <w:numPr>
          <w:ilvl w:val="0"/>
          <w:numId w:val="0"/>
        </w:numPr>
        <w:rPr>
          <w:bCs w:val="0"/>
          <w:lang w:val="zh-CN"/>
        </w:rPr>
      </w:pPr>
      <w:r>
        <w:rPr>
          <w:b/>
          <w:lang w:val="zh-CN"/>
        </w:rPr>
        <w:t>4.10.2</w:t>
      </w:r>
      <w:r>
        <w:rPr>
          <w:b/>
          <w:bCs w:val="0"/>
        </w:rPr>
        <w:t xml:space="preserve">  </w:t>
      </w:r>
      <w:r>
        <w:rPr>
          <w:rFonts w:hint="eastAsia"/>
          <w:bCs w:val="0"/>
          <w:lang w:val="zh-CN"/>
        </w:rPr>
        <w:t>地下式城镇污水处理厂检测仪表配置应根据环保监督、工艺流程、运行管理、自动化程度等因素确定。进出水应设置水量、水质在线监测仪表，工艺</w:t>
      </w:r>
      <w:r>
        <w:rPr>
          <w:rFonts w:hint="eastAsia"/>
          <w:bCs w:val="0"/>
        </w:rPr>
        <w:t>处理单元</w:t>
      </w:r>
      <w:r>
        <w:rPr>
          <w:rFonts w:hint="eastAsia"/>
          <w:bCs w:val="0"/>
          <w:lang w:val="zh-CN"/>
        </w:rPr>
        <w:t>应设置保障运行、监管</w:t>
      </w:r>
      <w:r>
        <w:rPr>
          <w:rFonts w:hint="eastAsia"/>
          <w:bCs w:val="0"/>
        </w:rPr>
        <w:t>所需</w:t>
      </w:r>
      <w:r>
        <w:rPr>
          <w:rFonts w:hint="eastAsia"/>
          <w:bCs w:val="0"/>
          <w:lang w:val="zh-CN"/>
        </w:rPr>
        <w:t>的</w:t>
      </w:r>
      <w:r>
        <w:rPr>
          <w:rFonts w:hint="eastAsia"/>
          <w:bCs w:val="0"/>
        </w:rPr>
        <w:t>检测</w:t>
      </w:r>
      <w:r>
        <w:rPr>
          <w:rFonts w:hint="eastAsia"/>
          <w:bCs w:val="0"/>
          <w:lang w:val="zh-CN"/>
        </w:rPr>
        <w:t>仪表。</w:t>
      </w:r>
    </w:p>
    <w:p>
      <w:pPr>
        <w:pStyle w:val="4"/>
        <w:numPr>
          <w:ilvl w:val="0"/>
          <w:numId w:val="0"/>
        </w:numPr>
        <w:rPr>
          <w:b/>
          <w:lang w:val="zh-CN"/>
        </w:rPr>
      </w:pPr>
      <w:r>
        <w:rPr>
          <w:b/>
          <w:lang w:val="zh-CN"/>
        </w:rPr>
        <w:t>4.10.</w:t>
      </w:r>
      <w:r>
        <w:rPr>
          <w:b/>
        </w:rPr>
        <w:t>3</w:t>
      </w:r>
      <w:r>
        <w:rPr>
          <w:b/>
          <w:bCs w:val="0"/>
        </w:rPr>
        <w:t xml:space="preserve">  </w:t>
      </w:r>
      <w:r>
        <w:rPr>
          <w:rFonts w:hint="eastAsia"/>
          <w:bCs w:val="0"/>
          <w:lang w:val="zh-CN"/>
        </w:rPr>
        <w:t>地下式城镇污水处理厂</w:t>
      </w:r>
      <w:r>
        <w:rPr>
          <w:rFonts w:hint="eastAsia"/>
          <w:bCs w:val="0"/>
        </w:rPr>
        <w:t>必须</w:t>
      </w:r>
      <w:r>
        <w:rPr>
          <w:rFonts w:hint="eastAsia"/>
          <w:bCs w:val="0"/>
          <w:lang w:val="zh-CN"/>
        </w:rPr>
        <w:t>设置氨、硫化氢、甲烷</w:t>
      </w:r>
      <w:r>
        <w:rPr>
          <w:rFonts w:hint="eastAsia"/>
          <w:bCs w:val="0"/>
        </w:rPr>
        <w:t>等有毒有害气体检测</w:t>
      </w:r>
      <w:r>
        <w:rPr>
          <w:rFonts w:hint="eastAsia"/>
          <w:bCs w:val="0"/>
          <w:lang w:val="zh-CN"/>
        </w:rPr>
        <w:t>仪表和报警装置，宜设置氧气测量仪和温</w:t>
      </w:r>
      <w:r>
        <w:rPr>
          <w:bCs w:val="0"/>
          <w:lang w:val="zh-CN"/>
        </w:rPr>
        <w:t>/</w:t>
      </w:r>
      <w:r>
        <w:rPr>
          <w:rFonts w:hint="eastAsia"/>
          <w:bCs w:val="0"/>
          <w:lang w:val="zh-CN"/>
        </w:rPr>
        <w:t>湿度测量仪，设置</w:t>
      </w:r>
      <w:r>
        <w:rPr>
          <w:rFonts w:hint="eastAsia"/>
          <w:bCs w:val="0"/>
        </w:rPr>
        <w:t>位置</w:t>
      </w:r>
      <w:r>
        <w:rPr>
          <w:rFonts w:hint="eastAsia"/>
          <w:bCs w:val="0"/>
          <w:lang w:val="zh-CN"/>
        </w:rPr>
        <w:t>应包括下列</w:t>
      </w:r>
      <w:r>
        <w:rPr>
          <w:rFonts w:hint="eastAsia"/>
          <w:bCs w:val="0"/>
        </w:rPr>
        <w:t>区域</w:t>
      </w:r>
      <w:r>
        <w:rPr>
          <w:rFonts w:hint="eastAsia"/>
          <w:bCs w:val="0"/>
          <w:lang w:val="zh-CN"/>
        </w:rPr>
        <w:t>：</w:t>
      </w:r>
    </w:p>
    <w:p>
      <w:pPr>
        <w:ind w:firstLine="560"/>
        <w:rPr>
          <w:lang w:val="zh-CN"/>
        </w:rPr>
      </w:pPr>
      <w:r>
        <w:rPr>
          <w:lang w:val="zh-CN"/>
        </w:rPr>
        <w:t xml:space="preserve">1  </w:t>
      </w:r>
      <w:r>
        <w:rPr>
          <w:rFonts w:hint="eastAsia"/>
          <w:lang w:val="zh-CN"/>
        </w:rPr>
        <w:t>预处理、生物处理、污泥处理、</w:t>
      </w:r>
      <w:r>
        <w:rPr>
          <w:rFonts w:hint="eastAsia"/>
        </w:rPr>
        <w:t>调蓄池、排空泵房等处理</w:t>
      </w:r>
      <w:r>
        <w:rPr>
          <w:rFonts w:hint="eastAsia"/>
          <w:lang w:val="zh-CN"/>
        </w:rPr>
        <w:t>区域；</w:t>
      </w:r>
    </w:p>
    <w:p>
      <w:pPr>
        <w:ind w:firstLine="560"/>
      </w:pPr>
      <w:r>
        <w:rPr>
          <w:lang w:val="zh-CN"/>
        </w:rPr>
        <w:t xml:space="preserve">2  </w:t>
      </w:r>
      <w:r>
        <w:rPr>
          <w:rFonts w:hint="eastAsia"/>
          <w:lang w:val="zh-CN"/>
        </w:rPr>
        <w:t>管廊、</w:t>
      </w:r>
      <w:r>
        <w:rPr>
          <w:rFonts w:hint="eastAsia"/>
        </w:rPr>
        <w:t>公共楼梯间、</w:t>
      </w:r>
      <w:r>
        <w:rPr>
          <w:rFonts w:hint="eastAsia"/>
          <w:lang w:val="zh-CN"/>
        </w:rPr>
        <w:t>辅助车间等巡检区域；</w:t>
      </w:r>
    </w:p>
    <w:p>
      <w:pPr>
        <w:ind w:firstLine="560"/>
      </w:pPr>
      <w:r>
        <w:t xml:space="preserve">3  </w:t>
      </w:r>
      <w:r>
        <w:rPr>
          <w:rFonts w:hint="eastAsia"/>
        </w:rPr>
        <w:t>操作空间内；</w:t>
      </w:r>
    </w:p>
    <w:p>
      <w:pPr>
        <w:ind w:firstLine="560"/>
      </w:pPr>
      <w:r>
        <w:rPr>
          <w:rFonts w:hint="eastAsia"/>
        </w:rPr>
        <w:t>4</w:t>
      </w:r>
      <w:r>
        <w:t xml:space="preserve">  </w:t>
      </w:r>
      <w:r>
        <w:rPr>
          <w:rFonts w:hint="eastAsia"/>
        </w:rPr>
        <w:t>其他易产生有毒有害气体的密闭空间、</w:t>
      </w:r>
      <w:r>
        <w:rPr>
          <w:rFonts w:hint="eastAsia"/>
          <w:lang w:val="zh-CN"/>
        </w:rPr>
        <w:t>臭气易聚集区域</w:t>
      </w:r>
      <w:r>
        <w:rPr>
          <w:rFonts w:hint="eastAsia"/>
        </w:rPr>
        <w:t>。</w:t>
      </w:r>
    </w:p>
    <w:p>
      <w:pPr>
        <w:pStyle w:val="4"/>
        <w:numPr>
          <w:ilvl w:val="0"/>
          <w:numId w:val="0"/>
        </w:numPr>
        <w:rPr>
          <w:rFonts w:ascii="宋体" w:hAnsi="宋体"/>
          <w:b/>
          <w:lang w:val="zh-CN"/>
        </w:rPr>
      </w:pPr>
      <w:r>
        <w:rPr>
          <w:rFonts w:hint="eastAsia"/>
          <w:b/>
        </w:rPr>
        <w:t>4.</w:t>
      </w:r>
      <w:r>
        <w:rPr>
          <w:b/>
          <w:lang w:val="zh-CN"/>
        </w:rPr>
        <w:t>10.4</w:t>
      </w:r>
      <w:r>
        <w:rPr>
          <w:b/>
          <w:bCs w:val="0"/>
        </w:rPr>
        <w:t xml:space="preserve">  </w:t>
      </w:r>
      <w:r>
        <w:rPr>
          <w:rFonts w:hint="eastAsia"/>
          <w:bCs w:val="0"/>
          <w:lang w:val="zh-CN"/>
        </w:rPr>
        <w:t>地下式城镇污水处理厂各级泵房</w:t>
      </w:r>
      <w:r>
        <w:rPr>
          <w:rFonts w:hint="eastAsia"/>
          <w:bCs w:val="0"/>
        </w:rPr>
        <w:t>进、</w:t>
      </w:r>
      <w:r>
        <w:rPr>
          <w:rFonts w:hint="eastAsia"/>
          <w:bCs w:val="0"/>
          <w:lang w:val="zh-CN"/>
        </w:rPr>
        <w:t>出水处应设置液</w:t>
      </w:r>
      <w:r>
        <w:rPr>
          <w:rFonts w:hint="eastAsia"/>
          <w:lang w:val="zh-CN"/>
        </w:rPr>
        <w:t>位</w:t>
      </w:r>
      <w:r>
        <w:rPr>
          <w:rFonts w:hint="eastAsia"/>
        </w:rPr>
        <w:t>检测</w:t>
      </w:r>
      <w:r>
        <w:rPr>
          <w:rFonts w:hint="eastAsia"/>
          <w:lang w:val="zh-CN"/>
        </w:rPr>
        <w:t>仪表和报警装置，</w:t>
      </w:r>
      <w:r>
        <w:rPr>
          <w:rFonts w:hint="eastAsia"/>
          <w:bCs w:val="0"/>
          <w:lang w:val="zh-CN"/>
        </w:rPr>
        <w:t>并应与泵组控制系统联动</w:t>
      </w:r>
      <w:r>
        <w:rPr>
          <w:rFonts w:hint="eastAsia"/>
          <w:b/>
          <w:bCs w:val="0"/>
          <w:lang w:val="zh-CN"/>
        </w:rPr>
        <w:t>。</w:t>
      </w:r>
    </w:p>
    <w:p>
      <w:pPr>
        <w:pStyle w:val="4"/>
        <w:numPr>
          <w:ilvl w:val="0"/>
          <w:numId w:val="0"/>
        </w:numPr>
        <w:rPr>
          <w:bCs w:val="0"/>
        </w:rPr>
      </w:pPr>
      <w:r>
        <w:rPr>
          <w:b/>
          <w:lang w:val="zh-CN"/>
        </w:rPr>
        <w:t>4.10.</w:t>
      </w:r>
      <w:r>
        <w:rPr>
          <w:rFonts w:hint="eastAsia"/>
          <w:b/>
        </w:rPr>
        <w:t>5</w:t>
      </w:r>
      <w:r>
        <w:rPr>
          <w:b/>
          <w:bCs w:val="0"/>
        </w:rPr>
        <w:t xml:space="preserve">  </w:t>
      </w:r>
      <w:r>
        <w:rPr>
          <w:rFonts w:hint="eastAsia"/>
          <w:bCs w:val="0"/>
        </w:rPr>
        <w:t>自动化系统应采用“集中管理、分散控制”的控制模式，由中央控制室进行集中监视、控制和管理全部工艺流程和设备的运行，具有信息收集、处理、控制、管理和安全保护功能，并符合下列规定：</w:t>
      </w:r>
    </w:p>
    <w:p>
      <w:pPr>
        <w:ind w:firstLine="560"/>
      </w:pPr>
      <w:r>
        <w:rPr>
          <w:lang w:val="zh-CN"/>
        </w:rPr>
        <w:t xml:space="preserve">1 </w:t>
      </w:r>
      <w:r>
        <w:rPr>
          <w:rFonts w:hint="eastAsia"/>
        </w:rPr>
        <w:t>自动化系统应采用信息层、控制层和设备层三层结构形式；</w:t>
      </w:r>
    </w:p>
    <w:p>
      <w:pPr>
        <w:ind w:firstLine="560"/>
      </w:pPr>
      <w:r>
        <w:rPr>
          <w:rFonts w:hint="eastAsia"/>
        </w:rPr>
        <w:t>2 设备控制应设置基本、就地、远程三种控制方式；</w:t>
      </w:r>
    </w:p>
    <w:p>
      <w:pPr>
        <w:ind w:firstLine="560"/>
      </w:pPr>
      <w:r>
        <w:rPr>
          <w:rFonts w:hint="eastAsia"/>
        </w:rPr>
        <w:t>3 控制器和通信网络结构应采用冗余配置；</w:t>
      </w:r>
    </w:p>
    <w:p>
      <w:pPr>
        <w:ind w:firstLine="560"/>
      </w:pPr>
      <w:r>
        <w:rPr>
          <w:rFonts w:hint="eastAsia"/>
        </w:rPr>
        <w:t>4 操作系统和开发工具应运行稳定，易于开发，操作界面方便。</w:t>
      </w:r>
    </w:p>
    <w:p>
      <w:pPr>
        <w:pStyle w:val="4"/>
        <w:numPr>
          <w:ilvl w:val="0"/>
          <w:numId w:val="0"/>
        </w:numPr>
        <w:rPr>
          <w:bCs w:val="0"/>
        </w:rPr>
      </w:pPr>
      <w:r>
        <w:rPr>
          <w:b/>
          <w:lang w:val="zh-CN"/>
        </w:rPr>
        <w:t>4.10.</w:t>
      </w:r>
      <w:r>
        <w:rPr>
          <w:rFonts w:hint="eastAsia"/>
          <w:b/>
        </w:rPr>
        <w:t>6</w:t>
      </w:r>
      <w:r>
        <w:rPr>
          <w:b/>
          <w:bCs w:val="0"/>
        </w:rPr>
        <w:t xml:space="preserve">  </w:t>
      </w:r>
      <w:r>
        <w:rPr>
          <w:rFonts w:hint="eastAsia"/>
          <w:bCs w:val="0"/>
          <w:lang w:val="zh-CN"/>
        </w:rPr>
        <w:t>地下式城镇污水处理厂</w:t>
      </w:r>
      <w:r>
        <w:rPr>
          <w:rFonts w:hint="eastAsia"/>
          <w:bCs w:val="0"/>
        </w:rPr>
        <w:t>的信息化基础设施建设应符合下列规定：</w:t>
      </w:r>
    </w:p>
    <w:p>
      <w:pPr>
        <w:ind w:firstLine="560"/>
      </w:pPr>
      <w:r>
        <w:rPr>
          <w:rFonts w:hint="eastAsia"/>
        </w:rPr>
        <w:t>1 地下空间应设置固定电话系统，人员出入口、主通道、重要区域、变配电间、控制室等处应设置通信点；</w:t>
      </w:r>
    </w:p>
    <w:p>
      <w:pPr>
        <w:ind w:firstLine="560"/>
      </w:pPr>
      <w:r>
        <w:rPr>
          <w:rFonts w:hint="eastAsia"/>
        </w:rPr>
        <w:t>2 地下空间应设置无线通信信号覆盖系统、移动通信室内信号覆盖系统；</w:t>
      </w:r>
    </w:p>
    <w:p>
      <w:pPr>
        <w:ind w:firstLine="560"/>
      </w:pPr>
      <w:r>
        <w:rPr>
          <w:rFonts w:hint="eastAsia"/>
        </w:rPr>
        <w:t>3 地下空间应设置无线对讲系统、广播系统。</w:t>
      </w:r>
    </w:p>
    <w:p>
      <w:pPr>
        <w:pStyle w:val="4"/>
        <w:numPr>
          <w:ilvl w:val="0"/>
          <w:numId w:val="0"/>
        </w:numPr>
        <w:rPr>
          <w:b/>
          <w:lang w:val="zh-CN"/>
        </w:rPr>
      </w:pPr>
      <w:r>
        <w:rPr>
          <w:b/>
          <w:lang w:val="zh-CN"/>
        </w:rPr>
        <w:t>4.10.7</w:t>
      </w:r>
      <w:r>
        <w:rPr>
          <w:b/>
          <w:bCs w:val="0"/>
        </w:rPr>
        <w:t xml:space="preserve">  </w:t>
      </w:r>
      <w:r>
        <w:rPr>
          <w:rFonts w:hint="eastAsia"/>
          <w:bCs w:val="0"/>
          <w:lang w:val="zh-CN"/>
        </w:rPr>
        <w:t>地下式城镇污水处理厂宜根据运行管理需求设置生产管理信息平台，采用移动互联网技术设置移动终端应用系统。</w:t>
      </w:r>
    </w:p>
    <w:p>
      <w:pPr>
        <w:pStyle w:val="4"/>
        <w:numPr>
          <w:ilvl w:val="0"/>
          <w:numId w:val="0"/>
        </w:numPr>
        <w:rPr>
          <w:lang w:val="zh-CN"/>
        </w:rPr>
      </w:pPr>
      <w:r>
        <w:rPr>
          <w:b/>
          <w:lang w:val="zh-CN"/>
        </w:rPr>
        <w:t>4.10.8</w:t>
      </w:r>
      <w:r>
        <w:rPr>
          <w:b/>
          <w:bCs w:val="0"/>
        </w:rPr>
        <w:t xml:space="preserve">  </w:t>
      </w:r>
      <w:r>
        <w:rPr>
          <w:rFonts w:hint="eastAsia"/>
          <w:bCs w:val="0"/>
          <w:lang w:val="zh-CN"/>
        </w:rPr>
        <w:t>地下式城镇污水处理厂应设安全防范系统，并应符合下列规定：</w:t>
      </w:r>
    </w:p>
    <w:p>
      <w:pPr>
        <w:ind w:firstLine="560"/>
      </w:pPr>
      <w:r>
        <w:rPr>
          <w:rFonts w:hint="eastAsia"/>
        </w:rPr>
        <w:t>1 应设置视频监控系统，周界、各类通道、人员出入口等处应设置安防视频摄像机；主要工艺设备、变配电间和控制室等处应设置生产管理视频摄像机；</w:t>
      </w:r>
    </w:p>
    <w:p>
      <w:pPr>
        <w:ind w:firstLine="560"/>
      </w:pPr>
      <w:r>
        <w:rPr>
          <w:rFonts w:hint="eastAsia"/>
        </w:rPr>
        <w:t>2 人员出入口、逃生通道、变配电间和控制室等处宜设置门禁系统；</w:t>
      </w:r>
    </w:p>
    <w:p>
      <w:pPr>
        <w:ind w:firstLine="560"/>
      </w:pPr>
      <w:r>
        <w:rPr>
          <w:rFonts w:hint="eastAsia"/>
        </w:rPr>
        <w:t>3 地下空间出入口、主要通道宜设置安全报警系统；</w:t>
      </w:r>
    </w:p>
    <w:p>
      <w:pPr>
        <w:ind w:firstLine="560"/>
      </w:pPr>
      <w:r>
        <w:rPr>
          <w:rFonts w:hint="eastAsia"/>
        </w:rPr>
        <w:t>4 可设置电子巡更系统、人员定位系统。</w:t>
      </w:r>
    </w:p>
    <w:p>
      <w:pPr>
        <w:pStyle w:val="4"/>
        <w:numPr>
          <w:ilvl w:val="0"/>
          <w:numId w:val="0"/>
        </w:numPr>
        <w:rPr>
          <w:b/>
          <w:lang w:val="zh-CN"/>
        </w:rPr>
      </w:pPr>
      <w:r>
        <w:rPr>
          <w:b/>
          <w:lang w:val="zh-CN"/>
        </w:rPr>
        <w:t>4.10.</w:t>
      </w:r>
      <w:r>
        <w:rPr>
          <w:rFonts w:hint="eastAsia"/>
          <w:b/>
        </w:rPr>
        <w:t>9</w:t>
      </w:r>
      <w:r>
        <w:rPr>
          <w:b/>
          <w:bCs w:val="0"/>
        </w:rPr>
        <w:t xml:space="preserve">  </w:t>
      </w:r>
      <w:r>
        <w:rPr>
          <w:rFonts w:hint="eastAsia"/>
          <w:bCs w:val="0"/>
          <w:lang w:val="zh-CN"/>
        </w:rPr>
        <w:t>地下式城镇污水处理厂</w:t>
      </w:r>
      <w:r>
        <w:rPr>
          <w:rFonts w:hint="eastAsia"/>
          <w:bCs w:val="0"/>
        </w:rPr>
        <w:t>应</w:t>
      </w:r>
      <w:r>
        <w:rPr>
          <w:rFonts w:hint="eastAsia"/>
          <w:bCs w:val="0"/>
          <w:lang w:val="zh-CN"/>
        </w:rPr>
        <w:t>设置智能化应用系统，系统控制内容及设置宜符合下列规定：</w:t>
      </w:r>
    </w:p>
    <w:p>
      <w:pPr>
        <w:ind w:firstLine="560"/>
        <w:rPr>
          <w:lang w:val="zh-CN"/>
        </w:rPr>
      </w:pPr>
      <w:r>
        <w:rPr>
          <w:lang w:val="zh-CN"/>
        </w:rPr>
        <w:t xml:space="preserve">1 </w:t>
      </w:r>
      <w:r>
        <w:rPr>
          <w:rFonts w:hint="eastAsia"/>
          <w:lang w:val="zh-CN"/>
        </w:rPr>
        <w:t>地下空间</w:t>
      </w:r>
      <w:r>
        <w:rPr>
          <w:rFonts w:hint="eastAsia"/>
        </w:rPr>
        <w:t>宜设置</w:t>
      </w:r>
      <w:r>
        <w:rPr>
          <w:rFonts w:hint="eastAsia"/>
          <w:lang w:val="zh-CN"/>
        </w:rPr>
        <w:t>智能照明控制系统；</w:t>
      </w:r>
    </w:p>
    <w:p>
      <w:pPr>
        <w:ind w:firstLine="560"/>
        <w:rPr>
          <w:lang w:val="zh-CN"/>
        </w:rPr>
      </w:pPr>
      <w:r>
        <w:rPr>
          <w:lang w:val="zh-CN"/>
        </w:rPr>
        <w:t xml:space="preserve">2 </w:t>
      </w:r>
      <w:r>
        <w:rPr>
          <w:rFonts w:hint="eastAsia"/>
          <w:lang w:val="zh-CN"/>
        </w:rPr>
        <w:t>加药系统</w:t>
      </w:r>
      <w:r>
        <w:rPr>
          <w:rFonts w:hint="eastAsia"/>
        </w:rPr>
        <w:t>宜</w:t>
      </w:r>
      <w:r>
        <w:rPr>
          <w:rFonts w:hint="eastAsia"/>
          <w:lang w:val="zh-CN"/>
        </w:rPr>
        <w:t>设置智能加药系统；</w:t>
      </w:r>
    </w:p>
    <w:p>
      <w:pPr>
        <w:ind w:firstLine="560"/>
        <w:rPr>
          <w:lang w:val="zh-CN"/>
        </w:rPr>
      </w:pPr>
      <w:r>
        <w:rPr>
          <w:lang w:val="zh-CN"/>
        </w:rPr>
        <w:t xml:space="preserve">3 </w:t>
      </w:r>
      <w:r>
        <w:rPr>
          <w:rFonts w:hint="eastAsia"/>
        </w:rPr>
        <w:t>生物处理系统宜</w:t>
      </w:r>
      <w:r>
        <w:rPr>
          <w:rFonts w:hint="eastAsia"/>
          <w:lang w:val="zh-CN"/>
        </w:rPr>
        <w:t>设置智能</w:t>
      </w:r>
      <w:r>
        <w:rPr>
          <w:rFonts w:hint="eastAsia"/>
        </w:rPr>
        <w:t>生化</w:t>
      </w:r>
      <w:r>
        <w:rPr>
          <w:rFonts w:hint="eastAsia"/>
          <w:lang w:val="zh-CN"/>
        </w:rPr>
        <w:t>控制系统；</w:t>
      </w:r>
    </w:p>
    <w:p>
      <w:pPr>
        <w:ind w:firstLine="560"/>
        <w:rPr>
          <w:lang w:val="zh-CN"/>
        </w:rPr>
      </w:pPr>
      <w:r>
        <w:rPr>
          <w:lang w:val="zh-CN"/>
        </w:rPr>
        <w:t xml:space="preserve">4 </w:t>
      </w:r>
      <w:r>
        <w:rPr>
          <w:rFonts w:hint="eastAsia"/>
        </w:rPr>
        <w:t>宜设置</w:t>
      </w:r>
      <w:r>
        <w:rPr>
          <w:rFonts w:hint="eastAsia"/>
          <w:lang w:val="zh-CN"/>
        </w:rPr>
        <w:t>智能电能监控系统；</w:t>
      </w:r>
    </w:p>
    <w:p>
      <w:pPr>
        <w:ind w:firstLine="560"/>
        <w:rPr>
          <w:lang w:val="zh-CN"/>
        </w:rPr>
      </w:pPr>
      <w:r>
        <w:rPr>
          <w:lang w:val="zh-CN"/>
        </w:rPr>
        <w:t xml:space="preserve">5 </w:t>
      </w:r>
      <w:r>
        <w:rPr>
          <w:rFonts w:hint="eastAsia"/>
          <w:lang w:val="zh-CN"/>
        </w:rPr>
        <w:t>厂区多级提升设备及辅助设备</w:t>
      </w:r>
      <w:r>
        <w:rPr>
          <w:rFonts w:hint="eastAsia"/>
        </w:rPr>
        <w:t>宜根据工艺要求设置</w:t>
      </w:r>
      <w:r>
        <w:rPr>
          <w:rFonts w:hint="eastAsia"/>
          <w:lang w:val="zh-CN"/>
        </w:rPr>
        <w:t>联动控制系统；</w:t>
      </w:r>
    </w:p>
    <w:p>
      <w:pPr>
        <w:ind w:firstLine="560"/>
      </w:pPr>
      <w:r>
        <w:t xml:space="preserve">6 </w:t>
      </w:r>
      <w:r>
        <w:rPr>
          <w:rFonts w:hint="eastAsia"/>
        </w:rPr>
        <w:t>可结合运行管理需求设置智能巡检设备。</w:t>
      </w:r>
    </w:p>
    <w:p>
      <w:pPr>
        <w:pStyle w:val="4"/>
        <w:numPr>
          <w:ilvl w:val="0"/>
          <w:numId w:val="0"/>
        </w:numPr>
        <w:rPr>
          <w:bCs w:val="0"/>
        </w:rPr>
      </w:pPr>
      <w:r>
        <w:rPr>
          <w:b/>
          <w:lang w:val="zh-CN"/>
        </w:rPr>
        <w:t>4.10.</w:t>
      </w:r>
      <w:r>
        <w:rPr>
          <w:rFonts w:hint="eastAsia"/>
          <w:b/>
        </w:rPr>
        <w:t>10</w:t>
      </w:r>
      <w:r>
        <w:rPr>
          <w:b/>
          <w:bCs w:val="0"/>
        </w:rPr>
        <w:t xml:space="preserve">  </w:t>
      </w:r>
      <w:r>
        <w:rPr>
          <w:bCs w:val="0"/>
          <w:lang w:val="zh-CN"/>
        </w:rPr>
        <w:t>地下式城镇污水处理厂</w:t>
      </w:r>
      <w:r>
        <w:rPr>
          <w:rFonts w:hint="eastAsia"/>
          <w:bCs w:val="0"/>
        </w:rPr>
        <w:t>宜建设从生产到运行管理和决策的智慧污水系统，实现城镇或区域污水处理工程大数据管理、互联网应用、移动终端应用、地理信息查询、决策咨询、设备监控、应急预警和信息发布等功能。</w:t>
      </w:r>
    </w:p>
    <w:p>
      <w:pPr>
        <w:pStyle w:val="4"/>
        <w:numPr>
          <w:ilvl w:val="0"/>
          <w:numId w:val="0"/>
        </w:numPr>
        <w:rPr>
          <w:bCs w:val="0"/>
        </w:rPr>
      </w:pPr>
      <w:r>
        <w:rPr>
          <w:b/>
          <w:lang w:val="zh-CN"/>
        </w:rPr>
        <w:t>4.10.</w:t>
      </w:r>
      <w:r>
        <w:rPr>
          <w:rFonts w:hint="eastAsia"/>
          <w:b/>
        </w:rPr>
        <w:t>11</w:t>
      </w:r>
      <w:r>
        <w:rPr>
          <w:b/>
          <w:bCs w:val="0"/>
        </w:rPr>
        <w:t xml:space="preserve">  </w:t>
      </w:r>
      <w:r>
        <w:rPr>
          <w:rFonts w:hint="eastAsia"/>
          <w:bCs w:val="0"/>
        </w:rPr>
        <w:t>智慧污水系统应建立具有对接智慧水务技术条件的综合管理平台，并与其他管理部门信息互通。</w:t>
      </w:r>
    </w:p>
    <w:p>
      <w:pPr>
        <w:ind w:firstLine="560"/>
        <w:rPr>
          <w:lang w:val="zh-CN"/>
        </w:rPr>
      </w:pPr>
    </w:p>
    <w:p>
      <w:pPr>
        <w:pStyle w:val="3"/>
        <w:spacing w:before="312" w:beforeLines="100" w:after="312" w:afterLines="100"/>
      </w:pPr>
      <w:bookmarkStart w:id="3503" w:name="_Toc70600685"/>
      <w:bookmarkStart w:id="3504" w:name="_Toc126321317"/>
      <w:bookmarkStart w:id="3505" w:name="_Toc114734635"/>
      <w:bookmarkStart w:id="3506" w:name="_Toc96358482"/>
      <w:r>
        <w:rPr>
          <w:rFonts w:hint="eastAsia"/>
        </w:rPr>
        <w:t>消防</w:t>
      </w:r>
      <w:bookmarkEnd w:id="3503"/>
      <w:r>
        <w:rPr>
          <w:rFonts w:hint="eastAsia"/>
        </w:rPr>
        <w:t>设计</w:t>
      </w:r>
      <w:bookmarkEnd w:id="3504"/>
      <w:bookmarkEnd w:id="3505"/>
      <w:bookmarkEnd w:id="3506"/>
    </w:p>
    <w:p>
      <w:pPr>
        <w:pStyle w:val="4"/>
        <w:numPr>
          <w:ilvl w:val="0"/>
          <w:numId w:val="0"/>
        </w:numPr>
        <w:rPr>
          <w:bCs w:val="0"/>
          <w:lang w:val="zh-CN"/>
        </w:rPr>
      </w:pPr>
      <w:r>
        <w:rPr>
          <w:b/>
          <w:bCs w:val="0"/>
          <w:lang w:val="zh-CN"/>
        </w:rPr>
        <w:t>4.11.</w:t>
      </w:r>
      <w:r>
        <w:rPr>
          <w:b/>
          <w:lang w:val="zh-CN"/>
        </w:rPr>
        <w:t>1</w:t>
      </w:r>
      <w:r>
        <w:rPr>
          <w:b/>
          <w:bCs w:val="0"/>
        </w:rPr>
        <w:t xml:space="preserve">  </w:t>
      </w:r>
      <w:r>
        <w:rPr>
          <w:rFonts w:hint="eastAsia"/>
          <w:bCs w:val="0"/>
          <w:lang w:val="zh-CN"/>
        </w:rPr>
        <w:t>地下式城镇污水处理厂的耐火等级应符合下列规定：</w:t>
      </w:r>
    </w:p>
    <w:p>
      <w:pPr>
        <w:ind w:firstLine="560"/>
        <w:rPr>
          <w:lang w:val="zh-CN"/>
        </w:rPr>
      </w:pPr>
      <w:r>
        <w:rPr>
          <w:lang w:val="zh-CN"/>
        </w:rPr>
        <w:t xml:space="preserve">1  </w:t>
      </w:r>
      <w:r>
        <w:rPr>
          <w:rFonts w:hint="eastAsia"/>
          <w:lang w:val="zh-CN"/>
        </w:rPr>
        <w:t>地面建筑不应低于二级；</w:t>
      </w:r>
    </w:p>
    <w:p>
      <w:pPr>
        <w:ind w:firstLine="560"/>
        <w:rPr>
          <w:lang w:val="zh-CN"/>
        </w:rPr>
      </w:pPr>
      <w:r>
        <w:rPr>
          <w:lang w:val="zh-CN"/>
        </w:rPr>
        <w:t xml:space="preserve">2  </w:t>
      </w:r>
      <w:r>
        <w:rPr>
          <w:rFonts w:hint="eastAsia"/>
          <w:lang w:val="zh-CN"/>
        </w:rPr>
        <w:t>地下空间为一级。</w:t>
      </w:r>
    </w:p>
    <w:p>
      <w:pPr>
        <w:pStyle w:val="4"/>
        <w:numPr>
          <w:ilvl w:val="0"/>
          <w:numId w:val="0"/>
        </w:numPr>
        <w:rPr>
          <w:lang w:val="zh-CN"/>
        </w:rPr>
      </w:pPr>
      <w:r>
        <w:rPr>
          <w:b/>
          <w:bCs w:val="0"/>
          <w:lang w:val="zh-CN"/>
        </w:rPr>
        <w:t>4.11.2</w:t>
      </w:r>
      <w:r>
        <w:rPr>
          <w:b/>
          <w:bCs w:val="0"/>
        </w:rPr>
        <w:t xml:space="preserve">  </w:t>
      </w:r>
      <w:r>
        <w:rPr>
          <w:rFonts w:hint="eastAsia"/>
          <w:lang w:val="zh-CN"/>
        </w:rPr>
        <w:t>各构（建）筑物火灾危险性应根据</w:t>
      </w:r>
      <w:r>
        <w:rPr>
          <w:rFonts w:hint="eastAsia"/>
        </w:rPr>
        <w:t>污水处理过程</w:t>
      </w:r>
      <w:r>
        <w:rPr>
          <w:rFonts w:hint="eastAsia"/>
          <w:lang w:val="zh-CN"/>
        </w:rPr>
        <w:t>中使用或产生的物质性质及数量等因素划分，并符合表</w:t>
      </w:r>
      <w:r>
        <w:rPr>
          <w:lang w:val="zh-CN"/>
        </w:rPr>
        <w:t>4.11.</w:t>
      </w:r>
      <w:r>
        <w:rPr>
          <w:rFonts w:hint="eastAsia"/>
        </w:rPr>
        <w:t>2</w:t>
      </w:r>
      <w:r>
        <w:rPr>
          <w:rFonts w:hint="eastAsia"/>
          <w:lang w:val="zh-CN"/>
        </w:rPr>
        <w:t>的规定。当同一防火分区含有两种或以上火灾危险性分类建筑时，应按火灾危险性较大的类别确定。</w:t>
      </w:r>
    </w:p>
    <w:p>
      <w:pPr>
        <w:keepLines/>
        <w:spacing w:line="440" w:lineRule="exact"/>
        <w:ind w:firstLine="562"/>
        <w:jc w:val="center"/>
        <w:rPr>
          <w:b/>
        </w:rPr>
      </w:pPr>
      <w:r>
        <w:rPr>
          <w:rFonts w:hint="eastAsia"/>
          <w:b/>
        </w:rPr>
        <w:t>表</w:t>
      </w:r>
      <w:r>
        <w:rPr>
          <w:b/>
        </w:rPr>
        <w:t>4.11.2</w:t>
      </w:r>
      <w:r>
        <w:rPr>
          <w:rFonts w:hint="eastAsia"/>
          <w:b/>
        </w:rPr>
        <w:t>构（建）筑物的火灾危险性分类</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2"/>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2392" w:type="pct"/>
            <w:vAlign w:val="center"/>
          </w:tcPr>
          <w:p>
            <w:pPr>
              <w:widowControl/>
              <w:spacing w:line="240" w:lineRule="auto"/>
              <w:ind w:firstLine="210" w:firstLineChars="100"/>
              <w:jc w:val="center"/>
              <w:rPr>
                <w:sz w:val="21"/>
              </w:rPr>
            </w:pPr>
            <w:r>
              <w:rPr>
                <w:rFonts w:hint="eastAsia"/>
                <w:sz w:val="21"/>
              </w:rPr>
              <w:t>建筑类别</w:t>
            </w:r>
          </w:p>
        </w:tc>
        <w:tc>
          <w:tcPr>
            <w:tcW w:w="2608" w:type="pct"/>
            <w:vAlign w:val="center"/>
          </w:tcPr>
          <w:p>
            <w:pPr>
              <w:widowControl/>
              <w:spacing w:line="240" w:lineRule="auto"/>
              <w:ind w:firstLine="0" w:firstLineChars="0"/>
              <w:jc w:val="center"/>
              <w:rPr>
                <w:kern w:val="0"/>
                <w:sz w:val="21"/>
              </w:rPr>
            </w:pPr>
            <w:r>
              <w:rPr>
                <w:rFonts w:hint="eastAsia"/>
                <w:kern w:val="0"/>
                <w:sz w:val="21"/>
              </w:rPr>
              <w:t>火灾危险性类别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pct"/>
          </w:tcPr>
          <w:p>
            <w:pPr>
              <w:widowControl/>
              <w:spacing w:line="240" w:lineRule="auto"/>
              <w:ind w:firstLine="0" w:firstLineChars="0"/>
              <w:jc w:val="center"/>
              <w:rPr>
                <w:kern w:val="0"/>
                <w:sz w:val="21"/>
              </w:rPr>
            </w:pPr>
            <w:r>
              <w:rPr>
                <w:rFonts w:hint="eastAsia"/>
                <w:kern w:val="0"/>
                <w:sz w:val="21"/>
              </w:rPr>
              <w:t>生产调度中心</w:t>
            </w:r>
          </w:p>
        </w:tc>
        <w:tc>
          <w:tcPr>
            <w:tcW w:w="2608" w:type="pct"/>
            <w:vAlign w:val="center"/>
          </w:tcPr>
          <w:p>
            <w:pPr>
              <w:widowControl/>
              <w:spacing w:line="240" w:lineRule="auto"/>
              <w:ind w:left="1" w:hanging="1" w:firstLineChars="0"/>
              <w:jc w:val="center"/>
              <w:rPr>
                <w:kern w:val="0"/>
                <w:sz w:val="21"/>
              </w:rPr>
            </w:pPr>
            <w:r>
              <w:rPr>
                <w:rFonts w:hint="eastAsia"/>
                <w:kern w:val="0"/>
                <w:sz w:val="21"/>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pct"/>
          </w:tcPr>
          <w:p>
            <w:pPr>
              <w:widowControl/>
              <w:spacing w:line="240" w:lineRule="auto"/>
              <w:ind w:firstLine="0" w:firstLineChars="0"/>
              <w:jc w:val="center"/>
              <w:rPr>
                <w:kern w:val="0"/>
                <w:sz w:val="21"/>
              </w:rPr>
            </w:pPr>
            <w:r>
              <w:rPr>
                <w:rFonts w:hint="eastAsia"/>
                <w:kern w:val="0"/>
                <w:sz w:val="21"/>
              </w:rPr>
              <w:t>高压变配电房</w:t>
            </w:r>
          </w:p>
        </w:tc>
        <w:tc>
          <w:tcPr>
            <w:tcW w:w="2608" w:type="pct"/>
            <w:vAlign w:val="center"/>
          </w:tcPr>
          <w:p>
            <w:pPr>
              <w:widowControl/>
              <w:spacing w:line="240" w:lineRule="auto"/>
              <w:ind w:hanging="1" w:firstLineChars="0"/>
              <w:jc w:val="center"/>
              <w:rPr>
                <w:kern w:val="0"/>
                <w:sz w:val="21"/>
              </w:rPr>
            </w:pPr>
            <w:r>
              <w:rPr>
                <w:rFonts w:hint="eastAsia"/>
                <w:kern w:val="0"/>
                <w:sz w:val="21"/>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pct"/>
          </w:tcPr>
          <w:p>
            <w:pPr>
              <w:widowControl/>
              <w:spacing w:line="240" w:lineRule="auto"/>
              <w:ind w:firstLine="0" w:firstLineChars="0"/>
              <w:jc w:val="center"/>
              <w:rPr>
                <w:kern w:val="0"/>
                <w:sz w:val="21"/>
              </w:rPr>
            </w:pPr>
            <w:r>
              <w:rPr>
                <w:rFonts w:hint="eastAsia"/>
                <w:kern w:val="0"/>
                <w:sz w:val="21"/>
              </w:rPr>
              <w:t>地面其他建筑</w:t>
            </w:r>
          </w:p>
        </w:tc>
        <w:tc>
          <w:tcPr>
            <w:tcW w:w="2608" w:type="pct"/>
            <w:vAlign w:val="center"/>
          </w:tcPr>
          <w:p>
            <w:pPr>
              <w:widowControl/>
              <w:spacing w:line="240" w:lineRule="auto"/>
              <w:ind w:hanging="1" w:firstLineChars="0"/>
              <w:jc w:val="center"/>
              <w:rPr>
                <w:kern w:val="0"/>
                <w:sz w:val="21"/>
              </w:rPr>
            </w:pPr>
            <w:r>
              <w:rPr>
                <w:rFonts w:hint="eastAsia"/>
                <w:kern w:val="0"/>
                <w:sz w:val="21"/>
              </w:rPr>
              <w:t>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pct"/>
          </w:tcPr>
          <w:p>
            <w:pPr>
              <w:widowControl/>
              <w:spacing w:line="240" w:lineRule="auto"/>
              <w:ind w:firstLine="0" w:firstLineChars="0"/>
              <w:jc w:val="center"/>
              <w:rPr>
                <w:kern w:val="0"/>
                <w:sz w:val="21"/>
              </w:rPr>
            </w:pPr>
            <w:r>
              <w:rPr>
                <w:rFonts w:hint="eastAsia"/>
                <w:kern w:val="0"/>
                <w:sz w:val="21"/>
              </w:rPr>
              <w:t>地下空间—配电房</w:t>
            </w:r>
          </w:p>
        </w:tc>
        <w:tc>
          <w:tcPr>
            <w:tcW w:w="2608" w:type="pct"/>
            <w:vAlign w:val="center"/>
          </w:tcPr>
          <w:p>
            <w:pPr>
              <w:widowControl/>
              <w:spacing w:line="240" w:lineRule="auto"/>
              <w:ind w:hanging="1" w:firstLineChars="0"/>
              <w:jc w:val="center"/>
              <w:rPr>
                <w:kern w:val="0"/>
                <w:sz w:val="21"/>
              </w:rPr>
            </w:pPr>
            <w:r>
              <w:rPr>
                <w:rFonts w:hint="eastAsia"/>
                <w:kern w:val="0"/>
                <w:sz w:val="21"/>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pct"/>
          </w:tcPr>
          <w:p>
            <w:pPr>
              <w:widowControl/>
              <w:spacing w:line="240" w:lineRule="auto"/>
              <w:ind w:firstLine="0" w:firstLineChars="0"/>
              <w:jc w:val="center"/>
              <w:rPr>
                <w:kern w:val="0"/>
                <w:sz w:val="21"/>
              </w:rPr>
            </w:pPr>
            <w:r>
              <w:rPr>
                <w:rFonts w:hint="eastAsia"/>
                <w:kern w:val="0"/>
                <w:sz w:val="21"/>
              </w:rPr>
              <w:t>地下空间—配电房以外建筑</w:t>
            </w:r>
          </w:p>
        </w:tc>
        <w:tc>
          <w:tcPr>
            <w:tcW w:w="2608" w:type="pct"/>
            <w:vAlign w:val="center"/>
          </w:tcPr>
          <w:p>
            <w:pPr>
              <w:widowControl/>
              <w:spacing w:line="240" w:lineRule="auto"/>
              <w:ind w:hanging="1" w:firstLineChars="0"/>
              <w:jc w:val="center"/>
              <w:rPr>
                <w:kern w:val="0"/>
                <w:sz w:val="21"/>
              </w:rPr>
            </w:pPr>
            <w:r>
              <w:rPr>
                <w:rFonts w:hint="eastAsia"/>
                <w:kern w:val="0"/>
                <w:sz w:val="21"/>
              </w:rPr>
              <w:t>戊</w:t>
            </w:r>
          </w:p>
        </w:tc>
      </w:tr>
    </w:tbl>
    <w:p>
      <w:pPr>
        <w:pStyle w:val="4"/>
        <w:numPr>
          <w:ilvl w:val="0"/>
          <w:numId w:val="0"/>
        </w:numPr>
        <w:rPr>
          <w:lang w:val="zh-CN"/>
        </w:rPr>
      </w:pPr>
      <w:r>
        <w:rPr>
          <w:b/>
          <w:bCs w:val="0"/>
          <w:lang w:val="zh-CN"/>
        </w:rPr>
        <w:t>4.11.</w:t>
      </w:r>
      <w:r>
        <w:rPr>
          <w:b/>
          <w:bCs w:val="0"/>
        </w:rPr>
        <w:t xml:space="preserve">3  </w:t>
      </w:r>
      <w:r>
        <w:rPr>
          <w:rFonts w:hint="eastAsia"/>
          <w:bCs w:val="0"/>
          <w:lang w:val="zh-CN"/>
        </w:rPr>
        <w:t>地下空间的</w:t>
      </w:r>
      <w:r>
        <w:rPr>
          <w:rFonts w:hint="eastAsia"/>
          <w:bCs w:val="0"/>
        </w:rPr>
        <w:t>消防设计</w:t>
      </w:r>
      <w:r>
        <w:rPr>
          <w:rFonts w:hint="eastAsia"/>
          <w:bCs w:val="0"/>
          <w:lang w:val="zh-CN"/>
        </w:rPr>
        <w:t>应符合下列规定：</w:t>
      </w:r>
    </w:p>
    <w:p>
      <w:pPr>
        <w:ind w:firstLine="560"/>
        <w:rPr>
          <w:strike/>
          <w:lang w:val="zh-CN"/>
        </w:rPr>
      </w:pPr>
      <w:r>
        <w:rPr>
          <w:rFonts w:hint="eastAsia"/>
          <w:lang w:val="zh-CN"/>
        </w:rPr>
        <w:t>1 地下空间防火分区</w:t>
      </w:r>
      <w:r>
        <w:rPr>
          <w:rFonts w:hint="eastAsia"/>
        </w:rPr>
        <w:t>应按照</w:t>
      </w:r>
      <w:r>
        <w:rPr>
          <w:rFonts w:hint="eastAsia"/>
          <w:lang w:val="zh-CN"/>
        </w:rPr>
        <w:t>工艺功能</w:t>
      </w:r>
      <w:r>
        <w:rPr>
          <w:rFonts w:hint="eastAsia"/>
        </w:rPr>
        <w:t>进行</w:t>
      </w:r>
      <w:r>
        <w:rPr>
          <w:rFonts w:hint="eastAsia"/>
          <w:lang w:val="zh-CN"/>
        </w:rPr>
        <w:t>划分，宜通过设置自动灭火系统扩大防火分区面积，</w:t>
      </w:r>
      <w:r>
        <w:rPr>
          <w:rFonts w:hint="eastAsia"/>
        </w:rPr>
        <w:t>并</w:t>
      </w:r>
      <w:r>
        <w:rPr>
          <w:rFonts w:hint="eastAsia"/>
          <w:lang w:val="zh-CN"/>
        </w:rPr>
        <w:t>应符合现行国家标准《建筑设计防火规范》GB</w:t>
      </w:r>
      <w:r>
        <w:rPr>
          <w:lang w:val="zh-CN"/>
        </w:rPr>
        <w:t xml:space="preserve"> </w:t>
      </w:r>
      <w:r>
        <w:rPr>
          <w:rFonts w:hint="eastAsia"/>
          <w:lang w:val="zh-CN"/>
        </w:rPr>
        <w:t>50016的</w:t>
      </w:r>
      <w:r>
        <w:rPr>
          <w:rFonts w:hint="eastAsia"/>
        </w:rPr>
        <w:t>有关</w:t>
      </w:r>
      <w:r>
        <w:rPr>
          <w:rFonts w:hint="eastAsia"/>
          <w:lang w:val="zh-CN"/>
        </w:rPr>
        <w:t>规定；</w:t>
      </w:r>
    </w:p>
    <w:p>
      <w:pPr>
        <w:ind w:firstLine="560"/>
      </w:pPr>
      <w:r>
        <w:rPr>
          <w:rFonts w:hint="eastAsia"/>
        </w:rPr>
        <w:t>2</w:t>
      </w:r>
      <w:r>
        <w:rPr>
          <w:lang w:val="zh-CN"/>
        </w:rPr>
        <w:t xml:space="preserve"> </w:t>
      </w:r>
      <w:r>
        <w:rPr>
          <w:rFonts w:hint="eastAsia"/>
        </w:rPr>
        <w:t>无人员经常停留的</w:t>
      </w:r>
      <w:r>
        <w:rPr>
          <w:rFonts w:hint="eastAsia"/>
          <w:lang w:val="zh-CN"/>
        </w:rPr>
        <w:t>设施管廊</w:t>
      </w:r>
      <w:r>
        <w:rPr>
          <w:rFonts w:hint="eastAsia"/>
        </w:rPr>
        <w:t>区域</w:t>
      </w:r>
      <w:r>
        <w:rPr>
          <w:rFonts w:hint="eastAsia"/>
          <w:lang w:val="zh-CN"/>
        </w:rPr>
        <w:t>防火墙分割间距不应超过200m；</w:t>
      </w:r>
      <w:r>
        <w:rPr>
          <w:rFonts w:hint="eastAsia"/>
        </w:rPr>
        <w:t>区域</w:t>
      </w:r>
      <w:r>
        <w:rPr>
          <w:rFonts w:hint="eastAsia"/>
          <w:lang w:val="zh-CN"/>
        </w:rPr>
        <w:t>内任一点至最近安全出口的直线距离不应大于100m，可利用通向相邻防火分区的甲级防火门作为第二安全出口，但每个防火分区至少应设置一处直通室外或操作层处理区的独立安全出口，</w:t>
      </w:r>
      <w:r>
        <w:rPr>
          <w:rFonts w:hint="eastAsia"/>
        </w:rPr>
        <w:t>该区域可</w:t>
      </w:r>
      <w:r>
        <w:rPr>
          <w:rFonts w:hint="eastAsia"/>
          <w:lang w:val="zh-CN"/>
        </w:rPr>
        <w:t>不计入相应防火分区的允许建筑面积；</w:t>
      </w:r>
    </w:p>
    <w:p>
      <w:pPr>
        <w:ind w:firstLine="560"/>
        <w:rPr>
          <w:lang w:val="zh-CN"/>
        </w:rPr>
      </w:pPr>
      <w:r>
        <w:rPr>
          <w:rFonts w:hint="eastAsia"/>
        </w:rPr>
        <w:t>3</w:t>
      </w:r>
      <w:r>
        <w:rPr>
          <w:rFonts w:hint="eastAsia"/>
          <w:lang w:val="zh-CN"/>
        </w:rPr>
        <w:t>疏散楼梯、避难走道、最远疏散距离等</w:t>
      </w:r>
      <w:r>
        <w:rPr>
          <w:rFonts w:hint="eastAsia"/>
        </w:rPr>
        <w:t>的设置</w:t>
      </w:r>
      <w:r>
        <w:rPr>
          <w:rFonts w:hint="eastAsia"/>
          <w:lang w:val="zh-CN"/>
        </w:rPr>
        <w:t>应符合现行国家标准《建筑设计防火规范》GB</w:t>
      </w:r>
      <w:r>
        <w:rPr>
          <w:lang w:val="zh-CN"/>
        </w:rPr>
        <w:t xml:space="preserve"> </w:t>
      </w:r>
      <w:r>
        <w:rPr>
          <w:rFonts w:hint="eastAsia"/>
          <w:lang w:val="zh-CN"/>
        </w:rPr>
        <w:t>50016的</w:t>
      </w:r>
      <w:r>
        <w:rPr>
          <w:rFonts w:hint="eastAsia"/>
        </w:rPr>
        <w:t>有关</w:t>
      </w:r>
      <w:r>
        <w:rPr>
          <w:rFonts w:hint="eastAsia"/>
          <w:lang w:val="zh-CN"/>
        </w:rPr>
        <w:t>规定</w:t>
      </w:r>
      <w:r>
        <w:rPr>
          <w:rFonts w:hint="eastAsia"/>
        </w:rPr>
        <w:t>；</w:t>
      </w:r>
    </w:p>
    <w:p>
      <w:pPr>
        <w:ind w:firstLine="560"/>
        <w:rPr>
          <w:lang w:val="zh-CN"/>
        </w:rPr>
      </w:pPr>
      <w:r>
        <w:rPr>
          <w:rFonts w:hint="eastAsia"/>
        </w:rPr>
        <w:t>4</w:t>
      </w:r>
      <w:r>
        <w:rPr>
          <w:lang w:val="zh-CN"/>
        </w:rPr>
        <w:t xml:space="preserve"> </w:t>
      </w:r>
      <w:r>
        <w:rPr>
          <w:rFonts w:hint="eastAsia"/>
          <w:lang w:val="zh-CN"/>
        </w:rPr>
        <w:t>地下空间有装修要求时应选用不燃材料；</w:t>
      </w:r>
    </w:p>
    <w:p>
      <w:pPr>
        <w:ind w:firstLine="560"/>
      </w:pPr>
      <w:r>
        <w:rPr>
          <w:rFonts w:hint="eastAsia"/>
        </w:rPr>
        <w:t>5当防火分区面积或其他防火措施突破现行国家标准规定时，应组织专题研究、论证；</w:t>
      </w:r>
    </w:p>
    <w:p>
      <w:pPr>
        <w:ind w:firstLine="560"/>
      </w:pPr>
      <w:r>
        <w:t>6</w:t>
      </w:r>
      <w:r>
        <w:rPr>
          <w:rFonts w:hint="eastAsia"/>
        </w:rPr>
        <w:t>消防水池应设置水位监测系统并接入消防控制室。</w:t>
      </w:r>
    </w:p>
    <w:p>
      <w:pPr>
        <w:pStyle w:val="4"/>
        <w:numPr>
          <w:ilvl w:val="0"/>
          <w:numId w:val="0"/>
        </w:numPr>
        <w:rPr>
          <w:lang w:val="zh-CN"/>
        </w:rPr>
      </w:pPr>
      <w:r>
        <w:rPr>
          <w:b/>
          <w:lang w:val="zh-CN"/>
        </w:rPr>
        <w:t>4.11.</w:t>
      </w:r>
      <w:r>
        <w:rPr>
          <w:b/>
          <w:bCs w:val="0"/>
          <w:lang w:val="zh-CN"/>
        </w:rPr>
        <w:t>4</w:t>
      </w:r>
      <w:r>
        <w:t xml:space="preserve"> </w:t>
      </w:r>
      <w:r>
        <w:rPr>
          <w:b/>
          <w:bCs w:val="0"/>
        </w:rPr>
        <w:t xml:space="preserve">  </w:t>
      </w:r>
      <w:r>
        <w:rPr>
          <w:rFonts w:hint="eastAsia"/>
        </w:rPr>
        <w:t>地下式城镇污水处理厂的建筑内应</w:t>
      </w:r>
      <w:r>
        <w:rPr>
          <w:rFonts w:hint="eastAsia"/>
          <w:lang w:val="zh-CN"/>
        </w:rPr>
        <w:t>设置灭火器，</w:t>
      </w:r>
      <w:r>
        <w:rPr>
          <w:rFonts w:hint="eastAsia"/>
        </w:rPr>
        <w:t>并应符合现行国家标准</w:t>
      </w:r>
      <w:r>
        <w:rPr>
          <w:rFonts w:hint="eastAsia"/>
          <w:bCs w:val="0"/>
          <w:lang w:val="zh-CN"/>
        </w:rPr>
        <w:t>《建筑灭火器配置设计规范》</w:t>
      </w:r>
      <w:r>
        <w:rPr>
          <w:bCs w:val="0"/>
          <w:lang w:val="zh-CN"/>
        </w:rPr>
        <w:t>GB 50140</w:t>
      </w:r>
      <w:r>
        <w:rPr>
          <w:rFonts w:hint="eastAsia"/>
          <w:bCs w:val="0"/>
        </w:rPr>
        <w:t>的有关规定。</w:t>
      </w:r>
    </w:p>
    <w:p>
      <w:pPr>
        <w:pStyle w:val="4"/>
        <w:numPr>
          <w:ilvl w:val="0"/>
          <w:numId w:val="0"/>
        </w:numPr>
        <w:rPr>
          <w:lang w:val="zh-CN"/>
        </w:rPr>
      </w:pPr>
      <w:r>
        <w:rPr>
          <w:b/>
          <w:lang w:val="zh-CN"/>
        </w:rPr>
        <w:t>4.11.5</w:t>
      </w:r>
      <w:r>
        <w:rPr>
          <w:b/>
          <w:bCs w:val="0"/>
        </w:rPr>
        <w:t xml:space="preserve">  </w:t>
      </w:r>
      <w:r>
        <w:rPr>
          <w:rFonts w:hint="eastAsia"/>
          <w:lang w:val="zh-CN"/>
        </w:rPr>
        <w:t>地下式</w:t>
      </w:r>
      <w:r>
        <w:rPr>
          <w:rFonts w:hint="eastAsia"/>
        </w:rPr>
        <w:t>城镇</w:t>
      </w:r>
      <w:r>
        <w:rPr>
          <w:rFonts w:hint="eastAsia"/>
          <w:lang w:val="zh-CN"/>
        </w:rPr>
        <w:t>污水处理厂的室内外消火栓</w:t>
      </w:r>
      <w:r>
        <w:rPr>
          <w:rFonts w:hint="eastAsia"/>
        </w:rPr>
        <w:t>系统</w:t>
      </w:r>
      <w:r>
        <w:rPr>
          <w:rFonts w:hint="eastAsia"/>
          <w:lang w:val="zh-CN"/>
        </w:rPr>
        <w:t>、</w:t>
      </w:r>
      <w:r>
        <w:rPr>
          <w:rFonts w:hint="eastAsia"/>
        </w:rPr>
        <w:t>自动喷水灭火系统的</w:t>
      </w:r>
      <w:r>
        <w:rPr>
          <w:rFonts w:hint="eastAsia"/>
          <w:lang w:val="zh-CN"/>
        </w:rPr>
        <w:t>设计应符合现行国家标准《消防给水及消火栓系统技术规范》</w:t>
      </w:r>
      <w:r>
        <w:rPr>
          <w:lang w:val="zh-CN"/>
        </w:rPr>
        <w:t>GB50974</w:t>
      </w:r>
      <w:r>
        <w:rPr>
          <w:rFonts w:hint="eastAsia"/>
        </w:rPr>
        <w:t>和</w:t>
      </w:r>
      <w:r>
        <w:rPr>
          <w:rFonts w:hint="eastAsia"/>
          <w:bCs w:val="0"/>
          <w:lang w:val="zh-CN"/>
        </w:rPr>
        <w:t>《自动喷水灭火系统设计规范》</w:t>
      </w:r>
      <w:r>
        <w:rPr>
          <w:bCs w:val="0"/>
          <w:lang w:val="zh-CN"/>
        </w:rPr>
        <w:t>GB 50084</w:t>
      </w:r>
      <w:r>
        <w:rPr>
          <w:rFonts w:hint="eastAsia"/>
          <w:lang w:val="zh-CN"/>
        </w:rPr>
        <w:t>的有关规定。</w:t>
      </w:r>
    </w:p>
    <w:p>
      <w:pPr>
        <w:pStyle w:val="4"/>
        <w:numPr>
          <w:ilvl w:val="0"/>
          <w:numId w:val="0"/>
        </w:numPr>
        <w:rPr>
          <w:b/>
          <w:lang w:val="zh-CN"/>
        </w:rPr>
      </w:pPr>
      <w:r>
        <w:rPr>
          <w:b/>
          <w:lang w:val="zh-CN"/>
        </w:rPr>
        <w:t>4.11.6</w:t>
      </w:r>
      <w:r>
        <w:rPr>
          <w:b/>
          <w:bCs w:val="0"/>
        </w:rPr>
        <w:t xml:space="preserve">  </w:t>
      </w:r>
      <w:r>
        <w:rPr>
          <w:rFonts w:hint="eastAsia"/>
          <w:bCs w:val="0"/>
          <w:szCs w:val="24"/>
        </w:rPr>
        <w:t>地下空间内发电机房、变电所、配电间宜设置气体消防，</w:t>
      </w:r>
      <w:r>
        <w:rPr>
          <w:rFonts w:hint="eastAsia"/>
          <w:bCs w:val="0"/>
          <w:lang w:val="zh-CN"/>
        </w:rPr>
        <w:t>并应符合现行国家标准《气体灭火系统设计规范》</w:t>
      </w:r>
      <w:r>
        <w:rPr>
          <w:bCs w:val="0"/>
          <w:lang w:val="zh-CN"/>
        </w:rPr>
        <w:t>GB 50370</w:t>
      </w:r>
      <w:r>
        <w:rPr>
          <w:rFonts w:hint="eastAsia"/>
          <w:bCs w:val="0"/>
          <w:lang w:val="zh-CN"/>
        </w:rPr>
        <w:t>的有关规定。</w:t>
      </w:r>
    </w:p>
    <w:p>
      <w:pPr>
        <w:pStyle w:val="4"/>
        <w:numPr>
          <w:ilvl w:val="0"/>
          <w:numId w:val="0"/>
        </w:numPr>
        <w:rPr>
          <w:bCs w:val="0"/>
          <w:lang w:val="zh-CN"/>
        </w:rPr>
      </w:pPr>
      <w:r>
        <w:rPr>
          <w:b/>
          <w:lang w:val="zh-CN"/>
        </w:rPr>
        <w:t>4.11.</w:t>
      </w:r>
      <w:r>
        <w:rPr>
          <w:rFonts w:hint="eastAsia"/>
          <w:b/>
        </w:rPr>
        <w:t>7</w:t>
      </w:r>
      <w:r>
        <w:rPr>
          <w:b/>
          <w:bCs w:val="0"/>
        </w:rPr>
        <w:t xml:space="preserve">  </w:t>
      </w:r>
      <w:r>
        <w:rPr>
          <w:lang w:val="zh-CN"/>
        </w:rPr>
        <w:t>地下式</w:t>
      </w:r>
      <w:r>
        <w:rPr>
          <w:rFonts w:hint="eastAsia"/>
        </w:rPr>
        <w:t>城镇</w:t>
      </w:r>
      <w:r>
        <w:rPr>
          <w:lang w:val="zh-CN"/>
        </w:rPr>
        <w:t>污水处理厂</w:t>
      </w:r>
      <w:r>
        <w:rPr>
          <w:rFonts w:hint="eastAsia"/>
        </w:rPr>
        <w:t>应设置</w:t>
      </w:r>
      <w:r>
        <w:rPr>
          <w:rFonts w:hint="eastAsia"/>
          <w:bCs w:val="0"/>
          <w:lang w:val="zh-CN"/>
        </w:rPr>
        <w:t>消防控制室，</w:t>
      </w:r>
      <w:r>
        <w:rPr>
          <w:rFonts w:hint="eastAsia"/>
          <w:bCs w:val="0"/>
        </w:rPr>
        <w:t>并</w:t>
      </w:r>
      <w:r>
        <w:rPr>
          <w:rFonts w:hint="eastAsia"/>
          <w:bCs w:val="0"/>
          <w:lang w:val="zh-CN"/>
        </w:rPr>
        <w:t>宜</w:t>
      </w:r>
      <w:r>
        <w:rPr>
          <w:rFonts w:hint="eastAsia"/>
          <w:bCs w:val="0"/>
        </w:rPr>
        <w:t>布置</w:t>
      </w:r>
      <w:r>
        <w:rPr>
          <w:rFonts w:hint="eastAsia"/>
          <w:bCs w:val="0"/>
          <w:lang w:val="zh-CN"/>
        </w:rPr>
        <w:t>在生产管理</w:t>
      </w:r>
      <w:r>
        <w:rPr>
          <w:rFonts w:hint="eastAsia"/>
          <w:bCs w:val="0"/>
        </w:rPr>
        <w:t>建筑</w:t>
      </w:r>
      <w:r>
        <w:rPr>
          <w:rFonts w:hint="eastAsia"/>
          <w:bCs w:val="0"/>
          <w:lang w:val="zh-CN"/>
        </w:rPr>
        <w:t>内</w:t>
      </w:r>
      <w:r>
        <w:rPr>
          <w:rFonts w:hint="eastAsia"/>
          <w:bCs w:val="0"/>
        </w:rPr>
        <w:t>的首层或地下一层</w:t>
      </w:r>
      <w:r>
        <w:rPr>
          <w:rFonts w:hint="eastAsia"/>
          <w:bCs w:val="0"/>
          <w:lang w:val="zh-CN"/>
        </w:rPr>
        <w:t>，靠外墙部位，疏散门应直通室外或安全出口。</w:t>
      </w:r>
    </w:p>
    <w:p>
      <w:pPr>
        <w:pStyle w:val="4"/>
        <w:widowControl/>
        <w:numPr>
          <w:ilvl w:val="0"/>
          <w:numId w:val="0"/>
        </w:numPr>
        <w:snapToGrid/>
        <w:spacing w:before="120" w:after="120"/>
        <w:textAlignment w:val="auto"/>
        <w:rPr>
          <w:b/>
          <w:lang w:val="zh-CN"/>
        </w:rPr>
      </w:pPr>
      <w:r>
        <w:rPr>
          <w:b/>
          <w:lang w:val="zh-CN"/>
        </w:rPr>
        <w:t>4.11.</w:t>
      </w:r>
      <w:r>
        <w:rPr>
          <w:rFonts w:hint="eastAsia"/>
          <w:b/>
        </w:rPr>
        <w:t>8</w:t>
      </w:r>
      <w:r>
        <w:rPr>
          <w:b/>
          <w:bCs w:val="0"/>
        </w:rPr>
        <w:t xml:space="preserve">  </w:t>
      </w:r>
      <w:r>
        <w:rPr>
          <w:rFonts w:hint="eastAsia"/>
          <w:lang w:val="zh-CN"/>
        </w:rPr>
        <w:t>建筑消防通风排烟系统应</w:t>
      </w:r>
      <w:r>
        <w:rPr>
          <w:rFonts w:hint="eastAsia"/>
        </w:rPr>
        <w:t>符合</w:t>
      </w:r>
      <w:r>
        <w:rPr>
          <w:rFonts w:hint="eastAsia"/>
          <w:lang w:val="zh-CN"/>
        </w:rPr>
        <w:t>下列规定：</w:t>
      </w:r>
    </w:p>
    <w:p>
      <w:pPr>
        <w:widowControl/>
        <w:ind w:firstLine="560"/>
        <w:textAlignment w:val="auto"/>
        <w:rPr>
          <w:lang w:val="zh-CN"/>
        </w:rPr>
      </w:pPr>
      <w:r>
        <w:rPr>
          <w:lang w:val="zh-CN"/>
        </w:rPr>
        <w:t xml:space="preserve">1 </w:t>
      </w:r>
      <w:r>
        <w:rPr>
          <w:rFonts w:hint="eastAsia"/>
          <w:lang w:val="zh-CN"/>
        </w:rPr>
        <w:t>建筑消防通风排烟系统的设置、防烟分区的划分、设备材料的选用等内容，应符合现行国家标准《建筑设计防火规范》</w:t>
      </w:r>
      <w:r>
        <w:rPr>
          <w:lang w:val="zh-CN"/>
        </w:rPr>
        <w:t>GB 50016</w:t>
      </w:r>
      <w:r>
        <w:rPr>
          <w:rFonts w:hint="eastAsia"/>
          <w:lang w:val="zh-CN"/>
        </w:rPr>
        <w:t>、《建筑防烟排烟系统技术标准》</w:t>
      </w:r>
      <w:r>
        <w:rPr>
          <w:lang w:val="zh-CN"/>
        </w:rPr>
        <w:t>GB 51251</w:t>
      </w:r>
      <w:r>
        <w:rPr>
          <w:rFonts w:hint="eastAsia"/>
          <w:lang w:val="zh-CN"/>
        </w:rPr>
        <w:t>和广东省现行标准《城镇地下污水处理设施通风与除臭处理技术标准》</w:t>
      </w:r>
      <w:r>
        <w:rPr>
          <w:lang w:val="zh-CN"/>
        </w:rPr>
        <w:t>DB</w:t>
      </w:r>
      <w:r>
        <w:rPr>
          <w:rFonts w:hint="eastAsia"/>
          <w:lang w:val="zh-CN"/>
        </w:rPr>
        <w:t>J/T</w:t>
      </w:r>
      <w:r>
        <w:rPr>
          <w:lang w:val="zh-CN"/>
        </w:rPr>
        <w:t xml:space="preserve"> </w:t>
      </w:r>
      <w:r>
        <w:rPr>
          <w:rFonts w:hint="eastAsia"/>
          <w:lang w:val="zh-CN"/>
        </w:rPr>
        <w:t>15-202的有关规定；</w:t>
      </w:r>
    </w:p>
    <w:p>
      <w:pPr>
        <w:widowControl/>
        <w:ind w:firstLine="560"/>
        <w:textAlignment w:val="auto"/>
        <w:rPr>
          <w:lang w:val="zh-CN"/>
        </w:rPr>
      </w:pPr>
      <w:r>
        <w:rPr>
          <w:lang w:val="zh-CN"/>
        </w:rPr>
        <w:t>2</w:t>
      </w:r>
      <w:r>
        <w:rPr>
          <w:rFonts w:hint="eastAsia"/>
          <w:lang w:val="zh-CN"/>
        </w:rPr>
        <w:t>无可燃物且无人员经常停留的地下空间操作层处理区，可不设机械防排烟设施；</w:t>
      </w:r>
    </w:p>
    <w:p>
      <w:pPr>
        <w:widowControl/>
        <w:ind w:firstLine="560"/>
        <w:textAlignment w:val="auto"/>
        <w:rPr>
          <w:lang w:val="zh-CN"/>
        </w:rPr>
      </w:pPr>
      <w:r>
        <w:rPr>
          <w:lang w:val="zh-CN"/>
        </w:rPr>
        <w:t>3</w:t>
      </w:r>
      <w:r>
        <w:rPr>
          <w:rFonts w:hint="eastAsia"/>
          <w:lang w:val="zh-CN"/>
        </w:rPr>
        <w:t>地下</w:t>
      </w:r>
      <w:r>
        <w:rPr>
          <w:rFonts w:hint="eastAsia"/>
        </w:rPr>
        <w:t>空间</w:t>
      </w:r>
      <w:r>
        <w:rPr>
          <w:rFonts w:hint="eastAsia"/>
          <w:lang w:val="zh-CN"/>
        </w:rPr>
        <w:t>中机动车行通道可按现行国家标准《汽车库、修车库停车场设计防火规范》</w:t>
      </w:r>
      <w:r>
        <w:rPr>
          <w:lang w:val="zh-CN"/>
        </w:rPr>
        <w:t>GB 50067的有关规定执行，可采用自然排烟方式或机械排烟方式</w:t>
      </w:r>
      <w:r>
        <w:rPr>
          <w:rFonts w:hint="eastAsia"/>
          <w:lang w:val="zh-CN"/>
        </w:rPr>
        <w:t>，当车行通道内设置机械排烟系统及补风系统时，可与平时通风系统设备兼用；</w:t>
      </w:r>
    </w:p>
    <w:p>
      <w:pPr>
        <w:widowControl/>
        <w:ind w:firstLine="560"/>
        <w:textAlignment w:val="auto"/>
        <w:rPr>
          <w:lang w:val="zh-CN"/>
        </w:rPr>
      </w:pPr>
      <w:r>
        <w:rPr>
          <w:rFonts w:hint="eastAsia"/>
        </w:rPr>
        <w:t>4</w:t>
      </w:r>
      <w:r>
        <w:rPr>
          <w:lang w:val="zh-CN"/>
        </w:rPr>
        <w:t xml:space="preserve"> </w:t>
      </w:r>
      <w:r>
        <w:rPr>
          <w:rFonts w:hint="eastAsia"/>
          <w:lang w:val="zh-CN"/>
        </w:rPr>
        <w:t>无可燃物且无人员经常停留的地下设施管廊区域，通风防排烟措施</w:t>
      </w:r>
      <w:r>
        <w:rPr>
          <w:rFonts w:hint="eastAsia"/>
        </w:rPr>
        <w:t>可参照</w:t>
      </w:r>
      <w:r>
        <w:rPr>
          <w:rFonts w:hint="eastAsia"/>
          <w:lang w:val="zh-CN"/>
        </w:rPr>
        <w:t>现行国家标准《城市综合管廊工程技术规范》GB</w:t>
      </w:r>
      <w:r>
        <w:rPr>
          <w:lang w:val="zh-CN"/>
        </w:rPr>
        <w:t xml:space="preserve"> </w:t>
      </w:r>
      <w:r>
        <w:rPr>
          <w:rFonts w:hint="eastAsia"/>
          <w:lang w:val="zh-CN"/>
        </w:rPr>
        <w:t>50838的有关规定；</w:t>
      </w:r>
    </w:p>
    <w:p>
      <w:pPr>
        <w:widowControl/>
        <w:ind w:firstLine="560"/>
        <w:textAlignment w:val="auto"/>
        <w:rPr>
          <w:lang w:val="zh-CN"/>
        </w:rPr>
      </w:pPr>
      <w:r>
        <w:rPr>
          <w:rFonts w:hint="eastAsia"/>
        </w:rPr>
        <w:t>5</w:t>
      </w:r>
      <w:r>
        <w:rPr>
          <w:lang w:val="zh-CN"/>
        </w:rPr>
        <w:t xml:space="preserve"> </w:t>
      </w:r>
      <w:r>
        <w:rPr>
          <w:rFonts w:hint="eastAsia"/>
          <w:lang w:val="zh-CN"/>
        </w:rPr>
        <w:t>地下排水设施中超过两层或总高度超过10m的防烟楼梯间及前室和地下空间内部避难走道应设置机械加压送风系统，且机械加压送风系统应符合现行国家标准《建筑设计防火规范》GB</w:t>
      </w:r>
      <w:r>
        <w:rPr>
          <w:lang w:val="zh-CN"/>
        </w:rPr>
        <w:t xml:space="preserve"> </w:t>
      </w:r>
      <w:r>
        <w:rPr>
          <w:rFonts w:hint="eastAsia"/>
          <w:lang w:val="zh-CN"/>
        </w:rPr>
        <w:t>50016及《建筑防烟排烟系统技术标准》GB</w:t>
      </w:r>
      <w:r>
        <w:rPr>
          <w:lang w:val="zh-CN"/>
        </w:rPr>
        <w:t xml:space="preserve"> </w:t>
      </w:r>
      <w:r>
        <w:rPr>
          <w:rFonts w:hint="eastAsia"/>
          <w:lang w:val="zh-CN"/>
        </w:rPr>
        <w:t>51251的有关规定；其他防烟楼梯间及前室的自然通风条件符合现行国家标准《建筑防烟排烟系统技术标准》</w:t>
      </w:r>
      <w:r>
        <w:rPr>
          <w:lang w:val="zh-CN"/>
        </w:rPr>
        <w:t>GB 51251</w:t>
      </w:r>
      <w:r>
        <w:rPr>
          <w:rFonts w:hint="eastAsia"/>
          <w:lang w:val="zh-CN"/>
        </w:rPr>
        <w:t>的有关规定时，可采用自然通风系统进行防烟；</w:t>
      </w:r>
    </w:p>
    <w:p>
      <w:pPr>
        <w:widowControl/>
        <w:ind w:firstLine="560"/>
        <w:textAlignment w:val="auto"/>
        <w:rPr>
          <w:lang w:val="zh-CN"/>
        </w:rPr>
      </w:pPr>
      <w:r>
        <w:rPr>
          <w:rFonts w:hint="eastAsia"/>
        </w:rPr>
        <w:t>6</w:t>
      </w:r>
      <w:r>
        <w:rPr>
          <w:lang w:val="zh-CN"/>
        </w:rPr>
        <w:t xml:space="preserve"> </w:t>
      </w:r>
      <w:r>
        <w:rPr>
          <w:rFonts w:hint="eastAsia"/>
          <w:lang w:val="zh-CN"/>
        </w:rPr>
        <w:t>通风系统送回风管穿越机房及防火分区隔断处，均应设置70℃熔断的防火调节阀，通风风管应采用不燃材料；</w:t>
      </w:r>
    </w:p>
    <w:p>
      <w:pPr>
        <w:widowControl/>
        <w:ind w:firstLine="560"/>
        <w:textAlignment w:val="auto"/>
        <w:rPr>
          <w:lang w:val="zh-CN"/>
        </w:rPr>
      </w:pPr>
      <w:r>
        <w:rPr>
          <w:rFonts w:hint="eastAsia"/>
        </w:rPr>
        <w:t>7</w:t>
      </w:r>
      <w:r>
        <w:rPr>
          <w:rFonts w:hint="eastAsia"/>
          <w:lang w:val="zh-CN"/>
        </w:rPr>
        <w:t>排烟风机前应设置排烟防火调节阀，当烟气温度达到280℃时，排烟防火调节阀应熔断关闭，相应排烟风机应联锁停止运行；</w:t>
      </w:r>
    </w:p>
    <w:p>
      <w:pPr>
        <w:widowControl/>
        <w:ind w:firstLine="560"/>
        <w:textAlignment w:val="auto"/>
        <w:rPr>
          <w:lang w:val="zh-CN"/>
        </w:rPr>
      </w:pPr>
      <w:r>
        <w:rPr>
          <w:rFonts w:hint="eastAsia"/>
        </w:rPr>
        <w:t>8</w:t>
      </w:r>
      <w:r>
        <w:rPr>
          <w:rFonts w:hint="eastAsia"/>
          <w:lang w:val="zh-CN"/>
        </w:rPr>
        <w:t>兼作防排烟用的通风空气调节设备应由消防系统控制，并应在火灾时能切换到消防控制状态。火灾时排烟风机以及与之相关的加压送风机启动时，其余风机、空调系统均应停止运行；</w:t>
      </w:r>
    </w:p>
    <w:p>
      <w:pPr>
        <w:widowControl/>
        <w:ind w:firstLine="560"/>
        <w:textAlignment w:val="auto"/>
        <w:rPr>
          <w:lang w:val="zh-CN"/>
        </w:rPr>
      </w:pPr>
      <w:r>
        <w:rPr>
          <w:rFonts w:hint="eastAsia"/>
        </w:rPr>
        <w:t>9</w:t>
      </w:r>
      <w:r>
        <w:rPr>
          <w:rFonts w:hint="eastAsia"/>
          <w:lang w:val="zh-CN"/>
        </w:rPr>
        <w:t>消防通风与排烟系统的监测与控制、机房设计及设备系统选型、管道、阀门、配件、保温材料的设计与安装，均应符合现行国家标准《工业建筑供暖通风与空气调节设计规范》GB</w:t>
      </w:r>
      <w:r>
        <w:rPr>
          <w:lang w:val="zh-CN"/>
        </w:rPr>
        <w:t xml:space="preserve"> </w:t>
      </w:r>
      <w:r>
        <w:rPr>
          <w:rFonts w:hint="eastAsia"/>
          <w:lang w:val="zh-CN"/>
        </w:rPr>
        <w:t>50019的有关规定；</w:t>
      </w:r>
    </w:p>
    <w:p>
      <w:pPr>
        <w:widowControl/>
        <w:ind w:firstLine="560"/>
        <w:textAlignment w:val="auto"/>
        <w:rPr>
          <w:lang w:val="zh-CN"/>
        </w:rPr>
      </w:pPr>
      <w:r>
        <w:rPr>
          <w:rFonts w:hint="eastAsia"/>
        </w:rPr>
        <w:t>10</w:t>
      </w:r>
      <w:r>
        <w:rPr>
          <w:rFonts w:hint="eastAsia"/>
          <w:lang w:val="zh-CN"/>
        </w:rPr>
        <w:t>消防通风及防排烟系统的材料及配件，应防火不燃、防腐防潮。</w:t>
      </w:r>
    </w:p>
    <w:p>
      <w:pPr>
        <w:pStyle w:val="4"/>
        <w:numPr>
          <w:ilvl w:val="0"/>
          <w:numId w:val="0"/>
        </w:numPr>
        <w:rPr>
          <w:bCs w:val="0"/>
          <w:lang w:val="zh-CN"/>
        </w:rPr>
      </w:pPr>
      <w:r>
        <w:rPr>
          <w:b/>
          <w:bCs w:val="0"/>
          <w:lang w:val="zh-CN"/>
        </w:rPr>
        <w:t>4.11.</w:t>
      </w:r>
      <w:r>
        <w:rPr>
          <w:rFonts w:hint="eastAsia"/>
          <w:b/>
          <w:bCs w:val="0"/>
        </w:rPr>
        <w:t>9</w:t>
      </w:r>
      <w:r>
        <w:rPr>
          <w:b/>
          <w:bCs w:val="0"/>
        </w:rPr>
        <w:t xml:space="preserve">  </w:t>
      </w:r>
      <w:r>
        <w:rPr>
          <w:rFonts w:hint="eastAsia"/>
          <w:bCs w:val="0"/>
          <w:lang w:val="zh-CN"/>
        </w:rPr>
        <w:t>地下式城镇污水处理厂的火灾应急照明和疏散指示，应符合下列规定：</w:t>
      </w:r>
    </w:p>
    <w:p>
      <w:pPr>
        <w:ind w:firstLine="562"/>
        <w:rPr>
          <w:lang w:val="zh-CN"/>
        </w:rPr>
      </w:pPr>
      <w:r>
        <w:rPr>
          <w:b/>
          <w:lang w:val="zh-CN"/>
        </w:rPr>
        <w:t>1</w:t>
      </w:r>
      <w:r>
        <w:rPr>
          <w:rFonts w:hint="eastAsia"/>
          <w:lang w:val="zh-CN"/>
        </w:rPr>
        <w:t>应急照明采用电源集中控制系统，疏散照明连续供电时间不应少于60分钟；</w:t>
      </w:r>
    </w:p>
    <w:p>
      <w:pPr>
        <w:ind w:firstLine="560"/>
        <w:rPr>
          <w:lang w:val="zh-CN"/>
        </w:rPr>
      </w:pPr>
      <w:r>
        <w:rPr>
          <w:lang w:val="zh-CN"/>
        </w:rPr>
        <w:t xml:space="preserve">2 </w:t>
      </w:r>
      <w:r>
        <w:rPr>
          <w:rFonts w:hint="eastAsia"/>
          <w:lang w:val="zh-CN"/>
        </w:rPr>
        <w:t>消防水泵房、配电室等发生火灾仍需工作值守区域应同时设置备用照明、疏散照明和疏散指示标志；</w:t>
      </w:r>
    </w:p>
    <w:p>
      <w:pPr>
        <w:ind w:firstLine="560"/>
        <w:rPr>
          <w:lang w:val="zh-CN"/>
        </w:rPr>
      </w:pPr>
      <w:r>
        <w:rPr>
          <w:rFonts w:hint="eastAsia"/>
          <w:lang w:val="zh-CN"/>
        </w:rPr>
        <w:t>3高低压配电室应急照明照度标准（0.75m水平面）不应低于</w:t>
      </w:r>
      <w:r>
        <w:rPr>
          <w:lang w:val="zh-CN"/>
        </w:rPr>
        <w:t>20</w:t>
      </w:r>
      <w:r>
        <w:rPr>
          <w:rFonts w:hint="eastAsia"/>
          <w:lang w:val="zh-CN"/>
        </w:rPr>
        <w:t>lx；</w:t>
      </w:r>
    </w:p>
    <w:p>
      <w:pPr>
        <w:ind w:firstLine="560"/>
        <w:rPr>
          <w:lang w:val="zh-CN"/>
        </w:rPr>
      </w:pPr>
      <w:r>
        <w:rPr>
          <w:lang w:val="zh-CN"/>
        </w:rPr>
        <w:t xml:space="preserve">4 </w:t>
      </w:r>
      <w:r>
        <w:rPr>
          <w:rFonts w:hint="eastAsia"/>
          <w:lang w:val="zh-CN"/>
        </w:rPr>
        <w:t>变压器室应急照明照度标准（0.75m水平面）不应低于</w:t>
      </w:r>
      <w:r>
        <w:rPr>
          <w:lang w:val="zh-CN"/>
        </w:rPr>
        <w:t>15</w:t>
      </w:r>
      <w:r>
        <w:rPr>
          <w:rFonts w:hint="eastAsia"/>
          <w:lang w:val="zh-CN"/>
        </w:rPr>
        <w:t>lx；</w:t>
      </w:r>
    </w:p>
    <w:p>
      <w:pPr>
        <w:ind w:firstLine="560"/>
        <w:rPr>
          <w:lang w:val="zh-CN"/>
        </w:rPr>
      </w:pPr>
      <w:r>
        <w:rPr>
          <w:lang w:val="zh-CN"/>
        </w:rPr>
        <w:t xml:space="preserve">5 </w:t>
      </w:r>
      <w:r>
        <w:rPr>
          <w:rFonts w:hint="eastAsia"/>
          <w:lang w:val="zh-CN"/>
        </w:rPr>
        <w:t>楼梯间、前室或合用前室的疏散照明和疏散通道地面照度标准不应低于5lx；</w:t>
      </w:r>
    </w:p>
    <w:p>
      <w:pPr>
        <w:ind w:firstLine="560"/>
        <w:rPr>
          <w:lang w:val="zh-CN"/>
        </w:rPr>
      </w:pPr>
      <w:r>
        <w:rPr>
          <w:lang w:val="zh-CN"/>
        </w:rPr>
        <w:t>6</w:t>
      </w:r>
      <w:r>
        <w:rPr>
          <w:rFonts w:hint="eastAsia"/>
          <w:lang w:val="zh-CN"/>
        </w:rPr>
        <w:t>鼓风机房、泵房疏散照明地面照度标准不应低于</w:t>
      </w:r>
      <w:r>
        <w:rPr>
          <w:lang w:val="zh-CN"/>
        </w:rPr>
        <w:t>15lx</w:t>
      </w:r>
      <w:r>
        <w:rPr>
          <w:rFonts w:hint="eastAsia"/>
          <w:lang w:val="zh-CN"/>
        </w:rPr>
        <w:t>；</w:t>
      </w:r>
    </w:p>
    <w:p>
      <w:pPr>
        <w:ind w:firstLine="560"/>
        <w:rPr>
          <w:lang w:val="zh-CN"/>
        </w:rPr>
      </w:pPr>
      <w:r>
        <w:rPr>
          <w:lang w:val="zh-CN"/>
        </w:rPr>
        <w:t xml:space="preserve">7 </w:t>
      </w:r>
      <w:r>
        <w:rPr>
          <w:rFonts w:hint="eastAsia"/>
          <w:lang w:val="zh-CN"/>
        </w:rPr>
        <w:t>地下大空间疏散照明地面照度标准不应低于</w:t>
      </w:r>
      <w:r>
        <w:rPr>
          <w:lang w:val="zh-CN"/>
        </w:rPr>
        <w:t>1.</w:t>
      </w:r>
      <w:r>
        <w:rPr>
          <w:rFonts w:hint="eastAsia"/>
          <w:lang w:val="zh-CN"/>
        </w:rPr>
        <w:t>5lx。</w:t>
      </w:r>
    </w:p>
    <w:p>
      <w:pPr>
        <w:pStyle w:val="4"/>
        <w:numPr>
          <w:ilvl w:val="0"/>
          <w:numId w:val="0"/>
        </w:numPr>
        <w:rPr>
          <w:bCs w:val="0"/>
          <w:lang w:val="zh-CN"/>
        </w:rPr>
      </w:pPr>
      <w:r>
        <w:rPr>
          <w:b/>
          <w:bCs w:val="0"/>
          <w:lang w:val="zh-CN"/>
        </w:rPr>
        <w:t>4.11.</w:t>
      </w:r>
      <w:r>
        <w:rPr>
          <w:rFonts w:hint="eastAsia"/>
          <w:b/>
          <w:bCs w:val="0"/>
        </w:rPr>
        <w:t>10</w:t>
      </w:r>
      <w:r>
        <w:rPr>
          <w:b/>
          <w:bCs w:val="0"/>
        </w:rPr>
        <w:t xml:space="preserve">  </w:t>
      </w:r>
      <w:r>
        <w:rPr>
          <w:rFonts w:hint="eastAsia"/>
          <w:bCs w:val="0"/>
          <w:lang w:val="zh-CN"/>
        </w:rPr>
        <w:t>消防配电系统的干线应按防火分区划分，分支线路不宜穿越防火分区。</w:t>
      </w:r>
    </w:p>
    <w:p>
      <w:pPr>
        <w:pStyle w:val="4"/>
        <w:numPr>
          <w:ilvl w:val="0"/>
          <w:numId w:val="0"/>
        </w:numPr>
        <w:rPr>
          <w:bCs w:val="0"/>
          <w:lang w:val="zh-CN"/>
        </w:rPr>
      </w:pPr>
      <w:r>
        <w:rPr>
          <w:b/>
          <w:bCs w:val="0"/>
          <w:lang w:val="zh-CN"/>
        </w:rPr>
        <w:t>4.11.1</w:t>
      </w:r>
      <w:r>
        <w:rPr>
          <w:rFonts w:hint="eastAsia"/>
          <w:b/>
          <w:bCs w:val="0"/>
        </w:rPr>
        <w:t>1</w:t>
      </w:r>
      <w:r>
        <w:rPr>
          <w:b/>
          <w:bCs w:val="0"/>
        </w:rPr>
        <w:t xml:space="preserve">  </w:t>
      </w:r>
      <w:r>
        <w:rPr>
          <w:rFonts w:hint="eastAsia"/>
          <w:bCs w:val="0"/>
          <w:lang w:val="zh-CN"/>
        </w:rPr>
        <w:t>设置在同一防火分区的防火卷帘、消防排水泵等自带控制箱的设备，其供电电源可由本防火分区的消防双电源自动切换后单回路供电。</w:t>
      </w:r>
    </w:p>
    <w:p>
      <w:pPr>
        <w:pStyle w:val="4"/>
        <w:numPr>
          <w:ilvl w:val="0"/>
          <w:numId w:val="0"/>
        </w:numPr>
        <w:rPr>
          <w:bCs w:val="0"/>
          <w:lang w:val="zh-CN"/>
        </w:rPr>
      </w:pPr>
      <w:r>
        <w:rPr>
          <w:b/>
          <w:bCs w:val="0"/>
          <w:lang w:val="zh-CN"/>
        </w:rPr>
        <w:t>4.11.</w:t>
      </w:r>
      <w:r>
        <w:rPr>
          <w:b/>
          <w:bCs w:val="0"/>
        </w:rPr>
        <w:t>1</w:t>
      </w:r>
      <w:r>
        <w:rPr>
          <w:rFonts w:hint="eastAsia"/>
          <w:b/>
          <w:bCs w:val="0"/>
        </w:rPr>
        <w:t>2</w:t>
      </w:r>
      <w:r>
        <w:rPr>
          <w:b/>
          <w:bCs w:val="0"/>
        </w:rPr>
        <w:t xml:space="preserve">  </w:t>
      </w:r>
      <w:r>
        <w:rPr>
          <w:rFonts w:hint="eastAsia"/>
          <w:bCs w:val="0"/>
          <w:lang w:val="zh-CN"/>
        </w:rPr>
        <w:t>地下式城镇污水处理厂可不设置火灾剩余电流报警系统。</w:t>
      </w:r>
    </w:p>
    <w:p>
      <w:pPr>
        <w:pStyle w:val="4"/>
        <w:numPr>
          <w:ilvl w:val="0"/>
          <w:numId w:val="0"/>
        </w:numPr>
        <w:rPr>
          <w:bCs w:val="0"/>
          <w:lang w:val="zh-CN"/>
        </w:rPr>
      </w:pPr>
      <w:r>
        <w:rPr>
          <w:b/>
          <w:bCs w:val="0"/>
          <w:lang w:val="zh-CN"/>
        </w:rPr>
        <w:t>4.11.1</w:t>
      </w:r>
      <w:r>
        <w:rPr>
          <w:rFonts w:hint="eastAsia"/>
          <w:b/>
          <w:bCs w:val="0"/>
        </w:rPr>
        <w:t>3</w:t>
      </w:r>
      <w:r>
        <w:rPr>
          <w:b/>
          <w:bCs w:val="0"/>
        </w:rPr>
        <w:t xml:space="preserve">  </w:t>
      </w:r>
      <w:r>
        <w:rPr>
          <w:rFonts w:hint="eastAsia"/>
          <w:bCs w:val="0"/>
          <w:lang w:val="zh-CN"/>
        </w:rPr>
        <w:t>消防配电线路应满足火灾时连续供电的需要，其敷设应符合下列规定：</w:t>
      </w:r>
    </w:p>
    <w:p>
      <w:pPr>
        <w:ind w:firstLine="562"/>
        <w:rPr>
          <w:lang w:val="zh-CN"/>
        </w:rPr>
      </w:pPr>
      <w:r>
        <w:rPr>
          <w:b/>
          <w:lang w:val="zh-CN"/>
        </w:rPr>
        <w:t>1</w:t>
      </w:r>
      <w:r>
        <w:rPr>
          <w:rFonts w:hint="eastAsia"/>
          <w:lang w:val="zh-CN"/>
        </w:rPr>
        <w:t>主干线、消防水泵、消防控制室、防烟及排烟风机房的消防用电设备和消防电梯的电源电缆应采用矿物绝缘类不燃性电缆；</w:t>
      </w:r>
    </w:p>
    <w:p>
      <w:pPr>
        <w:ind w:firstLine="562"/>
        <w:rPr>
          <w:lang w:val="zh-CN"/>
        </w:rPr>
      </w:pPr>
      <w:r>
        <w:rPr>
          <w:b/>
          <w:lang w:val="zh-CN"/>
        </w:rPr>
        <w:t>2</w:t>
      </w:r>
      <w:r>
        <w:rPr>
          <w:rFonts w:hint="eastAsia"/>
          <w:lang w:val="zh-CN"/>
        </w:rPr>
        <w:t>消防配电线路与其他配电线路应分别配管或在不同的封闭式金属桥架敷设；条件困难且消防线路较少时，可在同一封闭式金属桥架设防火隔板分开；</w:t>
      </w:r>
    </w:p>
    <w:p>
      <w:pPr>
        <w:ind w:firstLine="562"/>
        <w:rPr>
          <w:lang w:val="zh-CN"/>
        </w:rPr>
      </w:pPr>
      <w:r>
        <w:rPr>
          <w:b/>
          <w:lang w:val="zh-CN"/>
        </w:rPr>
        <w:t>3</w:t>
      </w:r>
      <w:r>
        <w:rPr>
          <w:rFonts w:hint="eastAsia"/>
          <w:lang w:val="zh-CN"/>
        </w:rPr>
        <w:t>消防配电线路的两回路电源宜分开敷设。需敷设在同一桥架内时，应在桥架内设置防火隔板；</w:t>
      </w:r>
    </w:p>
    <w:p>
      <w:pPr>
        <w:ind w:firstLine="560"/>
        <w:rPr>
          <w:lang w:val="zh-CN"/>
        </w:rPr>
      </w:pPr>
      <w:r>
        <w:rPr>
          <w:rFonts w:hint="eastAsia"/>
          <w:lang w:val="zh-CN"/>
        </w:rPr>
        <w:t>4消防配电线路暗敷时，应穿管并应敷设在不燃性结构内且保护层厚度不应小于30mm；</w:t>
      </w:r>
    </w:p>
    <w:p>
      <w:pPr>
        <w:ind w:firstLine="560"/>
        <w:rPr>
          <w:lang w:val="zh-CN"/>
        </w:rPr>
      </w:pPr>
      <w:r>
        <w:rPr>
          <w:rFonts w:hint="eastAsia"/>
          <w:lang w:val="zh-CN"/>
        </w:rPr>
        <w:t>5配电线路的电线和电缆成束敷设时，应选用阻燃型。</w:t>
      </w:r>
    </w:p>
    <w:p>
      <w:pPr>
        <w:ind w:firstLine="560"/>
        <w:rPr>
          <w:lang w:val="zh-CN"/>
        </w:rPr>
      </w:pPr>
      <w:r>
        <w:rPr>
          <w:lang w:val="zh-CN"/>
        </w:rPr>
        <w:t xml:space="preserve">6 </w:t>
      </w:r>
      <w:r>
        <w:rPr>
          <w:rFonts w:hint="eastAsia"/>
          <w:lang w:val="zh-CN"/>
        </w:rPr>
        <w:t>有防腐、防爆要求的用电设备布线，应采用穿金属管布线、暗敷。</w:t>
      </w:r>
    </w:p>
    <w:p>
      <w:pPr>
        <w:widowControl/>
        <w:tabs>
          <w:tab w:val="left" w:pos="-2549"/>
          <w:tab w:val="left" w:pos="-991"/>
          <w:tab w:val="left" w:pos="567"/>
        </w:tabs>
        <w:snapToGrid/>
        <w:spacing w:before="120" w:after="120"/>
        <w:ind w:firstLine="0" w:firstLineChars="0"/>
        <w:textAlignment w:val="auto"/>
        <w:rPr>
          <w:lang w:val="zh-CN"/>
        </w:rPr>
      </w:pPr>
      <w:r>
        <w:rPr>
          <w:b/>
          <w:lang w:val="zh-CN"/>
        </w:rPr>
        <w:t>4.11.1</w:t>
      </w:r>
      <w:r>
        <w:rPr>
          <w:rFonts w:hint="eastAsia"/>
          <w:b/>
        </w:rPr>
        <w:t>4</w:t>
      </w:r>
      <w:r>
        <w:rPr>
          <w:b/>
        </w:rPr>
        <w:t xml:space="preserve">  </w:t>
      </w:r>
      <w:r>
        <w:rPr>
          <w:rFonts w:hint="eastAsia"/>
          <w:bCs/>
          <w:lang w:val="zh-CN"/>
        </w:rPr>
        <w:t>火灾自动报警系统</w:t>
      </w:r>
      <w:r>
        <w:rPr>
          <w:rFonts w:hint="eastAsia"/>
          <w:lang w:val="zh-CN"/>
        </w:rPr>
        <w:t>应</w:t>
      </w:r>
      <w:r>
        <w:rPr>
          <w:rFonts w:hint="eastAsia"/>
        </w:rPr>
        <w:t>符合</w:t>
      </w:r>
      <w:r>
        <w:rPr>
          <w:rFonts w:hint="eastAsia"/>
          <w:lang w:val="zh-CN"/>
        </w:rPr>
        <w:t>下列规定：</w:t>
      </w:r>
    </w:p>
    <w:p>
      <w:pPr>
        <w:ind w:firstLine="560"/>
      </w:pPr>
      <w:r>
        <w:rPr>
          <w:rFonts w:hint="eastAsia"/>
        </w:rPr>
        <w:t>1 宜采用感烟火灾探测器；</w:t>
      </w:r>
    </w:p>
    <w:p>
      <w:pPr>
        <w:ind w:firstLine="560"/>
      </w:pPr>
      <w:r>
        <w:rPr>
          <w:rFonts w:hint="eastAsia"/>
        </w:rPr>
        <w:t>2 出入口及逃生通道宜设置火灾报警器；</w:t>
      </w:r>
    </w:p>
    <w:p>
      <w:pPr>
        <w:ind w:firstLine="560"/>
      </w:pPr>
      <w:r>
        <w:rPr>
          <w:rFonts w:hint="eastAsia"/>
        </w:rPr>
        <w:t>3 地下空间内宜设置消防应急广播系统，可与广播系统合用；</w:t>
      </w:r>
    </w:p>
    <w:p>
      <w:pPr>
        <w:ind w:firstLine="560"/>
        <w:sectPr>
          <w:pgSz w:w="11850" w:h="16783"/>
          <w:pgMar w:top="1440" w:right="1440" w:bottom="1117" w:left="1800" w:header="851" w:footer="992" w:gutter="0"/>
          <w:cols w:space="425" w:num="1"/>
          <w:docGrid w:type="lines" w:linePitch="312" w:charSpace="0"/>
        </w:sectPr>
      </w:pPr>
      <w:r>
        <w:rPr>
          <w:rFonts w:hint="eastAsia"/>
        </w:rPr>
        <w:t>4 应根据消防控制要求设计消防联动控制。</w:t>
      </w:r>
    </w:p>
    <w:p>
      <w:pPr>
        <w:pStyle w:val="3"/>
        <w:spacing w:before="624" w:after="624"/>
      </w:pPr>
      <w:bookmarkStart w:id="3507" w:name="_Toc59716977"/>
      <w:bookmarkEnd w:id="3507"/>
      <w:bookmarkStart w:id="3508" w:name="_Toc59113522"/>
      <w:bookmarkEnd w:id="3508"/>
      <w:bookmarkStart w:id="3509" w:name="_Toc59021625"/>
      <w:bookmarkEnd w:id="3509"/>
      <w:bookmarkStart w:id="3510" w:name="_Toc59543028"/>
      <w:bookmarkEnd w:id="3510"/>
      <w:bookmarkStart w:id="3511" w:name="_Toc59017432"/>
      <w:bookmarkEnd w:id="3511"/>
      <w:bookmarkStart w:id="3512" w:name="_Toc59630416"/>
      <w:bookmarkEnd w:id="3512"/>
      <w:bookmarkStart w:id="3513" w:name="_Toc59017433"/>
      <w:bookmarkEnd w:id="3513"/>
      <w:bookmarkStart w:id="3514" w:name="_Toc59543027"/>
      <w:bookmarkEnd w:id="3514"/>
      <w:bookmarkStart w:id="3515" w:name="_Toc59204127"/>
      <w:bookmarkEnd w:id="3515"/>
      <w:bookmarkStart w:id="3516" w:name="_Toc59117126"/>
      <w:bookmarkEnd w:id="3516"/>
      <w:bookmarkStart w:id="3517" w:name="_Toc59021626"/>
      <w:bookmarkEnd w:id="3517"/>
      <w:bookmarkStart w:id="3518" w:name="_Toc59017119"/>
      <w:bookmarkEnd w:id="3518"/>
      <w:bookmarkStart w:id="3519" w:name="_Toc59630415"/>
      <w:bookmarkEnd w:id="3519"/>
      <w:bookmarkStart w:id="3520" w:name="_Toc59017118"/>
      <w:bookmarkEnd w:id="3520"/>
      <w:bookmarkStart w:id="3521" w:name="_Toc59113953"/>
      <w:bookmarkEnd w:id="3521"/>
      <w:bookmarkStart w:id="3522" w:name="_Toc59209412"/>
      <w:bookmarkEnd w:id="3522"/>
      <w:bookmarkStart w:id="3523" w:name="_Toc59114927"/>
      <w:bookmarkEnd w:id="3523"/>
      <w:bookmarkStart w:id="3524" w:name="_Toc59631388"/>
      <w:bookmarkEnd w:id="3524"/>
      <w:bookmarkStart w:id="3525" w:name="_Toc59716978"/>
      <w:bookmarkEnd w:id="3525"/>
      <w:bookmarkStart w:id="3526" w:name="_Toc59114928"/>
      <w:bookmarkEnd w:id="3526"/>
      <w:bookmarkStart w:id="3527" w:name="_Toc59204126"/>
      <w:bookmarkEnd w:id="3527"/>
      <w:bookmarkStart w:id="3528" w:name="_Toc59631389"/>
      <w:bookmarkEnd w:id="3528"/>
      <w:bookmarkStart w:id="3529" w:name="_Toc59113952"/>
      <w:bookmarkEnd w:id="3529"/>
      <w:bookmarkStart w:id="3530" w:name="_Toc59113521"/>
      <w:bookmarkEnd w:id="3530"/>
      <w:bookmarkStart w:id="3531" w:name="_Toc59546298"/>
      <w:bookmarkEnd w:id="3531"/>
      <w:bookmarkStart w:id="3532" w:name="_Toc59117127"/>
      <w:bookmarkEnd w:id="3532"/>
      <w:bookmarkStart w:id="3533" w:name="_Toc59209413"/>
      <w:bookmarkEnd w:id="3533"/>
      <w:bookmarkStart w:id="3534" w:name="_Toc59546297"/>
      <w:bookmarkEnd w:id="3534"/>
      <w:bookmarkStart w:id="3535" w:name="_Toc70600687"/>
      <w:bookmarkStart w:id="3536" w:name="_Toc114734636"/>
      <w:bookmarkStart w:id="3537" w:name="_Toc96358483"/>
      <w:bookmarkStart w:id="3538" w:name="_Toc126321318"/>
      <w:r>
        <w:rPr>
          <w:rFonts w:hint="eastAsia"/>
        </w:rPr>
        <w:t>安全生产</w:t>
      </w:r>
      <w:bookmarkEnd w:id="3535"/>
      <w:bookmarkEnd w:id="3536"/>
      <w:bookmarkEnd w:id="3537"/>
      <w:bookmarkEnd w:id="3538"/>
    </w:p>
    <w:p>
      <w:pPr>
        <w:pStyle w:val="4"/>
        <w:numPr>
          <w:ilvl w:val="0"/>
          <w:numId w:val="0"/>
        </w:numPr>
        <w:rPr>
          <w:rFonts w:ascii="宋体" w:hAnsi="宋体"/>
          <w:szCs w:val="28"/>
        </w:rPr>
      </w:pPr>
      <w:r>
        <w:rPr>
          <w:b/>
          <w:bCs w:val="0"/>
          <w:szCs w:val="24"/>
          <w:lang w:val="zh-CN"/>
        </w:rPr>
        <w:t>4.12.1</w:t>
      </w:r>
      <w:r>
        <w:rPr>
          <w:b/>
          <w:bCs w:val="0"/>
        </w:rPr>
        <w:t xml:space="preserve">  </w:t>
      </w:r>
      <w:r>
        <w:rPr>
          <w:rFonts w:hint="eastAsia" w:ascii="宋体" w:hAnsi="宋体"/>
          <w:szCs w:val="28"/>
        </w:rPr>
        <w:t>地下式城镇污水处理厂应配备完善的安全措施防范安全风险。</w:t>
      </w:r>
    </w:p>
    <w:p>
      <w:pPr>
        <w:pStyle w:val="4"/>
        <w:numPr>
          <w:ilvl w:val="0"/>
          <w:numId w:val="0"/>
        </w:numPr>
        <w:rPr>
          <w:rFonts w:ascii="宋体" w:hAnsi="宋体"/>
          <w:szCs w:val="28"/>
          <w:lang w:val="zh-CN"/>
        </w:rPr>
      </w:pPr>
      <w:r>
        <w:rPr>
          <w:b/>
          <w:bCs w:val="0"/>
          <w:szCs w:val="24"/>
          <w:lang w:val="zh-CN"/>
        </w:rPr>
        <w:t>4.12.2</w:t>
      </w:r>
      <w:r>
        <w:rPr>
          <w:b/>
          <w:bCs w:val="0"/>
        </w:rPr>
        <w:t xml:space="preserve">  </w:t>
      </w:r>
      <w:r>
        <w:rPr>
          <w:rFonts w:ascii="宋体" w:hAnsi="宋体"/>
          <w:bCs w:val="0"/>
          <w:szCs w:val="28"/>
          <w:lang w:val="zh-CN"/>
        </w:rPr>
        <w:t>地下</w:t>
      </w:r>
      <w:r>
        <w:rPr>
          <w:rFonts w:hint="eastAsia" w:ascii="宋体" w:hAnsi="宋体"/>
          <w:bCs w:val="0"/>
          <w:sz w:val="24"/>
          <w:szCs w:val="28"/>
        </w:rPr>
        <w:t>空间</w:t>
      </w:r>
      <w:r>
        <w:rPr>
          <w:rFonts w:ascii="宋体" w:hAnsi="宋体"/>
          <w:bCs w:val="0"/>
          <w:szCs w:val="28"/>
          <w:lang w:val="zh-CN"/>
        </w:rPr>
        <w:t>的车道出入口、电梯口、楼梯口、</w:t>
      </w:r>
      <w:r>
        <w:rPr>
          <w:rFonts w:hint="eastAsia" w:ascii="宋体" w:hAnsi="宋体"/>
          <w:bCs w:val="0"/>
          <w:szCs w:val="28"/>
        </w:rPr>
        <w:t>通风口、</w:t>
      </w:r>
      <w:r>
        <w:rPr>
          <w:rFonts w:ascii="宋体" w:hAnsi="宋体"/>
          <w:bCs w:val="0"/>
          <w:szCs w:val="28"/>
          <w:lang w:val="zh-CN"/>
        </w:rPr>
        <w:t>采光</w:t>
      </w:r>
      <w:r>
        <w:rPr>
          <w:rFonts w:hint="eastAsia" w:ascii="宋体" w:hAnsi="宋体"/>
          <w:bCs w:val="0"/>
          <w:szCs w:val="28"/>
        </w:rPr>
        <w:t>口</w:t>
      </w:r>
      <w:r>
        <w:rPr>
          <w:rFonts w:ascii="宋体" w:hAnsi="宋体"/>
          <w:bCs w:val="0"/>
          <w:szCs w:val="28"/>
          <w:lang w:val="zh-CN"/>
        </w:rPr>
        <w:t>以及其他与</w:t>
      </w:r>
      <w:r>
        <w:rPr>
          <w:rFonts w:hint="eastAsia" w:ascii="宋体" w:hAnsi="宋体"/>
          <w:bCs w:val="0"/>
          <w:szCs w:val="28"/>
        </w:rPr>
        <w:t>地</w:t>
      </w:r>
      <w:r>
        <w:rPr>
          <w:rFonts w:ascii="宋体" w:hAnsi="宋体"/>
          <w:bCs w:val="0"/>
          <w:szCs w:val="28"/>
          <w:lang w:val="zh-CN"/>
        </w:rPr>
        <w:t>面相连的洞口等应设置排水沟、防汛挡板、遮雨棚等防汛措施</w:t>
      </w:r>
      <w:r>
        <w:rPr>
          <w:rFonts w:hint="eastAsia" w:ascii="宋体" w:hAnsi="宋体"/>
          <w:bCs w:val="0"/>
          <w:szCs w:val="28"/>
          <w:lang w:val="zh-CN"/>
        </w:rPr>
        <w:t>。从地面层进入地下层</w:t>
      </w:r>
      <w:r>
        <w:rPr>
          <w:rFonts w:hint="eastAsia" w:ascii="宋体" w:hAnsi="宋体"/>
          <w:bCs w:val="0"/>
          <w:szCs w:val="28"/>
        </w:rPr>
        <w:t>设备吊装孔、</w:t>
      </w:r>
      <w:r>
        <w:rPr>
          <w:rFonts w:hint="eastAsia" w:ascii="宋体" w:hAnsi="宋体"/>
          <w:bCs w:val="0"/>
          <w:szCs w:val="28"/>
          <w:lang w:val="zh-CN"/>
        </w:rPr>
        <w:t>电缆或各类管线</w:t>
      </w:r>
      <w:r>
        <w:rPr>
          <w:rFonts w:hint="eastAsia" w:ascii="宋体" w:hAnsi="宋体"/>
          <w:bCs w:val="0"/>
          <w:szCs w:val="28"/>
        </w:rPr>
        <w:t>进出口等孔洞</w:t>
      </w:r>
      <w:r>
        <w:rPr>
          <w:rFonts w:hint="eastAsia" w:ascii="宋体" w:hAnsi="宋体"/>
          <w:bCs w:val="0"/>
          <w:szCs w:val="28"/>
          <w:lang w:val="zh-CN"/>
        </w:rPr>
        <w:t>，应</w:t>
      </w:r>
      <w:r>
        <w:rPr>
          <w:rFonts w:hint="eastAsia" w:ascii="宋体" w:hAnsi="宋体"/>
          <w:bCs w:val="0"/>
          <w:szCs w:val="28"/>
        </w:rPr>
        <w:t>采取</w:t>
      </w:r>
      <w:r>
        <w:rPr>
          <w:rFonts w:hint="eastAsia" w:ascii="宋体" w:hAnsi="宋体"/>
          <w:bCs w:val="0"/>
          <w:szCs w:val="28"/>
          <w:lang w:val="zh-CN"/>
        </w:rPr>
        <w:t>防进水措施</w:t>
      </w:r>
      <w:r>
        <w:rPr>
          <w:rFonts w:ascii="宋体" w:hAnsi="宋体"/>
          <w:bCs w:val="0"/>
          <w:szCs w:val="28"/>
          <w:lang w:val="zh-CN"/>
        </w:rPr>
        <w:t>，防止雨水进入</w:t>
      </w:r>
      <w:r>
        <w:rPr>
          <w:rFonts w:hint="eastAsia" w:ascii="宋体" w:hAnsi="宋体"/>
          <w:bCs w:val="0"/>
          <w:szCs w:val="28"/>
          <w:lang w:val="zh-CN"/>
        </w:rPr>
        <w:t>地下</w:t>
      </w:r>
      <w:r>
        <w:rPr>
          <w:rFonts w:hint="eastAsia" w:ascii="宋体" w:hAnsi="宋体"/>
          <w:bCs w:val="0"/>
          <w:szCs w:val="28"/>
        </w:rPr>
        <w:t>空间</w:t>
      </w:r>
      <w:r>
        <w:rPr>
          <w:rFonts w:hint="eastAsia" w:ascii="宋体" w:hAnsi="宋体"/>
          <w:bCs w:val="0"/>
          <w:szCs w:val="28"/>
          <w:lang w:val="zh-CN"/>
        </w:rPr>
        <w:t>。</w:t>
      </w:r>
    </w:p>
    <w:p>
      <w:pPr>
        <w:pStyle w:val="4"/>
        <w:numPr>
          <w:ilvl w:val="0"/>
          <w:numId w:val="0"/>
        </w:numPr>
        <w:rPr>
          <w:rFonts w:ascii="宋体" w:hAnsi="宋体"/>
          <w:szCs w:val="28"/>
        </w:rPr>
      </w:pPr>
      <w:r>
        <w:rPr>
          <w:b/>
          <w:bCs w:val="0"/>
          <w:szCs w:val="24"/>
          <w:lang w:val="zh-CN"/>
        </w:rPr>
        <w:t>4.12.3</w:t>
      </w:r>
      <w:r>
        <w:rPr>
          <w:rFonts w:hint="eastAsia" w:ascii="宋体" w:hAnsi="宋体"/>
          <w:szCs w:val="28"/>
        </w:rPr>
        <w:t>进水区域操作层标高应高于总进水管最高运行水位。</w:t>
      </w:r>
    </w:p>
    <w:p>
      <w:pPr>
        <w:pStyle w:val="4"/>
        <w:numPr>
          <w:ilvl w:val="0"/>
          <w:numId w:val="0"/>
        </w:numPr>
        <w:rPr>
          <w:rFonts w:ascii="宋体" w:hAnsi="宋体"/>
          <w:szCs w:val="28"/>
        </w:rPr>
      </w:pPr>
      <w:r>
        <w:rPr>
          <w:b/>
          <w:bCs w:val="0"/>
          <w:szCs w:val="24"/>
          <w:lang w:val="zh-CN"/>
        </w:rPr>
        <w:t>4.12.4</w:t>
      </w:r>
      <w:r>
        <w:rPr>
          <w:rFonts w:hint="eastAsia" w:ascii="宋体" w:hAnsi="宋体"/>
          <w:szCs w:val="28"/>
        </w:rPr>
        <w:t>地下空间进水闸门、进水泵房、中间提升泵房、出水泵房、重要处理构筑物应设液位连锁控制，防范构筑物溢流。</w:t>
      </w:r>
    </w:p>
    <w:p>
      <w:pPr>
        <w:pStyle w:val="4"/>
        <w:numPr>
          <w:ilvl w:val="0"/>
          <w:numId w:val="0"/>
        </w:numPr>
        <w:rPr>
          <w:rFonts w:ascii="宋体" w:hAnsi="宋体"/>
          <w:u w:val="single"/>
          <w:lang w:val="zh-CN"/>
        </w:rPr>
      </w:pPr>
      <w:r>
        <w:rPr>
          <w:b/>
          <w:bCs w:val="0"/>
          <w:szCs w:val="24"/>
          <w:lang w:val="zh-CN"/>
        </w:rPr>
        <w:t>4.12.5</w:t>
      </w:r>
      <w:r>
        <w:rPr>
          <w:rFonts w:ascii="宋体" w:hAnsi="宋体"/>
          <w:bCs w:val="0"/>
          <w:lang w:val="zh-CN"/>
        </w:rPr>
        <w:t>地下式</w:t>
      </w:r>
      <w:r>
        <w:rPr>
          <w:rFonts w:hint="eastAsia" w:ascii="宋体" w:hAnsi="宋体"/>
          <w:bCs w:val="0"/>
          <w:lang w:val="zh-CN"/>
        </w:rPr>
        <w:t>水处理厂的污水、污泥处理单元</w:t>
      </w:r>
      <w:r>
        <w:rPr>
          <w:rFonts w:hint="eastAsia" w:ascii="宋体" w:hAnsi="宋体"/>
          <w:bCs w:val="0"/>
        </w:rPr>
        <w:t>宜</w:t>
      </w:r>
      <w:r>
        <w:rPr>
          <w:rFonts w:hint="eastAsia" w:ascii="宋体" w:hAnsi="宋体"/>
          <w:bCs w:val="0"/>
          <w:lang w:val="zh-CN"/>
        </w:rPr>
        <w:t>设置应急超越设施。</w:t>
      </w:r>
    </w:p>
    <w:p>
      <w:pPr>
        <w:pStyle w:val="4"/>
        <w:numPr>
          <w:ilvl w:val="0"/>
          <w:numId w:val="0"/>
        </w:numPr>
        <w:rPr>
          <w:bCs w:val="0"/>
        </w:rPr>
      </w:pPr>
      <w:r>
        <w:rPr>
          <w:b/>
          <w:bCs w:val="0"/>
          <w:szCs w:val="24"/>
          <w:lang w:val="zh-CN"/>
        </w:rPr>
        <w:t>4.12.6</w:t>
      </w:r>
      <w:r>
        <w:rPr>
          <w:rFonts w:hint="eastAsia"/>
          <w:bCs w:val="0"/>
          <w:lang w:val="zh-CN"/>
        </w:rPr>
        <w:t>地下式城镇污水处理厂</w:t>
      </w:r>
      <w:r>
        <w:rPr>
          <w:rFonts w:hint="eastAsia"/>
          <w:bCs w:val="0"/>
        </w:rPr>
        <w:t>应针对建筑及火灾特点，结合实际情况采取严格的防火措施，并符合国家现行标准的有关规定。</w:t>
      </w:r>
    </w:p>
    <w:p>
      <w:pPr>
        <w:pStyle w:val="4"/>
        <w:numPr>
          <w:ilvl w:val="0"/>
          <w:numId w:val="0"/>
        </w:numPr>
        <w:rPr>
          <w:b/>
          <w:szCs w:val="28"/>
          <w:lang w:val="zh-CN"/>
        </w:rPr>
      </w:pPr>
      <w:r>
        <w:rPr>
          <w:b/>
          <w:bCs w:val="0"/>
          <w:szCs w:val="24"/>
          <w:lang w:val="zh-CN"/>
        </w:rPr>
        <w:t>4.12.7</w:t>
      </w:r>
      <w:r>
        <w:rPr>
          <w:rFonts w:hint="eastAsia"/>
          <w:lang w:val="zh-CN"/>
        </w:rPr>
        <w:t>地下式城镇污水处理厂应在安全隐患处设置警示标识、防护设施</w:t>
      </w:r>
      <w:r>
        <w:rPr>
          <w:rFonts w:hint="eastAsia"/>
          <w:szCs w:val="28"/>
          <w:lang w:val="zh-CN"/>
        </w:rPr>
        <w:t>，地下</w:t>
      </w:r>
      <w:r>
        <w:rPr>
          <w:rFonts w:hint="eastAsia"/>
          <w:szCs w:val="28"/>
        </w:rPr>
        <w:t>空间内</w:t>
      </w:r>
      <w:r>
        <w:rPr>
          <w:rFonts w:hint="eastAsia"/>
          <w:szCs w:val="28"/>
          <w:lang w:val="zh-CN"/>
        </w:rPr>
        <w:t>人员</w:t>
      </w:r>
      <w:r>
        <w:rPr>
          <w:rFonts w:hint="eastAsia"/>
          <w:szCs w:val="28"/>
        </w:rPr>
        <w:t>参观</w:t>
      </w:r>
      <w:r>
        <w:rPr>
          <w:rFonts w:hint="eastAsia"/>
          <w:szCs w:val="28"/>
          <w:lang w:val="zh-CN"/>
        </w:rPr>
        <w:t>活动区域宜设置路线引导标识。</w:t>
      </w:r>
    </w:p>
    <w:p>
      <w:pPr>
        <w:pStyle w:val="4"/>
        <w:numPr>
          <w:ilvl w:val="255"/>
          <w:numId w:val="0"/>
        </w:numPr>
        <w:rPr>
          <w:lang w:val="zh-CN"/>
        </w:rPr>
      </w:pPr>
      <w:r>
        <w:rPr>
          <w:b/>
          <w:lang w:val="zh-CN"/>
        </w:rPr>
        <w:t xml:space="preserve">4.12.8 </w:t>
      </w:r>
      <w:r>
        <w:rPr>
          <w:rFonts w:hint="eastAsia"/>
        </w:rPr>
        <w:t>当需要投加危险化学品时，药剂制备或储存设施应设置在地下空间外。</w:t>
      </w:r>
    </w:p>
    <w:p>
      <w:pPr>
        <w:pStyle w:val="4"/>
        <w:numPr>
          <w:ilvl w:val="255"/>
          <w:numId w:val="0"/>
        </w:numPr>
        <w:rPr>
          <w:b/>
          <w:lang w:val="zh-CN"/>
        </w:rPr>
      </w:pPr>
      <w:r>
        <w:rPr>
          <w:b/>
          <w:lang w:val="zh-CN"/>
        </w:rPr>
        <w:t>4.12.9</w:t>
      </w:r>
      <w:r>
        <w:rPr>
          <w:rFonts w:hint="eastAsia"/>
        </w:rPr>
        <w:t>污水污泥处理区工作场所应满足职业病危害因素检测要求，并应符合国家对工作场所有害因素职业接触限值的有关规定。</w:t>
      </w:r>
    </w:p>
    <w:p>
      <w:pPr>
        <w:pStyle w:val="4"/>
        <w:numPr>
          <w:ilvl w:val="255"/>
          <w:numId w:val="0"/>
        </w:numPr>
        <w:rPr>
          <w:bCs w:val="0"/>
          <w:lang w:val="zh-CN"/>
        </w:rPr>
      </w:pPr>
      <w:r>
        <w:rPr>
          <w:b/>
          <w:bCs w:val="0"/>
          <w:szCs w:val="24"/>
          <w:lang w:val="zh-CN"/>
        </w:rPr>
        <w:t>4.12.10</w:t>
      </w:r>
      <w:r>
        <w:rPr>
          <w:rFonts w:hint="eastAsia"/>
          <w:bCs w:val="0"/>
          <w:lang w:val="zh-CN"/>
        </w:rPr>
        <w:t>地下空间</w:t>
      </w:r>
      <w:r>
        <w:rPr>
          <w:lang w:val="zh-CN"/>
        </w:rPr>
        <w:t>应在</w:t>
      </w:r>
      <w:r>
        <w:rPr>
          <w:rFonts w:hint="eastAsia"/>
        </w:rPr>
        <w:t>出入口、逃生口、</w:t>
      </w:r>
      <w:r>
        <w:rPr>
          <w:rFonts w:hint="eastAsia"/>
          <w:lang w:val="zh-CN"/>
        </w:rPr>
        <w:t>进水口、排放口、取样点、</w:t>
      </w:r>
      <w:r>
        <w:rPr>
          <w:rFonts w:hint="eastAsia"/>
        </w:rPr>
        <w:t>处理</w:t>
      </w:r>
      <w:r>
        <w:rPr>
          <w:rFonts w:hint="eastAsia"/>
          <w:lang w:val="zh-CN"/>
        </w:rPr>
        <w:t>构筑物、设备、管</w:t>
      </w:r>
      <w:r>
        <w:rPr>
          <w:rFonts w:hint="eastAsia"/>
        </w:rPr>
        <w:t>线等</w:t>
      </w:r>
      <w:r>
        <w:rPr>
          <w:rFonts w:hint="eastAsia"/>
          <w:lang w:val="zh-CN"/>
        </w:rPr>
        <w:t>设置明显</w:t>
      </w:r>
      <w:r>
        <w:rPr>
          <w:rFonts w:hint="eastAsia"/>
        </w:rPr>
        <w:t>标识</w:t>
      </w:r>
      <w:r>
        <w:rPr>
          <w:rFonts w:hint="eastAsia"/>
          <w:lang w:val="zh-CN"/>
        </w:rPr>
        <w:t>，</w:t>
      </w:r>
      <w:r>
        <w:rPr>
          <w:rFonts w:hint="eastAsia"/>
        </w:rPr>
        <w:t>设备和管道的标识应符合现行行业标准《城市污水处理厂管道和设备色标》</w:t>
      </w:r>
      <w:r>
        <w:t>CJ/T 158</w:t>
      </w:r>
      <w:r>
        <w:rPr>
          <w:rFonts w:hint="eastAsia"/>
          <w:bCs w:val="0"/>
          <w:lang w:val="zh-CN"/>
        </w:rPr>
        <w:t>及各专业管线涂色的有关规定</w:t>
      </w:r>
      <w:r>
        <w:rPr>
          <w:rFonts w:hint="eastAsia"/>
          <w:lang w:val="zh-CN"/>
        </w:rPr>
        <w:t>。</w:t>
      </w:r>
    </w:p>
    <w:p>
      <w:pPr>
        <w:pStyle w:val="4"/>
        <w:numPr>
          <w:ilvl w:val="255"/>
          <w:numId w:val="0"/>
        </w:numPr>
        <w:rPr>
          <w:rFonts w:ascii="宋体" w:hAnsi="宋体"/>
          <w:b/>
          <w:szCs w:val="28"/>
        </w:rPr>
      </w:pPr>
      <w:r>
        <w:rPr>
          <w:b/>
          <w:bCs w:val="0"/>
          <w:szCs w:val="24"/>
          <w:lang w:val="zh-CN"/>
        </w:rPr>
        <w:t>4.12.11</w:t>
      </w:r>
      <w:r>
        <w:rPr>
          <w:rFonts w:ascii="宋体" w:hAnsi="宋体"/>
          <w:b/>
          <w:szCs w:val="28"/>
        </w:rPr>
        <w:t xml:space="preserve"> </w:t>
      </w:r>
      <w:r>
        <w:rPr>
          <w:rFonts w:hint="eastAsia" w:ascii="宋体" w:hAnsi="宋体"/>
          <w:szCs w:val="28"/>
        </w:rPr>
        <w:t>应在池顶、罐顶、洞口、坑边、高台等临边设置防护栏，构筑物、建筑物的防护栏及扶梯应牢固可靠；防护栏应高于</w:t>
      </w:r>
      <w:r>
        <w:rPr>
          <w:rFonts w:ascii="宋体" w:hAnsi="宋体"/>
          <w:szCs w:val="28"/>
        </w:rPr>
        <w:t>1.2m</w:t>
      </w:r>
      <w:r>
        <w:rPr>
          <w:rFonts w:hint="eastAsia" w:ascii="宋体" w:hAnsi="宋体"/>
          <w:szCs w:val="28"/>
        </w:rPr>
        <w:t>，防护栏、楼梯、高台等位置宜设置</w:t>
      </w:r>
      <w:r>
        <w:rPr>
          <w:rFonts w:ascii="宋体" w:hAnsi="宋体"/>
          <w:szCs w:val="28"/>
        </w:rPr>
        <w:t>100mm</w:t>
      </w:r>
      <w:r>
        <w:rPr>
          <w:rFonts w:hint="eastAsia" w:ascii="宋体" w:hAnsi="宋体"/>
          <w:szCs w:val="28"/>
        </w:rPr>
        <w:t>高的踢脚板。防护栏高度要求应按照国标</w:t>
      </w:r>
      <w:r>
        <w:rPr>
          <w:rFonts w:ascii="宋体" w:hAnsi="宋体"/>
          <w:szCs w:val="28"/>
        </w:rPr>
        <w:t>GB 4053.3</w:t>
      </w:r>
      <w:r>
        <w:rPr>
          <w:rFonts w:hint="eastAsia" w:ascii="宋体" w:hAnsi="宋体"/>
          <w:szCs w:val="28"/>
        </w:rPr>
        <w:t>。</w:t>
      </w:r>
    </w:p>
    <w:p>
      <w:pPr>
        <w:ind w:firstLine="560"/>
        <w:rPr>
          <w:rFonts w:ascii="宋体" w:hAnsi="宋体"/>
          <w:szCs w:val="28"/>
        </w:rPr>
      </w:pPr>
    </w:p>
    <w:p>
      <w:pPr>
        <w:ind w:firstLine="560" w:firstLineChars="0"/>
        <w:rPr>
          <w:b/>
          <w:lang w:val="zh-CN"/>
        </w:rPr>
      </w:pPr>
    </w:p>
    <w:p>
      <w:pPr>
        <w:ind w:firstLine="560"/>
        <w:rPr>
          <w:lang w:val="zh-CN"/>
        </w:rPr>
      </w:pPr>
    </w:p>
    <w:p>
      <w:pPr>
        <w:ind w:firstLine="0" w:firstLineChars="0"/>
        <w:sectPr>
          <w:pgSz w:w="11850" w:h="16783"/>
          <w:pgMar w:top="1440" w:right="1440" w:bottom="1117" w:left="1800" w:header="851" w:footer="992" w:gutter="0"/>
          <w:cols w:space="425" w:num="1"/>
          <w:docGrid w:type="lines" w:linePitch="312" w:charSpace="0"/>
        </w:sectPr>
      </w:pPr>
    </w:p>
    <w:p>
      <w:pPr>
        <w:pStyle w:val="2"/>
        <w:spacing w:before="624" w:after="624"/>
        <w:rPr>
          <w:color w:val="auto"/>
        </w:rPr>
      </w:pPr>
      <w:bookmarkStart w:id="3539" w:name="_Toc70600691"/>
      <w:bookmarkStart w:id="3540" w:name="_Toc96358484"/>
      <w:bookmarkStart w:id="3541" w:name="_Toc126321319"/>
      <w:bookmarkStart w:id="3542" w:name="_Toc114734637"/>
      <w:r>
        <w:rPr>
          <w:rFonts w:hint="eastAsia"/>
          <w:color w:val="auto"/>
        </w:rPr>
        <w:t>施工、验收和移交</w:t>
      </w:r>
      <w:bookmarkEnd w:id="3539"/>
      <w:bookmarkEnd w:id="3540"/>
      <w:bookmarkEnd w:id="3541"/>
      <w:bookmarkEnd w:id="3542"/>
    </w:p>
    <w:p>
      <w:pPr>
        <w:pStyle w:val="3"/>
        <w:spacing w:before="312" w:beforeLines="100" w:after="312" w:afterLines="100"/>
      </w:pPr>
      <w:bookmarkStart w:id="3543" w:name="_Toc96358485"/>
      <w:bookmarkStart w:id="3544" w:name="_Toc114734638"/>
      <w:bookmarkStart w:id="3545" w:name="_Toc126321320"/>
      <w:bookmarkStart w:id="3546" w:name="_Toc70600692"/>
      <w:r>
        <w:rPr>
          <w:rFonts w:hint="eastAsia"/>
        </w:rPr>
        <w:t>一般规定</w:t>
      </w:r>
      <w:bookmarkEnd w:id="3543"/>
      <w:bookmarkEnd w:id="3544"/>
      <w:bookmarkEnd w:id="3545"/>
      <w:bookmarkEnd w:id="3546"/>
    </w:p>
    <w:p>
      <w:pPr>
        <w:ind w:firstLine="0" w:firstLineChars="0"/>
        <w:rPr>
          <w:rFonts w:ascii="宋体" w:hAnsi="宋体"/>
          <w:szCs w:val="28"/>
        </w:rPr>
      </w:pPr>
      <w:r>
        <w:rPr>
          <w:b/>
          <w:lang w:val="zh-CN"/>
        </w:rPr>
        <w:t>5.1.1</w:t>
      </w:r>
      <w:r>
        <w:rPr>
          <w:rFonts w:ascii="宋体" w:hAnsi="宋体"/>
          <w:szCs w:val="28"/>
        </w:rPr>
        <w:t xml:space="preserve">  </w:t>
      </w:r>
      <w:r>
        <w:rPr>
          <w:rFonts w:hint="eastAsia" w:ascii="宋体" w:hAnsi="宋体"/>
          <w:szCs w:val="28"/>
        </w:rPr>
        <w:t>地下式城镇污水处理厂工程项目建设应依据各项行政批复、合同规定、业主明确需求确认建设目标和内容。</w:t>
      </w:r>
    </w:p>
    <w:p>
      <w:pPr>
        <w:ind w:firstLine="0" w:firstLineChars="0"/>
        <w:rPr>
          <w:rFonts w:ascii="宋体" w:hAnsi="宋体"/>
          <w:strike/>
          <w:szCs w:val="28"/>
        </w:rPr>
      </w:pPr>
      <w:r>
        <w:rPr>
          <w:b/>
          <w:lang w:val="zh-CN"/>
        </w:rPr>
        <w:t>5.1.2</w:t>
      </w:r>
      <w:r>
        <w:rPr>
          <w:rFonts w:ascii="宋体" w:hAnsi="宋体"/>
          <w:szCs w:val="28"/>
        </w:rPr>
        <w:t xml:space="preserve">  施工单位应组建项目管理机构，完备各项准备工作，建立健全安全、质量、环保和职业健康管理体系。</w:t>
      </w:r>
    </w:p>
    <w:p>
      <w:pPr>
        <w:ind w:firstLine="0" w:firstLineChars="0"/>
        <w:rPr>
          <w:rFonts w:ascii="宋体" w:hAnsi="宋体"/>
          <w:szCs w:val="28"/>
        </w:rPr>
      </w:pPr>
      <w:r>
        <w:rPr>
          <w:b/>
          <w:lang w:val="zh-CN"/>
        </w:rPr>
        <w:t>5.1.3</w:t>
      </w:r>
      <w:r>
        <w:rPr>
          <w:rFonts w:ascii="宋体" w:hAnsi="宋体"/>
          <w:szCs w:val="28"/>
        </w:rPr>
        <w:t xml:space="preserve">  </w:t>
      </w:r>
      <w:r>
        <w:rPr>
          <w:rFonts w:hint="eastAsia" w:ascii="宋体" w:hAnsi="宋体"/>
          <w:szCs w:val="28"/>
        </w:rPr>
        <w:t>施工前应根据工程需要重点做好施工影响范围内的下列调查研究</w:t>
      </w:r>
      <w:r>
        <w:rPr>
          <w:rFonts w:ascii="宋体" w:hAnsi="宋体"/>
          <w:szCs w:val="28"/>
        </w:rPr>
        <w:t>：</w:t>
      </w:r>
    </w:p>
    <w:p>
      <w:pPr>
        <w:ind w:firstLine="560"/>
        <w:rPr>
          <w:rFonts w:ascii="宋体" w:hAnsi="宋体"/>
          <w:szCs w:val="28"/>
        </w:rPr>
      </w:pPr>
      <w:r>
        <w:rPr>
          <w:rFonts w:ascii="宋体" w:hAnsi="宋体"/>
          <w:szCs w:val="28"/>
        </w:rPr>
        <w:t xml:space="preserve">1 </w:t>
      </w:r>
      <w:r>
        <w:rPr>
          <w:rFonts w:hint="eastAsia" w:ascii="宋体" w:hAnsi="宋体"/>
          <w:szCs w:val="28"/>
        </w:rPr>
        <w:t>现场地形、地貌、构（建）筑物、各种管线、进出厂干管管位情况、其他设施及障碍物现状；</w:t>
      </w:r>
    </w:p>
    <w:p>
      <w:pPr>
        <w:ind w:firstLine="560"/>
        <w:rPr>
          <w:rFonts w:ascii="宋体" w:hAnsi="宋体"/>
          <w:szCs w:val="28"/>
        </w:rPr>
      </w:pPr>
      <w:r>
        <w:rPr>
          <w:rFonts w:ascii="宋体" w:hAnsi="宋体"/>
          <w:szCs w:val="28"/>
        </w:rPr>
        <w:t>2工程地质和水文地质资料；</w:t>
      </w:r>
    </w:p>
    <w:p>
      <w:pPr>
        <w:ind w:firstLine="560"/>
        <w:rPr>
          <w:rFonts w:ascii="宋体" w:hAnsi="宋体"/>
          <w:szCs w:val="28"/>
        </w:rPr>
      </w:pPr>
      <w:r>
        <w:rPr>
          <w:rFonts w:ascii="宋体" w:hAnsi="宋体"/>
          <w:szCs w:val="28"/>
        </w:rPr>
        <w:t xml:space="preserve">3 </w:t>
      </w:r>
      <w:r>
        <w:rPr>
          <w:rFonts w:hint="eastAsia" w:ascii="宋体" w:hAnsi="宋体"/>
          <w:szCs w:val="28"/>
        </w:rPr>
        <w:t>工程用地、交通运输、疏导及其环境条件；</w:t>
      </w:r>
    </w:p>
    <w:p>
      <w:pPr>
        <w:ind w:firstLine="560"/>
        <w:rPr>
          <w:rFonts w:ascii="宋体" w:hAnsi="宋体"/>
          <w:szCs w:val="28"/>
        </w:rPr>
      </w:pPr>
      <w:r>
        <w:rPr>
          <w:rFonts w:ascii="宋体" w:hAnsi="宋体"/>
          <w:szCs w:val="28"/>
        </w:rPr>
        <w:t xml:space="preserve">4 </w:t>
      </w:r>
      <w:r>
        <w:rPr>
          <w:rFonts w:hint="eastAsia" w:ascii="宋体" w:hAnsi="宋体"/>
          <w:szCs w:val="28"/>
        </w:rPr>
        <w:t>工程外运土方消纳处置场所；</w:t>
      </w:r>
    </w:p>
    <w:p>
      <w:pPr>
        <w:ind w:firstLine="560"/>
        <w:rPr>
          <w:rFonts w:ascii="宋体" w:hAnsi="宋体"/>
          <w:szCs w:val="28"/>
        </w:rPr>
      </w:pPr>
      <w:r>
        <w:rPr>
          <w:rFonts w:ascii="宋体" w:hAnsi="宋体"/>
          <w:szCs w:val="28"/>
        </w:rPr>
        <w:t xml:space="preserve">5 </w:t>
      </w:r>
      <w:r>
        <w:rPr>
          <w:rFonts w:hint="eastAsia" w:ascii="宋体" w:hAnsi="宋体"/>
          <w:szCs w:val="28"/>
        </w:rPr>
        <w:t>工程开挖土方土质及可回用情况。</w:t>
      </w:r>
    </w:p>
    <w:p>
      <w:pPr>
        <w:ind w:firstLine="0" w:firstLineChars="0"/>
        <w:rPr>
          <w:rFonts w:ascii="宋体" w:hAnsi="宋体"/>
          <w:szCs w:val="28"/>
        </w:rPr>
      </w:pPr>
      <w:r>
        <w:rPr>
          <w:b/>
          <w:lang w:val="zh-CN"/>
        </w:rPr>
        <w:t>5.1.4</w:t>
      </w:r>
      <w:r>
        <w:rPr>
          <w:rFonts w:ascii="宋体" w:hAnsi="宋体"/>
          <w:szCs w:val="28"/>
        </w:rPr>
        <w:t xml:space="preserve">  </w:t>
      </w:r>
      <w:r>
        <w:rPr>
          <w:rFonts w:hint="eastAsia" w:ascii="宋体" w:hAnsi="宋体"/>
          <w:szCs w:val="28"/>
        </w:rPr>
        <w:t>地下式城镇污水处理厂工程施工应在完成施工调查、全面掌握施工条件、熟悉设计文件的基础上编制施工组织设计，关键的分项分部工程应编制专项施工方案；施工组织设计、专项施工方案的编制和审批管理应符合现行国家标准《市政工程施工组织设计规范》</w:t>
      </w:r>
      <w:r>
        <w:rPr>
          <w:rFonts w:ascii="宋体" w:hAnsi="宋体"/>
          <w:szCs w:val="28"/>
        </w:rPr>
        <w:t>GB/T 50903</w:t>
      </w:r>
      <w:r>
        <w:rPr>
          <w:rFonts w:hint="eastAsia" w:ascii="宋体" w:hAnsi="宋体"/>
          <w:szCs w:val="28"/>
        </w:rPr>
        <w:t>、《建筑施工组织设计规范》</w:t>
      </w:r>
      <w:r>
        <w:rPr>
          <w:rFonts w:ascii="宋体" w:hAnsi="宋体"/>
          <w:szCs w:val="28"/>
        </w:rPr>
        <w:t>GB/T 50502</w:t>
      </w:r>
      <w:r>
        <w:rPr>
          <w:rFonts w:hint="eastAsia" w:ascii="宋体" w:hAnsi="宋体"/>
          <w:szCs w:val="28"/>
        </w:rPr>
        <w:t>的有关规定。</w:t>
      </w:r>
    </w:p>
    <w:p>
      <w:pPr>
        <w:ind w:firstLine="0" w:firstLineChars="0"/>
        <w:rPr>
          <w:rFonts w:ascii="宋体" w:hAnsi="宋体"/>
          <w:szCs w:val="28"/>
        </w:rPr>
      </w:pPr>
      <w:r>
        <w:rPr>
          <w:b/>
          <w:lang w:val="zh-CN"/>
        </w:rPr>
        <w:t>5.1.5</w:t>
      </w:r>
      <w:r>
        <w:rPr>
          <w:rFonts w:ascii="宋体" w:hAnsi="宋体"/>
          <w:szCs w:val="28"/>
        </w:rPr>
        <w:t xml:space="preserve">  施工前应全面审核设计文件，全面理解设计意图，加强现场核对，掌握工程信息，找出设计文件不妥之处，提出优化、改善设计建议，及时报送建设、设计、监理等相关单位，通过建设单位组织图纸会审工作，使得工程设计更趋于合理科学。及时完善审核手续，保存审核记录。涉及设备安装的预埋件、预留孔洞以及设备基础等有关结构施工，在施工前应核对工艺图纸，必要时核对设备厂家安装图纸，施工中应要求设备安装单位参与复核、检查。完善设计交底、地下管线交底、工程交接桩等手续。</w:t>
      </w:r>
    </w:p>
    <w:p>
      <w:pPr>
        <w:ind w:firstLine="0" w:firstLineChars="0"/>
        <w:rPr>
          <w:rFonts w:ascii="宋体" w:hAnsi="宋体"/>
          <w:szCs w:val="28"/>
        </w:rPr>
      </w:pPr>
      <w:r>
        <w:rPr>
          <w:b/>
          <w:lang w:val="zh-CN"/>
        </w:rPr>
        <w:t>5.1.6</w:t>
      </w:r>
      <w:r>
        <w:rPr>
          <w:rFonts w:ascii="宋体" w:hAnsi="宋体"/>
          <w:szCs w:val="28"/>
        </w:rPr>
        <w:t xml:space="preserve">  </w:t>
      </w:r>
      <w:r>
        <w:rPr>
          <w:rFonts w:hint="eastAsia" w:ascii="宋体" w:hAnsi="宋体"/>
          <w:szCs w:val="28"/>
        </w:rPr>
        <w:t>地下式城镇污水处理厂</w:t>
      </w:r>
      <w:r>
        <w:rPr>
          <w:rFonts w:ascii="宋体" w:hAnsi="宋体"/>
          <w:szCs w:val="28"/>
        </w:rPr>
        <w:t>施工场地布置应综合考虑临时交通、加工场地、周转材料堆放场地、机械设备临时堆放场地、土方临时堆场等。</w:t>
      </w:r>
    </w:p>
    <w:p>
      <w:pPr>
        <w:ind w:firstLine="0" w:firstLineChars="0"/>
        <w:rPr>
          <w:rFonts w:ascii="宋体" w:hAnsi="宋体"/>
          <w:szCs w:val="28"/>
        </w:rPr>
      </w:pPr>
      <w:r>
        <w:rPr>
          <w:b/>
          <w:lang w:val="zh-CN"/>
        </w:rPr>
        <w:t>5.1.7</w:t>
      </w:r>
      <w:r>
        <w:rPr>
          <w:rFonts w:ascii="宋体" w:hAnsi="宋体"/>
          <w:szCs w:val="28"/>
        </w:rPr>
        <w:t xml:space="preserve">  </w:t>
      </w:r>
      <w:r>
        <w:rPr>
          <w:rFonts w:hint="eastAsia" w:ascii="宋体" w:hAnsi="宋体"/>
          <w:szCs w:val="28"/>
        </w:rPr>
        <w:t>工程施工过程中应确保环保设施、安全设施、职业病防护设施与主体工程同时实施。</w:t>
      </w:r>
    </w:p>
    <w:p>
      <w:pPr>
        <w:ind w:firstLine="0" w:firstLineChars="0"/>
        <w:rPr>
          <w:rFonts w:ascii="宋体" w:hAnsi="宋体"/>
          <w:szCs w:val="28"/>
        </w:rPr>
      </w:pPr>
      <w:r>
        <w:rPr>
          <w:b/>
          <w:lang w:val="zh-CN"/>
        </w:rPr>
        <w:t>5.1.8</w:t>
      </w:r>
      <w:r>
        <w:rPr>
          <w:rFonts w:ascii="宋体" w:hAnsi="宋体"/>
          <w:szCs w:val="28"/>
        </w:rPr>
        <w:t xml:space="preserve">  施工场地宜采取封闭管理，设置门禁管理系统，</w:t>
      </w:r>
      <w:r>
        <w:rPr>
          <w:rFonts w:ascii="宋体" w:hAnsi="宋体"/>
          <w:bCs/>
          <w:szCs w:val="28"/>
        </w:rPr>
        <w:t>对所有</w:t>
      </w:r>
      <w:r>
        <w:rPr>
          <w:rFonts w:hint="eastAsia" w:ascii="宋体" w:hAnsi="宋体"/>
          <w:bCs/>
          <w:szCs w:val="28"/>
        </w:rPr>
        <w:t>施工</w:t>
      </w:r>
      <w:r>
        <w:rPr>
          <w:rFonts w:ascii="宋体" w:hAnsi="宋体"/>
          <w:bCs/>
          <w:szCs w:val="28"/>
        </w:rPr>
        <w:t>人员进行实名制管理，施工厂区进行封闭管理，所有人员进出场必须经过实名制门禁系统进行登记。</w:t>
      </w:r>
    </w:p>
    <w:p>
      <w:pPr>
        <w:ind w:firstLine="0" w:firstLineChars="0"/>
        <w:rPr>
          <w:rFonts w:ascii="宋体" w:hAnsi="宋体"/>
          <w:szCs w:val="28"/>
        </w:rPr>
      </w:pPr>
      <w:r>
        <w:rPr>
          <w:b/>
          <w:lang w:val="zh-CN"/>
        </w:rPr>
        <w:t>5.1.9</w:t>
      </w:r>
      <w:r>
        <w:rPr>
          <w:rFonts w:ascii="宋体" w:hAnsi="宋体"/>
          <w:szCs w:val="28"/>
        </w:rPr>
        <w:t xml:space="preserve">   </w:t>
      </w:r>
      <w:r>
        <w:rPr>
          <w:rFonts w:hint="eastAsia" w:ascii="宋体" w:hAnsi="宋体"/>
          <w:szCs w:val="28"/>
        </w:rPr>
        <w:t>地下式城镇污水处理厂现场应设置</w:t>
      </w:r>
      <w:r>
        <w:rPr>
          <w:rFonts w:ascii="宋体" w:hAnsi="宋体"/>
          <w:szCs w:val="28"/>
        </w:rPr>
        <w:t>视频监控系统</w:t>
      </w:r>
      <w:r>
        <w:rPr>
          <w:rFonts w:hint="eastAsia" w:ascii="宋体" w:hAnsi="宋体"/>
          <w:szCs w:val="28"/>
        </w:rPr>
        <w:t>；</w:t>
      </w:r>
      <w:r>
        <w:rPr>
          <w:rFonts w:ascii="宋体" w:hAnsi="宋体"/>
          <w:szCs w:val="28"/>
        </w:rPr>
        <w:t>施工现场塔吊</w:t>
      </w:r>
      <w:r>
        <w:rPr>
          <w:rFonts w:hint="eastAsia" w:ascii="宋体" w:hAnsi="宋体"/>
          <w:szCs w:val="28"/>
        </w:rPr>
        <w:t>应</w:t>
      </w:r>
      <w:r>
        <w:rPr>
          <w:rFonts w:ascii="宋体" w:hAnsi="宋体"/>
          <w:szCs w:val="28"/>
        </w:rPr>
        <w:t>采取安全防碰撞等措施</w:t>
      </w:r>
      <w:r>
        <w:rPr>
          <w:rFonts w:hint="eastAsia" w:ascii="宋体" w:hAnsi="宋体"/>
          <w:szCs w:val="28"/>
        </w:rPr>
        <w:t>。</w:t>
      </w:r>
    </w:p>
    <w:p>
      <w:pPr>
        <w:ind w:firstLine="560"/>
        <w:rPr>
          <w:lang w:val="zh-CN"/>
        </w:rPr>
      </w:pPr>
    </w:p>
    <w:p>
      <w:pPr>
        <w:pStyle w:val="3"/>
        <w:spacing w:before="312" w:beforeLines="100" w:after="312" w:afterLines="100"/>
      </w:pPr>
      <w:bookmarkStart w:id="3547" w:name="_Toc114734639"/>
      <w:bookmarkStart w:id="3548" w:name="_Toc96358486"/>
      <w:bookmarkStart w:id="3549" w:name="_Toc126321321"/>
      <w:bookmarkStart w:id="3550" w:name="_Toc70600693"/>
      <w:r>
        <w:rPr>
          <w:rFonts w:hint="eastAsia"/>
        </w:rPr>
        <w:t>构（建）筑物施工</w:t>
      </w:r>
      <w:bookmarkEnd w:id="3547"/>
      <w:bookmarkEnd w:id="3548"/>
      <w:bookmarkEnd w:id="3549"/>
      <w:bookmarkEnd w:id="3550"/>
    </w:p>
    <w:p>
      <w:pPr>
        <w:ind w:firstLine="0" w:firstLineChars="0"/>
        <w:rPr>
          <w:rFonts w:ascii="宋体" w:hAnsi="宋体"/>
          <w:szCs w:val="28"/>
        </w:rPr>
      </w:pPr>
      <w:r>
        <w:rPr>
          <w:b/>
          <w:lang w:val="zh-CN"/>
        </w:rPr>
        <w:t>5.2.1</w:t>
      </w:r>
      <w:r>
        <w:rPr>
          <w:rFonts w:ascii="宋体" w:hAnsi="宋体"/>
          <w:szCs w:val="28"/>
        </w:rPr>
        <w:t xml:space="preserve"> 施工前，建设单位应组织测绘单位、施工单位、监理单位等有关单位进行现场交桩，施工单位对所交桩进行复核测量，控制点与加密控制网应报监理单位审批后方可使用；</w:t>
      </w:r>
      <w:r>
        <w:rPr>
          <w:rFonts w:hint="eastAsia" w:ascii="宋体" w:hAnsi="宋体"/>
          <w:szCs w:val="28"/>
        </w:rPr>
        <w:t>应对</w:t>
      </w:r>
      <w:r>
        <w:rPr>
          <w:rFonts w:ascii="宋体" w:hAnsi="宋体"/>
          <w:szCs w:val="28"/>
        </w:rPr>
        <w:t>控制点中重要的控制坐标采取有效保护措施，确保施工全过程控制点不受扰动；原交桩点位若有遗</w:t>
      </w:r>
      <w:r>
        <w:rPr>
          <w:rFonts w:hint="eastAsia" w:ascii="宋体" w:hAnsi="宋体"/>
          <w:szCs w:val="28"/>
        </w:rPr>
        <w:t>失</w:t>
      </w:r>
      <w:r>
        <w:rPr>
          <w:rFonts w:ascii="宋体" w:hAnsi="宋体"/>
          <w:szCs w:val="28"/>
        </w:rPr>
        <w:t>或破坏，应</w:t>
      </w:r>
      <w:r>
        <w:rPr>
          <w:rFonts w:hint="eastAsia" w:ascii="宋体" w:hAnsi="宋体"/>
          <w:szCs w:val="28"/>
        </w:rPr>
        <w:t>补钉桩校正，并应经相应的技术质量管理部门和人员认定后</w:t>
      </w:r>
      <w:r>
        <w:rPr>
          <w:rFonts w:ascii="宋体" w:hAnsi="宋体"/>
          <w:szCs w:val="28"/>
        </w:rPr>
        <w:t>使用。</w:t>
      </w:r>
    </w:p>
    <w:p>
      <w:pPr>
        <w:ind w:firstLine="0" w:firstLineChars="0"/>
        <w:rPr>
          <w:rFonts w:ascii="宋体" w:hAnsi="宋体"/>
          <w:szCs w:val="28"/>
        </w:rPr>
      </w:pPr>
      <w:r>
        <w:rPr>
          <w:b/>
          <w:lang w:val="zh-CN"/>
        </w:rPr>
        <w:t>5.2.2</w:t>
      </w:r>
      <w:r>
        <w:rPr>
          <w:rFonts w:hint="eastAsia" w:ascii="宋体" w:hAnsi="宋体"/>
          <w:szCs w:val="28"/>
        </w:rPr>
        <w:t>地下式城镇污水处理厂各</w:t>
      </w:r>
      <w:r>
        <w:rPr>
          <w:rFonts w:ascii="宋体" w:hAnsi="宋体"/>
          <w:szCs w:val="28"/>
        </w:rPr>
        <w:t>施工分区</w:t>
      </w:r>
      <w:r>
        <w:rPr>
          <w:rFonts w:hint="eastAsia" w:ascii="宋体" w:hAnsi="宋体"/>
          <w:szCs w:val="28"/>
        </w:rPr>
        <w:t>应</w:t>
      </w:r>
      <w:r>
        <w:rPr>
          <w:rFonts w:ascii="宋体" w:hAnsi="宋体"/>
          <w:szCs w:val="28"/>
        </w:rPr>
        <w:t>采用相同的临时水准点、临时控制网，各分区临时水准点、轴线桩及构筑物施工的定位桩、高程桩</w:t>
      </w:r>
      <w:r>
        <w:rPr>
          <w:rFonts w:hint="eastAsia" w:ascii="宋体" w:hAnsi="宋体"/>
          <w:szCs w:val="28"/>
        </w:rPr>
        <w:t>应</w:t>
      </w:r>
      <w:r>
        <w:rPr>
          <w:rFonts w:ascii="宋体" w:hAnsi="宋体"/>
          <w:szCs w:val="28"/>
        </w:rPr>
        <w:t>经过复核后方可使用</w:t>
      </w:r>
      <w:r>
        <w:rPr>
          <w:rFonts w:hint="eastAsia" w:ascii="宋体" w:hAnsi="宋体"/>
          <w:szCs w:val="28"/>
        </w:rPr>
        <w:t>。</w:t>
      </w:r>
      <w:r>
        <w:rPr>
          <w:rFonts w:ascii="宋体" w:hAnsi="宋体"/>
          <w:szCs w:val="28"/>
        </w:rPr>
        <w:t xml:space="preserve"> </w:t>
      </w:r>
    </w:p>
    <w:p>
      <w:pPr>
        <w:ind w:firstLine="0" w:firstLineChars="0"/>
        <w:rPr>
          <w:rFonts w:ascii="宋体" w:hAnsi="宋体"/>
          <w:szCs w:val="28"/>
        </w:rPr>
      </w:pPr>
      <w:r>
        <w:rPr>
          <w:b/>
          <w:lang w:val="zh-CN"/>
        </w:rPr>
        <w:t>5.2.3</w:t>
      </w:r>
      <w:r>
        <w:rPr>
          <w:rFonts w:hint="eastAsia" w:ascii="宋体" w:hAnsi="宋体"/>
          <w:szCs w:val="28"/>
        </w:rPr>
        <w:t>地下式城镇污水处理厂基坑支护与土方工程施工应符合设计及相关规范的要求。基坑工程应编制安全专项施工方案，方案应包括基坑支护方案、土方工程方案、基坑监测方案、基坑降排水方案及应急预案。基坑工程安全专项施工方案应经专家论证通过后方可实施。</w:t>
      </w:r>
    </w:p>
    <w:p>
      <w:pPr>
        <w:ind w:firstLine="0" w:firstLineChars="0"/>
        <w:rPr>
          <w:rFonts w:ascii="宋体" w:hAnsi="宋体"/>
          <w:szCs w:val="28"/>
        </w:rPr>
      </w:pPr>
      <w:r>
        <w:rPr>
          <w:b/>
          <w:lang w:val="zh-CN"/>
        </w:rPr>
        <w:t>5.2.4</w:t>
      </w:r>
      <w:r>
        <w:rPr>
          <w:rFonts w:hint="eastAsia" w:ascii="宋体" w:hAnsi="宋体"/>
          <w:szCs w:val="28"/>
        </w:rPr>
        <w:t>基坑支护结构的选型应根据工程地质与水文条件、开挖深度、周边环境条件，综合考虑安全性、施工便利性、工期等因素，进行技术经济论证。在条件允许时宜优先考虑桩锚等无内支撑支护体系。当必须采用内支撑支护体系时，应注意格构柱规避结构池壁、柱、主梁、预制构件等，支撑平面高度应考虑地下箱体梁板结构标高，并合理设计拆除工况，内支撑梁底标高宜高于对应层间板1 m～1.5m</w:t>
      </w:r>
      <w:r>
        <w:rPr>
          <w:rFonts w:ascii="宋体" w:hAnsi="宋体"/>
          <w:szCs w:val="28"/>
        </w:rPr>
        <w:t>。</w:t>
      </w:r>
    </w:p>
    <w:p>
      <w:pPr>
        <w:ind w:firstLine="0" w:firstLineChars="0"/>
        <w:rPr>
          <w:rFonts w:ascii="宋体" w:hAnsi="宋体"/>
          <w:szCs w:val="28"/>
        </w:rPr>
      </w:pPr>
      <w:r>
        <w:rPr>
          <w:b/>
          <w:lang w:val="zh-CN"/>
        </w:rPr>
        <w:t>5.2.5</w:t>
      </w:r>
      <w:r>
        <w:rPr>
          <w:rFonts w:ascii="宋体" w:hAnsi="宋体"/>
          <w:szCs w:val="28"/>
        </w:rPr>
        <w:t>基坑支护与地下空间之间的净空宜不小于1.5m。</w:t>
      </w:r>
    </w:p>
    <w:p>
      <w:pPr>
        <w:ind w:firstLine="0" w:firstLineChars="0"/>
        <w:rPr>
          <w:rFonts w:ascii="宋体" w:hAnsi="宋体"/>
          <w:szCs w:val="28"/>
        </w:rPr>
      </w:pPr>
      <w:r>
        <w:rPr>
          <w:b/>
          <w:lang w:val="zh-CN"/>
        </w:rPr>
        <w:t>5.2.6</w:t>
      </w:r>
      <w:r>
        <w:rPr>
          <w:rFonts w:ascii="宋体" w:hAnsi="宋体"/>
          <w:b/>
          <w:szCs w:val="28"/>
        </w:rPr>
        <w:t xml:space="preserve"> </w:t>
      </w:r>
      <w:r>
        <w:rPr>
          <w:rFonts w:ascii="宋体" w:hAnsi="宋体"/>
          <w:szCs w:val="28"/>
        </w:rPr>
        <w:t>基坑支护桩施工应根据地质条件选择合适的机械，采取有效措施，确保支护桩施工质量</w:t>
      </w:r>
      <w:r>
        <w:rPr>
          <w:rFonts w:hint="eastAsia" w:ascii="宋体" w:hAnsi="宋体"/>
          <w:szCs w:val="28"/>
        </w:rPr>
        <w:t>、</w:t>
      </w:r>
      <w:r>
        <w:rPr>
          <w:rFonts w:ascii="宋体" w:hAnsi="宋体"/>
          <w:szCs w:val="28"/>
        </w:rPr>
        <w:t>防止侵嵌基坑空间</w:t>
      </w:r>
      <w:r>
        <w:rPr>
          <w:rFonts w:hint="eastAsia" w:ascii="宋体" w:hAnsi="宋体"/>
          <w:szCs w:val="28"/>
        </w:rPr>
        <w:t>、</w:t>
      </w:r>
      <w:r>
        <w:rPr>
          <w:rFonts w:ascii="宋体" w:hAnsi="宋体"/>
          <w:szCs w:val="28"/>
        </w:rPr>
        <w:t>保证基坑安全。</w:t>
      </w:r>
    </w:p>
    <w:p>
      <w:pPr>
        <w:ind w:firstLine="0" w:firstLineChars="0"/>
        <w:rPr>
          <w:rFonts w:ascii="宋体" w:hAnsi="宋体"/>
          <w:szCs w:val="28"/>
        </w:rPr>
      </w:pPr>
      <w:r>
        <w:rPr>
          <w:b/>
          <w:lang w:val="zh-CN"/>
        </w:rPr>
        <w:t>5.2.7</w:t>
      </w:r>
      <w:r>
        <w:rPr>
          <w:rFonts w:ascii="宋体" w:hAnsi="宋体"/>
          <w:szCs w:val="28"/>
        </w:rPr>
        <w:t xml:space="preserve">  基坑</w:t>
      </w:r>
      <w:r>
        <w:rPr>
          <w:rFonts w:hint="eastAsia" w:ascii="宋体" w:hAnsi="宋体"/>
          <w:szCs w:val="28"/>
        </w:rPr>
        <w:t>应</w:t>
      </w:r>
      <w:r>
        <w:rPr>
          <w:rFonts w:ascii="宋体" w:hAnsi="宋体"/>
          <w:szCs w:val="28"/>
        </w:rPr>
        <w:t>结合工程地质情况、水文地质条件、支护结构形式等综合考虑</w:t>
      </w:r>
      <w:r>
        <w:rPr>
          <w:rFonts w:hint="eastAsia" w:ascii="宋体" w:hAnsi="宋体"/>
          <w:szCs w:val="28"/>
        </w:rPr>
        <w:t>设置</w:t>
      </w:r>
      <w:r>
        <w:rPr>
          <w:rFonts w:ascii="宋体" w:hAnsi="宋体"/>
          <w:szCs w:val="28"/>
        </w:rPr>
        <w:t>降排水措施，应按设计要求设置变形观测点及水位观测井。</w:t>
      </w:r>
    </w:p>
    <w:p>
      <w:pPr>
        <w:ind w:firstLine="0" w:firstLineChars="0"/>
        <w:rPr>
          <w:rFonts w:ascii="宋体" w:hAnsi="宋体"/>
          <w:szCs w:val="28"/>
        </w:rPr>
      </w:pPr>
      <w:r>
        <w:rPr>
          <w:b/>
          <w:lang w:val="zh-CN"/>
        </w:rPr>
        <w:t>5.2.8</w:t>
      </w:r>
      <w:r>
        <w:rPr>
          <w:rFonts w:ascii="宋体" w:hAnsi="宋体"/>
          <w:szCs w:val="28"/>
        </w:rPr>
        <w:t>基坑土方开挖应严格按照设计要求及开挖方案施工，不得超挖。基坑周边</w:t>
      </w:r>
      <w:r>
        <w:rPr>
          <w:rFonts w:hint="eastAsia" w:ascii="宋体" w:hAnsi="宋体"/>
          <w:szCs w:val="28"/>
        </w:rPr>
        <w:t>堆载</w:t>
      </w:r>
      <w:r>
        <w:rPr>
          <w:rFonts w:ascii="宋体" w:hAnsi="宋体"/>
          <w:szCs w:val="28"/>
        </w:rPr>
        <w:t>不</w:t>
      </w:r>
      <w:r>
        <w:rPr>
          <w:rFonts w:hint="eastAsia" w:ascii="宋体" w:hAnsi="宋体"/>
          <w:szCs w:val="28"/>
        </w:rPr>
        <w:t>应</w:t>
      </w:r>
      <w:r>
        <w:rPr>
          <w:rFonts w:ascii="宋体" w:hAnsi="宋体"/>
          <w:szCs w:val="28"/>
        </w:rPr>
        <w:t>超过设计规定。土方开挖完成后应立即施工垫层，封闭基坑，并应及时进行防水及底板施工。</w:t>
      </w:r>
    </w:p>
    <w:p>
      <w:pPr>
        <w:ind w:firstLine="0" w:firstLineChars="0"/>
        <w:rPr>
          <w:rFonts w:ascii="宋体" w:hAnsi="宋体"/>
          <w:szCs w:val="28"/>
        </w:rPr>
      </w:pPr>
      <w:r>
        <w:rPr>
          <w:b/>
          <w:lang w:val="zh-CN"/>
        </w:rPr>
        <w:t>5.2.9</w:t>
      </w:r>
      <w:r>
        <w:rPr>
          <w:rFonts w:hint="eastAsia" w:ascii="宋体" w:hAnsi="宋体"/>
          <w:szCs w:val="28"/>
        </w:rPr>
        <w:t>地下式城镇污水处理厂基坑施工期间应进行基坑安全监测。</w:t>
      </w:r>
    </w:p>
    <w:p>
      <w:pPr>
        <w:ind w:firstLine="0" w:firstLineChars="0"/>
        <w:rPr>
          <w:rFonts w:ascii="宋体" w:hAnsi="宋体"/>
          <w:szCs w:val="28"/>
        </w:rPr>
      </w:pPr>
      <w:r>
        <w:rPr>
          <w:b/>
          <w:lang w:val="zh-CN"/>
        </w:rPr>
        <w:t>5.2.10</w:t>
      </w:r>
      <w:r>
        <w:rPr>
          <w:rFonts w:ascii="宋体" w:hAnsi="宋体"/>
          <w:szCs w:val="28"/>
        </w:rPr>
        <w:t xml:space="preserve"> </w:t>
      </w:r>
      <w:r>
        <w:rPr>
          <w:rFonts w:hint="eastAsia" w:ascii="宋体" w:hAnsi="宋体"/>
          <w:szCs w:val="28"/>
        </w:rPr>
        <w:t>地下式城镇污水处理厂应</w:t>
      </w:r>
      <w:r>
        <w:rPr>
          <w:rFonts w:ascii="宋体" w:hAnsi="宋体"/>
          <w:szCs w:val="28"/>
        </w:rPr>
        <w:t>合理安排施工顺序。</w:t>
      </w:r>
    </w:p>
    <w:p>
      <w:pPr>
        <w:ind w:firstLine="0" w:firstLineChars="0"/>
        <w:rPr>
          <w:rFonts w:ascii="宋体" w:hAnsi="宋体"/>
          <w:b/>
          <w:bCs/>
          <w:szCs w:val="28"/>
        </w:rPr>
      </w:pPr>
      <w:r>
        <w:rPr>
          <w:b/>
          <w:lang w:val="zh-CN"/>
        </w:rPr>
        <w:t>5.2.11</w:t>
      </w:r>
      <w:r>
        <w:rPr>
          <w:rFonts w:ascii="宋体" w:hAnsi="宋体" w:cstheme="minorEastAsia"/>
          <w:szCs w:val="28"/>
        </w:rPr>
        <w:t>地下式城镇污水处理厂</w:t>
      </w:r>
      <w:r>
        <w:rPr>
          <w:rFonts w:ascii="宋体" w:hAnsi="宋体"/>
          <w:bCs/>
          <w:szCs w:val="28"/>
        </w:rPr>
        <w:t>结构施工应按“先深后浅、先下后上”的顺序进行，并综合考虑各分区构筑物施工的相互影响</w:t>
      </w:r>
      <w:r>
        <w:rPr>
          <w:rFonts w:hint="eastAsia" w:ascii="宋体" w:hAnsi="宋体"/>
          <w:bCs/>
          <w:szCs w:val="28"/>
        </w:rPr>
        <w:t>。</w:t>
      </w:r>
    </w:p>
    <w:p>
      <w:pPr>
        <w:ind w:firstLine="0" w:firstLineChars="0"/>
        <w:rPr>
          <w:rFonts w:ascii="宋体" w:hAnsi="宋体"/>
          <w:szCs w:val="28"/>
        </w:rPr>
      </w:pPr>
      <w:r>
        <w:rPr>
          <w:b/>
          <w:lang w:val="zh-CN"/>
        </w:rPr>
        <w:t>5.2.12</w:t>
      </w:r>
      <w:r>
        <w:rPr>
          <w:rFonts w:ascii="宋体" w:hAnsi="宋体"/>
          <w:szCs w:val="28"/>
        </w:rPr>
        <w:t>模板和支架体系应编制专项施工方案，按规范审批后实施，支架体系的设计应综合考虑结构形式、施工工艺、施工设备及材料等条件，同时应便于钢筋制安、模板安装及混凝土浇筑。</w:t>
      </w:r>
    </w:p>
    <w:p>
      <w:pPr>
        <w:ind w:firstLine="0" w:firstLineChars="0"/>
        <w:rPr>
          <w:rFonts w:ascii="宋体" w:hAnsi="宋体"/>
          <w:szCs w:val="28"/>
        </w:rPr>
      </w:pPr>
      <w:r>
        <w:rPr>
          <w:b/>
          <w:lang w:val="zh-CN"/>
        </w:rPr>
        <w:t>5.2.13</w:t>
      </w:r>
      <w:r>
        <w:rPr>
          <w:rFonts w:ascii="宋体" w:hAnsi="宋体"/>
          <w:szCs w:val="28"/>
        </w:rPr>
        <w:t>大体积混凝土浇筑应编制专项施工方案，确定浇筑顺序、降温及养护措施。混凝土宜以变形缝、后浇带为单元，分段分层连续浇筑；混凝土浇筑施工前，钢筋、模板、脚手架等工序</w:t>
      </w:r>
      <w:r>
        <w:rPr>
          <w:rFonts w:hint="eastAsia" w:ascii="宋体" w:hAnsi="宋体"/>
          <w:szCs w:val="28"/>
        </w:rPr>
        <w:t>均</w:t>
      </w:r>
      <w:r>
        <w:rPr>
          <w:rFonts w:ascii="宋体" w:hAnsi="宋体"/>
          <w:szCs w:val="28"/>
        </w:rPr>
        <w:t>应施工完毕，止水带、预埋件、预留孔洞安装到位，并经隐蔽验收合格。</w:t>
      </w:r>
    </w:p>
    <w:p>
      <w:pPr>
        <w:ind w:firstLine="0" w:firstLineChars="0"/>
        <w:rPr>
          <w:rFonts w:ascii="宋体" w:hAnsi="宋体"/>
          <w:szCs w:val="28"/>
        </w:rPr>
      </w:pPr>
      <w:r>
        <w:rPr>
          <w:b/>
          <w:lang w:val="zh-CN"/>
        </w:rPr>
        <w:t>5.2.14</w:t>
      </w:r>
      <w:r>
        <w:rPr>
          <w:rFonts w:ascii="宋体" w:hAnsi="宋体"/>
          <w:szCs w:val="28"/>
        </w:rPr>
        <w:t>混凝土工程施工基本规定</w:t>
      </w:r>
      <w:r>
        <w:rPr>
          <w:rFonts w:hint="eastAsia" w:ascii="宋体" w:hAnsi="宋体"/>
          <w:szCs w:val="28"/>
        </w:rPr>
        <w:t>：</w:t>
      </w:r>
    </w:p>
    <w:p>
      <w:pPr>
        <w:ind w:firstLine="560"/>
        <w:rPr>
          <w:rFonts w:ascii="宋体" w:hAnsi="宋体"/>
          <w:szCs w:val="28"/>
        </w:rPr>
      </w:pPr>
      <w:r>
        <w:rPr>
          <w:rFonts w:ascii="宋体" w:hAnsi="宋体"/>
          <w:szCs w:val="28"/>
        </w:rPr>
        <w:t>1 混凝土原材料的质量控制应按现行国家标准《混凝土结构工程施工质量验收规范》GB 50204的相关规定执行；</w:t>
      </w:r>
    </w:p>
    <w:p>
      <w:pPr>
        <w:ind w:firstLine="560"/>
        <w:rPr>
          <w:rFonts w:ascii="宋体" w:hAnsi="宋体"/>
          <w:szCs w:val="28"/>
        </w:rPr>
      </w:pPr>
      <w:r>
        <w:rPr>
          <w:rFonts w:ascii="宋体" w:hAnsi="宋体"/>
          <w:szCs w:val="28"/>
        </w:rPr>
        <w:t>2 主体结构混凝土宜采用同品种、同强度等级的水泥拌制；也可按底板、池壁、顶板以及分区等分别采用同品种、同强度等级的水泥拌制；</w:t>
      </w:r>
    </w:p>
    <w:p>
      <w:pPr>
        <w:ind w:firstLine="560"/>
        <w:rPr>
          <w:rFonts w:ascii="宋体" w:hAnsi="宋体"/>
          <w:szCs w:val="28"/>
        </w:rPr>
      </w:pPr>
      <w:r>
        <w:rPr>
          <w:rFonts w:ascii="宋体" w:hAnsi="宋体"/>
          <w:szCs w:val="28"/>
        </w:rPr>
        <w:t>3 外加剂的质量及技术指标应符合现行国家标准《混凝土外加剂》GB 8076、《混凝土外加剂应用技术规范》GB 50119和有关环境保护的规定，并通过</w:t>
      </w:r>
      <w:r>
        <w:rPr>
          <w:rFonts w:hint="eastAsia" w:ascii="宋体" w:hAnsi="宋体"/>
          <w:szCs w:val="28"/>
        </w:rPr>
        <w:t>厂家参数建议、</w:t>
      </w:r>
      <w:r>
        <w:rPr>
          <w:rFonts w:ascii="宋体" w:hAnsi="宋体"/>
          <w:szCs w:val="28"/>
        </w:rPr>
        <w:t>试验确定其适用性和用量；不得</w:t>
      </w:r>
      <w:r>
        <w:rPr>
          <w:rFonts w:hint="eastAsia" w:ascii="宋体" w:hAnsi="宋体"/>
          <w:szCs w:val="28"/>
          <w:lang w:val="en-US" w:eastAsia="zh-CN"/>
        </w:rPr>
        <w:t>掺</w:t>
      </w:r>
      <w:r>
        <w:rPr>
          <w:rFonts w:ascii="宋体" w:hAnsi="宋体"/>
          <w:szCs w:val="28"/>
        </w:rPr>
        <w:t>入含有滤盐成分的外加剂；</w:t>
      </w:r>
    </w:p>
    <w:p>
      <w:pPr>
        <w:ind w:firstLine="560"/>
        <w:rPr>
          <w:rFonts w:ascii="宋体" w:hAnsi="宋体"/>
          <w:szCs w:val="28"/>
        </w:rPr>
      </w:pPr>
      <w:r>
        <w:rPr>
          <w:rFonts w:ascii="宋体" w:hAnsi="宋体"/>
          <w:szCs w:val="28"/>
        </w:rPr>
        <w:t>4 混凝土配合比设计，应保证结构设计要求的强度、抗渗和抗冻性能，并满足施工工艺的要求。应选用有一定自补偿性能的材料配比，在满足设计和施工的前提下，应适量降低水泥用量；</w:t>
      </w:r>
    </w:p>
    <w:p>
      <w:pPr>
        <w:ind w:firstLine="560"/>
        <w:rPr>
          <w:rFonts w:ascii="宋体" w:hAnsi="宋体"/>
          <w:szCs w:val="28"/>
        </w:rPr>
      </w:pPr>
      <w:r>
        <w:rPr>
          <w:rFonts w:ascii="宋体" w:hAnsi="宋体"/>
          <w:szCs w:val="28"/>
        </w:rPr>
        <w:t>5 混凝土浇筑必须在模板和支架检验符合施工方案要求后进行，入模时应防止离析，连续浇筑时每层浇筑高度应满足振捣密实的要求；</w:t>
      </w:r>
    </w:p>
    <w:p>
      <w:pPr>
        <w:ind w:firstLine="560"/>
        <w:rPr>
          <w:rFonts w:ascii="宋体" w:hAnsi="宋体"/>
          <w:szCs w:val="28"/>
        </w:rPr>
      </w:pPr>
      <w:r>
        <w:rPr>
          <w:rFonts w:ascii="宋体" w:hAnsi="宋体"/>
          <w:szCs w:val="28"/>
        </w:rPr>
        <w:t>6 地埋式污水处理厂一般箱体占地面积较大，中部混凝土浇筑相对困难，应编制混凝土施工专项方案，对混凝土布料方法进行设计，选择可靠的混凝土布料设备，确保混凝土供应连续，防止形成冷缝</w:t>
      </w:r>
      <w:r>
        <w:rPr>
          <w:rFonts w:hint="eastAsia" w:ascii="宋体" w:hAnsi="宋体"/>
          <w:szCs w:val="28"/>
        </w:rPr>
        <w:t>；</w:t>
      </w:r>
    </w:p>
    <w:p>
      <w:pPr>
        <w:ind w:firstLine="560"/>
        <w:rPr>
          <w:rFonts w:ascii="宋体" w:hAnsi="宋体"/>
          <w:szCs w:val="28"/>
        </w:rPr>
      </w:pPr>
      <w:r>
        <w:rPr>
          <w:rFonts w:ascii="宋体" w:hAnsi="宋体"/>
          <w:szCs w:val="28"/>
        </w:rPr>
        <w:t>7 变形缝处止水带下部、施工缝止水钢板下部以及腋角下部的混凝土浇筑作业，应确保混凝土密实，且止水带等不发生位移或严重变形；</w:t>
      </w:r>
    </w:p>
    <w:p>
      <w:pPr>
        <w:ind w:firstLine="560"/>
        <w:rPr>
          <w:rFonts w:ascii="宋体" w:hAnsi="宋体"/>
          <w:szCs w:val="28"/>
        </w:rPr>
      </w:pPr>
      <w:r>
        <w:rPr>
          <w:rFonts w:ascii="宋体" w:hAnsi="宋体"/>
          <w:szCs w:val="28"/>
        </w:rPr>
        <w:t>8 浇筑大体积混凝土结构时，应有专项施工方案和相应的技术措施，有效控制混凝土入模温度，控制混凝土里表温差；</w:t>
      </w:r>
    </w:p>
    <w:p>
      <w:pPr>
        <w:ind w:firstLine="560"/>
        <w:rPr>
          <w:rFonts w:ascii="宋体" w:hAnsi="宋体"/>
          <w:szCs w:val="28"/>
        </w:rPr>
      </w:pPr>
      <w:r>
        <w:rPr>
          <w:rFonts w:ascii="宋体" w:hAnsi="宋体"/>
          <w:szCs w:val="28"/>
        </w:rPr>
        <w:t>9 对于工艺上无</w:t>
      </w:r>
      <w:r>
        <w:rPr>
          <w:rFonts w:hint="eastAsia" w:ascii="宋体" w:hAnsi="宋体"/>
          <w:szCs w:val="28"/>
        </w:rPr>
        <w:t>承重</w:t>
      </w:r>
      <w:r>
        <w:rPr>
          <w:rFonts w:ascii="宋体" w:hAnsi="宋体"/>
          <w:szCs w:val="28"/>
        </w:rPr>
        <w:t>要求的填充、找坡等二次构件、基坑周边等狭小空间回填等，可选用泡沫混凝土，减少对结构的压力，同时更为经济</w:t>
      </w:r>
      <w:r>
        <w:rPr>
          <w:rFonts w:hint="eastAsia" w:ascii="宋体" w:hAnsi="宋体"/>
          <w:szCs w:val="28"/>
        </w:rPr>
        <w:t>；</w:t>
      </w:r>
    </w:p>
    <w:p>
      <w:pPr>
        <w:ind w:firstLine="560"/>
        <w:rPr>
          <w:rFonts w:ascii="宋体" w:hAnsi="宋体"/>
          <w:szCs w:val="28"/>
        </w:rPr>
      </w:pPr>
      <w:r>
        <w:rPr>
          <w:rFonts w:ascii="宋体" w:hAnsi="宋体"/>
          <w:szCs w:val="28"/>
        </w:rPr>
        <w:t>10 底板、池壁等大方量混凝土需保证混凝土浇筑的连续性</w:t>
      </w:r>
      <w:r>
        <w:rPr>
          <w:rFonts w:hint="eastAsia" w:ascii="宋体" w:hAnsi="宋体"/>
          <w:szCs w:val="28"/>
        </w:rPr>
        <w:t>；</w:t>
      </w:r>
    </w:p>
    <w:p>
      <w:pPr>
        <w:ind w:firstLine="560"/>
        <w:rPr>
          <w:rFonts w:ascii="宋体" w:hAnsi="宋体"/>
          <w:szCs w:val="28"/>
        </w:rPr>
      </w:pPr>
      <w:r>
        <w:rPr>
          <w:rFonts w:ascii="宋体" w:hAnsi="宋体"/>
          <w:szCs w:val="28"/>
        </w:rPr>
        <w:t>11 由于地下空间一般长度较长，必须设置膨胀加强带或后浇带，优先考虑膨胀加强带，或者底板采用膨胀加强带，池壁采取后浇带的方式。</w:t>
      </w:r>
    </w:p>
    <w:p>
      <w:pPr>
        <w:ind w:firstLine="0" w:firstLineChars="0"/>
        <w:rPr>
          <w:rFonts w:ascii="宋体" w:hAnsi="宋体"/>
          <w:szCs w:val="28"/>
        </w:rPr>
      </w:pPr>
      <w:r>
        <w:rPr>
          <w:b/>
          <w:lang w:val="zh-CN"/>
        </w:rPr>
        <w:t>5.2.15</w:t>
      </w:r>
      <w:r>
        <w:rPr>
          <w:rFonts w:ascii="宋体" w:hAnsi="宋体"/>
          <w:szCs w:val="28"/>
        </w:rPr>
        <w:t xml:space="preserve">   构筑物施工完成后应按设计及规范要求开展各类功能性试验。功能性试验应包括池体的满水试验、承压水池的气密性试验、顶板蓄水试验、管道功能性试验等。</w:t>
      </w:r>
    </w:p>
    <w:p>
      <w:pPr>
        <w:ind w:firstLine="0" w:firstLineChars="0"/>
        <w:rPr>
          <w:rFonts w:ascii="宋体" w:hAnsi="宋体"/>
          <w:szCs w:val="28"/>
        </w:rPr>
      </w:pPr>
      <w:r>
        <w:rPr>
          <w:b/>
          <w:lang w:val="zh-CN"/>
        </w:rPr>
        <w:t>5.2.16</w:t>
      </w:r>
      <w:r>
        <w:rPr>
          <w:rFonts w:hint="eastAsia" w:ascii="宋体" w:hAnsi="宋体"/>
          <w:szCs w:val="28"/>
        </w:rPr>
        <w:t>构筑物外墙防水应在基坑回填前完成，池体内防水、防腐应在池体满水试验合格后、设备安装前完成；防水、防腐涂料应涂刷均匀，无脱皮、漏刷、流坠、皱皮、厚度不均、表面不光滑等现象；作业现场应采取通风、防火、防毒措施。</w:t>
      </w:r>
    </w:p>
    <w:p>
      <w:pPr>
        <w:ind w:firstLine="0" w:firstLineChars="0"/>
        <w:rPr>
          <w:rFonts w:ascii="宋体" w:hAnsi="宋体"/>
          <w:szCs w:val="28"/>
        </w:rPr>
      </w:pPr>
      <w:r>
        <w:rPr>
          <w:b/>
          <w:lang w:val="zh-CN"/>
        </w:rPr>
        <w:t>5.2.17</w:t>
      </w:r>
      <w:r>
        <w:rPr>
          <w:rFonts w:ascii="宋体" w:hAnsi="宋体"/>
          <w:szCs w:val="28"/>
        </w:rPr>
        <w:t xml:space="preserve"> 防水及防腐基本规定</w:t>
      </w:r>
      <w:r>
        <w:rPr>
          <w:rFonts w:hint="eastAsia" w:ascii="宋体" w:hAnsi="宋体"/>
          <w:szCs w:val="28"/>
        </w:rPr>
        <w:t>：</w:t>
      </w:r>
    </w:p>
    <w:p>
      <w:pPr>
        <w:ind w:firstLine="560"/>
        <w:rPr>
          <w:rFonts w:ascii="宋体" w:hAnsi="宋体"/>
          <w:szCs w:val="28"/>
        </w:rPr>
      </w:pPr>
      <w:r>
        <w:rPr>
          <w:rFonts w:ascii="宋体" w:hAnsi="宋体"/>
          <w:szCs w:val="28"/>
        </w:rPr>
        <w:t>1 地下空间构筑物水池功能分区的外池壁内侧应先做防水，再做防腐，其他部位只做防腐，所有受水汽影响的池壁和顶板均应做防腐</w:t>
      </w:r>
      <w:r>
        <w:rPr>
          <w:rFonts w:hint="eastAsia" w:ascii="宋体" w:hAnsi="宋体"/>
          <w:szCs w:val="28"/>
        </w:rPr>
        <w:t>；</w:t>
      </w:r>
    </w:p>
    <w:p>
      <w:pPr>
        <w:ind w:firstLine="560"/>
        <w:rPr>
          <w:rFonts w:ascii="宋体" w:hAnsi="宋体"/>
          <w:szCs w:val="28"/>
        </w:rPr>
      </w:pPr>
      <w:r>
        <w:rPr>
          <w:rFonts w:ascii="宋体" w:hAnsi="宋体"/>
          <w:szCs w:val="28"/>
        </w:rPr>
        <w:t>2 地下空间外应连续设置建筑防水措施，底板防水</w:t>
      </w:r>
      <w:r>
        <w:rPr>
          <w:rFonts w:hint="eastAsia" w:ascii="宋体" w:hAnsi="宋体"/>
          <w:szCs w:val="28"/>
        </w:rPr>
        <w:t>宜</w:t>
      </w:r>
      <w:r>
        <w:rPr>
          <w:rFonts w:ascii="宋体" w:hAnsi="宋体"/>
          <w:szCs w:val="28"/>
        </w:rPr>
        <w:t>采用TPO卷材等反粘型防水卷材</w:t>
      </w:r>
      <w:r>
        <w:rPr>
          <w:rFonts w:hint="eastAsia" w:ascii="宋体" w:hAnsi="宋体"/>
          <w:szCs w:val="28"/>
        </w:rPr>
        <w:t>；</w:t>
      </w:r>
    </w:p>
    <w:p>
      <w:pPr>
        <w:ind w:firstLine="560"/>
        <w:rPr>
          <w:rFonts w:ascii="宋体" w:hAnsi="宋体"/>
          <w:szCs w:val="28"/>
        </w:rPr>
      </w:pPr>
      <w:r>
        <w:rPr>
          <w:rFonts w:ascii="宋体" w:hAnsi="宋体"/>
          <w:szCs w:val="28"/>
        </w:rPr>
        <w:t>3 墙面防水涂料建议采取可固化的柔性材料，防水卷材建议采用自粘型防水卷材，防水层外应设置砖砌体或预制保护砌块等硬防护</w:t>
      </w:r>
      <w:r>
        <w:rPr>
          <w:rFonts w:hint="eastAsia" w:ascii="宋体" w:hAnsi="宋体"/>
          <w:szCs w:val="28"/>
        </w:rPr>
        <w:t>；</w:t>
      </w:r>
    </w:p>
    <w:p>
      <w:pPr>
        <w:ind w:firstLine="560"/>
        <w:rPr>
          <w:rFonts w:ascii="宋体" w:hAnsi="宋体"/>
          <w:szCs w:val="28"/>
        </w:rPr>
      </w:pPr>
      <w:r>
        <w:rPr>
          <w:rFonts w:ascii="宋体" w:hAnsi="宋体"/>
          <w:szCs w:val="28"/>
        </w:rPr>
        <w:t>4顶板防水保护层</w:t>
      </w:r>
      <w:r>
        <w:rPr>
          <w:rFonts w:hint="eastAsia" w:ascii="宋体" w:hAnsi="宋体"/>
          <w:szCs w:val="28"/>
        </w:rPr>
        <w:t>可不</w:t>
      </w:r>
      <w:r>
        <w:rPr>
          <w:rFonts w:ascii="宋体" w:hAnsi="宋体"/>
          <w:szCs w:val="28"/>
        </w:rPr>
        <w:t>设置钢筋网片</w:t>
      </w:r>
      <w:r>
        <w:rPr>
          <w:rFonts w:hint="eastAsia" w:ascii="宋体" w:hAnsi="宋体"/>
          <w:szCs w:val="28"/>
        </w:rPr>
        <w:t>；</w:t>
      </w:r>
    </w:p>
    <w:p>
      <w:pPr>
        <w:ind w:firstLine="560"/>
        <w:rPr>
          <w:rFonts w:ascii="宋体" w:hAnsi="宋体"/>
          <w:szCs w:val="28"/>
        </w:rPr>
      </w:pPr>
      <w:r>
        <w:rPr>
          <w:rFonts w:ascii="宋体" w:hAnsi="宋体"/>
          <w:szCs w:val="28"/>
        </w:rPr>
        <w:t>5 构筑物的防水、防腐、保温层应按先行国家标准《地下工程防水技术规范》GB 50108、《建筑防腐蚀工程施工及验收规范》GB 50212等的相关规定执行；地下空间完工及时进行顶部防水施工，并应及时进行基坑及顶板回填，不宜长期暴露。</w:t>
      </w:r>
    </w:p>
    <w:p>
      <w:pPr>
        <w:pStyle w:val="3"/>
        <w:spacing w:before="312" w:beforeLines="100" w:after="312" w:afterLines="100"/>
      </w:pPr>
      <w:bookmarkStart w:id="3551" w:name="_Toc57817834"/>
      <w:bookmarkEnd w:id="3551"/>
      <w:bookmarkStart w:id="3552" w:name="_Toc57998527"/>
      <w:bookmarkEnd w:id="3552"/>
      <w:bookmarkStart w:id="3553" w:name="_Toc59631402"/>
      <w:bookmarkEnd w:id="3553"/>
      <w:bookmarkStart w:id="3554" w:name="_Toc59543041"/>
      <w:bookmarkEnd w:id="3554"/>
      <w:bookmarkStart w:id="3555" w:name="_Toc57889927"/>
      <w:bookmarkEnd w:id="3555"/>
      <w:bookmarkStart w:id="3556" w:name="_Toc57997678"/>
      <w:bookmarkEnd w:id="3556"/>
      <w:bookmarkStart w:id="3557" w:name="_Toc57894346"/>
      <w:bookmarkEnd w:id="3557"/>
      <w:bookmarkStart w:id="3558" w:name="_Toc58259548"/>
      <w:bookmarkEnd w:id="3558"/>
      <w:bookmarkStart w:id="3559" w:name="_Toc58861907"/>
      <w:bookmarkEnd w:id="3559"/>
      <w:bookmarkStart w:id="3560" w:name="_Toc58259638"/>
      <w:bookmarkEnd w:id="3560"/>
      <w:bookmarkStart w:id="3561" w:name="_Toc59114939"/>
      <w:bookmarkEnd w:id="3561"/>
      <w:bookmarkStart w:id="3562" w:name="_Toc57989233"/>
      <w:bookmarkEnd w:id="3562"/>
      <w:bookmarkStart w:id="3563" w:name="_Toc57881136"/>
      <w:bookmarkEnd w:id="3563"/>
      <w:bookmarkStart w:id="3564" w:name="_Toc57998403"/>
      <w:bookmarkEnd w:id="3564"/>
      <w:bookmarkStart w:id="3565" w:name="_Toc58257229"/>
      <w:bookmarkEnd w:id="3565"/>
      <w:bookmarkStart w:id="3566" w:name="_Toc57807840"/>
      <w:bookmarkEnd w:id="3566"/>
      <w:bookmarkStart w:id="3567" w:name="_Toc59017444"/>
      <w:bookmarkEnd w:id="3567"/>
      <w:bookmarkStart w:id="3568" w:name="_Toc57995878"/>
      <w:bookmarkEnd w:id="3568"/>
      <w:bookmarkStart w:id="3569" w:name="_Toc59021637"/>
      <w:bookmarkEnd w:id="3569"/>
      <w:bookmarkStart w:id="3570" w:name="_Toc57992310"/>
      <w:bookmarkEnd w:id="3570"/>
      <w:bookmarkStart w:id="3571" w:name="_Toc59117138"/>
      <w:bookmarkEnd w:id="3571"/>
      <w:bookmarkStart w:id="3572" w:name="_Toc57894192"/>
      <w:bookmarkEnd w:id="3572"/>
      <w:bookmarkStart w:id="3573" w:name="_Toc57912494"/>
      <w:bookmarkEnd w:id="3573"/>
      <w:bookmarkStart w:id="3574" w:name="_Toc59716991"/>
      <w:bookmarkEnd w:id="3574"/>
      <w:bookmarkStart w:id="3575" w:name="_Toc57817908"/>
      <w:bookmarkEnd w:id="3575"/>
      <w:bookmarkStart w:id="3576" w:name="_Toc57998316"/>
      <w:bookmarkEnd w:id="3576"/>
      <w:bookmarkStart w:id="3577" w:name="_Toc57894020"/>
      <w:bookmarkEnd w:id="3577"/>
      <w:bookmarkStart w:id="3578" w:name="_Toc58862166"/>
      <w:bookmarkEnd w:id="3578"/>
      <w:bookmarkStart w:id="3579" w:name="_Toc57817988"/>
      <w:bookmarkEnd w:id="3579"/>
      <w:bookmarkStart w:id="3580" w:name="_Toc57829338"/>
      <w:bookmarkEnd w:id="3580"/>
      <w:bookmarkStart w:id="3581" w:name="_Toc57812056"/>
      <w:bookmarkEnd w:id="3581"/>
      <w:bookmarkStart w:id="3582" w:name="_Toc57817774"/>
      <w:bookmarkEnd w:id="3582"/>
      <w:bookmarkStart w:id="3583" w:name="_Toc59204139"/>
      <w:bookmarkEnd w:id="3583"/>
      <w:bookmarkStart w:id="3584" w:name="_Toc58318846"/>
      <w:bookmarkEnd w:id="3584"/>
      <w:bookmarkStart w:id="3585" w:name="_Toc59546311"/>
      <w:bookmarkEnd w:id="3585"/>
      <w:bookmarkStart w:id="3586" w:name="_Toc58320160"/>
      <w:bookmarkEnd w:id="3586"/>
      <w:bookmarkStart w:id="3587" w:name="_Toc58858144"/>
      <w:bookmarkEnd w:id="3587"/>
      <w:bookmarkStart w:id="3588" w:name="_Toc59113533"/>
      <w:bookmarkEnd w:id="3588"/>
      <w:bookmarkStart w:id="3589" w:name="_Toc59113964"/>
      <w:bookmarkEnd w:id="3589"/>
      <w:bookmarkStart w:id="3590" w:name="_Toc58245241"/>
      <w:bookmarkEnd w:id="3590"/>
      <w:bookmarkStart w:id="3591" w:name="_Toc57822382"/>
      <w:bookmarkEnd w:id="3591"/>
      <w:bookmarkStart w:id="3592" w:name="_Toc57829168"/>
      <w:bookmarkEnd w:id="3592"/>
      <w:bookmarkStart w:id="3593" w:name="_Toc59209425"/>
      <w:bookmarkEnd w:id="3593"/>
      <w:bookmarkStart w:id="3594" w:name="_Toc58320404"/>
      <w:bookmarkEnd w:id="3594"/>
      <w:bookmarkStart w:id="3595" w:name="_Toc58318687"/>
      <w:bookmarkEnd w:id="3595"/>
      <w:bookmarkStart w:id="3596" w:name="_Toc59017130"/>
      <w:bookmarkEnd w:id="3596"/>
      <w:bookmarkStart w:id="3597" w:name="_Toc57989290"/>
      <w:bookmarkEnd w:id="3597"/>
      <w:bookmarkStart w:id="3598" w:name="_Toc57817945"/>
      <w:bookmarkEnd w:id="3598"/>
      <w:bookmarkStart w:id="3599" w:name="_Toc59630429"/>
      <w:bookmarkEnd w:id="3599"/>
      <w:bookmarkStart w:id="3600" w:name="_Toc57817871"/>
      <w:bookmarkEnd w:id="3600"/>
      <w:bookmarkStart w:id="3601" w:name="_Toc57881547"/>
      <w:bookmarkEnd w:id="3601"/>
      <w:bookmarkStart w:id="3602" w:name="_Toc126321322"/>
      <w:bookmarkStart w:id="3603" w:name="_Toc96358487"/>
      <w:bookmarkStart w:id="3604" w:name="_Toc70600727"/>
      <w:bookmarkStart w:id="3605" w:name="_Toc114734640"/>
      <w:r>
        <w:rPr>
          <w:rFonts w:hint="eastAsia"/>
        </w:rPr>
        <w:t>机电设备安装与调试</w:t>
      </w:r>
      <w:bookmarkEnd w:id="3602"/>
      <w:bookmarkEnd w:id="3603"/>
      <w:bookmarkEnd w:id="3604"/>
      <w:bookmarkEnd w:id="3605"/>
    </w:p>
    <w:p>
      <w:pPr>
        <w:ind w:firstLine="0" w:firstLineChars="0"/>
        <w:rPr>
          <w:rFonts w:ascii="宋体" w:hAnsi="宋体"/>
          <w:szCs w:val="28"/>
        </w:rPr>
      </w:pPr>
      <w:r>
        <w:rPr>
          <w:b/>
          <w:lang w:val="zh-CN"/>
        </w:rPr>
        <w:t>5.3.1</w:t>
      </w:r>
      <w:r>
        <w:rPr>
          <w:rFonts w:hint="eastAsia" w:ascii="宋体" w:hAnsi="宋体"/>
          <w:szCs w:val="28"/>
        </w:rPr>
        <w:t>应在土建设备基础已完成、混凝土强度及预留预埋件达到设计要求的前提下、进行设备安装。</w:t>
      </w:r>
    </w:p>
    <w:p>
      <w:pPr>
        <w:ind w:firstLine="0" w:firstLineChars="0"/>
        <w:rPr>
          <w:rFonts w:ascii="宋体" w:hAnsi="宋体"/>
          <w:szCs w:val="28"/>
        </w:rPr>
      </w:pPr>
      <w:r>
        <w:rPr>
          <w:b/>
          <w:lang w:val="zh-CN"/>
        </w:rPr>
        <w:t>5.3.2</w:t>
      </w:r>
      <w:r>
        <w:rPr>
          <w:rFonts w:ascii="宋体" w:hAnsi="宋体"/>
          <w:szCs w:val="28"/>
        </w:rPr>
        <w:t xml:space="preserve"> </w:t>
      </w:r>
      <w:r>
        <w:rPr>
          <w:rFonts w:hint="eastAsia" w:ascii="宋体" w:hAnsi="宋体"/>
          <w:szCs w:val="28"/>
        </w:rPr>
        <w:t>安装</w:t>
      </w:r>
      <w:r>
        <w:rPr>
          <w:rFonts w:ascii="宋体" w:hAnsi="宋体"/>
          <w:szCs w:val="28"/>
        </w:rPr>
        <w:t>工程实施前</w:t>
      </w:r>
      <w:r>
        <w:rPr>
          <w:rFonts w:hint="eastAsia" w:ascii="宋体" w:hAnsi="宋体"/>
          <w:szCs w:val="28"/>
        </w:rPr>
        <w:t>宜</w:t>
      </w:r>
      <w:r>
        <w:rPr>
          <w:rFonts w:ascii="宋体" w:hAnsi="宋体"/>
          <w:szCs w:val="28"/>
        </w:rPr>
        <w:t>对大型设备进行安装模拟，预留临时或永久设备吊装孔</w:t>
      </w:r>
      <w:r>
        <w:rPr>
          <w:rFonts w:hint="eastAsia" w:ascii="宋体" w:hAnsi="宋体"/>
          <w:szCs w:val="28"/>
        </w:rPr>
        <w:t>。安装工程应制定有限空间作业应急预案，配合满足作业需求的设施设备，作业流程有完整的审批及监管流程。</w:t>
      </w:r>
    </w:p>
    <w:p>
      <w:pPr>
        <w:ind w:firstLine="0" w:firstLineChars="0"/>
        <w:rPr>
          <w:rFonts w:ascii="宋体" w:hAnsi="宋体"/>
          <w:szCs w:val="28"/>
        </w:rPr>
      </w:pPr>
      <w:r>
        <w:rPr>
          <w:b/>
          <w:lang w:val="zh-CN"/>
        </w:rPr>
        <w:t>5.3.3</w:t>
      </w:r>
      <w:r>
        <w:rPr>
          <w:rFonts w:ascii="宋体" w:hAnsi="宋体"/>
          <w:szCs w:val="28"/>
        </w:rPr>
        <w:t>设备开箱验收应符合下列规定：</w:t>
      </w:r>
    </w:p>
    <w:p>
      <w:pPr>
        <w:ind w:firstLine="560"/>
        <w:rPr>
          <w:rFonts w:ascii="宋体" w:hAnsi="宋体"/>
          <w:szCs w:val="28"/>
        </w:rPr>
      </w:pPr>
      <w:r>
        <w:rPr>
          <w:rFonts w:ascii="宋体" w:hAnsi="宋体"/>
          <w:szCs w:val="28"/>
        </w:rPr>
        <w:t xml:space="preserve">1 </w:t>
      </w:r>
      <w:r>
        <w:rPr>
          <w:rFonts w:hint="eastAsia" w:ascii="宋体" w:hAnsi="宋体"/>
          <w:szCs w:val="28"/>
        </w:rPr>
        <w:t>设备开箱验收参加单位应包括建设单位、设备安装施工单位、监理单位、设备制造商，设备开箱检查记录应经开箱验收小组签字确认；</w:t>
      </w:r>
    </w:p>
    <w:p>
      <w:pPr>
        <w:ind w:firstLine="560"/>
        <w:rPr>
          <w:rFonts w:ascii="宋体" w:hAnsi="宋体"/>
          <w:szCs w:val="28"/>
        </w:rPr>
      </w:pPr>
      <w:r>
        <w:rPr>
          <w:rFonts w:ascii="宋体" w:hAnsi="宋体"/>
          <w:szCs w:val="28"/>
        </w:rPr>
        <w:t xml:space="preserve">2 </w:t>
      </w:r>
      <w:r>
        <w:rPr>
          <w:rFonts w:hint="eastAsia" w:ascii="宋体" w:hAnsi="宋体"/>
          <w:szCs w:val="28"/>
        </w:rPr>
        <w:t>设备及主要装配件的规格、型号等应符合设计要求；设备铭牌应完整清晰，设备无破损、表面涂层无锈蚀；</w:t>
      </w:r>
    </w:p>
    <w:p>
      <w:pPr>
        <w:ind w:firstLine="560"/>
        <w:rPr>
          <w:rFonts w:ascii="宋体" w:hAnsi="宋体"/>
          <w:szCs w:val="28"/>
        </w:rPr>
      </w:pPr>
      <w:r>
        <w:rPr>
          <w:rFonts w:ascii="宋体" w:hAnsi="宋体"/>
          <w:szCs w:val="28"/>
        </w:rPr>
        <w:t>3设备附件、专用工具、备品备件应齐全，数量应与装箱单一致；设备出厂合格证书、试验检验报告、安装使用说明书等技术文件应完整；</w:t>
      </w:r>
    </w:p>
    <w:p>
      <w:pPr>
        <w:ind w:firstLine="560"/>
        <w:rPr>
          <w:rFonts w:ascii="宋体" w:hAnsi="宋体"/>
          <w:szCs w:val="28"/>
        </w:rPr>
      </w:pPr>
      <w:r>
        <w:rPr>
          <w:rFonts w:ascii="宋体" w:hAnsi="宋体"/>
          <w:szCs w:val="28"/>
        </w:rPr>
        <w:t>4进口设备应有原产地证明、海关报验单。</w:t>
      </w:r>
    </w:p>
    <w:p>
      <w:pPr>
        <w:ind w:firstLine="0" w:firstLineChars="0"/>
        <w:rPr>
          <w:rFonts w:ascii="宋体" w:hAnsi="宋体"/>
          <w:szCs w:val="28"/>
        </w:rPr>
      </w:pPr>
      <w:r>
        <w:rPr>
          <w:b/>
          <w:lang w:val="zh-CN"/>
        </w:rPr>
        <w:t>5.3.4</w:t>
      </w:r>
      <w:r>
        <w:rPr>
          <w:rFonts w:ascii="宋体" w:hAnsi="宋体"/>
          <w:szCs w:val="28"/>
        </w:rPr>
        <w:t>设备及管线施工采用的各种计量和检测工具、仪器、仪表、设备，应符合国家现行标准规定，精度等级满足被检测项目精度要求。</w:t>
      </w:r>
    </w:p>
    <w:p>
      <w:pPr>
        <w:ind w:firstLine="0" w:firstLineChars="0"/>
        <w:rPr>
          <w:rFonts w:ascii="宋体" w:hAnsi="宋体"/>
          <w:szCs w:val="28"/>
        </w:rPr>
      </w:pPr>
      <w:r>
        <w:rPr>
          <w:b/>
          <w:lang w:val="zh-CN"/>
        </w:rPr>
        <w:t>5.3.5</w:t>
      </w:r>
      <w:r>
        <w:rPr>
          <w:rFonts w:ascii="宋体" w:hAnsi="宋体"/>
          <w:szCs w:val="28"/>
        </w:rPr>
        <w:t>闸门和堰门</w:t>
      </w:r>
      <w:r>
        <w:rPr>
          <w:rFonts w:hint="eastAsia" w:ascii="宋体" w:hAnsi="宋体"/>
          <w:szCs w:val="28"/>
        </w:rPr>
        <w:t>调试时</w:t>
      </w:r>
      <w:r>
        <w:rPr>
          <w:rFonts w:ascii="宋体" w:hAnsi="宋体"/>
          <w:szCs w:val="28"/>
        </w:rPr>
        <w:t>应分别进行有电、无电状态调试，门板启闭试验应大于三次；螺杆旋合应平稳，门板应无卡位、突跳现象，电动启闭机的过载保护应灵活可靠、限位准确。</w:t>
      </w:r>
    </w:p>
    <w:p>
      <w:pPr>
        <w:ind w:firstLine="0" w:firstLineChars="0"/>
        <w:rPr>
          <w:rFonts w:ascii="宋体" w:hAnsi="宋体"/>
          <w:szCs w:val="28"/>
        </w:rPr>
      </w:pPr>
      <w:r>
        <w:rPr>
          <w:b/>
          <w:lang w:val="zh-CN"/>
        </w:rPr>
        <w:t>5.3.6</w:t>
      </w:r>
      <w:r>
        <w:rPr>
          <w:rFonts w:ascii="宋体" w:hAnsi="宋体"/>
          <w:szCs w:val="28"/>
        </w:rPr>
        <w:t xml:space="preserve">  潜水搅拌器、推流器在安装前应复核基础位置、标高；支架的中心位置、导轨固定架的位置和标高应</w:t>
      </w:r>
      <w:r>
        <w:rPr>
          <w:rFonts w:hint="eastAsia" w:ascii="宋体" w:hAnsi="宋体"/>
          <w:szCs w:val="28"/>
        </w:rPr>
        <w:t>符合</w:t>
      </w:r>
      <w:r>
        <w:rPr>
          <w:rFonts w:ascii="宋体" w:hAnsi="宋体"/>
          <w:szCs w:val="28"/>
        </w:rPr>
        <w:t>设计要求。</w:t>
      </w:r>
    </w:p>
    <w:p>
      <w:pPr>
        <w:ind w:firstLine="0" w:firstLineChars="0"/>
        <w:rPr>
          <w:rFonts w:ascii="宋体" w:hAnsi="宋体"/>
          <w:szCs w:val="28"/>
        </w:rPr>
      </w:pPr>
      <w:r>
        <w:rPr>
          <w:b/>
          <w:lang w:val="zh-CN"/>
        </w:rPr>
        <w:t>5.3.7</w:t>
      </w:r>
      <w:r>
        <w:rPr>
          <w:rFonts w:ascii="宋体" w:hAnsi="宋体"/>
          <w:b/>
          <w:szCs w:val="28"/>
        </w:rPr>
        <w:t xml:space="preserve"> </w:t>
      </w:r>
      <w:r>
        <w:rPr>
          <w:rFonts w:hint="eastAsia" w:ascii="宋体" w:hAnsi="宋体"/>
          <w:szCs w:val="28"/>
        </w:rPr>
        <w:t>膜处理设备安装前应复核预埋件、模架支架、滑道、滑轨、滑杆等的数量、位置标高等尺寸是否符合设计规定和厂家要求；池内应清扫干净、无杂物。</w:t>
      </w:r>
    </w:p>
    <w:p>
      <w:pPr>
        <w:ind w:firstLine="0" w:firstLineChars="0"/>
        <w:rPr>
          <w:rFonts w:ascii="宋体" w:hAnsi="宋体"/>
          <w:szCs w:val="28"/>
        </w:rPr>
      </w:pPr>
      <w:r>
        <w:rPr>
          <w:b/>
          <w:lang w:val="zh-CN"/>
        </w:rPr>
        <w:t>5.3.8</w:t>
      </w:r>
      <w:r>
        <w:rPr>
          <w:rFonts w:ascii="宋体" w:hAnsi="宋体"/>
          <w:szCs w:val="28"/>
        </w:rPr>
        <w:t>紫外消毒装置的安装应符合设备技术文件及安装说明书的要求；紫外消毒模块性能应符合现行国家标准《城市给排水紫外线消毒设备》GB/T 19837</w:t>
      </w:r>
      <w:r>
        <w:rPr>
          <w:rFonts w:hint="eastAsia" w:ascii="宋体" w:hAnsi="宋体"/>
          <w:szCs w:val="28"/>
        </w:rPr>
        <w:t>的有关规定。</w:t>
      </w:r>
    </w:p>
    <w:p>
      <w:pPr>
        <w:ind w:firstLine="0" w:firstLineChars="0"/>
        <w:rPr>
          <w:rFonts w:ascii="宋体" w:hAnsi="宋体"/>
          <w:szCs w:val="28"/>
        </w:rPr>
      </w:pPr>
      <w:r>
        <w:rPr>
          <w:b/>
          <w:lang w:val="zh-CN"/>
        </w:rPr>
        <w:t>5.3.9</w:t>
      </w:r>
      <w:r>
        <w:rPr>
          <w:rFonts w:ascii="宋体" w:hAnsi="宋体"/>
          <w:szCs w:val="28"/>
        </w:rPr>
        <w:t>污泥脱水</w:t>
      </w:r>
      <w:r>
        <w:rPr>
          <w:rFonts w:hint="eastAsia" w:ascii="宋体" w:hAnsi="宋体"/>
          <w:szCs w:val="28"/>
        </w:rPr>
        <w:t>、干化设备</w:t>
      </w:r>
      <w:r>
        <w:rPr>
          <w:rFonts w:ascii="宋体" w:hAnsi="宋体"/>
          <w:szCs w:val="28"/>
        </w:rPr>
        <w:t>的安装</w:t>
      </w:r>
      <w:r>
        <w:rPr>
          <w:rFonts w:hint="eastAsia" w:ascii="宋体" w:hAnsi="宋体"/>
          <w:szCs w:val="28"/>
        </w:rPr>
        <w:t>及性能要求应</w:t>
      </w:r>
      <w:r>
        <w:rPr>
          <w:rFonts w:ascii="宋体" w:hAnsi="宋体"/>
          <w:szCs w:val="28"/>
        </w:rPr>
        <w:t xml:space="preserve">符合现行国家标准《机械设备安装工程施工及验收通用规范》GB 50231 </w:t>
      </w:r>
      <w:r>
        <w:rPr>
          <w:rFonts w:hint="eastAsia" w:ascii="宋体" w:hAnsi="宋体"/>
          <w:szCs w:val="28"/>
        </w:rPr>
        <w:t>的有关规定，也</w:t>
      </w:r>
      <w:r>
        <w:rPr>
          <w:rFonts w:ascii="宋体" w:hAnsi="宋体"/>
          <w:szCs w:val="28"/>
        </w:rPr>
        <w:t>应符合设计文件及设备厂家技术文件的要求</w:t>
      </w:r>
      <w:r>
        <w:rPr>
          <w:rFonts w:hint="eastAsia" w:ascii="宋体" w:hAnsi="宋体"/>
          <w:szCs w:val="28"/>
        </w:rPr>
        <w:t>。</w:t>
      </w:r>
    </w:p>
    <w:p>
      <w:pPr>
        <w:ind w:firstLine="0" w:firstLineChars="0"/>
        <w:rPr>
          <w:rFonts w:ascii="宋体" w:hAnsi="宋体"/>
          <w:szCs w:val="28"/>
        </w:rPr>
      </w:pPr>
      <w:r>
        <w:rPr>
          <w:b/>
          <w:lang w:val="zh-CN"/>
        </w:rPr>
        <w:t>5.3.10</w:t>
      </w:r>
      <w:r>
        <w:rPr>
          <w:rFonts w:ascii="宋体" w:hAnsi="宋体"/>
          <w:szCs w:val="28"/>
        </w:rPr>
        <w:t xml:space="preserve">  除臭的安装应符合</w:t>
      </w:r>
      <w:r>
        <w:rPr>
          <w:rFonts w:hint="eastAsia" w:ascii="宋体" w:hAnsi="宋体"/>
          <w:szCs w:val="28"/>
        </w:rPr>
        <w:t>现行国家标准</w:t>
      </w:r>
      <w:r>
        <w:rPr>
          <w:rFonts w:ascii="宋体" w:hAnsi="宋体"/>
          <w:szCs w:val="28"/>
        </w:rPr>
        <w:t xml:space="preserve">《风机、压缩机、泵安装工程施工及验收规范》GB 50275 </w:t>
      </w:r>
      <w:r>
        <w:rPr>
          <w:rFonts w:hint="eastAsia" w:ascii="宋体" w:hAnsi="宋体"/>
          <w:szCs w:val="28"/>
        </w:rPr>
        <w:t>的规定；风管的制作安装</w:t>
      </w:r>
      <w:r>
        <w:rPr>
          <w:rFonts w:ascii="宋体" w:hAnsi="宋体"/>
          <w:szCs w:val="28"/>
        </w:rPr>
        <w:t>应符合</w:t>
      </w:r>
      <w:r>
        <w:rPr>
          <w:rFonts w:hint="eastAsia" w:ascii="宋体" w:hAnsi="宋体"/>
          <w:szCs w:val="28"/>
        </w:rPr>
        <w:t>现行国家标准《通风与空调工程施工规范》</w:t>
      </w:r>
      <w:r>
        <w:rPr>
          <w:rFonts w:ascii="宋体" w:hAnsi="宋体"/>
          <w:szCs w:val="28"/>
        </w:rPr>
        <w:t xml:space="preserve">GB 50378 </w:t>
      </w:r>
      <w:r>
        <w:rPr>
          <w:rFonts w:hint="eastAsia" w:ascii="宋体" w:hAnsi="宋体"/>
          <w:szCs w:val="28"/>
        </w:rPr>
        <w:t>的规定；风管允许漏风量应符合现行国家标准《通风与空调工程施工质量验收规范》</w:t>
      </w:r>
      <w:r>
        <w:rPr>
          <w:rFonts w:ascii="宋体" w:hAnsi="宋体"/>
          <w:szCs w:val="28"/>
        </w:rPr>
        <w:t xml:space="preserve">GB 50243 </w:t>
      </w:r>
      <w:r>
        <w:rPr>
          <w:rFonts w:hint="eastAsia" w:ascii="宋体" w:hAnsi="宋体"/>
          <w:szCs w:val="28"/>
        </w:rPr>
        <w:t>的规定。通风除臭相关施工参数还应符合现行广东省标准《城镇地下式污水处理设施通风与臭气处理技术标准》D</w:t>
      </w:r>
      <w:r>
        <w:rPr>
          <w:rFonts w:ascii="宋体" w:hAnsi="宋体"/>
          <w:szCs w:val="28"/>
        </w:rPr>
        <w:t>BJ/T 15-202</w:t>
      </w:r>
      <w:r>
        <w:rPr>
          <w:rFonts w:hint="eastAsia" w:ascii="宋体" w:hAnsi="宋体"/>
          <w:szCs w:val="28"/>
        </w:rPr>
        <w:t>的规定。</w:t>
      </w:r>
    </w:p>
    <w:p>
      <w:pPr>
        <w:ind w:firstLine="0" w:firstLineChars="0"/>
        <w:rPr>
          <w:rFonts w:ascii="宋体" w:hAnsi="宋体"/>
          <w:szCs w:val="28"/>
        </w:rPr>
      </w:pPr>
      <w:r>
        <w:rPr>
          <w:b/>
          <w:lang w:val="zh-CN"/>
        </w:rPr>
        <w:t>5.3.11</w:t>
      </w:r>
      <w:r>
        <w:rPr>
          <w:rFonts w:ascii="宋体" w:hAnsi="宋体"/>
          <w:szCs w:val="28"/>
        </w:rPr>
        <w:t xml:space="preserve">  电气设备的安装应符合现行国家标准《电气装置安装工程电气设备交接试验标准》GB 50150</w:t>
      </w:r>
      <w:r>
        <w:rPr>
          <w:rFonts w:hint="eastAsia" w:ascii="宋体" w:hAnsi="宋体"/>
          <w:szCs w:val="28"/>
        </w:rPr>
        <w:t>、《电气装置安装工程电缆线路施工及验收规范》</w:t>
      </w:r>
      <w:r>
        <w:rPr>
          <w:rFonts w:ascii="宋体" w:hAnsi="宋体"/>
          <w:szCs w:val="28"/>
        </w:rPr>
        <w:t>GB 50168</w:t>
      </w:r>
      <w:r>
        <w:rPr>
          <w:rFonts w:hint="eastAsia" w:ascii="宋体" w:hAnsi="宋体"/>
          <w:szCs w:val="28"/>
        </w:rPr>
        <w:t>、《电气装置安装工程接地装置施工及验收规范》</w:t>
      </w:r>
      <w:r>
        <w:rPr>
          <w:rFonts w:ascii="宋体" w:hAnsi="宋体"/>
          <w:szCs w:val="28"/>
        </w:rPr>
        <w:t>GB 50169</w:t>
      </w:r>
      <w:r>
        <w:rPr>
          <w:rFonts w:hint="eastAsia" w:ascii="宋体" w:hAnsi="宋体"/>
          <w:szCs w:val="28"/>
        </w:rPr>
        <w:t>、《电气装置安装工程盘、柜及二次回路接线施工及验收规范》</w:t>
      </w:r>
      <w:r>
        <w:rPr>
          <w:rFonts w:ascii="宋体" w:hAnsi="宋体"/>
          <w:szCs w:val="28"/>
        </w:rPr>
        <w:t>GB 50171</w:t>
      </w:r>
      <w:r>
        <w:rPr>
          <w:rFonts w:hint="eastAsia" w:ascii="宋体" w:hAnsi="宋体"/>
          <w:szCs w:val="28"/>
        </w:rPr>
        <w:t>、《电气装置安装工程高压电器施工及验收规范》</w:t>
      </w:r>
      <w:r>
        <w:rPr>
          <w:rFonts w:ascii="宋体" w:hAnsi="宋体"/>
          <w:szCs w:val="28"/>
        </w:rPr>
        <w:t>GB 50147</w:t>
      </w:r>
      <w:r>
        <w:rPr>
          <w:rFonts w:hint="eastAsia" w:ascii="宋体" w:hAnsi="宋体"/>
          <w:szCs w:val="28"/>
        </w:rPr>
        <w:t>和《电气装置安装工程低压电器施工及验收规范》</w:t>
      </w:r>
      <w:r>
        <w:rPr>
          <w:rFonts w:ascii="宋体" w:hAnsi="宋体"/>
          <w:szCs w:val="28"/>
        </w:rPr>
        <w:t>GB50254</w:t>
      </w:r>
      <w:r>
        <w:rPr>
          <w:rFonts w:hint="eastAsia" w:ascii="宋体" w:hAnsi="宋体"/>
          <w:szCs w:val="28"/>
        </w:rPr>
        <w:t>的规定。</w:t>
      </w:r>
    </w:p>
    <w:p>
      <w:pPr>
        <w:ind w:firstLine="0" w:firstLineChars="0"/>
        <w:rPr>
          <w:rFonts w:ascii="宋体" w:hAnsi="宋体"/>
          <w:szCs w:val="28"/>
        </w:rPr>
      </w:pPr>
      <w:r>
        <w:rPr>
          <w:b/>
          <w:lang w:val="zh-CN"/>
        </w:rPr>
        <w:t>5.3.12</w:t>
      </w:r>
      <w:r>
        <w:rPr>
          <w:rFonts w:ascii="宋体" w:hAnsi="宋体"/>
          <w:szCs w:val="28"/>
        </w:rPr>
        <w:t>地下</w:t>
      </w:r>
      <w:r>
        <w:rPr>
          <w:rFonts w:hint="eastAsia" w:ascii="宋体" w:hAnsi="宋体"/>
          <w:szCs w:val="28"/>
        </w:rPr>
        <w:t>空间</w:t>
      </w:r>
      <w:r>
        <w:rPr>
          <w:rFonts w:ascii="宋体" w:hAnsi="宋体"/>
          <w:szCs w:val="28"/>
        </w:rPr>
        <w:t>设备间等部位</w:t>
      </w:r>
      <w:r>
        <w:rPr>
          <w:rFonts w:hint="eastAsia" w:ascii="宋体" w:hAnsi="宋体"/>
          <w:szCs w:val="28"/>
        </w:rPr>
        <w:t>设置的</w:t>
      </w:r>
      <w:r>
        <w:rPr>
          <w:rFonts w:ascii="宋体" w:hAnsi="宋体"/>
          <w:szCs w:val="28"/>
        </w:rPr>
        <w:t>配电箱、控制箱等进线线槽敷设</w:t>
      </w:r>
      <w:r>
        <w:rPr>
          <w:rFonts w:hint="eastAsia" w:ascii="宋体" w:hAnsi="宋体"/>
          <w:szCs w:val="28"/>
        </w:rPr>
        <w:t>宜</w:t>
      </w:r>
      <w:r>
        <w:rPr>
          <w:rFonts w:ascii="宋体" w:hAnsi="宋体"/>
          <w:szCs w:val="28"/>
        </w:rPr>
        <w:t>应采用上进线</w:t>
      </w:r>
      <w:r>
        <w:rPr>
          <w:rFonts w:hint="eastAsia" w:ascii="宋体" w:hAnsi="宋体"/>
          <w:szCs w:val="28"/>
        </w:rPr>
        <w:t>形式</w:t>
      </w:r>
      <w:r>
        <w:rPr>
          <w:rFonts w:ascii="宋体" w:hAnsi="宋体"/>
          <w:szCs w:val="28"/>
        </w:rPr>
        <w:t>。</w:t>
      </w:r>
    </w:p>
    <w:p>
      <w:pPr>
        <w:ind w:firstLine="0" w:firstLineChars="0"/>
        <w:rPr>
          <w:rFonts w:ascii="宋体" w:hAnsi="宋体"/>
          <w:szCs w:val="28"/>
        </w:rPr>
      </w:pPr>
      <w:r>
        <w:rPr>
          <w:b/>
          <w:lang w:val="zh-CN"/>
        </w:rPr>
        <w:t>5.3.13</w:t>
      </w:r>
      <w:r>
        <w:rPr>
          <w:rFonts w:hint="eastAsia" w:ascii="宋体" w:hAnsi="宋体"/>
          <w:szCs w:val="28"/>
        </w:rPr>
        <w:t>设备带电调试前应对</w:t>
      </w:r>
      <w:r>
        <w:rPr>
          <w:rFonts w:ascii="宋体" w:hAnsi="宋体"/>
          <w:szCs w:val="28"/>
        </w:rPr>
        <w:t>工作接地、保护接地等接地电阻进行测试，合格后方可进行设备调试送电工作。</w:t>
      </w:r>
    </w:p>
    <w:p>
      <w:pPr>
        <w:ind w:firstLine="0" w:firstLineChars="0"/>
        <w:rPr>
          <w:rFonts w:ascii="宋体" w:hAnsi="宋体"/>
          <w:szCs w:val="28"/>
        </w:rPr>
      </w:pPr>
      <w:r>
        <w:rPr>
          <w:b/>
          <w:lang w:val="zh-CN"/>
        </w:rPr>
        <w:t>5.3.14</w:t>
      </w:r>
      <w:r>
        <w:rPr>
          <w:rFonts w:ascii="宋体" w:hAnsi="宋体"/>
          <w:szCs w:val="28"/>
        </w:rPr>
        <w:t xml:space="preserve">  </w:t>
      </w:r>
      <w:r>
        <w:rPr>
          <w:rFonts w:hint="eastAsia" w:ascii="宋体" w:hAnsi="宋体"/>
          <w:szCs w:val="28"/>
        </w:rPr>
        <w:t>在</w:t>
      </w:r>
      <w:r>
        <w:rPr>
          <w:rFonts w:ascii="宋体" w:hAnsi="宋体"/>
          <w:szCs w:val="28"/>
        </w:rPr>
        <w:t>设备单机调试完成后</w:t>
      </w:r>
      <w:r>
        <w:rPr>
          <w:rFonts w:hint="eastAsia" w:ascii="宋体" w:hAnsi="宋体"/>
          <w:szCs w:val="28"/>
        </w:rPr>
        <w:t>，应</w:t>
      </w:r>
      <w:r>
        <w:rPr>
          <w:rFonts w:ascii="宋体" w:hAnsi="宋体"/>
          <w:szCs w:val="28"/>
        </w:rPr>
        <w:t>编制联动调试方案，</w:t>
      </w:r>
      <w:r>
        <w:rPr>
          <w:rFonts w:hint="eastAsia" w:ascii="宋体" w:hAnsi="宋体"/>
          <w:szCs w:val="28"/>
        </w:rPr>
        <w:t>调试方案经</w:t>
      </w:r>
      <w:r>
        <w:rPr>
          <w:rFonts w:ascii="宋体" w:hAnsi="宋体"/>
          <w:szCs w:val="28"/>
        </w:rPr>
        <w:t>审批完成后方可进行联动调试</w:t>
      </w:r>
      <w:r>
        <w:rPr>
          <w:rFonts w:hint="eastAsia" w:ascii="宋体" w:hAnsi="宋体"/>
          <w:szCs w:val="28"/>
        </w:rPr>
        <w:t>，</w:t>
      </w:r>
      <w:r>
        <w:rPr>
          <w:rFonts w:ascii="宋体" w:hAnsi="宋体"/>
          <w:szCs w:val="28"/>
        </w:rPr>
        <w:t>联动调试时间不应小于72</w:t>
      </w:r>
      <w:r>
        <w:rPr>
          <w:rFonts w:hint="eastAsia" w:ascii="宋体" w:hAnsi="宋体"/>
          <w:szCs w:val="28"/>
        </w:rPr>
        <w:t>小时；设备调试应符合现行国家标准《城镇污水处理厂工程施工规范》</w:t>
      </w:r>
      <w:r>
        <w:rPr>
          <w:rFonts w:ascii="宋体" w:hAnsi="宋体"/>
          <w:szCs w:val="28"/>
        </w:rPr>
        <w:t xml:space="preserve">GB 51221 </w:t>
      </w:r>
      <w:r>
        <w:rPr>
          <w:rFonts w:hint="eastAsia" w:ascii="宋体" w:hAnsi="宋体"/>
          <w:szCs w:val="28"/>
        </w:rPr>
        <w:t>的有关规定。</w:t>
      </w:r>
    </w:p>
    <w:p>
      <w:pPr>
        <w:pStyle w:val="3"/>
        <w:spacing w:before="312" w:beforeLines="100" w:after="312" w:afterLines="100"/>
      </w:pPr>
      <w:bookmarkStart w:id="3606" w:name="_Toc59546313"/>
      <w:bookmarkEnd w:id="3606"/>
      <w:bookmarkStart w:id="3607" w:name="_Toc57912496"/>
      <w:bookmarkEnd w:id="3607"/>
      <w:bookmarkStart w:id="3608" w:name="_Toc58318689"/>
      <w:bookmarkEnd w:id="3608"/>
      <w:bookmarkStart w:id="3609" w:name="_Toc59017132"/>
      <w:bookmarkEnd w:id="3609"/>
      <w:bookmarkStart w:id="3610" w:name="_Toc57881549"/>
      <w:bookmarkEnd w:id="3610"/>
      <w:bookmarkStart w:id="3611" w:name="_Toc57997680"/>
      <w:bookmarkEnd w:id="3611"/>
      <w:bookmarkStart w:id="3612" w:name="_Toc57817947"/>
      <w:bookmarkEnd w:id="3612"/>
      <w:bookmarkStart w:id="3613" w:name="_Toc57995880"/>
      <w:bookmarkEnd w:id="3613"/>
      <w:bookmarkStart w:id="3614" w:name="_Toc57817776"/>
      <w:bookmarkEnd w:id="3614"/>
      <w:bookmarkStart w:id="3615" w:name="_Toc57829170"/>
      <w:bookmarkEnd w:id="3615"/>
      <w:bookmarkStart w:id="3616" w:name="_Toc59017446"/>
      <w:bookmarkEnd w:id="3616"/>
      <w:bookmarkStart w:id="3617" w:name="_Toc59630431"/>
      <w:bookmarkEnd w:id="3617"/>
      <w:bookmarkStart w:id="3618" w:name="_Toc58862168"/>
      <w:bookmarkEnd w:id="3618"/>
      <w:bookmarkStart w:id="3619" w:name="_Toc57894022"/>
      <w:bookmarkEnd w:id="3619"/>
      <w:bookmarkStart w:id="3620" w:name="_Toc57894194"/>
      <w:bookmarkEnd w:id="3620"/>
      <w:bookmarkStart w:id="3621" w:name="_Toc57894348"/>
      <w:bookmarkEnd w:id="3621"/>
      <w:bookmarkStart w:id="3622" w:name="_Toc57807842"/>
      <w:bookmarkEnd w:id="3622"/>
      <w:bookmarkStart w:id="3623" w:name="_Toc59631404"/>
      <w:bookmarkEnd w:id="3623"/>
      <w:bookmarkStart w:id="3624" w:name="_Toc57817990"/>
      <w:bookmarkEnd w:id="3624"/>
      <w:bookmarkStart w:id="3625" w:name="_Toc57889929"/>
      <w:bookmarkEnd w:id="3625"/>
      <w:bookmarkStart w:id="3626" w:name="_Toc58259550"/>
      <w:bookmarkEnd w:id="3626"/>
      <w:bookmarkStart w:id="3627" w:name="_Toc57817836"/>
      <w:bookmarkEnd w:id="3627"/>
      <w:bookmarkStart w:id="3628" w:name="_Toc57992312"/>
      <w:bookmarkEnd w:id="3628"/>
      <w:bookmarkStart w:id="3629" w:name="_Toc57812058"/>
      <w:bookmarkEnd w:id="3629"/>
      <w:bookmarkStart w:id="3630" w:name="_Toc59021639"/>
      <w:bookmarkEnd w:id="3630"/>
      <w:bookmarkStart w:id="3631" w:name="_Toc59204141"/>
      <w:bookmarkEnd w:id="3631"/>
      <w:bookmarkStart w:id="3632" w:name="_Toc57817910"/>
      <w:bookmarkEnd w:id="3632"/>
      <w:bookmarkStart w:id="3633" w:name="_Toc58861909"/>
      <w:bookmarkEnd w:id="3633"/>
      <w:bookmarkStart w:id="3634" w:name="_Toc59209427"/>
      <w:bookmarkEnd w:id="3634"/>
      <w:bookmarkStart w:id="3635" w:name="_Toc58858146"/>
      <w:bookmarkEnd w:id="3635"/>
      <w:bookmarkStart w:id="3636" w:name="_Toc58320406"/>
      <w:bookmarkEnd w:id="3636"/>
      <w:bookmarkStart w:id="3637" w:name="_Toc57998405"/>
      <w:bookmarkEnd w:id="3637"/>
      <w:bookmarkStart w:id="3638" w:name="_Toc59113535"/>
      <w:bookmarkEnd w:id="3638"/>
      <w:bookmarkStart w:id="3639" w:name="_Toc57998529"/>
      <w:bookmarkEnd w:id="3639"/>
      <w:bookmarkStart w:id="3640" w:name="_Toc58259640"/>
      <w:bookmarkEnd w:id="3640"/>
      <w:bookmarkStart w:id="3641" w:name="_Toc57881138"/>
      <w:bookmarkEnd w:id="3641"/>
      <w:bookmarkStart w:id="3642" w:name="_Toc58245243"/>
      <w:bookmarkEnd w:id="3642"/>
      <w:bookmarkStart w:id="3643" w:name="_Toc59543043"/>
      <w:bookmarkEnd w:id="3643"/>
      <w:bookmarkStart w:id="3644" w:name="_Toc57817873"/>
      <w:bookmarkEnd w:id="3644"/>
      <w:bookmarkStart w:id="3645" w:name="_Toc59716993"/>
      <w:bookmarkEnd w:id="3645"/>
      <w:bookmarkStart w:id="3646" w:name="_Toc59117140"/>
      <w:bookmarkEnd w:id="3646"/>
      <w:bookmarkStart w:id="3647" w:name="_Toc57989235"/>
      <w:bookmarkEnd w:id="3647"/>
      <w:bookmarkStart w:id="3648" w:name="_Toc59114941"/>
      <w:bookmarkEnd w:id="3648"/>
      <w:bookmarkStart w:id="3649" w:name="_Toc57829340"/>
      <w:bookmarkEnd w:id="3649"/>
      <w:bookmarkStart w:id="3650" w:name="_Toc58318848"/>
      <w:bookmarkEnd w:id="3650"/>
      <w:bookmarkStart w:id="3651" w:name="_Toc57822384"/>
      <w:bookmarkEnd w:id="3651"/>
      <w:bookmarkStart w:id="3652" w:name="_Toc57998318"/>
      <w:bookmarkEnd w:id="3652"/>
      <w:bookmarkStart w:id="3653" w:name="_Toc59113966"/>
      <w:bookmarkEnd w:id="3653"/>
      <w:bookmarkStart w:id="3654" w:name="_Toc58320162"/>
      <w:bookmarkEnd w:id="3654"/>
      <w:bookmarkStart w:id="3655" w:name="_Toc58257231"/>
      <w:bookmarkEnd w:id="3655"/>
      <w:bookmarkStart w:id="3656" w:name="_Toc57989292"/>
      <w:bookmarkEnd w:id="3656"/>
      <w:bookmarkStart w:id="3657" w:name="_Toc114734641"/>
      <w:bookmarkStart w:id="3658" w:name="_Toc126321323"/>
      <w:bookmarkStart w:id="3659" w:name="_Toc96358488"/>
      <w:bookmarkStart w:id="3660" w:name="_Toc70600734"/>
      <w:r>
        <w:rPr>
          <w:rFonts w:hint="eastAsia"/>
        </w:rPr>
        <w:t>工程验收</w:t>
      </w:r>
      <w:bookmarkEnd w:id="3657"/>
      <w:bookmarkEnd w:id="3658"/>
      <w:bookmarkEnd w:id="3659"/>
      <w:bookmarkEnd w:id="3660"/>
    </w:p>
    <w:p>
      <w:pPr>
        <w:ind w:firstLine="0" w:firstLineChars="0"/>
        <w:rPr>
          <w:rFonts w:ascii="宋体" w:hAnsi="宋体"/>
          <w:szCs w:val="28"/>
        </w:rPr>
      </w:pPr>
      <w:r>
        <w:rPr>
          <w:b/>
          <w:lang w:val="zh-CN"/>
        </w:rPr>
        <w:t>5.4.1</w:t>
      </w:r>
      <w:r>
        <w:rPr>
          <w:rFonts w:hint="eastAsia" w:ascii="宋体" w:hAnsi="宋体"/>
          <w:szCs w:val="28"/>
        </w:rPr>
        <w:t>地下式城镇污水处理厂的工程质量验收应由建设单位或监理单位（缺质检单位）组织，施工、监理、勘察、设计、运营等单位参加。</w:t>
      </w:r>
    </w:p>
    <w:p>
      <w:pPr>
        <w:ind w:firstLine="0" w:firstLineChars="0"/>
        <w:rPr>
          <w:rFonts w:ascii="宋体" w:hAnsi="宋体"/>
          <w:szCs w:val="28"/>
        </w:rPr>
      </w:pPr>
      <w:r>
        <w:rPr>
          <w:b/>
          <w:lang w:val="zh-CN"/>
        </w:rPr>
        <w:t>5.4.2</w:t>
      </w:r>
      <w:r>
        <w:rPr>
          <w:rFonts w:ascii="宋体" w:hAnsi="宋体"/>
          <w:szCs w:val="28"/>
        </w:rPr>
        <w:t>工程质量验收应分为构（建）筑物工程的单位（子单位）工程、分部（子分部）工程、分项工程和检验批验收；安装工程的单位（子单位）工程、分部（子分部）工程、分项工程验收；厂区配套工程验收；联合试运转验收及综合竣工验收。</w:t>
      </w:r>
    </w:p>
    <w:p>
      <w:pPr>
        <w:ind w:firstLine="0" w:firstLineChars="0"/>
        <w:rPr>
          <w:rFonts w:ascii="宋体" w:hAnsi="宋体"/>
          <w:szCs w:val="28"/>
        </w:rPr>
      </w:pPr>
      <w:r>
        <w:rPr>
          <w:b/>
          <w:lang w:val="zh-CN"/>
        </w:rPr>
        <w:t>5.4.3</w:t>
      </w:r>
      <w:r>
        <w:rPr>
          <w:rFonts w:ascii="宋体" w:hAnsi="宋体"/>
          <w:szCs w:val="28"/>
        </w:rPr>
        <w:t xml:space="preserve">构（建）筑物工程的单位（子单位）工程、分部（子分部）工程、分项工程和检验批的质量验收合格应符合现行国家标准《建筑工程施工质量验收统一标准》GB 50300 </w:t>
      </w:r>
      <w:r>
        <w:rPr>
          <w:rFonts w:hint="eastAsia" w:ascii="宋体" w:hAnsi="宋体"/>
          <w:szCs w:val="28"/>
        </w:rPr>
        <w:t>、《给水排水构筑物工程施工及验收规范》</w:t>
      </w:r>
      <w:r>
        <w:rPr>
          <w:rFonts w:ascii="宋体" w:hAnsi="宋体"/>
          <w:szCs w:val="28"/>
        </w:rPr>
        <w:t>GB 50141</w:t>
      </w:r>
      <w:r>
        <w:rPr>
          <w:rFonts w:hint="eastAsia" w:ascii="宋体" w:hAnsi="宋体"/>
          <w:szCs w:val="28"/>
        </w:rPr>
        <w:t>及《城市污水处理厂工程质量验收规范》</w:t>
      </w:r>
      <w:r>
        <w:rPr>
          <w:rFonts w:ascii="宋体" w:hAnsi="宋体"/>
          <w:szCs w:val="28"/>
        </w:rPr>
        <w:t>GB 50334</w:t>
      </w:r>
      <w:r>
        <w:rPr>
          <w:rFonts w:hint="eastAsia" w:ascii="宋体" w:hAnsi="宋体"/>
          <w:szCs w:val="28"/>
        </w:rPr>
        <w:t>的有关规定。</w:t>
      </w:r>
    </w:p>
    <w:p>
      <w:pPr>
        <w:ind w:firstLine="0" w:firstLineChars="0"/>
        <w:rPr>
          <w:rFonts w:ascii="宋体" w:hAnsi="宋体"/>
          <w:szCs w:val="28"/>
        </w:rPr>
      </w:pPr>
      <w:r>
        <w:rPr>
          <w:b/>
          <w:lang w:val="zh-CN"/>
        </w:rPr>
        <w:t>5.4.4</w:t>
      </w:r>
      <w:r>
        <w:rPr>
          <w:rFonts w:ascii="宋体" w:hAnsi="宋体"/>
          <w:szCs w:val="28"/>
        </w:rPr>
        <w:t xml:space="preserve">安装工程的单位（子单位）工程、分部（子分部）工程、分项工程的质量验收合格应符合现行国家标准《工业安装工程施工质量验收统一标准》GB 50252 </w:t>
      </w:r>
      <w:r>
        <w:rPr>
          <w:rFonts w:hint="eastAsia" w:ascii="宋体" w:hAnsi="宋体"/>
          <w:szCs w:val="28"/>
        </w:rPr>
        <w:t>和《给水排水管道工程施工及验收规范》</w:t>
      </w:r>
      <w:r>
        <w:rPr>
          <w:rFonts w:ascii="宋体" w:hAnsi="宋体"/>
          <w:szCs w:val="28"/>
        </w:rPr>
        <w:t>GB 50268</w:t>
      </w:r>
      <w:r>
        <w:rPr>
          <w:rFonts w:hint="eastAsia" w:ascii="宋体" w:hAnsi="宋体"/>
          <w:szCs w:val="28"/>
        </w:rPr>
        <w:t>的有关规定。</w:t>
      </w:r>
    </w:p>
    <w:p>
      <w:pPr>
        <w:ind w:firstLine="0" w:firstLineChars="0"/>
        <w:rPr>
          <w:rFonts w:ascii="宋体" w:hAnsi="宋体"/>
          <w:szCs w:val="28"/>
        </w:rPr>
      </w:pPr>
      <w:r>
        <w:rPr>
          <w:b/>
          <w:lang w:val="zh-CN"/>
        </w:rPr>
        <w:t>5.4.5</w:t>
      </w:r>
      <w:r>
        <w:rPr>
          <w:rFonts w:hint="eastAsia" w:ascii="宋体" w:hAnsi="宋体"/>
          <w:szCs w:val="28"/>
        </w:rPr>
        <w:t>地下式城镇污水处理厂工程质量验收中使用的仪器、仪表、设备和检测工具等应经计量检定机构检定合格后方可使用。</w:t>
      </w:r>
    </w:p>
    <w:p>
      <w:pPr>
        <w:ind w:firstLine="0" w:firstLineChars="0"/>
        <w:rPr>
          <w:rFonts w:ascii="宋体" w:hAnsi="宋体"/>
          <w:szCs w:val="28"/>
        </w:rPr>
      </w:pPr>
      <w:r>
        <w:rPr>
          <w:b/>
          <w:lang w:val="zh-CN"/>
        </w:rPr>
        <w:t>5.4.6</w:t>
      </w:r>
      <w:r>
        <w:rPr>
          <w:rFonts w:ascii="宋体" w:hAnsi="宋体"/>
          <w:szCs w:val="28"/>
        </w:rPr>
        <w:t>污水处理厂工程质量验收检验方法应包括观察检查、检查各类记录、检查试（检）验报告和实测实量等内容，并应符合下列规定：</w:t>
      </w:r>
    </w:p>
    <w:p>
      <w:pPr>
        <w:ind w:firstLine="560"/>
        <w:rPr>
          <w:rFonts w:ascii="宋体" w:hAnsi="宋体"/>
          <w:szCs w:val="28"/>
        </w:rPr>
      </w:pPr>
      <w:r>
        <w:rPr>
          <w:rFonts w:ascii="宋体" w:hAnsi="宋体"/>
          <w:szCs w:val="28"/>
        </w:rPr>
        <w:t xml:space="preserve">1 </w:t>
      </w:r>
      <w:r>
        <w:rPr>
          <w:rFonts w:hint="eastAsia" w:ascii="宋体" w:hAnsi="宋体"/>
          <w:szCs w:val="28"/>
        </w:rPr>
        <w:t>观察检查应采取观看、触碰、振动、涂抹发泡液等方法对工程的外观、气味、状态、方位、严密性等属性进行查验；</w:t>
      </w:r>
    </w:p>
    <w:p>
      <w:pPr>
        <w:ind w:firstLine="560"/>
        <w:rPr>
          <w:rFonts w:ascii="宋体" w:hAnsi="宋体"/>
          <w:szCs w:val="28"/>
        </w:rPr>
      </w:pPr>
      <w:r>
        <w:rPr>
          <w:rFonts w:ascii="宋体" w:hAnsi="宋体"/>
          <w:szCs w:val="28"/>
        </w:rPr>
        <w:t xml:space="preserve">2 </w:t>
      </w:r>
      <w:r>
        <w:rPr>
          <w:rFonts w:hint="eastAsia" w:ascii="宋体" w:hAnsi="宋体"/>
          <w:szCs w:val="28"/>
        </w:rPr>
        <w:t>检查各类记录应包括检查施工过程中的施工记录、施工过程资料、监理检验记录、验收记录等，应核对监理检验记录、验收记录等记录中的时间、地点、具体项目内容、参加的人员及分工，记录应有完整、明确的检查结果、工作安排和要求；</w:t>
      </w:r>
    </w:p>
    <w:p>
      <w:pPr>
        <w:ind w:firstLine="560"/>
        <w:rPr>
          <w:rFonts w:ascii="宋体" w:hAnsi="宋体"/>
          <w:szCs w:val="28"/>
        </w:rPr>
      </w:pPr>
      <w:r>
        <w:rPr>
          <w:rFonts w:ascii="宋体" w:hAnsi="宋体"/>
          <w:szCs w:val="28"/>
        </w:rPr>
        <w:t>3检查试（检）验报告应包括检查有资质单位出具的试验、实验、检测等报告，应核对工程建设过程的时间、对象和项目内容等，试验、实验、检测等报告应有明确的结论；</w:t>
      </w:r>
    </w:p>
    <w:p>
      <w:pPr>
        <w:ind w:firstLine="560"/>
        <w:rPr>
          <w:rFonts w:ascii="宋体" w:hAnsi="宋体"/>
          <w:szCs w:val="28"/>
        </w:rPr>
      </w:pPr>
      <w:r>
        <w:rPr>
          <w:rFonts w:ascii="宋体" w:hAnsi="宋体"/>
          <w:szCs w:val="28"/>
        </w:rPr>
        <w:t>4实测实量应包括通过各种工具、仪器等对工程的外形尺寸、结构性能及设备的安装精度等进行的量测，应记录环境状况、设备仪器状况、检查项目内容、检查时间与地点、实测实量的方法、人员及结果等内容。</w:t>
      </w:r>
    </w:p>
    <w:p>
      <w:pPr>
        <w:ind w:firstLine="0" w:firstLineChars="0"/>
        <w:rPr>
          <w:rFonts w:ascii="宋体" w:hAnsi="宋体"/>
          <w:szCs w:val="28"/>
        </w:rPr>
      </w:pPr>
      <w:r>
        <w:rPr>
          <w:b/>
          <w:lang w:val="zh-CN"/>
        </w:rPr>
        <w:t>5.4.7</w:t>
      </w:r>
      <w:r>
        <w:rPr>
          <w:rFonts w:ascii="宋体" w:hAnsi="宋体"/>
          <w:szCs w:val="28"/>
        </w:rPr>
        <w:t>污水处理厂单位（子单位）工程验收合格后，应由建设单位项目负责人组织监理、施工、勘察、设计等单位</w:t>
      </w:r>
      <w:r>
        <w:rPr>
          <w:rFonts w:hint="eastAsia" w:ascii="宋体" w:hAnsi="宋体"/>
          <w:szCs w:val="28"/>
        </w:rPr>
        <w:t>进行联合试运转，并应由施工单位向建设单位提交工程综合竣工报告、申请工程综合竣工验收。</w:t>
      </w:r>
    </w:p>
    <w:p>
      <w:pPr>
        <w:ind w:firstLine="0" w:firstLineChars="0"/>
        <w:rPr>
          <w:rFonts w:ascii="宋体" w:hAnsi="宋体"/>
          <w:szCs w:val="28"/>
        </w:rPr>
      </w:pPr>
      <w:r>
        <w:rPr>
          <w:b/>
          <w:lang w:val="zh-CN"/>
        </w:rPr>
        <w:t>5.4.8</w:t>
      </w:r>
      <w:r>
        <w:rPr>
          <w:rFonts w:ascii="宋体" w:hAnsi="宋体"/>
          <w:szCs w:val="28"/>
        </w:rPr>
        <w:t>建设单位收到工程综合竣工验收申请报告后，应组织验收委员会或验收小组进行工程综合竣工验收。验收委员会或验收小组应由建设、勘察、设计、施工、监理与运营管理等单位的有关负责人及安全、消防、环保等有关人员组成。</w:t>
      </w:r>
    </w:p>
    <w:p>
      <w:pPr>
        <w:ind w:firstLine="0" w:firstLineChars="0"/>
        <w:rPr>
          <w:rFonts w:ascii="宋体" w:hAnsi="宋体"/>
          <w:szCs w:val="28"/>
        </w:rPr>
      </w:pPr>
      <w:r>
        <w:rPr>
          <w:b/>
          <w:lang w:val="zh-CN"/>
        </w:rPr>
        <w:t>5.4.9</w:t>
      </w:r>
      <w:r>
        <w:rPr>
          <w:rFonts w:ascii="宋体" w:hAnsi="宋体"/>
          <w:szCs w:val="28"/>
        </w:rPr>
        <w:t xml:space="preserve">  综合竣工质量验收合格应符合下列规定：</w:t>
      </w:r>
    </w:p>
    <w:p>
      <w:pPr>
        <w:ind w:firstLine="560"/>
        <w:rPr>
          <w:rFonts w:ascii="宋体" w:hAnsi="宋体"/>
          <w:szCs w:val="28"/>
        </w:rPr>
      </w:pPr>
      <w:r>
        <w:rPr>
          <w:rFonts w:ascii="宋体" w:hAnsi="宋体"/>
          <w:szCs w:val="28"/>
        </w:rPr>
        <w:t xml:space="preserve">1 </w:t>
      </w:r>
      <w:r>
        <w:rPr>
          <w:rFonts w:hint="eastAsia" w:ascii="宋体" w:hAnsi="宋体"/>
          <w:szCs w:val="28"/>
        </w:rPr>
        <w:t>单位（子单位）工程质量验收应全部合格；</w:t>
      </w:r>
    </w:p>
    <w:p>
      <w:pPr>
        <w:ind w:firstLine="560"/>
        <w:rPr>
          <w:rFonts w:ascii="宋体" w:hAnsi="宋体"/>
          <w:szCs w:val="28"/>
        </w:rPr>
      </w:pPr>
      <w:r>
        <w:rPr>
          <w:rFonts w:ascii="宋体" w:hAnsi="宋体"/>
          <w:szCs w:val="28"/>
        </w:rPr>
        <w:t xml:space="preserve">2 </w:t>
      </w:r>
      <w:r>
        <w:rPr>
          <w:rFonts w:hint="eastAsia" w:ascii="宋体" w:hAnsi="宋体"/>
          <w:szCs w:val="28"/>
        </w:rPr>
        <w:t>联合试运转验收应合格；</w:t>
      </w:r>
    </w:p>
    <w:p>
      <w:pPr>
        <w:ind w:firstLine="560"/>
        <w:rPr>
          <w:rFonts w:ascii="宋体" w:hAnsi="宋体"/>
          <w:szCs w:val="28"/>
        </w:rPr>
      </w:pPr>
      <w:r>
        <w:rPr>
          <w:rFonts w:ascii="宋体" w:hAnsi="宋体"/>
          <w:szCs w:val="28"/>
        </w:rPr>
        <w:t>3质量验收记录应齐全、完整；</w:t>
      </w:r>
    </w:p>
    <w:p>
      <w:pPr>
        <w:ind w:firstLine="560"/>
        <w:rPr>
          <w:rFonts w:ascii="宋体" w:hAnsi="宋体"/>
          <w:szCs w:val="28"/>
        </w:rPr>
      </w:pPr>
      <w:r>
        <w:rPr>
          <w:rFonts w:ascii="宋体" w:hAnsi="宋体"/>
          <w:szCs w:val="28"/>
        </w:rPr>
        <w:t>4有关安全、节能、环境保护和主要使用功能的项目应验收合格。</w:t>
      </w:r>
    </w:p>
    <w:p>
      <w:pPr>
        <w:ind w:firstLine="0" w:firstLineChars="0"/>
        <w:rPr>
          <w:rFonts w:ascii="宋体" w:hAnsi="宋体"/>
          <w:szCs w:val="28"/>
        </w:rPr>
      </w:pPr>
      <w:r>
        <w:rPr>
          <w:b/>
          <w:lang w:val="zh-CN"/>
        </w:rPr>
        <w:t>5.4.10</w:t>
      </w:r>
      <w:r>
        <w:rPr>
          <w:rFonts w:ascii="宋体" w:hAnsi="宋体"/>
          <w:szCs w:val="28"/>
        </w:rPr>
        <w:t xml:space="preserve">  地下式城镇污水处理厂</w:t>
      </w:r>
      <w:r>
        <w:rPr>
          <w:rFonts w:hint="eastAsia" w:ascii="宋体" w:hAnsi="宋体"/>
          <w:szCs w:val="28"/>
        </w:rPr>
        <w:t>综合竣工验收合格后，建设单位应及时提交工程综合竣工验收报告。工程竣工验收报告应包括工程概况，建设单位执行基本建设程序情况，对工程勘察、设计、施工、监理等方面的评价，工程竣工验收时间、程序、内容和组织形式，工程竣工验收意见等内容。</w:t>
      </w:r>
    </w:p>
    <w:p>
      <w:pPr>
        <w:pStyle w:val="3"/>
        <w:spacing w:before="312" w:beforeLines="100" w:after="312" w:afterLines="100"/>
      </w:pPr>
      <w:bookmarkStart w:id="3661" w:name="_Toc126321324"/>
      <w:r>
        <w:rPr>
          <w:rFonts w:hint="eastAsia"/>
        </w:rPr>
        <w:t>工程移交</w:t>
      </w:r>
      <w:bookmarkEnd w:id="3661"/>
    </w:p>
    <w:p>
      <w:pPr>
        <w:ind w:firstLine="0" w:firstLineChars="0"/>
        <w:rPr>
          <w:rFonts w:ascii="宋体" w:hAnsi="宋体"/>
          <w:szCs w:val="28"/>
        </w:rPr>
      </w:pPr>
      <w:r>
        <w:rPr>
          <w:b/>
          <w:lang w:val="zh-CN"/>
        </w:rPr>
        <w:t>5.5.1</w:t>
      </w:r>
      <w:r>
        <w:rPr>
          <w:rFonts w:ascii="宋体" w:hAnsi="宋体"/>
          <w:szCs w:val="28"/>
        </w:rPr>
        <w:t xml:space="preserve">  </w:t>
      </w:r>
      <w:r>
        <w:rPr>
          <w:rFonts w:hint="eastAsia" w:ascii="宋体" w:hAnsi="宋体"/>
          <w:szCs w:val="28"/>
        </w:rPr>
        <w:t>工程验收移交前，工程承包单位应依据相应规定编制项目档案资料。</w:t>
      </w:r>
    </w:p>
    <w:p>
      <w:pPr>
        <w:ind w:firstLine="0" w:firstLineChars="0"/>
        <w:rPr>
          <w:rFonts w:ascii="宋体" w:hAnsi="宋体"/>
          <w:szCs w:val="28"/>
        </w:rPr>
      </w:pPr>
      <w:r>
        <w:rPr>
          <w:b/>
          <w:lang w:val="zh-CN"/>
        </w:rPr>
        <w:t>5.5.2</w:t>
      </w:r>
      <w:r>
        <w:rPr>
          <w:rFonts w:ascii="宋体" w:hAnsi="宋体"/>
          <w:szCs w:val="28"/>
        </w:rPr>
        <w:t xml:space="preserve">  </w:t>
      </w:r>
      <w:r>
        <w:rPr>
          <w:rFonts w:hint="eastAsia" w:ascii="宋体" w:hAnsi="宋体"/>
          <w:szCs w:val="28"/>
        </w:rPr>
        <w:t>工程移交时应同步移交工程所有应移交资料，移交资料应符合《建设工程质量管理条例》（国务院第279号令）的规定DA/T28-2018《建设项目档案管理规范》的规定</w:t>
      </w:r>
      <w:r>
        <w:rPr>
          <w:rFonts w:ascii="宋体" w:hAnsi="宋体"/>
          <w:szCs w:val="28"/>
        </w:rPr>
        <w:t>。</w:t>
      </w:r>
    </w:p>
    <w:p>
      <w:pPr>
        <w:pStyle w:val="2"/>
        <w:spacing w:before="624" w:after="624"/>
        <w:rPr>
          <w:color w:val="auto"/>
        </w:rPr>
      </w:pPr>
      <w:bookmarkStart w:id="3662" w:name="_Toc58259558"/>
      <w:bookmarkEnd w:id="3662"/>
      <w:bookmarkStart w:id="3663" w:name="_Toc59113543"/>
      <w:bookmarkEnd w:id="3663"/>
      <w:bookmarkStart w:id="3664" w:name="_Toc58257239"/>
      <w:bookmarkEnd w:id="3664"/>
      <w:bookmarkStart w:id="3665" w:name="_Toc58318697"/>
      <w:bookmarkEnd w:id="3665"/>
      <w:bookmarkStart w:id="3666" w:name="_Toc57881557"/>
      <w:bookmarkEnd w:id="3666"/>
      <w:bookmarkStart w:id="3667" w:name="_Toc59209435"/>
      <w:bookmarkEnd w:id="3667"/>
      <w:bookmarkStart w:id="3668" w:name="_Toc58858154"/>
      <w:bookmarkEnd w:id="3668"/>
      <w:bookmarkStart w:id="3669" w:name="_Toc57989243"/>
      <w:bookmarkEnd w:id="3669"/>
      <w:bookmarkStart w:id="3670" w:name="_Toc58320414"/>
      <w:bookmarkEnd w:id="3670"/>
      <w:bookmarkStart w:id="3671" w:name="_Toc59017140"/>
      <w:bookmarkEnd w:id="3671"/>
      <w:bookmarkStart w:id="3672" w:name="_Toc59543051"/>
      <w:bookmarkEnd w:id="3672"/>
      <w:bookmarkStart w:id="3673" w:name="_Toc57894202"/>
      <w:bookmarkEnd w:id="3673"/>
      <w:bookmarkStart w:id="3674" w:name="_Toc57817784"/>
      <w:bookmarkEnd w:id="3674"/>
      <w:bookmarkStart w:id="3675" w:name="_Toc58862176"/>
      <w:bookmarkEnd w:id="3675"/>
      <w:bookmarkStart w:id="3676" w:name="_Toc59630439"/>
      <w:bookmarkEnd w:id="3676"/>
      <w:bookmarkStart w:id="3677" w:name="_Toc59631412"/>
      <w:bookmarkEnd w:id="3677"/>
      <w:bookmarkStart w:id="3678" w:name="_Toc57894356"/>
      <w:bookmarkEnd w:id="3678"/>
      <w:bookmarkStart w:id="3679" w:name="_Toc57992320"/>
      <w:bookmarkEnd w:id="3679"/>
      <w:bookmarkStart w:id="3680" w:name="_Toc58320170"/>
      <w:bookmarkEnd w:id="3680"/>
      <w:bookmarkStart w:id="3681" w:name="_Toc59017454"/>
      <w:bookmarkEnd w:id="3681"/>
      <w:bookmarkStart w:id="3682" w:name="_Toc57829348"/>
      <w:bookmarkEnd w:id="3682"/>
      <w:bookmarkStart w:id="3683" w:name="_Toc59117148"/>
      <w:bookmarkEnd w:id="3683"/>
      <w:bookmarkStart w:id="3684" w:name="_Toc57894030"/>
      <w:bookmarkEnd w:id="3684"/>
      <w:bookmarkStart w:id="3685" w:name="_Toc58318856"/>
      <w:bookmarkEnd w:id="3685"/>
      <w:bookmarkStart w:id="3686" w:name="_Toc57889937"/>
      <w:bookmarkEnd w:id="3686"/>
      <w:bookmarkStart w:id="3687" w:name="_Toc57817844"/>
      <w:bookmarkEnd w:id="3687"/>
      <w:bookmarkStart w:id="3688" w:name="_Toc57998537"/>
      <w:bookmarkEnd w:id="3688"/>
      <w:bookmarkStart w:id="3689" w:name="_Toc59114949"/>
      <w:bookmarkEnd w:id="3689"/>
      <w:bookmarkStart w:id="3690" w:name="_Toc57989300"/>
      <w:bookmarkEnd w:id="3690"/>
      <w:bookmarkStart w:id="3691" w:name="_Toc57998326"/>
      <w:bookmarkEnd w:id="3691"/>
      <w:bookmarkStart w:id="3692" w:name="_Toc57817998"/>
      <w:bookmarkEnd w:id="3692"/>
      <w:bookmarkStart w:id="3693" w:name="_Toc59546321"/>
      <w:bookmarkEnd w:id="3693"/>
      <w:bookmarkStart w:id="3694" w:name="_Toc58245251"/>
      <w:bookmarkEnd w:id="3694"/>
      <w:bookmarkStart w:id="3695" w:name="_Toc57881147"/>
      <w:bookmarkEnd w:id="3695"/>
      <w:bookmarkStart w:id="3696" w:name="_Toc57998413"/>
      <w:bookmarkEnd w:id="3696"/>
      <w:bookmarkStart w:id="3697" w:name="_Toc59113974"/>
      <w:bookmarkEnd w:id="3697"/>
      <w:bookmarkStart w:id="3698" w:name="_Toc57829178"/>
      <w:bookmarkEnd w:id="3698"/>
      <w:bookmarkStart w:id="3699" w:name="_Toc57995888"/>
      <w:bookmarkEnd w:id="3699"/>
      <w:bookmarkStart w:id="3700" w:name="_Toc58259648"/>
      <w:bookmarkEnd w:id="3700"/>
      <w:bookmarkStart w:id="3701" w:name="_Toc57817955"/>
      <w:bookmarkEnd w:id="3701"/>
      <w:bookmarkStart w:id="3702" w:name="_Toc57822392"/>
      <w:bookmarkEnd w:id="3702"/>
      <w:bookmarkStart w:id="3703" w:name="_Toc57912504"/>
      <w:bookmarkEnd w:id="3703"/>
      <w:bookmarkStart w:id="3704" w:name="_Toc57997688"/>
      <w:bookmarkEnd w:id="3704"/>
      <w:bookmarkStart w:id="3705" w:name="_Toc58861917"/>
      <w:bookmarkEnd w:id="3705"/>
      <w:bookmarkStart w:id="3706" w:name="_Toc59204149"/>
      <w:bookmarkEnd w:id="3706"/>
      <w:bookmarkStart w:id="3707" w:name="_Toc59717001"/>
      <w:bookmarkEnd w:id="3707"/>
      <w:bookmarkStart w:id="3708" w:name="_Toc57817918"/>
      <w:bookmarkEnd w:id="3708"/>
      <w:bookmarkStart w:id="3709" w:name="_Toc59021647"/>
      <w:bookmarkEnd w:id="3709"/>
      <w:bookmarkStart w:id="3710" w:name="_Toc57817881"/>
      <w:bookmarkEnd w:id="3710"/>
      <w:bookmarkStart w:id="3711" w:name="_Toc114734642"/>
      <w:bookmarkStart w:id="3712" w:name="_Toc126321325"/>
      <w:bookmarkStart w:id="3713" w:name="_Toc96358489"/>
      <w:bookmarkStart w:id="3714" w:name="_Toc70600735"/>
      <w:r>
        <w:rPr>
          <w:rFonts w:hint="eastAsia"/>
          <w:color w:val="auto"/>
        </w:rPr>
        <w:t>运行和维护</w:t>
      </w:r>
      <w:bookmarkEnd w:id="3711"/>
      <w:bookmarkEnd w:id="3712"/>
      <w:bookmarkEnd w:id="3713"/>
      <w:bookmarkEnd w:id="3714"/>
    </w:p>
    <w:p>
      <w:pPr>
        <w:pStyle w:val="3"/>
        <w:spacing w:before="312" w:beforeLines="100" w:after="312" w:afterLines="100"/>
      </w:pPr>
      <w:bookmarkStart w:id="3715" w:name="_Toc57894206"/>
      <w:bookmarkEnd w:id="3715"/>
      <w:bookmarkStart w:id="3716" w:name="_Toc59543053"/>
      <w:bookmarkEnd w:id="3716"/>
      <w:bookmarkStart w:id="3717" w:name="_Toc57822394"/>
      <w:bookmarkEnd w:id="3717"/>
      <w:bookmarkStart w:id="3718" w:name="_Toc59113545"/>
      <w:bookmarkEnd w:id="3718"/>
      <w:bookmarkStart w:id="3719" w:name="_Toc58245253"/>
      <w:bookmarkEnd w:id="3719"/>
      <w:bookmarkStart w:id="3720" w:name="_Toc58318701"/>
      <w:bookmarkEnd w:id="3720"/>
      <w:bookmarkStart w:id="3721" w:name="_Toc59204151"/>
      <w:bookmarkEnd w:id="3721"/>
      <w:bookmarkStart w:id="3722" w:name="_Toc57989245"/>
      <w:bookmarkEnd w:id="3722"/>
      <w:bookmarkStart w:id="3723" w:name="_Toc58318699"/>
      <w:bookmarkEnd w:id="3723"/>
      <w:bookmarkStart w:id="3724" w:name="_Toc57881151"/>
      <w:bookmarkEnd w:id="3724"/>
      <w:bookmarkStart w:id="3725" w:name="_Toc59209437"/>
      <w:bookmarkEnd w:id="3725"/>
      <w:bookmarkStart w:id="3726" w:name="_Toc58257241"/>
      <w:bookmarkEnd w:id="3726"/>
      <w:bookmarkStart w:id="3727" w:name="_Toc57894358"/>
      <w:bookmarkEnd w:id="3727"/>
      <w:bookmarkStart w:id="3728" w:name="_Toc57894032"/>
      <w:bookmarkEnd w:id="3728"/>
      <w:bookmarkStart w:id="3729" w:name="_Toc59546323"/>
      <w:bookmarkEnd w:id="3729"/>
      <w:bookmarkStart w:id="3730" w:name="_Toc59021649"/>
      <w:bookmarkEnd w:id="3730"/>
      <w:bookmarkStart w:id="3731" w:name="_Toc59209439"/>
      <w:bookmarkEnd w:id="3731"/>
      <w:bookmarkStart w:id="3732" w:name="_Toc59021651"/>
      <w:bookmarkEnd w:id="3732"/>
      <w:bookmarkStart w:id="3733" w:name="_Toc57822396"/>
      <w:bookmarkEnd w:id="3733"/>
      <w:bookmarkStart w:id="3734" w:name="_Toc57997692"/>
      <w:bookmarkEnd w:id="3734"/>
      <w:bookmarkStart w:id="3735" w:name="_Toc59630443"/>
      <w:bookmarkEnd w:id="3735"/>
      <w:bookmarkStart w:id="3736" w:name="_Toc59113978"/>
      <w:bookmarkEnd w:id="3736"/>
      <w:bookmarkStart w:id="3737" w:name="_Toc59631416"/>
      <w:bookmarkEnd w:id="3737"/>
      <w:bookmarkStart w:id="3738" w:name="_Toc57997690"/>
      <w:bookmarkEnd w:id="3738"/>
      <w:bookmarkStart w:id="3739" w:name="_Toc59117152"/>
      <w:bookmarkEnd w:id="3739"/>
      <w:bookmarkStart w:id="3740" w:name="_Toc57912506"/>
      <w:bookmarkEnd w:id="3740"/>
      <w:bookmarkStart w:id="3741" w:name="_Toc58318858"/>
      <w:bookmarkEnd w:id="3741"/>
      <w:bookmarkStart w:id="3742" w:name="_Toc57998328"/>
      <w:bookmarkEnd w:id="3742"/>
      <w:bookmarkStart w:id="3743" w:name="_Toc57989304"/>
      <w:bookmarkEnd w:id="3743"/>
      <w:bookmarkStart w:id="3744" w:name="_Toc58862180"/>
      <w:bookmarkEnd w:id="3744"/>
      <w:bookmarkStart w:id="3745" w:name="_Toc59113547"/>
      <w:bookmarkEnd w:id="3745"/>
      <w:bookmarkStart w:id="3746" w:name="_Toc58320416"/>
      <w:bookmarkEnd w:id="3746"/>
      <w:bookmarkStart w:id="3747" w:name="_Toc59630441"/>
      <w:bookmarkEnd w:id="3747"/>
      <w:bookmarkStart w:id="3748" w:name="_Toc59114953"/>
      <w:bookmarkEnd w:id="3748"/>
      <w:bookmarkStart w:id="3749" w:name="_Toc57829182"/>
      <w:bookmarkEnd w:id="3749"/>
      <w:bookmarkStart w:id="3750" w:name="_Toc57995892"/>
      <w:bookmarkEnd w:id="3750"/>
      <w:bookmarkStart w:id="3751" w:name="_Toc58257243"/>
      <w:bookmarkEnd w:id="3751"/>
      <w:bookmarkStart w:id="3752" w:name="_Toc58320418"/>
      <w:bookmarkEnd w:id="3752"/>
      <w:bookmarkStart w:id="3753" w:name="_Toc59017142"/>
      <w:bookmarkEnd w:id="3753"/>
      <w:bookmarkStart w:id="3754" w:name="_Toc58259562"/>
      <w:bookmarkEnd w:id="3754"/>
      <w:bookmarkStart w:id="3755" w:name="_Toc57894360"/>
      <w:bookmarkEnd w:id="3755"/>
      <w:bookmarkStart w:id="3756" w:name="_Toc58320172"/>
      <w:bookmarkEnd w:id="3756"/>
      <w:bookmarkStart w:id="3757" w:name="_Toc57989247"/>
      <w:bookmarkEnd w:id="3757"/>
      <w:bookmarkStart w:id="3758" w:name="_Toc57894204"/>
      <w:bookmarkEnd w:id="3758"/>
      <w:bookmarkStart w:id="3759" w:name="_Toc59114951"/>
      <w:bookmarkEnd w:id="3759"/>
      <w:bookmarkStart w:id="3760" w:name="_Toc58259650"/>
      <w:bookmarkEnd w:id="3760"/>
      <w:bookmarkStart w:id="3761" w:name="_Toc58861919"/>
      <w:bookmarkEnd w:id="3761"/>
      <w:bookmarkStart w:id="3762" w:name="_Toc57998541"/>
      <w:bookmarkEnd w:id="3762"/>
      <w:bookmarkStart w:id="3763" w:name="_Toc57998539"/>
      <w:bookmarkEnd w:id="3763"/>
      <w:bookmarkStart w:id="3764" w:name="_Toc57889939"/>
      <w:bookmarkEnd w:id="3764"/>
      <w:bookmarkStart w:id="3765" w:name="_Toc59717005"/>
      <w:bookmarkEnd w:id="3765"/>
      <w:bookmarkStart w:id="3766" w:name="_Toc58858158"/>
      <w:bookmarkEnd w:id="3766"/>
      <w:bookmarkStart w:id="3767" w:name="_Toc57829352"/>
      <w:bookmarkEnd w:id="3767"/>
      <w:bookmarkStart w:id="3768" w:name="_Toc59117150"/>
      <w:bookmarkEnd w:id="3768"/>
      <w:bookmarkStart w:id="3769" w:name="_Toc59546325"/>
      <w:bookmarkEnd w:id="3769"/>
      <w:bookmarkStart w:id="3770" w:name="_Toc59204153"/>
      <w:bookmarkEnd w:id="3770"/>
      <w:bookmarkStart w:id="3771" w:name="_Toc58861921"/>
      <w:bookmarkEnd w:id="3771"/>
      <w:bookmarkStart w:id="3772" w:name="_Toc57998417"/>
      <w:bookmarkEnd w:id="3772"/>
      <w:bookmarkStart w:id="3773" w:name="_Toc59113976"/>
      <w:bookmarkEnd w:id="3773"/>
      <w:bookmarkStart w:id="3774" w:name="_Toc58862178"/>
      <w:bookmarkEnd w:id="3774"/>
      <w:bookmarkStart w:id="3775" w:name="_Toc58318860"/>
      <w:bookmarkEnd w:id="3775"/>
      <w:bookmarkStart w:id="3776" w:name="_Toc57889941"/>
      <w:bookmarkEnd w:id="3776"/>
      <w:bookmarkStart w:id="3777" w:name="_Toc57998330"/>
      <w:bookmarkEnd w:id="3777"/>
      <w:bookmarkStart w:id="3778" w:name="_Toc57995890"/>
      <w:bookmarkEnd w:id="3778"/>
      <w:bookmarkStart w:id="3779" w:name="_Toc57992324"/>
      <w:bookmarkEnd w:id="3779"/>
      <w:bookmarkStart w:id="3780" w:name="_Toc57829350"/>
      <w:bookmarkEnd w:id="3780"/>
      <w:bookmarkStart w:id="3781" w:name="_Toc57998415"/>
      <w:bookmarkEnd w:id="3781"/>
      <w:bookmarkStart w:id="3782" w:name="_Toc57881149"/>
      <w:bookmarkEnd w:id="3782"/>
      <w:bookmarkStart w:id="3783" w:name="_Toc57912508"/>
      <w:bookmarkEnd w:id="3783"/>
      <w:bookmarkStart w:id="3784" w:name="_Toc58245255"/>
      <w:bookmarkEnd w:id="3784"/>
      <w:bookmarkStart w:id="3785" w:name="_Toc57992322"/>
      <w:bookmarkEnd w:id="3785"/>
      <w:bookmarkStart w:id="3786" w:name="_Toc59543055"/>
      <w:bookmarkEnd w:id="3786"/>
      <w:bookmarkStart w:id="3787" w:name="_Toc59017456"/>
      <w:bookmarkEnd w:id="3787"/>
      <w:bookmarkStart w:id="3788" w:name="_Toc59631414"/>
      <w:bookmarkEnd w:id="3788"/>
      <w:bookmarkStart w:id="3789" w:name="_Toc59017458"/>
      <w:bookmarkEnd w:id="3789"/>
      <w:bookmarkStart w:id="3790" w:name="_Toc59717003"/>
      <w:bookmarkEnd w:id="3790"/>
      <w:bookmarkStart w:id="3791" w:name="_Toc58259560"/>
      <w:bookmarkEnd w:id="3791"/>
      <w:bookmarkStart w:id="3792" w:name="_Toc58259652"/>
      <w:bookmarkEnd w:id="3792"/>
      <w:bookmarkStart w:id="3793" w:name="_Toc58858156"/>
      <w:bookmarkEnd w:id="3793"/>
      <w:bookmarkStart w:id="3794" w:name="_Toc57829180"/>
      <w:bookmarkEnd w:id="3794"/>
      <w:bookmarkStart w:id="3795" w:name="_Toc57881559"/>
      <w:bookmarkEnd w:id="3795"/>
      <w:bookmarkStart w:id="3796" w:name="_Toc57989302"/>
      <w:bookmarkEnd w:id="3796"/>
      <w:bookmarkStart w:id="3797" w:name="_Toc59017144"/>
      <w:bookmarkEnd w:id="3797"/>
      <w:bookmarkStart w:id="3798" w:name="_Toc58320174"/>
      <w:bookmarkEnd w:id="3798"/>
      <w:bookmarkStart w:id="3799" w:name="_Toc57881561"/>
      <w:bookmarkEnd w:id="3799"/>
      <w:bookmarkStart w:id="3800" w:name="_Toc57894034"/>
      <w:bookmarkEnd w:id="3800"/>
      <w:bookmarkStart w:id="3801" w:name="_Toc70600736"/>
      <w:bookmarkStart w:id="3802" w:name="_Toc126321326"/>
      <w:bookmarkStart w:id="3803" w:name="_Toc96358490"/>
      <w:bookmarkStart w:id="3804" w:name="_Toc114734643"/>
      <w:r>
        <w:rPr>
          <w:rFonts w:hint="eastAsia"/>
        </w:rPr>
        <w:t>一般规定</w:t>
      </w:r>
      <w:bookmarkEnd w:id="3801"/>
      <w:bookmarkEnd w:id="3802"/>
      <w:bookmarkEnd w:id="3803"/>
      <w:bookmarkEnd w:id="3804"/>
    </w:p>
    <w:p>
      <w:pPr>
        <w:ind w:firstLine="0" w:firstLineChars="0"/>
        <w:rPr>
          <w:szCs w:val="28"/>
        </w:rPr>
      </w:pPr>
      <w:r>
        <w:rPr>
          <w:b/>
          <w:lang w:val="zh-CN"/>
        </w:rPr>
        <w:t>6.1.1</w:t>
      </w:r>
      <w:r>
        <w:rPr>
          <w:rFonts w:ascii="宋体" w:hAnsi="宋体"/>
          <w:szCs w:val="28"/>
        </w:rPr>
        <w:t xml:space="preserve">  </w:t>
      </w:r>
      <w:r>
        <w:rPr>
          <w:rFonts w:hint="eastAsia"/>
          <w:szCs w:val="28"/>
          <w:lang w:val="zh-CN"/>
        </w:rPr>
        <w:t>运行应遵守国家现行法律法规及国家现行行业标准《城镇污水处理厂运行、维护及安全技术规程》</w:t>
      </w:r>
      <w:r>
        <w:rPr>
          <w:szCs w:val="28"/>
          <w:lang w:val="zh-CN"/>
        </w:rPr>
        <w:t>CJJ 60</w:t>
      </w:r>
      <w:r>
        <w:rPr>
          <w:rFonts w:hint="eastAsia"/>
          <w:szCs w:val="28"/>
          <w:lang w:val="zh-CN"/>
        </w:rPr>
        <w:t>、《城镇污水处理厂运行监督管理技术规范》</w:t>
      </w:r>
      <w:r>
        <w:rPr>
          <w:szCs w:val="28"/>
          <w:lang w:val="zh-CN"/>
        </w:rPr>
        <w:t>HJ 2038</w:t>
      </w:r>
      <w:r>
        <w:rPr>
          <w:rFonts w:hint="eastAsia"/>
          <w:szCs w:val="28"/>
          <w:lang w:val="zh-CN"/>
        </w:rPr>
        <w:t>、《城镇地下式污水处理技术规程》</w:t>
      </w:r>
      <w:r>
        <w:rPr>
          <w:szCs w:val="28"/>
          <w:lang w:val="zh-CN"/>
        </w:rPr>
        <w:t>T/CECS 729</w:t>
      </w:r>
      <w:r>
        <w:rPr>
          <w:rFonts w:hint="eastAsia"/>
          <w:szCs w:val="28"/>
          <w:lang w:val="zh-CN"/>
        </w:rPr>
        <w:t>、《地下式城镇污水处理厂工程技术指南》</w:t>
      </w:r>
      <w:r>
        <w:rPr>
          <w:szCs w:val="28"/>
          <w:lang w:val="zh-CN"/>
        </w:rPr>
        <w:t>T/CAEPI 23</w:t>
      </w:r>
      <w:r>
        <w:rPr>
          <w:rFonts w:hint="eastAsia"/>
          <w:szCs w:val="28"/>
          <w:lang w:val="zh-CN"/>
        </w:rPr>
        <w:t>等相应规定，</w:t>
      </w:r>
      <w:r>
        <w:rPr>
          <w:rFonts w:hint="eastAsia"/>
          <w:szCs w:val="28"/>
        </w:rPr>
        <w:t>重点关注防汛防淹、防有毒有害气体泄漏、防火防爆、防高空坠落和有限空间作业安全、设备故障或人为操作不当引起的事故。</w:t>
      </w:r>
    </w:p>
    <w:p>
      <w:pPr>
        <w:ind w:firstLine="0" w:firstLineChars="0"/>
        <w:rPr>
          <w:szCs w:val="28"/>
          <w:lang w:val="zh-CN"/>
        </w:rPr>
      </w:pPr>
      <w:r>
        <w:rPr>
          <w:b/>
          <w:lang w:val="zh-CN"/>
        </w:rPr>
        <w:t>6.1.2</w:t>
      </w:r>
      <w:r>
        <w:rPr>
          <w:rFonts w:ascii="宋体" w:hAnsi="宋体"/>
          <w:szCs w:val="28"/>
        </w:rPr>
        <w:t xml:space="preserve">  </w:t>
      </w:r>
      <w:r>
        <w:rPr>
          <w:rFonts w:hint="eastAsia"/>
          <w:szCs w:val="28"/>
          <w:lang w:val="zh-CN"/>
        </w:rPr>
        <w:t>应根据国家相应规定制定适合本厂的运行方案、管理制度、岗位操作规程、设施及设备维护保养手册、事故应急预案、安全生产管理制度、职业病卫生管理制度、消防管理制度，并定期修订。</w:t>
      </w:r>
    </w:p>
    <w:p>
      <w:pPr>
        <w:pStyle w:val="3"/>
        <w:spacing w:before="312" w:beforeLines="100" w:after="312" w:afterLines="100"/>
      </w:pPr>
      <w:bookmarkStart w:id="3805" w:name="_Toc114734644"/>
      <w:bookmarkStart w:id="3806" w:name="_Toc70600753"/>
      <w:bookmarkStart w:id="3807" w:name="_Toc126321327"/>
      <w:bookmarkStart w:id="3808" w:name="_Toc96358491"/>
      <w:r>
        <w:rPr>
          <w:rFonts w:hint="eastAsia"/>
        </w:rPr>
        <w:t>运行管理</w:t>
      </w:r>
      <w:bookmarkEnd w:id="3805"/>
      <w:bookmarkEnd w:id="3806"/>
      <w:bookmarkEnd w:id="3807"/>
      <w:bookmarkEnd w:id="3808"/>
    </w:p>
    <w:p>
      <w:pPr>
        <w:ind w:firstLine="0" w:firstLineChars="0"/>
        <w:rPr>
          <w:szCs w:val="28"/>
          <w:lang w:val="zh-CN"/>
        </w:rPr>
      </w:pPr>
      <w:r>
        <w:rPr>
          <w:b/>
          <w:lang w:val="zh-CN"/>
        </w:rPr>
        <w:t>6.2.1</w:t>
      </w:r>
      <w:r>
        <w:rPr>
          <w:rFonts w:ascii="宋体" w:hAnsi="宋体"/>
          <w:szCs w:val="28"/>
        </w:rPr>
        <w:t xml:space="preserve">  </w:t>
      </w:r>
      <w:r>
        <w:rPr>
          <w:rFonts w:hint="eastAsia"/>
          <w:szCs w:val="28"/>
          <w:lang w:val="zh-CN"/>
        </w:rPr>
        <w:t>地下式城镇污水处理厂应结合实际建立、健全运行管理制度，编制相应的《地下式城镇污水处理厂管理手册》，手册每年至少应更新</w:t>
      </w:r>
      <w:r>
        <w:rPr>
          <w:szCs w:val="28"/>
          <w:lang w:val="zh-CN"/>
        </w:rPr>
        <w:t>1</w:t>
      </w:r>
      <w:r>
        <w:rPr>
          <w:rFonts w:hint="eastAsia"/>
          <w:szCs w:val="28"/>
          <w:lang w:val="zh-CN"/>
        </w:rPr>
        <w:t>次。</w:t>
      </w:r>
    </w:p>
    <w:p>
      <w:pPr>
        <w:ind w:firstLine="0" w:firstLineChars="0"/>
        <w:rPr>
          <w:szCs w:val="28"/>
          <w:lang w:val="zh-CN"/>
        </w:rPr>
      </w:pPr>
      <w:r>
        <w:rPr>
          <w:b/>
          <w:lang w:val="zh-CN"/>
        </w:rPr>
        <w:t>6.2.2</w:t>
      </w:r>
      <w:r>
        <w:rPr>
          <w:rFonts w:ascii="宋体" w:hAnsi="宋体"/>
          <w:szCs w:val="28"/>
        </w:rPr>
        <w:t xml:space="preserve">  </w:t>
      </w:r>
      <w:r>
        <w:rPr>
          <w:rFonts w:hint="eastAsia"/>
          <w:szCs w:val="28"/>
          <w:lang w:val="zh-CN"/>
        </w:rPr>
        <w:t>应根据国家相应规定定岗定员，设置管理人员、专业技术人员、生产人员、辅助人员、专职安全管理员、专职职业病卫生管理员。相应人员</w:t>
      </w:r>
      <w:r>
        <w:rPr>
          <w:rFonts w:hint="eastAsia"/>
          <w:szCs w:val="28"/>
        </w:rPr>
        <w:t>应熟悉地下厂区空间布局，经过技术培训和生产实践，考试合格后方可上岗。所有机电设备、有限空间和高低压的操作人员必须经过岗位操作培训，必须持证上岗</w:t>
      </w:r>
      <w:r>
        <w:rPr>
          <w:rFonts w:hint="eastAsia"/>
          <w:szCs w:val="28"/>
          <w:lang w:val="zh-CN"/>
        </w:rPr>
        <w:t>，并应定期考核。</w:t>
      </w:r>
    </w:p>
    <w:p>
      <w:pPr>
        <w:pStyle w:val="124"/>
        <w:ind w:firstLine="0" w:firstLineChars="0"/>
        <w:rPr>
          <w:szCs w:val="28"/>
        </w:rPr>
      </w:pPr>
      <w:r>
        <w:rPr>
          <w:b/>
          <w:lang w:val="zh-CN"/>
        </w:rPr>
        <w:t>6.2.3</w:t>
      </w:r>
      <w:r>
        <w:rPr>
          <w:rFonts w:ascii="宋体" w:hAnsi="宋体"/>
          <w:szCs w:val="28"/>
        </w:rPr>
        <w:t xml:space="preserve">  </w:t>
      </w:r>
      <w:r>
        <w:rPr>
          <w:rFonts w:hint="eastAsia"/>
          <w:szCs w:val="28"/>
          <w:lang w:val="zh-CN"/>
        </w:rPr>
        <w:t>应设置完整的安全操作规范及流程，对各类设施、设备、管道的运行状况完整记录，对设施、设备运行控制的使用和操作应制定标准操作规程。</w:t>
      </w:r>
      <w:r>
        <w:rPr>
          <w:rFonts w:hint="eastAsia"/>
          <w:szCs w:val="28"/>
        </w:rPr>
        <w:t>进水速闭闸阀、进水提升水泵、污泥提升泵、在线仪表等重要设备及仪表应增加巡检和维护频次。</w:t>
      </w:r>
    </w:p>
    <w:p>
      <w:pPr>
        <w:pStyle w:val="124"/>
        <w:ind w:firstLine="0" w:firstLineChars="0"/>
        <w:rPr>
          <w:szCs w:val="28"/>
        </w:rPr>
      </w:pPr>
      <w:r>
        <w:rPr>
          <w:b/>
          <w:lang w:val="zh-CN"/>
        </w:rPr>
        <w:t>6.2.4</w:t>
      </w:r>
      <w:r>
        <w:rPr>
          <w:rFonts w:ascii="宋体" w:hAnsi="宋体"/>
          <w:szCs w:val="28"/>
        </w:rPr>
        <w:t xml:space="preserve">  </w:t>
      </w:r>
      <w:r>
        <w:rPr>
          <w:rFonts w:hint="eastAsia"/>
          <w:szCs w:val="28"/>
        </w:rPr>
        <w:t>宜对提升泵房、沉砂池、生化反应池、二沉池等地下水池等制定合理完善的清淤方案，包括停产复产计划、人员配置及安全保障、沉积物的清淤及输运方式。</w:t>
      </w:r>
    </w:p>
    <w:p>
      <w:pPr>
        <w:pStyle w:val="124"/>
        <w:ind w:firstLine="0" w:firstLineChars="0"/>
        <w:rPr>
          <w:szCs w:val="28"/>
        </w:rPr>
      </w:pPr>
      <w:r>
        <w:rPr>
          <w:b/>
          <w:lang w:val="zh-CN"/>
        </w:rPr>
        <w:t>6.2.5</w:t>
      </w:r>
      <w:r>
        <w:rPr>
          <w:rFonts w:ascii="宋体" w:hAnsi="宋体"/>
          <w:szCs w:val="28"/>
        </w:rPr>
        <w:t xml:space="preserve">  </w:t>
      </w:r>
      <w:r>
        <w:rPr>
          <w:rFonts w:hint="eastAsia" w:ascii="宋体" w:hAnsi="宋体"/>
          <w:szCs w:val="28"/>
        </w:rPr>
        <w:t>宜统筹考虑</w:t>
      </w:r>
      <w:r>
        <w:rPr>
          <w:rFonts w:hint="eastAsia"/>
          <w:szCs w:val="28"/>
        </w:rPr>
        <w:t>建立不同污水系统之间调度机制，运行管理应实现智慧管理及控制。</w:t>
      </w:r>
    </w:p>
    <w:p>
      <w:pPr>
        <w:ind w:firstLine="0" w:firstLineChars="0"/>
        <w:rPr>
          <w:szCs w:val="28"/>
          <w:lang w:val="zh-CN"/>
        </w:rPr>
      </w:pPr>
      <w:r>
        <w:rPr>
          <w:b/>
          <w:lang w:val="zh-CN"/>
        </w:rPr>
        <w:t>6.2.6</w:t>
      </w:r>
      <w:r>
        <w:rPr>
          <w:rFonts w:ascii="宋体" w:hAnsi="宋体"/>
          <w:szCs w:val="28"/>
        </w:rPr>
        <w:t xml:space="preserve">  </w:t>
      </w:r>
      <w:r>
        <w:rPr>
          <w:rFonts w:hint="eastAsia"/>
          <w:szCs w:val="28"/>
          <w:lang w:val="zh-CN"/>
        </w:rPr>
        <w:t>应对生产厂区划分清晰的厂界，并应设置明显的标识，严禁非工作人员进入生产厂区。</w:t>
      </w:r>
    </w:p>
    <w:p>
      <w:pPr>
        <w:pStyle w:val="124"/>
        <w:ind w:firstLine="0" w:firstLineChars="0"/>
        <w:rPr>
          <w:szCs w:val="28"/>
        </w:rPr>
      </w:pPr>
      <w:r>
        <w:rPr>
          <w:b/>
          <w:lang w:val="zh-CN"/>
        </w:rPr>
        <w:t>6.2.7</w:t>
      </w:r>
      <w:r>
        <w:rPr>
          <w:rFonts w:ascii="宋体" w:hAnsi="宋体"/>
          <w:szCs w:val="28"/>
        </w:rPr>
        <w:t xml:space="preserve">  </w:t>
      </w:r>
      <w:r>
        <w:rPr>
          <w:rFonts w:hint="eastAsia" w:ascii="宋体" w:hAnsi="宋体"/>
          <w:szCs w:val="28"/>
        </w:rPr>
        <w:t>厂区运行管理单位</w:t>
      </w:r>
      <w:r>
        <w:rPr>
          <w:rFonts w:hint="eastAsia"/>
          <w:szCs w:val="28"/>
        </w:rPr>
        <w:t>对于进出地下厂区的物品、车辆和人员，进行严格的审查和登记，加强管理。应制定外来人员参观指导流程，做好专业指导和安全管理，外来人员进入厂区内应佩戴防护用品。</w:t>
      </w:r>
    </w:p>
    <w:p>
      <w:pPr>
        <w:pStyle w:val="124"/>
        <w:ind w:firstLine="0" w:firstLineChars="0"/>
        <w:rPr>
          <w:szCs w:val="28"/>
        </w:rPr>
      </w:pPr>
      <w:r>
        <w:rPr>
          <w:b/>
          <w:lang w:val="zh-CN"/>
        </w:rPr>
        <w:t>6.2.8</w:t>
      </w:r>
      <w:r>
        <w:rPr>
          <w:rFonts w:ascii="宋体" w:hAnsi="宋体"/>
          <w:szCs w:val="28"/>
        </w:rPr>
        <w:t xml:space="preserve">  </w:t>
      </w:r>
      <w:r>
        <w:rPr>
          <w:rFonts w:hint="eastAsia"/>
          <w:szCs w:val="28"/>
          <w:lang w:val="zh-CN"/>
        </w:rPr>
        <w:t>地下式城镇污水处理厂各处理单元应设置相应的工艺流程图、设施管廊层现状图、自控系统供电系统图等，</w:t>
      </w:r>
      <w:r>
        <w:rPr>
          <w:rFonts w:hint="eastAsia"/>
          <w:szCs w:val="28"/>
        </w:rPr>
        <w:t>各岗位应有完善的操作规程或指示标识。</w:t>
      </w:r>
    </w:p>
    <w:p>
      <w:pPr>
        <w:ind w:firstLine="0" w:firstLineChars="0"/>
        <w:rPr>
          <w:szCs w:val="28"/>
        </w:rPr>
      </w:pPr>
      <w:r>
        <w:rPr>
          <w:b/>
          <w:lang w:val="zh-CN"/>
        </w:rPr>
        <w:t>6.2.9</w:t>
      </w:r>
      <w:r>
        <w:rPr>
          <w:rFonts w:ascii="宋体" w:hAnsi="宋体"/>
          <w:szCs w:val="28"/>
        </w:rPr>
        <w:t xml:space="preserve">  </w:t>
      </w:r>
      <w:r>
        <w:rPr>
          <w:rFonts w:hint="eastAsia" w:ascii="宋体" w:hAnsi="宋体"/>
          <w:szCs w:val="28"/>
        </w:rPr>
        <w:t>地下空间内</w:t>
      </w:r>
      <w:r>
        <w:rPr>
          <w:rFonts w:hint="eastAsia"/>
          <w:szCs w:val="28"/>
          <w:lang w:val="zh-CN"/>
        </w:rPr>
        <w:t>易发生事故危机安全的场所和设备应设置安全警示标识，并在生产场所、作业场所的紧急通道和出水口设置醒目的标志和引导</w:t>
      </w:r>
      <w:r>
        <w:rPr>
          <w:rFonts w:hint="eastAsia"/>
          <w:szCs w:val="28"/>
        </w:rPr>
        <w:t>标识</w:t>
      </w:r>
      <w:r>
        <w:rPr>
          <w:rFonts w:hint="eastAsia"/>
          <w:szCs w:val="28"/>
          <w:lang w:val="zh-CN"/>
        </w:rPr>
        <w:t>，</w:t>
      </w:r>
      <w:r>
        <w:rPr>
          <w:rFonts w:hint="eastAsia"/>
          <w:szCs w:val="28"/>
        </w:rPr>
        <w:t>地下厂区车行道入口处应设置限重、限速、限高标识。</w:t>
      </w:r>
    </w:p>
    <w:p>
      <w:pPr>
        <w:ind w:firstLine="0" w:firstLineChars="0"/>
        <w:rPr>
          <w:szCs w:val="28"/>
          <w:lang w:val="zh-CN"/>
        </w:rPr>
      </w:pPr>
      <w:r>
        <w:rPr>
          <w:b/>
          <w:lang w:val="zh-CN"/>
        </w:rPr>
        <w:t>6.2.10</w:t>
      </w:r>
      <w:r>
        <w:rPr>
          <w:rFonts w:ascii="宋体" w:hAnsi="宋体"/>
          <w:szCs w:val="28"/>
        </w:rPr>
        <w:t xml:space="preserve">  </w:t>
      </w:r>
      <w:r>
        <w:rPr>
          <w:rFonts w:hint="eastAsia"/>
          <w:szCs w:val="28"/>
          <w:lang w:val="zh-CN"/>
        </w:rPr>
        <w:t>对需要迅速发现并引起注意和警戒，以防发生事故的设备、管道涂有安全色。</w:t>
      </w:r>
    </w:p>
    <w:p>
      <w:pPr>
        <w:ind w:firstLine="0" w:firstLineChars="0"/>
        <w:rPr>
          <w:szCs w:val="28"/>
          <w:lang w:val="zh-CN"/>
        </w:rPr>
      </w:pPr>
      <w:r>
        <w:rPr>
          <w:b/>
          <w:lang w:val="zh-CN"/>
        </w:rPr>
        <w:t>6.2.11</w:t>
      </w:r>
      <w:r>
        <w:rPr>
          <w:rFonts w:ascii="宋体" w:hAnsi="宋体"/>
          <w:szCs w:val="28"/>
        </w:rPr>
        <w:t xml:space="preserve">  </w:t>
      </w:r>
      <w:r>
        <w:rPr>
          <w:rFonts w:hint="eastAsia" w:ascii="宋体" w:hAnsi="宋体"/>
          <w:szCs w:val="28"/>
        </w:rPr>
        <w:t>生产</w:t>
      </w:r>
      <w:r>
        <w:rPr>
          <w:rFonts w:hint="eastAsia"/>
          <w:szCs w:val="28"/>
          <w:lang w:val="zh-CN"/>
        </w:rPr>
        <w:t>巡查人员在岗期间应携带巡检装备包，巡检装备包应包括采样工具、检测仪表、记录工具、通信工具、安全防护用品、应急救援用品等，巡检人员可根据实际情况选择携带具有针对性的安全防护装备。</w:t>
      </w:r>
    </w:p>
    <w:p>
      <w:pPr>
        <w:pStyle w:val="124"/>
        <w:ind w:firstLine="0" w:firstLineChars="0"/>
        <w:rPr>
          <w:szCs w:val="28"/>
        </w:rPr>
      </w:pPr>
      <w:r>
        <w:rPr>
          <w:b/>
          <w:lang w:val="zh-CN"/>
        </w:rPr>
        <w:t>6.2.12</w:t>
      </w:r>
      <w:r>
        <w:rPr>
          <w:rFonts w:ascii="宋体" w:hAnsi="宋体"/>
          <w:szCs w:val="28"/>
        </w:rPr>
        <w:t xml:space="preserve">  </w:t>
      </w:r>
      <w:r>
        <w:rPr>
          <w:rFonts w:hint="eastAsia"/>
          <w:szCs w:val="28"/>
        </w:rPr>
        <w:t>操作人员进入密闭空间进行检修维护前，应强制通风换气，测试安全后方可进入，作业时必须穿戴好必要防护装备，保持连续通风，并有专业救援人员旁站。</w:t>
      </w:r>
    </w:p>
    <w:p>
      <w:pPr>
        <w:ind w:firstLine="0" w:firstLineChars="0"/>
        <w:rPr>
          <w:szCs w:val="28"/>
          <w:lang w:val="zh-CN"/>
        </w:rPr>
      </w:pPr>
      <w:r>
        <w:rPr>
          <w:b/>
          <w:lang w:val="zh-CN"/>
        </w:rPr>
        <w:t>6.2.13</w:t>
      </w:r>
      <w:r>
        <w:rPr>
          <w:rFonts w:ascii="宋体" w:hAnsi="宋体"/>
          <w:szCs w:val="28"/>
        </w:rPr>
        <w:t xml:space="preserve">  </w:t>
      </w:r>
      <w:r>
        <w:rPr>
          <w:rFonts w:hint="eastAsia"/>
          <w:szCs w:val="28"/>
          <w:lang w:val="zh-CN"/>
        </w:rPr>
        <w:t>项目应设置完善的运行监控系统，应设置保障人员安全的在线监测系统及相应措施。</w:t>
      </w:r>
    </w:p>
    <w:p>
      <w:pPr>
        <w:pStyle w:val="124"/>
        <w:ind w:firstLine="0" w:firstLineChars="0"/>
        <w:rPr>
          <w:rFonts w:ascii="宋体" w:hAnsi="宋体"/>
          <w:szCs w:val="28"/>
        </w:rPr>
      </w:pPr>
      <w:r>
        <w:rPr>
          <w:b/>
          <w:lang w:val="zh-CN"/>
        </w:rPr>
        <w:t>6.2.14</w:t>
      </w:r>
      <w:r>
        <w:rPr>
          <w:rFonts w:ascii="宋体" w:hAnsi="宋体"/>
          <w:szCs w:val="28"/>
        </w:rPr>
        <w:t xml:space="preserve">  </w:t>
      </w:r>
      <w:r>
        <w:rPr>
          <w:rFonts w:ascii="宋体" w:hAnsi="宋体"/>
          <w:b/>
          <w:szCs w:val="28"/>
        </w:rPr>
        <w:t xml:space="preserve"> </w:t>
      </w:r>
      <w:r>
        <w:rPr>
          <w:rFonts w:hint="eastAsia" w:ascii="宋体" w:hAnsi="宋体"/>
          <w:szCs w:val="28"/>
        </w:rPr>
        <w:t>宜建立地下厂区运营管理全流程的信息化管理平台，实现生产控制精细化和节约化、工艺调度实时化和最优化、日常管理系统化和制度化、操作规范化和人性化。</w:t>
      </w:r>
    </w:p>
    <w:p>
      <w:pPr>
        <w:pStyle w:val="124"/>
        <w:ind w:firstLine="0" w:firstLineChars="0"/>
        <w:rPr>
          <w:sz w:val="24"/>
        </w:rPr>
      </w:pPr>
    </w:p>
    <w:p>
      <w:pPr>
        <w:pStyle w:val="3"/>
        <w:spacing w:before="312" w:beforeLines="100" w:after="312" w:afterLines="100"/>
      </w:pPr>
      <w:bookmarkStart w:id="3809" w:name="_Toc96358492"/>
      <w:bookmarkStart w:id="3810" w:name="_Toc126321328"/>
      <w:bookmarkStart w:id="3811" w:name="_Toc114734645"/>
      <w:bookmarkStart w:id="3812" w:name="_Toc70600760"/>
      <w:r>
        <w:rPr>
          <w:rFonts w:hint="eastAsia"/>
        </w:rPr>
        <w:t>日常维护</w:t>
      </w:r>
      <w:bookmarkEnd w:id="3809"/>
      <w:bookmarkEnd w:id="3810"/>
      <w:bookmarkEnd w:id="3811"/>
      <w:bookmarkEnd w:id="3812"/>
    </w:p>
    <w:p>
      <w:pPr>
        <w:ind w:firstLine="0" w:firstLineChars="0"/>
        <w:rPr>
          <w:szCs w:val="28"/>
          <w:lang w:val="zh-CN"/>
        </w:rPr>
      </w:pPr>
      <w:r>
        <w:rPr>
          <w:b/>
          <w:lang w:val="zh-CN"/>
        </w:rPr>
        <w:t>6.3.1</w:t>
      </w:r>
      <w:r>
        <w:rPr>
          <w:rFonts w:ascii="宋体" w:hAnsi="宋体"/>
          <w:szCs w:val="28"/>
        </w:rPr>
        <w:t xml:space="preserve">  </w:t>
      </w:r>
      <w:r>
        <w:rPr>
          <w:rFonts w:hint="eastAsia"/>
          <w:szCs w:val="28"/>
          <w:lang w:val="zh-CN"/>
        </w:rPr>
        <w:t>应根据实际情况建立合理的维护保养制度，宜编制《维护保养手册》规定维护保养的步骤、间隔和记录。</w:t>
      </w:r>
    </w:p>
    <w:p>
      <w:pPr>
        <w:pStyle w:val="124"/>
        <w:ind w:firstLine="0" w:firstLineChars="0"/>
        <w:rPr>
          <w:szCs w:val="28"/>
        </w:rPr>
      </w:pPr>
      <w:r>
        <w:rPr>
          <w:b/>
          <w:lang w:val="zh-CN"/>
        </w:rPr>
        <w:t>6.3.2</w:t>
      </w:r>
      <w:r>
        <w:rPr>
          <w:rFonts w:ascii="宋体" w:hAnsi="宋体"/>
          <w:szCs w:val="28"/>
        </w:rPr>
        <w:t xml:space="preserve">  </w:t>
      </w:r>
      <w:r>
        <w:rPr>
          <w:rFonts w:hint="eastAsia"/>
          <w:szCs w:val="28"/>
        </w:rPr>
        <w:t>设施、设备应进行分类管理和维护。</w:t>
      </w:r>
    </w:p>
    <w:p>
      <w:pPr>
        <w:ind w:firstLine="0" w:firstLineChars="0"/>
        <w:rPr>
          <w:szCs w:val="28"/>
          <w:lang w:val="zh-CN"/>
        </w:rPr>
      </w:pPr>
      <w:r>
        <w:rPr>
          <w:b/>
          <w:lang w:val="zh-CN"/>
        </w:rPr>
        <w:t>6.3.3</w:t>
      </w:r>
      <w:r>
        <w:rPr>
          <w:rFonts w:ascii="宋体" w:hAnsi="宋体"/>
          <w:szCs w:val="28"/>
        </w:rPr>
        <w:t xml:space="preserve">  </w:t>
      </w:r>
      <w:r>
        <w:rPr>
          <w:rFonts w:hint="eastAsia"/>
          <w:szCs w:val="28"/>
        </w:rPr>
        <w:t>应建立设备台账与设备档案，并制定巡检路线，</w:t>
      </w:r>
      <w:r>
        <w:rPr>
          <w:rFonts w:hint="eastAsia"/>
          <w:szCs w:val="28"/>
          <w:lang w:val="zh-CN"/>
        </w:rPr>
        <w:t>机械通风及防排烟等系统每周应至少检查</w:t>
      </w:r>
      <w:r>
        <w:rPr>
          <w:szCs w:val="28"/>
          <w:lang w:val="zh-CN"/>
        </w:rPr>
        <w:t>2</w:t>
      </w:r>
      <w:r>
        <w:rPr>
          <w:rFonts w:hint="eastAsia"/>
          <w:szCs w:val="28"/>
          <w:lang w:val="zh-CN"/>
        </w:rPr>
        <w:t>次，厂区内应具备良好的通风条件</w:t>
      </w:r>
      <w:r>
        <w:rPr>
          <w:rFonts w:hint="eastAsia"/>
          <w:szCs w:val="28"/>
        </w:rPr>
        <w:t>；</w:t>
      </w:r>
      <w:r>
        <w:rPr>
          <w:rFonts w:hint="eastAsia"/>
          <w:szCs w:val="28"/>
          <w:lang w:val="zh-CN"/>
        </w:rPr>
        <w:t>生物除臭管道和装置每周应至少检查与维护</w:t>
      </w:r>
      <w:r>
        <w:rPr>
          <w:szCs w:val="28"/>
          <w:lang w:val="zh-CN"/>
        </w:rPr>
        <w:t>2</w:t>
      </w:r>
      <w:r>
        <w:rPr>
          <w:rFonts w:hint="eastAsia"/>
          <w:szCs w:val="28"/>
          <w:lang w:val="zh-CN"/>
        </w:rPr>
        <w:t>次，有毒有害气体应经处理后达标排放。重要设备及其附属设施等每周应至少检查与维护</w:t>
      </w:r>
      <w:r>
        <w:rPr>
          <w:szCs w:val="28"/>
          <w:lang w:val="zh-CN"/>
        </w:rPr>
        <w:t>2</w:t>
      </w:r>
      <w:r>
        <w:rPr>
          <w:rFonts w:hint="eastAsia"/>
          <w:szCs w:val="28"/>
          <w:lang w:val="zh-CN"/>
        </w:rPr>
        <w:t>次，应确保正常运转。</w:t>
      </w:r>
    </w:p>
    <w:p>
      <w:pPr>
        <w:pStyle w:val="124"/>
        <w:ind w:firstLine="0" w:firstLineChars="0"/>
        <w:rPr>
          <w:szCs w:val="28"/>
        </w:rPr>
      </w:pPr>
      <w:r>
        <w:rPr>
          <w:b/>
          <w:lang w:val="zh-CN"/>
        </w:rPr>
        <w:t>6.3.4</w:t>
      </w:r>
      <w:r>
        <w:rPr>
          <w:rFonts w:ascii="宋体" w:hAnsi="宋体"/>
          <w:szCs w:val="28"/>
        </w:rPr>
        <w:t xml:space="preserve">  </w:t>
      </w:r>
      <w:r>
        <w:rPr>
          <w:rFonts w:hint="eastAsia"/>
          <w:szCs w:val="28"/>
        </w:rPr>
        <w:t>格栅井、泵房集水池、沉砂池、生物反应池、二次沉淀池、污泥储池、污泥泵房等地下有限空间的清淤、检修等作业应符合《密闭空间作业职业危害防护规范》</w:t>
      </w:r>
      <w:r>
        <w:rPr>
          <w:szCs w:val="28"/>
        </w:rPr>
        <w:t>GBZ/T 205</w:t>
      </w:r>
      <w:r>
        <w:rPr>
          <w:rFonts w:hint="eastAsia"/>
          <w:szCs w:val="28"/>
        </w:rPr>
        <w:t>、《地下有限空间作业安全技术规范》</w:t>
      </w:r>
      <w:r>
        <w:rPr>
          <w:szCs w:val="28"/>
        </w:rPr>
        <w:t xml:space="preserve">DB 11/852 </w:t>
      </w:r>
      <w:r>
        <w:rPr>
          <w:rFonts w:hint="eastAsia"/>
          <w:szCs w:val="28"/>
        </w:rPr>
        <w:t>的有关规定。</w:t>
      </w:r>
    </w:p>
    <w:p>
      <w:pPr>
        <w:ind w:firstLine="0" w:firstLineChars="0"/>
        <w:rPr>
          <w:szCs w:val="28"/>
          <w:lang w:val="zh-CN"/>
        </w:rPr>
      </w:pPr>
      <w:r>
        <w:rPr>
          <w:b/>
          <w:lang w:val="zh-CN"/>
        </w:rPr>
        <w:t>6.3.5</w:t>
      </w:r>
      <w:r>
        <w:rPr>
          <w:rFonts w:ascii="宋体" w:hAnsi="宋体"/>
          <w:szCs w:val="28"/>
        </w:rPr>
        <w:t xml:space="preserve">  </w:t>
      </w:r>
      <w:r>
        <w:rPr>
          <w:rFonts w:hint="eastAsia"/>
          <w:szCs w:val="28"/>
          <w:lang w:val="zh-CN"/>
        </w:rPr>
        <w:t>栅渣、浮渣、砂砾和污泥等清理宜设置专用通道及运转设备，输送系统每周应至少维护保养</w:t>
      </w:r>
      <w:r>
        <w:rPr>
          <w:szCs w:val="28"/>
          <w:lang w:val="zh-CN"/>
        </w:rPr>
        <w:t>2</w:t>
      </w:r>
      <w:r>
        <w:rPr>
          <w:rFonts w:hint="eastAsia"/>
          <w:szCs w:val="28"/>
          <w:lang w:val="zh-CN"/>
        </w:rPr>
        <w:t>次。</w:t>
      </w:r>
    </w:p>
    <w:p>
      <w:pPr>
        <w:ind w:firstLine="0" w:firstLineChars="0"/>
        <w:rPr>
          <w:szCs w:val="28"/>
          <w:lang w:val="zh-CN"/>
        </w:rPr>
      </w:pPr>
      <w:r>
        <w:rPr>
          <w:b/>
          <w:lang w:val="zh-CN"/>
        </w:rPr>
        <w:t>6.3.6</w:t>
      </w:r>
      <w:r>
        <w:rPr>
          <w:rFonts w:ascii="宋体" w:hAnsi="宋体"/>
          <w:szCs w:val="28"/>
        </w:rPr>
        <w:t xml:space="preserve">  </w:t>
      </w:r>
      <w:r>
        <w:rPr>
          <w:rFonts w:hint="eastAsia"/>
          <w:szCs w:val="28"/>
          <w:lang w:val="zh-CN"/>
        </w:rPr>
        <w:t>应在充分保护环境的前提下，做好每年例行大修工作。</w:t>
      </w:r>
    </w:p>
    <w:p>
      <w:pPr>
        <w:pStyle w:val="124"/>
        <w:ind w:firstLine="0" w:firstLineChars="0"/>
        <w:rPr>
          <w:szCs w:val="28"/>
        </w:rPr>
      </w:pPr>
      <w:r>
        <w:rPr>
          <w:b/>
          <w:lang w:val="zh-CN"/>
        </w:rPr>
        <w:t>6.3.7</w:t>
      </w:r>
      <w:r>
        <w:rPr>
          <w:rFonts w:ascii="宋体" w:hAnsi="宋体"/>
          <w:szCs w:val="28"/>
        </w:rPr>
        <w:t xml:space="preserve">  </w:t>
      </w:r>
      <w:r>
        <w:rPr>
          <w:rFonts w:hint="eastAsia"/>
          <w:szCs w:val="28"/>
        </w:rPr>
        <w:t>设施、设备维修前，应做好必要的检查，并制定维修方案及安全保障措施；设施、设备修复后，应及时组织验收，合格后方可交付使用。</w:t>
      </w:r>
    </w:p>
    <w:p>
      <w:pPr>
        <w:ind w:firstLine="0" w:firstLineChars="0"/>
        <w:rPr>
          <w:szCs w:val="28"/>
          <w:lang w:val="zh-CN"/>
        </w:rPr>
      </w:pPr>
      <w:r>
        <w:rPr>
          <w:b/>
          <w:lang w:val="zh-CN"/>
        </w:rPr>
        <w:t>6.3.8</w:t>
      </w:r>
      <w:r>
        <w:rPr>
          <w:rFonts w:ascii="宋体" w:hAnsi="宋体"/>
          <w:szCs w:val="28"/>
        </w:rPr>
        <w:t xml:space="preserve">  </w:t>
      </w:r>
      <w:r>
        <w:rPr>
          <w:rFonts w:hint="eastAsia"/>
          <w:szCs w:val="28"/>
          <w:lang w:val="zh-CN"/>
        </w:rPr>
        <w:t>水质、气体、噪声等检测仪表宜加强检查和校验频率，确定仪表检测准确有效。</w:t>
      </w:r>
    </w:p>
    <w:p>
      <w:pPr>
        <w:ind w:firstLine="0" w:firstLineChars="0"/>
        <w:rPr>
          <w:szCs w:val="28"/>
          <w:lang w:val="zh-CN"/>
        </w:rPr>
      </w:pPr>
      <w:r>
        <w:rPr>
          <w:b/>
          <w:lang w:val="zh-CN"/>
        </w:rPr>
        <w:t>6.3.9</w:t>
      </w:r>
      <w:r>
        <w:rPr>
          <w:rFonts w:ascii="宋体" w:hAnsi="宋体"/>
          <w:szCs w:val="28"/>
        </w:rPr>
        <w:t xml:space="preserve">  </w:t>
      </w:r>
      <w:r>
        <w:rPr>
          <w:rFonts w:hint="eastAsia"/>
          <w:szCs w:val="28"/>
        </w:rPr>
        <w:t>各类</w:t>
      </w:r>
      <w:r>
        <w:rPr>
          <w:rFonts w:hint="eastAsia"/>
          <w:szCs w:val="28"/>
          <w:lang w:val="zh-CN"/>
        </w:rPr>
        <w:t>阀门检查频次应根据阀门重要性判断，普通阀门每周应至少做</w:t>
      </w:r>
      <w:r>
        <w:rPr>
          <w:szCs w:val="28"/>
          <w:lang w:val="zh-CN"/>
        </w:rPr>
        <w:t>2</w:t>
      </w:r>
      <w:r>
        <w:rPr>
          <w:rFonts w:hint="eastAsia"/>
          <w:szCs w:val="28"/>
          <w:lang w:val="zh-CN"/>
        </w:rPr>
        <w:t>次启闭试验，丝杆等部位应加注润滑油脂，电动闸阀的限位开关应每月检查</w:t>
      </w:r>
      <w:r>
        <w:rPr>
          <w:szCs w:val="28"/>
          <w:lang w:val="zh-CN"/>
        </w:rPr>
        <w:t>1</w:t>
      </w:r>
      <w:r>
        <w:rPr>
          <w:rFonts w:hint="eastAsia"/>
          <w:szCs w:val="28"/>
          <w:lang w:val="zh-CN"/>
        </w:rPr>
        <w:t>次；重要阀门检查应增加检查及维护频次。</w:t>
      </w:r>
    </w:p>
    <w:p>
      <w:pPr>
        <w:ind w:firstLine="0" w:firstLineChars="0"/>
        <w:rPr>
          <w:szCs w:val="28"/>
          <w:lang w:val="zh-CN"/>
        </w:rPr>
      </w:pPr>
      <w:r>
        <w:rPr>
          <w:b/>
          <w:lang w:val="zh-CN"/>
        </w:rPr>
        <w:t>6.3.10</w:t>
      </w:r>
      <w:r>
        <w:rPr>
          <w:rFonts w:ascii="宋体" w:hAnsi="宋体"/>
          <w:szCs w:val="28"/>
        </w:rPr>
        <w:t xml:space="preserve">  </w:t>
      </w:r>
      <w:r>
        <w:rPr>
          <w:rFonts w:hint="eastAsia"/>
          <w:szCs w:val="28"/>
          <w:lang w:val="zh-CN"/>
        </w:rPr>
        <w:t>巡查人员每日巡查中，应对管（渠）的过流流量进行监测，管（渠）道不得出现堵塞、积泥等异常现象；</w:t>
      </w:r>
      <w:r>
        <w:rPr>
          <w:rFonts w:hint="eastAsia" w:ascii="宋体" w:hAnsi="宋体" w:cs="宋体"/>
          <w:kern w:val="0"/>
          <w:szCs w:val="28"/>
        </w:rPr>
        <w:t>集水坑坑底泵应每周至少检查</w:t>
      </w:r>
      <w:r>
        <w:rPr>
          <w:rFonts w:ascii="宋体" w:hAnsi="宋体" w:cs="宋体"/>
          <w:kern w:val="0"/>
          <w:szCs w:val="28"/>
        </w:rPr>
        <w:t>2次，并切换备用泵使用。</w:t>
      </w:r>
    </w:p>
    <w:p>
      <w:pPr>
        <w:pStyle w:val="3"/>
        <w:spacing w:before="312" w:beforeLines="100" w:after="312" w:afterLines="100"/>
      </w:pPr>
      <w:bookmarkStart w:id="3813" w:name="_Toc96358495"/>
      <w:bookmarkEnd w:id="3813"/>
      <w:bookmarkStart w:id="3814" w:name="_Toc96358494"/>
      <w:bookmarkEnd w:id="3814"/>
      <w:bookmarkStart w:id="3815" w:name="_Toc96358498"/>
      <w:bookmarkEnd w:id="3815"/>
      <w:bookmarkStart w:id="3816" w:name="_Toc96358493"/>
      <w:bookmarkEnd w:id="3816"/>
      <w:bookmarkStart w:id="3817" w:name="_Toc96358496"/>
      <w:bookmarkEnd w:id="3817"/>
      <w:bookmarkStart w:id="3818" w:name="_Toc96358497"/>
      <w:bookmarkEnd w:id="3818"/>
      <w:bookmarkStart w:id="3819" w:name="_Toc96358499"/>
      <w:bookmarkStart w:id="3820" w:name="_Toc114734646"/>
      <w:bookmarkStart w:id="3821" w:name="_Toc70600777"/>
      <w:bookmarkStart w:id="3822" w:name="_Toc126321329"/>
      <w:r>
        <w:rPr>
          <w:rFonts w:hint="eastAsia"/>
        </w:rPr>
        <w:t>应急管理</w:t>
      </w:r>
      <w:bookmarkEnd w:id="3819"/>
      <w:bookmarkEnd w:id="3820"/>
      <w:bookmarkEnd w:id="3821"/>
      <w:bookmarkEnd w:id="3822"/>
    </w:p>
    <w:p>
      <w:pPr>
        <w:ind w:firstLine="0" w:firstLineChars="0"/>
        <w:rPr>
          <w:szCs w:val="28"/>
        </w:rPr>
      </w:pPr>
      <w:r>
        <w:rPr>
          <w:b/>
          <w:lang w:val="zh-CN"/>
        </w:rPr>
        <w:t>6.4.1</w:t>
      </w:r>
      <w:r>
        <w:rPr>
          <w:rFonts w:ascii="宋体" w:hAnsi="宋体"/>
          <w:szCs w:val="28"/>
        </w:rPr>
        <w:t xml:space="preserve">  </w:t>
      </w:r>
      <w:r>
        <w:rPr>
          <w:rFonts w:hint="eastAsia"/>
          <w:szCs w:val="28"/>
        </w:rPr>
        <w:t>应建立常规异常事故及突发事故应急处理工作机制，制定相应异常排除和应急处理预案。</w:t>
      </w:r>
    </w:p>
    <w:p>
      <w:pPr>
        <w:ind w:firstLine="0" w:firstLineChars="0"/>
        <w:rPr>
          <w:szCs w:val="28"/>
          <w:lang w:val="zh-CN"/>
        </w:rPr>
      </w:pPr>
      <w:r>
        <w:rPr>
          <w:b/>
          <w:lang w:val="zh-CN"/>
        </w:rPr>
        <w:t>6.4.2</w:t>
      </w:r>
      <w:r>
        <w:rPr>
          <w:rFonts w:ascii="宋体" w:hAnsi="宋体"/>
          <w:szCs w:val="28"/>
        </w:rPr>
        <w:t xml:space="preserve">  </w:t>
      </w:r>
      <w:r>
        <w:rPr>
          <w:rFonts w:hint="eastAsia"/>
          <w:szCs w:val="28"/>
          <w:lang w:val="zh-CN"/>
        </w:rPr>
        <w:t>应重点关注进水水量、水质变化，针对不同水量及水质情况，启动相应防淹措施和工艺调整预案。</w:t>
      </w:r>
    </w:p>
    <w:p>
      <w:pPr>
        <w:ind w:firstLine="0" w:firstLineChars="0"/>
        <w:rPr>
          <w:szCs w:val="28"/>
          <w:lang w:val="zh-CN"/>
        </w:rPr>
      </w:pPr>
      <w:r>
        <w:rPr>
          <w:b/>
          <w:lang w:val="zh-CN"/>
        </w:rPr>
        <w:t>6.4.3</w:t>
      </w:r>
      <w:r>
        <w:rPr>
          <w:rFonts w:ascii="宋体" w:hAnsi="宋体"/>
          <w:szCs w:val="28"/>
        </w:rPr>
        <w:t xml:space="preserve">  </w:t>
      </w:r>
      <w:r>
        <w:rPr>
          <w:rFonts w:hint="eastAsia"/>
          <w:szCs w:val="28"/>
          <w:lang w:val="zh-CN"/>
        </w:rPr>
        <w:t>应建立除臭系统、有毒有害气体预警机制，确保事故工况下能满足除臭及有毒有害气体监控要求。</w:t>
      </w:r>
    </w:p>
    <w:p>
      <w:pPr>
        <w:ind w:firstLine="0" w:firstLineChars="0"/>
        <w:rPr>
          <w:szCs w:val="28"/>
          <w:lang w:val="zh-CN"/>
        </w:rPr>
      </w:pPr>
      <w:r>
        <w:rPr>
          <w:b/>
          <w:lang w:val="zh-CN"/>
        </w:rPr>
        <w:t>6.4.4</w:t>
      </w:r>
      <w:r>
        <w:rPr>
          <w:rFonts w:ascii="宋体" w:hAnsi="宋体"/>
          <w:szCs w:val="28"/>
        </w:rPr>
        <w:t xml:space="preserve">  </w:t>
      </w:r>
      <w:r>
        <w:rPr>
          <w:rFonts w:hint="eastAsia"/>
          <w:szCs w:val="28"/>
          <w:lang w:val="zh-CN"/>
        </w:rPr>
        <w:t>应针对地下空间池壁或池顶的渗水异常，设置处置规范及流程，并应符合现行国家标准《地下工程防水技术规范》G</w:t>
      </w:r>
      <w:r>
        <w:rPr>
          <w:szCs w:val="28"/>
          <w:lang w:val="zh-CN"/>
        </w:rPr>
        <w:t>B 50108</w:t>
      </w:r>
      <w:r>
        <w:rPr>
          <w:rFonts w:hint="eastAsia"/>
          <w:szCs w:val="28"/>
          <w:lang w:val="zh-CN"/>
        </w:rPr>
        <w:t>的有关规定。</w:t>
      </w:r>
    </w:p>
    <w:p>
      <w:pPr>
        <w:ind w:firstLine="0" w:firstLineChars="0"/>
        <w:rPr>
          <w:szCs w:val="28"/>
          <w:lang w:val="zh-CN"/>
        </w:rPr>
      </w:pPr>
      <w:r>
        <w:rPr>
          <w:b/>
          <w:lang w:val="zh-CN"/>
        </w:rPr>
        <w:t>6.4.5</w:t>
      </w:r>
      <w:r>
        <w:rPr>
          <w:rFonts w:ascii="宋体" w:hAnsi="宋体"/>
          <w:szCs w:val="28"/>
        </w:rPr>
        <w:t xml:space="preserve">  </w:t>
      </w:r>
      <w:r>
        <w:rPr>
          <w:rFonts w:hint="eastAsia"/>
          <w:szCs w:val="28"/>
          <w:lang w:val="zh-CN"/>
        </w:rPr>
        <w:t>应保证应急设备与物资充足，并设置在固定区域及明显标识。应急设备物资应包括消防器材、防淹防洪器材、通风器材、防毒防臭器材、应急电源及搜救器材、应急药品、应急通讯及视频显示设施、应急交通设施等。应在每月至少</w:t>
      </w:r>
      <w:r>
        <w:rPr>
          <w:szCs w:val="28"/>
          <w:lang w:val="zh-CN"/>
        </w:rPr>
        <w:t>2</w:t>
      </w:r>
      <w:r>
        <w:rPr>
          <w:rFonts w:hint="eastAsia"/>
          <w:szCs w:val="28"/>
          <w:lang w:val="zh-CN"/>
        </w:rPr>
        <w:t>次的检查中做好记录、补充、更换等工作。</w:t>
      </w:r>
    </w:p>
    <w:p>
      <w:pPr>
        <w:ind w:firstLine="0" w:firstLineChars="0"/>
        <w:rPr>
          <w:szCs w:val="28"/>
          <w:lang w:val="zh-CN"/>
        </w:rPr>
      </w:pPr>
      <w:r>
        <w:rPr>
          <w:b/>
          <w:lang w:val="zh-CN"/>
        </w:rPr>
        <w:t>6.4.6</w:t>
      </w:r>
      <w:r>
        <w:rPr>
          <w:rFonts w:ascii="宋体" w:hAnsi="宋体"/>
          <w:szCs w:val="28"/>
        </w:rPr>
        <w:t xml:space="preserve">  </w:t>
      </w:r>
      <w:r>
        <w:rPr>
          <w:rFonts w:hint="eastAsia"/>
          <w:szCs w:val="28"/>
          <w:lang w:val="zh-CN"/>
        </w:rPr>
        <w:t>应针对事故应急处理能力每年至少进行</w:t>
      </w:r>
      <w:r>
        <w:rPr>
          <w:szCs w:val="28"/>
          <w:lang w:val="zh-CN"/>
        </w:rPr>
        <w:t>l</w:t>
      </w:r>
      <w:r>
        <w:rPr>
          <w:rFonts w:hint="eastAsia"/>
          <w:szCs w:val="28"/>
          <w:lang w:val="zh-CN"/>
        </w:rPr>
        <w:t>次应急预案的培训和演练，演练应做好记录，反馈应急预案的评审和修改。</w:t>
      </w:r>
    </w:p>
    <w:p>
      <w:pPr>
        <w:ind w:firstLine="0" w:firstLineChars="0"/>
        <w:rPr>
          <w:rFonts w:ascii="宋体" w:hAnsi="宋体"/>
          <w:sz w:val="24"/>
          <w:szCs w:val="28"/>
        </w:rPr>
        <w:sectPr>
          <w:pgSz w:w="11906" w:h="16838"/>
          <w:pgMar w:top="1440" w:right="1440" w:bottom="1117" w:left="1800" w:header="851" w:footer="992" w:gutter="0"/>
          <w:cols w:space="425" w:num="1"/>
          <w:docGrid w:type="lines" w:linePitch="312" w:charSpace="0"/>
        </w:sectPr>
      </w:pPr>
    </w:p>
    <w:p>
      <w:pPr>
        <w:pStyle w:val="3"/>
        <w:spacing w:before="312" w:beforeLines="100" w:after="312" w:afterLines="100"/>
      </w:pPr>
      <w:bookmarkStart w:id="3823" w:name="_Toc96358500"/>
      <w:bookmarkStart w:id="3824" w:name="_Toc114734647"/>
      <w:bookmarkStart w:id="3825" w:name="_Toc126321330"/>
      <w:bookmarkStart w:id="3826" w:name="_Toc70600784"/>
      <w:r>
        <w:rPr>
          <w:rFonts w:hint="eastAsia"/>
        </w:rPr>
        <w:t>职业健康</w:t>
      </w:r>
      <w:bookmarkEnd w:id="3823"/>
      <w:bookmarkEnd w:id="3824"/>
      <w:bookmarkEnd w:id="3825"/>
      <w:bookmarkEnd w:id="3826"/>
    </w:p>
    <w:p>
      <w:pPr>
        <w:ind w:firstLine="0" w:firstLineChars="0"/>
        <w:rPr>
          <w:szCs w:val="28"/>
          <w:lang w:val="zh-CN"/>
        </w:rPr>
      </w:pPr>
      <w:r>
        <w:rPr>
          <w:b/>
          <w:lang w:val="zh-CN"/>
        </w:rPr>
        <w:t>6.5.1</w:t>
      </w:r>
      <w:r>
        <w:rPr>
          <w:rFonts w:ascii="宋体" w:hAnsi="宋体"/>
          <w:szCs w:val="28"/>
        </w:rPr>
        <w:t xml:space="preserve">  </w:t>
      </w:r>
      <w:r>
        <w:rPr>
          <w:rFonts w:hint="eastAsia"/>
          <w:szCs w:val="28"/>
          <w:lang w:val="zh-CN"/>
        </w:rPr>
        <w:t>地下式城镇污水处理厂的职业卫生应符合现行国家标准</w:t>
      </w:r>
      <w:r>
        <w:rPr>
          <w:szCs w:val="28"/>
          <w:lang w:val="zh-CN"/>
        </w:rPr>
        <w:t xml:space="preserve"> GBZ 1</w:t>
      </w:r>
      <w:r>
        <w:rPr>
          <w:rFonts w:hint="eastAsia"/>
          <w:szCs w:val="28"/>
          <w:lang w:val="zh-CN"/>
        </w:rPr>
        <w:t>、</w:t>
      </w:r>
      <w:r>
        <w:rPr>
          <w:szCs w:val="28"/>
          <w:lang w:val="zh-CN"/>
        </w:rPr>
        <w:t>GBZ 2.1</w:t>
      </w:r>
      <w:r>
        <w:rPr>
          <w:rFonts w:hint="eastAsia"/>
          <w:szCs w:val="28"/>
          <w:lang w:val="zh-CN"/>
        </w:rPr>
        <w:t>、</w:t>
      </w:r>
      <w:r>
        <w:rPr>
          <w:szCs w:val="28"/>
          <w:lang w:val="zh-CN"/>
        </w:rPr>
        <w:t xml:space="preserve">GBZ 2.2 </w:t>
      </w:r>
      <w:r>
        <w:rPr>
          <w:rFonts w:hint="eastAsia"/>
          <w:szCs w:val="28"/>
          <w:lang w:val="zh-CN"/>
        </w:rPr>
        <w:t>和</w:t>
      </w:r>
      <w:r>
        <w:rPr>
          <w:szCs w:val="28"/>
          <w:lang w:val="zh-CN"/>
        </w:rPr>
        <w:t xml:space="preserve"> GB 12801</w:t>
      </w:r>
      <w:r>
        <w:rPr>
          <w:rFonts w:hint="eastAsia"/>
          <w:szCs w:val="28"/>
          <w:lang w:val="zh-CN"/>
        </w:rPr>
        <w:t>及相关地方标准的规定。</w:t>
      </w:r>
    </w:p>
    <w:p>
      <w:pPr>
        <w:pStyle w:val="124"/>
        <w:ind w:firstLine="0" w:firstLineChars="0"/>
        <w:rPr>
          <w:szCs w:val="28"/>
        </w:rPr>
      </w:pPr>
      <w:r>
        <w:rPr>
          <w:b/>
          <w:lang w:val="zh-CN"/>
        </w:rPr>
        <w:t>6.5.2</w:t>
      </w:r>
      <w:r>
        <w:rPr>
          <w:rFonts w:ascii="宋体" w:hAnsi="宋体"/>
          <w:szCs w:val="28"/>
        </w:rPr>
        <w:t xml:space="preserve">  </w:t>
      </w:r>
      <w:r>
        <w:rPr>
          <w:rFonts w:hint="eastAsia"/>
          <w:szCs w:val="28"/>
        </w:rPr>
        <w:t>运行管理、操作和维护人员应定期进行劳动安全培训，应经过安全、卫生知识培训和考核，掌握本岗位生产技能和应急处理、紧急救护的方法。各岗位人员应考核合格后上岗工作。</w:t>
      </w:r>
    </w:p>
    <w:p>
      <w:pPr>
        <w:ind w:firstLine="0" w:firstLineChars="0"/>
        <w:rPr>
          <w:lang w:val="zh-CN"/>
        </w:rPr>
      </w:pPr>
      <w:r>
        <w:rPr>
          <w:b/>
          <w:lang w:val="zh-CN"/>
        </w:rPr>
        <w:t>6.5.3</w:t>
      </w:r>
      <w:r>
        <w:rPr>
          <w:rFonts w:ascii="宋体" w:hAnsi="宋体"/>
          <w:szCs w:val="28"/>
        </w:rPr>
        <w:t xml:space="preserve">  </w:t>
      </w:r>
      <w:r>
        <w:rPr>
          <w:rFonts w:hint="eastAsia"/>
          <w:szCs w:val="28"/>
        </w:rPr>
        <w:t>运行管理、操作和维护人员应按照《个体防护装备选用规范》</w:t>
      </w:r>
      <w:r>
        <w:rPr>
          <w:szCs w:val="28"/>
        </w:rPr>
        <w:t xml:space="preserve">GB 11651 </w:t>
      </w:r>
      <w:r>
        <w:rPr>
          <w:rFonts w:hint="eastAsia"/>
          <w:szCs w:val="28"/>
        </w:rPr>
        <w:t>和国家发布的劳动防护用品配备标准等有关规定，配备劳动防护用品。劳动防护用品应准备充足，并定期检查和更换。地下厂区出入口位置宜设置检查岗，检查操作人员是否佩戴好相应的安全防护用品。</w:t>
      </w:r>
    </w:p>
    <w:p>
      <w:pPr>
        <w:ind w:firstLine="560"/>
        <w:rPr>
          <w:lang w:val="zh-CN"/>
        </w:rPr>
      </w:pPr>
    </w:p>
    <w:p>
      <w:pPr>
        <w:ind w:firstLine="0" w:firstLineChars="0"/>
        <w:sectPr>
          <w:pgSz w:w="11906" w:h="16838"/>
          <w:pgMar w:top="1440" w:right="1440" w:bottom="1117" w:left="1800" w:header="851" w:footer="992" w:gutter="0"/>
          <w:cols w:space="425" w:num="1"/>
          <w:docGrid w:type="lines" w:linePitch="312" w:charSpace="0"/>
        </w:sectPr>
      </w:pPr>
    </w:p>
    <w:p>
      <w:pPr>
        <w:pStyle w:val="2"/>
        <w:numPr>
          <w:ilvl w:val="0"/>
          <w:numId w:val="0"/>
        </w:numPr>
        <w:spacing w:before="624" w:after="624"/>
        <w:rPr>
          <w:color w:val="auto"/>
        </w:rPr>
      </w:pPr>
      <w:bookmarkStart w:id="3827" w:name="_Toc96358501"/>
      <w:bookmarkStart w:id="3828" w:name="_Toc70600785"/>
      <w:bookmarkStart w:id="3829" w:name="_Toc114734648"/>
      <w:bookmarkStart w:id="3830" w:name="_Toc126321331"/>
      <w:r>
        <w:rPr>
          <w:rFonts w:hint="eastAsia"/>
          <w:color w:val="auto"/>
        </w:rPr>
        <w:t>本规程用词说明</w:t>
      </w:r>
      <w:bookmarkEnd w:id="3827"/>
      <w:bookmarkEnd w:id="3828"/>
      <w:bookmarkEnd w:id="3829"/>
      <w:bookmarkEnd w:id="3830"/>
    </w:p>
    <w:p>
      <w:pPr>
        <w:ind w:firstLine="482"/>
        <w:rPr>
          <w:sz w:val="24"/>
        </w:rPr>
      </w:pPr>
      <w:r>
        <w:rPr>
          <w:b/>
          <w:sz w:val="24"/>
        </w:rPr>
        <w:t>1</w:t>
      </w:r>
      <w:r>
        <w:rPr>
          <w:rFonts w:hint="eastAsia"/>
          <w:sz w:val="24"/>
        </w:rPr>
        <w:t>为便于在执行本规程条文时区别对待，对要求严格程度不同的用词说明如下：</w:t>
      </w:r>
    </w:p>
    <w:p>
      <w:pPr>
        <w:ind w:firstLine="482"/>
        <w:rPr>
          <w:sz w:val="24"/>
        </w:rPr>
      </w:pPr>
      <w:r>
        <w:rPr>
          <w:b/>
          <w:sz w:val="24"/>
        </w:rPr>
        <w:t>1</w:t>
      </w:r>
      <w:r>
        <w:rPr>
          <w:rFonts w:hint="eastAsia"/>
          <w:sz w:val="24"/>
        </w:rPr>
        <w:t>）表示很严格，非这样做不可的：</w:t>
      </w:r>
    </w:p>
    <w:p>
      <w:pPr>
        <w:ind w:firstLine="480"/>
        <w:rPr>
          <w:sz w:val="24"/>
        </w:rPr>
      </w:pPr>
      <w:r>
        <w:rPr>
          <w:rFonts w:hint="eastAsia"/>
          <w:sz w:val="24"/>
        </w:rPr>
        <w:t>正面词采用</w:t>
      </w:r>
      <w:r>
        <w:rPr>
          <w:sz w:val="24"/>
        </w:rPr>
        <w:t>“</w:t>
      </w:r>
      <w:r>
        <w:rPr>
          <w:rFonts w:hint="eastAsia"/>
          <w:sz w:val="24"/>
        </w:rPr>
        <w:t>必须</w:t>
      </w:r>
      <w:r>
        <w:rPr>
          <w:sz w:val="24"/>
        </w:rPr>
        <w:t>”</w:t>
      </w:r>
      <w:r>
        <w:rPr>
          <w:rFonts w:hint="eastAsia"/>
          <w:sz w:val="24"/>
        </w:rPr>
        <w:t>，反面词采用</w:t>
      </w:r>
      <w:r>
        <w:rPr>
          <w:sz w:val="24"/>
        </w:rPr>
        <w:t>“</w:t>
      </w:r>
      <w:r>
        <w:rPr>
          <w:rFonts w:hint="eastAsia"/>
          <w:sz w:val="24"/>
        </w:rPr>
        <w:t>严禁</w:t>
      </w:r>
      <w:r>
        <w:rPr>
          <w:sz w:val="24"/>
        </w:rPr>
        <w:t>”</w:t>
      </w:r>
      <w:r>
        <w:rPr>
          <w:rFonts w:hint="eastAsia"/>
          <w:sz w:val="24"/>
        </w:rPr>
        <w:t>；</w:t>
      </w:r>
    </w:p>
    <w:p>
      <w:pPr>
        <w:ind w:firstLine="482"/>
        <w:rPr>
          <w:sz w:val="24"/>
        </w:rPr>
      </w:pPr>
      <w:r>
        <w:rPr>
          <w:b/>
          <w:sz w:val="24"/>
        </w:rPr>
        <w:t>2</w:t>
      </w:r>
      <w:r>
        <w:rPr>
          <w:rFonts w:hint="eastAsia"/>
          <w:sz w:val="24"/>
        </w:rPr>
        <w:t>）表示严格，在正常情况下均应这样做的：</w:t>
      </w:r>
    </w:p>
    <w:p>
      <w:pPr>
        <w:ind w:firstLine="480"/>
        <w:rPr>
          <w:sz w:val="24"/>
        </w:rPr>
      </w:pPr>
      <w:r>
        <w:rPr>
          <w:rFonts w:hint="eastAsia"/>
          <w:sz w:val="24"/>
        </w:rPr>
        <w:t>正面词采用</w:t>
      </w:r>
      <w:r>
        <w:rPr>
          <w:sz w:val="24"/>
        </w:rPr>
        <w:t>“</w:t>
      </w:r>
      <w:r>
        <w:rPr>
          <w:rFonts w:hint="eastAsia"/>
          <w:sz w:val="24"/>
        </w:rPr>
        <w:t>应</w:t>
      </w:r>
      <w:r>
        <w:rPr>
          <w:sz w:val="24"/>
        </w:rPr>
        <w:t>”</w:t>
      </w:r>
      <w:r>
        <w:rPr>
          <w:rFonts w:hint="eastAsia"/>
          <w:sz w:val="24"/>
        </w:rPr>
        <w:t>，反面词采用</w:t>
      </w:r>
      <w:r>
        <w:rPr>
          <w:sz w:val="24"/>
        </w:rPr>
        <w:t>“</w:t>
      </w:r>
      <w:r>
        <w:rPr>
          <w:rFonts w:hint="eastAsia"/>
          <w:sz w:val="24"/>
        </w:rPr>
        <w:t>不应</w:t>
      </w:r>
      <w:r>
        <w:rPr>
          <w:sz w:val="24"/>
        </w:rPr>
        <w:t>”</w:t>
      </w:r>
      <w:r>
        <w:rPr>
          <w:rFonts w:hint="eastAsia"/>
          <w:sz w:val="24"/>
        </w:rPr>
        <w:t>或</w:t>
      </w:r>
      <w:r>
        <w:rPr>
          <w:sz w:val="24"/>
        </w:rPr>
        <w:t>“</w:t>
      </w:r>
      <w:r>
        <w:rPr>
          <w:rFonts w:hint="eastAsia"/>
          <w:sz w:val="24"/>
        </w:rPr>
        <w:t>不得</w:t>
      </w:r>
      <w:r>
        <w:rPr>
          <w:sz w:val="24"/>
        </w:rPr>
        <w:t>”</w:t>
      </w:r>
      <w:r>
        <w:rPr>
          <w:rFonts w:hint="eastAsia"/>
          <w:sz w:val="24"/>
        </w:rPr>
        <w:t>；</w:t>
      </w:r>
    </w:p>
    <w:p>
      <w:pPr>
        <w:ind w:firstLine="482"/>
        <w:rPr>
          <w:sz w:val="24"/>
        </w:rPr>
      </w:pPr>
      <w:r>
        <w:rPr>
          <w:b/>
          <w:sz w:val="24"/>
        </w:rPr>
        <w:t>3</w:t>
      </w:r>
      <w:r>
        <w:rPr>
          <w:rFonts w:hint="eastAsia"/>
          <w:sz w:val="24"/>
        </w:rPr>
        <w:t>）表示允许稍有选择，在条件许可时首先应这样做的：</w:t>
      </w:r>
    </w:p>
    <w:p>
      <w:pPr>
        <w:ind w:firstLine="480"/>
        <w:rPr>
          <w:sz w:val="24"/>
        </w:rPr>
      </w:pPr>
      <w:r>
        <w:rPr>
          <w:rFonts w:hint="eastAsia"/>
          <w:sz w:val="24"/>
        </w:rPr>
        <w:t>正面词采用</w:t>
      </w:r>
      <w:r>
        <w:rPr>
          <w:sz w:val="24"/>
        </w:rPr>
        <w:t>“</w:t>
      </w:r>
      <w:r>
        <w:rPr>
          <w:rFonts w:hint="eastAsia"/>
          <w:sz w:val="24"/>
        </w:rPr>
        <w:t>宜</w:t>
      </w:r>
      <w:r>
        <w:rPr>
          <w:sz w:val="24"/>
        </w:rPr>
        <w:t>”</w:t>
      </w:r>
      <w:r>
        <w:rPr>
          <w:rFonts w:hint="eastAsia"/>
          <w:sz w:val="24"/>
        </w:rPr>
        <w:t>，反面词采用</w:t>
      </w:r>
      <w:r>
        <w:rPr>
          <w:sz w:val="24"/>
        </w:rPr>
        <w:t>“</w:t>
      </w:r>
      <w:r>
        <w:rPr>
          <w:rFonts w:hint="eastAsia"/>
          <w:sz w:val="24"/>
        </w:rPr>
        <w:t>不宜</w:t>
      </w:r>
      <w:r>
        <w:rPr>
          <w:sz w:val="24"/>
        </w:rPr>
        <w:t>”</w:t>
      </w:r>
      <w:r>
        <w:rPr>
          <w:rFonts w:hint="eastAsia"/>
          <w:sz w:val="24"/>
        </w:rPr>
        <w:t>；</w:t>
      </w:r>
    </w:p>
    <w:p>
      <w:pPr>
        <w:ind w:firstLine="482"/>
        <w:rPr>
          <w:sz w:val="24"/>
        </w:rPr>
      </w:pPr>
      <w:r>
        <w:rPr>
          <w:b/>
          <w:sz w:val="24"/>
        </w:rPr>
        <w:t>4</w:t>
      </w:r>
      <w:r>
        <w:rPr>
          <w:rFonts w:hint="eastAsia"/>
          <w:sz w:val="24"/>
        </w:rPr>
        <w:t>）表示有选择，在一定条件下可这样做的，采用</w:t>
      </w:r>
      <w:r>
        <w:rPr>
          <w:sz w:val="24"/>
        </w:rPr>
        <w:t>“</w:t>
      </w:r>
      <w:r>
        <w:rPr>
          <w:rFonts w:hint="eastAsia"/>
          <w:sz w:val="24"/>
        </w:rPr>
        <w:t>可</w:t>
      </w:r>
      <w:r>
        <w:rPr>
          <w:sz w:val="24"/>
        </w:rPr>
        <w:t>”</w:t>
      </w:r>
      <w:r>
        <w:rPr>
          <w:rFonts w:hint="eastAsia"/>
          <w:sz w:val="24"/>
        </w:rPr>
        <w:t>。</w:t>
      </w:r>
    </w:p>
    <w:p>
      <w:pPr>
        <w:ind w:firstLine="482"/>
        <w:rPr>
          <w:sz w:val="24"/>
        </w:rPr>
      </w:pPr>
      <w:r>
        <w:rPr>
          <w:b/>
          <w:sz w:val="24"/>
        </w:rPr>
        <w:t>2</w:t>
      </w:r>
      <w:r>
        <w:rPr>
          <w:rFonts w:hint="eastAsia"/>
          <w:sz w:val="24"/>
        </w:rPr>
        <w:t>条文中指明应按其他有关标准执行的写法为：</w:t>
      </w:r>
      <w:r>
        <w:rPr>
          <w:sz w:val="24"/>
        </w:rPr>
        <w:t>“</w:t>
      </w:r>
      <w:r>
        <w:rPr>
          <w:rFonts w:hint="eastAsia"/>
          <w:sz w:val="24"/>
        </w:rPr>
        <w:t>应符合</w:t>
      </w:r>
      <w:r>
        <w:rPr>
          <w:sz w:val="24"/>
        </w:rPr>
        <w:t>……</w:t>
      </w:r>
      <w:r>
        <w:rPr>
          <w:rFonts w:hint="eastAsia"/>
          <w:sz w:val="24"/>
        </w:rPr>
        <w:t>的规定</w:t>
      </w:r>
      <w:r>
        <w:rPr>
          <w:sz w:val="24"/>
        </w:rPr>
        <w:t>”</w:t>
      </w:r>
      <w:r>
        <w:rPr>
          <w:rFonts w:hint="eastAsia"/>
          <w:sz w:val="24"/>
        </w:rPr>
        <w:t>或</w:t>
      </w:r>
      <w:r>
        <w:rPr>
          <w:sz w:val="24"/>
        </w:rPr>
        <w:t>“</w:t>
      </w:r>
      <w:r>
        <w:rPr>
          <w:rFonts w:hint="eastAsia"/>
          <w:sz w:val="24"/>
        </w:rPr>
        <w:t>应按</w:t>
      </w:r>
      <w:r>
        <w:rPr>
          <w:sz w:val="24"/>
        </w:rPr>
        <w:t>……</w:t>
      </w:r>
      <w:r>
        <w:rPr>
          <w:rFonts w:hint="eastAsia"/>
          <w:sz w:val="24"/>
        </w:rPr>
        <w:t>执行</w:t>
      </w:r>
      <w:r>
        <w:rPr>
          <w:sz w:val="24"/>
        </w:rPr>
        <w:t>”</w:t>
      </w:r>
      <w:r>
        <w:rPr>
          <w:rFonts w:hint="eastAsia"/>
          <w:sz w:val="24"/>
        </w:rPr>
        <w:t>。</w:t>
      </w:r>
    </w:p>
    <w:p>
      <w:pPr>
        <w:ind w:firstLine="0" w:firstLineChars="0"/>
      </w:pPr>
    </w:p>
    <w:p>
      <w:pPr>
        <w:ind w:firstLine="0" w:firstLineChars="0"/>
        <w:sectPr>
          <w:pgSz w:w="11906" w:h="16838"/>
          <w:pgMar w:top="1440" w:right="1440" w:bottom="1117" w:left="1800" w:header="851" w:footer="992" w:gutter="0"/>
          <w:cols w:space="425" w:num="1"/>
          <w:docGrid w:type="lines" w:linePitch="312" w:charSpace="0"/>
        </w:sectPr>
      </w:pPr>
    </w:p>
    <w:p>
      <w:pPr>
        <w:pStyle w:val="2"/>
        <w:numPr>
          <w:ilvl w:val="0"/>
          <w:numId w:val="0"/>
        </w:numPr>
        <w:spacing w:before="624" w:after="624"/>
        <w:rPr>
          <w:color w:val="auto"/>
        </w:rPr>
      </w:pPr>
      <w:bookmarkStart w:id="3831" w:name="_Toc96358502"/>
      <w:bookmarkStart w:id="3832" w:name="_Toc126321332"/>
      <w:bookmarkStart w:id="3833" w:name="_Toc114734649"/>
      <w:bookmarkStart w:id="3834" w:name="_Toc70600786"/>
      <w:r>
        <w:rPr>
          <w:rFonts w:hint="eastAsia"/>
          <w:color w:val="auto"/>
        </w:rPr>
        <w:t>引用标准名录</w:t>
      </w:r>
      <w:bookmarkEnd w:id="3831"/>
      <w:bookmarkEnd w:id="3832"/>
      <w:bookmarkEnd w:id="3833"/>
      <w:bookmarkEnd w:id="3834"/>
    </w:p>
    <w:p>
      <w:pPr>
        <w:pStyle w:val="123"/>
        <w:adjustRightInd w:val="0"/>
        <w:snapToGrid w:val="0"/>
        <w:ind w:left="426" w:firstLine="0" w:firstLineChars="0"/>
      </w:pPr>
      <w:r>
        <w:t>《地</w:t>
      </w:r>
      <w:r>
        <w:rPr>
          <w:rFonts w:hint="eastAsia"/>
        </w:rPr>
        <w:t>表</w:t>
      </w:r>
      <w:r>
        <w:t>水环境质量标准》GB 3838</w:t>
      </w:r>
    </w:p>
    <w:p>
      <w:pPr>
        <w:pStyle w:val="123"/>
        <w:adjustRightInd w:val="0"/>
        <w:snapToGrid w:val="0"/>
        <w:ind w:left="426" w:firstLine="0" w:firstLineChars="0"/>
      </w:pPr>
      <w:r>
        <w:t>《恶臭污染物排放标准》GB 14554</w:t>
      </w:r>
    </w:p>
    <w:p>
      <w:pPr>
        <w:pStyle w:val="123"/>
        <w:adjustRightInd w:val="0"/>
        <w:snapToGrid w:val="0"/>
        <w:ind w:left="426" w:firstLine="0" w:firstLineChars="0"/>
      </w:pPr>
      <w:r>
        <w:rPr>
          <w:rFonts w:hint="eastAsia"/>
        </w:rPr>
        <w:t>《城镇污水处理厂污染物排放标准》</w:t>
      </w:r>
      <w:r>
        <w:t>GB 18918</w:t>
      </w:r>
    </w:p>
    <w:p>
      <w:pPr>
        <w:pStyle w:val="123"/>
        <w:adjustRightInd w:val="0"/>
        <w:snapToGrid w:val="0"/>
        <w:ind w:left="426" w:firstLine="0" w:firstLineChars="0"/>
      </w:pPr>
      <w:r>
        <w:rPr>
          <w:rFonts w:hint="eastAsia"/>
        </w:rPr>
        <w:t>《污水处理设备安全技术规范》</w:t>
      </w:r>
      <w:r>
        <w:t>GB 28742</w:t>
      </w:r>
    </w:p>
    <w:p>
      <w:pPr>
        <w:pStyle w:val="123"/>
        <w:adjustRightInd w:val="0"/>
        <w:snapToGrid w:val="0"/>
        <w:ind w:left="426" w:firstLine="0" w:firstLineChars="0"/>
      </w:pPr>
      <w:r>
        <w:t>《</w:t>
      </w:r>
      <w:r>
        <w:rPr>
          <w:rFonts w:hint="eastAsia"/>
        </w:rPr>
        <w:t>工程结构通用规范</w:t>
      </w:r>
      <w:r>
        <w:t>》GB 50001</w:t>
      </w:r>
    </w:p>
    <w:p>
      <w:pPr>
        <w:pStyle w:val="123"/>
        <w:adjustRightInd w:val="0"/>
        <w:snapToGrid w:val="0"/>
        <w:ind w:left="426" w:firstLine="0" w:firstLineChars="0"/>
      </w:pPr>
      <w:r>
        <w:t>《</w:t>
      </w:r>
      <w:r>
        <w:rPr>
          <w:rFonts w:hint="eastAsia"/>
        </w:rPr>
        <w:t>建筑与市政工程抗震通用规范</w:t>
      </w:r>
      <w:r>
        <w:t>》GB 50002</w:t>
      </w:r>
    </w:p>
    <w:p>
      <w:pPr>
        <w:pStyle w:val="123"/>
        <w:adjustRightInd w:val="0"/>
        <w:snapToGrid w:val="0"/>
        <w:ind w:left="426" w:firstLine="0" w:firstLineChars="0"/>
      </w:pPr>
      <w:r>
        <w:t>《</w:t>
      </w:r>
      <w:r>
        <w:rPr>
          <w:rFonts w:hint="eastAsia"/>
        </w:rPr>
        <w:t>建筑与市政地基基础通用规范</w:t>
      </w:r>
      <w:r>
        <w:t>》GB 50003</w:t>
      </w:r>
    </w:p>
    <w:p>
      <w:pPr>
        <w:pStyle w:val="123"/>
        <w:adjustRightInd w:val="0"/>
        <w:snapToGrid w:val="0"/>
        <w:ind w:left="426" w:firstLine="0" w:firstLineChars="0"/>
      </w:pPr>
      <w:r>
        <w:t>《</w:t>
      </w:r>
      <w:r>
        <w:rPr>
          <w:rFonts w:hint="eastAsia"/>
        </w:rPr>
        <w:t>砌体结构通用规范</w:t>
      </w:r>
      <w:r>
        <w:t>》GB 50007</w:t>
      </w:r>
    </w:p>
    <w:p>
      <w:pPr>
        <w:pStyle w:val="123"/>
        <w:adjustRightInd w:val="0"/>
        <w:snapToGrid w:val="0"/>
        <w:ind w:left="426" w:firstLine="0" w:firstLineChars="0"/>
      </w:pPr>
      <w:r>
        <w:t>《混凝土结构</w:t>
      </w:r>
      <w:r>
        <w:rPr>
          <w:rFonts w:hint="eastAsia"/>
        </w:rPr>
        <w:t>通用</w:t>
      </w:r>
      <w:r>
        <w:t>规范》GB 50008</w:t>
      </w:r>
    </w:p>
    <w:p>
      <w:pPr>
        <w:pStyle w:val="123"/>
        <w:adjustRightInd w:val="0"/>
        <w:snapToGrid w:val="0"/>
        <w:ind w:left="426" w:firstLine="0" w:firstLineChars="0"/>
      </w:pPr>
      <w:r>
        <w:t>《建筑结构荷载规范》GB 50009</w:t>
      </w:r>
    </w:p>
    <w:p>
      <w:pPr>
        <w:pStyle w:val="123"/>
        <w:adjustRightInd w:val="0"/>
        <w:snapToGrid w:val="0"/>
        <w:ind w:left="426" w:firstLine="0" w:firstLineChars="0"/>
      </w:pPr>
      <w:r>
        <w:t>《混凝土结构设计规范》GB 50010</w:t>
      </w:r>
    </w:p>
    <w:p>
      <w:pPr>
        <w:pStyle w:val="123"/>
        <w:adjustRightInd w:val="0"/>
        <w:snapToGrid w:val="0"/>
        <w:ind w:left="426" w:firstLine="0" w:firstLineChars="0"/>
      </w:pPr>
      <w:r>
        <w:t>《建筑抗震设计规范》GB 50011</w:t>
      </w:r>
    </w:p>
    <w:p>
      <w:pPr>
        <w:pStyle w:val="123"/>
        <w:adjustRightInd w:val="0"/>
        <w:snapToGrid w:val="0"/>
        <w:ind w:left="426" w:firstLine="0" w:firstLineChars="0"/>
      </w:pPr>
      <w:r>
        <w:rPr>
          <w:rFonts w:hint="eastAsia"/>
        </w:rPr>
        <w:t>《室外给水设计标准》</w:t>
      </w:r>
      <w:r>
        <w:t>GB 50013</w:t>
      </w:r>
    </w:p>
    <w:p>
      <w:pPr>
        <w:pStyle w:val="123"/>
        <w:adjustRightInd w:val="0"/>
        <w:snapToGrid w:val="0"/>
        <w:ind w:left="426" w:firstLine="0" w:firstLineChars="0"/>
      </w:pPr>
      <w:r>
        <w:t>《室外排水设计规范》GB 50014</w:t>
      </w:r>
    </w:p>
    <w:p>
      <w:pPr>
        <w:pStyle w:val="123"/>
        <w:adjustRightInd w:val="0"/>
        <w:snapToGrid w:val="0"/>
        <w:ind w:left="426" w:firstLine="0" w:firstLineChars="0"/>
      </w:pPr>
      <w:r>
        <w:rPr>
          <w:rFonts w:hint="eastAsia"/>
        </w:rPr>
        <w:t>《建筑给水排水设计规范》</w:t>
      </w:r>
      <w:r>
        <w:t>GB 50015</w:t>
      </w:r>
    </w:p>
    <w:p>
      <w:pPr>
        <w:pStyle w:val="123"/>
        <w:adjustRightInd w:val="0"/>
        <w:snapToGrid w:val="0"/>
        <w:ind w:left="426" w:firstLine="0" w:firstLineChars="0"/>
      </w:pPr>
      <w:r>
        <w:t>《建筑设计防火规范》GB 50016</w:t>
      </w:r>
    </w:p>
    <w:p>
      <w:pPr>
        <w:pStyle w:val="123"/>
        <w:adjustRightInd w:val="0"/>
        <w:snapToGrid w:val="0"/>
        <w:ind w:left="426" w:firstLine="0" w:firstLineChars="0"/>
      </w:pPr>
      <w:r>
        <w:rPr>
          <w:rFonts w:hint="eastAsia"/>
        </w:rPr>
        <w:t>《建筑照明设计标准》</w:t>
      </w:r>
      <w:r>
        <w:t>GB 50034</w:t>
      </w:r>
    </w:p>
    <w:p>
      <w:pPr>
        <w:pStyle w:val="123"/>
        <w:adjustRightInd w:val="0"/>
        <w:snapToGrid w:val="0"/>
        <w:ind w:left="426" w:firstLine="0" w:firstLineChars="0"/>
      </w:pPr>
      <w:r>
        <w:rPr>
          <w:rFonts w:hint="eastAsia"/>
        </w:rPr>
        <w:t>《供配电系统设计规范》</w:t>
      </w:r>
      <w:r>
        <w:t>GB 50052</w:t>
      </w:r>
    </w:p>
    <w:p>
      <w:pPr>
        <w:pStyle w:val="123"/>
        <w:adjustRightInd w:val="0"/>
        <w:snapToGrid w:val="0"/>
        <w:ind w:left="426" w:firstLine="0" w:firstLineChars="0"/>
      </w:pPr>
      <w:r>
        <w:rPr>
          <w:rFonts w:hint="eastAsia"/>
        </w:rPr>
        <w:t>《</w:t>
      </w:r>
      <w:r>
        <w:t>10KV</w:t>
      </w:r>
      <w:r>
        <w:rPr>
          <w:rFonts w:hint="eastAsia"/>
        </w:rPr>
        <w:t>及以下变电所设计规范》</w:t>
      </w:r>
      <w:r>
        <w:t>GB 50053</w:t>
      </w:r>
    </w:p>
    <w:p>
      <w:pPr>
        <w:pStyle w:val="123"/>
        <w:adjustRightInd w:val="0"/>
        <w:snapToGrid w:val="0"/>
        <w:ind w:left="426" w:firstLine="0" w:firstLineChars="0"/>
      </w:pPr>
      <w:r>
        <w:rPr>
          <w:rFonts w:hint="eastAsia"/>
        </w:rPr>
        <w:t>《低压配电设计规范》</w:t>
      </w:r>
      <w:r>
        <w:t>GB 50054</w:t>
      </w:r>
    </w:p>
    <w:p>
      <w:pPr>
        <w:pStyle w:val="123"/>
        <w:adjustRightInd w:val="0"/>
        <w:snapToGrid w:val="0"/>
        <w:ind w:left="426" w:firstLine="0" w:firstLineChars="0"/>
      </w:pPr>
      <w:r>
        <w:rPr>
          <w:rFonts w:hint="eastAsia"/>
        </w:rPr>
        <w:t>《建筑物防雷设计规范》</w:t>
      </w:r>
      <w:r>
        <w:t>GB 50057</w:t>
      </w:r>
    </w:p>
    <w:p>
      <w:pPr>
        <w:pStyle w:val="123"/>
        <w:adjustRightInd w:val="0"/>
        <w:snapToGrid w:val="0"/>
        <w:ind w:left="426" w:firstLine="0" w:firstLineChars="0"/>
      </w:pPr>
      <w:r>
        <w:t>《给水排水工程</w:t>
      </w:r>
      <w:r>
        <w:rPr>
          <w:rFonts w:hint="eastAsia"/>
        </w:rPr>
        <w:t>构筑物</w:t>
      </w:r>
      <w:r>
        <w:t>结构设计规范》GB 50069</w:t>
      </w:r>
    </w:p>
    <w:p>
      <w:pPr>
        <w:pStyle w:val="123"/>
        <w:adjustRightInd w:val="0"/>
        <w:snapToGrid w:val="0"/>
        <w:ind w:left="426" w:firstLine="0" w:firstLineChars="0"/>
      </w:pPr>
      <w:r>
        <w:rPr>
          <w:rFonts w:hint="eastAsia"/>
        </w:rPr>
        <w:t>《自动喷水灭火系统设计规范》</w:t>
      </w:r>
      <w:r>
        <w:t>GB 50084</w:t>
      </w:r>
    </w:p>
    <w:p>
      <w:pPr>
        <w:pStyle w:val="123"/>
        <w:adjustRightInd w:val="0"/>
        <w:snapToGrid w:val="0"/>
        <w:ind w:left="426" w:firstLine="0" w:firstLineChars="0"/>
      </w:pPr>
      <w:r>
        <w:t>《地下工程防水技术规范》GB50108</w:t>
      </w:r>
    </w:p>
    <w:p>
      <w:pPr>
        <w:pStyle w:val="123"/>
        <w:adjustRightInd w:val="0"/>
        <w:snapToGrid w:val="0"/>
        <w:ind w:left="426" w:firstLine="0" w:firstLineChars="0"/>
      </w:pPr>
      <w:r>
        <w:rPr>
          <w:rFonts w:hint="eastAsia"/>
        </w:rPr>
        <w:t>《自动化仪表工程施工质量验收规范》</w:t>
      </w:r>
      <w:r>
        <w:t>GB 50131</w:t>
      </w:r>
    </w:p>
    <w:p>
      <w:pPr>
        <w:pStyle w:val="123"/>
        <w:adjustRightInd w:val="0"/>
        <w:snapToGrid w:val="0"/>
        <w:ind w:left="426" w:firstLine="0" w:firstLineChars="0"/>
      </w:pPr>
      <w:r>
        <w:rPr>
          <w:rFonts w:hint="eastAsia"/>
        </w:rPr>
        <w:t>《建筑灭火器配置设计规范》</w:t>
      </w:r>
      <w:r>
        <w:t>GB 50140</w:t>
      </w:r>
    </w:p>
    <w:p>
      <w:pPr>
        <w:pStyle w:val="123"/>
        <w:adjustRightInd w:val="0"/>
        <w:snapToGrid w:val="0"/>
        <w:ind w:left="426" w:firstLine="0" w:firstLineChars="0"/>
      </w:pPr>
      <w:r>
        <w:rPr>
          <w:rFonts w:hint="eastAsia"/>
        </w:rPr>
        <w:t>《给水排水构筑物工程施工及验收规范》</w:t>
      </w:r>
      <w:r>
        <w:t>GB 50141</w:t>
      </w:r>
    </w:p>
    <w:p>
      <w:pPr>
        <w:pStyle w:val="123"/>
        <w:adjustRightInd w:val="0"/>
        <w:snapToGrid w:val="0"/>
        <w:ind w:left="426" w:firstLine="0" w:firstLineChars="0"/>
      </w:pPr>
      <w:r>
        <w:rPr>
          <w:rFonts w:hint="eastAsia"/>
        </w:rPr>
        <w:t>《电气装置安装工程</w:t>
      </w:r>
      <w:r>
        <w:t xml:space="preserve"> </w:t>
      </w:r>
      <w:r>
        <w:rPr>
          <w:rFonts w:hint="eastAsia"/>
        </w:rPr>
        <w:t>接地装置施工及验收规范》</w:t>
      </w:r>
      <w:r>
        <w:t xml:space="preserve"> GB 50169</w:t>
      </w:r>
    </w:p>
    <w:p>
      <w:pPr>
        <w:pStyle w:val="123"/>
        <w:adjustRightInd w:val="0"/>
        <w:snapToGrid w:val="0"/>
        <w:ind w:left="426" w:firstLine="0" w:firstLineChars="0"/>
      </w:pPr>
      <w:r>
        <w:rPr>
          <w:rFonts w:hint="eastAsia"/>
        </w:rPr>
        <w:t>《电力工程电缆设计规范》</w:t>
      </w:r>
      <w:r>
        <w:t>GB 50217</w:t>
      </w:r>
    </w:p>
    <w:p>
      <w:pPr>
        <w:pStyle w:val="123"/>
        <w:adjustRightInd w:val="0"/>
        <w:snapToGrid w:val="0"/>
        <w:ind w:left="426" w:firstLine="0" w:firstLineChars="0"/>
      </w:pPr>
      <w:r>
        <w:rPr>
          <w:rFonts w:hint="eastAsia"/>
        </w:rPr>
        <w:t>《城市给水工程规划规范》</w:t>
      </w:r>
      <w:r>
        <w:t>GB50282</w:t>
      </w:r>
    </w:p>
    <w:p>
      <w:pPr>
        <w:pStyle w:val="123"/>
        <w:adjustRightInd w:val="0"/>
        <w:snapToGrid w:val="0"/>
        <w:ind w:left="426" w:firstLine="0" w:firstLineChars="0"/>
      </w:pPr>
      <w:r>
        <w:rPr>
          <w:rFonts w:hint="eastAsia"/>
        </w:rPr>
        <w:t>《城市工程管线综合规划规》</w:t>
      </w:r>
      <w:r>
        <w:t>GB 50289</w:t>
      </w:r>
    </w:p>
    <w:p>
      <w:pPr>
        <w:pStyle w:val="123"/>
        <w:adjustRightInd w:val="0"/>
        <w:snapToGrid w:val="0"/>
        <w:ind w:left="426" w:firstLine="0" w:firstLineChars="0"/>
      </w:pPr>
      <w:r>
        <w:rPr>
          <w:rFonts w:hint="eastAsia"/>
        </w:rPr>
        <w:t>《城市排水工程规划规范》</w:t>
      </w:r>
      <w:r>
        <w:t>GB50318</w:t>
      </w:r>
    </w:p>
    <w:p>
      <w:pPr>
        <w:pStyle w:val="123"/>
        <w:adjustRightInd w:val="0"/>
        <w:snapToGrid w:val="0"/>
        <w:ind w:left="426" w:firstLine="0" w:firstLineChars="0"/>
      </w:pPr>
      <w:r>
        <w:rPr>
          <w:rFonts w:hint="eastAsia"/>
        </w:rPr>
        <w:t>《城市污水处理厂工程质量验收规范》</w:t>
      </w:r>
      <w:r>
        <w:t>GB 50334</w:t>
      </w:r>
    </w:p>
    <w:p>
      <w:pPr>
        <w:pStyle w:val="123"/>
        <w:adjustRightInd w:val="0"/>
        <w:snapToGrid w:val="0"/>
        <w:ind w:left="426" w:firstLine="0" w:firstLineChars="0"/>
      </w:pPr>
      <w:r>
        <w:rPr>
          <w:rFonts w:hint="eastAsia"/>
        </w:rPr>
        <w:t>《城镇污水再生利用工程设计规范》</w:t>
      </w:r>
      <w:r>
        <w:t>GB 50335</w:t>
      </w:r>
    </w:p>
    <w:p>
      <w:pPr>
        <w:pStyle w:val="123"/>
        <w:adjustRightInd w:val="0"/>
        <w:snapToGrid w:val="0"/>
        <w:ind w:left="426" w:firstLine="0" w:firstLineChars="0"/>
      </w:pPr>
      <w:r>
        <w:rPr>
          <w:rFonts w:hint="eastAsia"/>
        </w:rPr>
        <w:t>《气体灭火系统设计规范》</w:t>
      </w:r>
      <w:r>
        <w:t>GB 50370</w:t>
      </w:r>
    </w:p>
    <w:p>
      <w:pPr>
        <w:pStyle w:val="123"/>
        <w:adjustRightInd w:val="0"/>
        <w:snapToGrid w:val="0"/>
        <w:ind w:left="426" w:firstLine="0" w:firstLineChars="0"/>
      </w:pPr>
      <w:r>
        <w:rPr>
          <w:rFonts w:hint="eastAsia"/>
        </w:rPr>
        <w:t>《城镇给水排水技术规范》</w:t>
      </w:r>
      <w:r>
        <w:t>GB 50788</w:t>
      </w:r>
    </w:p>
    <w:p>
      <w:pPr>
        <w:pStyle w:val="123"/>
        <w:adjustRightInd w:val="0"/>
        <w:snapToGrid w:val="0"/>
        <w:ind w:left="426" w:firstLine="0" w:firstLineChars="0"/>
      </w:pPr>
      <w:r>
        <w:rPr>
          <w:rFonts w:hint="eastAsia"/>
        </w:rPr>
        <w:t>《消防给水及消火栓系统技术规范》</w:t>
      </w:r>
      <w:r>
        <w:t>GB 50974</w:t>
      </w:r>
    </w:p>
    <w:p>
      <w:pPr>
        <w:pStyle w:val="123"/>
        <w:adjustRightInd w:val="0"/>
        <w:snapToGrid w:val="0"/>
        <w:ind w:left="426" w:firstLine="0" w:firstLineChars="0"/>
      </w:pPr>
      <w:r>
        <w:rPr>
          <w:rFonts w:hint="eastAsia"/>
        </w:rPr>
        <w:t>《建筑节能与可再生能源利用通用规范》</w:t>
      </w:r>
      <w:r>
        <w:t>GB 55015</w:t>
      </w:r>
    </w:p>
    <w:p>
      <w:pPr>
        <w:pStyle w:val="123"/>
        <w:adjustRightInd w:val="0"/>
        <w:snapToGrid w:val="0"/>
        <w:ind w:left="426" w:firstLine="0" w:firstLineChars="0"/>
      </w:pPr>
      <w:r>
        <w:rPr>
          <w:rFonts w:hint="eastAsia"/>
        </w:rPr>
        <w:t>《城乡给水工程项目规范》G</w:t>
      </w:r>
      <w:r>
        <w:t>B 55026</w:t>
      </w:r>
    </w:p>
    <w:p>
      <w:pPr>
        <w:pStyle w:val="123"/>
        <w:adjustRightInd w:val="0"/>
        <w:snapToGrid w:val="0"/>
        <w:ind w:left="426" w:firstLine="0" w:firstLineChars="0"/>
      </w:pPr>
      <w:r>
        <w:rPr>
          <w:rFonts w:hint="eastAsia"/>
        </w:rPr>
        <w:t>《城乡排水工程项目规范》G</w:t>
      </w:r>
      <w:r>
        <w:t>B 55027</w:t>
      </w:r>
    </w:p>
    <w:p>
      <w:pPr>
        <w:pStyle w:val="123"/>
        <w:adjustRightInd w:val="0"/>
        <w:snapToGrid w:val="0"/>
        <w:ind w:left="426" w:firstLine="0" w:firstLineChars="0"/>
      </w:pPr>
      <w:r>
        <w:rPr>
          <w:rFonts w:hint="eastAsia"/>
        </w:rPr>
        <w:t>《城市污水再生利用城市杂用水水质》</w:t>
      </w:r>
      <w:r>
        <w:t>GB/T 18920</w:t>
      </w:r>
    </w:p>
    <w:p>
      <w:pPr>
        <w:pStyle w:val="123"/>
        <w:adjustRightInd w:val="0"/>
        <w:snapToGrid w:val="0"/>
        <w:ind w:left="426" w:firstLine="0" w:firstLineChars="0"/>
      </w:pPr>
      <w:r>
        <w:rPr>
          <w:rFonts w:hint="eastAsia"/>
        </w:rPr>
        <w:t>《</w:t>
      </w:r>
      <w:r>
        <w:t>再生水回用于景观水体的水质标准</w:t>
      </w:r>
      <w:r>
        <w:rPr>
          <w:rFonts w:hint="eastAsia"/>
        </w:rPr>
        <w:t>》</w:t>
      </w:r>
      <w:r>
        <w:t>GB/T 18921</w:t>
      </w:r>
    </w:p>
    <w:p>
      <w:pPr>
        <w:pStyle w:val="123"/>
        <w:adjustRightInd w:val="0"/>
        <w:snapToGrid w:val="0"/>
        <w:ind w:left="426" w:firstLine="0" w:firstLineChars="0"/>
      </w:pPr>
      <w:r>
        <w:t>《泵站设计规范》GB/T 50265</w:t>
      </w:r>
    </w:p>
    <w:p>
      <w:pPr>
        <w:pStyle w:val="123"/>
        <w:adjustRightInd w:val="0"/>
        <w:snapToGrid w:val="0"/>
        <w:ind w:left="426" w:firstLine="0" w:firstLineChars="0"/>
      </w:pPr>
      <w:r>
        <w:rPr>
          <w:rFonts w:hint="eastAsia"/>
        </w:rPr>
        <w:t>《</w:t>
      </w:r>
      <w:r>
        <w:t>城市防洪工程设计规范</w:t>
      </w:r>
      <w:r>
        <w:rPr>
          <w:rFonts w:hint="eastAsia"/>
        </w:rPr>
        <w:t>》</w:t>
      </w:r>
      <w:r>
        <w:t>GB/T 50805</w:t>
      </w:r>
    </w:p>
    <w:p>
      <w:pPr>
        <w:pStyle w:val="123"/>
        <w:adjustRightInd w:val="0"/>
        <w:snapToGrid w:val="0"/>
        <w:ind w:left="426" w:firstLine="0" w:firstLineChars="0"/>
      </w:pPr>
      <w:r>
        <w:rPr>
          <w:rFonts w:hint="eastAsia"/>
        </w:rPr>
        <w:t>《城镇污水处理厂运行、维护及安全技术规程》</w:t>
      </w:r>
      <w:r>
        <w:t>CJJ 60</w:t>
      </w:r>
    </w:p>
    <w:p>
      <w:pPr>
        <w:pStyle w:val="123"/>
        <w:adjustRightInd w:val="0"/>
        <w:snapToGrid w:val="0"/>
        <w:ind w:left="426" w:firstLine="0" w:firstLineChars="0"/>
      </w:pPr>
      <w:r>
        <w:rPr>
          <w:rFonts w:hint="eastAsia"/>
        </w:rPr>
        <w:t>《城镇排水系统电气与自动化工程技术规程》</w:t>
      </w:r>
      <w:r>
        <w:tab/>
      </w:r>
      <w:r>
        <w:t>CJJ 120</w:t>
      </w:r>
    </w:p>
    <w:p>
      <w:pPr>
        <w:pStyle w:val="123"/>
        <w:adjustRightInd w:val="0"/>
        <w:snapToGrid w:val="0"/>
        <w:ind w:left="426" w:firstLine="0" w:firstLineChars="0"/>
      </w:pPr>
      <w:r>
        <w:t>《</w:t>
      </w:r>
      <w:r>
        <w:rPr>
          <w:rFonts w:hint="eastAsia"/>
        </w:rPr>
        <w:t>建筑</w:t>
      </w:r>
      <w:r>
        <w:t>基坑工程技术规</w:t>
      </w:r>
      <w:r>
        <w:rPr>
          <w:rFonts w:hint="eastAsia"/>
        </w:rPr>
        <w:t>程》</w:t>
      </w:r>
      <w:r>
        <w:t>JGJ 79</w:t>
      </w:r>
    </w:p>
    <w:p>
      <w:pPr>
        <w:pStyle w:val="123"/>
        <w:adjustRightInd w:val="0"/>
        <w:snapToGrid w:val="0"/>
        <w:ind w:left="426" w:firstLine="0" w:firstLineChars="0"/>
      </w:pPr>
      <w:r>
        <w:t>《建筑桩基技术规范》JGJ 94</w:t>
      </w:r>
    </w:p>
    <w:p>
      <w:pPr>
        <w:pStyle w:val="123"/>
        <w:adjustRightInd w:val="0"/>
        <w:snapToGrid w:val="0"/>
        <w:ind w:left="426" w:firstLine="0" w:firstLineChars="0"/>
      </w:pPr>
      <w:r>
        <w:rPr>
          <w:rFonts w:hint="eastAsia"/>
        </w:rPr>
        <w:t>《城镇污水处理厂运行监督管理技术规范》</w:t>
      </w:r>
      <w:r>
        <w:t>HJ 2038</w:t>
      </w:r>
    </w:p>
    <w:p>
      <w:pPr>
        <w:pStyle w:val="123"/>
        <w:adjustRightInd w:val="0"/>
        <w:snapToGrid w:val="0"/>
        <w:ind w:left="426" w:firstLine="0" w:firstLineChars="0"/>
      </w:pPr>
      <w:r>
        <w:rPr>
          <w:rFonts w:hint="eastAsia"/>
        </w:rPr>
        <w:t>《膜生物法污水处理工程技术规范》</w:t>
      </w:r>
      <w:r>
        <w:t>HJ 2010</w:t>
      </w:r>
    </w:p>
    <w:p>
      <w:pPr>
        <w:pStyle w:val="123"/>
        <w:adjustRightInd w:val="0"/>
        <w:snapToGrid w:val="0"/>
        <w:ind w:left="426" w:firstLine="0" w:firstLineChars="0"/>
      </w:pPr>
      <w:r>
        <w:rPr>
          <w:rFonts w:hint="eastAsia"/>
        </w:rPr>
        <w:t>《建设项目档案管理规范》DA/T28</w:t>
      </w:r>
    </w:p>
    <w:p>
      <w:pPr>
        <w:pStyle w:val="123"/>
        <w:adjustRightInd w:val="0"/>
        <w:snapToGrid w:val="0"/>
        <w:ind w:left="426" w:firstLine="0" w:firstLineChars="0"/>
      </w:pPr>
      <w:r>
        <w:rPr>
          <w:rFonts w:hint="eastAsia"/>
        </w:rPr>
        <w:t>《城镇污水处理厂臭气处理技术规程》</w:t>
      </w:r>
      <w:r>
        <w:t xml:space="preserve"> CJJ/T 243</w:t>
      </w:r>
    </w:p>
    <w:p>
      <w:pPr>
        <w:pStyle w:val="123"/>
        <w:adjustRightInd w:val="0"/>
        <w:snapToGrid w:val="0"/>
        <w:ind w:left="426" w:firstLine="0" w:firstLineChars="0"/>
      </w:pPr>
      <w:r>
        <w:rPr>
          <w:rFonts w:hint="eastAsia"/>
        </w:rPr>
        <w:t>《水污染物排放限值》广东省地方标准</w:t>
      </w:r>
      <w:r>
        <w:t>DB 44/26</w:t>
      </w:r>
    </w:p>
    <w:p>
      <w:pPr>
        <w:pStyle w:val="123"/>
        <w:adjustRightInd w:val="0"/>
        <w:snapToGrid w:val="0"/>
        <w:ind w:left="426" w:firstLine="0" w:firstLineChars="0"/>
      </w:pPr>
      <w:r>
        <w:rPr>
          <w:rFonts w:hint="eastAsia"/>
        </w:rPr>
        <w:t>《曝气生物滤池工程技术规程》</w:t>
      </w:r>
      <w:r>
        <w:t>CECS 26</w:t>
      </w:r>
    </w:p>
    <w:p>
      <w:pPr>
        <w:pStyle w:val="123"/>
        <w:adjustRightInd w:val="0"/>
        <w:snapToGrid w:val="0"/>
        <w:ind w:left="426" w:firstLine="0" w:firstLineChars="0"/>
      </w:pPr>
      <w:r>
        <w:t>《混凝土水池软弱地基处理设计规范》CECS 86</w:t>
      </w:r>
    </w:p>
    <w:p>
      <w:pPr>
        <w:pStyle w:val="123"/>
        <w:ind w:firstLine="480"/>
        <w:sectPr>
          <w:pgSz w:w="11906" w:h="16838"/>
          <w:pgMar w:top="1440" w:right="1440" w:bottom="1117" w:left="1800" w:header="851" w:footer="992" w:gutter="0"/>
          <w:cols w:space="425" w:num="1"/>
          <w:docGrid w:type="lines" w:linePitch="312" w:charSpace="0"/>
        </w:sectPr>
      </w:pPr>
      <w:r>
        <w:rPr>
          <w:rFonts w:hint="eastAsia"/>
        </w:rPr>
        <w:t>《</w:t>
      </w:r>
      <w:r>
        <w:rPr>
          <w:rFonts w:hint="eastAsia"/>
          <w:spacing w:val="-6"/>
        </w:rPr>
        <w:t>城市污水生物脱氮除磷处理设计规程</w:t>
      </w:r>
      <w:r>
        <w:rPr>
          <w:rFonts w:hint="eastAsia"/>
        </w:rPr>
        <w:t>》</w:t>
      </w:r>
      <w:r>
        <w:t>CECS 149</w:t>
      </w:r>
    </w:p>
    <w:p>
      <w:pPr>
        <w:spacing w:line="600" w:lineRule="exact"/>
        <w:ind w:firstLine="640"/>
        <w:rPr>
          <w:rFonts w:ascii="仿宋_GB2312" w:hAnsi="仿宋_GB2312" w:eastAsia="仿宋_GB2312" w:cs="仿宋_GB2312"/>
          <w:sz w:val="32"/>
          <w:szCs w:val="32"/>
        </w:rPr>
      </w:pPr>
    </w:p>
    <w:p>
      <w:pPr>
        <w:ind w:firstLine="640"/>
        <w:rPr>
          <w:rFonts w:eastAsia="黑体"/>
          <w:sz w:val="32"/>
          <w:szCs w:val="32"/>
        </w:rPr>
      </w:pPr>
    </w:p>
    <w:p>
      <w:pPr>
        <w:ind w:firstLine="0" w:firstLineChars="0"/>
        <w:jc w:val="center"/>
        <w:rPr>
          <w:rFonts w:eastAsia="MS Gothic"/>
          <w:b/>
          <w:sz w:val="84"/>
          <w:szCs w:val="84"/>
        </w:rPr>
      </w:pPr>
      <w:r>
        <w:rPr>
          <w:rFonts w:hint="eastAsia" w:eastAsia="黑体"/>
          <w:spacing w:val="28"/>
          <w:sz w:val="48"/>
          <w:szCs w:val="48"/>
        </w:rPr>
        <w:t>广东省标准</w:t>
      </w:r>
    </w:p>
    <w:p>
      <w:pPr>
        <w:ind w:firstLine="6012" w:firstLineChars="1800"/>
        <w:rPr>
          <w:spacing w:val="17"/>
          <w:sz w:val="30"/>
          <w:szCs w:val="30"/>
        </w:rPr>
      </w:pPr>
    </w:p>
    <w:p>
      <w:pPr>
        <w:ind w:firstLine="964"/>
        <w:jc w:val="center"/>
        <w:rPr>
          <w:rFonts w:ascii="宋体" w:hAnsi="宋体"/>
          <w:b/>
          <w:sz w:val="48"/>
          <w:szCs w:val="48"/>
        </w:rPr>
      </w:pPr>
    </w:p>
    <w:p>
      <w:pPr>
        <w:ind w:firstLine="964"/>
        <w:jc w:val="center"/>
        <w:outlineLvl w:val="0"/>
        <w:rPr>
          <w:rFonts w:ascii="宋体" w:hAnsi="宋体"/>
          <w:b/>
          <w:sz w:val="48"/>
          <w:szCs w:val="48"/>
        </w:rPr>
      </w:pPr>
    </w:p>
    <w:p>
      <w:pPr>
        <w:ind w:firstLine="0" w:firstLineChars="0"/>
        <w:jc w:val="center"/>
        <w:rPr>
          <w:b/>
          <w:sz w:val="48"/>
          <w:szCs w:val="48"/>
        </w:rPr>
      </w:pPr>
      <w:r>
        <w:rPr>
          <w:rFonts w:hint="eastAsia"/>
          <w:b/>
          <w:sz w:val="48"/>
          <w:szCs w:val="48"/>
        </w:rPr>
        <w:t>地下式城镇污水处理厂工程技术规程</w:t>
      </w:r>
    </w:p>
    <w:p>
      <w:pPr>
        <w:ind w:firstLine="560"/>
      </w:pPr>
    </w:p>
    <w:p>
      <w:pPr>
        <w:ind w:firstLine="602"/>
        <w:jc w:val="center"/>
        <w:rPr>
          <w:b/>
          <w:sz w:val="30"/>
          <w:szCs w:val="30"/>
        </w:rPr>
      </w:pPr>
      <w:r>
        <w:rPr>
          <w:rFonts w:hint="eastAsia"/>
          <w:b/>
          <w:sz w:val="30"/>
          <w:szCs w:val="30"/>
        </w:rPr>
        <w:t>（征求意见稿）</w:t>
      </w:r>
    </w:p>
    <w:p>
      <w:pPr>
        <w:ind w:firstLine="560"/>
      </w:pPr>
    </w:p>
    <w:p>
      <w:pPr>
        <w:ind w:firstLine="560"/>
      </w:pPr>
    </w:p>
    <w:p>
      <w:pPr>
        <w:ind w:firstLine="560"/>
      </w:pPr>
    </w:p>
    <w:p>
      <w:pPr>
        <w:tabs>
          <w:tab w:val="left" w:pos="8235"/>
        </w:tabs>
        <w:ind w:firstLine="562"/>
        <w:rPr>
          <w:rFonts w:eastAsia="黑体"/>
          <w:b/>
          <w:szCs w:val="28"/>
        </w:rPr>
      </w:pPr>
      <w:r>
        <w:rPr>
          <w:rFonts w:eastAsia="黑体"/>
          <w:b/>
          <w:szCs w:val="28"/>
        </w:rPr>
        <w:tab/>
      </w:r>
    </w:p>
    <w:p>
      <w:pPr>
        <w:ind w:firstLine="640"/>
        <w:jc w:val="center"/>
        <w:rPr>
          <w:rFonts w:eastAsia="黑体"/>
          <w:spacing w:val="20"/>
          <w:sz w:val="32"/>
          <w:szCs w:val="32"/>
        </w:rPr>
      </w:pPr>
      <w:r>
        <w:rPr>
          <w:rFonts w:hint="eastAsia" w:eastAsia="黑体"/>
          <w:sz w:val="32"/>
          <w:szCs w:val="32"/>
        </w:rPr>
        <w:t>条文说明</w:t>
      </w:r>
    </w:p>
    <w:p>
      <w:pPr>
        <w:spacing w:line="580" w:lineRule="exact"/>
        <w:ind w:firstLine="198" w:firstLineChars="62"/>
        <w:rPr>
          <w:rFonts w:ascii="仿宋_GB2312" w:hAnsi="仿宋_GB2312" w:eastAsia="仿宋_GB2312" w:cs="仿宋_GB2312"/>
          <w:sz w:val="32"/>
          <w:szCs w:val="32"/>
        </w:rPr>
      </w:pPr>
    </w:p>
    <w:p>
      <w:pPr>
        <w:wordWrap w:val="0"/>
        <w:ind w:firstLine="562"/>
        <w:jc w:val="center"/>
        <w:rPr>
          <w:b/>
          <w:szCs w:val="28"/>
        </w:rPr>
      </w:pPr>
    </w:p>
    <w:p>
      <w:pPr>
        <w:ind w:firstLine="560"/>
        <w:rPr>
          <w:szCs w:val="28"/>
        </w:rPr>
      </w:pPr>
    </w:p>
    <w:p>
      <w:pPr>
        <w:ind w:firstLine="560"/>
        <w:rPr>
          <w:szCs w:val="28"/>
        </w:rPr>
      </w:pPr>
    </w:p>
    <w:p>
      <w:pPr>
        <w:ind w:firstLine="560"/>
        <w:rPr>
          <w:szCs w:val="28"/>
        </w:rPr>
      </w:pPr>
    </w:p>
    <w:p>
      <w:pPr>
        <w:ind w:firstLine="560"/>
        <w:rPr>
          <w:szCs w:val="28"/>
        </w:rPr>
      </w:pPr>
    </w:p>
    <w:p>
      <w:pPr>
        <w:ind w:firstLine="560"/>
        <w:rPr>
          <w:szCs w:val="28"/>
        </w:rPr>
      </w:pPr>
    </w:p>
    <w:p>
      <w:pPr>
        <w:ind w:firstLine="560"/>
        <w:rPr>
          <w:szCs w:val="28"/>
        </w:rPr>
      </w:pPr>
    </w:p>
    <w:p>
      <w:pPr>
        <w:ind w:firstLine="560"/>
        <w:jc w:val="right"/>
        <w:rPr>
          <w:szCs w:val="28"/>
        </w:rPr>
      </w:pPr>
    </w:p>
    <w:p>
      <w:pPr>
        <w:ind w:firstLine="560"/>
        <w:rPr>
          <w:szCs w:val="28"/>
        </w:rPr>
      </w:pPr>
    </w:p>
    <w:p>
      <w:pPr>
        <w:ind w:firstLine="562"/>
        <w:rPr>
          <w:b/>
          <w:szCs w:val="28"/>
        </w:rPr>
        <w:sectPr>
          <w:headerReference r:id="rId16" w:type="first"/>
          <w:footerReference r:id="rId19" w:type="first"/>
          <w:headerReference r:id="rId14" w:type="default"/>
          <w:footerReference r:id="rId17" w:type="default"/>
          <w:headerReference r:id="rId15" w:type="even"/>
          <w:footerReference r:id="rId18" w:type="even"/>
          <w:pgSz w:w="11906" w:h="16838"/>
          <w:pgMar w:top="1440" w:right="1440" w:bottom="1117" w:left="1800" w:header="851" w:footer="992" w:gutter="0"/>
          <w:pgNumType w:start="1"/>
          <w:cols w:space="720" w:num="1"/>
          <w:docGrid w:type="lines" w:linePitch="312" w:charSpace="0"/>
        </w:sectPr>
      </w:pPr>
    </w:p>
    <w:p>
      <w:pPr>
        <w:wordWrap w:val="0"/>
        <w:ind w:firstLine="0" w:firstLineChars="0"/>
        <w:jc w:val="center"/>
        <w:rPr>
          <w:b/>
          <w:szCs w:val="28"/>
        </w:rPr>
      </w:pPr>
      <w:r>
        <w:rPr>
          <w:rFonts w:hint="eastAsia"/>
          <w:b/>
          <w:szCs w:val="28"/>
        </w:rPr>
        <w:t>制定说明</w:t>
      </w:r>
    </w:p>
    <w:p>
      <w:pPr>
        <w:wordWrap w:val="0"/>
        <w:ind w:firstLine="593" w:firstLineChars="212"/>
        <w:rPr>
          <w:szCs w:val="28"/>
        </w:rPr>
      </w:pPr>
      <w:r>
        <w:rPr>
          <w:rFonts w:hint="eastAsia"/>
          <w:szCs w:val="28"/>
        </w:rPr>
        <w:t>根据《广东省住房和城乡建设厅关于发布</w:t>
      </w:r>
      <w:r>
        <w:rPr>
          <w:szCs w:val="28"/>
        </w:rPr>
        <w:t xml:space="preserve">&lt;2020 </w:t>
      </w:r>
      <w:r>
        <w:rPr>
          <w:rFonts w:hint="eastAsia"/>
          <w:szCs w:val="28"/>
        </w:rPr>
        <w:t>年广东省工程建设标准制订、修订计划</w:t>
      </w:r>
      <w:r>
        <w:rPr>
          <w:szCs w:val="28"/>
        </w:rPr>
        <w:t>&gt;</w:t>
      </w:r>
      <w:r>
        <w:rPr>
          <w:rFonts w:hint="eastAsia"/>
          <w:szCs w:val="28"/>
        </w:rPr>
        <w:t>的通知》（粤建科函</w:t>
      </w:r>
      <w:r>
        <w:rPr>
          <w:rFonts w:hint="eastAsia"/>
          <w:szCs w:val="28"/>
          <w:lang w:eastAsia="zh-CN"/>
        </w:rPr>
        <w:t>〔</w:t>
      </w:r>
      <w:r>
        <w:rPr>
          <w:rFonts w:hint="eastAsia"/>
          <w:szCs w:val="28"/>
        </w:rPr>
        <w:t>2020</w:t>
      </w:r>
      <w:r>
        <w:rPr>
          <w:rFonts w:hint="eastAsia"/>
          <w:szCs w:val="28"/>
          <w:lang w:eastAsia="zh-CN"/>
        </w:rPr>
        <w:t>〕</w:t>
      </w:r>
      <w:r>
        <w:rPr>
          <w:szCs w:val="28"/>
        </w:rPr>
        <w:t>397</w:t>
      </w:r>
      <w:r>
        <w:rPr>
          <w:rFonts w:hint="eastAsia"/>
          <w:szCs w:val="28"/>
        </w:rPr>
        <w:t>号）要求，由广州市市政工程设计研究总院有限公司会同有关单位制定本规程。</w:t>
      </w:r>
    </w:p>
    <w:p>
      <w:pPr>
        <w:wordWrap w:val="0"/>
        <w:ind w:firstLine="593" w:firstLineChars="212"/>
        <w:rPr>
          <w:szCs w:val="28"/>
        </w:rPr>
      </w:pPr>
      <w:r>
        <w:rPr>
          <w:rFonts w:hint="eastAsia"/>
          <w:szCs w:val="28"/>
        </w:rPr>
        <w:t>为便于广大设计、施工、监理、运行管理、科研、学校等有关人员在使用本标准时能正确理解和执行条文，《地下式城镇污水处理厂工程技术规程》编制组按章、节、条顺序编制了本规程的条文说明，对条文规定的目的、依据及执行中需要注意的有关事项进行了说明。但是，本条文说明不具备与规程正文同等的法律效力，仅供使用者作为理解和把握规程制定的参考。</w:t>
      </w:r>
    </w:p>
    <w:p>
      <w:pPr>
        <w:widowControl/>
        <w:adjustRightInd/>
        <w:snapToGrid/>
        <w:spacing w:line="240" w:lineRule="auto"/>
        <w:ind w:firstLine="0" w:firstLineChars="0"/>
        <w:textAlignment w:val="auto"/>
      </w:pPr>
      <w:r>
        <w:br w:type="page"/>
      </w:r>
    </w:p>
    <w:p>
      <w:pPr>
        <w:ind w:firstLine="560"/>
        <w:sectPr>
          <w:footerReference r:id="rId20" w:type="default"/>
          <w:pgSz w:w="11906" w:h="16838"/>
          <w:pgMar w:top="1440" w:right="1440" w:bottom="1117" w:left="1800" w:header="851" w:footer="992" w:gutter="0"/>
          <w:pgNumType w:start="50"/>
          <w:cols w:space="425" w:num="1"/>
          <w:docGrid w:type="lines" w:linePitch="312" w:charSpace="0"/>
        </w:sectPr>
      </w:pPr>
    </w:p>
    <w:p>
      <w:pPr>
        <w:wordWrap w:val="0"/>
        <w:spacing w:before="312" w:beforeLines="100" w:after="312" w:afterLines="100" w:line="520" w:lineRule="exact"/>
        <w:ind w:firstLine="0" w:firstLineChars="0"/>
        <w:jc w:val="center"/>
        <w:rPr>
          <w:b/>
          <w:bCs/>
          <w:kern w:val="0"/>
          <w:sz w:val="32"/>
          <w:szCs w:val="32"/>
        </w:rPr>
      </w:pPr>
      <w:r>
        <w:rPr>
          <w:rFonts w:hint="eastAsia"/>
          <w:b/>
          <w:bCs/>
          <w:kern w:val="0"/>
          <w:sz w:val="32"/>
          <w:szCs w:val="32"/>
        </w:rPr>
        <w:t xml:space="preserve">目 </w:t>
      </w:r>
      <w:r>
        <w:rPr>
          <w:b/>
          <w:bCs/>
          <w:kern w:val="0"/>
          <w:sz w:val="32"/>
          <w:szCs w:val="32"/>
        </w:rPr>
        <w:t xml:space="preserve"> </w:t>
      </w:r>
      <w:r>
        <w:rPr>
          <w:rFonts w:hint="eastAsia"/>
          <w:b/>
          <w:bCs/>
          <w:kern w:val="0"/>
          <w:sz w:val="32"/>
          <w:szCs w:val="32"/>
        </w:rPr>
        <w:t>次</w:t>
      </w:r>
    </w:p>
    <w:p>
      <w:pPr>
        <w:pStyle w:val="17"/>
        <w:tabs>
          <w:tab w:val="left" w:pos="280"/>
          <w:tab w:val="left" w:pos="420"/>
          <w:tab w:val="left" w:pos="840"/>
          <w:tab w:val="right" w:leader="dot" w:pos="8656"/>
        </w:tabs>
        <w:rPr>
          <w:rStyle w:val="30"/>
        </w:rPr>
      </w:pPr>
      <w:r>
        <w:fldChar w:fldCharType="begin"/>
      </w:r>
      <w:r>
        <w:instrText xml:space="preserve"> TOC \o "1-2" \h \z \u </w:instrText>
      </w:r>
      <w:r>
        <w:fldChar w:fldCharType="separate"/>
      </w:r>
      <w:r>
        <w:fldChar w:fldCharType="begin"/>
      </w:r>
      <w:r>
        <w:instrText xml:space="preserve"> HYPERLINK \l "_Toc132893887" </w:instrText>
      </w:r>
      <w:r>
        <w:fldChar w:fldCharType="separate"/>
      </w:r>
      <w:r>
        <w:rPr>
          <w:rStyle w:val="30"/>
        </w:rPr>
        <w:t>1</w:t>
      </w:r>
      <w:r>
        <w:rPr>
          <w:rStyle w:val="30"/>
        </w:rPr>
        <w:tab/>
      </w:r>
      <w:r>
        <w:rPr>
          <w:rStyle w:val="30"/>
        </w:rPr>
        <w:t>总则</w:t>
      </w:r>
      <w:r>
        <w:rPr>
          <w:rStyle w:val="30"/>
        </w:rPr>
        <w:tab/>
      </w:r>
      <w:r>
        <w:rPr>
          <w:rStyle w:val="30"/>
        </w:rPr>
        <w:fldChar w:fldCharType="begin"/>
      </w:r>
      <w:r>
        <w:rPr>
          <w:rStyle w:val="30"/>
        </w:rPr>
        <w:instrText xml:space="preserve"> PAGEREF _Toc132893887 \h </w:instrText>
      </w:r>
      <w:r>
        <w:rPr>
          <w:rStyle w:val="30"/>
        </w:rPr>
        <w:fldChar w:fldCharType="separate"/>
      </w:r>
      <w:r>
        <w:rPr>
          <w:rStyle w:val="30"/>
        </w:rPr>
        <w:t>53</w:t>
      </w:r>
      <w:r>
        <w:rPr>
          <w:rStyle w:val="30"/>
        </w:rPr>
        <w:fldChar w:fldCharType="end"/>
      </w:r>
      <w:r>
        <w:rPr>
          <w:rStyle w:val="30"/>
        </w:rP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"_Toc132893888" </w:instrText>
      </w:r>
      <w:r>
        <w:fldChar w:fldCharType="separate"/>
      </w:r>
      <w:r>
        <w:rPr>
          <w:rStyle w:val="30"/>
        </w:rPr>
        <w:t>2</w:t>
      </w:r>
      <w:r>
        <w:rPr>
          <w:rStyle w:val="30"/>
        </w:rPr>
        <w:tab/>
      </w:r>
      <w:r>
        <w:rPr>
          <w:rStyle w:val="30"/>
        </w:rPr>
        <w:t>术语</w:t>
      </w:r>
      <w:r>
        <w:rPr>
          <w:rStyle w:val="30"/>
        </w:rPr>
        <w:tab/>
      </w:r>
      <w:r>
        <w:rPr>
          <w:rStyle w:val="30"/>
        </w:rPr>
        <w:fldChar w:fldCharType="begin"/>
      </w:r>
      <w:r>
        <w:rPr>
          <w:rStyle w:val="30"/>
        </w:rPr>
        <w:instrText xml:space="preserve"> PAGEREF _Toc132893888 \h </w:instrText>
      </w:r>
      <w:r>
        <w:rPr>
          <w:rStyle w:val="30"/>
        </w:rPr>
        <w:fldChar w:fldCharType="separate"/>
      </w:r>
      <w:r>
        <w:rPr>
          <w:rStyle w:val="30"/>
        </w:rPr>
        <w:t>53</w:t>
      </w:r>
      <w:r>
        <w:rPr>
          <w:rStyle w:val="30"/>
        </w:rPr>
        <w:fldChar w:fldCharType="end"/>
      </w:r>
      <w:r>
        <w:rPr>
          <w:rStyle w:val="30"/>
        </w:rP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"_Toc132893889" </w:instrText>
      </w:r>
      <w:r>
        <w:fldChar w:fldCharType="separate"/>
      </w:r>
      <w:r>
        <w:rPr>
          <w:rStyle w:val="30"/>
        </w:rPr>
        <w:t>3</w:t>
      </w:r>
      <w:r>
        <w:rPr>
          <w:rStyle w:val="30"/>
        </w:rPr>
        <w:tab/>
      </w:r>
      <w:r>
        <w:rPr>
          <w:rStyle w:val="30"/>
        </w:rPr>
        <w:t>基本规定</w:t>
      </w:r>
      <w:r>
        <w:rPr>
          <w:rStyle w:val="30"/>
        </w:rPr>
        <w:tab/>
      </w:r>
      <w:r>
        <w:rPr>
          <w:rStyle w:val="30"/>
        </w:rPr>
        <w:fldChar w:fldCharType="begin"/>
      </w:r>
      <w:r>
        <w:rPr>
          <w:rStyle w:val="30"/>
        </w:rPr>
        <w:instrText xml:space="preserve"> PAGEREF _Toc132893889 \h </w:instrText>
      </w:r>
      <w:r>
        <w:rPr>
          <w:rStyle w:val="30"/>
        </w:rPr>
        <w:fldChar w:fldCharType="separate"/>
      </w:r>
      <w:r>
        <w:rPr>
          <w:rStyle w:val="30"/>
        </w:rPr>
        <w:t>53</w:t>
      </w:r>
      <w:r>
        <w:rPr>
          <w:rStyle w:val="30"/>
        </w:rPr>
        <w:fldChar w:fldCharType="end"/>
      </w:r>
      <w:r>
        <w:rPr>
          <w:rStyle w:val="30"/>
        </w:rP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"_Toc132893890" </w:instrText>
      </w:r>
      <w:r>
        <w:fldChar w:fldCharType="separate"/>
      </w:r>
      <w:r>
        <w:rPr>
          <w:rStyle w:val="30"/>
        </w:rPr>
        <w:t>4</w:t>
      </w:r>
      <w:r>
        <w:rPr>
          <w:rStyle w:val="30"/>
        </w:rPr>
        <w:tab/>
      </w:r>
      <w:r>
        <w:rPr>
          <w:rStyle w:val="30"/>
        </w:rPr>
        <w:t>工程设计</w:t>
      </w:r>
      <w:r>
        <w:rPr>
          <w:rStyle w:val="30"/>
        </w:rPr>
        <w:tab/>
      </w:r>
      <w:r>
        <w:rPr>
          <w:rStyle w:val="30"/>
        </w:rPr>
        <w:fldChar w:fldCharType="begin"/>
      </w:r>
      <w:r>
        <w:rPr>
          <w:rStyle w:val="30"/>
        </w:rPr>
        <w:instrText xml:space="preserve"> PAGEREF _Toc132893890 \h </w:instrText>
      </w:r>
      <w:r>
        <w:rPr>
          <w:rStyle w:val="30"/>
        </w:rPr>
        <w:fldChar w:fldCharType="separate"/>
      </w:r>
      <w:r>
        <w:rPr>
          <w:rStyle w:val="30"/>
        </w:rPr>
        <w:t>56</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"_Toc132893891" </w:instrText>
      </w:r>
      <w:r>
        <w:fldChar w:fldCharType="separate"/>
      </w:r>
      <w:r>
        <w:rPr>
          <w:rStyle w:val="30"/>
        </w:rPr>
        <w:t>4.1</w:t>
      </w:r>
      <w:r>
        <w:rPr>
          <w:rStyle w:val="30"/>
        </w:rPr>
        <w:tab/>
      </w:r>
      <w:r>
        <w:rPr>
          <w:rStyle w:val="30"/>
        </w:rPr>
        <w:t>一般规定</w:t>
      </w:r>
      <w:r>
        <w:rPr>
          <w:rStyle w:val="30"/>
        </w:rPr>
        <w:tab/>
      </w:r>
      <w:r>
        <w:rPr>
          <w:rStyle w:val="30"/>
        </w:rPr>
        <w:fldChar w:fldCharType="begin"/>
      </w:r>
      <w:r>
        <w:rPr>
          <w:rStyle w:val="30"/>
        </w:rPr>
        <w:instrText xml:space="preserve"> PAGEREF _Toc132893891 \h </w:instrText>
      </w:r>
      <w:r>
        <w:rPr>
          <w:rStyle w:val="30"/>
        </w:rPr>
        <w:fldChar w:fldCharType="separate"/>
      </w:r>
      <w:r>
        <w:rPr>
          <w:rStyle w:val="30"/>
        </w:rPr>
        <w:t>56</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"_Toc132893892" </w:instrText>
      </w:r>
      <w:r>
        <w:fldChar w:fldCharType="separate"/>
      </w:r>
      <w:r>
        <w:rPr>
          <w:rStyle w:val="30"/>
        </w:rPr>
        <w:t>4.2</w:t>
      </w:r>
      <w:r>
        <w:rPr>
          <w:rStyle w:val="30"/>
        </w:rPr>
        <w:tab/>
      </w:r>
      <w:r>
        <w:rPr>
          <w:rStyle w:val="30"/>
        </w:rPr>
        <w:t>地下空间总体布置</w:t>
      </w:r>
      <w:r>
        <w:rPr>
          <w:rStyle w:val="30"/>
        </w:rPr>
        <w:tab/>
      </w:r>
      <w:r>
        <w:rPr>
          <w:rStyle w:val="30"/>
        </w:rPr>
        <w:fldChar w:fldCharType="begin"/>
      </w:r>
      <w:r>
        <w:rPr>
          <w:rStyle w:val="30"/>
        </w:rPr>
        <w:instrText xml:space="preserve"> PAGEREF _Toc132893892 \h </w:instrText>
      </w:r>
      <w:r>
        <w:rPr>
          <w:rStyle w:val="30"/>
        </w:rPr>
        <w:fldChar w:fldCharType="separate"/>
      </w:r>
      <w:r>
        <w:rPr>
          <w:rStyle w:val="30"/>
        </w:rPr>
        <w:t>59</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"_Toc132893893" </w:instrText>
      </w:r>
      <w:r>
        <w:fldChar w:fldCharType="separate"/>
      </w:r>
      <w:r>
        <w:rPr>
          <w:rStyle w:val="30"/>
        </w:rPr>
        <w:t>4.3</w:t>
      </w:r>
      <w:r>
        <w:rPr>
          <w:rStyle w:val="30"/>
        </w:rPr>
        <w:tab/>
      </w:r>
      <w:r>
        <w:rPr>
          <w:rStyle w:val="30"/>
        </w:rPr>
        <w:t>污水处理工艺设计</w:t>
      </w:r>
      <w:r>
        <w:rPr>
          <w:rStyle w:val="30"/>
        </w:rPr>
        <w:tab/>
      </w:r>
      <w:r>
        <w:rPr>
          <w:rStyle w:val="30"/>
        </w:rPr>
        <w:fldChar w:fldCharType="begin"/>
      </w:r>
      <w:r>
        <w:rPr>
          <w:rStyle w:val="30"/>
        </w:rPr>
        <w:instrText xml:space="preserve"> PAGEREF _Toc132893893 \h </w:instrText>
      </w:r>
      <w:r>
        <w:rPr>
          <w:rStyle w:val="30"/>
        </w:rPr>
        <w:fldChar w:fldCharType="separate"/>
      </w:r>
      <w:r>
        <w:rPr>
          <w:rStyle w:val="30"/>
        </w:rPr>
        <w:t>60</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"_Toc132893894" </w:instrText>
      </w:r>
      <w:r>
        <w:fldChar w:fldCharType="separate"/>
      </w:r>
      <w:r>
        <w:rPr>
          <w:rStyle w:val="30"/>
        </w:rPr>
        <w:t>4.4</w:t>
      </w:r>
      <w:r>
        <w:rPr>
          <w:rStyle w:val="30"/>
        </w:rPr>
        <w:tab/>
      </w:r>
      <w:r>
        <w:rPr>
          <w:rStyle w:val="30"/>
        </w:rPr>
        <w:t>污泥处理工艺设计</w:t>
      </w:r>
      <w:r>
        <w:rPr>
          <w:rStyle w:val="30"/>
        </w:rPr>
        <w:tab/>
      </w:r>
      <w:r>
        <w:rPr>
          <w:rStyle w:val="30"/>
        </w:rPr>
        <w:fldChar w:fldCharType="begin"/>
      </w:r>
      <w:r>
        <w:rPr>
          <w:rStyle w:val="30"/>
        </w:rPr>
        <w:instrText xml:space="preserve"> PAGEREF _Toc132893894 \h </w:instrText>
      </w:r>
      <w:r>
        <w:rPr>
          <w:rStyle w:val="30"/>
        </w:rPr>
        <w:fldChar w:fldCharType="separate"/>
      </w:r>
      <w:r>
        <w:rPr>
          <w:rStyle w:val="30"/>
        </w:rPr>
        <w:t>63</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"_Toc132893895" </w:instrText>
      </w:r>
      <w:r>
        <w:fldChar w:fldCharType="separate"/>
      </w:r>
      <w:r>
        <w:rPr>
          <w:rStyle w:val="30"/>
        </w:rPr>
        <w:t>4.5</w:t>
      </w:r>
      <w:r>
        <w:rPr>
          <w:rStyle w:val="30"/>
        </w:rPr>
        <w:tab/>
      </w:r>
      <w:r>
        <w:rPr>
          <w:rStyle w:val="30"/>
        </w:rPr>
        <w:t>建筑设计</w:t>
      </w:r>
      <w:r>
        <w:rPr>
          <w:rStyle w:val="30"/>
        </w:rPr>
        <w:tab/>
      </w:r>
      <w:r>
        <w:rPr>
          <w:rStyle w:val="30"/>
        </w:rPr>
        <w:fldChar w:fldCharType="begin"/>
      </w:r>
      <w:r>
        <w:rPr>
          <w:rStyle w:val="30"/>
        </w:rPr>
        <w:instrText xml:space="preserve"> PAGEREF _Toc132893895 \h </w:instrText>
      </w:r>
      <w:r>
        <w:rPr>
          <w:rStyle w:val="30"/>
        </w:rPr>
        <w:fldChar w:fldCharType="separate"/>
      </w:r>
      <w:r>
        <w:rPr>
          <w:rStyle w:val="30"/>
        </w:rPr>
        <w:t>64</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"_Toc132893896" </w:instrText>
      </w:r>
      <w:r>
        <w:fldChar w:fldCharType="separate"/>
      </w:r>
      <w:r>
        <w:rPr>
          <w:rStyle w:val="30"/>
        </w:rPr>
        <w:t>4.6</w:t>
      </w:r>
      <w:r>
        <w:rPr>
          <w:rStyle w:val="30"/>
        </w:rPr>
        <w:tab/>
      </w:r>
      <w:r>
        <w:rPr>
          <w:rStyle w:val="30"/>
        </w:rPr>
        <w:t>绿化景观设计</w:t>
      </w:r>
      <w:r>
        <w:rPr>
          <w:rStyle w:val="30"/>
        </w:rPr>
        <w:tab/>
      </w:r>
      <w:r>
        <w:rPr>
          <w:rStyle w:val="30"/>
        </w:rPr>
        <w:fldChar w:fldCharType="begin"/>
      </w:r>
      <w:r>
        <w:rPr>
          <w:rStyle w:val="30"/>
        </w:rPr>
        <w:instrText xml:space="preserve"> PAGEREF _Toc132893896 \h </w:instrText>
      </w:r>
      <w:r>
        <w:rPr>
          <w:rStyle w:val="30"/>
        </w:rPr>
        <w:fldChar w:fldCharType="separate"/>
      </w:r>
      <w:r>
        <w:rPr>
          <w:rStyle w:val="30"/>
        </w:rPr>
        <w:t>65</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"_Toc132893897" </w:instrText>
      </w:r>
      <w:r>
        <w:fldChar w:fldCharType="separate"/>
      </w:r>
      <w:r>
        <w:rPr>
          <w:rStyle w:val="30"/>
        </w:rPr>
        <w:t>4.7</w:t>
      </w:r>
      <w:r>
        <w:rPr>
          <w:rStyle w:val="30"/>
        </w:rPr>
        <w:tab/>
      </w:r>
      <w:r>
        <w:rPr>
          <w:rStyle w:val="30"/>
        </w:rPr>
        <w:t>结构设计</w:t>
      </w:r>
      <w:r>
        <w:rPr>
          <w:rStyle w:val="30"/>
        </w:rPr>
        <w:tab/>
      </w:r>
      <w:r>
        <w:rPr>
          <w:rStyle w:val="30"/>
        </w:rPr>
        <w:fldChar w:fldCharType="begin"/>
      </w:r>
      <w:r>
        <w:rPr>
          <w:rStyle w:val="30"/>
        </w:rPr>
        <w:instrText xml:space="preserve"> PAGEREF _Toc132893897 \h </w:instrText>
      </w:r>
      <w:r>
        <w:rPr>
          <w:rStyle w:val="30"/>
        </w:rPr>
        <w:fldChar w:fldCharType="separate"/>
      </w:r>
      <w:r>
        <w:rPr>
          <w:rStyle w:val="30"/>
        </w:rPr>
        <w:t>66</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"_Toc132893898" </w:instrText>
      </w:r>
      <w:r>
        <w:fldChar w:fldCharType="separate"/>
      </w:r>
      <w:r>
        <w:rPr>
          <w:rStyle w:val="30"/>
        </w:rPr>
        <w:t>4.8</w:t>
      </w:r>
      <w:r>
        <w:rPr>
          <w:rStyle w:val="30"/>
        </w:rPr>
        <w:tab/>
      </w:r>
      <w:r>
        <w:rPr>
          <w:rStyle w:val="30"/>
        </w:rPr>
        <w:t>通风与除臭设计</w:t>
      </w:r>
      <w:r>
        <w:rPr>
          <w:rStyle w:val="30"/>
        </w:rPr>
        <w:tab/>
      </w:r>
      <w:r>
        <w:rPr>
          <w:rStyle w:val="30"/>
        </w:rPr>
        <w:fldChar w:fldCharType="begin"/>
      </w:r>
      <w:r>
        <w:rPr>
          <w:rStyle w:val="30"/>
        </w:rPr>
        <w:instrText xml:space="preserve"> PAGEREF _Toc132893898 \h </w:instrText>
      </w:r>
      <w:r>
        <w:rPr>
          <w:rStyle w:val="30"/>
        </w:rPr>
        <w:fldChar w:fldCharType="separate"/>
      </w:r>
      <w:r>
        <w:rPr>
          <w:rStyle w:val="30"/>
        </w:rPr>
        <w:t>66</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"_Toc132893899" </w:instrText>
      </w:r>
      <w:r>
        <w:fldChar w:fldCharType="separate"/>
      </w:r>
      <w:r>
        <w:rPr>
          <w:rStyle w:val="30"/>
        </w:rPr>
        <w:t>4.9</w:t>
      </w:r>
      <w:r>
        <w:rPr>
          <w:rStyle w:val="30"/>
        </w:rPr>
        <w:tab/>
      </w:r>
      <w:r>
        <w:rPr>
          <w:rStyle w:val="30"/>
        </w:rPr>
        <w:t>电气设计</w:t>
      </w:r>
      <w:r>
        <w:rPr>
          <w:rStyle w:val="30"/>
        </w:rPr>
        <w:tab/>
      </w:r>
      <w:r>
        <w:rPr>
          <w:rStyle w:val="30"/>
        </w:rPr>
        <w:fldChar w:fldCharType="begin"/>
      </w:r>
      <w:r>
        <w:rPr>
          <w:rStyle w:val="30"/>
        </w:rPr>
        <w:instrText xml:space="preserve"> PAGEREF _Toc132893899 \h </w:instrText>
      </w:r>
      <w:r>
        <w:rPr>
          <w:rStyle w:val="30"/>
        </w:rPr>
        <w:fldChar w:fldCharType="separate"/>
      </w:r>
      <w:r>
        <w:rPr>
          <w:rStyle w:val="30"/>
        </w:rPr>
        <w:t>67</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"_Toc132893900" </w:instrText>
      </w:r>
      <w:r>
        <w:fldChar w:fldCharType="separate"/>
      </w:r>
      <w:r>
        <w:rPr>
          <w:rStyle w:val="30"/>
        </w:rPr>
        <w:t>4.10</w:t>
      </w:r>
      <w:r>
        <w:rPr>
          <w:rStyle w:val="30"/>
        </w:rPr>
        <w:tab/>
      </w:r>
      <w:r>
        <w:rPr>
          <w:rStyle w:val="30"/>
        </w:rPr>
        <w:t>自控及智能化设计</w:t>
      </w:r>
      <w:r>
        <w:rPr>
          <w:rStyle w:val="30"/>
        </w:rPr>
        <w:tab/>
      </w:r>
      <w:r>
        <w:rPr>
          <w:rStyle w:val="30"/>
        </w:rPr>
        <w:fldChar w:fldCharType="begin"/>
      </w:r>
      <w:r>
        <w:rPr>
          <w:rStyle w:val="30"/>
        </w:rPr>
        <w:instrText xml:space="preserve"> PAGEREF _Toc132893900 \h </w:instrText>
      </w:r>
      <w:r>
        <w:rPr>
          <w:rStyle w:val="30"/>
        </w:rPr>
        <w:fldChar w:fldCharType="separate"/>
      </w:r>
      <w:r>
        <w:rPr>
          <w:rStyle w:val="30"/>
        </w:rPr>
        <w:t>69</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"_Toc132893901" </w:instrText>
      </w:r>
      <w:r>
        <w:fldChar w:fldCharType="separate"/>
      </w:r>
      <w:r>
        <w:rPr>
          <w:rStyle w:val="30"/>
        </w:rPr>
        <w:t>4.11</w:t>
      </w:r>
      <w:r>
        <w:rPr>
          <w:rStyle w:val="30"/>
        </w:rPr>
        <w:tab/>
      </w:r>
      <w:r>
        <w:rPr>
          <w:rStyle w:val="30"/>
        </w:rPr>
        <w:t>消防设计</w:t>
      </w:r>
      <w:r>
        <w:rPr>
          <w:rStyle w:val="30"/>
        </w:rPr>
        <w:tab/>
      </w:r>
      <w:r>
        <w:rPr>
          <w:rStyle w:val="30"/>
        </w:rPr>
        <w:fldChar w:fldCharType="begin"/>
      </w:r>
      <w:r>
        <w:rPr>
          <w:rStyle w:val="30"/>
        </w:rPr>
        <w:instrText xml:space="preserve"> PAGEREF _Toc132893901 \h </w:instrText>
      </w:r>
      <w:r>
        <w:rPr>
          <w:rStyle w:val="30"/>
        </w:rPr>
        <w:fldChar w:fldCharType="separate"/>
      </w:r>
      <w:r>
        <w:rPr>
          <w:rStyle w:val="30"/>
        </w:rPr>
        <w:t>71</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"_Toc132893902" </w:instrText>
      </w:r>
      <w:r>
        <w:fldChar w:fldCharType="separate"/>
      </w:r>
      <w:r>
        <w:rPr>
          <w:rStyle w:val="30"/>
        </w:rPr>
        <w:t>4.12</w:t>
      </w:r>
      <w:r>
        <w:rPr>
          <w:rStyle w:val="30"/>
        </w:rPr>
        <w:tab/>
      </w:r>
      <w:r>
        <w:rPr>
          <w:rStyle w:val="30"/>
        </w:rPr>
        <w:t>安全生产</w:t>
      </w:r>
      <w:r>
        <w:rPr>
          <w:rStyle w:val="30"/>
        </w:rPr>
        <w:tab/>
      </w:r>
      <w:r>
        <w:rPr>
          <w:rStyle w:val="30"/>
        </w:rPr>
        <w:fldChar w:fldCharType="begin"/>
      </w:r>
      <w:r>
        <w:rPr>
          <w:rStyle w:val="30"/>
        </w:rPr>
        <w:instrText xml:space="preserve"> PAGEREF _Toc132893902 \h </w:instrText>
      </w:r>
      <w:r>
        <w:rPr>
          <w:rStyle w:val="30"/>
        </w:rPr>
        <w:fldChar w:fldCharType="separate"/>
      </w:r>
      <w:r>
        <w:rPr>
          <w:rStyle w:val="30"/>
        </w:rPr>
        <w:t>72</w:t>
      </w:r>
      <w:r>
        <w:rPr>
          <w:rStyle w:val="30"/>
        </w:rPr>
        <w:fldChar w:fldCharType="end"/>
      </w:r>
      <w:r>
        <w:rPr>
          <w:rStyle w:val="30"/>
        </w:rP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"_Toc132893903" </w:instrText>
      </w:r>
      <w:r>
        <w:fldChar w:fldCharType="separate"/>
      </w:r>
      <w:r>
        <w:rPr>
          <w:rStyle w:val="30"/>
        </w:rPr>
        <w:t>5</w:t>
      </w:r>
      <w:r>
        <w:rPr>
          <w:rStyle w:val="30"/>
        </w:rPr>
        <w:tab/>
      </w:r>
      <w:r>
        <w:rPr>
          <w:rStyle w:val="30"/>
        </w:rPr>
        <w:t>施工、验收和移交</w:t>
      </w:r>
      <w:r>
        <w:rPr>
          <w:rStyle w:val="30"/>
        </w:rPr>
        <w:tab/>
      </w:r>
      <w:r>
        <w:rPr>
          <w:rStyle w:val="30"/>
        </w:rPr>
        <w:fldChar w:fldCharType="begin"/>
      </w:r>
      <w:r>
        <w:rPr>
          <w:rStyle w:val="30"/>
        </w:rPr>
        <w:instrText xml:space="preserve"> PAGEREF _Toc132893903 \h </w:instrText>
      </w:r>
      <w:r>
        <w:rPr>
          <w:rStyle w:val="30"/>
        </w:rPr>
        <w:fldChar w:fldCharType="separate"/>
      </w:r>
      <w:r>
        <w:rPr>
          <w:rStyle w:val="30"/>
        </w:rPr>
        <w:t>76</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"_Toc132893904" </w:instrText>
      </w:r>
      <w:r>
        <w:fldChar w:fldCharType="separate"/>
      </w:r>
      <w:r>
        <w:rPr>
          <w:rStyle w:val="30"/>
        </w:rPr>
        <w:t>5.1</w:t>
      </w:r>
      <w:r>
        <w:rPr>
          <w:rStyle w:val="30"/>
        </w:rPr>
        <w:tab/>
      </w:r>
      <w:r>
        <w:rPr>
          <w:rStyle w:val="30"/>
        </w:rPr>
        <w:t>一般规定</w:t>
      </w:r>
      <w:r>
        <w:rPr>
          <w:rStyle w:val="30"/>
        </w:rPr>
        <w:tab/>
      </w:r>
      <w:r>
        <w:rPr>
          <w:rStyle w:val="30"/>
        </w:rPr>
        <w:fldChar w:fldCharType="begin"/>
      </w:r>
      <w:r>
        <w:rPr>
          <w:rStyle w:val="30"/>
        </w:rPr>
        <w:instrText xml:space="preserve"> PAGEREF _Toc132893904 \h </w:instrText>
      </w:r>
      <w:r>
        <w:rPr>
          <w:rStyle w:val="30"/>
        </w:rPr>
        <w:fldChar w:fldCharType="separate"/>
      </w:r>
      <w:r>
        <w:rPr>
          <w:rStyle w:val="30"/>
        </w:rPr>
        <w:t>76</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"_Toc132893905" </w:instrText>
      </w:r>
      <w:r>
        <w:fldChar w:fldCharType="separate"/>
      </w:r>
      <w:r>
        <w:rPr>
          <w:rStyle w:val="30"/>
        </w:rPr>
        <w:t>5.2</w:t>
      </w:r>
      <w:r>
        <w:rPr>
          <w:rStyle w:val="30"/>
        </w:rPr>
        <w:tab/>
      </w:r>
      <w:r>
        <w:rPr>
          <w:rStyle w:val="30"/>
        </w:rPr>
        <w:t>构（建）筑物施工</w:t>
      </w:r>
      <w:r>
        <w:rPr>
          <w:rStyle w:val="30"/>
        </w:rPr>
        <w:tab/>
      </w:r>
      <w:r>
        <w:rPr>
          <w:rStyle w:val="30"/>
        </w:rPr>
        <w:fldChar w:fldCharType="begin"/>
      </w:r>
      <w:r>
        <w:rPr>
          <w:rStyle w:val="30"/>
        </w:rPr>
        <w:instrText xml:space="preserve"> PAGEREF _Toc132893905 \h </w:instrText>
      </w:r>
      <w:r>
        <w:rPr>
          <w:rStyle w:val="30"/>
        </w:rPr>
        <w:fldChar w:fldCharType="separate"/>
      </w:r>
      <w:r>
        <w:rPr>
          <w:rStyle w:val="30"/>
        </w:rPr>
        <w:t>77</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"_Toc132893906" </w:instrText>
      </w:r>
      <w:r>
        <w:fldChar w:fldCharType="separate"/>
      </w:r>
      <w:r>
        <w:rPr>
          <w:rStyle w:val="30"/>
        </w:rPr>
        <w:t>5.3</w:t>
      </w:r>
      <w:r>
        <w:rPr>
          <w:rStyle w:val="30"/>
        </w:rPr>
        <w:tab/>
      </w:r>
      <w:r>
        <w:rPr>
          <w:rStyle w:val="30"/>
        </w:rPr>
        <w:t>机电设备安装与调试</w:t>
      </w:r>
      <w:r>
        <w:rPr>
          <w:rStyle w:val="30"/>
        </w:rPr>
        <w:tab/>
      </w:r>
      <w:r>
        <w:rPr>
          <w:rStyle w:val="30"/>
        </w:rPr>
        <w:fldChar w:fldCharType="begin"/>
      </w:r>
      <w:r>
        <w:rPr>
          <w:rStyle w:val="30"/>
        </w:rPr>
        <w:instrText xml:space="preserve"> PAGEREF _Toc132893906 \h </w:instrText>
      </w:r>
      <w:r>
        <w:rPr>
          <w:rStyle w:val="30"/>
        </w:rPr>
        <w:fldChar w:fldCharType="separate"/>
      </w:r>
      <w:r>
        <w:rPr>
          <w:rStyle w:val="30"/>
        </w:rPr>
        <w:t>82</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"_Toc132893907" </w:instrText>
      </w:r>
      <w:r>
        <w:fldChar w:fldCharType="separate"/>
      </w:r>
      <w:r>
        <w:rPr>
          <w:rStyle w:val="30"/>
        </w:rPr>
        <w:t>5.4</w:t>
      </w:r>
      <w:r>
        <w:rPr>
          <w:rStyle w:val="30"/>
        </w:rPr>
        <w:tab/>
      </w:r>
      <w:r>
        <w:rPr>
          <w:rStyle w:val="30"/>
        </w:rPr>
        <w:t>工程验收</w:t>
      </w:r>
      <w:r>
        <w:rPr>
          <w:rStyle w:val="30"/>
        </w:rPr>
        <w:tab/>
      </w:r>
      <w:r>
        <w:rPr>
          <w:rStyle w:val="30"/>
        </w:rPr>
        <w:fldChar w:fldCharType="begin"/>
      </w:r>
      <w:r>
        <w:rPr>
          <w:rStyle w:val="30"/>
        </w:rPr>
        <w:instrText xml:space="preserve"> PAGEREF _Toc132893907 \h </w:instrText>
      </w:r>
      <w:r>
        <w:rPr>
          <w:rStyle w:val="30"/>
        </w:rPr>
        <w:fldChar w:fldCharType="separate"/>
      </w:r>
      <w:r>
        <w:rPr>
          <w:rStyle w:val="30"/>
        </w:rPr>
        <w:t>83</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"_Toc132893908" </w:instrText>
      </w:r>
      <w:r>
        <w:fldChar w:fldCharType="separate"/>
      </w:r>
      <w:r>
        <w:rPr>
          <w:rStyle w:val="30"/>
        </w:rPr>
        <w:t>5.5</w:t>
      </w:r>
      <w:r>
        <w:rPr>
          <w:rStyle w:val="30"/>
        </w:rPr>
        <w:tab/>
      </w:r>
      <w:r>
        <w:rPr>
          <w:rStyle w:val="30"/>
        </w:rPr>
        <w:t>工程移交</w:t>
      </w:r>
      <w:r>
        <w:rPr>
          <w:rStyle w:val="30"/>
        </w:rPr>
        <w:tab/>
      </w:r>
      <w:r>
        <w:rPr>
          <w:rStyle w:val="30"/>
        </w:rPr>
        <w:fldChar w:fldCharType="begin"/>
      </w:r>
      <w:r>
        <w:rPr>
          <w:rStyle w:val="30"/>
        </w:rPr>
        <w:instrText xml:space="preserve"> PAGEREF _Toc132893908 \h </w:instrText>
      </w:r>
      <w:r>
        <w:rPr>
          <w:rStyle w:val="30"/>
        </w:rPr>
        <w:fldChar w:fldCharType="separate"/>
      </w:r>
      <w:r>
        <w:rPr>
          <w:rStyle w:val="30"/>
        </w:rPr>
        <w:t>84</w:t>
      </w:r>
      <w:r>
        <w:rPr>
          <w:rStyle w:val="30"/>
        </w:rPr>
        <w:fldChar w:fldCharType="end"/>
      </w:r>
      <w:r>
        <w:rPr>
          <w:rStyle w:val="30"/>
        </w:rPr>
        <w:fldChar w:fldCharType="end"/>
      </w:r>
    </w:p>
    <w:p>
      <w:pPr>
        <w:pStyle w:val="17"/>
        <w:tabs>
          <w:tab w:val="left" w:pos="280"/>
          <w:tab w:val="left" w:pos="420"/>
          <w:tab w:val="left" w:pos="840"/>
          <w:tab w:val="right" w:leader="dot" w:pos="8656"/>
        </w:tabs>
        <w:rPr>
          <w:rStyle w:val="30"/>
        </w:rPr>
      </w:pPr>
      <w:r>
        <w:fldChar w:fldCharType="begin"/>
      </w:r>
      <w:r>
        <w:instrText xml:space="preserve"> HYPERLINK \l "_Toc132893909" </w:instrText>
      </w:r>
      <w:r>
        <w:fldChar w:fldCharType="separate"/>
      </w:r>
      <w:r>
        <w:rPr>
          <w:rStyle w:val="30"/>
        </w:rPr>
        <w:t>6</w:t>
      </w:r>
      <w:r>
        <w:rPr>
          <w:rStyle w:val="30"/>
        </w:rPr>
        <w:tab/>
      </w:r>
      <w:r>
        <w:rPr>
          <w:rStyle w:val="30"/>
        </w:rPr>
        <w:t>运行和维护</w:t>
      </w:r>
      <w:r>
        <w:rPr>
          <w:rStyle w:val="30"/>
        </w:rPr>
        <w:tab/>
      </w:r>
      <w:r>
        <w:rPr>
          <w:rStyle w:val="30"/>
        </w:rPr>
        <w:fldChar w:fldCharType="begin"/>
      </w:r>
      <w:r>
        <w:rPr>
          <w:rStyle w:val="30"/>
        </w:rPr>
        <w:instrText xml:space="preserve"> PAGEREF _Toc132893909 \h </w:instrText>
      </w:r>
      <w:r>
        <w:rPr>
          <w:rStyle w:val="30"/>
        </w:rPr>
        <w:fldChar w:fldCharType="separate"/>
      </w:r>
      <w:r>
        <w:rPr>
          <w:rStyle w:val="30"/>
        </w:rPr>
        <w:t>85</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"_Toc132893910" </w:instrText>
      </w:r>
      <w:r>
        <w:fldChar w:fldCharType="separate"/>
      </w:r>
      <w:r>
        <w:rPr>
          <w:rStyle w:val="30"/>
        </w:rPr>
        <w:t>6.1</w:t>
      </w:r>
      <w:r>
        <w:rPr>
          <w:rStyle w:val="30"/>
        </w:rPr>
        <w:tab/>
      </w:r>
      <w:r>
        <w:rPr>
          <w:rStyle w:val="30"/>
        </w:rPr>
        <w:t>一般规定</w:t>
      </w:r>
      <w:r>
        <w:rPr>
          <w:rStyle w:val="30"/>
        </w:rPr>
        <w:tab/>
      </w:r>
      <w:r>
        <w:rPr>
          <w:rStyle w:val="30"/>
        </w:rPr>
        <w:fldChar w:fldCharType="begin"/>
      </w:r>
      <w:r>
        <w:rPr>
          <w:rStyle w:val="30"/>
        </w:rPr>
        <w:instrText xml:space="preserve"> PAGEREF _Toc132893910 \h </w:instrText>
      </w:r>
      <w:r>
        <w:rPr>
          <w:rStyle w:val="30"/>
        </w:rPr>
        <w:fldChar w:fldCharType="separate"/>
      </w:r>
      <w:r>
        <w:rPr>
          <w:rStyle w:val="30"/>
        </w:rPr>
        <w:t>85</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"_Toc132893911" </w:instrText>
      </w:r>
      <w:r>
        <w:fldChar w:fldCharType="separate"/>
      </w:r>
      <w:r>
        <w:rPr>
          <w:rStyle w:val="30"/>
        </w:rPr>
        <w:t>6.2</w:t>
      </w:r>
      <w:r>
        <w:rPr>
          <w:rStyle w:val="30"/>
        </w:rPr>
        <w:tab/>
      </w:r>
      <w:r>
        <w:rPr>
          <w:rStyle w:val="30"/>
        </w:rPr>
        <w:t>运行管理</w:t>
      </w:r>
      <w:r>
        <w:rPr>
          <w:rStyle w:val="30"/>
        </w:rPr>
        <w:tab/>
      </w:r>
      <w:r>
        <w:rPr>
          <w:rStyle w:val="30"/>
        </w:rPr>
        <w:fldChar w:fldCharType="begin"/>
      </w:r>
      <w:r>
        <w:rPr>
          <w:rStyle w:val="30"/>
        </w:rPr>
        <w:instrText xml:space="preserve"> PAGEREF _Toc132893911 \h </w:instrText>
      </w:r>
      <w:r>
        <w:rPr>
          <w:rStyle w:val="30"/>
        </w:rPr>
        <w:fldChar w:fldCharType="separate"/>
      </w:r>
      <w:r>
        <w:rPr>
          <w:rStyle w:val="30"/>
        </w:rPr>
        <w:t>85</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"_Toc132893912" </w:instrText>
      </w:r>
      <w:r>
        <w:fldChar w:fldCharType="separate"/>
      </w:r>
      <w:r>
        <w:rPr>
          <w:rStyle w:val="30"/>
        </w:rPr>
        <w:t>6.3</w:t>
      </w:r>
      <w:r>
        <w:rPr>
          <w:rStyle w:val="30"/>
        </w:rPr>
        <w:tab/>
      </w:r>
      <w:r>
        <w:rPr>
          <w:rStyle w:val="30"/>
        </w:rPr>
        <w:t>日常维护</w:t>
      </w:r>
      <w:r>
        <w:rPr>
          <w:rStyle w:val="30"/>
        </w:rPr>
        <w:tab/>
      </w:r>
      <w:r>
        <w:rPr>
          <w:rStyle w:val="30"/>
        </w:rPr>
        <w:fldChar w:fldCharType="begin"/>
      </w:r>
      <w:r>
        <w:rPr>
          <w:rStyle w:val="30"/>
        </w:rPr>
        <w:instrText xml:space="preserve"> PAGEREF _Toc132893912 \h </w:instrText>
      </w:r>
      <w:r>
        <w:rPr>
          <w:rStyle w:val="30"/>
        </w:rPr>
        <w:fldChar w:fldCharType="separate"/>
      </w:r>
      <w:r>
        <w:rPr>
          <w:rStyle w:val="30"/>
        </w:rPr>
        <w:t>87</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"_Toc132893913" </w:instrText>
      </w:r>
      <w:r>
        <w:fldChar w:fldCharType="separate"/>
      </w:r>
      <w:r>
        <w:rPr>
          <w:rStyle w:val="30"/>
        </w:rPr>
        <w:t>6.4</w:t>
      </w:r>
      <w:r>
        <w:rPr>
          <w:rStyle w:val="30"/>
        </w:rPr>
        <w:tab/>
      </w:r>
      <w:r>
        <w:rPr>
          <w:rStyle w:val="30"/>
        </w:rPr>
        <w:t>应急管理</w:t>
      </w:r>
      <w:r>
        <w:rPr>
          <w:rStyle w:val="30"/>
        </w:rPr>
        <w:tab/>
      </w:r>
      <w:r>
        <w:rPr>
          <w:rStyle w:val="30"/>
        </w:rPr>
        <w:fldChar w:fldCharType="begin"/>
      </w:r>
      <w:r>
        <w:rPr>
          <w:rStyle w:val="30"/>
        </w:rPr>
        <w:instrText xml:space="preserve"> PAGEREF _Toc132893913 \h </w:instrText>
      </w:r>
      <w:r>
        <w:rPr>
          <w:rStyle w:val="30"/>
        </w:rPr>
        <w:fldChar w:fldCharType="separate"/>
      </w:r>
      <w:r>
        <w:rPr>
          <w:rStyle w:val="30"/>
        </w:rPr>
        <w:t>87</w:t>
      </w:r>
      <w:r>
        <w:rPr>
          <w:rStyle w:val="30"/>
        </w:rPr>
        <w:fldChar w:fldCharType="end"/>
      </w:r>
      <w:r>
        <w:rPr>
          <w:rStyle w:val="30"/>
        </w:rPr>
        <w:fldChar w:fldCharType="end"/>
      </w:r>
    </w:p>
    <w:p>
      <w:pPr>
        <w:pStyle w:val="20"/>
        <w:tabs>
          <w:tab w:val="left" w:pos="840"/>
          <w:tab w:val="right" w:leader="dot" w:pos="8656"/>
        </w:tabs>
        <w:spacing w:after="156"/>
        <w:ind w:left="140"/>
        <w:rPr>
          <w:rStyle w:val="30"/>
        </w:rPr>
      </w:pPr>
      <w:r>
        <w:fldChar w:fldCharType="begin"/>
      </w:r>
      <w:r>
        <w:instrText xml:space="preserve"> HYPERLINK \l "_Toc132893914" </w:instrText>
      </w:r>
      <w:r>
        <w:fldChar w:fldCharType="separate"/>
      </w:r>
      <w:r>
        <w:rPr>
          <w:rStyle w:val="30"/>
        </w:rPr>
        <w:t>6.5</w:t>
      </w:r>
      <w:r>
        <w:rPr>
          <w:rStyle w:val="30"/>
        </w:rPr>
        <w:tab/>
      </w:r>
      <w:r>
        <w:rPr>
          <w:rStyle w:val="30"/>
        </w:rPr>
        <w:t>职业健康</w:t>
      </w:r>
      <w:r>
        <w:rPr>
          <w:rStyle w:val="30"/>
        </w:rPr>
        <w:tab/>
      </w:r>
      <w:r>
        <w:rPr>
          <w:rStyle w:val="30"/>
        </w:rPr>
        <w:fldChar w:fldCharType="begin"/>
      </w:r>
      <w:r>
        <w:rPr>
          <w:rStyle w:val="30"/>
        </w:rPr>
        <w:instrText xml:space="preserve"> PAGEREF _Toc132893914 \h </w:instrText>
      </w:r>
      <w:r>
        <w:rPr>
          <w:rStyle w:val="30"/>
        </w:rPr>
        <w:fldChar w:fldCharType="separate"/>
      </w:r>
      <w:r>
        <w:rPr>
          <w:rStyle w:val="30"/>
        </w:rPr>
        <w:t>88</w:t>
      </w:r>
      <w:r>
        <w:rPr>
          <w:rStyle w:val="30"/>
        </w:rPr>
        <w:fldChar w:fldCharType="end"/>
      </w:r>
      <w:r>
        <w:rPr>
          <w:rStyle w:val="30"/>
        </w:rPr>
        <w:fldChar w:fldCharType="end"/>
      </w:r>
    </w:p>
    <w:p>
      <w:pPr>
        <w:spacing w:after="156" w:afterLines="50" w:line="259" w:lineRule="auto"/>
        <w:ind w:firstLine="0" w:firstLineChars="0"/>
      </w:pPr>
      <w:r>
        <w:fldChar w:fldCharType="end"/>
      </w: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jc w:val="right"/>
      </w:pPr>
    </w:p>
    <w:p>
      <w:pPr>
        <w:ind w:firstLine="560"/>
        <w:sectPr>
          <w:footerReference r:id="rId21" w:type="default"/>
          <w:pgSz w:w="11906" w:h="16838"/>
          <w:pgMar w:top="1440" w:right="1440" w:bottom="1117" w:left="1800" w:header="851" w:footer="992" w:gutter="0"/>
          <w:pgNumType w:start="51"/>
          <w:cols w:space="425" w:num="1"/>
          <w:docGrid w:type="lines" w:linePitch="312" w:charSpace="0"/>
        </w:sectPr>
      </w:pPr>
    </w:p>
    <w:p>
      <w:pPr>
        <w:pStyle w:val="2"/>
        <w:numPr>
          <w:ilvl w:val="0"/>
          <w:numId w:val="0"/>
        </w:numPr>
        <w:spacing w:before="624"/>
      </w:pPr>
      <w:bookmarkStart w:id="3835" w:name="_Toc132893887"/>
      <w:r>
        <w:rPr>
          <w:rFonts w:hint="eastAsia"/>
        </w:rPr>
        <w:t>1</w:t>
      </w:r>
      <w:r>
        <w:t xml:space="preserve"> </w:t>
      </w:r>
      <w:r>
        <w:rPr>
          <w:rFonts w:hint="eastAsia"/>
        </w:rPr>
        <w:t>总则</w:t>
      </w:r>
      <w:bookmarkEnd w:id="3835"/>
    </w:p>
    <w:p>
      <w:pPr>
        <w:pStyle w:val="4"/>
        <w:numPr>
          <w:ilvl w:val="0"/>
          <w:numId w:val="0"/>
        </w:numPr>
      </w:pPr>
      <w:r>
        <w:rPr>
          <w:b/>
          <w:bCs w:val="0"/>
          <w:lang w:val="zh-CN"/>
        </w:rPr>
        <w:t>1.0.1</w:t>
      </w:r>
      <w:r>
        <w:rPr>
          <w:b/>
          <w:bCs w:val="0"/>
        </w:rPr>
        <w:t xml:space="preserve">  </w:t>
      </w:r>
      <w:r>
        <w:rPr>
          <w:rFonts w:hint="eastAsia"/>
        </w:rPr>
        <w:t>说明制定本规程的宗旨目的。</w:t>
      </w:r>
    </w:p>
    <w:p>
      <w:pPr>
        <w:pStyle w:val="4"/>
        <w:numPr>
          <w:ilvl w:val="0"/>
          <w:numId w:val="0"/>
        </w:numPr>
      </w:pPr>
      <w:r>
        <w:rPr>
          <w:b/>
          <w:bCs w:val="0"/>
          <w:lang w:val="zh-CN"/>
        </w:rPr>
        <w:t>1.0.2</w:t>
      </w:r>
      <w:r>
        <w:rPr>
          <w:b/>
          <w:bCs w:val="0"/>
        </w:rPr>
        <w:t xml:space="preserve">  </w:t>
      </w:r>
      <w:r>
        <w:rPr>
          <w:rFonts w:hint="eastAsia"/>
        </w:rPr>
        <w:t>规定本规程的适用范围。本规程适用于广东省新建、扩建和改建的永久性的地下式污水处理厂。</w:t>
      </w:r>
    </w:p>
    <w:p>
      <w:pPr>
        <w:pStyle w:val="4"/>
        <w:numPr>
          <w:ilvl w:val="0"/>
          <w:numId w:val="0"/>
        </w:numPr>
      </w:pPr>
      <w:r>
        <w:rPr>
          <w:b/>
          <w:bCs w:val="0"/>
          <w:lang w:val="zh-CN"/>
        </w:rPr>
        <w:t>1.0.3</w:t>
      </w:r>
      <w:r>
        <w:rPr>
          <w:b/>
          <w:bCs w:val="0"/>
        </w:rPr>
        <w:t xml:space="preserve">  </w:t>
      </w:r>
      <w:r>
        <w:rPr>
          <w:rFonts w:hint="eastAsia"/>
        </w:rPr>
        <w:t>关于地下式城镇污水处理厂的工程建设原则。</w:t>
      </w:r>
    </w:p>
    <w:p>
      <w:pPr>
        <w:widowControl/>
        <w:ind w:firstLine="0" w:firstLineChars="0"/>
        <w:rPr>
          <w:b/>
        </w:rPr>
      </w:pPr>
      <w:r>
        <w:rPr>
          <w:b/>
        </w:rPr>
        <w:t>1.0.4</w:t>
      </w:r>
      <w:r>
        <w:rPr>
          <w:b/>
          <w:bCs/>
        </w:rPr>
        <w:t xml:space="preserve">  </w:t>
      </w:r>
      <w:r>
        <w:rPr>
          <w:rFonts w:hint="eastAsia"/>
        </w:rPr>
        <w:t>关于地下式城镇污水处理厂工程建设遵循“海绵城市”理念的规定。</w:t>
      </w:r>
    </w:p>
    <w:p>
      <w:pPr>
        <w:ind w:firstLine="0" w:firstLineChars="0"/>
      </w:pPr>
      <w:r>
        <w:rPr>
          <w:rFonts w:hint="eastAsia"/>
          <w:b/>
        </w:rPr>
        <w:t>1.0.5</w:t>
      </w:r>
      <w:r>
        <w:rPr>
          <w:b/>
          <w:bCs/>
        </w:rPr>
        <w:t xml:space="preserve">  </w:t>
      </w:r>
      <w:r>
        <w:rPr>
          <w:rFonts w:hint="eastAsia"/>
        </w:rPr>
        <w:t>规定地下式城镇污水处理厂工程采用新技术应遵循的主要原则。</w:t>
      </w:r>
    </w:p>
    <w:p>
      <w:pPr>
        <w:widowControl/>
        <w:ind w:firstLine="0" w:firstLineChars="0"/>
      </w:pPr>
      <w:r>
        <w:rPr>
          <w:b/>
          <w:lang w:val="zh-CN"/>
        </w:rPr>
        <w:t>1.0.</w:t>
      </w:r>
      <w:r>
        <w:rPr>
          <w:rFonts w:hint="eastAsia"/>
          <w:b/>
        </w:rPr>
        <w:t>6</w:t>
      </w:r>
      <w:r>
        <w:rPr>
          <w:b/>
          <w:bCs/>
        </w:rPr>
        <w:t xml:space="preserve">  </w:t>
      </w:r>
      <w:r>
        <w:rPr>
          <w:rFonts w:hint="eastAsia"/>
        </w:rPr>
        <w:t>关于地下式污水处理厂尚应执行的有关标准的规定。</w:t>
      </w:r>
    </w:p>
    <w:p>
      <w:pPr>
        <w:pStyle w:val="2"/>
        <w:numPr>
          <w:ilvl w:val="0"/>
          <w:numId w:val="0"/>
        </w:numPr>
        <w:spacing w:before="624" w:after="624"/>
        <w:rPr>
          <w:color w:val="auto"/>
        </w:rPr>
      </w:pPr>
      <w:r>
        <w:rPr>
          <w:color w:val="auto"/>
        </w:rPr>
        <w:t xml:space="preserve">2 </w:t>
      </w:r>
      <w:bookmarkStart w:id="3836" w:name="_Toc126314415"/>
      <w:bookmarkEnd w:id="3836"/>
      <w:bookmarkStart w:id="3837" w:name="_Toc132893888"/>
      <w:r>
        <w:rPr>
          <w:rFonts w:hint="eastAsia"/>
          <w:color w:val="auto"/>
        </w:rPr>
        <w:t>术语</w:t>
      </w:r>
      <w:bookmarkEnd w:id="3837"/>
    </w:p>
    <w:p>
      <w:pPr>
        <w:pStyle w:val="4"/>
        <w:numPr>
          <w:ilvl w:val="0"/>
          <w:numId w:val="0"/>
        </w:numPr>
        <w:rPr>
          <w:rFonts w:ascii="宋体" w:hAnsi="宋体"/>
        </w:rPr>
      </w:pPr>
      <w:r>
        <w:rPr>
          <w:b/>
          <w:bCs w:val="0"/>
        </w:rPr>
        <w:t>2.0.1</w:t>
      </w:r>
      <w:r>
        <w:rPr>
          <w:rFonts w:hint="eastAsia"/>
          <w:b/>
          <w:bCs w:val="0"/>
        </w:rPr>
        <w:t>、</w:t>
      </w:r>
      <w:r>
        <w:rPr>
          <w:b/>
          <w:bCs w:val="0"/>
        </w:rPr>
        <w:t>2.0.2</w:t>
      </w:r>
      <w:r>
        <w:rPr>
          <w:rFonts w:hint="eastAsia"/>
          <w:b/>
          <w:bCs w:val="0"/>
        </w:rPr>
        <w:t>、</w:t>
      </w:r>
      <w:r>
        <w:rPr>
          <w:b/>
          <w:bCs w:val="0"/>
        </w:rPr>
        <w:t>2.0.3</w:t>
      </w:r>
      <w:r>
        <w:rPr>
          <w:rFonts w:hint="eastAsia"/>
          <w:b/>
          <w:bCs w:val="0"/>
        </w:rPr>
        <w:t>、</w:t>
      </w:r>
      <w:r>
        <w:rPr>
          <w:b/>
          <w:bCs w:val="0"/>
        </w:rPr>
        <w:t xml:space="preserve">  </w:t>
      </w:r>
      <w:r>
        <w:rPr>
          <w:rFonts w:hint="eastAsia" w:ascii="宋体" w:hAnsi="宋体"/>
        </w:rPr>
        <w:t>明确了</w:t>
      </w:r>
      <w:r>
        <w:rPr>
          <w:rFonts w:ascii="宋体" w:hAnsi="宋体"/>
        </w:rPr>
        <w:t>地下式</w:t>
      </w:r>
      <w:r>
        <w:rPr>
          <w:rFonts w:hint="eastAsia" w:ascii="宋体" w:hAnsi="宋体"/>
        </w:rPr>
        <w:t>城镇</w:t>
      </w:r>
      <w:r>
        <w:rPr>
          <w:rFonts w:ascii="宋体" w:hAnsi="宋体"/>
        </w:rPr>
        <w:t>污水处理厂</w:t>
      </w:r>
      <w:r>
        <w:rPr>
          <w:rFonts w:hint="eastAsia" w:ascii="宋体" w:hAnsi="宋体"/>
        </w:rPr>
        <w:t>的定义及类别。</w:t>
      </w:r>
    </w:p>
    <w:p>
      <w:pPr>
        <w:ind w:firstLine="560"/>
        <w:jc w:val="right"/>
      </w:pPr>
    </w:p>
    <w:p>
      <w:pPr>
        <w:pStyle w:val="2"/>
        <w:numPr>
          <w:ilvl w:val="0"/>
          <w:numId w:val="0"/>
        </w:numPr>
        <w:spacing w:before="624" w:after="624"/>
        <w:rPr>
          <w:color w:val="auto"/>
        </w:rPr>
      </w:pPr>
      <w:bookmarkStart w:id="3838" w:name="_Toc132893889"/>
      <w:r>
        <w:rPr>
          <w:rFonts w:hint="eastAsia"/>
          <w:color w:val="auto"/>
        </w:rPr>
        <w:t>3</w:t>
      </w:r>
      <w:r>
        <w:rPr>
          <w:color w:val="auto"/>
        </w:rPr>
        <w:t xml:space="preserve"> </w:t>
      </w:r>
      <w:r>
        <w:rPr>
          <w:rFonts w:hint="eastAsia"/>
          <w:color w:val="auto"/>
        </w:rPr>
        <w:t>基本规定</w:t>
      </w:r>
      <w:bookmarkEnd w:id="3838"/>
    </w:p>
    <w:p>
      <w:pPr>
        <w:pStyle w:val="4"/>
        <w:numPr>
          <w:ilvl w:val="0"/>
          <w:numId w:val="0"/>
        </w:numPr>
      </w:pPr>
      <w:r>
        <w:rPr>
          <w:b/>
          <w:bCs w:val="0"/>
          <w:lang w:val="zh-CN"/>
        </w:rPr>
        <w:t>3.0.1</w:t>
      </w:r>
      <w:r>
        <w:rPr>
          <w:b/>
          <w:bCs w:val="0"/>
        </w:rPr>
        <w:t xml:space="preserve">  </w:t>
      </w:r>
      <w:r>
        <w:rPr>
          <w:rFonts w:hint="eastAsia"/>
        </w:rPr>
        <w:t>位于用地紧张地区、人口稠密地区或环境敏感区等的建设项目宜选择建设地下式城镇污水处理厂，并应结合投资成本、占地指标、生态环境要求、水资源综合利用等综合考虑。地下式污水处理厂可独立建设，也可与城市水环境综合治理工程、生态综合体等结合建设。</w:t>
      </w:r>
    </w:p>
    <w:p>
      <w:pPr>
        <w:ind w:firstLine="560"/>
        <w:jc w:val="right"/>
      </w:pPr>
    </w:p>
    <w:p>
      <w:pPr>
        <w:pStyle w:val="4"/>
        <w:numPr>
          <w:ilvl w:val="0"/>
          <w:numId w:val="0"/>
        </w:numPr>
      </w:pPr>
      <w:r>
        <w:rPr>
          <w:b/>
          <w:bCs w:val="0"/>
        </w:rPr>
        <w:t>3</w:t>
      </w:r>
      <w:r>
        <w:rPr>
          <w:b/>
          <w:bCs w:val="0"/>
          <w:lang w:val="zh-CN"/>
        </w:rPr>
        <w:t>.0.</w:t>
      </w:r>
      <w:r>
        <w:rPr>
          <w:b/>
          <w:bCs w:val="0"/>
        </w:rPr>
        <w:t xml:space="preserve">2  </w:t>
      </w:r>
      <w:r>
        <w:rPr>
          <w:rFonts w:hint="eastAsia"/>
        </w:rPr>
        <w:t>地下式城镇污水处理厂建设难度大、建成后难以扩建，确定近、远期建设规模时应根据当地的经济条件、建设水平，并充分考虑各种不确定因素，适当放大。近、远期规模相差不大时，经技术经济比较，可采用土建一次建设，设备分期安装的方式，正确处理近期与远期规模的关系。</w:t>
      </w:r>
    </w:p>
    <w:p>
      <w:pPr>
        <w:pStyle w:val="4"/>
        <w:numPr>
          <w:ilvl w:val="0"/>
          <w:numId w:val="0"/>
        </w:numPr>
      </w:pPr>
      <w:r>
        <w:rPr>
          <w:b/>
          <w:bCs w:val="0"/>
          <w:lang w:val="zh-CN"/>
        </w:rPr>
        <w:t>3.0.</w:t>
      </w:r>
      <w:r>
        <w:rPr>
          <w:b/>
          <w:bCs w:val="0"/>
        </w:rPr>
        <w:t xml:space="preserve">3  </w:t>
      </w:r>
      <w:r>
        <w:rPr>
          <w:rFonts w:hint="eastAsia"/>
        </w:rPr>
        <w:t>地下式城镇污水处理厂的建设用地应按照项目规划总规模和地块开发建设等要求进行控制。在区域发展定位高、远期发展余地较大的区域，其控制用地可按远期规划总规模预留</w:t>
      </w:r>
      <w:r>
        <w:t>1.3~1.5</w:t>
      </w:r>
      <w:r>
        <w:rPr>
          <w:rFonts w:hint="eastAsia"/>
        </w:rPr>
        <w:t>倍的发展余量。</w:t>
      </w:r>
    </w:p>
    <w:p>
      <w:pPr>
        <w:pStyle w:val="4"/>
        <w:numPr>
          <w:ilvl w:val="0"/>
          <w:numId w:val="0"/>
        </w:numPr>
      </w:pPr>
      <w:r>
        <w:rPr>
          <w:b/>
          <w:bCs w:val="0"/>
        </w:rPr>
        <w:t>3</w:t>
      </w:r>
      <w:r>
        <w:rPr>
          <w:b/>
          <w:bCs w:val="0"/>
          <w:lang w:val="zh-CN"/>
        </w:rPr>
        <w:t>.0.</w:t>
      </w:r>
      <w:r>
        <w:rPr>
          <w:b/>
          <w:bCs w:val="0"/>
        </w:rPr>
        <w:t xml:space="preserve">4  </w:t>
      </w:r>
      <w:r>
        <w:rPr>
          <w:rFonts w:hint="eastAsia"/>
        </w:rPr>
        <w:t>地下式城镇污水处理厂采用全地下式或半地下式的建设形式，应根据环境敏感程度、地块开发要求、地面使用功能、经济能力等因素综合确定。环境敏感程度高、经济条件许可、地面开发要求高时宜采用全地下式。</w:t>
      </w:r>
    </w:p>
    <w:p>
      <w:pPr>
        <w:ind w:firstLine="0" w:firstLineChars="0"/>
      </w:pPr>
      <w:r>
        <w:rPr>
          <w:b/>
          <w:lang w:val="zh-CN"/>
        </w:rPr>
        <w:t>3.0.</w:t>
      </w:r>
      <w:r>
        <w:rPr>
          <w:rFonts w:hint="eastAsia"/>
          <w:b/>
        </w:rPr>
        <w:t>5</w:t>
      </w:r>
      <w:r>
        <w:rPr>
          <w:b/>
          <w:bCs/>
        </w:rPr>
        <w:t xml:space="preserve">  </w:t>
      </w:r>
      <w:r>
        <w:rPr>
          <w:rFonts w:hint="eastAsia"/>
        </w:rPr>
        <w:t>地下式城镇污水处理厂操作环境相对密闭，某些构筑物，如污水泵房的格栅间、沉砂池、污泥脱水干化车间等会产生有毒有害和易燃易爆气体，为保障操作人员身体健康和人身安全，规定地下式城镇污水处理厂的消防系统、</w:t>
      </w:r>
      <w:r>
        <w:rPr>
          <w:rFonts w:hint="eastAsia"/>
          <w:lang w:val="zh-CN"/>
        </w:rPr>
        <w:t>通风排烟系统、除臭系统、在线监测系统、应急安全</w:t>
      </w:r>
      <w:r>
        <w:rPr>
          <w:rFonts w:hint="eastAsia"/>
        </w:rPr>
        <w:t>系统等设施应与</w:t>
      </w:r>
      <w:r>
        <w:rPr>
          <w:rFonts w:hint="eastAsia"/>
          <w:lang w:val="zh-CN"/>
        </w:rPr>
        <w:t>污水污泥处理系统、再生水系统</w:t>
      </w:r>
      <w:r>
        <w:rPr>
          <w:rFonts w:hint="eastAsia"/>
        </w:rPr>
        <w:t>同步设计、同步施工、同步验收、同步运行。</w:t>
      </w:r>
    </w:p>
    <w:p>
      <w:pPr>
        <w:pStyle w:val="4"/>
        <w:numPr>
          <w:ilvl w:val="0"/>
          <w:numId w:val="0"/>
        </w:numPr>
      </w:pPr>
      <w:r>
        <w:rPr>
          <w:b/>
          <w:bCs w:val="0"/>
          <w:lang w:val="zh-CN"/>
        </w:rPr>
        <w:t>3.0.</w:t>
      </w:r>
      <w:r>
        <w:rPr>
          <w:rFonts w:hint="eastAsia"/>
          <w:b/>
          <w:bCs w:val="0"/>
        </w:rPr>
        <w:t>6</w:t>
      </w:r>
      <w:r>
        <w:rPr>
          <w:b/>
          <w:bCs w:val="0"/>
        </w:rPr>
        <w:t xml:space="preserve">  </w:t>
      </w:r>
      <w:r>
        <w:rPr>
          <w:rFonts w:hint="eastAsia"/>
        </w:rPr>
        <w:t>地下式城镇污水处理厂地势低，地下空间易发生水浸、</w:t>
      </w:r>
      <w:r>
        <w:rPr>
          <w:rFonts w:hint="eastAsia"/>
          <w:bCs w:val="0"/>
          <w:lang w:val="zh-CN"/>
        </w:rPr>
        <w:t>管</w:t>
      </w:r>
      <w:r>
        <w:rPr>
          <w:rFonts w:hint="eastAsia"/>
          <w:bCs w:val="0"/>
        </w:rPr>
        <w:t>道</w:t>
      </w:r>
      <w:r>
        <w:rPr>
          <w:rFonts w:hint="eastAsia"/>
          <w:bCs w:val="0"/>
          <w:lang w:val="zh-CN"/>
        </w:rPr>
        <w:t>水倒灌、地下水入侵</w:t>
      </w:r>
      <w:r>
        <w:rPr>
          <w:rFonts w:hint="eastAsia"/>
          <w:bCs w:val="0"/>
        </w:rPr>
        <w:t>和</w:t>
      </w:r>
      <w:r>
        <w:rPr>
          <w:rFonts w:hint="eastAsia"/>
        </w:rPr>
        <w:t>污水外溢等事故，应通过构筑物形式、结构形式以及速闭闸、监控系统等设施有效防止。</w:t>
      </w:r>
    </w:p>
    <w:p>
      <w:pPr>
        <w:ind w:firstLine="0" w:firstLineChars="0"/>
      </w:pPr>
      <w:r>
        <w:rPr>
          <w:rFonts w:hint="eastAsia"/>
          <w:b/>
        </w:rPr>
        <w:t>3.0.7</w:t>
      </w:r>
      <w:r>
        <w:rPr>
          <w:b/>
          <w:bCs/>
        </w:rPr>
        <w:t xml:space="preserve">  </w:t>
      </w:r>
      <w:r>
        <w:rPr>
          <w:rFonts w:hint="eastAsia"/>
        </w:rPr>
        <w:t>地下式城镇污水处理厂操作层为非敞开式，为保证巡检人员的安全和健康，应设置并统筹协调通风系统、除臭系统和有毒有害气体监测和报警系统，确保有毒有害气体和恶臭有组织收集、负压输送和有效处理。</w:t>
      </w:r>
    </w:p>
    <w:p>
      <w:pPr>
        <w:pStyle w:val="4"/>
        <w:numPr>
          <w:ilvl w:val="0"/>
          <w:numId w:val="0"/>
        </w:numPr>
      </w:pPr>
      <w:r>
        <w:rPr>
          <w:b/>
          <w:lang w:val="zh-CN"/>
        </w:rPr>
        <w:t>3.0.</w:t>
      </w:r>
      <w:r>
        <w:rPr>
          <w:rFonts w:hint="eastAsia"/>
          <w:b/>
        </w:rPr>
        <w:t>8</w:t>
      </w:r>
      <w:r>
        <w:rPr>
          <w:b/>
          <w:bCs w:val="0"/>
        </w:rPr>
        <w:t xml:space="preserve">  </w:t>
      </w:r>
      <w:r>
        <w:rPr>
          <w:rFonts w:hint="eastAsia"/>
        </w:rPr>
        <w:t>规定了采用设备机械化和自动化程度的主要原则。</w:t>
      </w:r>
    </w:p>
    <w:p>
      <w:pPr>
        <w:ind w:firstLine="560"/>
      </w:pPr>
      <w:r>
        <w:rPr>
          <w:rFonts w:hint="eastAsia"/>
        </w:rPr>
        <w:t>为保障操作人员身体健康和人身安全，延长设备寿命，规定地下式污水处理厂应提高设备机械化和自动化水平，鼓励智能化。</w:t>
      </w:r>
    </w:p>
    <w:p>
      <w:pPr>
        <w:pStyle w:val="4"/>
        <w:numPr>
          <w:ilvl w:val="0"/>
          <w:numId w:val="0"/>
        </w:numPr>
        <w:rPr>
          <w:strike/>
          <w:lang w:val="zh-CN"/>
        </w:rPr>
      </w:pPr>
      <w:r>
        <w:rPr>
          <w:b/>
          <w:bCs w:val="0"/>
          <w:lang w:val="zh-CN"/>
        </w:rPr>
        <w:t>3.0.</w:t>
      </w:r>
      <w:r>
        <w:rPr>
          <w:rFonts w:hint="eastAsia"/>
          <w:b/>
          <w:bCs w:val="0"/>
        </w:rPr>
        <w:t>9</w:t>
      </w:r>
      <w:r>
        <w:rPr>
          <w:b/>
          <w:bCs w:val="0"/>
        </w:rPr>
        <w:t xml:space="preserve">  </w:t>
      </w:r>
      <w:r>
        <w:rPr>
          <w:rFonts w:hint="eastAsia"/>
          <w:lang w:val="zh-CN"/>
        </w:rPr>
        <w:t>地下污水厂的综合管线种类多、错综复杂，容易出现管道安装标高冲突、平面或空间位置重叠无法安装等问题，地下空间不美观、局部区域净空较小，影响较大车型如运泥车运行，对日常运维、检修造成不便。</w:t>
      </w:r>
    </w:p>
    <w:p>
      <w:pPr>
        <w:ind w:firstLine="0" w:firstLineChars="0"/>
      </w:pPr>
    </w:p>
    <w:p>
      <w:pPr>
        <w:ind w:firstLine="0" w:firstLineChars="0"/>
      </w:pPr>
    </w:p>
    <w:p>
      <w:pPr>
        <w:ind w:firstLine="0" w:firstLineChars="0"/>
      </w:pPr>
    </w:p>
    <w:p>
      <w:pPr>
        <w:ind w:firstLine="0" w:firstLineChars="0"/>
        <w:sectPr>
          <w:pgSz w:w="11906" w:h="16838"/>
          <w:pgMar w:top="1440" w:right="1440" w:bottom="1117" w:left="1800" w:header="851" w:footer="992" w:gutter="0"/>
          <w:pgNumType w:start="0"/>
          <w:cols w:space="425" w:num="1"/>
          <w:docGrid w:type="lines" w:linePitch="312" w:charSpace="0"/>
        </w:sectPr>
      </w:pPr>
    </w:p>
    <w:p>
      <w:pPr>
        <w:pStyle w:val="2"/>
        <w:numPr>
          <w:ilvl w:val="0"/>
          <w:numId w:val="0"/>
        </w:numPr>
        <w:spacing w:before="624" w:after="624"/>
        <w:rPr>
          <w:color w:val="auto"/>
        </w:rPr>
      </w:pPr>
      <w:bookmarkStart w:id="3839" w:name="_Toc132893890"/>
      <w:r>
        <w:rPr>
          <w:rFonts w:hint="eastAsia"/>
          <w:color w:val="auto"/>
        </w:rPr>
        <w:t>4</w:t>
      </w:r>
      <w:r>
        <w:rPr>
          <w:color w:val="auto"/>
        </w:rPr>
        <w:t xml:space="preserve"> </w:t>
      </w:r>
      <w:r>
        <w:rPr>
          <w:rFonts w:hint="eastAsia"/>
          <w:color w:val="auto"/>
        </w:rPr>
        <w:t>工程设计</w:t>
      </w:r>
      <w:bookmarkEnd w:id="3839"/>
    </w:p>
    <w:p>
      <w:pPr>
        <w:pStyle w:val="3"/>
        <w:numPr>
          <w:ilvl w:val="0"/>
          <w:numId w:val="0"/>
        </w:numPr>
        <w:spacing w:before="624" w:after="624"/>
      </w:pPr>
      <w:bookmarkStart w:id="3840" w:name="_Toc132893891"/>
      <w:r>
        <w:rPr>
          <w:rFonts w:hint="eastAsia"/>
        </w:rPr>
        <w:t>4</w:t>
      </w:r>
      <w:r>
        <w:t xml:space="preserve">.1 </w:t>
      </w:r>
      <w:r>
        <w:rPr>
          <w:rFonts w:hint="eastAsia"/>
        </w:rPr>
        <w:t>一般规定</w:t>
      </w:r>
      <w:bookmarkEnd w:id="3840"/>
    </w:p>
    <w:p>
      <w:pPr>
        <w:pStyle w:val="4"/>
        <w:numPr>
          <w:ilvl w:val="0"/>
          <w:numId w:val="0"/>
        </w:numPr>
        <w:rPr>
          <w:rFonts w:ascii="宋体" w:hAnsi="宋体"/>
        </w:rPr>
      </w:pPr>
      <w:r>
        <w:rPr>
          <w:b/>
          <w:bCs w:val="0"/>
        </w:rPr>
        <w:t>4</w:t>
      </w:r>
      <w:r>
        <w:rPr>
          <w:b/>
          <w:bCs w:val="0"/>
          <w:lang w:val="zh-CN"/>
        </w:rPr>
        <w:t>.1.</w:t>
      </w:r>
      <w:r>
        <w:rPr>
          <w:b/>
          <w:bCs w:val="0"/>
        </w:rPr>
        <w:t xml:space="preserve">1  </w:t>
      </w:r>
      <w:r>
        <w:rPr>
          <w:rStyle w:val="126"/>
          <w:rFonts w:hint="eastAsia"/>
        </w:rPr>
        <w:t>关于规划协调性的一般规定。从全局出发，依据城镇建设规划、雨污水排水规划，并与地下空间、防洪排涝、河道水系、道路交通、园林绿地、环境保护、环境卫生等专项规划和设计相协调。</w:t>
      </w:r>
    </w:p>
    <w:p>
      <w:pPr>
        <w:pStyle w:val="4"/>
        <w:numPr>
          <w:ilvl w:val="0"/>
          <w:numId w:val="0"/>
        </w:numPr>
        <w:rPr>
          <w:rStyle w:val="126"/>
        </w:rPr>
      </w:pPr>
      <w:r>
        <w:rPr>
          <w:b/>
          <w:bCs w:val="0"/>
          <w:lang w:val="zh-CN"/>
        </w:rPr>
        <w:t>4.1.</w:t>
      </w:r>
      <w:r>
        <w:rPr>
          <w:b/>
          <w:bCs w:val="0"/>
        </w:rPr>
        <w:t xml:space="preserve">2  </w:t>
      </w:r>
      <w:r>
        <w:rPr>
          <w:rStyle w:val="126"/>
          <w:rFonts w:hint="eastAsia"/>
        </w:rPr>
        <w:t>地下式城镇污水厂位置的选择必须在城镇总体规划和排水工程专业规划的指导下进行，以保证总体的社会效益、环境效益和经济效益。并根据下列因素综合确定：便于污水收集和处理后出水回用和安全排放；便于污泥集中处理和处置；有良好的工程地质条件；少拆迁，少占地；有扩建的可能。地下式城镇污水处理厂主体处理构筑物位于地下，埋设深度更大，厂址的良好工程地质条件，包括土质、地基承载力和地下水位等因素，为工程设计、施工、管理和节省造价提供有利条件。相比常规污水厂更应重视厂址的防洪和排水问题，防洪标准不应低于城镇防洪标准，防止洪涝灾害。</w:t>
      </w:r>
    </w:p>
    <w:p>
      <w:pPr>
        <w:pStyle w:val="4"/>
        <w:numPr>
          <w:ilvl w:val="0"/>
          <w:numId w:val="0"/>
        </w:numPr>
      </w:pPr>
      <w:r>
        <w:rPr>
          <w:b/>
          <w:lang w:val="zh-CN"/>
        </w:rPr>
        <w:t>4.1.3</w:t>
      </w:r>
      <w:r>
        <w:rPr>
          <w:b/>
          <w:bCs w:val="0"/>
        </w:rPr>
        <w:t xml:space="preserve">  </w:t>
      </w:r>
      <w:r>
        <w:rPr>
          <w:rFonts w:hint="eastAsia"/>
        </w:rPr>
        <w:t>结合广东省降雨特征及初雨径流污染的情况，地下式城镇污水处理厂处理能力应能应对雨季流量冲击负荷。污水处理系统的设计应将受污染的雨水径流收集、输送至污水厂处理达标后排放，以缓解雨水径流对河道的污染。因此，污水处理厂的设计在满足旱季设计流量之外，预留部分雨季流量处理的能力。当采用雨水调蓄时，污水厂的雨季设计流量可根据调蓄规模相应降低。</w:t>
      </w:r>
    </w:p>
    <w:p>
      <w:pPr>
        <w:pStyle w:val="4"/>
        <w:numPr>
          <w:ilvl w:val="0"/>
          <w:numId w:val="0"/>
        </w:numPr>
      </w:pPr>
      <w:r>
        <w:rPr>
          <w:b/>
          <w:bCs w:val="0"/>
          <w:lang w:val="zh-CN"/>
        </w:rPr>
        <w:t>4.1.</w:t>
      </w:r>
      <w:r>
        <w:rPr>
          <w:b/>
          <w:bCs w:val="0"/>
        </w:rPr>
        <w:t xml:space="preserve">4  </w:t>
      </w:r>
      <w:r>
        <w:rPr>
          <w:rFonts w:hint="eastAsia"/>
        </w:rPr>
        <w:t>对于水量变化大的污水处理厂，或部分地下式城镇污水处理厂位于工业园区、产业园区内，污水中工业废水比例较高，有可能受到工业废水水质水量的冲击，在设计时，宜充分利用地下空间设置均化水质、水量的调节水池。</w:t>
      </w:r>
    </w:p>
    <w:p>
      <w:pPr>
        <w:pStyle w:val="4"/>
        <w:numPr>
          <w:ilvl w:val="0"/>
          <w:numId w:val="0"/>
        </w:numPr>
        <w:adjustRightInd w:val="0"/>
      </w:pPr>
      <w:r>
        <w:rPr>
          <w:b/>
          <w:bCs w:val="0"/>
          <w:lang w:val="zh-CN"/>
        </w:rPr>
        <w:t>4.1.</w:t>
      </w:r>
      <w:r>
        <w:rPr>
          <w:rFonts w:hint="eastAsia"/>
          <w:b/>
          <w:bCs w:val="0"/>
        </w:rPr>
        <w:t>5</w:t>
      </w:r>
      <w:r>
        <w:rPr>
          <w:b/>
          <w:bCs w:val="0"/>
        </w:rPr>
        <w:t xml:space="preserve">  </w:t>
      </w:r>
      <w:r>
        <w:rPr>
          <w:rFonts w:hint="eastAsia"/>
        </w:rPr>
        <w:t>本条是关于污水处理构筑物设计的规定。</w:t>
      </w:r>
    </w:p>
    <w:p>
      <w:pPr>
        <w:ind w:firstLine="560"/>
      </w:pPr>
      <w:r>
        <w:rPr>
          <w:rFonts w:hint="eastAsia"/>
        </w:rPr>
        <w:t>1 污水处理构筑物设计应根据污水厂的远期规模和分期建设情况统一安排，按每期污水量设计，并考虑到分期扩建的可能性和灵活性，有利于工程建设在短期内见效；</w:t>
      </w:r>
    </w:p>
    <w:p>
      <w:pPr>
        <w:ind w:firstLine="560"/>
      </w:pPr>
      <w:r>
        <w:rPr>
          <w:rFonts w:hint="eastAsia"/>
        </w:rPr>
        <w:t>4 初次沉淀池应按旱季设计流量设计，保证旱季时的沉淀效果。降雨时，容许降低沉淀效果，故用雨季设计流量校核，此时沉淀时间可适当缩短，但不宜小于 30min；</w:t>
      </w:r>
    </w:p>
    <w:p>
      <w:pPr>
        <w:ind w:firstLine="560"/>
      </w:pPr>
      <w:r>
        <w:rPr>
          <w:rFonts w:hint="eastAsia"/>
        </w:rPr>
        <w:t>5 二级处理构筑物按旱季设计流量设计，为保护降雨时河流水质，改善污水厂的出水水质，故用雨季流量校核。当二级处理构筑物用雨季流量校核无法满足出水水质要求时，应调整设计流量，保障出水水质。</w:t>
      </w:r>
    </w:p>
    <w:p>
      <w:pPr>
        <w:ind w:firstLine="0" w:firstLineChars="0"/>
      </w:pPr>
      <w:r>
        <w:rPr>
          <w:b/>
          <w:lang w:val="zh-CN"/>
        </w:rPr>
        <w:t>4.1.</w:t>
      </w:r>
      <w:r>
        <w:rPr>
          <w:b/>
        </w:rPr>
        <w:t>6</w:t>
      </w:r>
      <w:r>
        <w:rPr>
          <w:b/>
          <w:bCs/>
        </w:rPr>
        <w:t xml:space="preserve">  </w:t>
      </w:r>
      <w:r>
        <w:rPr>
          <w:rFonts w:hint="eastAsia"/>
        </w:rPr>
        <w:t>考虑远景发展，地下式城镇污水处理厂工艺选择和地下空间设计时应充分依据各类规划、环保要求，宜选择处理效果好、占地面积小、便于运行维护的处理工艺，适当预留污水提标、再生利用、资源回收利用、局部工艺改造的空间。</w:t>
      </w:r>
    </w:p>
    <w:p>
      <w:pPr>
        <w:pStyle w:val="4"/>
        <w:numPr>
          <w:ilvl w:val="0"/>
          <w:numId w:val="0"/>
        </w:numPr>
      </w:pPr>
      <w:r>
        <w:rPr>
          <w:b/>
          <w:bCs w:val="0"/>
          <w:lang w:val="zh-CN"/>
        </w:rPr>
        <w:t>4.1.7</w:t>
      </w:r>
      <w:r>
        <w:rPr>
          <w:b/>
          <w:bCs w:val="0"/>
        </w:rPr>
        <w:t xml:space="preserve">  </w:t>
      </w:r>
      <w:r>
        <w:rPr>
          <w:rFonts w:hint="eastAsia"/>
        </w:rPr>
        <w:t>地下式城镇污水处理厂的</w:t>
      </w:r>
      <w:r>
        <w:rPr>
          <w:rFonts w:hint="eastAsia"/>
          <w:u w:val="single"/>
          <w:lang w:val="zh-CN"/>
        </w:rPr>
        <w:t>工</w:t>
      </w:r>
      <w:r>
        <w:rPr>
          <w:rFonts w:hint="eastAsia"/>
          <w:lang w:val="zh-CN"/>
        </w:rPr>
        <w:t>艺流程、竖向设计、</w:t>
      </w:r>
      <w:r>
        <w:rPr>
          <w:rFonts w:hint="eastAsia"/>
        </w:rPr>
        <w:t>埋设深度和操作层净空高度与工程造价、施工和管理难度密切相关，应充分利用结构梁板下的有限空间合理布置管道，在满足通行和设备检修的前提下尽可能减小操作层净空高度和地下空间整体埋设深度。综合考虑设备起吊、管线敷设、通风、消防、车辆和人员通行要求，操作层净空高度一般不低于5m，建议5.0 m～6.0m。检修通道净高应满足设备检修要求，污泥运输通道净高应满足营运生产的要求。</w:t>
      </w:r>
    </w:p>
    <w:p>
      <w:pPr>
        <w:pStyle w:val="4"/>
        <w:numPr>
          <w:ilvl w:val="0"/>
          <w:numId w:val="0"/>
        </w:numPr>
      </w:pPr>
      <w:r>
        <w:rPr>
          <w:b/>
          <w:lang w:val="zh-CN"/>
        </w:rPr>
        <w:t>4.1.8</w:t>
      </w:r>
      <w:r>
        <w:rPr>
          <w:b/>
          <w:bCs w:val="0"/>
        </w:rPr>
        <w:t xml:space="preserve">  </w:t>
      </w:r>
      <w:r>
        <w:rPr>
          <w:rFonts w:hint="eastAsia"/>
        </w:rPr>
        <w:t>风塔为经过除臭处理后达标的废气排放口，但是其二氧化碳浓度较高且含有一定浓度的刺激性气体，在排放位置及措施尽量减少对周边的影响。地埋厂排风口处空气质量较差，宜根据实际情况调整排放口位置，提高地面空气的质量。</w:t>
      </w:r>
    </w:p>
    <w:p>
      <w:pPr>
        <w:pStyle w:val="4"/>
        <w:numPr>
          <w:ilvl w:val="0"/>
          <w:numId w:val="0"/>
        </w:numPr>
      </w:pPr>
      <w:r>
        <w:rPr>
          <w:b/>
          <w:bCs w:val="0"/>
          <w:lang w:val="zh-CN"/>
        </w:rPr>
        <w:t>4.1.9</w:t>
      </w:r>
      <w:r>
        <w:rPr>
          <w:b/>
          <w:bCs w:val="0"/>
        </w:rPr>
        <w:t xml:space="preserve">  </w:t>
      </w:r>
      <w:r>
        <w:rPr>
          <w:rFonts w:hint="eastAsia"/>
        </w:rPr>
        <w:t>为了更高效利用建设用地，目前有城市逐步探索地下式城镇污水处理厂与地面建筑、综合体等合建综合开发方式。在设计、施工、运行过程中应充分对接污水处理构筑物与建筑、综合体的基坑、荷载运维等要求，既满足综合开发节约用地，又能满足各自功能需求。</w:t>
      </w:r>
      <w:r>
        <w:rPr>
          <w:rFonts w:hint="eastAsia"/>
          <w:lang w:val="zh-CN"/>
        </w:rPr>
        <w:t>污水处理厂值班、化验、宿舍等附属设施</w:t>
      </w:r>
      <w:r>
        <w:rPr>
          <w:rFonts w:hint="eastAsia"/>
        </w:rPr>
        <w:t>可</w:t>
      </w:r>
      <w:r>
        <w:rPr>
          <w:rFonts w:hint="eastAsia"/>
          <w:lang w:val="zh-CN"/>
        </w:rPr>
        <w:t>与综合开发</w:t>
      </w:r>
      <w:r>
        <w:rPr>
          <w:rFonts w:hint="eastAsia"/>
        </w:rPr>
        <w:t>建筑</w:t>
      </w:r>
      <w:r>
        <w:rPr>
          <w:rFonts w:hint="eastAsia"/>
          <w:lang w:val="zh-CN"/>
        </w:rPr>
        <w:t>合建，通过专梯、专层、绿篱分割、门禁管理等方式保障各自日常正常运行管理，避免干扰。</w:t>
      </w:r>
    </w:p>
    <w:p>
      <w:pPr>
        <w:pStyle w:val="4"/>
        <w:numPr>
          <w:ilvl w:val="0"/>
          <w:numId w:val="0"/>
        </w:numPr>
      </w:pPr>
      <w:r>
        <w:rPr>
          <w:b/>
          <w:bCs w:val="0"/>
          <w:lang w:val="zh-CN"/>
        </w:rPr>
        <w:t>4.1.10</w:t>
      </w:r>
      <w:r>
        <w:rPr>
          <w:b/>
          <w:bCs w:val="0"/>
        </w:rPr>
        <w:t xml:space="preserve">  </w:t>
      </w:r>
      <w:r>
        <w:rPr>
          <w:rFonts w:hint="eastAsia"/>
        </w:rPr>
        <w:t>地下式城镇污水处理厂用地受地面道路分割、穿越时，应按照下部建污水厂、上部建道路的要求，充分考虑地面车辆通行无障碍和地下部分结构承载力的需要。</w:t>
      </w:r>
    </w:p>
    <w:p>
      <w:pPr>
        <w:pStyle w:val="4"/>
        <w:numPr>
          <w:ilvl w:val="0"/>
          <w:numId w:val="0"/>
        </w:numPr>
      </w:pPr>
      <w:r>
        <w:rPr>
          <w:b/>
          <w:lang w:val="zh-CN"/>
        </w:rPr>
        <w:t>4.1.11</w:t>
      </w:r>
      <w:r>
        <w:rPr>
          <w:b/>
          <w:bCs w:val="0"/>
        </w:rPr>
        <w:t xml:space="preserve">  </w:t>
      </w:r>
      <w:r>
        <w:rPr>
          <w:rFonts w:hint="eastAsia"/>
        </w:rPr>
        <w:t>污水厂进水管渠经常为有满管运行工况，管渠内带有一定水压，广东省地下水位较高、进水管渠水量受降雨、地下水位影响大。长距离输水渠箱通常设置后浇带等分缝设施，运行时间较长时在承压水作用下易渗漏，地下空间检修困难，为保障运行安全，不宜设置长距离渠箱输水。</w:t>
      </w:r>
    </w:p>
    <w:p>
      <w:pPr>
        <w:pStyle w:val="4"/>
        <w:numPr>
          <w:ilvl w:val="0"/>
          <w:numId w:val="0"/>
        </w:numPr>
      </w:pPr>
      <w:r>
        <w:rPr>
          <w:b/>
          <w:bCs w:val="0"/>
          <w:lang w:val="zh-CN"/>
        </w:rPr>
        <w:t>4.1.12</w:t>
      </w:r>
      <w:r>
        <w:rPr>
          <w:b/>
          <w:bCs w:val="0"/>
        </w:rPr>
        <w:t xml:space="preserve">  </w:t>
      </w:r>
      <w:r>
        <w:rPr>
          <w:rFonts w:hint="eastAsia"/>
        </w:rPr>
        <w:t>本条是地下式城镇污水处理厂对进水、出水、地下水、环保等监测的规定。</w:t>
      </w:r>
    </w:p>
    <w:p>
      <w:pPr>
        <w:pStyle w:val="4"/>
        <w:numPr>
          <w:ilvl w:val="0"/>
          <w:numId w:val="0"/>
        </w:numPr>
      </w:pPr>
      <w:r>
        <w:rPr>
          <w:b/>
          <w:bCs w:val="0"/>
          <w:lang w:val="zh-CN"/>
        </w:rPr>
        <w:t>4.1.13</w:t>
      </w:r>
      <w:r>
        <w:rPr>
          <w:b/>
          <w:bCs w:val="0"/>
        </w:rPr>
        <w:t xml:space="preserve">  </w:t>
      </w:r>
      <w:r>
        <w:rPr>
          <w:rFonts w:hint="eastAsia"/>
        </w:rPr>
        <w:t>地下式城镇污水处理厂设置有毒有害气体监测和报警设施的规定。</w:t>
      </w:r>
    </w:p>
    <w:p>
      <w:pPr>
        <w:pStyle w:val="4"/>
        <w:numPr>
          <w:ilvl w:val="0"/>
          <w:numId w:val="0"/>
        </w:numPr>
      </w:pPr>
      <w:r>
        <w:rPr>
          <w:b/>
          <w:lang w:val="zh-CN"/>
        </w:rPr>
        <w:t>4.1.14</w:t>
      </w:r>
      <w:r>
        <w:rPr>
          <w:b/>
          <w:bCs w:val="0"/>
        </w:rPr>
        <w:t xml:space="preserve">  </w:t>
      </w:r>
      <w:r>
        <w:rPr>
          <w:rFonts w:hint="eastAsia"/>
        </w:rPr>
        <w:t>为贯彻落实《国务院办公厅关于推进海绵城市建设的指导意见》（国办发</w:t>
      </w:r>
      <w:r>
        <w:rPr>
          <w:rFonts w:hint="eastAsia"/>
          <w:lang w:eastAsia="zh-CN"/>
        </w:rPr>
        <w:t>〔</w:t>
      </w:r>
      <w:r>
        <w:rPr>
          <w:rFonts w:hint="eastAsia"/>
        </w:rPr>
        <w:t>2015</w:t>
      </w:r>
      <w:r>
        <w:rPr>
          <w:rFonts w:hint="eastAsia"/>
          <w:lang w:eastAsia="zh-CN"/>
        </w:rPr>
        <w:t>〕</w:t>
      </w:r>
      <w:r>
        <w:rPr>
          <w:rFonts w:hint="eastAsia"/>
        </w:rPr>
        <w:t>75号）、《广东省人民政府办公厅关于推进海绵城市建设的实施意见》（粤府办发</w:t>
      </w:r>
      <w:r>
        <w:rPr>
          <w:rFonts w:hint="eastAsia"/>
          <w:lang w:eastAsia="zh-CN"/>
        </w:rPr>
        <w:t>〔</w:t>
      </w:r>
      <w:r>
        <w:rPr>
          <w:rFonts w:hint="eastAsia"/>
        </w:rPr>
        <w:t>2016</w:t>
      </w:r>
      <w:r>
        <w:rPr>
          <w:rFonts w:hint="eastAsia"/>
          <w:lang w:eastAsia="zh-CN"/>
        </w:rPr>
        <w:t>〕</w:t>
      </w:r>
      <w:r>
        <w:rPr>
          <w:rFonts w:hint="eastAsia"/>
        </w:rPr>
        <w:t>53号）相应要求，推进海绵城市建设。地下式城镇污水处理厂设计和建设应根据厂区实际情况，结合用地、布局、景观等因素选择合适的工程设施贯彻海绵城市建设理念，注重源头减排，减少地面径流。</w:t>
      </w:r>
    </w:p>
    <w:p>
      <w:pPr>
        <w:pStyle w:val="4"/>
        <w:numPr>
          <w:ilvl w:val="0"/>
          <w:numId w:val="0"/>
        </w:numPr>
      </w:pPr>
      <w:r>
        <w:rPr>
          <w:b/>
          <w:lang w:val="zh-CN"/>
        </w:rPr>
        <w:t>4.1.</w:t>
      </w:r>
      <w:r>
        <w:rPr>
          <w:rFonts w:hint="eastAsia"/>
          <w:b/>
        </w:rPr>
        <w:t>1</w:t>
      </w:r>
      <w:r>
        <w:rPr>
          <w:b/>
        </w:rPr>
        <w:t>5</w:t>
      </w:r>
      <w:r>
        <w:rPr>
          <w:b/>
          <w:bCs w:val="0"/>
        </w:rPr>
        <w:t xml:space="preserve">  </w:t>
      </w:r>
      <w:r>
        <w:rPr>
          <w:rFonts w:hint="eastAsia"/>
        </w:rPr>
        <w:t>格栅、污泥干化、尾水泵房等大型设备考虑今后外运检修或更换可在顶板处设置吊装孔，吊装孔应靠近地面道路，便于起重设备进入，吊装孔应做好安全、防水及防涝等措施。</w:t>
      </w:r>
    </w:p>
    <w:p>
      <w:pPr>
        <w:pStyle w:val="4"/>
        <w:numPr>
          <w:ilvl w:val="0"/>
          <w:numId w:val="0"/>
        </w:numPr>
        <w:rPr>
          <w:lang w:val="zh-CN"/>
        </w:rPr>
      </w:pPr>
      <w:r>
        <w:rPr>
          <w:b/>
          <w:lang w:val="zh-CN"/>
        </w:rPr>
        <w:t>4.1.16</w:t>
      </w:r>
      <w:r>
        <w:rPr>
          <w:b/>
          <w:bCs w:val="0"/>
        </w:rPr>
        <w:t xml:space="preserve">  </w:t>
      </w:r>
      <w:r>
        <w:rPr>
          <w:rFonts w:hint="eastAsia"/>
        </w:rPr>
        <w:t>本条规定了地下式城镇污水处理厂采用自动化和智能化的原则。</w:t>
      </w:r>
    </w:p>
    <w:p>
      <w:pPr>
        <w:pStyle w:val="4"/>
        <w:numPr>
          <w:ilvl w:val="0"/>
          <w:numId w:val="0"/>
        </w:numPr>
      </w:pPr>
      <w:r>
        <w:rPr>
          <w:b/>
          <w:lang w:val="zh-CN"/>
        </w:rPr>
        <w:t>4.1.17</w:t>
      </w:r>
      <w:r>
        <w:rPr>
          <w:b/>
          <w:bCs w:val="0"/>
        </w:rPr>
        <w:t xml:space="preserve">  </w:t>
      </w:r>
      <w:r>
        <w:rPr>
          <w:rFonts w:hint="eastAsia"/>
        </w:rPr>
        <w:t>本条规定了地下式城镇污水处理厂的标识、色标等。</w:t>
      </w:r>
    </w:p>
    <w:p>
      <w:pPr>
        <w:pStyle w:val="3"/>
        <w:numPr>
          <w:ilvl w:val="0"/>
          <w:numId w:val="0"/>
        </w:numPr>
        <w:spacing w:before="624" w:after="624"/>
        <w:rPr>
          <w:lang w:val="zh-CN"/>
        </w:rPr>
      </w:pPr>
      <w:bookmarkStart w:id="3841" w:name="_Toc132893892"/>
      <w:r>
        <w:rPr>
          <w:rFonts w:hint="eastAsia"/>
          <w:lang w:val="zh-CN"/>
        </w:rPr>
        <w:t>4</w:t>
      </w:r>
      <w:r>
        <w:rPr>
          <w:lang w:val="zh-CN"/>
        </w:rPr>
        <w:t xml:space="preserve">.2 </w:t>
      </w:r>
      <w:r>
        <w:rPr>
          <w:rFonts w:hint="eastAsia"/>
          <w:lang w:val="zh-CN"/>
        </w:rPr>
        <w:t>地下</w:t>
      </w:r>
      <w:r>
        <w:rPr>
          <w:rFonts w:hint="eastAsia"/>
        </w:rPr>
        <w:t>空间总体</w:t>
      </w:r>
      <w:r>
        <w:rPr>
          <w:rFonts w:hint="eastAsia"/>
          <w:lang w:val="zh-CN"/>
        </w:rPr>
        <w:t>布置</w:t>
      </w:r>
      <w:bookmarkEnd w:id="3841"/>
    </w:p>
    <w:p>
      <w:pPr>
        <w:pStyle w:val="4"/>
        <w:numPr>
          <w:ilvl w:val="0"/>
          <w:numId w:val="0"/>
        </w:numPr>
      </w:pPr>
      <w:r>
        <w:rPr>
          <w:b/>
          <w:bCs w:val="0"/>
          <w:lang w:val="zh-CN"/>
        </w:rPr>
        <w:t>4.2.1</w:t>
      </w:r>
      <w:r>
        <w:rPr>
          <w:b/>
          <w:bCs w:val="0"/>
        </w:rPr>
        <w:t xml:space="preserve">  </w:t>
      </w:r>
      <w:r>
        <w:rPr>
          <w:rFonts w:hint="eastAsia"/>
        </w:rPr>
        <w:t>地下式城镇污水处理厂地下空间面积大、土建建设成本高、配套通风、监控设施工程量大、能耗高。在总体布置时应集约化、紧凑布置，提高地下空间的使用效率及便捷性，节省投资、降低经营费用。尽量将巡视、操作、检修维护工作区域集中布置，便于设置配套通风、照明、有毒有害气体监测报警等附属设施，保障安全工作环境。鼓风</w:t>
      </w:r>
      <w:r>
        <w:rPr>
          <w:rFonts w:hint="eastAsia"/>
          <w:lang w:val="zh-CN"/>
        </w:rPr>
        <w:t>机房、加药间、膜设备间、除臭设备间、污泥处理车间、回用水泵房、消防泵房、配电间、进出水仪表间、机修间、仓库等</w:t>
      </w:r>
      <w:r>
        <w:rPr>
          <w:rFonts w:hint="eastAsia"/>
        </w:rPr>
        <w:t>附属建筑宜根据处理工艺、管理的需求按功能分区在操作层集中布置</w:t>
      </w:r>
      <w:r>
        <w:rPr>
          <w:rFonts w:hint="eastAsia"/>
          <w:lang w:val="zh-CN"/>
        </w:rPr>
        <w:t>。</w:t>
      </w:r>
      <w:r>
        <w:rPr>
          <w:rFonts w:hint="eastAsia"/>
        </w:rPr>
        <w:t>鼓风机、污泥干化、提升泵、水源热泵等用电负荷较大的设备宜集中布置，有利于配电室的统一布置。</w:t>
      </w:r>
    </w:p>
    <w:p>
      <w:pPr>
        <w:pStyle w:val="4"/>
        <w:numPr>
          <w:ilvl w:val="0"/>
          <w:numId w:val="0"/>
        </w:numPr>
      </w:pPr>
      <w:r>
        <w:rPr>
          <w:b/>
          <w:bCs w:val="0"/>
          <w:lang w:val="zh-CN"/>
        </w:rPr>
        <w:t>4.2.2</w:t>
      </w:r>
      <w:r>
        <w:rPr>
          <w:b/>
          <w:bCs w:val="0"/>
        </w:rPr>
        <w:t xml:space="preserve">  </w:t>
      </w:r>
      <w:r>
        <w:rPr>
          <w:rFonts w:hint="eastAsia"/>
        </w:rPr>
        <w:t>预处理区、污泥脱水干化区生产过程中臭气浓度大、环境差、通风除臭费用高；在设计中应集中布置在地下空间下风区内、通过加强密封、强化通风除臭提高工作环境，工作区域尽量远离示范、参观通道。在巡视频繁、检修集中、参观学习通道等区域应通过加强通风除臭、离子新风等综合措施。</w:t>
      </w:r>
    </w:p>
    <w:p>
      <w:pPr>
        <w:pStyle w:val="4"/>
        <w:numPr>
          <w:ilvl w:val="0"/>
          <w:numId w:val="0"/>
        </w:numPr>
      </w:pPr>
      <w:r>
        <w:rPr>
          <w:b/>
          <w:lang w:val="zh-CN"/>
        </w:rPr>
        <w:t>4.2.4</w:t>
      </w:r>
      <w:r>
        <w:rPr>
          <w:b/>
          <w:bCs w:val="0"/>
        </w:rPr>
        <w:t xml:space="preserve">  </w:t>
      </w:r>
      <w:r>
        <w:rPr>
          <w:rFonts w:hint="eastAsia"/>
        </w:rPr>
        <w:t>地下式城镇污水处理厂的进出通道（包括车行道、人行道等）应根据运输、管理和维护、应急救援等功能要求设置，并应考虑人车分流。通常进出通道的最低点比周围地面低很多，且纵坡很大，下雨时易造成积水。从安全角度出发，通道敞开部分采用透光材料进行封闭，设置驼峰和横截沟防止雨水进入，形成高水高排、低水低排独立互不干扰的系统。</w:t>
      </w:r>
    </w:p>
    <w:p>
      <w:pPr>
        <w:pStyle w:val="4"/>
        <w:numPr>
          <w:ilvl w:val="0"/>
          <w:numId w:val="0"/>
        </w:numPr>
        <w:tabs>
          <w:tab w:val="left" w:pos="0"/>
          <w:tab w:val="clear" w:pos="567"/>
        </w:tabs>
      </w:pPr>
      <w:r>
        <w:rPr>
          <w:b/>
          <w:bCs w:val="0"/>
          <w:lang w:val="zh-CN"/>
        </w:rPr>
        <w:t>4.2.5</w:t>
      </w:r>
      <w:r>
        <w:rPr>
          <w:b/>
          <w:bCs w:val="0"/>
        </w:rPr>
        <w:t xml:space="preserve">  </w:t>
      </w:r>
      <w:r>
        <w:rPr>
          <w:rFonts w:hint="eastAsia"/>
        </w:rPr>
        <w:t>为方便处理构筑物的停水检修，应设置放空设施，考虑到地下式城镇污水处理厂通常规模较大、放空水量较多，放空至排空泵房时系统内污泥会沉积在泵房及相应管道内，清洗工作量大、时间长且重新生产时需要重新投配活性污泥，恢复生产时间较长。建议充分利用并列生产线作为放空受纳处理空间。</w:t>
      </w:r>
    </w:p>
    <w:p>
      <w:pPr>
        <w:pStyle w:val="4"/>
        <w:numPr>
          <w:ilvl w:val="0"/>
          <w:numId w:val="0"/>
        </w:numPr>
        <w:tabs>
          <w:tab w:val="left" w:pos="0"/>
          <w:tab w:val="clear" w:pos="567"/>
        </w:tabs>
      </w:pPr>
      <w:r>
        <w:rPr>
          <w:b/>
          <w:lang w:val="zh-CN"/>
        </w:rPr>
        <w:t>4.</w:t>
      </w:r>
      <w:r>
        <w:rPr>
          <w:b/>
          <w:bCs w:val="0"/>
          <w:lang w:val="zh-CN"/>
        </w:rPr>
        <w:t>2</w:t>
      </w:r>
      <w:r>
        <w:rPr>
          <w:b/>
          <w:lang w:val="zh-CN"/>
        </w:rPr>
        <w:t>.</w:t>
      </w:r>
      <w:r>
        <w:rPr>
          <w:rFonts w:hint="eastAsia"/>
          <w:b/>
          <w:bCs w:val="0"/>
        </w:rPr>
        <w:t>6</w:t>
      </w:r>
      <w:r>
        <w:rPr>
          <w:b/>
          <w:bCs w:val="0"/>
        </w:rPr>
        <w:t xml:space="preserve">  </w:t>
      </w:r>
      <w:r>
        <w:rPr>
          <w:rFonts w:hint="eastAsia"/>
        </w:rPr>
        <w:t>地下污水处理构筑物考虑检修和维护的需求，应在构筑物顶部设置可打开的检修孔，</w:t>
      </w:r>
      <w:r>
        <w:rPr>
          <w:rFonts w:hint="eastAsia"/>
          <w:lang w:val="zh-CN"/>
        </w:rPr>
        <w:t>盖板应满足密封除臭、使用方便和耐久性的要求，可选用热浸锌钢、玻璃钢等防腐材质。</w:t>
      </w:r>
    </w:p>
    <w:p>
      <w:pPr>
        <w:pStyle w:val="3"/>
        <w:numPr>
          <w:ilvl w:val="0"/>
          <w:numId w:val="0"/>
        </w:numPr>
        <w:spacing w:before="624" w:after="624"/>
      </w:pPr>
      <w:bookmarkStart w:id="3842" w:name="_Toc132893893"/>
      <w:r>
        <w:rPr>
          <w:rFonts w:hint="eastAsia"/>
        </w:rPr>
        <w:t>4</w:t>
      </w:r>
      <w:r>
        <w:t xml:space="preserve">.3 </w:t>
      </w:r>
      <w:r>
        <w:rPr>
          <w:rFonts w:hint="eastAsia"/>
        </w:rPr>
        <w:t>污水处理工艺设计</w:t>
      </w:r>
      <w:bookmarkEnd w:id="3842"/>
    </w:p>
    <w:p>
      <w:pPr>
        <w:pStyle w:val="4"/>
        <w:numPr>
          <w:ilvl w:val="0"/>
          <w:numId w:val="0"/>
        </w:numPr>
        <w:rPr>
          <w:lang w:val="zh-CN"/>
        </w:rPr>
      </w:pPr>
      <w:r>
        <w:rPr>
          <w:b/>
          <w:bCs w:val="0"/>
          <w:lang w:val="zh-CN"/>
        </w:rPr>
        <w:t>4.3.1</w:t>
      </w:r>
      <w:r>
        <w:rPr>
          <w:b/>
          <w:bCs w:val="0"/>
        </w:rPr>
        <w:t xml:space="preserve">  </w:t>
      </w:r>
      <w:r>
        <w:rPr>
          <w:bCs w:val="0"/>
          <w:lang w:val="zh-CN"/>
        </w:rPr>
        <w:tab/>
      </w:r>
      <w:r>
        <w:rPr>
          <w:rFonts w:hint="eastAsia"/>
          <w:lang w:val="zh-CN"/>
        </w:rPr>
        <w:t>为提高地下污水处理厂的运行安全性，应选择可靠、先进的技术，工艺设计要贯彻节省投资、节约占地的原则，要减少维护、提高自动化程度，减少管理工作量，并要留出充足余地，以增强对污水处理各类状况的适应能力，包括远期对处理要求进一步提升的需要。例如：工艺参数选择、构筑物并联数、设备</w:t>
      </w:r>
      <w:r>
        <w:rPr>
          <w:rFonts w:hint="eastAsia"/>
        </w:rPr>
        <w:t>选型</w:t>
      </w:r>
      <w:r>
        <w:rPr>
          <w:rFonts w:hint="eastAsia"/>
          <w:lang w:val="zh-CN"/>
        </w:rPr>
        <w:t>、设计水位、构筑物超高和过水通道断面等应留出充足余地；重力流后续处理构筑物池顶标高不得低于前续处理构筑物的最高水位标高；</w:t>
      </w:r>
      <w:r>
        <w:rPr>
          <w:rFonts w:hint="eastAsia"/>
        </w:rPr>
        <w:t>设备选型应充分考虑地下空间的操作环境、降低</w:t>
      </w:r>
      <w:r>
        <w:rPr>
          <w:rFonts w:hint="eastAsia"/>
          <w:lang w:val="zh-CN"/>
        </w:rPr>
        <w:t>维护工作量；竖向设计应计算各处理构筑物和连接管渠的水头损失和设计标高，并留有余地；出水设计应顺畅，不得受洪水顶托。</w:t>
      </w:r>
    </w:p>
    <w:p>
      <w:pPr>
        <w:pStyle w:val="4"/>
        <w:numPr>
          <w:ilvl w:val="0"/>
          <w:numId w:val="0"/>
        </w:numPr>
        <w:rPr>
          <w:lang w:val="zh-CN"/>
        </w:rPr>
      </w:pPr>
      <w:r>
        <w:rPr>
          <w:b/>
          <w:bCs w:val="0"/>
          <w:lang w:val="zh-CN"/>
        </w:rPr>
        <w:t>4.3.2</w:t>
      </w:r>
      <w:r>
        <w:rPr>
          <w:b/>
          <w:bCs w:val="0"/>
        </w:rPr>
        <w:t xml:space="preserve">  </w:t>
      </w:r>
      <w:r>
        <w:rPr>
          <w:rFonts w:hint="eastAsia"/>
          <w:lang w:val="zh-CN"/>
        </w:rPr>
        <w:t>为提高地下污水处理厂的运行安全性，</w:t>
      </w:r>
      <w:r>
        <w:rPr>
          <w:rFonts w:hint="eastAsia"/>
        </w:rPr>
        <w:t>总进水重力流管道应至少在进入地下空间前设置正向受压速闭闸（阀）和地下空间内设置总进水电动控制闸（阀）两道闸，有效控制</w:t>
      </w:r>
      <w:r>
        <w:rPr>
          <w:rFonts w:hint="eastAsia"/>
          <w:lang w:val="zh-CN"/>
        </w:rPr>
        <w:t>地下污水处理厂的进水流量，防止各种极端条件下地下空间受淹。总进水电动控制闸（阀），是加强对进水总量调节控制和事故截断的保障措施。启闭机和现场按钮箱如设置过低易被水淹导致无法工作，应高于最高设计水位</w:t>
      </w:r>
      <w:r>
        <w:rPr>
          <w:lang w:val="zh-CN"/>
        </w:rPr>
        <w:t>1m</w:t>
      </w:r>
      <w:r>
        <w:rPr>
          <w:rFonts w:hint="eastAsia"/>
          <w:lang w:val="zh-CN"/>
        </w:rPr>
        <w:t>。</w:t>
      </w:r>
      <w:r>
        <w:rPr>
          <w:rFonts w:hint="eastAsia"/>
          <w:bCs w:val="0"/>
        </w:rPr>
        <w:t>速闭闸和电动闸门的控制箱宜设在室内，当设在室外时应考虑有效防雨措施</w:t>
      </w:r>
      <w:r>
        <w:rPr>
          <w:rFonts w:hint="eastAsia"/>
          <w:bCs w:val="0"/>
          <w:lang w:val="zh-CN"/>
        </w:rPr>
        <w:t>。</w:t>
      </w:r>
    </w:p>
    <w:p>
      <w:pPr>
        <w:pStyle w:val="4"/>
        <w:numPr>
          <w:ilvl w:val="0"/>
          <w:numId w:val="0"/>
        </w:numPr>
        <w:rPr>
          <w:lang w:val="zh-CN"/>
        </w:rPr>
      </w:pPr>
      <w:r>
        <w:rPr>
          <w:b/>
          <w:bCs w:val="0"/>
          <w:lang w:val="zh-CN"/>
        </w:rPr>
        <w:t>4.3.3</w:t>
      </w:r>
      <w:r>
        <w:rPr>
          <w:b/>
          <w:bCs w:val="0"/>
        </w:rPr>
        <w:t xml:space="preserve">  </w:t>
      </w:r>
      <w:r>
        <w:rPr>
          <w:rFonts w:hint="eastAsia"/>
          <w:lang w:val="zh-CN"/>
        </w:rPr>
        <w:t>根据目前水环境治理管理要求，污水厂大修时不宜存在大量污水直排水体污染水环境状况。污水处理厂包括提升泵房在内的各处理构筑物应至少</w:t>
      </w:r>
      <w:r>
        <w:rPr>
          <w:rFonts w:hint="eastAsia"/>
        </w:rPr>
        <w:t>设计</w:t>
      </w:r>
      <w:r>
        <w:rPr>
          <w:rFonts w:hint="eastAsia"/>
          <w:lang w:val="zh-CN"/>
        </w:rPr>
        <w:t>并</w:t>
      </w:r>
      <w:r>
        <w:rPr>
          <w:rFonts w:hint="eastAsia"/>
        </w:rPr>
        <w:t>联运行</w:t>
      </w:r>
      <w:r>
        <w:rPr>
          <w:rFonts w:hint="eastAsia"/>
          <w:lang w:val="zh-CN"/>
        </w:rPr>
        <w:t>2条生产线，污水处理厂规模较大（Q＞10万m</w:t>
      </w:r>
      <w:r>
        <w:rPr>
          <w:vertAlign w:val="superscript"/>
          <w:lang w:val="zh-CN"/>
        </w:rPr>
        <w:t>3</w:t>
      </w:r>
      <w:r>
        <w:rPr>
          <w:rFonts w:hint="eastAsia"/>
          <w:lang w:val="zh-CN"/>
        </w:rPr>
        <w:t>/d）或区域水环境状况敏感时，应适当增加生产线和关键设备数量。检修时</w:t>
      </w:r>
      <w:r>
        <w:rPr>
          <w:rFonts w:hint="eastAsia"/>
        </w:rPr>
        <w:t>宜</w:t>
      </w:r>
      <w:r>
        <w:rPr>
          <w:rFonts w:hint="eastAsia"/>
          <w:lang w:val="zh-CN"/>
        </w:rPr>
        <w:t>通过综合调度、利用设计冗余度、开启备用设备、</w:t>
      </w:r>
      <w:r>
        <w:rPr>
          <w:rFonts w:hint="eastAsia"/>
        </w:rPr>
        <w:t>合理安排处理设施</w:t>
      </w:r>
      <w:r>
        <w:rPr>
          <w:rFonts w:hint="eastAsia"/>
          <w:lang w:val="zh-CN"/>
        </w:rPr>
        <w:t>大修时间等综合措施避免大量污水不经处理直排水体。</w:t>
      </w:r>
    </w:p>
    <w:p>
      <w:pPr>
        <w:pStyle w:val="4"/>
        <w:numPr>
          <w:ilvl w:val="0"/>
          <w:numId w:val="0"/>
        </w:numPr>
        <w:rPr>
          <w:lang w:val="zh-CN"/>
        </w:rPr>
      </w:pPr>
      <w:r>
        <w:rPr>
          <w:b/>
          <w:lang w:val="zh-CN"/>
        </w:rPr>
        <w:t>4.3.4</w:t>
      </w:r>
      <w:r>
        <w:rPr>
          <w:b/>
          <w:bCs w:val="0"/>
        </w:rPr>
        <w:t xml:space="preserve">  </w:t>
      </w:r>
      <w:r>
        <w:rPr>
          <w:rFonts w:hint="eastAsia"/>
          <w:lang w:val="zh-CN"/>
        </w:rPr>
        <w:t>地下式城镇污水处理厂</w:t>
      </w:r>
      <w:r>
        <w:rPr>
          <w:rFonts w:hint="eastAsia"/>
        </w:rPr>
        <w:t>地下空间</w:t>
      </w:r>
      <w:r>
        <w:rPr>
          <w:rFonts w:hint="eastAsia"/>
          <w:lang w:val="zh-CN"/>
        </w:rPr>
        <w:t>立柱较多，一般立柱间距</w:t>
      </w:r>
      <w:r>
        <w:rPr>
          <w:lang w:val="zh-CN"/>
        </w:rPr>
        <w:t xml:space="preserve"> </w:t>
      </w:r>
      <w:r>
        <w:rPr>
          <w:rFonts w:hint="eastAsia"/>
          <w:lang w:val="zh-CN"/>
        </w:rPr>
        <w:t>6 m ~8m，如位于</w:t>
      </w:r>
      <w:r>
        <w:rPr>
          <w:rFonts w:hint="eastAsia"/>
        </w:rPr>
        <w:t>处理构筑物</w:t>
      </w:r>
      <w:r>
        <w:rPr>
          <w:rFonts w:hint="eastAsia"/>
          <w:lang w:val="zh-CN"/>
        </w:rPr>
        <w:t>内会</w:t>
      </w:r>
      <w:r>
        <w:rPr>
          <w:rFonts w:hint="eastAsia"/>
        </w:rPr>
        <w:t>对池体</w:t>
      </w:r>
      <w:r>
        <w:rPr>
          <w:rFonts w:hint="eastAsia"/>
          <w:lang w:val="zh-CN"/>
        </w:rPr>
        <w:t>水力流态、</w:t>
      </w:r>
      <w:r>
        <w:rPr>
          <w:rFonts w:hint="eastAsia"/>
        </w:rPr>
        <w:t>混合</w:t>
      </w:r>
      <w:r>
        <w:rPr>
          <w:rFonts w:hint="eastAsia"/>
          <w:lang w:val="zh-CN"/>
        </w:rPr>
        <w:t>效果</w:t>
      </w:r>
      <w:r>
        <w:rPr>
          <w:rFonts w:hint="eastAsia"/>
        </w:rPr>
        <w:t>和设施布置造成较大影响</w:t>
      </w:r>
      <w:r>
        <w:rPr>
          <w:rFonts w:hint="eastAsia"/>
          <w:lang w:val="zh-CN"/>
        </w:rPr>
        <w:t>，通常立柱应全部放置于</w:t>
      </w:r>
      <w:r>
        <w:rPr>
          <w:rFonts w:hint="eastAsia"/>
        </w:rPr>
        <w:t>池壁或</w:t>
      </w:r>
      <w:r>
        <w:rPr>
          <w:rFonts w:hint="eastAsia"/>
          <w:lang w:val="zh-CN"/>
        </w:rPr>
        <w:t>墙</w:t>
      </w:r>
      <w:r>
        <w:rPr>
          <w:rFonts w:hint="eastAsia"/>
        </w:rPr>
        <w:t>体</w:t>
      </w:r>
      <w:r>
        <w:rPr>
          <w:rFonts w:hint="eastAsia"/>
          <w:lang w:val="zh-CN"/>
        </w:rPr>
        <w:t>内。</w:t>
      </w:r>
    </w:p>
    <w:p>
      <w:pPr>
        <w:pStyle w:val="4"/>
        <w:numPr>
          <w:ilvl w:val="0"/>
          <w:numId w:val="0"/>
        </w:numPr>
        <w:rPr>
          <w:lang w:val="zh-CN"/>
        </w:rPr>
      </w:pPr>
      <w:r>
        <w:rPr>
          <w:b/>
          <w:bCs w:val="0"/>
          <w:lang w:val="zh-CN"/>
        </w:rPr>
        <w:t>4.3.5</w:t>
      </w:r>
      <w:r>
        <w:rPr>
          <w:b/>
          <w:bCs w:val="0"/>
        </w:rPr>
        <w:t xml:space="preserve">  </w:t>
      </w:r>
      <w:r>
        <w:rPr>
          <w:rFonts w:hint="eastAsia"/>
          <w:lang w:val="zh-CN"/>
        </w:rPr>
        <w:t>进水泵房与地下主空间分开独立设置，以之作为大空间水浸安全的一大屏障，进一步提高地下空间的安全性。地下空间内的中间提升泵房</w:t>
      </w:r>
      <w:r>
        <w:rPr>
          <w:rFonts w:hint="eastAsia"/>
        </w:rPr>
        <w:t>和</w:t>
      </w:r>
      <w:r>
        <w:rPr>
          <w:rFonts w:hint="eastAsia"/>
          <w:lang w:val="zh-CN"/>
        </w:rPr>
        <w:t>出水泵房的水泵若发生故障，极易导致前处理构筑物发生溢流，因此泵房应与进水速闭闸联锁控制，一旦任一泵房内所有水泵由于故障全部停机，则污水处理厂的总进水速闭闸需立即关闭。泵房宜设置至少</w:t>
      </w:r>
      <w:r>
        <w:rPr>
          <w:lang w:val="zh-CN"/>
        </w:rPr>
        <w:t xml:space="preserve">2 </w:t>
      </w:r>
      <w:r>
        <w:rPr>
          <w:rFonts w:hint="eastAsia"/>
          <w:lang w:val="zh-CN"/>
        </w:rPr>
        <w:t>台备用泵，工作泵中宜设置至少</w:t>
      </w:r>
      <w:r>
        <w:rPr>
          <w:lang w:val="zh-CN"/>
        </w:rPr>
        <w:t xml:space="preserve"> 2 </w:t>
      </w:r>
      <w:r>
        <w:rPr>
          <w:rFonts w:hint="eastAsia"/>
          <w:lang w:val="zh-CN"/>
        </w:rPr>
        <w:t>台可变频运行水泵。</w:t>
      </w:r>
    </w:p>
    <w:p>
      <w:pPr>
        <w:pStyle w:val="4"/>
        <w:numPr>
          <w:ilvl w:val="0"/>
          <w:numId w:val="0"/>
        </w:numPr>
        <w:rPr>
          <w:lang w:val="zh-CN"/>
        </w:rPr>
      </w:pPr>
      <w:r>
        <w:rPr>
          <w:b/>
          <w:lang w:val="zh-CN"/>
        </w:rPr>
        <w:t>4.3.6</w:t>
      </w:r>
      <w:r>
        <w:rPr>
          <w:b/>
          <w:bCs w:val="0"/>
        </w:rPr>
        <w:t xml:space="preserve">  </w:t>
      </w:r>
      <w:r>
        <w:rPr>
          <w:rFonts w:hint="eastAsia"/>
        </w:rPr>
        <w:t>污水中混有纤维、木材、塑料制品和纸张等大小不同的杂质，为了防止水泵和处理构筑物的机械设备和管道被磨损或堵塞，应在污水预处理系统设置格栅。膜处理工艺和曝气生物滤池等工艺需要将毛发、细小纤维等物质安全可靠地分离出去，避免引起膜组件或滤池填料堵塞而无法正常工作，因此，</w:t>
      </w:r>
      <w:r>
        <w:rPr>
          <w:rFonts w:hint="eastAsia"/>
          <w:lang w:val="zh-CN"/>
        </w:rPr>
        <w:t>膜</w:t>
      </w:r>
      <w:r>
        <w:rPr>
          <w:rFonts w:hint="eastAsia"/>
        </w:rPr>
        <w:t>处理工艺和曝气生物滤池</w:t>
      </w:r>
      <w:r>
        <w:rPr>
          <w:rFonts w:hint="eastAsia"/>
          <w:lang w:val="zh-CN"/>
        </w:rPr>
        <w:t>等工艺</w:t>
      </w:r>
      <w:r>
        <w:rPr>
          <w:rFonts w:hint="eastAsia"/>
        </w:rPr>
        <w:t>前端需</w:t>
      </w:r>
      <w:r>
        <w:rPr>
          <w:rFonts w:hint="eastAsia"/>
          <w:lang w:val="zh-CN"/>
        </w:rPr>
        <w:t>设置</w:t>
      </w:r>
      <w:r>
        <w:rPr>
          <w:rFonts w:hint="eastAsia"/>
        </w:rPr>
        <w:t>1mm~3mm</w:t>
      </w:r>
      <w:r>
        <w:rPr>
          <w:rFonts w:hint="eastAsia"/>
          <w:lang w:val="zh-CN"/>
        </w:rPr>
        <w:t>精细格栅，以保护设备可靠运行。格栅如果清渣不及时，将导致上游壅水，</w:t>
      </w:r>
      <w:r>
        <w:rPr>
          <w:rFonts w:hint="eastAsia"/>
        </w:rPr>
        <w:t>都</w:t>
      </w:r>
      <w:r>
        <w:rPr>
          <w:rFonts w:hint="eastAsia"/>
          <w:lang w:val="zh-CN"/>
        </w:rPr>
        <w:t>对</w:t>
      </w:r>
      <w:r>
        <w:rPr>
          <w:rFonts w:hint="eastAsia"/>
        </w:rPr>
        <w:t>每道格栅提出</w:t>
      </w:r>
      <w:r>
        <w:rPr>
          <w:rFonts w:hint="eastAsia"/>
          <w:lang w:val="zh-CN"/>
        </w:rPr>
        <w:t>备用格栅</w:t>
      </w:r>
      <w:r>
        <w:rPr>
          <w:rFonts w:hint="eastAsia"/>
        </w:rPr>
        <w:t>的</w:t>
      </w:r>
      <w:r>
        <w:rPr>
          <w:rFonts w:hint="eastAsia"/>
          <w:lang w:val="zh-CN"/>
        </w:rPr>
        <w:t>要求，并对</w:t>
      </w:r>
      <w:r>
        <w:rPr>
          <w:rFonts w:hint="eastAsia"/>
        </w:rPr>
        <w:t>格栅</w:t>
      </w:r>
      <w:r>
        <w:rPr>
          <w:rFonts w:hint="eastAsia"/>
          <w:lang w:val="zh-CN"/>
        </w:rPr>
        <w:t>水位监控提出较高要求，减小冒溢风险。每道格栅不</w:t>
      </w:r>
      <w:r>
        <w:rPr>
          <w:rFonts w:hint="eastAsia"/>
        </w:rPr>
        <w:t>应</w:t>
      </w:r>
      <w:r>
        <w:rPr>
          <w:rFonts w:hint="eastAsia"/>
          <w:lang w:val="zh-CN"/>
        </w:rPr>
        <w:t>超越，以避免增加</w:t>
      </w:r>
      <w:r>
        <w:rPr>
          <w:rFonts w:hint="eastAsia"/>
        </w:rPr>
        <w:t>后续处理构筑物</w:t>
      </w:r>
      <w:r>
        <w:rPr>
          <w:rFonts w:hint="eastAsia"/>
          <w:lang w:val="zh-CN"/>
        </w:rPr>
        <w:t>的压力。</w:t>
      </w:r>
    </w:p>
    <w:p>
      <w:pPr>
        <w:pStyle w:val="4"/>
        <w:numPr>
          <w:ilvl w:val="0"/>
          <w:numId w:val="0"/>
        </w:numPr>
      </w:pPr>
      <w:r>
        <w:rPr>
          <w:b/>
          <w:bCs w:val="0"/>
          <w:lang w:val="zh-CN"/>
        </w:rPr>
        <w:t>4.3.7</w:t>
      </w:r>
      <w:r>
        <w:rPr>
          <w:b/>
          <w:bCs w:val="0"/>
        </w:rPr>
        <w:t xml:space="preserve">  </w:t>
      </w:r>
      <w:r>
        <w:rPr>
          <w:rFonts w:hint="eastAsia"/>
          <w:lang w:val="zh-CN"/>
        </w:rPr>
        <w:t>地下空间生反池顶板一般采用混凝土现浇板覆盖，生化池放空时间较长，池面开设检修孔区域有限，曝气器检修难度大，故提出该要求，从而降低曝气器及连接管故障率。所有曝气器顶部应位于同一水平面上，允许误差不超过±</w:t>
      </w:r>
      <w:r>
        <w:rPr>
          <w:lang w:val="zh-CN"/>
        </w:rPr>
        <w:t>5mm</w:t>
      </w:r>
      <w:r>
        <w:rPr>
          <w:rFonts w:hint="eastAsia"/>
          <w:lang w:val="zh-CN"/>
        </w:rPr>
        <w:t>。</w:t>
      </w:r>
      <w:r>
        <w:rPr>
          <w:rFonts w:hint="eastAsia"/>
        </w:rPr>
        <w:t>当曝气器损坏时，可关闭单个曝气模块的阀门，减少对处理系统的影响。</w:t>
      </w:r>
    </w:p>
    <w:p>
      <w:pPr>
        <w:pStyle w:val="4"/>
        <w:numPr>
          <w:ilvl w:val="0"/>
          <w:numId w:val="0"/>
        </w:numPr>
      </w:pPr>
      <w:r>
        <w:rPr>
          <w:b/>
          <w:lang w:val="zh-CN"/>
        </w:rPr>
        <w:t>4.3.8</w:t>
      </w:r>
      <w:r>
        <w:rPr>
          <w:b/>
          <w:bCs w:val="0"/>
        </w:rPr>
        <w:t xml:space="preserve">  </w:t>
      </w:r>
      <w:r>
        <w:rPr>
          <w:rFonts w:hint="eastAsia"/>
        </w:rPr>
        <w:t>本条是关于膜生物反应器处理工艺设计的规定。膜生物反应器处理工艺的主要设计参数、膜组件及清洗设施等应按</w:t>
      </w:r>
      <w:r>
        <w:rPr>
          <w:lang w:val="zh-CN"/>
        </w:rPr>
        <w:t>现行国家及行业标准《室外排水设计标准》GB 50014和《膜生物反应器城镇污水处理工艺设计规程》T/CECS152的规定</w:t>
      </w:r>
      <w:r>
        <w:rPr>
          <w:rFonts w:hint="eastAsia"/>
        </w:rPr>
        <w:t>执行。</w:t>
      </w:r>
    </w:p>
    <w:p>
      <w:pPr>
        <w:pStyle w:val="4"/>
        <w:numPr>
          <w:ilvl w:val="0"/>
          <w:numId w:val="0"/>
        </w:numPr>
        <w:rPr>
          <w:lang w:val="zh-CN"/>
        </w:rPr>
      </w:pPr>
      <w:r>
        <w:rPr>
          <w:b/>
          <w:lang w:val="zh-CN"/>
        </w:rPr>
        <w:t>4.3</w:t>
      </w:r>
      <w:r>
        <w:rPr>
          <w:b/>
        </w:rPr>
        <w:t>.</w:t>
      </w:r>
      <w:r>
        <w:rPr>
          <w:rFonts w:hint="eastAsia"/>
          <w:b/>
        </w:rPr>
        <w:t>9</w:t>
      </w:r>
      <w:r>
        <w:rPr>
          <w:b/>
          <w:bCs w:val="0"/>
        </w:rPr>
        <w:t xml:space="preserve">  </w:t>
      </w:r>
      <w:r>
        <w:rPr>
          <w:rFonts w:hint="eastAsia"/>
          <w:lang w:val="zh-CN"/>
        </w:rPr>
        <w:t>鼓风机属于高噪音设备，需对其噪音进行控制；鼓风机房为地</w:t>
      </w:r>
      <w:r>
        <w:rPr>
          <w:rFonts w:hint="eastAsia"/>
        </w:rPr>
        <w:t>下</w:t>
      </w:r>
      <w:r>
        <w:rPr>
          <w:rFonts w:hint="eastAsia"/>
          <w:lang w:val="zh-CN"/>
        </w:rPr>
        <w:t>厂噪音最大的设备房，</w:t>
      </w:r>
      <w:r>
        <w:rPr>
          <w:rFonts w:hint="eastAsia"/>
        </w:rPr>
        <w:t>需</w:t>
      </w:r>
      <w:r>
        <w:rPr>
          <w:rFonts w:hint="eastAsia"/>
          <w:lang w:val="zh-CN"/>
        </w:rPr>
        <w:t>采用降噪措施有效减少地下厂房的噪音。风管采用不锈钢材质可防止管道发生腐蚀时细微锈蚀颗粒造成曝气器的微孔堵塞。风管表面温度</w:t>
      </w:r>
      <w:r>
        <w:rPr>
          <w:rFonts w:hint="eastAsia"/>
        </w:rPr>
        <w:t>高</w:t>
      </w:r>
      <w:r>
        <w:rPr>
          <w:rFonts w:hint="eastAsia"/>
          <w:lang w:val="zh-CN"/>
        </w:rPr>
        <w:t>，人员误触容易造成烫伤，</w:t>
      </w:r>
      <w:r>
        <w:rPr>
          <w:rFonts w:hint="eastAsia"/>
        </w:rPr>
        <w:t>外露</w:t>
      </w:r>
      <w:r>
        <w:rPr>
          <w:rFonts w:hint="eastAsia"/>
          <w:lang w:val="zh-CN"/>
        </w:rPr>
        <w:t>管道表面</w:t>
      </w:r>
      <w:r>
        <w:rPr>
          <w:rFonts w:hint="eastAsia"/>
        </w:rPr>
        <w:t>要求</w:t>
      </w:r>
      <w:r>
        <w:rPr>
          <w:rFonts w:hint="eastAsia"/>
          <w:lang w:val="zh-CN"/>
        </w:rPr>
        <w:t>采取</w:t>
      </w:r>
      <w:r>
        <w:rPr>
          <w:rFonts w:hint="eastAsia"/>
        </w:rPr>
        <w:t>隔热</w:t>
      </w:r>
      <w:r>
        <w:rPr>
          <w:rFonts w:hint="eastAsia"/>
          <w:lang w:val="zh-CN"/>
        </w:rPr>
        <w:t>措施。</w:t>
      </w:r>
    </w:p>
    <w:p>
      <w:pPr>
        <w:pStyle w:val="4"/>
        <w:numPr>
          <w:ilvl w:val="0"/>
          <w:numId w:val="0"/>
        </w:numPr>
        <w:rPr>
          <w:lang w:val="zh-CN"/>
        </w:rPr>
      </w:pPr>
      <w:r>
        <w:rPr>
          <w:b/>
          <w:bCs w:val="0"/>
          <w:lang w:val="zh-CN"/>
        </w:rPr>
        <w:t>4.3.1</w:t>
      </w:r>
      <w:r>
        <w:rPr>
          <w:rFonts w:hint="eastAsia"/>
          <w:b/>
          <w:bCs w:val="0"/>
        </w:rPr>
        <w:t>0</w:t>
      </w:r>
      <w:r>
        <w:rPr>
          <w:b/>
          <w:bCs w:val="0"/>
        </w:rPr>
        <w:t xml:space="preserve">  </w:t>
      </w:r>
      <w:r>
        <w:rPr>
          <w:rFonts w:hint="eastAsia"/>
          <w:lang w:val="zh-CN"/>
        </w:rPr>
        <w:t>市面上常见的10%有效氯浓度的次氯酸钠溶液和二氧化氯制备中使用的原材料都属于危险化学品，不应放置在地下空间内。</w:t>
      </w:r>
    </w:p>
    <w:p>
      <w:pPr>
        <w:pStyle w:val="4"/>
        <w:numPr>
          <w:ilvl w:val="0"/>
          <w:numId w:val="0"/>
        </w:numPr>
        <w:rPr>
          <w:lang w:val="zh-CN"/>
        </w:rPr>
      </w:pPr>
      <w:r>
        <w:rPr>
          <w:b/>
          <w:bCs w:val="0"/>
          <w:lang w:val="zh-CN"/>
        </w:rPr>
        <w:t>4.3.1</w:t>
      </w:r>
      <w:r>
        <w:rPr>
          <w:rFonts w:hint="eastAsia"/>
          <w:b/>
          <w:bCs w:val="0"/>
        </w:rPr>
        <w:t>1</w:t>
      </w:r>
      <w:r>
        <w:rPr>
          <w:b/>
          <w:bCs w:val="0"/>
        </w:rPr>
        <w:t xml:space="preserve">  </w:t>
      </w:r>
      <w:r>
        <w:rPr>
          <w:rFonts w:hint="eastAsia"/>
          <w:lang w:val="zh-CN"/>
        </w:rPr>
        <w:t>危险化学品的储存和使用国家有严格的规定，地下式城镇污水处理厂存在一定的特殊性，如使用危险化学品，有较大的安全隐患，药品储存和使用应满足安全和消防相关规范的要求。</w:t>
      </w:r>
    </w:p>
    <w:p>
      <w:pPr>
        <w:pStyle w:val="4"/>
        <w:numPr>
          <w:ilvl w:val="0"/>
          <w:numId w:val="0"/>
        </w:numPr>
        <w:rPr>
          <w:lang w:val="zh-CN"/>
        </w:rPr>
      </w:pPr>
      <w:r>
        <w:rPr>
          <w:b/>
          <w:bCs w:val="0"/>
          <w:lang w:val="zh-CN"/>
        </w:rPr>
        <w:t>4.3.1</w:t>
      </w:r>
      <w:r>
        <w:rPr>
          <w:rFonts w:hint="eastAsia"/>
          <w:b/>
          <w:bCs w:val="0"/>
        </w:rPr>
        <w:t>2</w:t>
      </w:r>
      <w:r>
        <w:rPr>
          <w:b/>
          <w:bCs w:val="0"/>
        </w:rPr>
        <w:t xml:space="preserve">  </w:t>
      </w:r>
      <w:r>
        <w:rPr>
          <w:rFonts w:hint="eastAsia"/>
        </w:rPr>
        <w:t>污水处理过程产生的上清液、浓缩液、排空水等废水臭气浓度高，应独立密闭管道输送，避免出现臭气泄露，影响到地下空间整体环境。</w:t>
      </w:r>
    </w:p>
    <w:p>
      <w:pPr>
        <w:pStyle w:val="4"/>
        <w:numPr>
          <w:ilvl w:val="0"/>
          <w:numId w:val="0"/>
        </w:numPr>
      </w:pPr>
      <w:r>
        <w:rPr>
          <w:b/>
          <w:bCs w:val="0"/>
          <w:lang w:val="zh-CN"/>
        </w:rPr>
        <w:t>4.3.1</w:t>
      </w:r>
      <w:r>
        <w:rPr>
          <w:rFonts w:hint="eastAsia"/>
          <w:b/>
          <w:bCs w:val="0"/>
        </w:rPr>
        <w:t>3</w:t>
      </w:r>
      <w:r>
        <w:rPr>
          <w:b/>
          <w:bCs w:val="0"/>
        </w:rPr>
        <w:t xml:space="preserve">  </w:t>
      </w:r>
      <w:r>
        <w:rPr>
          <w:rFonts w:hint="eastAsia"/>
        </w:rPr>
        <w:t>污水厂出水再生利用的，应设置再生水的水质检测设施，水质指标应符合现行国家标准《城市污水再生利用</w:t>
      </w:r>
      <w:r>
        <w:t xml:space="preserve"> </w:t>
      </w:r>
      <w:r>
        <w:rPr>
          <w:rFonts w:hint="eastAsia"/>
        </w:rPr>
        <w:t>城市杂用水水质》GB/T</w:t>
      </w:r>
      <w:r>
        <w:t xml:space="preserve"> </w:t>
      </w:r>
      <w:r>
        <w:rPr>
          <w:rFonts w:hint="eastAsia"/>
        </w:rPr>
        <w:t>18920、《城市污水再生利用</w:t>
      </w:r>
      <w:r>
        <w:t xml:space="preserve"> </w:t>
      </w:r>
      <w:r>
        <w:rPr>
          <w:rFonts w:hint="eastAsia"/>
        </w:rPr>
        <w:t>景观环境用水水质》GB/T</w:t>
      </w:r>
      <w:r>
        <w:t xml:space="preserve"> </w:t>
      </w:r>
      <w:r>
        <w:rPr>
          <w:rFonts w:hint="eastAsia"/>
        </w:rPr>
        <w:t>18921和</w:t>
      </w:r>
      <w:r>
        <w:rPr>
          <w:lang w:bidi="ar"/>
        </w:rPr>
        <w:t>《城市污水再生工业用水水质》GB/T 19923</w:t>
      </w:r>
      <w:r>
        <w:rPr>
          <w:rFonts w:hint="eastAsia"/>
          <w:lang w:bidi="ar"/>
        </w:rPr>
        <w:t>等有关规定。</w:t>
      </w:r>
    </w:p>
    <w:p>
      <w:pPr>
        <w:pStyle w:val="3"/>
        <w:numPr>
          <w:ilvl w:val="0"/>
          <w:numId w:val="0"/>
        </w:numPr>
        <w:spacing w:before="624" w:after="624"/>
      </w:pPr>
      <w:bookmarkStart w:id="3843" w:name="_Toc132893894"/>
      <w:r>
        <w:rPr>
          <w:rFonts w:hint="eastAsia"/>
        </w:rPr>
        <w:t>4</w:t>
      </w:r>
      <w:r>
        <w:t xml:space="preserve">.4 </w:t>
      </w:r>
      <w:r>
        <w:rPr>
          <w:rFonts w:hint="eastAsia"/>
        </w:rPr>
        <w:t>污泥处理工艺设计</w:t>
      </w:r>
      <w:bookmarkEnd w:id="3843"/>
    </w:p>
    <w:p>
      <w:pPr>
        <w:pStyle w:val="4"/>
        <w:numPr>
          <w:ilvl w:val="0"/>
          <w:numId w:val="0"/>
        </w:numPr>
        <w:rPr>
          <w:lang w:val="zh-CN"/>
        </w:rPr>
      </w:pPr>
      <w:r>
        <w:rPr>
          <w:b/>
          <w:bCs w:val="0"/>
          <w:lang w:val="zh-CN"/>
        </w:rPr>
        <w:t>4.4.1</w:t>
      </w:r>
      <w:r>
        <w:rPr>
          <w:b/>
          <w:bCs w:val="0"/>
        </w:rPr>
        <w:t xml:space="preserve">  </w:t>
      </w:r>
      <w:r>
        <w:rPr>
          <w:rFonts w:hint="eastAsia"/>
        </w:rPr>
        <w:t>污泥处理工艺选择应根据“处理满足处置，处置决定处理”的原则合理确定。</w:t>
      </w:r>
    </w:p>
    <w:p>
      <w:pPr>
        <w:pStyle w:val="4"/>
        <w:numPr>
          <w:ilvl w:val="0"/>
          <w:numId w:val="0"/>
        </w:numPr>
        <w:rPr>
          <w:lang w:val="zh-CN"/>
        </w:rPr>
      </w:pPr>
      <w:r>
        <w:rPr>
          <w:b/>
          <w:bCs w:val="0"/>
          <w:lang w:val="zh-CN"/>
        </w:rPr>
        <w:t>4.4.2</w:t>
      </w:r>
      <w:r>
        <w:rPr>
          <w:b/>
          <w:bCs w:val="0"/>
          <w:lang w:val="zh-CN"/>
        </w:rPr>
        <w:tab/>
      </w:r>
      <w:r>
        <w:rPr>
          <w:b/>
          <w:bCs w:val="0"/>
        </w:rPr>
        <w:t xml:space="preserve">  </w:t>
      </w:r>
      <w:r>
        <w:rPr>
          <w:rFonts w:hint="eastAsia"/>
          <w:lang w:val="zh-CN"/>
        </w:rPr>
        <w:t>地下式污水厂污泥系统布置应按远期规模统筹考虑，处理能力应满足现行《室外排水设计</w:t>
      </w:r>
      <w:r>
        <w:rPr>
          <w:rFonts w:hint="eastAsia"/>
        </w:rPr>
        <w:t>标准</w:t>
      </w:r>
      <w:r>
        <w:rPr>
          <w:rFonts w:hint="eastAsia"/>
          <w:lang w:val="zh-CN"/>
        </w:rPr>
        <w:t>》GB</w:t>
      </w:r>
      <w:r>
        <w:rPr>
          <w:lang w:val="zh-CN"/>
        </w:rPr>
        <w:t xml:space="preserve"> </w:t>
      </w:r>
      <w:r>
        <w:rPr>
          <w:rFonts w:hint="eastAsia"/>
          <w:lang w:val="zh-CN"/>
        </w:rPr>
        <w:t>50014相关规定，并适当留有余量。</w:t>
      </w:r>
    </w:p>
    <w:p>
      <w:pPr>
        <w:pStyle w:val="4"/>
        <w:numPr>
          <w:ilvl w:val="0"/>
          <w:numId w:val="0"/>
        </w:numPr>
        <w:rPr>
          <w:lang w:val="zh-CN"/>
        </w:rPr>
      </w:pPr>
      <w:r>
        <w:rPr>
          <w:b/>
          <w:bCs w:val="0"/>
          <w:lang w:val="zh-CN"/>
        </w:rPr>
        <w:t>4.4.3</w:t>
      </w:r>
      <w:r>
        <w:rPr>
          <w:b/>
          <w:bCs w:val="0"/>
        </w:rPr>
        <w:t xml:space="preserve">  </w:t>
      </w:r>
      <w:r>
        <w:rPr>
          <w:rFonts w:hint="eastAsia"/>
        </w:rPr>
        <w:t>由于污泥处理系统复杂、设备多、故障率较高，需要布置不少于</w:t>
      </w:r>
      <w:r>
        <w:t>2</w:t>
      </w:r>
      <w:r>
        <w:rPr>
          <w:rFonts w:hint="eastAsia"/>
        </w:rPr>
        <w:t>条可独立运行的处理线，且其中任一条处理线故障停运时其他处理（备用）线的能力仍能确保处理每天污泥量的需求。</w:t>
      </w:r>
    </w:p>
    <w:p>
      <w:pPr>
        <w:pStyle w:val="4"/>
        <w:numPr>
          <w:ilvl w:val="0"/>
          <w:numId w:val="0"/>
        </w:numPr>
        <w:rPr>
          <w:lang w:val="zh-CN"/>
        </w:rPr>
      </w:pPr>
      <w:r>
        <w:rPr>
          <w:b/>
          <w:bCs w:val="0"/>
          <w:lang w:val="zh-CN"/>
        </w:rPr>
        <w:t>4.4.4</w:t>
      </w:r>
      <w:r>
        <w:rPr>
          <w:b/>
          <w:bCs w:val="0"/>
        </w:rPr>
        <w:t xml:space="preserve">  </w:t>
      </w:r>
      <w:r>
        <w:rPr>
          <w:rFonts w:hint="eastAsia"/>
          <w:lang w:val="zh-CN"/>
        </w:rPr>
        <w:t>为了节省用地，减少管道和输送距离，便于统一管理，污泥处理构筑物及相关设备应高度集约式布置。地下空间是个相对密封的环境，运行安全和除臭通风要求大大高于地上污水处理厂，会产生可燃性气体的污泥处理设施不宜放入地下空间内。</w:t>
      </w:r>
    </w:p>
    <w:p>
      <w:pPr>
        <w:pStyle w:val="4"/>
        <w:numPr>
          <w:ilvl w:val="0"/>
          <w:numId w:val="0"/>
        </w:numPr>
      </w:pPr>
      <w:r>
        <w:rPr>
          <w:b/>
          <w:bCs w:val="0"/>
          <w:lang w:val="zh-CN"/>
        </w:rPr>
        <w:t>4.4.</w:t>
      </w:r>
      <w:r>
        <w:rPr>
          <w:b/>
          <w:bCs w:val="0"/>
        </w:rPr>
        <w:t xml:space="preserve">5  </w:t>
      </w:r>
      <w:r>
        <w:rPr>
          <w:rFonts w:hint="eastAsia"/>
        </w:rPr>
        <w:t>结合参观、巡视、营运等不同需求，根据使用功能及消防和除臭要求细分分区，可防止臭气逸散入其他区域影响地下式城镇污水处理厂整体环境。</w:t>
      </w:r>
    </w:p>
    <w:p>
      <w:pPr>
        <w:pStyle w:val="4"/>
        <w:numPr>
          <w:ilvl w:val="0"/>
          <w:numId w:val="0"/>
        </w:numPr>
      </w:pPr>
      <w:r>
        <w:rPr>
          <w:b/>
          <w:bCs w:val="0"/>
          <w:lang w:val="zh-CN"/>
        </w:rPr>
        <w:t>4.4.</w:t>
      </w:r>
      <w:r>
        <w:rPr>
          <w:b/>
          <w:bCs w:val="0"/>
        </w:rPr>
        <w:t xml:space="preserve">6  </w:t>
      </w:r>
      <w:r>
        <w:rPr>
          <w:rFonts w:hint="eastAsia"/>
        </w:rPr>
        <w:t>污泥处理区臭气浓度高，应加强</w:t>
      </w:r>
      <w:r>
        <w:rPr>
          <w:rFonts w:hint="eastAsia"/>
          <w:bCs w:val="0"/>
          <w:lang w:val="zh-CN"/>
        </w:rPr>
        <w:t>污泥</w:t>
      </w:r>
      <w:r>
        <w:rPr>
          <w:rFonts w:hint="eastAsia"/>
          <w:bCs w:val="0"/>
        </w:rPr>
        <w:t>处理全流程及</w:t>
      </w:r>
      <w:r>
        <w:rPr>
          <w:rFonts w:hint="eastAsia"/>
          <w:bCs w:val="0"/>
          <w:lang w:val="zh-CN"/>
        </w:rPr>
        <w:t>进出料、输送和</w:t>
      </w:r>
      <w:r>
        <w:rPr>
          <w:rFonts w:hint="eastAsia"/>
          <w:bCs w:val="0"/>
        </w:rPr>
        <w:t>贮存等</w:t>
      </w:r>
      <w:r>
        <w:rPr>
          <w:rFonts w:hint="eastAsia"/>
          <w:bCs w:val="0"/>
          <w:lang w:val="zh-CN"/>
        </w:rPr>
        <w:t>过程</w:t>
      </w:r>
      <w:r>
        <w:rPr>
          <w:rFonts w:hint="eastAsia"/>
          <w:bCs w:val="0"/>
        </w:rPr>
        <w:t>的密闭措施，并独立收集</w:t>
      </w:r>
      <w:r>
        <w:rPr>
          <w:rFonts w:hint="eastAsia"/>
        </w:rPr>
        <w:t>臭气进行强化处理，避免出现臭气泄露，影响到地下空间整体环境。</w:t>
      </w:r>
    </w:p>
    <w:p>
      <w:pPr>
        <w:pStyle w:val="4"/>
        <w:numPr>
          <w:ilvl w:val="0"/>
          <w:numId w:val="0"/>
        </w:numPr>
      </w:pPr>
      <w:r>
        <w:rPr>
          <w:b/>
          <w:bCs w:val="0"/>
          <w:lang w:val="zh-CN"/>
        </w:rPr>
        <w:t>4.4.</w:t>
      </w:r>
      <w:r>
        <w:rPr>
          <w:b/>
          <w:bCs w:val="0"/>
        </w:rPr>
        <w:t xml:space="preserve">7  </w:t>
      </w:r>
      <w:r>
        <w:rPr>
          <w:rFonts w:hint="eastAsia"/>
        </w:rPr>
        <w:t>目前多市已在厂区内实施污泥干化处理，污泥浓缩、调制脱水、干化流程较长。任一设施故障，脱水污泥应可通过应急出料系统直接外运，不影响地下污水处理厂的正常运行。</w:t>
      </w:r>
    </w:p>
    <w:p>
      <w:pPr>
        <w:pStyle w:val="4"/>
        <w:numPr>
          <w:ilvl w:val="0"/>
          <w:numId w:val="0"/>
        </w:numPr>
      </w:pPr>
      <w:r>
        <w:rPr>
          <w:b/>
          <w:bCs w:val="0"/>
          <w:lang w:val="zh-CN"/>
        </w:rPr>
        <w:t>4.4.8</w:t>
      </w:r>
      <w:r>
        <w:rPr>
          <w:b/>
          <w:bCs w:val="0"/>
        </w:rPr>
        <w:t xml:space="preserve">  </w:t>
      </w:r>
      <w:r>
        <w:rPr>
          <w:rFonts w:hint="eastAsia"/>
        </w:rPr>
        <w:t>污水污泥产生的粉尘是St1级的爆炸粉尘，具有潜在的粉尘爆炸的风险，干化设施和贮存料仓内的干化产品也有可能自燃。因此，应高度重视污泥干化设施的安全性。</w:t>
      </w:r>
    </w:p>
    <w:p>
      <w:pPr>
        <w:pStyle w:val="4"/>
        <w:numPr>
          <w:ilvl w:val="0"/>
          <w:numId w:val="0"/>
        </w:numPr>
      </w:pPr>
      <w:r>
        <w:rPr>
          <w:b/>
          <w:bCs w:val="0"/>
          <w:lang w:val="zh-CN"/>
        </w:rPr>
        <w:t>4.4.</w:t>
      </w:r>
      <w:r>
        <w:rPr>
          <w:b/>
          <w:bCs w:val="0"/>
        </w:rPr>
        <w:t xml:space="preserve">9  </w:t>
      </w:r>
      <w:r>
        <w:rPr>
          <w:rFonts w:hint="eastAsia"/>
        </w:rPr>
        <w:t>根据多地出台的“污水处理厂需在厂内将污泥处理至含水率为30%~40%”技术路线和规定要求，采用低温干化工艺可避免干化温度高导致污泥中有机质的挥发和裂解，增加尾气处理难度。</w:t>
      </w:r>
    </w:p>
    <w:p>
      <w:pPr>
        <w:pStyle w:val="4"/>
        <w:numPr>
          <w:ilvl w:val="0"/>
          <w:numId w:val="0"/>
        </w:numPr>
      </w:pPr>
      <w:r>
        <w:rPr>
          <w:b/>
          <w:bCs w:val="0"/>
          <w:lang w:val="zh-CN"/>
        </w:rPr>
        <w:t>4.4.10</w:t>
      </w:r>
      <w:r>
        <w:rPr>
          <w:b/>
          <w:bCs w:val="0"/>
        </w:rPr>
        <w:t xml:space="preserve">  </w:t>
      </w:r>
      <w:r>
        <w:rPr>
          <w:rFonts w:hint="eastAsia"/>
        </w:rPr>
        <w:t>污泥脱水干化过程产生的滤液、蒸发水等臭气浓度高，应独立密闭管道输送，避免出现臭气泄露，影响到地下空间整体环境。</w:t>
      </w:r>
    </w:p>
    <w:p>
      <w:pPr>
        <w:pStyle w:val="3"/>
        <w:numPr>
          <w:ilvl w:val="0"/>
          <w:numId w:val="0"/>
        </w:numPr>
        <w:spacing w:before="624" w:after="624"/>
      </w:pPr>
      <w:bookmarkStart w:id="3844" w:name="_Toc132893895"/>
      <w:r>
        <w:rPr>
          <w:rFonts w:hint="eastAsia"/>
        </w:rPr>
        <w:t>4</w:t>
      </w:r>
      <w:r>
        <w:t xml:space="preserve">.5 </w:t>
      </w:r>
      <w:r>
        <w:rPr>
          <w:rFonts w:hint="eastAsia"/>
        </w:rPr>
        <w:t>建筑设计</w:t>
      </w:r>
      <w:bookmarkEnd w:id="3844"/>
    </w:p>
    <w:p>
      <w:pPr>
        <w:pStyle w:val="4"/>
        <w:numPr>
          <w:ilvl w:val="0"/>
          <w:numId w:val="0"/>
        </w:numPr>
      </w:pPr>
      <w:r>
        <w:rPr>
          <w:b/>
          <w:bCs w:val="0"/>
          <w:lang w:val="zh-CN"/>
        </w:rPr>
        <w:t>4.5.2</w:t>
      </w:r>
      <w:r>
        <w:rPr>
          <w:b/>
          <w:bCs w:val="0"/>
        </w:rPr>
        <w:t xml:space="preserve">  </w:t>
      </w:r>
      <w:r>
        <w:rPr>
          <w:rFonts w:hint="eastAsia"/>
        </w:rPr>
        <w:t>本条文针对地下城镇污水厂流线作出规定。将行人和机动车分离开，互不干扰，充分保证生产安全，便于人员的进出、物料的运送、装卸和消防疏散。</w:t>
      </w:r>
    </w:p>
    <w:p>
      <w:pPr>
        <w:ind w:firstLine="560"/>
      </w:pPr>
      <w:r>
        <w:rPr>
          <w:rFonts w:hint="eastAsia"/>
        </w:rPr>
        <w:t>从运营、安全、景观的角度规定人流和货流出入口分开设置。</w:t>
      </w:r>
    </w:p>
    <w:p>
      <w:pPr>
        <w:pStyle w:val="4"/>
        <w:numPr>
          <w:ilvl w:val="0"/>
          <w:numId w:val="0"/>
        </w:numPr>
      </w:pPr>
      <w:r>
        <w:rPr>
          <w:b/>
          <w:bCs w:val="0"/>
          <w:lang w:val="zh-CN"/>
        </w:rPr>
        <w:t>4.5.3</w:t>
      </w:r>
      <w:r>
        <w:rPr>
          <w:b/>
          <w:bCs w:val="0"/>
        </w:rPr>
        <w:t xml:space="preserve">  </w:t>
      </w:r>
      <w:r>
        <w:rPr>
          <w:rFonts w:hint="eastAsia"/>
        </w:rPr>
        <w:t>地面的总体布置可根据污水厂的运营、管理及地块综合开发等不同功能需求合理分区。</w:t>
      </w:r>
    </w:p>
    <w:p>
      <w:pPr>
        <w:pStyle w:val="4"/>
        <w:numPr>
          <w:ilvl w:val="0"/>
          <w:numId w:val="0"/>
        </w:numPr>
      </w:pPr>
      <w:r>
        <w:rPr>
          <w:b/>
          <w:bCs w:val="0"/>
          <w:lang w:val="zh-CN"/>
        </w:rPr>
        <w:t>4.5.</w:t>
      </w:r>
      <w:r>
        <w:rPr>
          <w:rFonts w:hint="eastAsia"/>
          <w:b/>
          <w:bCs w:val="0"/>
        </w:rPr>
        <w:t>4</w:t>
      </w:r>
      <w:r>
        <w:rPr>
          <w:b/>
          <w:bCs w:val="0"/>
        </w:rPr>
        <w:t xml:space="preserve">  </w:t>
      </w:r>
      <w:r>
        <w:rPr>
          <w:rFonts w:hint="eastAsia"/>
        </w:rPr>
        <w:t>地下式城镇污水处理厂地下空间面积大、防火空间分隔复杂，通道布置应有利于提高生产及管理效率，用于生产、巡视、消防逃生功能的电梯，可合并设置。</w:t>
      </w:r>
    </w:p>
    <w:p>
      <w:pPr>
        <w:pStyle w:val="4"/>
        <w:numPr>
          <w:ilvl w:val="0"/>
          <w:numId w:val="0"/>
        </w:numPr>
        <w:rPr>
          <w:bCs w:val="0"/>
          <w:lang w:val="zh-CN"/>
        </w:rPr>
      </w:pPr>
      <w:r>
        <w:rPr>
          <w:b/>
          <w:bCs w:val="0"/>
          <w:lang w:val="zh-CN"/>
        </w:rPr>
        <w:t>4.5.</w:t>
      </w:r>
      <w:r>
        <w:rPr>
          <w:rFonts w:hint="eastAsia"/>
          <w:b/>
          <w:bCs w:val="0"/>
        </w:rPr>
        <w:t>6</w:t>
      </w:r>
      <w:r>
        <w:rPr>
          <w:b/>
          <w:bCs w:val="0"/>
        </w:rPr>
        <w:t xml:space="preserve">  </w:t>
      </w:r>
      <w:r>
        <w:rPr>
          <w:rFonts w:hint="eastAsia"/>
          <w:lang w:val="zh-CN"/>
        </w:rPr>
        <w:t>不同工艺功能区之间宜进行防火分隔，这有利于工艺及防火功能的布置，并保证火灾不会相互蔓延。</w:t>
      </w:r>
    </w:p>
    <w:p>
      <w:pPr>
        <w:pStyle w:val="4"/>
        <w:numPr>
          <w:ilvl w:val="0"/>
          <w:numId w:val="0"/>
        </w:numPr>
      </w:pPr>
      <w:r>
        <w:rPr>
          <w:b/>
          <w:bCs w:val="0"/>
          <w:lang w:val="zh-CN"/>
        </w:rPr>
        <w:t>4.5.</w:t>
      </w:r>
      <w:r>
        <w:rPr>
          <w:rFonts w:hint="eastAsia"/>
          <w:b/>
          <w:bCs w:val="0"/>
        </w:rPr>
        <w:t>7</w:t>
      </w:r>
      <w:r>
        <w:rPr>
          <w:b/>
          <w:bCs w:val="0"/>
        </w:rPr>
        <w:t xml:space="preserve">  </w:t>
      </w:r>
      <w:r>
        <w:rPr>
          <w:rFonts w:hint="eastAsia"/>
          <w:lang w:val="zh-CN"/>
        </w:rPr>
        <w:t>地</w:t>
      </w:r>
      <w:r>
        <w:rPr>
          <w:rFonts w:hint="eastAsia"/>
        </w:rPr>
        <w:t>下</w:t>
      </w:r>
      <w:r>
        <w:rPr>
          <w:rFonts w:hint="eastAsia"/>
          <w:lang w:val="zh-CN"/>
        </w:rPr>
        <w:t>厂土建成本高，管线多、操作空间较高，顶板采用结构找坡可减少造价，提高地下空间高度。</w:t>
      </w:r>
    </w:p>
    <w:p>
      <w:pPr>
        <w:pStyle w:val="4"/>
        <w:numPr>
          <w:ilvl w:val="0"/>
          <w:numId w:val="0"/>
        </w:numPr>
        <w:rPr>
          <w:bCs w:val="0"/>
          <w:lang w:val="zh-CN"/>
        </w:rPr>
      </w:pPr>
      <w:r>
        <w:rPr>
          <w:b/>
          <w:bCs w:val="0"/>
          <w:lang w:val="zh-CN"/>
        </w:rPr>
        <w:t>4.5.</w:t>
      </w:r>
      <w:r>
        <w:rPr>
          <w:rFonts w:hint="eastAsia"/>
          <w:b/>
          <w:bCs w:val="0"/>
          <w:lang w:val="zh-CN"/>
        </w:rPr>
        <w:t>8</w:t>
      </w:r>
      <w:r>
        <w:rPr>
          <w:b/>
          <w:bCs w:val="0"/>
        </w:rPr>
        <w:t xml:space="preserve">  </w:t>
      </w:r>
      <w:r>
        <w:rPr>
          <w:rFonts w:hint="eastAsia"/>
          <w:lang w:val="zh-CN"/>
        </w:rPr>
        <w:t>污水厂处理水池较深，人员坠落事故非常危险，工具掉落处理水池也非常难以捞取，针对使用情况设计相对安全适用的栏杆很有必要。</w:t>
      </w:r>
    </w:p>
    <w:p>
      <w:pPr>
        <w:pStyle w:val="4"/>
        <w:numPr>
          <w:ilvl w:val="255"/>
          <w:numId w:val="0"/>
        </w:numPr>
        <w:rPr>
          <w:bCs w:val="0"/>
          <w:lang w:val="zh-CN"/>
        </w:rPr>
      </w:pPr>
      <w:r>
        <w:rPr>
          <w:b/>
          <w:bCs w:val="0"/>
          <w:lang w:val="zh-CN"/>
        </w:rPr>
        <w:t>4.5.9</w:t>
      </w:r>
      <w:r>
        <w:rPr>
          <w:b/>
          <w:bCs w:val="0"/>
        </w:rPr>
        <w:t xml:space="preserve">  </w:t>
      </w:r>
      <w:r>
        <w:rPr>
          <w:rFonts w:hint="eastAsia"/>
          <w:lang w:val="zh-CN"/>
        </w:rPr>
        <w:t>地下空间顶板多为覆土种植或景观水池，为确保渗漏水不影响</w:t>
      </w:r>
      <w:r>
        <w:rPr>
          <w:rFonts w:hint="eastAsia"/>
        </w:rPr>
        <w:t>地下空间</w:t>
      </w:r>
      <w:r>
        <w:rPr>
          <w:rFonts w:hint="eastAsia"/>
          <w:lang w:val="zh-CN"/>
        </w:rPr>
        <w:t>的</w:t>
      </w:r>
      <w:r>
        <w:rPr>
          <w:rFonts w:hint="eastAsia"/>
        </w:rPr>
        <w:t>生产</w:t>
      </w:r>
      <w:r>
        <w:rPr>
          <w:rFonts w:hint="eastAsia"/>
          <w:lang w:val="zh-CN"/>
        </w:rPr>
        <w:t>运行，其防水等级定为一级。</w:t>
      </w:r>
    </w:p>
    <w:p>
      <w:pPr>
        <w:pStyle w:val="4"/>
        <w:numPr>
          <w:ilvl w:val="0"/>
          <w:numId w:val="0"/>
        </w:numPr>
      </w:pPr>
      <w:r>
        <w:rPr>
          <w:b/>
          <w:bCs w:val="0"/>
          <w:lang w:val="zh-CN"/>
        </w:rPr>
        <w:t>4.5.1</w:t>
      </w:r>
      <w:r>
        <w:rPr>
          <w:rFonts w:hint="eastAsia"/>
          <w:b/>
          <w:bCs w:val="0"/>
        </w:rPr>
        <w:t>0</w:t>
      </w:r>
      <w:r>
        <w:rPr>
          <w:b/>
          <w:bCs w:val="0"/>
        </w:rPr>
        <w:t xml:space="preserve">  </w:t>
      </w:r>
      <w:r>
        <w:rPr>
          <w:rFonts w:hint="eastAsia"/>
          <w:lang w:val="zh-CN"/>
        </w:rPr>
        <w:t>地下</w:t>
      </w:r>
      <w:r>
        <w:rPr>
          <w:rFonts w:hint="eastAsia"/>
        </w:rPr>
        <w:t>空间内有大量污水处理池体</w:t>
      </w:r>
      <w:r>
        <w:rPr>
          <w:rFonts w:hint="eastAsia"/>
          <w:lang w:val="zh-CN"/>
        </w:rPr>
        <w:t>，</w:t>
      </w:r>
      <w:r>
        <w:rPr>
          <w:rFonts w:hint="eastAsia"/>
        </w:rPr>
        <w:t>需定期</w:t>
      </w:r>
      <w:r>
        <w:rPr>
          <w:rFonts w:hint="eastAsia"/>
          <w:lang w:val="zh-CN"/>
        </w:rPr>
        <w:t>清洗，</w:t>
      </w:r>
      <w:r>
        <w:rPr>
          <w:rFonts w:hint="eastAsia"/>
        </w:rPr>
        <w:t>建筑材料的选择需满足防火、防潮、防腐、施工及运营的要求。</w:t>
      </w:r>
    </w:p>
    <w:p>
      <w:pPr>
        <w:pStyle w:val="4"/>
        <w:numPr>
          <w:ilvl w:val="0"/>
          <w:numId w:val="0"/>
        </w:numPr>
        <w:rPr>
          <w:bCs w:val="0"/>
          <w:lang w:val="zh-CN"/>
        </w:rPr>
      </w:pPr>
      <w:r>
        <w:rPr>
          <w:b/>
          <w:bCs w:val="0"/>
          <w:lang w:val="zh-CN"/>
        </w:rPr>
        <w:t>4.5.1</w:t>
      </w:r>
      <w:r>
        <w:rPr>
          <w:rFonts w:hint="eastAsia"/>
          <w:b/>
          <w:bCs w:val="0"/>
        </w:rPr>
        <w:t>1</w:t>
      </w:r>
      <w:r>
        <w:rPr>
          <w:b/>
          <w:bCs w:val="0"/>
        </w:rPr>
        <w:t xml:space="preserve">  </w:t>
      </w:r>
      <w:r>
        <w:rPr>
          <w:rFonts w:hint="eastAsia"/>
          <w:lang w:val="zh-CN"/>
        </w:rPr>
        <w:t>地埋污水厂地下空间大，高浓度臭气容易扩散到低浓度区域，利用建筑的手段可以减少臭气的扩散，提高臭气收集的效率。</w:t>
      </w:r>
    </w:p>
    <w:p>
      <w:pPr>
        <w:pStyle w:val="3"/>
        <w:numPr>
          <w:ilvl w:val="0"/>
          <w:numId w:val="0"/>
        </w:numPr>
        <w:spacing w:before="624" w:after="624"/>
      </w:pPr>
      <w:bookmarkStart w:id="3845" w:name="_Toc132893896"/>
      <w:r>
        <w:rPr>
          <w:rFonts w:hint="eastAsia"/>
        </w:rPr>
        <w:t>4</w:t>
      </w:r>
      <w:r>
        <w:t xml:space="preserve">.6 </w:t>
      </w:r>
      <w:r>
        <w:rPr>
          <w:rFonts w:hint="eastAsia"/>
        </w:rPr>
        <w:t>绿化景观设计</w:t>
      </w:r>
      <w:bookmarkEnd w:id="3845"/>
    </w:p>
    <w:p>
      <w:pPr>
        <w:pStyle w:val="4"/>
        <w:numPr>
          <w:ilvl w:val="0"/>
          <w:numId w:val="0"/>
        </w:numPr>
      </w:pPr>
      <w:r>
        <w:rPr>
          <w:b/>
          <w:bCs w:val="0"/>
          <w:lang w:val="zh-CN"/>
        </w:rPr>
        <w:t>4.6.1</w:t>
      </w:r>
      <w:r>
        <w:rPr>
          <w:b/>
          <w:bCs w:val="0"/>
        </w:rPr>
        <w:t xml:space="preserve">  </w:t>
      </w:r>
      <w:r>
        <w:rPr>
          <w:rFonts w:hint="eastAsia"/>
        </w:rPr>
        <w:t>地下式污水处理厂的地面景观总体上应与区域景观风格一致，与周边环境协调，体现生态、绿色、美观。</w:t>
      </w:r>
    </w:p>
    <w:p>
      <w:pPr>
        <w:pStyle w:val="3"/>
        <w:numPr>
          <w:ilvl w:val="0"/>
          <w:numId w:val="0"/>
        </w:numPr>
        <w:spacing w:before="624" w:after="624"/>
      </w:pPr>
      <w:bookmarkStart w:id="3846" w:name="_Toc132893897"/>
      <w:r>
        <w:rPr>
          <w:rFonts w:hint="eastAsia"/>
        </w:rPr>
        <w:t>4</w:t>
      </w:r>
      <w:r>
        <w:t xml:space="preserve">.7 </w:t>
      </w:r>
      <w:r>
        <w:rPr>
          <w:rFonts w:hint="eastAsia"/>
        </w:rPr>
        <w:t>结构设计</w:t>
      </w:r>
      <w:bookmarkEnd w:id="3846"/>
    </w:p>
    <w:p>
      <w:pPr>
        <w:pStyle w:val="4"/>
        <w:numPr>
          <w:ilvl w:val="0"/>
          <w:numId w:val="0"/>
        </w:numPr>
      </w:pPr>
      <w:r>
        <w:rPr>
          <w:b/>
          <w:bCs w:val="0"/>
          <w:lang w:val="zh-CN"/>
        </w:rPr>
        <w:t>4.7.2</w:t>
      </w:r>
      <w:r>
        <w:rPr>
          <w:b/>
          <w:bCs w:val="0"/>
        </w:rPr>
        <w:t xml:space="preserve">  </w:t>
      </w:r>
      <w:r>
        <w:rPr>
          <w:rFonts w:hint="eastAsia"/>
        </w:rPr>
        <w:t>耐久性极限状态设计应满足《建筑结构可靠性设计统一标准》GB</w:t>
      </w:r>
      <w:r>
        <w:t xml:space="preserve"> </w:t>
      </w:r>
      <w:r>
        <w:rPr>
          <w:rFonts w:hint="eastAsia"/>
        </w:rPr>
        <w:t>50068的有关规定。</w:t>
      </w:r>
    </w:p>
    <w:p>
      <w:pPr>
        <w:pStyle w:val="4"/>
        <w:numPr>
          <w:ilvl w:val="0"/>
          <w:numId w:val="0"/>
        </w:numPr>
      </w:pPr>
      <w:r>
        <w:rPr>
          <w:b/>
          <w:bCs w:val="0"/>
          <w:lang w:val="zh-CN"/>
        </w:rPr>
        <w:t>4.7.12</w:t>
      </w:r>
      <w:r>
        <w:rPr>
          <w:b/>
          <w:bCs w:val="0"/>
        </w:rPr>
        <w:t xml:space="preserve">  </w:t>
      </w:r>
      <w:r>
        <w:rPr>
          <w:rFonts w:hint="eastAsia"/>
        </w:rPr>
        <w:t>当变形缝间距超过规范建议最大间距时，可采用设置贯通的施工后浇带（加强带），或分段跳仓浇筑相结合的方式进行设计。</w:t>
      </w:r>
    </w:p>
    <w:p>
      <w:pPr>
        <w:pStyle w:val="3"/>
        <w:numPr>
          <w:ilvl w:val="0"/>
          <w:numId w:val="0"/>
        </w:numPr>
        <w:spacing w:before="624" w:after="624"/>
      </w:pPr>
      <w:bookmarkStart w:id="3847" w:name="_Toc132893898"/>
      <w:r>
        <w:rPr>
          <w:rFonts w:hint="eastAsia"/>
        </w:rPr>
        <w:t>4</w:t>
      </w:r>
      <w:r>
        <w:t xml:space="preserve">.8 </w:t>
      </w:r>
      <w:r>
        <w:rPr>
          <w:rFonts w:hint="eastAsia"/>
        </w:rPr>
        <w:t>通风与除臭设计</w:t>
      </w:r>
      <w:bookmarkEnd w:id="3847"/>
    </w:p>
    <w:p>
      <w:pPr>
        <w:pStyle w:val="4"/>
        <w:numPr>
          <w:ilvl w:val="0"/>
          <w:numId w:val="0"/>
        </w:numPr>
      </w:pPr>
      <w:r>
        <w:rPr>
          <w:b/>
          <w:bCs w:val="0"/>
          <w:lang w:val="zh-CN"/>
        </w:rPr>
        <w:t>4.8.1</w:t>
      </w:r>
      <w:r>
        <w:rPr>
          <w:b/>
          <w:bCs w:val="0"/>
        </w:rPr>
        <w:t xml:space="preserve">  </w:t>
      </w:r>
      <w:r>
        <w:rPr>
          <w:rFonts w:hint="eastAsia"/>
        </w:rPr>
        <w:t>若地下式城镇污水处理厂选址位置周边空旷、经评估污水厂地下空间流通气体对周边无影响时，地下空间全部或部分（如进出车道等）宜优先采用自然通风方式，节约运行能耗。</w:t>
      </w:r>
    </w:p>
    <w:p>
      <w:pPr>
        <w:pStyle w:val="4"/>
        <w:numPr>
          <w:ilvl w:val="0"/>
          <w:numId w:val="0"/>
        </w:numPr>
      </w:pPr>
      <w:r>
        <w:rPr>
          <w:b/>
          <w:bCs w:val="0"/>
          <w:lang w:val="zh-CN"/>
        </w:rPr>
        <w:t>4.8.2</w:t>
      </w:r>
      <w:r>
        <w:rPr>
          <w:b/>
          <w:bCs w:val="0"/>
        </w:rPr>
        <w:t xml:space="preserve">  </w:t>
      </w:r>
      <w:r>
        <w:rPr>
          <w:rFonts w:hint="eastAsia"/>
        </w:rPr>
        <w:t>通风与除臭系统应结合地下式污水处理厂的特点、工艺要求、</w:t>
      </w:r>
      <w:r>
        <w:rPr>
          <w:rFonts w:hint="eastAsia"/>
          <w:lang w:val="zh-CN"/>
        </w:rPr>
        <w:t>臭气</w:t>
      </w:r>
      <w:r>
        <w:rPr>
          <w:rFonts w:hint="eastAsia"/>
        </w:rPr>
        <w:t>源特征、运行管理需求等因素，贯彻全过程控制理念，在设计、施工及运行管理的各环节阶段，均应严格做好通风换气、臭气源密闭、有效收集和集中处理，确保通过压差控制防止臭气从高浓度区逸散到低浓度区、从低浓度区逸散到无臭气源区，实现地下空间环境的有效控制。</w:t>
      </w:r>
    </w:p>
    <w:p>
      <w:pPr>
        <w:pStyle w:val="4"/>
        <w:numPr>
          <w:ilvl w:val="0"/>
          <w:numId w:val="0"/>
        </w:numPr>
        <w:rPr>
          <w:lang w:bidi="ar"/>
        </w:rPr>
      </w:pPr>
      <w:r>
        <w:rPr>
          <w:b/>
          <w:bCs w:val="0"/>
          <w:lang w:val="zh-CN"/>
        </w:rPr>
        <w:t>4.8.</w:t>
      </w:r>
      <w:r>
        <w:rPr>
          <w:rFonts w:hint="eastAsia"/>
          <w:b/>
          <w:bCs w:val="0"/>
        </w:rPr>
        <w:t>4</w:t>
      </w:r>
      <w:r>
        <w:rPr>
          <w:b/>
          <w:bCs w:val="0"/>
        </w:rPr>
        <w:t xml:space="preserve">  </w:t>
      </w:r>
      <w:r>
        <w:rPr>
          <w:rFonts w:hint="eastAsia"/>
        </w:rPr>
        <w:t>地下空间</w:t>
      </w:r>
      <w:r>
        <w:rPr>
          <w:rFonts w:hint="eastAsia"/>
          <w:lang w:bidi="ar"/>
        </w:rPr>
        <w:t>污水及污泥处理区域的通风、除臭系统的气流组织较为复杂，宜借助计算流体动力学数值模拟技术优化系统设置。</w:t>
      </w:r>
    </w:p>
    <w:p>
      <w:pPr>
        <w:pStyle w:val="4"/>
        <w:widowControl/>
        <w:numPr>
          <w:ilvl w:val="0"/>
          <w:numId w:val="0"/>
        </w:numPr>
        <w:rPr>
          <w:b/>
          <w:lang w:val="zh-CN" w:bidi="ar"/>
        </w:rPr>
      </w:pPr>
      <w:r>
        <w:rPr>
          <w:b/>
          <w:bCs w:val="0"/>
          <w:lang w:val="zh-CN"/>
        </w:rPr>
        <w:t>4.8.5</w:t>
      </w:r>
      <w:r>
        <w:rPr>
          <w:b/>
          <w:bCs w:val="0"/>
        </w:rPr>
        <w:t xml:space="preserve">  </w:t>
      </w:r>
      <w:r>
        <w:rPr>
          <w:rFonts w:hint="eastAsia"/>
          <w:lang w:val="zh-CN" w:bidi="ar"/>
        </w:rPr>
        <w:t>参观通道</w:t>
      </w:r>
      <w:r>
        <w:rPr>
          <w:rFonts w:hint="eastAsia"/>
          <w:lang w:bidi="ar"/>
        </w:rPr>
        <w:t>应</w:t>
      </w:r>
      <w:r>
        <w:rPr>
          <w:rFonts w:hint="eastAsia"/>
          <w:lang w:val="zh-CN" w:bidi="ar"/>
        </w:rPr>
        <w:t>与臭气产生源</w:t>
      </w:r>
      <w:r>
        <w:rPr>
          <w:rFonts w:hint="eastAsia"/>
          <w:lang w:bidi="ar"/>
        </w:rPr>
        <w:t>隔离</w:t>
      </w:r>
      <w:r>
        <w:rPr>
          <w:rFonts w:hint="eastAsia"/>
          <w:lang w:val="zh-CN" w:bidi="ar"/>
        </w:rPr>
        <w:t>，并设置独立的新风系统，维持正压</w:t>
      </w:r>
      <w:r>
        <w:rPr>
          <w:rFonts w:hint="eastAsia"/>
          <w:lang w:bidi="ar"/>
        </w:rPr>
        <w:t>状态</w:t>
      </w:r>
      <w:r>
        <w:rPr>
          <w:rFonts w:hint="eastAsia"/>
          <w:lang w:val="zh-CN" w:bidi="ar"/>
        </w:rPr>
        <w:t>，保证空气质量清新。</w:t>
      </w:r>
    </w:p>
    <w:p>
      <w:pPr>
        <w:pStyle w:val="4"/>
        <w:numPr>
          <w:ilvl w:val="0"/>
          <w:numId w:val="0"/>
        </w:numPr>
        <w:rPr>
          <w:b/>
          <w:u w:val="single"/>
        </w:rPr>
      </w:pPr>
      <w:r>
        <w:rPr>
          <w:b/>
          <w:bCs w:val="0"/>
          <w:lang w:val="zh-CN"/>
        </w:rPr>
        <w:t>4.8.</w:t>
      </w:r>
      <w:r>
        <w:rPr>
          <w:rFonts w:hint="eastAsia"/>
          <w:b/>
          <w:bCs w:val="0"/>
        </w:rPr>
        <w:t>8</w:t>
      </w:r>
      <w:r>
        <w:rPr>
          <w:b/>
          <w:bCs w:val="0"/>
        </w:rPr>
        <w:t xml:space="preserve">  </w:t>
      </w:r>
      <w:r>
        <w:rPr>
          <w:rFonts w:hint="eastAsia"/>
        </w:rPr>
        <w:t>密闭空间或有限空间作业时应注重操作人员的安全和职业健康，必须符合国家和地方的各项规定，防止负压环境中散逸的臭气对操作人员的危害。</w:t>
      </w:r>
    </w:p>
    <w:p>
      <w:pPr>
        <w:pStyle w:val="4"/>
        <w:numPr>
          <w:ilvl w:val="0"/>
          <w:numId w:val="0"/>
        </w:numPr>
      </w:pPr>
      <w:r>
        <w:rPr>
          <w:b/>
          <w:bCs w:val="0"/>
          <w:lang w:val="zh-CN"/>
        </w:rPr>
        <w:t>4.8.</w:t>
      </w:r>
      <w:r>
        <w:rPr>
          <w:b/>
          <w:bCs w:val="0"/>
        </w:rPr>
        <w:t xml:space="preserve">9  </w:t>
      </w:r>
      <w:r>
        <w:rPr>
          <w:rFonts w:hint="eastAsia"/>
        </w:rPr>
        <w:t>广东省标准</w:t>
      </w:r>
      <w:r>
        <w:rPr>
          <w:rFonts w:hint="eastAsia"/>
          <w:lang w:val="zh-CN"/>
        </w:rPr>
        <w:t>《城镇地下污水处理设施通风与除臭处理技术标准》</w:t>
      </w:r>
      <w:r>
        <w:rPr>
          <w:lang w:val="zh-CN"/>
        </w:rPr>
        <w:t>DB</w:t>
      </w:r>
      <w:r>
        <w:rPr>
          <w:rFonts w:hint="eastAsia"/>
          <w:lang w:val="zh-CN"/>
        </w:rPr>
        <w:t>J/T</w:t>
      </w:r>
      <w:r>
        <w:rPr>
          <w:lang w:val="zh-CN"/>
        </w:rPr>
        <w:t xml:space="preserve"> </w:t>
      </w:r>
      <w:r>
        <w:rPr>
          <w:rFonts w:hint="eastAsia"/>
          <w:lang w:val="zh-CN"/>
        </w:rPr>
        <w:t>15-202-2020已正式实施，在地下式城镇污水处理厂通风与除臭环节还应</w:t>
      </w:r>
      <w:r>
        <w:rPr>
          <w:rFonts w:hint="eastAsia"/>
        </w:rPr>
        <w:t>执行</w:t>
      </w:r>
      <w:r>
        <w:rPr>
          <w:rFonts w:hint="eastAsia"/>
          <w:lang w:val="zh-CN"/>
        </w:rPr>
        <w:t>该</w:t>
      </w:r>
      <w:r>
        <w:rPr>
          <w:rFonts w:hint="eastAsia"/>
        </w:rPr>
        <w:t>标准</w:t>
      </w:r>
      <w:r>
        <w:rPr>
          <w:rFonts w:hint="eastAsia"/>
          <w:lang w:val="zh-CN"/>
        </w:rPr>
        <w:t>相应</w:t>
      </w:r>
      <w:r>
        <w:rPr>
          <w:rFonts w:hint="eastAsia"/>
        </w:rPr>
        <w:t>规定。</w:t>
      </w:r>
    </w:p>
    <w:p>
      <w:pPr>
        <w:pStyle w:val="3"/>
        <w:numPr>
          <w:ilvl w:val="0"/>
          <w:numId w:val="0"/>
        </w:numPr>
        <w:spacing w:before="624" w:after="624"/>
      </w:pPr>
      <w:bookmarkStart w:id="3848" w:name="_Toc132893899"/>
      <w:r>
        <w:rPr>
          <w:rFonts w:hint="eastAsia"/>
        </w:rPr>
        <w:t>4</w:t>
      </w:r>
      <w:r>
        <w:t xml:space="preserve">.9 </w:t>
      </w:r>
      <w:r>
        <w:rPr>
          <w:rFonts w:hint="eastAsia"/>
        </w:rPr>
        <w:t>电气设计</w:t>
      </w:r>
      <w:bookmarkEnd w:id="3848"/>
    </w:p>
    <w:p>
      <w:pPr>
        <w:pStyle w:val="4"/>
        <w:numPr>
          <w:ilvl w:val="0"/>
          <w:numId w:val="0"/>
        </w:numPr>
        <w:rPr>
          <w:lang w:val="zh-CN"/>
        </w:rPr>
      </w:pPr>
      <w:r>
        <w:rPr>
          <w:b/>
          <w:bCs w:val="0"/>
          <w:lang w:val="zh-CN"/>
        </w:rPr>
        <w:t>4.9.1</w:t>
      </w:r>
      <w:r>
        <w:rPr>
          <w:b/>
          <w:bCs w:val="0"/>
        </w:rPr>
        <w:t xml:space="preserve">  </w:t>
      </w:r>
      <w:r>
        <w:rPr>
          <w:rFonts w:hint="eastAsia"/>
          <w:lang w:val="zh-CN"/>
        </w:rPr>
        <w:t>电气设计内容</w:t>
      </w:r>
      <w:r>
        <w:rPr>
          <w:rFonts w:hint="eastAsia"/>
        </w:rPr>
        <w:t>应</w:t>
      </w:r>
      <w:r>
        <w:rPr>
          <w:rFonts w:hint="eastAsia"/>
          <w:lang w:val="zh-CN"/>
        </w:rPr>
        <w:t>依据</w:t>
      </w:r>
      <w:r>
        <w:rPr>
          <w:rFonts w:hint="eastAsia"/>
        </w:rPr>
        <w:t>工程</w:t>
      </w:r>
      <w:r>
        <w:rPr>
          <w:rFonts w:hint="eastAsia"/>
          <w:lang w:val="zh-CN"/>
        </w:rPr>
        <w:t>规模、</w:t>
      </w:r>
      <w:r>
        <w:rPr>
          <w:rFonts w:hint="eastAsia"/>
        </w:rPr>
        <w:t>污水处理级别、</w:t>
      </w:r>
      <w:r>
        <w:rPr>
          <w:rFonts w:hint="eastAsia"/>
          <w:lang w:val="zh-CN"/>
        </w:rPr>
        <w:t>设施运行管理要求、安全生产要求、电力电网供电能力及管理要求、经济条件等因素</w:t>
      </w:r>
      <w:r>
        <w:rPr>
          <w:rFonts w:hint="eastAsia"/>
        </w:rPr>
        <w:t>合理</w:t>
      </w:r>
      <w:r>
        <w:rPr>
          <w:rFonts w:hint="eastAsia"/>
          <w:lang w:val="zh-CN"/>
        </w:rPr>
        <w:t>确定。</w:t>
      </w:r>
    </w:p>
    <w:p>
      <w:pPr>
        <w:pStyle w:val="4"/>
        <w:numPr>
          <w:ilvl w:val="0"/>
          <w:numId w:val="0"/>
        </w:numPr>
        <w:rPr>
          <w:bCs w:val="0"/>
          <w:lang w:val="zh-CN"/>
        </w:rPr>
      </w:pPr>
      <w:r>
        <w:rPr>
          <w:b/>
          <w:bCs w:val="0"/>
          <w:lang w:val="zh-CN"/>
        </w:rPr>
        <w:t>4.9.2</w:t>
      </w:r>
      <w:r>
        <w:rPr>
          <w:b/>
          <w:bCs w:val="0"/>
        </w:rPr>
        <w:t xml:space="preserve">  </w:t>
      </w:r>
      <w:r>
        <w:rPr>
          <w:rFonts w:hint="eastAsia"/>
          <w:lang w:val="zh-CN"/>
        </w:rPr>
        <w:t>考虑到污水厂中断供电可能对该地区的政治、经济、生活和周围环境等造成不良影响，污水厂的供电负荷等级应按二级设计，</w:t>
      </w:r>
      <w:r>
        <w:rPr>
          <w:rFonts w:hint="eastAsia"/>
          <w:szCs w:val="28"/>
        </w:rPr>
        <w:t>采用双回路供电，同时工作，互为备用，以确保厂区供电系统的安全性。</w:t>
      </w:r>
      <w:r>
        <w:rPr>
          <w:rFonts w:hint="eastAsia"/>
          <w:lang w:val="zh-CN"/>
        </w:rPr>
        <w:t>重要的地下式城镇污水厂是指中断供电对该地区的政治、经济、生活和周围环境等造成重大影响的污水厂。重要部位包括地下式污水厂的防淹设备</w:t>
      </w:r>
      <w:r>
        <w:rPr>
          <w:rFonts w:hint="eastAsia"/>
        </w:rPr>
        <w:t>（速闭闸门等）</w:t>
      </w:r>
      <w:r>
        <w:rPr>
          <w:rFonts w:hint="eastAsia"/>
          <w:lang w:val="zh-CN"/>
        </w:rPr>
        <w:t>、消防设施（消防排烟风机、消防水泵、防火卷帘等）、安全保障设施（排水泵房、事故风机等、疏散指示及照明等）等，应</w:t>
      </w:r>
      <w:r>
        <w:rPr>
          <w:rFonts w:hint="eastAsia" w:ascii="宋体" w:hAnsi="宋体"/>
        </w:rPr>
        <w:t>按一级负荷设计，</w:t>
      </w:r>
      <w:r>
        <w:rPr>
          <w:rFonts w:hint="eastAsia"/>
          <w:lang w:val="zh-CN"/>
        </w:rPr>
        <w:t>设置</w:t>
      </w:r>
      <w:r>
        <w:rPr>
          <w:rFonts w:hint="eastAsia"/>
          <w:szCs w:val="28"/>
        </w:rPr>
        <w:t>柴油发电机作为</w:t>
      </w:r>
      <w:r>
        <w:rPr>
          <w:rFonts w:hint="eastAsia"/>
          <w:lang w:val="zh-CN"/>
        </w:rPr>
        <w:t>备用供电设施，</w:t>
      </w:r>
      <w:r>
        <w:rPr>
          <w:rFonts w:hint="eastAsia"/>
        </w:rPr>
        <w:t>保证重要部位的可靠供电</w:t>
      </w:r>
      <w:r>
        <w:rPr>
          <w:rFonts w:hint="eastAsia"/>
          <w:lang w:val="zh-CN"/>
        </w:rPr>
        <w:t>。</w:t>
      </w:r>
    </w:p>
    <w:p>
      <w:pPr>
        <w:pStyle w:val="4"/>
        <w:numPr>
          <w:ilvl w:val="0"/>
          <w:numId w:val="0"/>
        </w:numPr>
        <w:rPr>
          <w:lang w:bidi="ar"/>
        </w:rPr>
      </w:pPr>
      <w:r>
        <w:rPr>
          <w:b/>
          <w:bCs w:val="0"/>
          <w:lang w:val="zh-CN"/>
        </w:rPr>
        <w:t>4.9.</w:t>
      </w:r>
      <w:r>
        <w:rPr>
          <w:rFonts w:hint="eastAsia"/>
          <w:b/>
          <w:bCs w:val="0"/>
        </w:rPr>
        <w:t>3</w:t>
      </w:r>
      <w:r>
        <w:rPr>
          <w:b/>
          <w:bCs w:val="0"/>
        </w:rPr>
        <w:t xml:space="preserve">  </w:t>
      </w:r>
      <w:r>
        <w:rPr>
          <w:lang w:bidi="ar"/>
        </w:rPr>
        <w:t>采用两级供电方案可以减少电源引人，变电所靠近或贴邻负荷中心，靠近大容量设备比较合理。</w:t>
      </w:r>
    </w:p>
    <w:p>
      <w:pPr>
        <w:pStyle w:val="4"/>
        <w:numPr>
          <w:ilvl w:val="0"/>
          <w:numId w:val="0"/>
        </w:numPr>
      </w:pPr>
      <w:r>
        <w:rPr>
          <w:b/>
          <w:bCs w:val="0"/>
          <w:lang w:val="zh-CN"/>
        </w:rPr>
        <w:t>4.9.</w:t>
      </w:r>
      <w:r>
        <w:rPr>
          <w:rFonts w:hint="eastAsia"/>
          <w:b/>
          <w:bCs w:val="0"/>
        </w:rPr>
        <w:t>4</w:t>
      </w:r>
      <w:r>
        <w:rPr>
          <w:b/>
          <w:bCs w:val="0"/>
        </w:rPr>
        <w:t xml:space="preserve">  </w:t>
      </w:r>
      <w:r>
        <w:rPr>
          <w:rFonts w:hint="eastAsia"/>
        </w:rPr>
        <w:t>地下式城镇污水处理厂地势低，事故时连续进水可能淹没地下空间底层，变电所、配电间、控制室不应设置在地下空间的最底层，以防止被淹。</w:t>
      </w:r>
    </w:p>
    <w:p>
      <w:pPr>
        <w:pStyle w:val="4"/>
        <w:numPr>
          <w:ilvl w:val="0"/>
          <w:numId w:val="0"/>
        </w:numPr>
        <w:rPr>
          <w:lang w:val="zh-CN"/>
        </w:rPr>
      </w:pPr>
      <w:r>
        <w:rPr>
          <w:b/>
          <w:bCs w:val="0"/>
          <w:lang w:val="zh-CN"/>
        </w:rPr>
        <w:t>4.9.</w:t>
      </w:r>
      <w:r>
        <w:rPr>
          <w:rFonts w:hint="eastAsia"/>
          <w:b/>
          <w:bCs w:val="0"/>
        </w:rPr>
        <w:t>5</w:t>
      </w:r>
      <w:r>
        <w:rPr>
          <w:b/>
          <w:bCs w:val="0"/>
        </w:rPr>
        <w:t xml:space="preserve">  </w:t>
      </w:r>
      <w:r>
        <w:rPr>
          <w:rFonts w:hint="eastAsia"/>
          <w:lang w:val="zh-CN"/>
        </w:rPr>
        <w:t>地下式城镇污水处理厂区用电设备旁环境潮湿、存在硫化氢气体、风机、污泥脱水干化等大功率用电设备散热大，变频、软启动控制箱柜若安装在机旁，故障率较高，会降低控制柜的使用寿命，因此带变频、软启动的控制柜宜设置在合建或单独的控制室内，</w:t>
      </w:r>
      <w:r>
        <w:rPr>
          <w:rFonts w:hint="eastAsia"/>
        </w:rPr>
        <w:t>并配置独立的新风或空调系统</w:t>
      </w:r>
      <w:r>
        <w:rPr>
          <w:rFonts w:hint="eastAsia"/>
          <w:lang w:val="zh-CN"/>
        </w:rPr>
        <w:t>。</w:t>
      </w:r>
    </w:p>
    <w:p>
      <w:pPr>
        <w:pStyle w:val="4"/>
        <w:numPr>
          <w:ilvl w:val="0"/>
          <w:numId w:val="0"/>
        </w:numPr>
      </w:pPr>
      <w:r>
        <w:rPr>
          <w:b/>
          <w:bCs w:val="0"/>
          <w:lang w:val="zh-CN"/>
        </w:rPr>
        <w:t>4.9.</w:t>
      </w:r>
      <w:r>
        <w:rPr>
          <w:rFonts w:hint="eastAsia"/>
          <w:b/>
          <w:bCs w:val="0"/>
        </w:rPr>
        <w:t>6</w:t>
      </w:r>
      <w:r>
        <w:rPr>
          <w:b/>
          <w:bCs w:val="0"/>
        </w:rPr>
        <w:t xml:space="preserve">  </w:t>
      </w:r>
      <w:r>
        <w:rPr>
          <w:rFonts w:hint="eastAsia"/>
          <w:lang w:val="zh-CN"/>
        </w:rPr>
        <w:t>电缆引入或引出地下空间，不应在箱体顶部开孔或预埋保护管，容易引起渗水或漏水。</w:t>
      </w:r>
    </w:p>
    <w:p>
      <w:pPr>
        <w:pStyle w:val="4"/>
        <w:numPr>
          <w:ilvl w:val="0"/>
          <w:numId w:val="0"/>
        </w:numPr>
      </w:pPr>
      <w:r>
        <w:rPr>
          <w:b/>
          <w:bCs w:val="0"/>
          <w:lang w:val="zh-CN"/>
        </w:rPr>
        <w:t>4.9.</w:t>
      </w:r>
      <w:r>
        <w:rPr>
          <w:rFonts w:hint="eastAsia"/>
          <w:b/>
          <w:bCs w:val="0"/>
        </w:rPr>
        <w:t>7</w:t>
      </w:r>
      <w:r>
        <w:rPr>
          <w:b/>
          <w:bCs w:val="0"/>
        </w:rPr>
        <w:t xml:space="preserve">  </w:t>
      </w:r>
      <w:r>
        <w:rPr>
          <w:rFonts w:hint="eastAsia"/>
        </w:rPr>
        <w:t>地下式城镇污水处理厂地下空间为封闭空间，</w:t>
      </w:r>
      <w:r>
        <w:rPr>
          <w:rFonts w:hint="eastAsia" w:ascii="宋体" w:hAnsi="宋体"/>
        </w:rPr>
        <w:t>变压器宜采用干式节能型，消除油浸式</w:t>
      </w:r>
      <w:r>
        <w:rPr>
          <w:rFonts w:hint="eastAsia"/>
        </w:rPr>
        <w:t>变压器带来的消防隐患。</w:t>
      </w:r>
    </w:p>
    <w:p>
      <w:pPr>
        <w:pStyle w:val="4"/>
        <w:numPr>
          <w:ilvl w:val="0"/>
          <w:numId w:val="0"/>
        </w:numPr>
      </w:pPr>
      <w:r>
        <w:rPr>
          <w:b/>
          <w:bCs w:val="0"/>
          <w:lang w:val="zh-CN"/>
        </w:rPr>
        <w:t>4.9.</w:t>
      </w:r>
      <w:r>
        <w:rPr>
          <w:rFonts w:hint="eastAsia"/>
          <w:b/>
          <w:bCs w:val="0"/>
        </w:rPr>
        <w:t>8</w:t>
      </w:r>
      <w:r>
        <w:rPr>
          <w:b/>
          <w:bCs w:val="0"/>
        </w:rPr>
        <w:t xml:space="preserve">  </w:t>
      </w:r>
      <w:r>
        <w:rPr>
          <w:rFonts w:hint="eastAsia"/>
        </w:rPr>
        <w:t>地下式城镇污水处理厂整体环境更潮湿，电气设备极易损坏，需要设置电气设备的防潮防腐措施。</w:t>
      </w:r>
    </w:p>
    <w:p>
      <w:pPr>
        <w:pStyle w:val="4"/>
        <w:numPr>
          <w:ilvl w:val="0"/>
          <w:numId w:val="0"/>
        </w:numPr>
      </w:pPr>
      <w:r>
        <w:rPr>
          <w:b/>
          <w:bCs w:val="0"/>
          <w:lang w:val="zh-CN"/>
        </w:rPr>
        <w:t>4.9.</w:t>
      </w:r>
      <w:r>
        <w:rPr>
          <w:rFonts w:hint="eastAsia"/>
          <w:b/>
          <w:bCs w:val="0"/>
        </w:rPr>
        <w:t>9</w:t>
      </w:r>
      <w:r>
        <w:rPr>
          <w:b/>
          <w:bCs w:val="0"/>
        </w:rPr>
        <w:t xml:space="preserve">  </w:t>
      </w:r>
      <w:r>
        <w:rPr>
          <w:lang w:bidi="ar"/>
        </w:rPr>
        <w:t>考虑全地下式构筑物的封闭性，采用阻燃电缆可以有效防止在火灾发生时事故扩大。</w:t>
      </w:r>
      <w:r>
        <w:rPr>
          <w:rFonts w:hint="eastAsia"/>
        </w:rPr>
        <w:t>消防水泵、消防控制室、防排烟风机房的用电设备及消防电梯等重要设施，采用耐火电缆，提高火灾时的供电可靠性。</w:t>
      </w:r>
    </w:p>
    <w:p>
      <w:pPr>
        <w:widowControl/>
        <w:tabs>
          <w:tab w:val="left" w:pos="-2549"/>
          <w:tab w:val="left" w:pos="-991"/>
          <w:tab w:val="left" w:pos="567"/>
        </w:tabs>
        <w:ind w:firstLine="0" w:firstLineChars="0"/>
        <w:rPr>
          <w:lang w:bidi="ar"/>
        </w:rPr>
      </w:pPr>
      <w:r>
        <w:rPr>
          <w:b/>
          <w:lang w:val="zh-CN"/>
        </w:rPr>
        <w:t>4.9.</w:t>
      </w:r>
      <w:r>
        <w:rPr>
          <w:rFonts w:hint="eastAsia"/>
          <w:b/>
        </w:rPr>
        <w:t>10</w:t>
      </w:r>
      <w:r>
        <w:rPr>
          <w:b/>
          <w:bCs/>
        </w:rPr>
        <w:t xml:space="preserve">  </w:t>
      </w:r>
      <w:r>
        <w:rPr>
          <w:rFonts w:hint="eastAsia"/>
          <w:lang w:val="zh-CN"/>
        </w:rPr>
        <w:t>地下式城镇污水处理厂</w:t>
      </w:r>
      <w:r>
        <w:rPr>
          <w:rFonts w:hint="eastAsia"/>
        </w:rPr>
        <w:t>连续运行，其工作场所具有一定的风险性，设置正常照明和应急照明是保障安全的基本措施。正常</w:t>
      </w:r>
      <w:r>
        <w:rPr>
          <w:lang w:bidi="ar"/>
        </w:rPr>
        <w:t>正常照明失效时，对于需要继续工作的场所应有备用照明</w:t>
      </w:r>
      <w:r>
        <w:rPr>
          <w:rFonts w:hint="eastAsia"/>
          <w:lang w:bidi="ar"/>
        </w:rPr>
        <w:t>；</w:t>
      </w:r>
      <w:r>
        <w:rPr>
          <w:lang w:bidi="ar"/>
        </w:rPr>
        <w:t>对于存在危险工作场所应有安全照明</w:t>
      </w:r>
      <w:r>
        <w:rPr>
          <w:rFonts w:hint="eastAsia"/>
          <w:lang w:bidi="ar"/>
        </w:rPr>
        <w:t>；</w:t>
      </w:r>
      <w:r>
        <w:rPr>
          <w:lang w:bidi="ar"/>
        </w:rPr>
        <w:t>对于需要确保人员安全疏散的通道和出口应有疏散照明。</w:t>
      </w:r>
      <w:r>
        <w:rPr>
          <w:rFonts w:hint="eastAsia"/>
          <w:lang w:bidi="ar"/>
        </w:rPr>
        <w:t>地下空间可</w:t>
      </w:r>
      <w:r>
        <w:rPr>
          <w:lang w:bidi="ar"/>
        </w:rPr>
        <w:t>设置光导管、天窗等充分利用自然光的照明设施，能改善工作环境，并且节约电能。</w:t>
      </w:r>
    </w:p>
    <w:p>
      <w:pPr>
        <w:widowControl/>
        <w:tabs>
          <w:tab w:val="left" w:pos="-2549"/>
          <w:tab w:val="left" w:pos="-991"/>
          <w:tab w:val="left" w:pos="567"/>
        </w:tabs>
        <w:ind w:firstLine="0" w:firstLineChars="0"/>
        <w:rPr>
          <w:bCs/>
          <w:lang w:bidi="ar"/>
        </w:rPr>
      </w:pPr>
      <w:r>
        <w:rPr>
          <w:b/>
          <w:bCs/>
          <w:lang w:val="zh-CN"/>
        </w:rPr>
        <w:t>4.9.</w:t>
      </w:r>
      <w:r>
        <w:rPr>
          <w:rFonts w:hint="eastAsia"/>
          <w:b/>
          <w:bCs/>
        </w:rPr>
        <w:t>1</w:t>
      </w:r>
      <w:r>
        <w:rPr>
          <w:b/>
          <w:bCs/>
        </w:rPr>
        <w:t xml:space="preserve">5  </w:t>
      </w:r>
      <w:r>
        <w:rPr>
          <w:rFonts w:hint="eastAsia"/>
          <w:bCs/>
        </w:rPr>
        <w:t>为响应国家“双碳”战略，地下式城镇污水处理厂可优先采用光伏、风力等新能源，考虑水源热泵、低温干化等技术，促进污水、污泥处理的节能降耗</w:t>
      </w:r>
      <w:r>
        <w:rPr>
          <w:bCs/>
          <w:lang w:bidi="ar"/>
        </w:rPr>
        <w:t>。</w:t>
      </w:r>
    </w:p>
    <w:p>
      <w:pPr>
        <w:ind w:firstLine="0" w:firstLineChars="0"/>
      </w:pPr>
      <w:r>
        <w:br w:type="page"/>
      </w:r>
    </w:p>
    <w:p>
      <w:pPr>
        <w:pStyle w:val="3"/>
        <w:numPr>
          <w:ilvl w:val="0"/>
          <w:numId w:val="0"/>
        </w:numPr>
        <w:spacing w:before="624" w:after="624"/>
      </w:pPr>
      <w:bookmarkStart w:id="3849" w:name="_Toc132893900"/>
      <w:r>
        <w:rPr>
          <w:rFonts w:hint="eastAsia"/>
        </w:rPr>
        <w:t>4</w:t>
      </w:r>
      <w:r>
        <w:t xml:space="preserve">.10 </w:t>
      </w:r>
      <w:r>
        <w:rPr>
          <w:rFonts w:hint="eastAsia"/>
        </w:rPr>
        <w:t>自控及智能化设计</w:t>
      </w:r>
      <w:bookmarkEnd w:id="3849"/>
    </w:p>
    <w:p>
      <w:pPr>
        <w:pStyle w:val="4"/>
        <w:numPr>
          <w:ilvl w:val="0"/>
          <w:numId w:val="0"/>
        </w:numPr>
      </w:pPr>
      <w:r>
        <w:rPr>
          <w:b/>
          <w:bCs w:val="0"/>
          <w:lang w:val="zh-CN"/>
        </w:rPr>
        <w:t>4.10.1</w:t>
      </w:r>
      <w:r>
        <w:rPr>
          <w:b/>
          <w:bCs w:val="0"/>
        </w:rPr>
        <w:t xml:space="preserve">  </w:t>
      </w:r>
      <w:r>
        <w:rPr>
          <w:rFonts w:hint="eastAsia"/>
          <w:lang w:val="zh-CN"/>
        </w:rPr>
        <w:t>地下式城镇污水处理厂</w:t>
      </w:r>
      <w:r>
        <w:rPr>
          <w:rFonts w:hint="eastAsia"/>
        </w:rPr>
        <w:t>的自控及智能化系统建设可根据工程规模、污水处理级别、环保部门对进出水水质和尾气排放监管要求、生产运行管理要求、人员安全保障措施及经济条件等因素合理确定。</w:t>
      </w:r>
    </w:p>
    <w:p>
      <w:pPr>
        <w:ind w:firstLine="560"/>
      </w:pPr>
      <w:r>
        <w:rPr>
          <w:rFonts w:hint="eastAsia"/>
          <w:lang w:val="zh-CN"/>
        </w:rPr>
        <w:t>地下式城镇污水处理厂</w:t>
      </w:r>
      <w:r>
        <w:rPr>
          <w:rFonts w:hint="eastAsia"/>
        </w:rPr>
        <w:t>的控制模式推荐采用无人值守的全自动控制方式，现场设备可实现就地无人化、智慧化控制；工作人员可在中控室对现场设备进行集中监管，达到正常运行时现场无人操作，工作人员定时巡检。</w:t>
      </w:r>
    </w:p>
    <w:p>
      <w:pPr>
        <w:pStyle w:val="4"/>
        <w:numPr>
          <w:ilvl w:val="0"/>
          <w:numId w:val="0"/>
        </w:numPr>
        <w:rPr>
          <w:rFonts w:ascii="宋体" w:hAnsi="宋体"/>
        </w:rPr>
      </w:pPr>
      <w:r>
        <w:rPr>
          <w:b/>
          <w:lang w:val="zh-CN"/>
        </w:rPr>
        <w:t>4.10.2</w:t>
      </w:r>
      <w:r>
        <w:rPr>
          <w:b/>
          <w:bCs w:val="0"/>
        </w:rPr>
        <w:t xml:space="preserve">  </w:t>
      </w:r>
      <w:r>
        <w:rPr>
          <w:rFonts w:hint="eastAsia"/>
          <w:lang w:val="zh-CN"/>
        </w:rPr>
        <w:t>地下式城镇污水处理厂</w:t>
      </w:r>
      <w:r>
        <w:rPr>
          <w:rFonts w:hint="eastAsia"/>
        </w:rPr>
        <w:t>应按国家及地方现行排放标准和环境保护部门的要求设置相关检测仪表。进、出水应检测流量、pH值、COD</w:t>
      </w:r>
      <w:r>
        <w:rPr>
          <w:vertAlign w:val="subscript"/>
        </w:rPr>
        <w:t>cr</w:t>
      </w:r>
      <w:r>
        <w:rPr>
          <w:rFonts w:hint="eastAsia"/>
        </w:rPr>
        <w:t>、BOD</w:t>
      </w:r>
      <w:r>
        <w:rPr>
          <w:vertAlign w:val="subscript"/>
        </w:rPr>
        <w:t>5</w:t>
      </w:r>
      <w:r>
        <w:rPr>
          <w:rFonts w:hint="eastAsia"/>
        </w:rPr>
        <w:t>、NH</w:t>
      </w:r>
      <w:r>
        <w:rPr>
          <w:vertAlign w:val="subscript"/>
        </w:rPr>
        <w:t>3</w:t>
      </w:r>
      <w:r>
        <w:rPr>
          <w:rFonts w:hint="eastAsia"/>
        </w:rPr>
        <w:t>-N、TP、TN、SS和其他相关水质参数，</w:t>
      </w:r>
      <w:r>
        <w:rPr>
          <w:rFonts w:ascii="宋体" w:hAnsi="宋体"/>
        </w:rPr>
        <w:t>工艺</w:t>
      </w:r>
      <w:r>
        <w:rPr>
          <w:rFonts w:hint="eastAsia" w:ascii="宋体" w:hAnsi="宋体"/>
        </w:rPr>
        <w:t>处理单元</w:t>
      </w:r>
      <w:r>
        <w:rPr>
          <w:rFonts w:ascii="宋体" w:hAnsi="宋体"/>
        </w:rPr>
        <w:t>应设置</w:t>
      </w:r>
      <w:r>
        <w:rPr>
          <w:rFonts w:hint="eastAsia" w:ascii="宋体" w:hAnsi="宋体"/>
        </w:rPr>
        <w:t>液位、</w:t>
      </w:r>
      <w:r>
        <w:rPr>
          <w:rFonts w:ascii="宋体" w:hAnsi="宋体"/>
        </w:rPr>
        <w:t>氧化还原电位、</w:t>
      </w:r>
      <w:r>
        <w:rPr>
          <w:rFonts w:hint="eastAsia"/>
        </w:rPr>
        <w:t>NH</w:t>
      </w:r>
      <w:r>
        <w:rPr>
          <w:vertAlign w:val="subscript"/>
        </w:rPr>
        <w:t>3</w:t>
      </w:r>
      <w:r>
        <w:rPr>
          <w:rFonts w:hint="eastAsia"/>
        </w:rPr>
        <w:t>-N、NO</w:t>
      </w:r>
      <w:r>
        <w:rPr>
          <w:vertAlign w:val="subscript"/>
        </w:rPr>
        <w:t>3</w:t>
      </w:r>
      <w:r>
        <w:rPr>
          <w:rFonts w:hint="eastAsia"/>
        </w:rPr>
        <w:t>-N、</w:t>
      </w:r>
      <w:r>
        <w:rPr>
          <w:rFonts w:ascii="宋体" w:hAnsi="宋体"/>
        </w:rPr>
        <w:t>污泥浓度</w:t>
      </w:r>
      <w:r>
        <w:rPr>
          <w:rFonts w:hint="eastAsia" w:ascii="宋体" w:hAnsi="宋体"/>
        </w:rPr>
        <w:t>、</w:t>
      </w:r>
      <w:r>
        <w:rPr>
          <w:rFonts w:ascii="宋体" w:hAnsi="宋体"/>
        </w:rPr>
        <w:t>溶解氧</w:t>
      </w:r>
      <w:r>
        <w:rPr>
          <w:rFonts w:hint="eastAsia" w:ascii="宋体" w:hAnsi="宋体"/>
        </w:rPr>
        <w:t>、供氧量、回流量</w:t>
      </w:r>
      <w:r>
        <w:rPr>
          <w:rFonts w:ascii="宋体" w:hAnsi="宋体"/>
        </w:rPr>
        <w:t>等</w:t>
      </w:r>
      <w:r>
        <w:rPr>
          <w:rFonts w:hint="eastAsia" w:ascii="宋体" w:hAnsi="宋体"/>
        </w:rPr>
        <w:t>相关检测</w:t>
      </w:r>
      <w:r>
        <w:rPr>
          <w:rFonts w:ascii="宋体" w:hAnsi="宋体"/>
        </w:rPr>
        <w:t>仪表</w:t>
      </w:r>
      <w:r>
        <w:rPr>
          <w:rFonts w:hint="eastAsia" w:ascii="宋体" w:hAnsi="宋体"/>
        </w:rPr>
        <w:t>。</w:t>
      </w:r>
      <w:r>
        <w:rPr>
          <w:rFonts w:hint="eastAsia"/>
          <w:bCs w:val="0"/>
          <w:lang w:val="zh-CN"/>
        </w:rPr>
        <w:t>当深度处理区进水端存在是多组多个（格）处理单元出水汇集联通</w:t>
      </w:r>
      <w:r>
        <w:rPr>
          <w:rFonts w:hint="eastAsia"/>
          <w:bCs w:val="0"/>
        </w:rPr>
        <w:t>时</w:t>
      </w:r>
      <w:r>
        <w:rPr>
          <w:rFonts w:hint="eastAsia"/>
          <w:bCs w:val="0"/>
          <w:lang w:val="zh-CN"/>
        </w:rPr>
        <w:t>，</w:t>
      </w:r>
      <w:r>
        <w:rPr>
          <w:rFonts w:hint="eastAsia"/>
          <w:bCs w:val="0"/>
        </w:rPr>
        <w:t>宜在</w:t>
      </w:r>
      <w:r>
        <w:rPr>
          <w:rFonts w:hint="eastAsia"/>
          <w:bCs w:val="0"/>
          <w:lang w:val="zh-CN"/>
        </w:rPr>
        <w:t>深度处理区进水前端设置多组多个（格）SS</w:t>
      </w:r>
      <w:r>
        <w:rPr>
          <w:rFonts w:hint="eastAsia"/>
          <w:bCs w:val="0"/>
        </w:rPr>
        <w:t>检测</w:t>
      </w:r>
      <w:r>
        <w:rPr>
          <w:rFonts w:hint="eastAsia"/>
          <w:bCs w:val="0"/>
          <w:lang w:val="zh-CN"/>
        </w:rPr>
        <w:t>仪表。</w:t>
      </w:r>
    </w:p>
    <w:p>
      <w:pPr>
        <w:pStyle w:val="4"/>
        <w:numPr>
          <w:ilvl w:val="0"/>
          <w:numId w:val="0"/>
        </w:numPr>
        <w:rPr>
          <w:lang w:val="zh-CN"/>
        </w:rPr>
      </w:pPr>
      <w:r>
        <w:rPr>
          <w:b/>
          <w:lang w:val="zh-CN"/>
        </w:rPr>
        <w:t>4.10.</w:t>
      </w:r>
      <w:r>
        <w:rPr>
          <w:b/>
        </w:rPr>
        <w:t>3</w:t>
      </w:r>
      <w:r>
        <w:rPr>
          <w:b/>
          <w:bCs w:val="0"/>
        </w:rPr>
        <w:t xml:space="preserve">  </w:t>
      </w:r>
      <w:r>
        <w:rPr>
          <w:rFonts w:hint="eastAsia"/>
          <w:lang w:val="zh-CN"/>
        </w:rPr>
        <w:t>地下式城镇污水处理厂</w:t>
      </w:r>
      <w:r>
        <w:rPr>
          <w:rFonts w:hint="eastAsia"/>
        </w:rPr>
        <w:t>为密闭空间，通风不良易引起H</w:t>
      </w:r>
      <w:r>
        <w:rPr>
          <w:vertAlign w:val="subscript"/>
        </w:rPr>
        <w:t>2</w:t>
      </w:r>
      <w:r>
        <w:rPr>
          <w:rFonts w:hint="eastAsia"/>
        </w:rPr>
        <w:t>S、</w:t>
      </w:r>
      <w:r>
        <w:rPr>
          <w:lang w:val="zh-CN"/>
        </w:rPr>
        <w:t>NH</w:t>
      </w:r>
      <w:r>
        <w:rPr>
          <w:vertAlign w:val="subscript"/>
          <w:lang w:val="zh-CN"/>
        </w:rPr>
        <w:t>3</w:t>
      </w:r>
      <w:r>
        <w:rPr>
          <w:lang w:val="zh-CN"/>
        </w:rPr>
        <w:t>-N</w:t>
      </w:r>
      <w:r>
        <w:rPr>
          <w:rFonts w:hint="eastAsia"/>
          <w:lang w:val="zh-CN"/>
        </w:rPr>
        <w:t>、</w:t>
      </w:r>
      <w:r>
        <w:rPr>
          <w:rFonts w:hint="eastAsia"/>
        </w:rPr>
        <w:t>CH</w:t>
      </w:r>
      <w:r>
        <w:rPr>
          <w:vertAlign w:val="subscript"/>
        </w:rPr>
        <w:t>4</w:t>
      </w:r>
      <w:r>
        <w:rPr>
          <w:rFonts w:hint="eastAsia"/>
        </w:rPr>
        <w:t>、CO</w:t>
      </w:r>
      <w:r>
        <w:rPr>
          <w:vertAlign w:val="subscript"/>
        </w:rPr>
        <w:t>2</w:t>
      </w:r>
      <w:r>
        <w:rPr>
          <w:rFonts w:hint="eastAsia"/>
        </w:rPr>
        <w:t>气体聚集，可能会导致人员中毒甚至爆炸等事故，因此在地下式城镇污水处理厂必须对有毒有害气体进行检测</w:t>
      </w:r>
      <w:r>
        <w:rPr>
          <w:rFonts w:hint="eastAsia"/>
          <w:lang w:val="zh-CN"/>
        </w:rPr>
        <w:t>。</w:t>
      </w:r>
    </w:p>
    <w:p>
      <w:pPr>
        <w:pStyle w:val="4"/>
        <w:numPr>
          <w:ilvl w:val="0"/>
          <w:numId w:val="0"/>
        </w:numPr>
        <w:rPr>
          <w:lang w:val="zh-CN"/>
        </w:rPr>
      </w:pPr>
      <w:r>
        <w:rPr>
          <w:rFonts w:hint="eastAsia"/>
          <w:b/>
        </w:rPr>
        <w:t>4.</w:t>
      </w:r>
      <w:r>
        <w:rPr>
          <w:b/>
          <w:lang w:val="zh-CN"/>
        </w:rPr>
        <w:t>10.4</w:t>
      </w:r>
      <w:r>
        <w:rPr>
          <w:b/>
          <w:bCs w:val="0"/>
        </w:rPr>
        <w:t xml:space="preserve">  </w:t>
      </w:r>
      <w:r>
        <w:rPr>
          <w:rFonts w:hint="eastAsia"/>
          <w:lang w:val="zh-CN"/>
        </w:rPr>
        <w:t>进水泵房、中间提升泵房、出水泵房的进水、出水处应设置液位计，检测液位值。当液位到达高位时应报警，并连锁停止相关的水泵、闸门等设备，保证各级泵房水位处于正常运行范围。</w:t>
      </w:r>
    </w:p>
    <w:p>
      <w:pPr>
        <w:pStyle w:val="4"/>
        <w:numPr>
          <w:ilvl w:val="0"/>
          <w:numId w:val="0"/>
        </w:numPr>
        <w:rPr>
          <w:b/>
          <w:lang w:val="zh-CN"/>
        </w:rPr>
      </w:pPr>
      <w:r>
        <w:rPr>
          <w:b/>
          <w:lang w:val="zh-CN"/>
        </w:rPr>
        <w:t>4.10.</w:t>
      </w:r>
      <w:r>
        <w:rPr>
          <w:rFonts w:hint="eastAsia"/>
          <w:b/>
        </w:rPr>
        <w:t>5</w:t>
      </w:r>
      <w:r>
        <w:rPr>
          <w:b/>
          <w:bCs w:val="0"/>
        </w:rPr>
        <w:t xml:space="preserve">  </w:t>
      </w:r>
      <w:r>
        <w:rPr>
          <w:rFonts w:hint="eastAsia"/>
          <w:lang w:val="zh-CN"/>
        </w:rPr>
        <w:t>地下式城镇污水处理厂</w:t>
      </w:r>
      <w:r>
        <w:rPr>
          <w:rFonts w:hint="eastAsia"/>
        </w:rPr>
        <w:t>自动化系统应能够监视主要设备的运行工况和工艺参数，提供实时数据传输、图形显示、控制设定调节、趋势显示、超限报警和制作报表等功能，对工艺流程设备实现自动控制。</w:t>
      </w:r>
    </w:p>
    <w:p>
      <w:pPr>
        <w:pStyle w:val="4"/>
        <w:numPr>
          <w:ilvl w:val="0"/>
          <w:numId w:val="0"/>
        </w:numPr>
      </w:pPr>
      <w:r>
        <w:rPr>
          <w:b/>
          <w:lang w:val="zh-CN"/>
        </w:rPr>
        <w:t>4.10.</w:t>
      </w:r>
      <w:r>
        <w:rPr>
          <w:rFonts w:hint="eastAsia"/>
          <w:b/>
        </w:rPr>
        <w:t>6</w:t>
      </w:r>
      <w:r>
        <w:rPr>
          <w:b/>
          <w:bCs w:val="0"/>
        </w:rPr>
        <w:t xml:space="preserve">  </w:t>
      </w:r>
      <w:r>
        <w:rPr>
          <w:rFonts w:hint="eastAsia"/>
        </w:rPr>
        <w:t>本条是对信息化基础设施建设的总体要求。</w:t>
      </w:r>
    </w:p>
    <w:p>
      <w:pPr>
        <w:pStyle w:val="4"/>
        <w:numPr>
          <w:ilvl w:val="0"/>
          <w:numId w:val="0"/>
        </w:numPr>
      </w:pPr>
      <w:r>
        <w:rPr>
          <w:b/>
          <w:lang w:val="zh-CN"/>
        </w:rPr>
        <w:t>4.10.7</w:t>
      </w:r>
      <w:r>
        <w:rPr>
          <w:b/>
          <w:bCs w:val="0"/>
        </w:rPr>
        <w:t xml:space="preserve">  </w:t>
      </w:r>
      <w:r>
        <w:rPr>
          <w:rFonts w:hint="eastAsia"/>
          <w:lang w:val="zh-CN"/>
        </w:rPr>
        <w:t>地下式城镇污水处理厂</w:t>
      </w:r>
      <w:r>
        <w:rPr>
          <w:rFonts w:hint="eastAsia"/>
        </w:rPr>
        <w:t>宜设置移动终端应用系统，可设置访问权限，授权移动终端进行基础信息查询、实时数据监测查询、历史运行信息查询、实时告警信息查询、实时数据巡查查询、在线填报、填报审核、日报统计、日报查询、安全认证等移动办公的功能。</w:t>
      </w:r>
    </w:p>
    <w:p>
      <w:pPr>
        <w:pStyle w:val="4"/>
        <w:numPr>
          <w:ilvl w:val="0"/>
          <w:numId w:val="0"/>
        </w:numPr>
      </w:pPr>
      <w:r>
        <w:rPr>
          <w:b/>
          <w:lang w:val="zh-CN"/>
        </w:rPr>
        <w:t>4.10.8</w:t>
      </w:r>
      <w:r>
        <w:rPr>
          <w:b/>
          <w:bCs w:val="0"/>
        </w:rPr>
        <w:t xml:space="preserve">  </w:t>
      </w:r>
      <w:r>
        <w:rPr>
          <w:rFonts w:hint="eastAsia"/>
        </w:rPr>
        <w:t>本条对安全防范系统做出了规定。</w:t>
      </w:r>
    </w:p>
    <w:p>
      <w:pPr>
        <w:ind w:firstLine="560"/>
      </w:pPr>
      <w:r>
        <w:rPr>
          <w:rFonts w:hint="eastAsia"/>
        </w:rPr>
        <w:t>1安防视频系统主要防止外来人员非法入侵、偷盗等情况，地下空间内应做到无死角；生产管理视频摄像机能够看到设备运行情况、工作人员操作情况等；</w:t>
      </w:r>
    </w:p>
    <w:p>
      <w:pPr>
        <w:ind w:firstLine="560"/>
      </w:pPr>
      <w:r>
        <w:rPr>
          <w:rFonts w:hint="eastAsia"/>
        </w:rPr>
        <w:t>2 门禁系统联动视频监控系统，主要能够看到人员进出情况；</w:t>
      </w:r>
    </w:p>
    <w:p>
      <w:pPr>
        <w:ind w:firstLine="560"/>
      </w:pPr>
      <w:r>
        <w:rPr>
          <w:rFonts w:hint="eastAsia"/>
        </w:rPr>
        <w:t>3 安全报警系统主要为了工作人员人身安全；</w:t>
      </w:r>
    </w:p>
    <w:p>
      <w:pPr>
        <w:ind w:firstLine="560"/>
      </w:pPr>
      <w:r>
        <w:rPr>
          <w:rFonts w:hint="eastAsia"/>
        </w:rPr>
        <w:t>4 当地下式城镇污水处理厂运行管理有人员定位及远程监控巡检的需求时，可利用网络建立电子巡更系统、人员定位系统。</w:t>
      </w:r>
    </w:p>
    <w:p>
      <w:pPr>
        <w:pStyle w:val="4"/>
        <w:numPr>
          <w:ilvl w:val="0"/>
          <w:numId w:val="0"/>
        </w:numPr>
      </w:pPr>
      <w:r>
        <w:rPr>
          <w:b/>
          <w:lang w:val="zh-CN"/>
        </w:rPr>
        <w:t>4.10.</w:t>
      </w:r>
      <w:r>
        <w:rPr>
          <w:rFonts w:hint="eastAsia"/>
          <w:b/>
        </w:rPr>
        <w:t>9</w:t>
      </w:r>
      <w:r>
        <w:rPr>
          <w:b/>
          <w:bCs w:val="0"/>
        </w:rPr>
        <w:t xml:space="preserve">  </w:t>
      </w:r>
      <w:r>
        <w:rPr>
          <w:rFonts w:hint="eastAsia"/>
        </w:rPr>
        <w:t>本条对关于</w:t>
      </w:r>
      <w:r>
        <w:rPr>
          <w:lang w:val="zh-CN"/>
        </w:rPr>
        <w:t>地下式城镇污水处理厂</w:t>
      </w:r>
      <w:r>
        <w:rPr>
          <w:rFonts w:hint="eastAsia"/>
        </w:rPr>
        <w:t>设置智能化应用系统的规定。</w:t>
      </w:r>
    </w:p>
    <w:p>
      <w:pPr>
        <w:pStyle w:val="4"/>
        <w:numPr>
          <w:ilvl w:val="0"/>
          <w:numId w:val="0"/>
        </w:numPr>
      </w:pPr>
      <w:r>
        <w:rPr>
          <w:b/>
          <w:lang w:val="zh-CN"/>
        </w:rPr>
        <w:t>4.10.</w:t>
      </w:r>
      <w:r>
        <w:rPr>
          <w:rFonts w:hint="eastAsia"/>
          <w:b/>
        </w:rPr>
        <w:t>10</w:t>
      </w:r>
      <w:r>
        <w:rPr>
          <w:b/>
          <w:bCs w:val="0"/>
        </w:rPr>
        <w:t xml:space="preserve">  </w:t>
      </w:r>
      <w:r>
        <w:rPr>
          <w:rFonts w:hint="eastAsia"/>
        </w:rPr>
        <w:t>智慧污水系统可以通过智能化管理手段实现对生产的远程监控、技术指导、生产调度、数据挖掘和信息发布等，使城镇或区域污水处理系统、公司或水务集团企业管理由分散转向集中、由粗放转向精细化和智慧化，从而提高管理水平、降低运营管理成本、提高核心竞争力。</w:t>
      </w:r>
    </w:p>
    <w:p>
      <w:pPr>
        <w:pStyle w:val="4"/>
        <w:numPr>
          <w:ilvl w:val="0"/>
          <w:numId w:val="0"/>
        </w:numPr>
        <w:rPr>
          <w:lang w:val="zh-CN"/>
        </w:rPr>
      </w:pPr>
      <w:r>
        <w:rPr>
          <w:b/>
          <w:lang w:val="zh-CN"/>
        </w:rPr>
        <w:t>4.10.</w:t>
      </w:r>
      <w:r>
        <w:rPr>
          <w:rFonts w:hint="eastAsia"/>
          <w:b/>
        </w:rPr>
        <w:t>11</w:t>
      </w:r>
      <w:r>
        <w:rPr>
          <w:b/>
          <w:bCs w:val="0"/>
        </w:rPr>
        <w:t xml:space="preserve">  </w:t>
      </w:r>
      <w:r>
        <w:rPr>
          <w:rFonts w:hint="eastAsia"/>
          <w:lang w:val="zh-CN"/>
        </w:rPr>
        <w:t>智慧污水系统是智慧水务的一个子系统，因此智慧污水系统应能兼容智慧水务系统构架体系，无缝接入智慧水务信息平台，与环保、气象、安全、水利等其他部门信息互通。</w:t>
      </w:r>
    </w:p>
    <w:p>
      <w:pPr>
        <w:ind w:firstLine="560"/>
        <w:rPr>
          <w:lang w:val="zh-CN"/>
        </w:rPr>
      </w:pPr>
    </w:p>
    <w:p>
      <w:pPr>
        <w:ind w:firstLine="560"/>
        <w:rPr>
          <w:lang w:val="zh-CN"/>
        </w:rPr>
      </w:pPr>
    </w:p>
    <w:p>
      <w:pPr>
        <w:ind w:firstLine="560"/>
        <w:rPr>
          <w:lang w:val="zh-CN"/>
        </w:rPr>
      </w:pPr>
    </w:p>
    <w:p>
      <w:pPr>
        <w:pStyle w:val="3"/>
        <w:numPr>
          <w:ilvl w:val="0"/>
          <w:numId w:val="0"/>
        </w:numPr>
        <w:spacing w:before="312" w:beforeLines="100" w:after="312" w:afterLines="100"/>
      </w:pPr>
      <w:bookmarkStart w:id="3850" w:name="_Toc132893901"/>
      <w:r>
        <w:rPr>
          <w:rFonts w:hint="eastAsia"/>
        </w:rPr>
        <w:t>4</w:t>
      </w:r>
      <w:r>
        <w:t xml:space="preserve">.11 </w:t>
      </w:r>
      <w:r>
        <w:rPr>
          <w:rFonts w:hint="eastAsia"/>
        </w:rPr>
        <w:t>消防设计</w:t>
      </w:r>
      <w:bookmarkEnd w:id="3850"/>
    </w:p>
    <w:p>
      <w:pPr>
        <w:pStyle w:val="4"/>
        <w:numPr>
          <w:ilvl w:val="0"/>
          <w:numId w:val="0"/>
        </w:numPr>
        <w:rPr>
          <w:lang w:val="zh-CN"/>
        </w:rPr>
      </w:pPr>
      <w:r>
        <w:rPr>
          <w:b/>
          <w:bCs w:val="0"/>
          <w:lang w:val="zh-CN"/>
        </w:rPr>
        <w:t>4.11.</w:t>
      </w:r>
      <w:r>
        <w:rPr>
          <w:b/>
          <w:lang w:val="zh-CN"/>
        </w:rPr>
        <w:t>1</w:t>
      </w:r>
      <w:r>
        <w:rPr>
          <w:b/>
          <w:bCs w:val="0"/>
        </w:rPr>
        <w:t xml:space="preserve">  </w:t>
      </w:r>
      <w:r>
        <w:rPr>
          <w:rFonts w:hint="eastAsia"/>
        </w:rPr>
        <w:t>地下空间为密闭空间，发生火灾后，热量不宜散失，温度高、烟雾大，燃烧时间长，疏散和扑救难度大，故对地下空间的耐火等级定为一级</w:t>
      </w:r>
      <w:r>
        <w:rPr>
          <w:rFonts w:hint="eastAsia"/>
          <w:lang w:val="zh-CN"/>
        </w:rPr>
        <w:t>。</w:t>
      </w:r>
    </w:p>
    <w:p>
      <w:pPr>
        <w:pStyle w:val="4"/>
        <w:numPr>
          <w:ilvl w:val="0"/>
          <w:numId w:val="0"/>
        </w:numPr>
      </w:pPr>
      <w:r>
        <w:rPr>
          <w:b/>
          <w:bCs w:val="0"/>
          <w:lang w:val="zh-CN"/>
        </w:rPr>
        <w:t>4.11.2</w:t>
      </w:r>
      <w:r>
        <w:rPr>
          <w:b/>
          <w:bCs w:val="0"/>
        </w:rPr>
        <w:t xml:space="preserve">  </w:t>
      </w:r>
      <w:r>
        <w:rPr>
          <w:rFonts w:hint="eastAsia"/>
        </w:rPr>
        <w:t>本条规定了建（构）筑物</w:t>
      </w:r>
      <w:r>
        <w:rPr>
          <w:lang w:val="zh-CN"/>
        </w:rPr>
        <w:t>生产火灾危险性</w:t>
      </w:r>
      <w:r>
        <w:rPr>
          <w:rFonts w:hint="eastAsia"/>
        </w:rPr>
        <w:t>的分类原则。</w:t>
      </w:r>
    </w:p>
    <w:p>
      <w:pPr>
        <w:pStyle w:val="4"/>
        <w:numPr>
          <w:ilvl w:val="0"/>
          <w:numId w:val="0"/>
        </w:numPr>
        <w:rPr>
          <w:lang w:val="zh-CN"/>
        </w:rPr>
      </w:pPr>
      <w:r>
        <w:rPr>
          <w:b/>
          <w:bCs w:val="0"/>
          <w:lang w:val="zh-CN"/>
        </w:rPr>
        <w:t>4.11.</w:t>
      </w:r>
      <w:r>
        <w:rPr>
          <w:b/>
          <w:bCs w:val="0"/>
        </w:rPr>
        <w:t xml:space="preserve">3  </w:t>
      </w:r>
      <w:r>
        <w:rPr>
          <w:rFonts w:hint="eastAsia"/>
        </w:rPr>
        <w:t>防火分区的作用在于发生火灾时，将火势控制在一定的范围内，利于灭火救援、减少火灾损失。地下空间</w:t>
      </w:r>
      <w:r>
        <w:rPr>
          <w:rFonts w:hint="eastAsia"/>
          <w:lang w:val="zh-CN"/>
        </w:rPr>
        <w:t>不同工艺功能区之间宜进行防火分隔，通过设置自动灭火系统，按规范要求合理扩大防火分区面积，减少防火分区分割及辅助设施设置，便于生产管理。</w:t>
      </w:r>
    </w:p>
    <w:p>
      <w:pPr>
        <w:ind w:firstLine="560"/>
      </w:pPr>
      <w:r>
        <w:rPr>
          <w:rFonts w:hint="eastAsia"/>
        </w:rPr>
        <w:t>疏散楼梯是人员竖向疏散的安全通道，也是消防员进入建筑内部进行灭火救援的主要路径。避难走道主要用于解决建筑中疏散距离过长或难以按照规范要求设置直通室外的安全出口等问题。</w:t>
      </w:r>
    </w:p>
    <w:p>
      <w:pPr>
        <w:ind w:firstLine="560"/>
      </w:pPr>
      <w:r>
        <w:rPr>
          <w:rFonts w:hint="eastAsia"/>
        </w:rPr>
        <w:t>地下空间内部装修时采用不燃材料，以便人员有更多的时间疏散。</w:t>
      </w:r>
    </w:p>
    <w:p>
      <w:pPr>
        <w:pStyle w:val="4"/>
        <w:numPr>
          <w:ilvl w:val="0"/>
          <w:numId w:val="0"/>
        </w:numPr>
        <w:rPr>
          <w:bCs w:val="0"/>
          <w:lang w:val="zh-CN"/>
        </w:rPr>
      </w:pPr>
      <w:r>
        <w:rPr>
          <w:b/>
          <w:lang w:val="zh-CN"/>
        </w:rPr>
        <w:t>4.11.</w:t>
      </w:r>
      <w:r>
        <w:rPr>
          <w:rFonts w:hint="eastAsia"/>
          <w:b/>
        </w:rPr>
        <w:t>7</w:t>
      </w:r>
      <w:r>
        <w:rPr>
          <w:b/>
          <w:bCs w:val="0"/>
        </w:rPr>
        <w:t xml:space="preserve">  </w:t>
      </w:r>
      <w:r>
        <w:rPr>
          <w:shd w:val="clear" w:color="auto" w:fill="FFFFFF"/>
          <w:lang w:bidi="ar"/>
        </w:rPr>
        <w:t>消防控制室是设有火灾自动报警控制设备和</w:t>
      </w:r>
      <w:r>
        <w:fldChar w:fldCharType="begin"/>
      </w:r>
      <w:r>
        <w:instrText xml:space="preserve"> HYPERLINK "https://baike.baidu.com/item/%E6%B6%88%E9%98%B2%E6%8E%A7%E5%88%B6%E8%AE%BE%E5%A4%87/6320972?fromModule=lemma_inlink" \t "https://baike.baidu.com/item/%E6%B6%88%E9%98%B2%E6%8E%A7%E5%88%B6%E5%AE%A4/_blank" </w:instrText>
      </w:r>
      <w:r>
        <w:fldChar w:fldCharType="separate"/>
      </w:r>
      <w:r>
        <w:t>消防控制设备</w:t>
      </w:r>
      <w:r>
        <w:fldChar w:fldCharType="end"/>
      </w:r>
      <w:r>
        <w:rPr>
          <w:shd w:val="clear" w:color="auto" w:fill="FFFFFF"/>
          <w:lang w:bidi="ar"/>
        </w:rPr>
        <w:t>，用于接收、显示、处理火灾报警信号，控制相关消防设施的专门处所。消防控制室内的设备构成及其对建筑消防设施的控制与显示功能以及向远程监控系统传输相关信息的功能，应符合现行国家标准《</w:t>
      </w:r>
      <w:r>
        <w:fldChar w:fldCharType="begin"/>
      </w:r>
      <w:r>
        <w:instrText xml:space="preserve"> HYPERLINK "https://baike.baidu.com/item/%E7%81%AB%E7%81%BE%E8%87%AA%E5%8A%A8%E6%8A%A5%E8%AD%A6%E7%B3%BB%E7%BB%9F%E8%AE%BE%E8%AE%A1%E8%A7%84%E8%8C%83/1298307?fromModule=lemma_inlink" \t "https://baike.baidu.com/item/%E6%B6%88%E9%98%B2%E6%8E%A7%E5%88%B6%E5%AE%A4/_blank" </w:instrText>
      </w:r>
      <w:r>
        <w:fldChar w:fldCharType="separate"/>
      </w:r>
      <w:r>
        <w:t>火灾自动报警系统设计规范</w:t>
      </w:r>
      <w:r>
        <w:fldChar w:fldCharType="end"/>
      </w:r>
      <w:r>
        <w:rPr>
          <w:shd w:val="clear" w:color="auto" w:fill="FFFFFF"/>
          <w:lang w:bidi="ar"/>
        </w:rPr>
        <w:t>》GB50116和《消防控制室通用技术要求》GB25506的规定。</w:t>
      </w:r>
    </w:p>
    <w:p>
      <w:pPr>
        <w:pStyle w:val="4"/>
        <w:numPr>
          <w:ilvl w:val="0"/>
          <w:numId w:val="0"/>
        </w:numPr>
        <w:rPr>
          <w:lang w:val="zh-CN"/>
        </w:rPr>
      </w:pPr>
      <w:r>
        <w:rPr>
          <w:b/>
          <w:bCs w:val="0"/>
          <w:lang w:val="zh-CN"/>
        </w:rPr>
        <w:t>4.11.</w:t>
      </w:r>
      <w:r>
        <w:rPr>
          <w:rFonts w:hint="eastAsia"/>
          <w:b/>
          <w:bCs w:val="0"/>
        </w:rPr>
        <w:t>10</w:t>
      </w:r>
      <w:r>
        <w:rPr>
          <w:b/>
          <w:bCs w:val="0"/>
        </w:rPr>
        <w:t xml:space="preserve">  </w:t>
      </w:r>
      <w:r>
        <w:rPr>
          <w:rFonts w:hint="eastAsia"/>
          <w:lang w:val="zh-CN"/>
        </w:rPr>
        <w:t>按防火分区配电，提高消防配电系统的可靠性。</w:t>
      </w:r>
    </w:p>
    <w:p>
      <w:pPr>
        <w:pStyle w:val="4"/>
        <w:numPr>
          <w:ilvl w:val="0"/>
          <w:numId w:val="0"/>
        </w:numPr>
        <w:rPr>
          <w:lang w:val="zh-CN"/>
        </w:rPr>
      </w:pPr>
      <w:r>
        <w:rPr>
          <w:b/>
          <w:bCs w:val="0"/>
          <w:lang w:val="zh-CN"/>
        </w:rPr>
        <w:t>4.11.1</w:t>
      </w:r>
      <w:r>
        <w:rPr>
          <w:rFonts w:hint="eastAsia"/>
          <w:b/>
          <w:bCs w:val="0"/>
        </w:rPr>
        <w:t>1</w:t>
      </w:r>
      <w:r>
        <w:rPr>
          <w:b/>
          <w:bCs w:val="0"/>
        </w:rPr>
        <w:t xml:space="preserve">  </w:t>
      </w:r>
      <w:r>
        <w:rPr>
          <w:rFonts w:hint="eastAsia"/>
          <w:lang w:val="zh-CN"/>
        </w:rPr>
        <w:t>防火卷帘、消防排水泵等设备直接由所在的防火分区双电源末端自切装置配电。当防火卷帘、消防排水泵在消防泵房、防烟和排烟风机房时，可共用一套双电源末端自切装置。如防烟和排烟风机未设置在机房时，可以在本防火分区内与其他消防设备共用一套双电源切换装置，但切换装置至设备的线路不宜过长。</w:t>
      </w:r>
    </w:p>
    <w:p>
      <w:pPr>
        <w:pStyle w:val="4"/>
        <w:numPr>
          <w:ilvl w:val="0"/>
          <w:numId w:val="0"/>
        </w:numPr>
        <w:rPr>
          <w:lang w:val="zh-CN"/>
        </w:rPr>
      </w:pPr>
      <w:r>
        <w:rPr>
          <w:b/>
          <w:bCs w:val="0"/>
          <w:lang w:val="zh-CN"/>
        </w:rPr>
        <w:t>4.11.</w:t>
      </w:r>
      <w:r>
        <w:rPr>
          <w:b/>
          <w:bCs w:val="0"/>
        </w:rPr>
        <w:t>1</w:t>
      </w:r>
      <w:r>
        <w:rPr>
          <w:rFonts w:hint="eastAsia"/>
          <w:b/>
          <w:bCs w:val="0"/>
        </w:rPr>
        <w:t>2</w:t>
      </w:r>
      <w:r>
        <w:rPr>
          <w:b/>
          <w:bCs w:val="0"/>
        </w:rPr>
        <w:t xml:space="preserve">  </w:t>
      </w:r>
      <w:r>
        <w:rPr>
          <w:rFonts w:hint="eastAsia"/>
          <w:lang w:val="zh-CN"/>
        </w:rPr>
        <w:t>地下式城镇污水处理厂环境潮湿，配电线路较长，电缆正常的漏电流较大，设置火灾剩余电流报警装置误报率较高，且火灾危险性低于丙级，人员少，大面积水池，电缆为阻燃型，可不必设置。</w:t>
      </w:r>
    </w:p>
    <w:p>
      <w:pPr>
        <w:pStyle w:val="4"/>
        <w:numPr>
          <w:ilvl w:val="0"/>
          <w:numId w:val="0"/>
        </w:numPr>
        <w:rPr>
          <w:lang w:val="zh-CN"/>
        </w:rPr>
      </w:pPr>
      <w:r>
        <w:rPr>
          <w:b/>
          <w:bCs w:val="0"/>
          <w:lang w:val="zh-CN"/>
        </w:rPr>
        <w:t>4.11.1</w:t>
      </w:r>
      <w:r>
        <w:rPr>
          <w:rFonts w:hint="eastAsia"/>
          <w:b/>
          <w:bCs w:val="0"/>
        </w:rPr>
        <w:t>3</w:t>
      </w:r>
      <w:r>
        <w:rPr>
          <w:b/>
          <w:bCs w:val="0"/>
        </w:rPr>
        <w:t xml:space="preserve">  </w:t>
      </w:r>
      <w:r>
        <w:rPr>
          <w:rFonts w:hint="eastAsia"/>
          <w:lang w:val="zh-CN"/>
        </w:rPr>
        <w:t>主干线、消防水泵、消防控制室、防烟和排烟风机房的消防用电设备及消防电梯为重要设施，采用矿物绝缘类不燃性电缆，能提高火灾时的供电可靠性。</w:t>
      </w:r>
    </w:p>
    <w:p>
      <w:pPr>
        <w:widowControl/>
        <w:spacing w:before="120" w:after="120"/>
        <w:ind w:firstLine="560"/>
        <w:textAlignment w:val="auto"/>
        <w:rPr>
          <w:szCs w:val="32"/>
          <w:lang w:val="zh-CN"/>
        </w:rPr>
      </w:pPr>
    </w:p>
    <w:p>
      <w:pPr>
        <w:pStyle w:val="3"/>
        <w:numPr>
          <w:ilvl w:val="0"/>
          <w:numId w:val="0"/>
        </w:numPr>
        <w:spacing w:before="624" w:after="624"/>
      </w:pPr>
      <w:bookmarkStart w:id="3851" w:name="_Toc132893902"/>
      <w:r>
        <w:rPr>
          <w:rFonts w:hint="eastAsia"/>
        </w:rPr>
        <w:t>4</w:t>
      </w:r>
      <w:r>
        <w:t xml:space="preserve">.12 </w:t>
      </w:r>
      <w:r>
        <w:rPr>
          <w:rFonts w:hint="eastAsia"/>
        </w:rPr>
        <w:t>安全生产</w:t>
      </w:r>
      <w:bookmarkEnd w:id="3851"/>
    </w:p>
    <w:p>
      <w:pPr>
        <w:pStyle w:val="4"/>
        <w:numPr>
          <w:ilvl w:val="0"/>
          <w:numId w:val="0"/>
        </w:numPr>
        <w:rPr>
          <w:rFonts w:ascii="宋体" w:hAnsi="宋体"/>
          <w:szCs w:val="28"/>
        </w:rPr>
      </w:pPr>
      <w:r>
        <w:rPr>
          <w:b/>
          <w:bCs w:val="0"/>
          <w:lang w:val="zh-CN"/>
        </w:rPr>
        <w:t>4.12.1</w:t>
      </w:r>
      <w:r>
        <w:rPr>
          <w:b/>
          <w:bCs w:val="0"/>
        </w:rPr>
        <w:t xml:space="preserve">  </w:t>
      </w:r>
      <w:r>
        <w:rPr>
          <w:rFonts w:hint="eastAsia" w:ascii="宋体" w:hAnsi="宋体"/>
          <w:szCs w:val="28"/>
        </w:rPr>
        <w:t>地下式城镇污水处理厂的安全风险除考虑传统地上式污水处理厂的安全风险外，还应主要考虑地下空间的水浸风险、火灾风险、通风不良有毒有害气体积聚风险、防跌落风险等。</w:t>
      </w:r>
    </w:p>
    <w:p>
      <w:pPr>
        <w:pStyle w:val="4"/>
        <w:numPr>
          <w:ilvl w:val="0"/>
          <w:numId w:val="0"/>
        </w:numPr>
        <w:rPr>
          <w:rFonts w:ascii="宋体" w:hAnsi="宋体"/>
          <w:szCs w:val="28"/>
        </w:rPr>
      </w:pPr>
      <w:r>
        <w:rPr>
          <w:b/>
          <w:bCs w:val="0"/>
          <w:lang w:val="zh-CN"/>
        </w:rPr>
        <w:t>4.12.2</w:t>
      </w:r>
      <w:r>
        <w:rPr>
          <w:b/>
          <w:bCs w:val="0"/>
        </w:rPr>
        <w:t xml:space="preserve">  </w:t>
      </w:r>
      <w:r>
        <w:rPr>
          <w:rFonts w:hint="eastAsia" w:ascii="宋体" w:hAnsi="宋体"/>
          <w:szCs w:val="28"/>
        </w:rPr>
        <w:t>水浸是地下式城镇污水处理厂安全运行的主要风险之一，其主要来源于地面层往地下空间的雨水及河涌倒灌水、进水量异常过大超过处理厂处理能力、污水管线设施异常导致池体水位失控超高溢流、污水管线设施破损涌水等。水浸风险区域主要包括地下空间、排水井、设备间、电梯井、电房、电缆沟等下沉区域。当区域内暴雨量较大时，污水处理厂来水量迅速增多，极易造成地埋式污水处理厂的淹没，必须采取有效措施降低水淹风险。地下厂应在进水端设置速闭闸措施以保证在水位较高或污水厂内运行不正常时迅速切断总进水，进水速闭闸与进水端液位联动，当进水端液位较高时自动落闸，切断进水，且速闭闸设置断电时自动关闸的措施，速闭时闸门关闭时间应小于30s。为防范速闭闸卡阻砂砾，关闸不畅的风险，在进水端速闭闸之外再设置一道电动或液控速闭闸，保证运行安全。同时，为防范电动系统或液位控制功能失效的风险，设置的闸门必须具备应急手动操作的功能</w:t>
      </w:r>
      <w:r>
        <w:rPr>
          <w:rFonts w:ascii="宋体" w:hAnsi="宋体"/>
          <w:szCs w:val="28"/>
        </w:rPr>
        <w:t>。</w:t>
      </w:r>
      <w:r>
        <w:rPr>
          <w:rFonts w:hint="eastAsia" w:ascii="宋体" w:hAnsi="宋体"/>
          <w:szCs w:val="28"/>
        </w:rPr>
        <w:t>广东省雨季长、雨水充沛，雨水或地面积水易通过出入口、管线设施管沟孔洞进入地下空间，特是暴雨时，雨水通过污水厂的车道进出口、</w:t>
      </w:r>
      <w:r>
        <w:rPr>
          <w:rFonts w:ascii="宋体" w:hAnsi="宋体"/>
          <w:szCs w:val="28"/>
          <w:lang w:val="zh-CN"/>
        </w:rPr>
        <w:t>电梯口、楼梯口、</w:t>
      </w:r>
      <w:r>
        <w:rPr>
          <w:rFonts w:hint="eastAsia" w:ascii="宋体" w:hAnsi="宋体"/>
          <w:szCs w:val="28"/>
        </w:rPr>
        <w:t>通风口、采光口等倒灌至地下空间内部，造成水淹、漏电、触电等安全事故，设置有效</w:t>
      </w:r>
      <w:r>
        <w:rPr>
          <w:rFonts w:ascii="宋体" w:hAnsi="宋体"/>
          <w:szCs w:val="28"/>
        </w:rPr>
        <w:t>防汛</w:t>
      </w:r>
      <w:r>
        <w:rPr>
          <w:rFonts w:hint="eastAsia" w:ascii="宋体" w:hAnsi="宋体"/>
          <w:szCs w:val="28"/>
        </w:rPr>
        <w:t>措施可防止</w:t>
      </w:r>
      <w:r>
        <w:rPr>
          <w:rFonts w:ascii="宋体" w:hAnsi="宋体"/>
          <w:szCs w:val="28"/>
        </w:rPr>
        <w:t>汛期或台风、暴水天气</w:t>
      </w:r>
      <w:r>
        <w:rPr>
          <w:rFonts w:hint="eastAsia" w:ascii="宋体" w:hAnsi="宋体"/>
          <w:szCs w:val="28"/>
        </w:rPr>
        <w:t>地面</w:t>
      </w:r>
      <w:r>
        <w:rPr>
          <w:rFonts w:ascii="宋体" w:hAnsi="宋体"/>
          <w:szCs w:val="28"/>
        </w:rPr>
        <w:t>雨水</w:t>
      </w:r>
      <w:r>
        <w:rPr>
          <w:rFonts w:hint="eastAsia" w:ascii="宋体" w:hAnsi="宋体"/>
          <w:szCs w:val="28"/>
        </w:rPr>
        <w:t>等</w:t>
      </w:r>
      <w:r>
        <w:rPr>
          <w:rFonts w:ascii="宋体" w:hAnsi="宋体"/>
          <w:szCs w:val="28"/>
        </w:rPr>
        <w:t>倒灌</w:t>
      </w:r>
      <w:r>
        <w:rPr>
          <w:rFonts w:hint="eastAsia" w:ascii="宋体" w:hAnsi="宋体"/>
          <w:szCs w:val="28"/>
        </w:rPr>
        <w:t>进入地下空间。地下空间的出入口敞开连接段应设置遮雨棚，吊装口需加装密封罩。</w:t>
      </w:r>
    </w:p>
    <w:p>
      <w:pPr>
        <w:pStyle w:val="4"/>
        <w:numPr>
          <w:ilvl w:val="0"/>
          <w:numId w:val="0"/>
        </w:numPr>
        <w:rPr>
          <w:rFonts w:ascii="宋体" w:hAnsi="宋体"/>
          <w:szCs w:val="28"/>
        </w:rPr>
      </w:pPr>
      <w:r>
        <w:rPr>
          <w:b/>
          <w:bCs w:val="0"/>
          <w:lang w:val="zh-CN"/>
        </w:rPr>
        <w:t>4.12.3</w:t>
      </w:r>
      <w:r>
        <w:rPr>
          <w:b/>
          <w:bCs w:val="0"/>
        </w:rPr>
        <w:t xml:space="preserve">  </w:t>
      </w:r>
      <w:r>
        <w:rPr>
          <w:rFonts w:hint="eastAsia" w:ascii="宋体" w:hAnsi="宋体"/>
          <w:szCs w:val="28"/>
        </w:rPr>
        <w:t>地下厂上层（操作层）的整体标高设置一般取决于污水处理厂进水管标高、厂区竖向高程与周边环境的总体要求，进水区域操作层标高应高于总进水管最高运行水位。</w:t>
      </w:r>
    </w:p>
    <w:p>
      <w:pPr>
        <w:pStyle w:val="4"/>
        <w:numPr>
          <w:ilvl w:val="0"/>
          <w:numId w:val="0"/>
        </w:numPr>
        <w:rPr>
          <w:rFonts w:ascii="宋体" w:hAnsi="宋体"/>
          <w:szCs w:val="28"/>
        </w:rPr>
      </w:pPr>
      <w:r>
        <w:rPr>
          <w:b/>
          <w:bCs w:val="0"/>
          <w:lang w:val="zh-CN"/>
        </w:rPr>
        <w:t>4.12.4</w:t>
      </w:r>
      <w:r>
        <w:rPr>
          <w:b/>
          <w:bCs w:val="0"/>
        </w:rPr>
        <w:t xml:space="preserve">  </w:t>
      </w:r>
      <w:r>
        <w:rPr>
          <w:rFonts w:hint="eastAsia" w:ascii="宋体" w:hAnsi="宋体"/>
          <w:szCs w:val="28"/>
        </w:rPr>
        <w:t>地下空间进水闸门、进水泵房、中间提升泵房、出水泵房、液位波动较大的处理构筑物若发生故障或流量不匹配，易导致构筑物溢流，因此各级泵房、液位波动较大的重要处理构筑物应与进水闸门连锁控制，现场设声、光报警、手机短信及电话报警通知等措施，当其中任一泵房内设备故障或液位异常时，应立即控制进水闸门进水量或采取应急调控水量和液位的措施。</w:t>
      </w:r>
    </w:p>
    <w:p>
      <w:pPr>
        <w:pStyle w:val="4"/>
        <w:numPr>
          <w:ilvl w:val="0"/>
          <w:numId w:val="0"/>
        </w:numPr>
        <w:rPr>
          <w:rFonts w:ascii="宋体" w:hAnsi="宋体"/>
          <w:szCs w:val="28"/>
        </w:rPr>
      </w:pPr>
      <w:r>
        <w:rPr>
          <w:b/>
          <w:bCs w:val="0"/>
          <w:lang w:val="zh-CN"/>
        </w:rPr>
        <w:t>4.12.5</w:t>
      </w:r>
      <w:r>
        <w:rPr>
          <w:b/>
          <w:bCs w:val="0"/>
        </w:rPr>
        <w:t xml:space="preserve">  </w:t>
      </w:r>
      <w:r>
        <w:rPr>
          <w:rFonts w:hint="eastAsia" w:ascii="宋体" w:hAnsi="宋体"/>
          <w:szCs w:val="28"/>
        </w:rPr>
        <w:t>为保障运行安全及事故状态下的生产调度，各污水污泥处理构筑物单元应设置紧急超越设施。发生突发情况时，可通过污水、污泥超越设施越过某处理构筑物流至其后续构筑物，并保证超越工况时对出水水质影响小，并能迅速恢复正常运行。</w:t>
      </w:r>
    </w:p>
    <w:p>
      <w:pPr>
        <w:pStyle w:val="4"/>
        <w:numPr>
          <w:ilvl w:val="0"/>
          <w:numId w:val="0"/>
        </w:numPr>
        <w:rPr>
          <w:rFonts w:ascii="宋体" w:hAnsi="宋体"/>
          <w:szCs w:val="28"/>
        </w:rPr>
      </w:pPr>
      <w:r>
        <w:rPr>
          <w:b/>
          <w:bCs w:val="0"/>
          <w:lang w:val="zh-CN"/>
        </w:rPr>
        <w:t>4.12.6</w:t>
      </w:r>
      <w:r>
        <w:rPr>
          <w:b/>
          <w:bCs w:val="0"/>
        </w:rPr>
        <w:t xml:space="preserve">  </w:t>
      </w:r>
      <w:r>
        <w:rPr>
          <w:rFonts w:hint="eastAsia" w:ascii="宋体" w:hAnsi="宋体"/>
          <w:szCs w:val="28"/>
          <w:lang w:val="zh-CN"/>
        </w:rPr>
        <w:t>地下式城镇污水处理厂</w:t>
      </w:r>
      <w:r>
        <w:rPr>
          <w:rFonts w:hint="eastAsia" w:ascii="宋体" w:hAnsi="宋体"/>
          <w:szCs w:val="28"/>
        </w:rPr>
        <w:t>空间封闭，火灾危险性加大，应采取严格的防火措施，其消防系统的设计及配置应符合</w:t>
      </w:r>
      <w:r>
        <w:rPr>
          <w:rFonts w:hint="eastAsia"/>
          <w:lang w:val="zh-CN"/>
        </w:rPr>
        <w:t>现行国家标准《建筑设计防火规范》</w:t>
      </w:r>
      <w:r>
        <w:rPr>
          <w:lang w:val="zh-CN"/>
        </w:rPr>
        <w:t>GB 50016</w:t>
      </w:r>
      <w:r>
        <w:rPr>
          <w:rFonts w:hint="eastAsia"/>
          <w:lang w:val="zh-CN"/>
        </w:rPr>
        <w:t>、《建筑给水排水设计</w:t>
      </w:r>
      <w:r>
        <w:rPr>
          <w:rFonts w:hint="eastAsia"/>
        </w:rPr>
        <w:t>标准</w:t>
      </w:r>
      <w:r>
        <w:rPr>
          <w:rFonts w:hint="eastAsia"/>
          <w:lang w:val="zh-CN"/>
        </w:rPr>
        <w:t>》</w:t>
      </w:r>
      <w:r>
        <w:rPr>
          <w:lang w:val="zh-CN"/>
        </w:rPr>
        <w:t>GB 50015</w:t>
      </w:r>
      <w:r>
        <w:rPr>
          <w:rFonts w:hint="eastAsia"/>
          <w:lang w:val="zh-CN"/>
        </w:rPr>
        <w:t>、《自动喷水灭火系统设计规范》</w:t>
      </w:r>
      <w:r>
        <w:rPr>
          <w:lang w:val="zh-CN"/>
        </w:rPr>
        <w:t>GB 50084</w:t>
      </w:r>
      <w:r>
        <w:rPr>
          <w:rFonts w:hint="eastAsia"/>
          <w:lang w:val="zh-CN"/>
        </w:rPr>
        <w:t>、《建筑灭火器配置设计规范》</w:t>
      </w:r>
      <w:r>
        <w:rPr>
          <w:lang w:val="zh-CN"/>
        </w:rPr>
        <w:t>GB 50140</w:t>
      </w:r>
      <w:r>
        <w:rPr>
          <w:rFonts w:hint="eastAsia"/>
          <w:lang w:val="zh-CN"/>
        </w:rPr>
        <w:t>、《气体灭火系统设计规范》</w:t>
      </w:r>
      <w:r>
        <w:rPr>
          <w:lang w:val="zh-CN"/>
        </w:rPr>
        <w:t>GB 50370</w:t>
      </w:r>
      <w:r>
        <w:rPr>
          <w:rFonts w:hint="eastAsia"/>
          <w:lang w:val="zh-CN"/>
        </w:rPr>
        <w:t>、《消防给水及消火栓系统技术规范》</w:t>
      </w:r>
      <w:r>
        <w:rPr>
          <w:lang w:val="zh-CN"/>
        </w:rPr>
        <w:t>GB 50974</w:t>
      </w:r>
      <w:r>
        <w:rPr>
          <w:rFonts w:hint="eastAsia"/>
          <w:lang w:val="zh-CN"/>
        </w:rPr>
        <w:t>、</w:t>
      </w:r>
      <w:r>
        <w:rPr>
          <w:lang w:val="zh-CN"/>
        </w:rPr>
        <w:t>《建筑防烟排烟系统技术标准》</w:t>
      </w:r>
      <w:r>
        <w:rPr>
          <w:rFonts w:hint="eastAsia"/>
          <w:lang w:val="zh-CN"/>
        </w:rPr>
        <w:t>GB</w:t>
      </w:r>
      <w:r>
        <w:rPr>
          <w:lang w:val="zh-CN"/>
        </w:rPr>
        <w:t xml:space="preserve"> </w:t>
      </w:r>
      <w:r>
        <w:rPr>
          <w:rFonts w:hint="eastAsia"/>
          <w:lang w:val="zh-CN"/>
        </w:rPr>
        <w:t>51251</w:t>
      </w:r>
      <w:r>
        <w:rPr>
          <w:rFonts w:hint="eastAsia"/>
        </w:rPr>
        <w:t>等</w:t>
      </w:r>
      <w:r>
        <w:rPr>
          <w:rFonts w:hint="eastAsia" w:ascii="宋体" w:hAnsi="宋体"/>
          <w:szCs w:val="28"/>
        </w:rPr>
        <w:t>相关规定的要求。</w:t>
      </w:r>
    </w:p>
    <w:p>
      <w:pPr>
        <w:pStyle w:val="4"/>
        <w:numPr>
          <w:ilvl w:val="0"/>
          <w:numId w:val="0"/>
        </w:numPr>
        <w:rPr>
          <w:rFonts w:ascii="宋体" w:hAnsi="宋体"/>
          <w:szCs w:val="28"/>
        </w:rPr>
      </w:pPr>
      <w:r>
        <w:rPr>
          <w:b/>
          <w:bCs w:val="0"/>
          <w:lang w:val="zh-CN"/>
        </w:rPr>
        <w:t>4.12.7</w:t>
      </w:r>
      <w:r>
        <w:rPr>
          <w:b/>
          <w:bCs w:val="0"/>
        </w:rPr>
        <w:t xml:space="preserve">  </w:t>
      </w:r>
      <w:r>
        <w:rPr>
          <w:rFonts w:hint="eastAsia" w:ascii="宋体" w:hAnsi="宋体"/>
          <w:szCs w:val="28"/>
        </w:rPr>
        <w:t>污水内的有毒有害气体将会在地下厂内积聚，地下式城镇污水处理厂控制室、机柜间、空调引风口、电缆沟和电缆桥架进入建筑物的洞口处等处，当其存在有毒有害、可燃气体可能进入情况时，应设置气体检测器。工艺阀井、地坑及排水沟等场所，可能积聚比重大于空气的有毒、可燃气体时，应设置气体检测器。针对比空气轻的有毒、可燃气体，除应在其释放源上方设置检测器外，还应在地下厂区内最高点等易于积聚处设置气体检测器。</w:t>
      </w:r>
    </w:p>
    <w:p>
      <w:pPr>
        <w:ind w:firstLine="560"/>
        <w:rPr>
          <w:rFonts w:ascii="宋体" w:hAnsi="宋体"/>
          <w:szCs w:val="28"/>
        </w:rPr>
      </w:pPr>
      <w:r>
        <w:rPr>
          <w:rFonts w:hint="eastAsia"/>
        </w:rPr>
        <w:t>污水处理过程中会产生有毒有害气体，易积聚在地下空间内，为避免发生人员中毒甚至爆炸等事故，因此在地下空间内必须对有毒有害气体进行检测</w:t>
      </w:r>
      <w:r>
        <w:rPr>
          <w:rFonts w:hint="eastAsia"/>
          <w:lang w:val="zh-CN"/>
        </w:rPr>
        <w:t>。</w:t>
      </w:r>
    </w:p>
    <w:p>
      <w:pPr>
        <w:ind w:firstLine="560"/>
        <w:rPr>
          <w:rFonts w:ascii="宋体" w:hAnsi="宋体"/>
          <w:szCs w:val="28"/>
        </w:rPr>
      </w:pPr>
      <w:r>
        <w:rPr>
          <w:rFonts w:hint="eastAsia" w:ascii="宋体" w:hAnsi="宋体"/>
          <w:szCs w:val="28"/>
        </w:rPr>
        <w:t>操作人员在进入密闭空间进行维护、维修操作前必须在现场进行检测，并具备强制通风条件下，佩戴防毒面具等防护器材，不得在超标的环境下操作，直接操作者必须在监护下进行，并应符合《</w:t>
      </w:r>
      <w:r>
        <w:rPr>
          <w:rFonts w:hint="eastAsia"/>
        </w:rPr>
        <w:t>密闭空间作业职业危害防护规范</w:t>
      </w:r>
      <w:r>
        <w:rPr>
          <w:rFonts w:hint="eastAsia" w:ascii="宋体" w:hAnsi="宋体"/>
          <w:szCs w:val="28"/>
        </w:rPr>
        <w:t>》</w:t>
      </w:r>
      <w:r>
        <w:t>GBZ/T 205</w:t>
      </w:r>
      <w:r>
        <w:rPr>
          <w:rFonts w:hint="eastAsia" w:ascii="宋体" w:hAnsi="宋体"/>
          <w:szCs w:val="28"/>
        </w:rPr>
        <w:t>的有关规定。</w:t>
      </w:r>
    </w:p>
    <w:p>
      <w:pPr>
        <w:pStyle w:val="4"/>
        <w:numPr>
          <w:ilvl w:val="0"/>
          <w:numId w:val="0"/>
        </w:numPr>
        <w:rPr>
          <w:rFonts w:ascii="宋体" w:hAnsi="宋体"/>
          <w:szCs w:val="28"/>
        </w:rPr>
      </w:pPr>
      <w:r>
        <w:rPr>
          <w:b/>
          <w:bCs w:val="0"/>
          <w:lang w:val="zh-CN"/>
        </w:rPr>
        <w:t>4.12.8</w:t>
      </w:r>
      <w:r>
        <w:rPr>
          <w:b/>
          <w:bCs w:val="0"/>
        </w:rPr>
        <w:t xml:space="preserve">  </w:t>
      </w:r>
      <w:r>
        <w:rPr>
          <w:rFonts w:hint="eastAsia" w:ascii="宋体" w:hAnsi="宋体"/>
          <w:szCs w:val="28"/>
        </w:rPr>
        <w:t>地下式城镇污水处理厂应重视安全警示标识和防护设施的设置，包括高差、落水、窒息、中毒、触电、起火、超重、绞伤等安全隐患。敞开池体区域应设置救生圈、救生绳、可伸缩的救生杆等防淹溺救生器材。防护栏、踢脚板是防高处坠落的一项重要措施，临空作业平台和通道，应按设置</w:t>
      </w:r>
      <w:r>
        <w:rPr>
          <w:rFonts w:ascii="宋体" w:hAnsi="宋体"/>
          <w:szCs w:val="28"/>
        </w:rPr>
        <w:t>高度</w:t>
      </w:r>
      <w:r>
        <w:rPr>
          <w:rFonts w:hint="eastAsia" w:ascii="宋体" w:hAnsi="宋体"/>
          <w:szCs w:val="28"/>
        </w:rPr>
        <w:t>不低于</w:t>
      </w:r>
      <w:r>
        <w:rPr>
          <w:rFonts w:ascii="宋体" w:hAnsi="宋体"/>
          <w:szCs w:val="28"/>
        </w:rPr>
        <w:t>1200mm</w:t>
      </w:r>
      <w:r>
        <w:rPr>
          <w:rFonts w:hint="eastAsia" w:ascii="宋体" w:hAnsi="宋体"/>
          <w:szCs w:val="28"/>
        </w:rPr>
        <w:t>的防护栏杆，在日常需要检维修的部位宜设置为可拆卸式防护栏杆，有</w:t>
      </w:r>
      <w:r>
        <w:rPr>
          <w:rFonts w:ascii="宋体" w:hAnsi="宋体"/>
          <w:szCs w:val="28"/>
        </w:rPr>
        <w:t>利于日常池体大修工作开展。</w:t>
      </w:r>
    </w:p>
    <w:p>
      <w:pPr>
        <w:pStyle w:val="4"/>
        <w:numPr>
          <w:ilvl w:val="255"/>
          <w:numId w:val="0"/>
        </w:numPr>
        <w:rPr>
          <w:rFonts w:ascii="宋体" w:hAnsi="宋体"/>
          <w:szCs w:val="28"/>
        </w:rPr>
      </w:pPr>
      <w:r>
        <w:rPr>
          <w:b/>
          <w:bCs w:val="0"/>
          <w:lang w:val="zh-CN"/>
        </w:rPr>
        <w:t>4.12.9</w:t>
      </w:r>
      <w:r>
        <w:rPr>
          <w:b/>
          <w:bCs w:val="0"/>
        </w:rPr>
        <w:t xml:space="preserve">  </w:t>
      </w:r>
      <w:r>
        <w:rPr>
          <w:rFonts w:hint="eastAsia" w:ascii="宋体" w:hAnsi="宋体"/>
          <w:szCs w:val="28"/>
        </w:rPr>
        <w:t>常见的10%有效氯浓度的次氯酸钠溶液和二氧化氯制备中使用的原材料都属于危险化学品，不允许设置在地下空间内</w:t>
      </w:r>
      <w:r>
        <w:rPr>
          <w:rFonts w:ascii="宋体" w:hAnsi="宋体"/>
          <w:szCs w:val="28"/>
        </w:rPr>
        <w:t>。</w:t>
      </w:r>
    </w:p>
    <w:p>
      <w:pPr>
        <w:ind w:firstLine="0" w:firstLineChars="0"/>
        <w:rPr>
          <w:szCs w:val="28"/>
          <w:lang w:val="zh-CN"/>
        </w:rPr>
      </w:pPr>
      <w:r>
        <w:rPr>
          <w:b/>
          <w:szCs w:val="32"/>
          <w:lang w:val="zh-CN"/>
        </w:rPr>
        <w:t>4.12.11</w:t>
      </w:r>
      <w:r>
        <w:rPr>
          <w:b/>
        </w:rPr>
        <w:t xml:space="preserve">  </w:t>
      </w:r>
      <w:r>
        <w:rPr>
          <w:rFonts w:hint="eastAsia"/>
          <w:szCs w:val="28"/>
          <w:lang w:val="zh-CN"/>
        </w:rPr>
        <w:t>表面温度超过</w:t>
      </w:r>
      <w:r>
        <w:rPr>
          <w:szCs w:val="28"/>
          <w:lang w:val="zh-CN"/>
        </w:rPr>
        <w:t>60</w:t>
      </w:r>
      <w:r>
        <w:rPr>
          <w:rFonts w:hint="eastAsia"/>
          <w:szCs w:val="28"/>
          <w:lang w:val="zh-CN"/>
        </w:rPr>
        <w:t>℃的管道在距地面（平台）高度</w:t>
      </w:r>
      <w:r>
        <w:rPr>
          <w:szCs w:val="28"/>
          <w:lang w:val="zh-CN"/>
        </w:rPr>
        <w:t>2.1m</w:t>
      </w:r>
      <w:r>
        <w:rPr>
          <w:rFonts w:hint="eastAsia"/>
          <w:szCs w:val="28"/>
          <w:lang w:val="zh-CN"/>
        </w:rPr>
        <w:t>以下、四周</w:t>
      </w:r>
      <w:r>
        <w:rPr>
          <w:szCs w:val="28"/>
          <w:lang w:val="zh-CN"/>
        </w:rPr>
        <w:t>0.75m</w:t>
      </w:r>
      <w:r>
        <w:rPr>
          <w:rFonts w:hint="eastAsia"/>
          <w:szCs w:val="28"/>
          <w:lang w:val="zh-CN"/>
        </w:rPr>
        <w:t>以内均设置防烫隔热层。</w:t>
      </w:r>
    </w:p>
    <w:p>
      <w:pPr>
        <w:ind w:firstLine="560"/>
        <w:rPr>
          <w:rFonts w:ascii="宋体" w:hAnsi="宋体"/>
          <w:szCs w:val="28"/>
        </w:rPr>
      </w:pPr>
    </w:p>
    <w:p>
      <w:pPr>
        <w:ind w:firstLine="560" w:firstLineChars="0"/>
        <w:rPr>
          <w:b/>
          <w:lang w:val="zh-CN"/>
        </w:rPr>
      </w:pPr>
    </w:p>
    <w:p>
      <w:pPr>
        <w:ind w:firstLine="560"/>
        <w:rPr>
          <w:lang w:val="zh-CN"/>
        </w:rPr>
      </w:pPr>
    </w:p>
    <w:p>
      <w:pPr>
        <w:ind w:firstLine="0" w:firstLineChars="0"/>
        <w:sectPr>
          <w:pgSz w:w="11850" w:h="16783"/>
          <w:pgMar w:top="1440" w:right="1440" w:bottom="1117" w:left="1800" w:header="851" w:footer="992" w:gutter="0"/>
          <w:cols w:space="425" w:num="1"/>
          <w:docGrid w:type="lines" w:linePitch="312" w:charSpace="0"/>
        </w:sectPr>
      </w:pPr>
    </w:p>
    <w:p>
      <w:pPr>
        <w:pStyle w:val="2"/>
        <w:numPr>
          <w:ilvl w:val="0"/>
          <w:numId w:val="0"/>
        </w:numPr>
        <w:spacing w:before="624" w:after="624"/>
        <w:rPr>
          <w:color w:val="auto"/>
        </w:rPr>
      </w:pPr>
      <w:bookmarkStart w:id="3852" w:name="_Toc132893903"/>
      <w:r>
        <w:rPr>
          <w:rFonts w:hint="eastAsia"/>
          <w:color w:val="auto"/>
        </w:rPr>
        <w:t>5</w:t>
      </w:r>
      <w:r>
        <w:rPr>
          <w:color w:val="auto"/>
        </w:rPr>
        <w:t xml:space="preserve"> </w:t>
      </w:r>
      <w:r>
        <w:rPr>
          <w:rFonts w:hint="eastAsia"/>
          <w:color w:val="auto"/>
        </w:rPr>
        <w:t>施工、验收和移交</w:t>
      </w:r>
      <w:bookmarkEnd w:id="3852"/>
    </w:p>
    <w:p>
      <w:pPr>
        <w:pStyle w:val="3"/>
        <w:numPr>
          <w:ilvl w:val="0"/>
          <w:numId w:val="0"/>
        </w:numPr>
        <w:spacing w:before="312" w:beforeLines="100" w:after="312" w:afterLines="100"/>
      </w:pPr>
      <w:bookmarkStart w:id="3853" w:name="_Toc132893904"/>
      <w:r>
        <w:rPr>
          <w:rFonts w:hint="eastAsia"/>
        </w:rPr>
        <w:t>5</w:t>
      </w:r>
      <w:r>
        <w:t xml:space="preserve">.1 </w:t>
      </w:r>
      <w:r>
        <w:rPr>
          <w:rFonts w:hint="eastAsia"/>
        </w:rPr>
        <w:t>一般规定</w:t>
      </w:r>
      <w:bookmarkEnd w:id="3853"/>
    </w:p>
    <w:p>
      <w:pPr>
        <w:ind w:firstLine="0" w:firstLineChars="0"/>
        <w:rPr>
          <w:rFonts w:ascii="宋体" w:hAnsi="宋体"/>
          <w:szCs w:val="28"/>
        </w:rPr>
      </w:pPr>
      <w:r>
        <w:rPr>
          <w:b/>
          <w:szCs w:val="32"/>
          <w:lang w:val="zh-CN"/>
        </w:rPr>
        <w:t>5.1.1</w:t>
      </w:r>
      <w:r>
        <w:rPr>
          <w:b/>
        </w:rPr>
        <w:t xml:space="preserve">  </w:t>
      </w:r>
      <w:r>
        <w:rPr>
          <w:rFonts w:hint="eastAsia" w:ascii="宋体" w:hAnsi="宋体"/>
          <w:szCs w:val="28"/>
        </w:rPr>
        <w:t>本条对地下式城镇污水处理厂工程项目建设的合规性做出了规定。同时针对不同区域的地下式城镇污水处理厂除处理污水以外还兼有其他的辅助功能，厂区地表如何开发利用将对整个工程定位及设计都有影响。</w:t>
      </w:r>
    </w:p>
    <w:p>
      <w:pPr>
        <w:ind w:firstLine="0" w:firstLineChars="0"/>
        <w:rPr>
          <w:rFonts w:ascii="宋体" w:hAnsi="宋体"/>
          <w:szCs w:val="28"/>
        </w:rPr>
      </w:pPr>
      <w:r>
        <w:rPr>
          <w:b/>
          <w:szCs w:val="32"/>
          <w:lang w:val="zh-CN"/>
        </w:rPr>
        <w:t>5.1.2</w:t>
      </w:r>
      <w:r>
        <w:rPr>
          <w:b/>
        </w:rPr>
        <w:t xml:space="preserve">  </w:t>
      </w:r>
      <w:r>
        <w:rPr>
          <w:rFonts w:hint="eastAsia" w:ascii="宋体" w:hAnsi="宋体"/>
          <w:szCs w:val="28"/>
        </w:rPr>
        <w:t>本条要求的内涵是不仅要有体系，还要确保体系有效运行，发挥实际作用，从而要求施工单位从组织上落实人员配备、机构设置、管理模式、运作机制等。</w:t>
      </w:r>
    </w:p>
    <w:p>
      <w:pPr>
        <w:ind w:firstLine="0" w:firstLineChars="0"/>
        <w:rPr>
          <w:rFonts w:ascii="宋体" w:hAnsi="宋体"/>
          <w:szCs w:val="28"/>
        </w:rPr>
      </w:pPr>
      <w:r>
        <w:rPr>
          <w:b/>
          <w:szCs w:val="32"/>
          <w:lang w:val="zh-CN"/>
        </w:rPr>
        <w:t>5.1.3</w:t>
      </w:r>
      <w:r>
        <w:rPr>
          <w:b/>
        </w:rPr>
        <w:t xml:space="preserve">  </w:t>
      </w:r>
      <w:r>
        <w:rPr>
          <w:rFonts w:hint="eastAsia" w:ascii="宋体" w:hAnsi="宋体"/>
          <w:szCs w:val="28"/>
        </w:rPr>
        <w:t>地下式城镇污水处理厂采用聚合布置，基坑面积大、埋深大；进出水管线紧邻地下基坑布置，情况复杂，方案变更困难，在实施前应充分进行相应的调查研究工作。</w:t>
      </w:r>
    </w:p>
    <w:p>
      <w:pPr>
        <w:ind w:firstLine="0" w:firstLineChars="0"/>
        <w:rPr>
          <w:rFonts w:ascii="宋体" w:hAnsi="宋体"/>
          <w:szCs w:val="28"/>
        </w:rPr>
      </w:pPr>
      <w:r>
        <w:rPr>
          <w:b/>
          <w:szCs w:val="32"/>
          <w:lang w:val="zh-CN"/>
        </w:rPr>
        <w:t>5.1.4</w:t>
      </w:r>
      <w:r>
        <w:rPr>
          <w:b/>
        </w:rPr>
        <w:t xml:space="preserve">  </w:t>
      </w:r>
      <w:r>
        <w:rPr>
          <w:rFonts w:hint="eastAsia" w:ascii="宋体" w:hAnsi="宋体"/>
          <w:szCs w:val="28"/>
        </w:rPr>
        <w:t>本条规定了用于指导工程施工的施工组织设计以及关键的分部分项工程专项施工方案编制要求和审核审批的规定。关键的分部分项工程包括危险性较大的分部分项工程、施工难度大、施工质量不稳定、施工时出现不合格频率较高的分部分项工程，施工周期长、原材料昂贵、出现不合格品后经济损失较大的分部分项工程，基于人员素质、施工环境等方面的考虑认为比较重要的其他工程等。具体可包括：深基坑、高大模板支撑体系、外墙脚手架、混凝土浇筑、高空作业、有限空间作业、临时用电、大型构件和设备的运输吊装等危险性较大的作业。</w:t>
      </w:r>
    </w:p>
    <w:p>
      <w:pPr>
        <w:ind w:firstLine="0" w:firstLineChars="0"/>
        <w:rPr>
          <w:rFonts w:ascii="宋体" w:hAnsi="宋体"/>
          <w:szCs w:val="28"/>
        </w:rPr>
      </w:pPr>
      <w:r>
        <w:rPr>
          <w:b/>
          <w:szCs w:val="32"/>
          <w:lang w:val="zh-CN"/>
        </w:rPr>
        <w:t>5.1.5</w:t>
      </w:r>
      <w:r>
        <w:rPr>
          <w:b/>
        </w:rPr>
        <w:t xml:space="preserve">  </w:t>
      </w:r>
      <w:r>
        <w:rPr>
          <w:rFonts w:hint="eastAsia" w:ascii="宋体" w:hAnsi="宋体"/>
          <w:szCs w:val="28"/>
        </w:rPr>
        <w:t>地下式城镇污水处理厂各主要处理构筑物聚合布置在地下空间内基坑深（通常大于</w:t>
      </w:r>
      <w:r>
        <w:rPr>
          <w:rFonts w:ascii="宋体" w:hAnsi="宋体"/>
          <w:szCs w:val="28"/>
        </w:rPr>
        <w:t>15m</w:t>
      </w:r>
      <w:r>
        <w:rPr>
          <w:rFonts w:hint="eastAsia" w:ascii="宋体" w:hAnsi="宋体"/>
          <w:szCs w:val="28"/>
        </w:rPr>
        <w:t>）、面积大，场内受纳介质为宜产生有毒有害气体的污（废）水，施工面临危险源多。为保证施工准确及安全，施工前应与设计单位加强对接，充分了解设计意图、施工要求，图纸审核应分专业并采取专业交叉审核的方式，尤其注意工艺尺寸、标高、预留预埋等方面。</w:t>
      </w:r>
    </w:p>
    <w:p>
      <w:pPr>
        <w:ind w:firstLine="0" w:firstLineChars="0"/>
        <w:rPr>
          <w:rFonts w:ascii="宋体" w:hAnsi="宋体"/>
          <w:szCs w:val="28"/>
        </w:rPr>
      </w:pPr>
      <w:r>
        <w:rPr>
          <w:b/>
          <w:szCs w:val="32"/>
          <w:lang w:val="zh-CN"/>
        </w:rPr>
        <w:t>5.1.6</w:t>
      </w:r>
      <w:r>
        <w:rPr>
          <w:b/>
        </w:rPr>
        <w:t xml:space="preserve">  </w:t>
      </w:r>
      <w:r>
        <w:rPr>
          <w:rFonts w:hint="eastAsia" w:ascii="宋体" w:hAnsi="宋体"/>
          <w:szCs w:val="28"/>
        </w:rPr>
        <w:t>由于地下式城镇污水处理厂占地集约等特点，地下厂场地布置对工程施工组织和进度有着至关重要的作用。临时道路宜围绕地下空间成环状布置，条件允许情况下应设置双向车道，或应考虑局部会车和混凝土浇筑平台，临时道路设计在基坑边需提交设计复核基坑附加荷载是否满足。</w:t>
      </w:r>
    </w:p>
    <w:p>
      <w:pPr>
        <w:ind w:firstLine="0" w:firstLineChars="0"/>
        <w:rPr>
          <w:rFonts w:ascii="宋体" w:hAnsi="宋体"/>
          <w:szCs w:val="28"/>
        </w:rPr>
      </w:pPr>
      <w:r>
        <w:rPr>
          <w:b/>
          <w:szCs w:val="32"/>
          <w:lang w:val="zh-CN"/>
        </w:rPr>
        <w:t>5.1.7</w:t>
      </w:r>
      <w:r>
        <w:rPr>
          <w:b/>
        </w:rPr>
        <w:t xml:space="preserve">  </w:t>
      </w:r>
      <w:r>
        <w:rPr>
          <w:rFonts w:hint="eastAsia" w:ascii="宋体" w:hAnsi="宋体"/>
          <w:szCs w:val="28"/>
        </w:rPr>
        <w:t>依据《中华人民共和国劳动法》、《中华人民共和国安全生产法》、《中华人民共和国职业病防治法》、《中华人民共和国环境保护法》等相应法律规定及《城乡排水工程项目规范》等规范要求，工程项目相应配套环保设施、安全设施、职业病防护设施与主体工程同时实施。</w:t>
      </w:r>
    </w:p>
    <w:p>
      <w:pPr>
        <w:ind w:firstLine="0" w:firstLineChars="0"/>
        <w:rPr>
          <w:rFonts w:ascii="宋体" w:hAnsi="宋体"/>
          <w:szCs w:val="28"/>
        </w:rPr>
      </w:pPr>
      <w:r>
        <w:rPr>
          <w:b/>
          <w:szCs w:val="32"/>
          <w:lang w:val="zh-CN"/>
        </w:rPr>
        <w:t>5.1.8</w:t>
      </w:r>
      <w:r>
        <w:rPr>
          <w:b/>
        </w:rPr>
        <w:t xml:space="preserve">  </w:t>
      </w:r>
      <w:r>
        <w:rPr>
          <w:rFonts w:hint="eastAsia" w:ascii="宋体" w:hAnsi="宋体"/>
          <w:szCs w:val="28"/>
        </w:rPr>
        <w:t>一般地下式城镇污水处理厂施工作业人员投入数量多，专业工种多，管理难度大，为了能够及时有效的进行人力资源的管控，应采取信息化手段进行管控。</w:t>
      </w:r>
    </w:p>
    <w:p>
      <w:pPr>
        <w:ind w:firstLine="0" w:firstLineChars="0"/>
        <w:rPr>
          <w:rFonts w:ascii="宋体" w:hAnsi="宋体"/>
          <w:szCs w:val="28"/>
        </w:rPr>
      </w:pPr>
      <w:r>
        <w:rPr>
          <w:b/>
          <w:szCs w:val="32"/>
          <w:lang w:val="zh-CN"/>
        </w:rPr>
        <w:t>5.1.9</w:t>
      </w:r>
      <w:r>
        <w:rPr>
          <w:b/>
        </w:rPr>
        <w:t xml:space="preserve">  </w:t>
      </w:r>
      <w:r>
        <w:rPr>
          <w:rFonts w:hint="eastAsia" w:ascii="宋体" w:hAnsi="宋体"/>
          <w:szCs w:val="28"/>
        </w:rPr>
        <w:t>地下式城镇污水处理厂一般为深基坑施工，且占地面积大，安全风险高，应采取必要的监控手段确保施工安全。厂区内基坑建设面积大、工程施工专业多，实施过程中通常布置多台塔吊，为保障塔吊之间、塔吊与周边电塔、建筑等的安全，应采取安全防碰撞措施。</w:t>
      </w:r>
    </w:p>
    <w:p>
      <w:pPr>
        <w:ind w:firstLine="560"/>
        <w:rPr>
          <w:lang w:val="zh-CN"/>
        </w:rPr>
      </w:pPr>
    </w:p>
    <w:p>
      <w:pPr>
        <w:pStyle w:val="3"/>
        <w:numPr>
          <w:ilvl w:val="0"/>
          <w:numId w:val="0"/>
        </w:numPr>
        <w:spacing w:before="312" w:beforeLines="100" w:after="312" w:afterLines="100"/>
      </w:pPr>
      <w:bookmarkStart w:id="3854" w:name="_Toc132893905"/>
      <w:r>
        <w:rPr>
          <w:rFonts w:hint="eastAsia"/>
        </w:rPr>
        <w:t>5</w:t>
      </w:r>
      <w:r>
        <w:t xml:space="preserve">.2 </w:t>
      </w:r>
      <w:r>
        <w:rPr>
          <w:rFonts w:hint="eastAsia"/>
        </w:rPr>
        <w:t>构（建）筑物施工</w:t>
      </w:r>
      <w:bookmarkEnd w:id="3854"/>
    </w:p>
    <w:p>
      <w:pPr>
        <w:ind w:firstLine="0" w:firstLineChars="0"/>
        <w:rPr>
          <w:rFonts w:ascii="宋体" w:hAnsi="宋体"/>
          <w:szCs w:val="28"/>
        </w:rPr>
      </w:pPr>
      <w:r>
        <w:rPr>
          <w:b/>
          <w:szCs w:val="32"/>
          <w:lang w:val="zh-CN"/>
        </w:rPr>
        <w:t>5.2.1</w:t>
      </w:r>
      <w:r>
        <w:rPr>
          <w:b/>
        </w:rPr>
        <w:t xml:space="preserve">  </w:t>
      </w:r>
      <w:r>
        <w:rPr>
          <w:rFonts w:hint="eastAsia" w:ascii="宋体" w:hAnsi="宋体"/>
          <w:szCs w:val="28"/>
        </w:rPr>
        <w:t>本条明确了由建设单位组织交接桩程序，施工单位组织复核测量，监理单位监督复核。同时施工测量前，应搜集有关测量资料，熟悉设计施工图纸，明确施工要求，确定施工测量方案；根据业主提供施工单位的控制点、水准点，沿地下空间周边设置临时加密控制网，加密控制网应牢固可靠，尽可能设置在基坑弱影响区域；加密控制网经复核报监理审批后方可使用，使用过程中要定期进行复测，复测周期不宜大于半年，若加密点设置在</w:t>
      </w:r>
      <w:r>
        <w:rPr>
          <w:rFonts w:ascii="宋体" w:hAnsi="宋体"/>
          <w:szCs w:val="28"/>
        </w:rPr>
        <w:t>1倍基坑深度范围内，考虑基坑变形的影响，复测周期应适当减短。</w:t>
      </w:r>
    </w:p>
    <w:p>
      <w:pPr>
        <w:ind w:firstLine="0" w:firstLineChars="0"/>
        <w:rPr>
          <w:rFonts w:ascii="宋体" w:hAnsi="宋体"/>
          <w:szCs w:val="28"/>
        </w:rPr>
      </w:pPr>
      <w:r>
        <w:rPr>
          <w:b/>
          <w:szCs w:val="32"/>
          <w:lang w:val="zh-CN"/>
        </w:rPr>
        <w:t>5.2.2</w:t>
      </w:r>
      <w:r>
        <w:rPr>
          <w:b/>
        </w:rPr>
        <w:t xml:space="preserve">  </w:t>
      </w:r>
      <w:r>
        <w:rPr>
          <w:rFonts w:hint="eastAsia" w:ascii="宋体" w:hAnsi="宋体"/>
          <w:szCs w:val="28"/>
        </w:rPr>
        <w:t>地下式城镇污水处理厂普遍具有基坑面积大、施工工期长的施工状况，提出控制点的使用要求，确保各分区独立施工的准确性。考虑到基坑施工工期较长，相应控制点及水准点</w:t>
      </w:r>
      <w:r>
        <w:rPr>
          <w:rFonts w:ascii="宋体" w:hAnsi="宋体"/>
          <w:szCs w:val="28"/>
        </w:rPr>
        <w:t>应定期校核；避免放样误差造成各分区不统一的情况</w:t>
      </w:r>
      <w:r>
        <w:rPr>
          <w:rFonts w:hint="eastAsia" w:ascii="宋体" w:hAnsi="宋体"/>
          <w:szCs w:val="28"/>
        </w:rPr>
        <w:t>。</w:t>
      </w:r>
    </w:p>
    <w:p>
      <w:pPr>
        <w:ind w:firstLine="0" w:firstLineChars="0"/>
        <w:rPr>
          <w:rFonts w:ascii="宋体" w:hAnsi="宋体"/>
          <w:szCs w:val="28"/>
        </w:rPr>
      </w:pPr>
      <w:r>
        <w:rPr>
          <w:b/>
          <w:szCs w:val="32"/>
          <w:lang w:val="zh-CN"/>
        </w:rPr>
        <w:t>5.2.3</w:t>
      </w:r>
      <w:r>
        <w:rPr>
          <w:b/>
        </w:rPr>
        <w:t xml:space="preserve">  </w:t>
      </w:r>
      <w:r>
        <w:rPr>
          <w:rFonts w:hint="eastAsia" w:ascii="宋体" w:hAnsi="宋体"/>
          <w:szCs w:val="28"/>
        </w:rPr>
        <w:t>根据《危险性较大的分部分项工程安全管理规定》（建设部</w:t>
      </w:r>
      <w:r>
        <w:rPr>
          <w:rFonts w:hint="eastAsia" w:ascii="宋体" w:hAnsi="宋体"/>
          <w:szCs w:val="28"/>
          <w:lang w:eastAsia="zh-CN"/>
        </w:rPr>
        <w:t>〔</w:t>
      </w:r>
      <w:r>
        <w:rPr>
          <w:rFonts w:ascii="宋体" w:hAnsi="宋体"/>
          <w:szCs w:val="28"/>
        </w:rPr>
        <w:t>2018</w:t>
      </w:r>
      <w:r>
        <w:rPr>
          <w:rFonts w:hint="eastAsia" w:ascii="宋体" w:hAnsi="宋体"/>
          <w:szCs w:val="28"/>
          <w:lang w:eastAsia="zh-CN"/>
        </w:rPr>
        <w:t>〕</w:t>
      </w:r>
      <w:r>
        <w:rPr>
          <w:rFonts w:ascii="宋体" w:hAnsi="宋体"/>
          <w:szCs w:val="28"/>
        </w:rPr>
        <w:t>37</w:t>
      </w:r>
      <w:r>
        <w:rPr>
          <w:rFonts w:hint="eastAsia" w:ascii="宋体" w:hAnsi="宋体"/>
          <w:szCs w:val="28"/>
        </w:rPr>
        <w:t>号令）规定，超过一定规模的危险性较大的分部分项工程应由施工单位组织召开专家论证会，实行施工总承包的，由施工总承包单位组织召开专家论证会。地下式城镇污水处理厂基坑深度均超过</w:t>
      </w:r>
      <w:r>
        <w:rPr>
          <w:rFonts w:ascii="宋体" w:hAnsi="宋体"/>
          <w:szCs w:val="28"/>
        </w:rPr>
        <w:t>5m</w:t>
      </w:r>
      <w:r>
        <w:rPr>
          <w:rFonts w:hint="eastAsia" w:ascii="宋体" w:hAnsi="宋体"/>
          <w:szCs w:val="28"/>
        </w:rPr>
        <w:t>，属超过一定规模的危险性较大的深基坑，应按文件要求组织召开专家论证会。</w:t>
      </w:r>
    </w:p>
    <w:p>
      <w:pPr>
        <w:ind w:firstLine="0" w:firstLineChars="0"/>
        <w:rPr>
          <w:rFonts w:ascii="宋体" w:hAnsi="宋体"/>
          <w:szCs w:val="28"/>
        </w:rPr>
      </w:pPr>
      <w:r>
        <w:rPr>
          <w:b/>
          <w:szCs w:val="32"/>
          <w:lang w:val="zh-CN"/>
        </w:rPr>
        <w:t>5.2.4</w:t>
      </w:r>
      <w:r>
        <w:rPr>
          <w:b/>
        </w:rPr>
        <w:t xml:space="preserve">  </w:t>
      </w:r>
      <w:r>
        <w:rPr>
          <w:rFonts w:hint="eastAsia" w:ascii="宋体" w:hAnsi="宋体"/>
          <w:szCs w:val="28"/>
        </w:rPr>
        <w:t>本文结合地下式城镇污水处理厂基坑宽大、内部各处理单元聚合布置、设备及管线密集的特点，同时考虑水工构筑物</w:t>
      </w:r>
      <w:bookmarkStart w:id="3864" w:name="_GoBack"/>
      <w:bookmarkEnd w:id="3864"/>
      <w:r>
        <w:rPr>
          <w:rFonts w:hint="eastAsia" w:ascii="宋体" w:hAnsi="宋体"/>
          <w:szCs w:val="28"/>
        </w:rPr>
        <w:t>结构的复杂性，对基坑支护选型提出建议，外支撑系统基坑对地下厂施工较为有利；同时对支撑梁、格构柱布置提出了要求。</w:t>
      </w:r>
    </w:p>
    <w:p>
      <w:pPr>
        <w:ind w:firstLine="0" w:firstLineChars="0"/>
        <w:rPr>
          <w:rFonts w:ascii="宋体" w:hAnsi="宋体"/>
          <w:szCs w:val="28"/>
        </w:rPr>
      </w:pPr>
      <w:r>
        <w:rPr>
          <w:b/>
          <w:szCs w:val="32"/>
          <w:lang w:val="zh-CN"/>
        </w:rPr>
        <w:t>5.2.5</w:t>
      </w:r>
      <w:r>
        <w:rPr>
          <w:b/>
        </w:rPr>
        <w:t xml:space="preserve">  </w:t>
      </w:r>
      <w:r>
        <w:rPr>
          <w:rFonts w:hint="eastAsia" w:ascii="宋体" w:hAnsi="宋体"/>
          <w:szCs w:val="28"/>
        </w:rPr>
        <w:t>地下空间与维护体系之间的空间为有限空间作业，一般还有支撑腰梁占用一定的空间，在空间内需要施工外脚手架、支设外模防水等工序，空间较小不利于安全和施工便捷性，太大又不具有经济型，因此对空间间距给出了合理建议</w:t>
      </w:r>
      <w:r>
        <w:rPr>
          <w:rFonts w:ascii="宋体" w:hAnsi="宋体"/>
          <w:szCs w:val="28"/>
        </w:rPr>
        <w:t>1.5m，用于参考，施工时还应考虑合理的施工偏差，用地较为紧张时可考虑外池壁与维护体系叠合，一般应设滑动层，避免外池壁与围护体系的不均衡变形引起池壁裂缝</w:t>
      </w:r>
      <w:r>
        <w:rPr>
          <w:rFonts w:hint="eastAsia" w:ascii="宋体" w:hAnsi="宋体"/>
          <w:szCs w:val="28"/>
        </w:rPr>
        <w:t>。</w:t>
      </w:r>
    </w:p>
    <w:p>
      <w:pPr>
        <w:ind w:firstLine="0" w:firstLineChars="0"/>
        <w:rPr>
          <w:rFonts w:ascii="宋体" w:hAnsi="宋体"/>
          <w:szCs w:val="28"/>
        </w:rPr>
      </w:pPr>
      <w:r>
        <w:rPr>
          <w:b/>
          <w:szCs w:val="32"/>
          <w:lang w:val="zh-CN"/>
        </w:rPr>
        <w:t>5.2.6</w:t>
      </w:r>
      <w:r>
        <w:rPr>
          <w:b/>
        </w:rPr>
        <w:t xml:space="preserve">  </w:t>
      </w:r>
      <w:r>
        <w:rPr>
          <w:rFonts w:hint="eastAsia" w:ascii="宋体" w:hAnsi="宋体"/>
          <w:szCs w:val="28"/>
        </w:rPr>
        <w:t>本条文对支护桩机械选型和施工工艺提出了要求和建议，针对不同的地质条件选择不同的施工机械和施工工艺，施工单位在施工前应进行充分的调研和比选。</w:t>
      </w:r>
      <w:r>
        <w:rPr>
          <w:rFonts w:ascii="宋体" w:hAnsi="宋体"/>
          <w:szCs w:val="28"/>
        </w:rPr>
        <w:t>在淤泥、流砂地质选用地连墙支护时，为确保封闭止水效果及成墙质量，宜增加水泥搅拌桩护壁桩设计</w:t>
      </w:r>
      <w:r>
        <w:rPr>
          <w:rFonts w:hint="eastAsia" w:ascii="宋体" w:hAnsi="宋体"/>
          <w:szCs w:val="28"/>
        </w:rPr>
        <w:t>；</w:t>
      </w:r>
      <w:r>
        <w:rPr>
          <w:rFonts w:ascii="宋体" w:hAnsi="宋体"/>
          <w:szCs w:val="28"/>
        </w:rPr>
        <w:t>选用灌注桩支护时，宜采用全套管施工，以确保成桩质量和安全</w:t>
      </w:r>
      <w:r>
        <w:rPr>
          <w:rFonts w:hint="eastAsia" w:ascii="宋体" w:hAnsi="宋体"/>
          <w:szCs w:val="28"/>
        </w:rPr>
        <w:t>。</w:t>
      </w:r>
    </w:p>
    <w:p>
      <w:pPr>
        <w:ind w:firstLine="0" w:firstLineChars="0"/>
        <w:rPr>
          <w:rFonts w:ascii="宋体" w:hAnsi="宋体"/>
          <w:szCs w:val="28"/>
        </w:rPr>
      </w:pPr>
      <w:r>
        <w:rPr>
          <w:b/>
          <w:szCs w:val="32"/>
          <w:lang w:val="zh-CN"/>
        </w:rPr>
        <w:t>5.2.7</w:t>
      </w:r>
      <w:r>
        <w:rPr>
          <w:b/>
        </w:rPr>
        <w:t xml:space="preserve">  </w:t>
      </w:r>
      <w:r>
        <w:rPr>
          <w:rFonts w:hint="eastAsia" w:ascii="宋体" w:hAnsi="宋体"/>
          <w:szCs w:val="28"/>
        </w:rPr>
        <w:t>考虑到地下污水处理厂基坑面积大、深度深及广东省降雨强度大、雨季长、降雨量大、河涌密布、地下水位高的现实情况，土建施工应充分考虑排水、降水、交叉施工、应对不良地质的不利情况。</w:t>
      </w:r>
    </w:p>
    <w:p>
      <w:pPr>
        <w:ind w:firstLine="0" w:firstLineChars="0"/>
        <w:rPr>
          <w:rFonts w:ascii="宋体" w:hAnsi="宋体"/>
          <w:szCs w:val="28"/>
        </w:rPr>
      </w:pPr>
      <w:r>
        <w:rPr>
          <w:b/>
          <w:szCs w:val="32"/>
          <w:lang w:val="zh-CN"/>
        </w:rPr>
        <w:t>5.2.8</w:t>
      </w:r>
      <w:r>
        <w:rPr>
          <w:b/>
        </w:rPr>
        <w:t xml:space="preserve">  </w:t>
      </w:r>
      <w:r>
        <w:rPr>
          <w:rFonts w:hint="eastAsia" w:ascii="宋体" w:hAnsi="宋体"/>
          <w:szCs w:val="28"/>
        </w:rPr>
        <w:t>基坑土方开挖一般遵循分层、分段、对称、均衡、适时的原则进行；基坑开挖是大面积的卸载过程，将引起基坑周边土体应力场变化及地面沉降，实际施工过程中若不加以控制，基坑周边影响范围内堆载将给基坑、建筑及人员的安全带来很大的风险。</w:t>
      </w:r>
    </w:p>
    <w:p>
      <w:pPr>
        <w:ind w:firstLine="0" w:firstLineChars="0"/>
        <w:rPr>
          <w:rFonts w:ascii="宋体" w:hAnsi="宋体"/>
          <w:szCs w:val="28"/>
        </w:rPr>
      </w:pPr>
      <w:r>
        <w:rPr>
          <w:b/>
          <w:szCs w:val="32"/>
          <w:lang w:val="zh-CN"/>
        </w:rPr>
        <w:t>5.2.9</w:t>
      </w:r>
      <w:r>
        <w:rPr>
          <w:b/>
        </w:rPr>
        <w:t xml:space="preserve">  </w:t>
      </w:r>
      <w:r>
        <w:rPr>
          <w:rFonts w:hint="eastAsia" w:ascii="宋体" w:hAnsi="宋体"/>
          <w:szCs w:val="28"/>
        </w:rPr>
        <w:t>地下式城镇污水处理厂基坑一般具有宽大深的特点，必须进行基坑监测，基坑监测应按照设计文件要求进行，并应符合现行国家规范《城镇污水处理厂工程施工规范》</w:t>
      </w:r>
      <w:r>
        <w:rPr>
          <w:rFonts w:ascii="宋体" w:hAnsi="宋体"/>
          <w:szCs w:val="28"/>
        </w:rPr>
        <w:t>GB 51221</w:t>
      </w:r>
      <w:r>
        <w:rPr>
          <w:rFonts w:hint="eastAsia" w:ascii="宋体" w:hAnsi="宋体"/>
          <w:szCs w:val="28"/>
        </w:rPr>
        <w:t>、《建筑基坑工程监测技术规范》</w:t>
      </w:r>
      <w:r>
        <w:rPr>
          <w:rFonts w:ascii="宋体" w:hAnsi="宋体"/>
          <w:szCs w:val="28"/>
        </w:rPr>
        <w:t xml:space="preserve">GB 50497 </w:t>
      </w:r>
      <w:r>
        <w:rPr>
          <w:rFonts w:hint="eastAsia" w:ascii="宋体" w:hAnsi="宋体"/>
          <w:szCs w:val="28"/>
        </w:rPr>
        <w:t>和《建筑变形测量规范》</w:t>
      </w:r>
      <w:r>
        <w:rPr>
          <w:rFonts w:ascii="宋体" w:hAnsi="宋体"/>
          <w:szCs w:val="28"/>
        </w:rPr>
        <w:t xml:space="preserve">JGJ 8 </w:t>
      </w:r>
      <w:r>
        <w:rPr>
          <w:rFonts w:hint="eastAsia" w:ascii="宋体" w:hAnsi="宋体"/>
          <w:szCs w:val="28"/>
        </w:rPr>
        <w:t>的有关规定。监测内容包括但不限于周边地表沉降、围护结构顶部位移及沉降、深层水平位移、地下水位、锚索或支撑应力、巡视观察等方面。基坑监测应严格执行相关规范要求，并加强数据流转管理，每日监测数据需经项目经理和项目总工签署意见后及时流转到现场施工管理人员，任何人不得随意篡改监控数据或隐瞒不报，监测的目的是及时掌握基坑的动态变形情况，及时采取措施。因此强调了监测数据的流转，基坑监测数据应及时分析并上报相关单位，应根据基坑监测数据及时调整施工工序，发生异常情况，及时通报相关单位，并采取应急措施。在条件允许时，可采用自动监测技术，实施上传变形数据至管理平台，实现实时协同管理，让各级管理人员实时掌握基坑情况，及时采取相应措施，将可能出现的险情消灭在萌芽状态。</w:t>
      </w:r>
    </w:p>
    <w:p>
      <w:pPr>
        <w:ind w:firstLine="0" w:firstLineChars="0"/>
        <w:rPr>
          <w:rFonts w:ascii="宋体" w:hAnsi="宋体"/>
          <w:szCs w:val="28"/>
        </w:rPr>
      </w:pPr>
      <w:r>
        <w:rPr>
          <w:b/>
          <w:szCs w:val="32"/>
          <w:lang w:val="zh-CN"/>
        </w:rPr>
        <w:t>5.2.10</w:t>
      </w:r>
      <w:r>
        <w:rPr>
          <w:b/>
        </w:rPr>
        <w:t xml:space="preserve">  </w:t>
      </w:r>
      <w:r>
        <w:rPr>
          <w:rFonts w:ascii="宋体" w:hAnsi="宋体"/>
          <w:szCs w:val="28"/>
        </w:rPr>
        <w:t>施工时应充分考虑场地狭窄、构筑物及管线密布的特点，充分考虑各分项工程交叉施工相互干扰的情况</w:t>
      </w:r>
      <w:r>
        <w:rPr>
          <w:rFonts w:hint="eastAsia" w:ascii="宋体" w:hAnsi="宋体"/>
          <w:szCs w:val="28"/>
        </w:rPr>
        <w:t>；地下空间处理单元多，涉及到污水处理、污泥处理、消防、电气、自控、通风除臭各专业管线，管线密集交叉、边界关系复杂、为保证施工准确，施工前统筹安排先后施工顺序，做好避让规划，遵循“小管让大管、支管让主管”原则。</w:t>
      </w:r>
    </w:p>
    <w:p>
      <w:pPr>
        <w:ind w:firstLine="0" w:firstLineChars="0"/>
        <w:rPr>
          <w:rFonts w:ascii="宋体" w:hAnsi="宋体"/>
          <w:szCs w:val="28"/>
        </w:rPr>
      </w:pPr>
      <w:r>
        <w:rPr>
          <w:b/>
          <w:szCs w:val="32"/>
          <w:lang w:val="zh-CN"/>
        </w:rPr>
        <w:t>5.2.11</w:t>
      </w:r>
      <w:r>
        <w:rPr>
          <w:b/>
        </w:rPr>
        <w:t xml:space="preserve">  </w:t>
      </w:r>
      <w:r>
        <w:rPr>
          <w:rFonts w:ascii="宋体" w:hAnsi="宋体" w:cstheme="minorEastAsia"/>
          <w:szCs w:val="28"/>
        </w:rPr>
        <w:t>结构</w:t>
      </w:r>
      <w:r>
        <w:rPr>
          <w:rFonts w:hint="eastAsia" w:ascii="宋体" w:hAnsi="宋体" w:cstheme="minorEastAsia"/>
          <w:szCs w:val="28"/>
        </w:rPr>
        <w:t>施工时</w:t>
      </w:r>
      <w:r>
        <w:rPr>
          <w:rFonts w:ascii="宋体" w:hAnsi="宋体" w:cstheme="minorEastAsia"/>
          <w:szCs w:val="28"/>
        </w:rPr>
        <w:t>应</w:t>
      </w:r>
      <w:r>
        <w:rPr>
          <w:rFonts w:hint="eastAsia" w:ascii="宋体" w:hAnsi="宋体" w:cstheme="minorEastAsia"/>
          <w:szCs w:val="28"/>
        </w:rPr>
        <w:t>充分考虑</w:t>
      </w:r>
      <w:r>
        <w:rPr>
          <w:rFonts w:ascii="宋体" w:hAnsi="宋体" w:cstheme="minorEastAsia"/>
          <w:szCs w:val="28"/>
        </w:rPr>
        <w:t>伸缩缝、后浇带（膨胀加强带）设置</w:t>
      </w:r>
      <w:r>
        <w:rPr>
          <w:rFonts w:hint="eastAsia" w:ascii="宋体" w:hAnsi="宋体" w:cstheme="minorEastAsia"/>
          <w:szCs w:val="28"/>
        </w:rPr>
        <w:t>情况</w:t>
      </w:r>
      <w:r>
        <w:rPr>
          <w:rFonts w:ascii="宋体" w:hAnsi="宋体" w:cstheme="minorEastAsia"/>
          <w:szCs w:val="28"/>
        </w:rPr>
        <w:t>，分区进行，分区大小根据施工工艺及混凝土布料能力确定</w:t>
      </w:r>
      <w:r>
        <w:rPr>
          <w:rFonts w:hint="eastAsia" w:ascii="宋体" w:hAnsi="宋体" w:cstheme="minorEastAsia"/>
          <w:szCs w:val="28"/>
        </w:rPr>
        <w:t>。</w:t>
      </w:r>
    </w:p>
    <w:p>
      <w:pPr>
        <w:ind w:firstLine="0" w:firstLineChars="0"/>
        <w:rPr>
          <w:rFonts w:ascii="宋体" w:hAnsi="宋体"/>
          <w:szCs w:val="28"/>
        </w:rPr>
      </w:pPr>
      <w:r>
        <w:rPr>
          <w:b/>
          <w:szCs w:val="32"/>
          <w:lang w:val="zh-CN"/>
        </w:rPr>
        <w:t>5.2.12</w:t>
      </w:r>
      <w:r>
        <w:rPr>
          <w:b/>
        </w:rPr>
        <w:t xml:space="preserve">  </w:t>
      </w:r>
      <w:r>
        <w:rPr>
          <w:rFonts w:ascii="宋体" w:hAnsi="宋体"/>
          <w:szCs w:val="28"/>
        </w:rPr>
        <w:t>模板工程施工基本规定</w:t>
      </w:r>
      <w:r>
        <w:rPr>
          <w:rFonts w:hint="eastAsia" w:ascii="宋体" w:hAnsi="宋体"/>
          <w:szCs w:val="28"/>
        </w:rPr>
        <w:t>：</w:t>
      </w:r>
    </w:p>
    <w:p>
      <w:pPr>
        <w:ind w:firstLine="560"/>
        <w:rPr>
          <w:rFonts w:ascii="宋体" w:hAnsi="宋体"/>
          <w:szCs w:val="28"/>
        </w:rPr>
      </w:pPr>
      <w:r>
        <w:rPr>
          <w:rFonts w:ascii="宋体" w:hAnsi="宋体"/>
          <w:szCs w:val="28"/>
        </w:rPr>
        <w:t>1 模板施工前，应根据结构形式、施工工艺、设备和材料供应等条件进行模板及支架设计。模板及其支架的强度、刚度及稳定性必须满足受理要求，超过一定规模的模板支撑体系还应编制安全专项方案，并进专家评审后实施。混凝土浇筑过程中应进行变形监测</w:t>
      </w:r>
      <w:r>
        <w:rPr>
          <w:rFonts w:hint="eastAsia" w:ascii="宋体" w:hAnsi="宋体"/>
          <w:szCs w:val="28"/>
        </w:rPr>
        <w:t>；</w:t>
      </w:r>
    </w:p>
    <w:p>
      <w:pPr>
        <w:ind w:firstLine="560"/>
        <w:rPr>
          <w:rFonts w:ascii="宋体" w:hAnsi="宋体"/>
          <w:szCs w:val="28"/>
        </w:rPr>
      </w:pPr>
      <w:r>
        <w:rPr>
          <w:rFonts w:ascii="宋体" w:hAnsi="宋体"/>
          <w:szCs w:val="28"/>
        </w:rPr>
        <w:t>2 脚手架及支撑架宜采用盘扣式脚手架，施工工艺设计应对主要节点构造进行详细设计，并绘制施工方案图</w:t>
      </w:r>
      <w:r>
        <w:rPr>
          <w:rFonts w:hint="eastAsia" w:ascii="宋体" w:hAnsi="宋体"/>
          <w:szCs w:val="28"/>
        </w:rPr>
        <w:t>；</w:t>
      </w:r>
    </w:p>
    <w:p>
      <w:pPr>
        <w:ind w:firstLine="560"/>
        <w:rPr>
          <w:rFonts w:ascii="宋体" w:hAnsi="宋体"/>
          <w:szCs w:val="28"/>
        </w:rPr>
      </w:pPr>
      <w:r>
        <w:rPr>
          <w:rFonts w:ascii="宋体" w:hAnsi="宋体"/>
          <w:szCs w:val="28"/>
        </w:rPr>
        <w:t>3 中板洞口部位支撑体系脚手架应于顶板支撑体系分离，于洞口搁置满足承载规格型号的型钢横梁，使顶板脚手架钢管立柱放置于型钢上，使中板与顶板脚手架拆除互不影响</w:t>
      </w:r>
      <w:r>
        <w:rPr>
          <w:rFonts w:hint="eastAsia" w:ascii="宋体" w:hAnsi="宋体"/>
          <w:szCs w:val="28"/>
        </w:rPr>
        <w:t>；</w:t>
      </w:r>
    </w:p>
    <w:p>
      <w:pPr>
        <w:ind w:firstLine="560"/>
        <w:rPr>
          <w:rFonts w:ascii="宋体" w:hAnsi="宋体"/>
          <w:szCs w:val="28"/>
        </w:rPr>
      </w:pPr>
      <w:r>
        <w:rPr>
          <w:rFonts w:ascii="宋体" w:hAnsi="宋体"/>
          <w:szCs w:val="28"/>
        </w:rPr>
        <w:t>4 采用穿墙螺栓加固模板，</w:t>
      </w:r>
      <w:r>
        <w:rPr>
          <w:rFonts w:hint="eastAsia" w:ascii="宋体" w:hAnsi="宋体"/>
          <w:szCs w:val="28"/>
        </w:rPr>
        <w:t>宜</w:t>
      </w:r>
      <w:r>
        <w:rPr>
          <w:rFonts w:ascii="宋体" w:hAnsi="宋体"/>
          <w:szCs w:val="28"/>
        </w:rPr>
        <w:t>优先采用三段式对拉螺栓，即两端可拆卸的对拉螺栓，对于地下空间外墙、水池外墙，功能分区隔墙</w:t>
      </w:r>
      <w:r>
        <w:rPr>
          <w:rFonts w:hint="eastAsia" w:ascii="宋体" w:hAnsi="宋体"/>
          <w:szCs w:val="28"/>
        </w:rPr>
        <w:t>应</w:t>
      </w:r>
      <w:r>
        <w:rPr>
          <w:rFonts w:ascii="宋体" w:hAnsi="宋体"/>
          <w:szCs w:val="28"/>
        </w:rPr>
        <w:t>设置止水环，螺栓拆除后应留有30mm~50mm深的锥型槽，封堵砂浆宜</w:t>
      </w:r>
      <w:r>
        <w:rPr>
          <w:rFonts w:hint="eastAsia" w:ascii="宋体" w:hAnsi="宋体"/>
          <w:szCs w:val="28"/>
        </w:rPr>
        <w:t>掺</w:t>
      </w:r>
      <w:r>
        <w:rPr>
          <w:rFonts w:ascii="宋体" w:hAnsi="宋体"/>
          <w:szCs w:val="28"/>
        </w:rPr>
        <w:t>入建筑胶水，并进行配色，以使得封堵完成后外观美观；</w:t>
      </w:r>
    </w:p>
    <w:p>
      <w:pPr>
        <w:ind w:firstLine="560"/>
        <w:rPr>
          <w:rFonts w:ascii="宋体" w:hAnsi="宋体"/>
          <w:szCs w:val="28"/>
        </w:rPr>
      </w:pPr>
      <w:r>
        <w:rPr>
          <w:rFonts w:ascii="宋体" w:hAnsi="宋体"/>
          <w:szCs w:val="28"/>
        </w:rPr>
        <w:t>5 高大模板部位施工，宜先施工墙、柱混凝土，并采取有效的扶墙、抱柱措施后再进行顶部梁板施工；</w:t>
      </w:r>
    </w:p>
    <w:p>
      <w:pPr>
        <w:ind w:firstLine="560"/>
        <w:rPr>
          <w:rFonts w:ascii="宋体" w:hAnsi="宋体"/>
          <w:szCs w:val="28"/>
        </w:rPr>
      </w:pPr>
      <w:r>
        <w:rPr>
          <w:rFonts w:ascii="宋体" w:hAnsi="宋体"/>
          <w:szCs w:val="28"/>
        </w:rPr>
        <w:t>6 模板拆除应按现行国家标准《混凝土结构工程施工质量验收规范》GB 50204的相关规定执行。但对与水池外墙、地下空间外墙等有防渗要求较高的墙体，一般等强时间宜不小于3天；当板（梁）面有使用荷载时，以及对防水有要求的如顶板、水渠底板等拆除强度等级应适当加强。</w:t>
      </w:r>
    </w:p>
    <w:p>
      <w:pPr>
        <w:ind w:firstLine="0" w:firstLineChars="0"/>
        <w:rPr>
          <w:rFonts w:ascii="宋体" w:hAnsi="宋体"/>
          <w:szCs w:val="28"/>
        </w:rPr>
      </w:pPr>
      <w:r>
        <w:rPr>
          <w:b/>
          <w:szCs w:val="32"/>
          <w:lang w:val="zh-CN"/>
        </w:rPr>
        <w:t>5.2.13</w:t>
      </w:r>
      <w:r>
        <w:rPr>
          <w:b/>
        </w:rPr>
        <w:t xml:space="preserve">  </w:t>
      </w:r>
      <w:r>
        <w:rPr>
          <w:rFonts w:hint="eastAsia" w:ascii="宋体" w:hAnsi="宋体"/>
          <w:szCs w:val="28"/>
        </w:rPr>
        <w:t>对涉及设备安装的预留孔洞、地脚螺栓、预埋件及设备基础等，应结合设备材料的招标采购结果及设备厂家出具的设备安装详图进行复核，无误后方可隐蔽。</w:t>
      </w:r>
    </w:p>
    <w:p>
      <w:pPr>
        <w:ind w:firstLine="0" w:firstLineChars="0"/>
        <w:rPr>
          <w:rFonts w:ascii="宋体" w:hAnsi="宋体"/>
          <w:szCs w:val="28"/>
        </w:rPr>
      </w:pPr>
      <w:r>
        <w:rPr>
          <w:b/>
          <w:szCs w:val="32"/>
          <w:lang w:val="zh-CN"/>
        </w:rPr>
        <w:t>5.2.14</w:t>
      </w:r>
      <w:r>
        <w:rPr>
          <w:b/>
        </w:rPr>
        <w:t xml:space="preserve">  </w:t>
      </w:r>
      <w:r>
        <w:rPr>
          <w:rFonts w:ascii="宋体" w:hAnsi="宋体" w:cstheme="minorEastAsia"/>
          <w:szCs w:val="28"/>
        </w:rPr>
        <w:t>地下式城镇污水处理厂</w:t>
      </w:r>
      <w:r>
        <w:rPr>
          <w:rFonts w:hint="eastAsia" w:ascii="宋体" w:hAnsi="宋体" w:cstheme="minorEastAsia"/>
          <w:szCs w:val="28"/>
        </w:rPr>
        <w:t>地下空间混凝土存在等级多、体积大的实际特点</w:t>
      </w:r>
      <w:r>
        <w:rPr>
          <w:rFonts w:hint="eastAsia" w:ascii="宋体" w:hAnsi="宋体"/>
          <w:szCs w:val="28"/>
        </w:rPr>
        <w:t>。在工程施工时应针对各区域实施针对性的施工方案。</w:t>
      </w:r>
      <w:r>
        <w:rPr>
          <w:rFonts w:ascii="宋体" w:hAnsi="宋体"/>
          <w:b/>
          <w:szCs w:val="28"/>
        </w:rPr>
        <w:t>5.2.15</w:t>
      </w:r>
      <w:r>
        <w:rPr>
          <w:rFonts w:hint="eastAsia" w:ascii="宋体" w:hAnsi="宋体"/>
          <w:szCs w:val="28"/>
        </w:rPr>
        <w:t>土建施工单位在交付安装单位施工前都应进行功能性试验，发现问题及早处理，避免后期安装完成试运行时发现渗漏，加大土建维修施工难度。</w:t>
      </w:r>
    </w:p>
    <w:p>
      <w:pPr>
        <w:ind w:firstLine="0" w:firstLineChars="0"/>
        <w:rPr>
          <w:rFonts w:ascii="宋体" w:hAnsi="宋体"/>
          <w:szCs w:val="28"/>
        </w:rPr>
      </w:pPr>
      <w:r>
        <w:rPr>
          <w:b/>
          <w:szCs w:val="32"/>
          <w:lang w:val="zh-CN"/>
        </w:rPr>
        <w:t>5.2.16</w:t>
      </w:r>
      <w:r>
        <w:rPr>
          <w:b/>
        </w:rPr>
        <w:t xml:space="preserve">  </w:t>
      </w:r>
      <w:r>
        <w:rPr>
          <w:rFonts w:hint="eastAsia" w:ascii="宋体" w:hAnsi="宋体"/>
          <w:szCs w:val="28"/>
        </w:rPr>
        <w:t>渗漏是水池类构筑物的主要面临的常见问题、若无法及时处理会对后续工程运行带来较大隐患。水池渗漏往往是由混凝土浇筑质量问题、防水防腐施工质量问题引起的。防水、防腐涂料施工要求基面应干燥、平整，湿度应符合施工要求。</w:t>
      </w:r>
    </w:p>
    <w:p>
      <w:pPr>
        <w:ind w:firstLine="0" w:firstLineChars="0"/>
        <w:rPr>
          <w:rFonts w:ascii="宋体" w:hAnsi="宋体"/>
          <w:szCs w:val="28"/>
        </w:rPr>
      </w:pPr>
      <w:r>
        <w:rPr>
          <w:b/>
          <w:szCs w:val="32"/>
          <w:lang w:val="zh-CN"/>
        </w:rPr>
        <w:t>5.2.17</w:t>
      </w:r>
      <w:r>
        <w:rPr>
          <w:b/>
        </w:rPr>
        <w:t xml:space="preserve">  </w:t>
      </w:r>
      <w:r>
        <w:rPr>
          <w:rFonts w:ascii="宋体" w:hAnsi="宋体"/>
          <w:szCs w:val="28"/>
        </w:rPr>
        <w:t>TPO卷材等反粘型防水卷材施工便利，卷材与底板混凝土粘合形成整体，可有效规避局部防水的缺陷形成密水层，导致防水大面积失效，但需注意TPO防水卷材不宜提前泡水，表面应干净整洁，注意钢筋等焊接工序对卷材的破坏，应设置临时防护，混凝土浇筑前应采用高压水枪冲洗表面。</w:t>
      </w:r>
    </w:p>
    <w:p>
      <w:pPr>
        <w:ind w:firstLine="560"/>
        <w:rPr>
          <w:rFonts w:ascii="宋体" w:hAnsi="宋体"/>
          <w:szCs w:val="28"/>
        </w:rPr>
      </w:pPr>
      <w:r>
        <w:rPr>
          <w:rFonts w:ascii="宋体" w:hAnsi="宋体"/>
          <w:szCs w:val="28"/>
        </w:rPr>
        <w:t xml:space="preserve">3 </w:t>
      </w:r>
      <w:r>
        <w:rPr>
          <w:rFonts w:hint="eastAsia" w:ascii="宋体" w:hAnsi="宋体"/>
          <w:szCs w:val="28"/>
        </w:rPr>
        <w:t>防水材料的选择</w:t>
      </w:r>
      <w:r>
        <w:rPr>
          <w:rFonts w:ascii="宋体" w:hAnsi="宋体"/>
          <w:szCs w:val="28"/>
        </w:rPr>
        <w:t>主要考虑基坑有限空间动火作业的安全性。</w:t>
      </w:r>
    </w:p>
    <w:p>
      <w:pPr>
        <w:ind w:firstLine="560"/>
        <w:rPr>
          <w:rFonts w:ascii="宋体" w:hAnsi="宋体"/>
          <w:szCs w:val="28"/>
        </w:rPr>
      </w:pPr>
      <w:r>
        <w:rPr>
          <w:rFonts w:ascii="宋体" w:hAnsi="宋体"/>
          <w:szCs w:val="28"/>
        </w:rPr>
        <w:t>4 顶板防水卷材应具有耐根穿刺功能，要特别重视防水涂料的设计和施工质量。顶板防水保护层的主要作用是对卷材的保护，以及一定的阻根作用，自身并不具备防水功能，因此对抗裂要求并不高，无需设置钢筋网片。</w:t>
      </w:r>
    </w:p>
    <w:p>
      <w:pPr>
        <w:pStyle w:val="3"/>
        <w:numPr>
          <w:ilvl w:val="0"/>
          <w:numId w:val="0"/>
        </w:numPr>
        <w:spacing w:before="312" w:beforeLines="100" w:after="312" w:afterLines="100"/>
      </w:pPr>
      <w:bookmarkStart w:id="3855" w:name="_Toc132893906"/>
      <w:r>
        <w:rPr>
          <w:rFonts w:hint="eastAsia"/>
        </w:rPr>
        <w:t>5</w:t>
      </w:r>
      <w:r>
        <w:t xml:space="preserve">.3 </w:t>
      </w:r>
      <w:r>
        <w:rPr>
          <w:rFonts w:hint="eastAsia"/>
        </w:rPr>
        <w:t>机电设备安装与调试</w:t>
      </w:r>
      <w:bookmarkEnd w:id="3855"/>
    </w:p>
    <w:p>
      <w:pPr>
        <w:ind w:firstLine="0" w:firstLineChars="0"/>
        <w:rPr>
          <w:rFonts w:ascii="宋体" w:hAnsi="宋体"/>
          <w:szCs w:val="28"/>
        </w:rPr>
      </w:pPr>
      <w:r>
        <w:rPr>
          <w:b/>
          <w:szCs w:val="32"/>
          <w:lang w:val="zh-CN"/>
        </w:rPr>
        <w:t>5.3.1</w:t>
      </w:r>
      <w:r>
        <w:rPr>
          <w:b/>
        </w:rPr>
        <w:t xml:space="preserve">  </w:t>
      </w:r>
      <w:r>
        <w:rPr>
          <w:rFonts w:hint="eastAsia" w:ascii="宋体" w:hAnsi="宋体"/>
          <w:szCs w:val="28"/>
        </w:rPr>
        <w:t>本条明确了地下式城镇污水处理厂设备安装应具备的条件。设备安装前，应对照检查是否符合要求，不能盲目安装。设备安装应保证设备的运输通道通畅，设备安装图和随机技术文件、设备安装说明书等资料齐全。</w:t>
      </w:r>
    </w:p>
    <w:p>
      <w:pPr>
        <w:ind w:firstLine="0" w:firstLineChars="0"/>
        <w:rPr>
          <w:rFonts w:ascii="宋体" w:hAnsi="宋体"/>
          <w:szCs w:val="28"/>
        </w:rPr>
      </w:pPr>
      <w:r>
        <w:rPr>
          <w:b/>
          <w:szCs w:val="32"/>
          <w:lang w:val="zh-CN"/>
        </w:rPr>
        <w:t>5.3.2</w:t>
      </w:r>
      <w:r>
        <w:rPr>
          <w:b/>
        </w:rPr>
        <w:t xml:space="preserve">  </w:t>
      </w:r>
      <w:r>
        <w:rPr>
          <w:rFonts w:hint="eastAsia" w:ascii="宋体" w:hAnsi="宋体"/>
          <w:szCs w:val="28"/>
        </w:rPr>
        <w:t>由于地下式城镇污水处理厂一般都进行加盖设计，盖板封闭后导致一些设备维修吊装和安装难度加大，因此需要提前进行安装洞口的规划，避免后期实施困难，或者无法实施。</w:t>
      </w:r>
    </w:p>
    <w:p>
      <w:pPr>
        <w:ind w:firstLine="0" w:firstLineChars="0"/>
        <w:rPr>
          <w:rFonts w:ascii="宋体" w:hAnsi="宋体"/>
          <w:szCs w:val="28"/>
        </w:rPr>
      </w:pPr>
      <w:r>
        <w:rPr>
          <w:b/>
          <w:szCs w:val="32"/>
          <w:lang w:val="zh-CN"/>
        </w:rPr>
        <w:t>5.3.3</w:t>
      </w:r>
      <w:r>
        <w:rPr>
          <w:b/>
        </w:rPr>
        <w:t xml:space="preserve">  </w:t>
      </w:r>
      <w:r>
        <w:rPr>
          <w:rFonts w:hint="eastAsia" w:ascii="宋体" w:hAnsi="宋体"/>
          <w:szCs w:val="28"/>
        </w:rPr>
        <w:t>地下式城镇污水处理厂设备数量大、类型多；设备开箱验收是安装工程的一个重要环节，建设单位、设备安装施工单位、监理单位、设备制造商等单位应及时参加，认真填写设备开箱检查记录。</w:t>
      </w:r>
    </w:p>
    <w:p>
      <w:pPr>
        <w:ind w:firstLine="560"/>
        <w:rPr>
          <w:rFonts w:ascii="宋体" w:hAnsi="宋体"/>
          <w:szCs w:val="28"/>
        </w:rPr>
      </w:pPr>
      <w:r>
        <w:rPr>
          <w:rFonts w:hint="eastAsia" w:ascii="宋体" w:hAnsi="宋体"/>
          <w:szCs w:val="28"/>
        </w:rPr>
        <w:t>设备开箱应使用专用的开箱器械，设备开箱检查、清点完毕后，对每个部件应进行标识，并临时封存。</w:t>
      </w:r>
    </w:p>
    <w:p>
      <w:pPr>
        <w:ind w:firstLine="0" w:firstLineChars="0"/>
        <w:rPr>
          <w:rFonts w:ascii="宋体" w:hAnsi="宋体"/>
          <w:szCs w:val="28"/>
        </w:rPr>
      </w:pPr>
      <w:r>
        <w:rPr>
          <w:b/>
          <w:szCs w:val="32"/>
          <w:lang w:val="zh-CN"/>
        </w:rPr>
        <w:t>5.3.6</w:t>
      </w:r>
      <w:r>
        <w:rPr>
          <w:b/>
        </w:rPr>
        <w:t xml:space="preserve">  </w:t>
      </w:r>
      <w:r>
        <w:rPr>
          <w:rFonts w:hint="eastAsia" w:ascii="宋体" w:hAnsi="宋体"/>
          <w:szCs w:val="28"/>
        </w:rPr>
        <w:t>地下空间各单体聚合布置、存在较多的设备、管线交叉布置及空间综合利用，搅拌器、推流器安装池体应符合其对空间尺寸的要求，包括下降装置工作引起的搅拌器、推流器可能的转动所需空间。</w:t>
      </w:r>
    </w:p>
    <w:p>
      <w:pPr>
        <w:ind w:firstLine="0" w:firstLineChars="0"/>
        <w:rPr>
          <w:rFonts w:ascii="宋体" w:hAnsi="宋体"/>
          <w:szCs w:val="28"/>
        </w:rPr>
      </w:pPr>
      <w:r>
        <w:rPr>
          <w:b/>
          <w:szCs w:val="32"/>
          <w:lang w:val="zh-CN"/>
        </w:rPr>
        <w:t>5.3.7</w:t>
      </w:r>
      <w:r>
        <w:rPr>
          <w:b/>
        </w:rPr>
        <w:t xml:space="preserve">  </w:t>
      </w:r>
      <w:r>
        <w:rPr>
          <w:rFonts w:hint="eastAsia" w:ascii="宋体" w:hAnsi="宋体"/>
          <w:szCs w:val="28"/>
        </w:rPr>
        <w:t>膜处理设备在膜过流参数、膜组件、清洗维护等方面参数差异较大，进行设备安装前应依据中标设备厂家的施工导图进行复核确认无误后方可安装。</w:t>
      </w:r>
    </w:p>
    <w:p>
      <w:pPr>
        <w:ind w:firstLine="0" w:firstLineChars="0"/>
        <w:rPr>
          <w:rFonts w:ascii="宋体" w:hAnsi="宋体"/>
          <w:szCs w:val="28"/>
        </w:rPr>
      </w:pPr>
      <w:r>
        <w:rPr>
          <w:b/>
          <w:szCs w:val="32"/>
          <w:lang w:val="zh-CN"/>
        </w:rPr>
        <w:t>5.3.8</w:t>
      </w:r>
      <w:r>
        <w:rPr>
          <w:b/>
        </w:rPr>
        <w:t xml:space="preserve">  </w:t>
      </w:r>
      <w:r>
        <w:rPr>
          <w:rFonts w:hint="eastAsia" w:ascii="宋体" w:hAnsi="宋体"/>
          <w:szCs w:val="28"/>
        </w:rPr>
        <w:t>紫外消毒设备各参数差异较大，进行设备安装前应依据中标设备厂家的施工导图进行复核确认无误后方可安装。</w:t>
      </w:r>
    </w:p>
    <w:p>
      <w:pPr>
        <w:ind w:firstLine="0" w:firstLineChars="0"/>
        <w:rPr>
          <w:rFonts w:ascii="宋体" w:hAnsi="宋体"/>
          <w:szCs w:val="28"/>
        </w:rPr>
      </w:pPr>
      <w:r>
        <w:rPr>
          <w:b/>
          <w:szCs w:val="32"/>
          <w:lang w:val="zh-CN"/>
        </w:rPr>
        <w:t>5.3.9</w:t>
      </w:r>
      <w:r>
        <w:rPr>
          <w:b/>
        </w:rPr>
        <w:t xml:space="preserve">  </w:t>
      </w:r>
      <w:r>
        <w:rPr>
          <w:rFonts w:hint="eastAsia" w:ascii="宋体" w:hAnsi="宋体"/>
          <w:szCs w:val="28"/>
        </w:rPr>
        <w:t>地下式城镇污水处理厂地下空间受限、通常不存在较大的预留改造空间，采用的污泥脱水、干化设备及配套设施在尺寸参数、性能参数均应满足相应的技术要求。</w:t>
      </w:r>
    </w:p>
    <w:p>
      <w:pPr>
        <w:ind w:firstLine="0" w:firstLineChars="0"/>
        <w:rPr>
          <w:rFonts w:ascii="宋体" w:hAnsi="宋体"/>
          <w:szCs w:val="28"/>
        </w:rPr>
      </w:pPr>
      <w:r>
        <w:rPr>
          <w:b/>
          <w:szCs w:val="32"/>
          <w:lang w:val="zh-CN"/>
        </w:rPr>
        <w:t>5.3.12</w:t>
      </w:r>
      <w:r>
        <w:rPr>
          <w:b/>
        </w:rPr>
        <w:t xml:space="preserve">  </w:t>
      </w:r>
      <w:r>
        <w:rPr>
          <w:rFonts w:hint="eastAsia" w:ascii="宋体" w:hAnsi="宋体"/>
          <w:szCs w:val="28"/>
        </w:rPr>
        <w:t>考虑</w:t>
      </w:r>
      <w:r>
        <w:rPr>
          <w:rFonts w:ascii="宋体" w:hAnsi="宋体"/>
          <w:szCs w:val="28"/>
        </w:rPr>
        <w:t>地下</w:t>
      </w:r>
      <w:r>
        <w:rPr>
          <w:rFonts w:hint="eastAsia" w:ascii="宋体" w:hAnsi="宋体"/>
          <w:szCs w:val="28"/>
        </w:rPr>
        <w:t>城镇</w:t>
      </w:r>
      <w:r>
        <w:rPr>
          <w:rFonts w:ascii="宋体" w:hAnsi="宋体"/>
          <w:szCs w:val="28"/>
        </w:rPr>
        <w:t>污水</w:t>
      </w:r>
      <w:r>
        <w:rPr>
          <w:rFonts w:hint="eastAsia" w:ascii="宋体" w:hAnsi="宋体"/>
          <w:szCs w:val="28"/>
        </w:rPr>
        <w:t>处理</w:t>
      </w:r>
      <w:r>
        <w:rPr>
          <w:rFonts w:ascii="宋体" w:hAnsi="宋体"/>
          <w:szCs w:val="28"/>
        </w:rPr>
        <w:t>厂</w:t>
      </w:r>
      <w:r>
        <w:rPr>
          <w:rFonts w:hint="eastAsia" w:ascii="宋体" w:hAnsi="宋体"/>
          <w:szCs w:val="28"/>
        </w:rPr>
        <w:t>空间</w:t>
      </w:r>
      <w:r>
        <w:rPr>
          <w:rFonts w:ascii="宋体" w:hAnsi="宋体"/>
          <w:szCs w:val="28"/>
        </w:rPr>
        <w:t>结构特点，配电箱、控制箱等进线线槽敷设应采用上进线，既节省空间又避免了结露水对电气设备送电及调试的影响，同时避免因设置电缆沟增加层高</w:t>
      </w:r>
      <w:r>
        <w:rPr>
          <w:rFonts w:hint="eastAsia" w:ascii="宋体" w:hAnsi="宋体"/>
          <w:szCs w:val="28"/>
        </w:rPr>
        <w:t>。</w:t>
      </w:r>
    </w:p>
    <w:p>
      <w:pPr>
        <w:ind w:firstLine="0" w:firstLineChars="0"/>
        <w:rPr>
          <w:rFonts w:ascii="宋体" w:hAnsi="宋体"/>
          <w:szCs w:val="28"/>
        </w:rPr>
      </w:pPr>
      <w:r>
        <w:rPr>
          <w:b/>
          <w:szCs w:val="32"/>
          <w:lang w:val="zh-CN"/>
        </w:rPr>
        <w:t>5.3.13</w:t>
      </w:r>
      <w:r>
        <w:rPr>
          <w:b/>
        </w:rPr>
        <w:t xml:space="preserve">  </w:t>
      </w:r>
      <w:r>
        <w:rPr>
          <w:rFonts w:hint="eastAsia" w:ascii="宋体" w:hAnsi="宋体"/>
          <w:szCs w:val="28"/>
        </w:rPr>
        <w:t>地下空间</w:t>
      </w:r>
      <w:r>
        <w:rPr>
          <w:rFonts w:ascii="宋体" w:hAnsi="宋体"/>
          <w:szCs w:val="28"/>
        </w:rPr>
        <w:t>设备金属外壳、金属门窗、金属管道等外露金属可导电部分应就近与接地干线连接，连接处不同金属间应有防电化学腐蚀的措施</w:t>
      </w:r>
      <w:r>
        <w:rPr>
          <w:rFonts w:hint="eastAsia" w:ascii="宋体" w:hAnsi="宋体"/>
          <w:szCs w:val="28"/>
        </w:rPr>
        <w:t>，</w:t>
      </w:r>
      <w:r>
        <w:rPr>
          <w:rFonts w:ascii="宋体" w:hAnsi="宋体"/>
          <w:szCs w:val="28"/>
        </w:rPr>
        <w:t>金属管道</w:t>
      </w:r>
      <w:r>
        <w:rPr>
          <w:rFonts w:hint="eastAsia" w:ascii="宋体" w:hAnsi="宋体"/>
          <w:szCs w:val="28"/>
        </w:rPr>
        <w:t>应设置</w:t>
      </w:r>
      <w:r>
        <w:rPr>
          <w:rFonts w:ascii="宋体" w:hAnsi="宋体"/>
          <w:szCs w:val="28"/>
        </w:rPr>
        <w:t>防杂散电流的</w:t>
      </w:r>
      <w:r>
        <w:rPr>
          <w:rFonts w:hint="eastAsia" w:ascii="宋体" w:hAnsi="宋体"/>
          <w:szCs w:val="28"/>
        </w:rPr>
        <w:t>相应</w:t>
      </w:r>
      <w:r>
        <w:rPr>
          <w:rFonts w:ascii="宋体" w:hAnsi="宋体"/>
          <w:szCs w:val="28"/>
        </w:rPr>
        <w:t>措施。</w:t>
      </w:r>
    </w:p>
    <w:p>
      <w:pPr>
        <w:ind w:firstLine="560"/>
        <w:rPr>
          <w:rFonts w:ascii="宋体" w:hAnsi="宋体"/>
          <w:szCs w:val="28"/>
        </w:rPr>
      </w:pPr>
      <w:r>
        <w:rPr>
          <w:rFonts w:ascii="宋体" w:hAnsi="宋体"/>
          <w:szCs w:val="28"/>
        </w:rPr>
        <w:t>地下构筑物由于其环境潮湿等特点，按设计要求对设备金属外壳、金属门窗、金属管道等外露金属可导电部分均应就近与接地干线连接，连接处不同金属间应有防电化学腐蚀的措施。对金属管道按设计要求还应做好防杂散电流的措施</w:t>
      </w:r>
      <w:r>
        <w:rPr>
          <w:rFonts w:hint="eastAsia" w:ascii="宋体" w:hAnsi="宋体"/>
          <w:szCs w:val="28"/>
        </w:rPr>
        <w:t>。</w:t>
      </w:r>
    </w:p>
    <w:p>
      <w:pPr>
        <w:pStyle w:val="3"/>
        <w:numPr>
          <w:ilvl w:val="0"/>
          <w:numId w:val="0"/>
        </w:numPr>
        <w:spacing w:before="312" w:beforeLines="100" w:after="312" w:afterLines="100"/>
      </w:pPr>
      <w:bookmarkStart w:id="3856" w:name="_Toc132893907"/>
      <w:r>
        <w:rPr>
          <w:rFonts w:hint="eastAsia"/>
        </w:rPr>
        <w:t>5</w:t>
      </w:r>
      <w:r>
        <w:t xml:space="preserve">.4 </w:t>
      </w:r>
      <w:r>
        <w:rPr>
          <w:rFonts w:hint="eastAsia"/>
        </w:rPr>
        <w:t>工程验收</w:t>
      </w:r>
      <w:bookmarkEnd w:id="3856"/>
    </w:p>
    <w:p>
      <w:pPr>
        <w:ind w:firstLine="0" w:firstLineChars="0"/>
        <w:rPr>
          <w:rFonts w:ascii="宋体" w:hAnsi="宋体"/>
          <w:szCs w:val="28"/>
        </w:rPr>
      </w:pPr>
      <w:r>
        <w:rPr>
          <w:b/>
          <w:szCs w:val="32"/>
          <w:lang w:val="zh-CN"/>
        </w:rPr>
        <w:t>5.4.1</w:t>
      </w:r>
      <w:r>
        <w:rPr>
          <w:b/>
        </w:rPr>
        <w:t xml:space="preserve">  </w:t>
      </w:r>
      <w:r>
        <w:rPr>
          <w:rFonts w:hint="eastAsia" w:ascii="宋体" w:hAnsi="宋体"/>
          <w:szCs w:val="28"/>
        </w:rPr>
        <w:t>本条规定了应参加污水处理厂验收的相关单位，除本条规定的单位，政府监管部门以及消防、水务、环保等担负相应社会职责的机构也应参与验收，建设单位或验收的组织者也可邀请具备同等资质的其他单位参与工程验收。</w:t>
      </w:r>
    </w:p>
    <w:p>
      <w:pPr>
        <w:ind w:firstLine="0" w:firstLineChars="0"/>
        <w:rPr>
          <w:rFonts w:ascii="宋体" w:hAnsi="宋体"/>
          <w:szCs w:val="28"/>
        </w:rPr>
      </w:pPr>
      <w:r>
        <w:rPr>
          <w:b/>
          <w:szCs w:val="32"/>
          <w:lang w:val="zh-CN"/>
        </w:rPr>
        <w:t>5.4.2</w:t>
      </w:r>
      <w:r>
        <w:rPr>
          <w:b/>
        </w:rPr>
        <w:t xml:space="preserve">  </w:t>
      </w:r>
      <w:r>
        <w:rPr>
          <w:rFonts w:hint="eastAsia" w:ascii="宋体" w:hAnsi="宋体"/>
          <w:szCs w:val="28"/>
        </w:rPr>
        <w:t>设备安装单机试运转划分归入设备安装工程分项工程；各系统的调试验收按照联合试运转验收要求执行。</w:t>
      </w:r>
    </w:p>
    <w:p>
      <w:pPr>
        <w:ind w:firstLine="0" w:firstLineChars="0"/>
        <w:rPr>
          <w:rFonts w:ascii="宋体" w:hAnsi="宋体"/>
          <w:szCs w:val="28"/>
        </w:rPr>
      </w:pPr>
      <w:r>
        <w:rPr>
          <w:b/>
          <w:szCs w:val="32"/>
          <w:lang w:val="zh-CN"/>
        </w:rPr>
        <w:t>5.4.6</w:t>
      </w:r>
      <w:r>
        <w:rPr>
          <w:b/>
        </w:rPr>
        <w:t xml:space="preserve">  </w:t>
      </w:r>
      <w:r>
        <w:rPr>
          <w:rFonts w:hint="eastAsia" w:ascii="宋体" w:hAnsi="宋体"/>
          <w:szCs w:val="28"/>
        </w:rPr>
        <w:t>验收检验方法应简单实用，便于操作，数据准确可靠。对不适用文中所述检验方法的情况，建设单位、监理单位、施工单位应在验收前确定验收方法及依据的标准要求。</w:t>
      </w:r>
    </w:p>
    <w:p>
      <w:pPr>
        <w:ind w:firstLine="0" w:firstLineChars="0"/>
        <w:rPr>
          <w:rFonts w:ascii="宋体" w:hAnsi="宋体"/>
          <w:szCs w:val="28"/>
        </w:rPr>
      </w:pPr>
      <w:r>
        <w:rPr>
          <w:b/>
          <w:szCs w:val="32"/>
          <w:lang w:val="zh-CN"/>
        </w:rPr>
        <w:t>5.4.7</w:t>
      </w:r>
      <w:r>
        <w:rPr>
          <w:rFonts w:ascii="宋体" w:hAnsi="宋体"/>
          <w:szCs w:val="28"/>
        </w:rPr>
        <w:t xml:space="preserve">  污水处理厂单位（子单位）工程验收合格后，应由建设单位项目负责人组织监理、施工、勘察、设计等单位</w:t>
      </w:r>
      <w:r>
        <w:rPr>
          <w:rFonts w:hint="eastAsia" w:ascii="宋体" w:hAnsi="宋体"/>
          <w:szCs w:val="28"/>
        </w:rPr>
        <w:t>进行联合试运转，并应由施工单位向建设单位提交工程综合竣工报告、申请工程综合竣工验收。</w:t>
      </w:r>
    </w:p>
    <w:p>
      <w:pPr>
        <w:ind w:firstLine="0" w:firstLineChars="0"/>
        <w:rPr>
          <w:rFonts w:ascii="宋体" w:hAnsi="宋体"/>
          <w:szCs w:val="28"/>
        </w:rPr>
      </w:pPr>
      <w:r>
        <w:rPr>
          <w:b/>
          <w:szCs w:val="32"/>
          <w:lang w:val="zh-CN"/>
        </w:rPr>
        <w:t>5.4.10</w:t>
      </w:r>
      <w:r>
        <w:rPr>
          <w:rFonts w:ascii="宋体" w:hAnsi="宋体"/>
          <w:szCs w:val="28"/>
        </w:rPr>
        <w:t xml:space="preserve">  </w:t>
      </w:r>
      <w:r>
        <w:rPr>
          <w:rFonts w:hint="eastAsia" w:ascii="宋体" w:hAnsi="宋体"/>
          <w:szCs w:val="28"/>
        </w:rPr>
        <w:t>综合竣工验收报告可参照住建部发布的《房屋建筑和市政基础设施工程竣工验收规定》（建质</w:t>
      </w:r>
      <w:r>
        <w:rPr>
          <w:rFonts w:hint="eastAsia" w:ascii="宋体" w:hAnsi="宋体"/>
          <w:szCs w:val="28"/>
          <w:lang w:eastAsia="zh-CN"/>
        </w:rPr>
        <w:t>〔</w:t>
      </w:r>
      <w:r>
        <w:rPr>
          <w:rFonts w:ascii="宋体" w:hAnsi="宋体"/>
          <w:szCs w:val="28"/>
        </w:rPr>
        <w:t>2013</w:t>
      </w:r>
      <w:r>
        <w:rPr>
          <w:rFonts w:hint="eastAsia" w:ascii="宋体" w:hAnsi="宋体"/>
          <w:szCs w:val="28"/>
          <w:lang w:eastAsia="zh-CN"/>
        </w:rPr>
        <w:t>〕</w:t>
      </w:r>
      <w:r>
        <w:rPr>
          <w:rFonts w:ascii="宋体" w:hAnsi="宋体"/>
          <w:szCs w:val="28"/>
        </w:rPr>
        <w:t>171</w:t>
      </w:r>
      <w:r>
        <w:rPr>
          <w:rFonts w:hint="eastAsia" w:ascii="宋体" w:hAnsi="宋体"/>
          <w:szCs w:val="28"/>
        </w:rPr>
        <w:t>号）的相关内容编制。</w:t>
      </w:r>
    </w:p>
    <w:p>
      <w:pPr>
        <w:pStyle w:val="3"/>
        <w:numPr>
          <w:ilvl w:val="0"/>
          <w:numId w:val="0"/>
        </w:numPr>
        <w:spacing w:before="312" w:beforeLines="100" w:after="312" w:afterLines="100"/>
      </w:pPr>
      <w:bookmarkStart w:id="3857" w:name="_Toc132893908"/>
      <w:r>
        <w:rPr>
          <w:rFonts w:hint="eastAsia"/>
        </w:rPr>
        <w:t>5</w:t>
      </w:r>
      <w:r>
        <w:t xml:space="preserve">.5 </w:t>
      </w:r>
      <w:r>
        <w:rPr>
          <w:rFonts w:hint="eastAsia"/>
        </w:rPr>
        <w:t>工程移交</w:t>
      </w:r>
      <w:bookmarkEnd w:id="3857"/>
    </w:p>
    <w:p>
      <w:pPr>
        <w:ind w:firstLine="0" w:firstLineChars="0"/>
        <w:rPr>
          <w:rFonts w:ascii="宋体" w:hAnsi="宋体"/>
          <w:szCs w:val="28"/>
        </w:rPr>
        <w:sectPr>
          <w:pgSz w:w="11906" w:h="16838"/>
          <w:pgMar w:top="1440" w:right="1440" w:bottom="1117" w:left="1800" w:header="851" w:footer="992" w:gutter="0"/>
          <w:cols w:space="425" w:num="1"/>
          <w:docGrid w:type="lines" w:linePitch="312" w:charSpace="0"/>
        </w:sectPr>
      </w:pPr>
      <w:r>
        <w:rPr>
          <w:b/>
          <w:szCs w:val="32"/>
          <w:lang w:val="zh-CN"/>
        </w:rPr>
        <w:t>5.5.1</w:t>
      </w:r>
      <w:r>
        <w:rPr>
          <w:rFonts w:ascii="宋体" w:hAnsi="宋体"/>
          <w:szCs w:val="28"/>
        </w:rPr>
        <w:t xml:space="preserve">  </w:t>
      </w:r>
      <w:r>
        <w:rPr>
          <w:rFonts w:hint="eastAsia" w:ascii="宋体" w:hAnsi="宋体"/>
          <w:szCs w:val="28"/>
        </w:rPr>
        <w:t>目前我国正在逐步加强建设工程质量管理标准化工作。</w:t>
      </w:r>
      <w:r>
        <w:rPr>
          <w:rFonts w:ascii="宋体" w:hAnsi="宋体"/>
          <w:szCs w:val="28"/>
        </w:rPr>
        <w:t>地下式城镇污水处理厂</w:t>
      </w:r>
      <w:r>
        <w:rPr>
          <w:rFonts w:hint="eastAsia" w:ascii="宋体" w:hAnsi="宋体"/>
          <w:szCs w:val="28"/>
        </w:rPr>
        <w:t>由于项目复杂、后续营运管理需要准确、详细的前期工程资料作为管理依据。项目归档资料的内容、格式应符合现行国家法律标准《建设工程质量管理条例》（国务院第2</w:t>
      </w:r>
      <w:r>
        <w:rPr>
          <w:rFonts w:ascii="宋体" w:hAnsi="宋体"/>
          <w:szCs w:val="28"/>
        </w:rPr>
        <w:t>79</w:t>
      </w:r>
      <w:r>
        <w:rPr>
          <w:rFonts w:hint="eastAsia" w:ascii="宋体" w:hAnsi="宋体"/>
          <w:szCs w:val="28"/>
        </w:rPr>
        <w:t>号令）、《建设工程文件归档整理规范》 GB/T</w:t>
      </w:r>
      <w:r>
        <w:rPr>
          <w:rFonts w:ascii="宋体" w:hAnsi="宋体"/>
          <w:szCs w:val="28"/>
        </w:rPr>
        <w:t xml:space="preserve"> </w:t>
      </w:r>
      <w:r>
        <w:rPr>
          <w:rFonts w:hint="eastAsia" w:ascii="宋体" w:hAnsi="宋体"/>
          <w:szCs w:val="28"/>
        </w:rPr>
        <w:t>50328、 《水利水电工程施工质量检验与评定规程》SL</w:t>
      </w:r>
      <w:r>
        <w:rPr>
          <w:rFonts w:ascii="宋体" w:hAnsi="宋体"/>
          <w:szCs w:val="28"/>
        </w:rPr>
        <w:t xml:space="preserve"> </w:t>
      </w:r>
      <w:r>
        <w:rPr>
          <w:rFonts w:hint="eastAsia" w:ascii="宋体" w:hAnsi="宋体"/>
          <w:szCs w:val="28"/>
        </w:rPr>
        <w:t>176、《水利水电建设工程验收规程》（ SL223）的有关规定、同时也应符合现行《印发〈广东省市政基础设施工程施工质量技术资料统一用表〉的通知》及项目所在地的档案管理规定。</w:t>
      </w:r>
    </w:p>
    <w:p>
      <w:pPr>
        <w:pStyle w:val="2"/>
        <w:numPr>
          <w:ilvl w:val="0"/>
          <w:numId w:val="0"/>
        </w:numPr>
        <w:spacing w:before="624" w:after="624"/>
        <w:rPr>
          <w:color w:val="auto"/>
        </w:rPr>
      </w:pPr>
      <w:bookmarkStart w:id="3858" w:name="_Toc132893909"/>
      <w:r>
        <w:rPr>
          <w:rFonts w:hint="eastAsia"/>
          <w:color w:val="auto"/>
        </w:rPr>
        <w:t>6</w:t>
      </w:r>
      <w:r>
        <w:rPr>
          <w:color w:val="auto"/>
        </w:rPr>
        <w:t xml:space="preserve"> </w:t>
      </w:r>
      <w:r>
        <w:rPr>
          <w:rFonts w:hint="eastAsia"/>
          <w:color w:val="auto"/>
        </w:rPr>
        <w:t>运行和维护</w:t>
      </w:r>
      <w:bookmarkEnd w:id="3858"/>
    </w:p>
    <w:p>
      <w:pPr>
        <w:pStyle w:val="3"/>
        <w:numPr>
          <w:ilvl w:val="0"/>
          <w:numId w:val="0"/>
        </w:numPr>
        <w:spacing w:before="312" w:beforeLines="100" w:after="312" w:afterLines="100"/>
      </w:pPr>
      <w:bookmarkStart w:id="3859" w:name="_Toc132893910"/>
      <w:r>
        <w:rPr>
          <w:rFonts w:hint="eastAsia"/>
        </w:rPr>
        <w:t>6</w:t>
      </w:r>
      <w:r>
        <w:t xml:space="preserve">.1 </w:t>
      </w:r>
      <w:r>
        <w:rPr>
          <w:rFonts w:hint="eastAsia"/>
        </w:rPr>
        <w:t>一般规定</w:t>
      </w:r>
      <w:bookmarkEnd w:id="3859"/>
    </w:p>
    <w:p>
      <w:pPr>
        <w:ind w:firstLine="0" w:firstLineChars="0"/>
        <w:rPr>
          <w:rFonts w:ascii="宋体" w:hAnsi="宋体"/>
          <w:b/>
          <w:szCs w:val="28"/>
        </w:rPr>
      </w:pPr>
      <w:r>
        <w:rPr>
          <w:b/>
          <w:szCs w:val="32"/>
          <w:lang w:val="zh-CN"/>
        </w:rPr>
        <w:t>6.1.1</w:t>
      </w:r>
      <w:r>
        <w:rPr>
          <w:rFonts w:ascii="宋体" w:hAnsi="宋体"/>
          <w:szCs w:val="28"/>
        </w:rPr>
        <w:t xml:space="preserve">  </w:t>
      </w:r>
      <w:r>
        <w:rPr>
          <w:rFonts w:hint="eastAsia" w:ascii="宋体" w:hAnsi="宋体"/>
          <w:szCs w:val="28"/>
        </w:rPr>
        <w:t>广东省具有年降雨量量大、降雨强度大的气候特征，且近年极端天气频率增加。</w:t>
      </w:r>
      <w:r>
        <w:rPr>
          <w:rFonts w:hint="eastAsia"/>
          <w:szCs w:val="28"/>
          <w:lang w:val="zh-CN"/>
        </w:rPr>
        <w:t>地下式城镇污水处理厂主要处理构筑物及相应处理设备聚合布置在地下空间内，对于防汛防淹、有限空间安全等为关注的重点。</w:t>
      </w:r>
    </w:p>
    <w:p>
      <w:pPr>
        <w:ind w:firstLine="0" w:firstLineChars="0"/>
        <w:rPr>
          <w:szCs w:val="28"/>
        </w:rPr>
      </w:pPr>
      <w:r>
        <w:rPr>
          <w:b/>
          <w:szCs w:val="32"/>
          <w:lang w:val="zh-CN"/>
        </w:rPr>
        <w:t>6.1.2</w:t>
      </w:r>
      <w:r>
        <w:rPr>
          <w:rFonts w:ascii="宋体" w:hAnsi="宋体"/>
          <w:szCs w:val="28"/>
        </w:rPr>
        <w:t xml:space="preserve">  </w:t>
      </w:r>
      <w:r>
        <w:rPr>
          <w:rFonts w:hint="eastAsia" w:ascii="宋体" w:hAnsi="宋体"/>
          <w:szCs w:val="28"/>
        </w:rPr>
        <w:t>考虑到地下式城镇污水处理厂特点，依据《城乡排水工程项目规范》G</w:t>
      </w:r>
      <w:r>
        <w:rPr>
          <w:rFonts w:ascii="宋体" w:hAnsi="宋体"/>
          <w:szCs w:val="28"/>
        </w:rPr>
        <w:t xml:space="preserve">B 55027 </w:t>
      </w:r>
      <w:r>
        <w:rPr>
          <w:rFonts w:hint="eastAsia" w:ascii="宋体" w:hAnsi="宋体"/>
          <w:szCs w:val="28"/>
        </w:rPr>
        <w:t>制定本条文</w:t>
      </w:r>
      <w:r>
        <w:rPr>
          <w:rFonts w:hint="eastAsia"/>
          <w:szCs w:val="28"/>
          <w:lang w:val="zh-CN"/>
        </w:rPr>
        <w:t>。</w:t>
      </w:r>
    </w:p>
    <w:p>
      <w:pPr>
        <w:pStyle w:val="3"/>
        <w:numPr>
          <w:ilvl w:val="0"/>
          <w:numId w:val="0"/>
        </w:numPr>
        <w:spacing w:before="312" w:beforeLines="100" w:after="312" w:afterLines="100"/>
      </w:pPr>
      <w:bookmarkStart w:id="3860" w:name="_Toc132893911"/>
      <w:r>
        <w:rPr>
          <w:rFonts w:hint="eastAsia"/>
        </w:rPr>
        <w:t>6</w:t>
      </w:r>
      <w:r>
        <w:t xml:space="preserve">.2 </w:t>
      </w:r>
      <w:r>
        <w:rPr>
          <w:rFonts w:hint="eastAsia"/>
        </w:rPr>
        <w:t>运行管理</w:t>
      </w:r>
      <w:bookmarkEnd w:id="3860"/>
    </w:p>
    <w:p>
      <w:pPr>
        <w:pStyle w:val="124"/>
        <w:ind w:firstLine="0" w:firstLineChars="0"/>
        <w:rPr>
          <w:rFonts w:ascii="宋体" w:hAnsi="宋体"/>
          <w:szCs w:val="28"/>
        </w:rPr>
      </w:pPr>
      <w:r>
        <w:rPr>
          <w:b/>
          <w:szCs w:val="32"/>
          <w:lang w:val="zh-CN"/>
        </w:rPr>
        <w:t>6.2.2</w:t>
      </w:r>
      <w:r>
        <w:rPr>
          <w:rFonts w:ascii="宋体" w:hAnsi="宋体"/>
          <w:szCs w:val="28"/>
        </w:rPr>
        <w:t xml:space="preserve">  </w:t>
      </w:r>
      <w:r>
        <w:rPr>
          <w:rFonts w:hint="eastAsia" w:ascii="宋体" w:hAnsi="宋体"/>
          <w:szCs w:val="28"/>
        </w:rPr>
        <w:t>地下式城镇污水处理厂应结合不同工艺处理单元、不同设施或设备、不同专业类别的特点，分别制定相应操作规程，根据实际工作需要，分类张贴不同类型操作规程到相应工作场合。例如：有膜工艺的单元，应定期检测膜丝性能、污染情况，分析并选用合适的清洗药剂及配比；定期疏通膜架曝气管，保证曝气量；定期清理池底积砂，减少膜丝堵塞、断丝。</w:t>
      </w:r>
    </w:p>
    <w:p>
      <w:pPr>
        <w:ind w:firstLine="560"/>
        <w:rPr>
          <w:rFonts w:ascii="宋体" w:hAnsi="宋体"/>
          <w:szCs w:val="28"/>
        </w:rPr>
      </w:pPr>
      <w:r>
        <w:rPr>
          <w:rFonts w:hint="eastAsia" w:ascii="宋体" w:hAnsi="宋体"/>
          <w:szCs w:val="28"/>
        </w:rPr>
        <w:t>根据不同设备及设施特点制定相应操作规程，可包括工序流程图、启动操作、正常运行操作、停机操作、异常处理、维护及保养、安全事项、相关记录等部分组成。</w:t>
      </w:r>
    </w:p>
    <w:p>
      <w:pPr>
        <w:ind w:firstLine="560"/>
        <w:rPr>
          <w:rFonts w:ascii="宋体" w:hAnsi="宋体"/>
          <w:szCs w:val="28"/>
        </w:rPr>
      </w:pPr>
      <w:r>
        <w:rPr>
          <w:rFonts w:hint="eastAsia" w:ascii="宋体" w:hAnsi="宋体"/>
          <w:szCs w:val="28"/>
        </w:rPr>
        <w:t>针对容易导致地下厂发生重大事故的重要设备及仪表，应增加管理运营和养护频次，例如：进水速闭闸应定期进行启闭检验保障可靠性，每次启闭应至少带电和不带电速闭各</w:t>
      </w:r>
      <w:r>
        <w:rPr>
          <w:rFonts w:ascii="宋体" w:hAnsi="宋体"/>
          <w:szCs w:val="28"/>
        </w:rPr>
        <w:t>1</w:t>
      </w:r>
      <w:r>
        <w:rPr>
          <w:rFonts w:hint="eastAsia" w:ascii="宋体" w:hAnsi="宋体"/>
          <w:szCs w:val="28"/>
        </w:rPr>
        <w:t>次，并应确保进水量突然增大时能立即关闭；生物除臭系统每周至少检查与保养</w:t>
      </w:r>
      <w:r>
        <w:rPr>
          <w:rFonts w:ascii="宋体" w:hAnsi="宋体"/>
          <w:szCs w:val="28"/>
        </w:rPr>
        <w:t>2</w:t>
      </w:r>
      <w:r>
        <w:rPr>
          <w:rFonts w:hint="eastAsia" w:ascii="宋体" w:hAnsi="宋体"/>
          <w:szCs w:val="28"/>
        </w:rPr>
        <w:t>次；臭气检测宜每半年</w:t>
      </w:r>
      <w:r>
        <w:rPr>
          <w:rFonts w:ascii="宋体" w:hAnsi="宋体"/>
          <w:szCs w:val="28"/>
        </w:rPr>
        <w:t>1</w:t>
      </w:r>
      <w:r>
        <w:rPr>
          <w:rFonts w:hint="eastAsia" w:ascii="宋体" w:hAnsi="宋体"/>
          <w:szCs w:val="28"/>
        </w:rPr>
        <w:t>次。</w:t>
      </w:r>
    </w:p>
    <w:p>
      <w:pPr>
        <w:pStyle w:val="124"/>
        <w:ind w:firstLine="0" w:firstLineChars="0"/>
        <w:rPr>
          <w:szCs w:val="28"/>
        </w:rPr>
      </w:pPr>
      <w:r>
        <w:rPr>
          <w:b/>
          <w:szCs w:val="32"/>
          <w:lang w:val="zh-CN"/>
        </w:rPr>
        <w:t>6.2.4</w:t>
      </w:r>
      <w:r>
        <w:rPr>
          <w:rFonts w:ascii="宋体" w:hAnsi="宋体"/>
          <w:szCs w:val="28"/>
        </w:rPr>
        <w:t xml:space="preserve">  </w:t>
      </w:r>
      <w:r>
        <w:rPr>
          <w:rFonts w:hint="eastAsia" w:ascii="宋体" w:hAnsi="宋体"/>
          <w:szCs w:val="28"/>
        </w:rPr>
        <w:t>地下式城镇污水处理厂各水池聚合布置、处理前后联动较多，为更好保障生产，宜考虑各生产因素设置完善的清淤保障方案。</w:t>
      </w:r>
    </w:p>
    <w:p>
      <w:pPr>
        <w:pStyle w:val="124"/>
        <w:ind w:firstLine="0" w:firstLineChars="0"/>
        <w:rPr>
          <w:rFonts w:ascii="宋体" w:hAnsi="宋体"/>
          <w:szCs w:val="28"/>
        </w:rPr>
      </w:pPr>
      <w:r>
        <w:rPr>
          <w:b/>
          <w:szCs w:val="32"/>
          <w:lang w:val="zh-CN"/>
        </w:rPr>
        <w:t>6.2.5</w:t>
      </w:r>
      <w:r>
        <w:rPr>
          <w:rFonts w:ascii="宋体" w:hAnsi="宋体"/>
          <w:szCs w:val="28"/>
        </w:rPr>
        <w:t xml:space="preserve">  </w:t>
      </w:r>
      <w:r>
        <w:rPr>
          <w:rFonts w:hint="eastAsia" w:ascii="宋体" w:hAnsi="宋体"/>
          <w:szCs w:val="28"/>
        </w:rPr>
        <w:t>为了提高污水厂及管网事故情况下城镇各污水系统能协调运行，建立地下厂及配套管网联动、污水处理厂之间、不同流域管网之间的调度机制，污水系统各分区之间及独立污水系统内部的运营管理应实现智能化控制和运行，包括数据采集、数据分析、系统预判、自动运行、应急管理、分析报告等功能，并为智慧城市管理等功能拓展做好预留。</w:t>
      </w:r>
    </w:p>
    <w:p>
      <w:pPr>
        <w:ind w:firstLine="0" w:firstLineChars="0"/>
        <w:rPr>
          <w:szCs w:val="28"/>
        </w:rPr>
      </w:pPr>
      <w:r>
        <w:rPr>
          <w:b/>
          <w:szCs w:val="32"/>
          <w:lang w:val="zh-CN"/>
        </w:rPr>
        <w:t>6.2.6</w:t>
      </w:r>
      <w:r>
        <w:rPr>
          <w:rFonts w:ascii="宋体" w:hAnsi="宋体"/>
          <w:szCs w:val="28"/>
        </w:rPr>
        <w:t xml:space="preserve">  </w:t>
      </w:r>
      <w:r>
        <w:rPr>
          <w:rFonts w:hint="eastAsia" w:ascii="宋体" w:hAnsi="宋体"/>
          <w:szCs w:val="28"/>
        </w:rPr>
        <w:t>考虑到地下式城镇污水处理厂的特点，及更好保障人员安全及厂区安全生产管理要求，应设置明显清晰地厂区边界并进行相应管理。</w:t>
      </w:r>
    </w:p>
    <w:p>
      <w:pPr>
        <w:pStyle w:val="124"/>
        <w:ind w:firstLine="0" w:firstLineChars="0"/>
        <w:rPr>
          <w:rFonts w:ascii="宋体" w:hAnsi="宋体"/>
          <w:szCs w:val="28"/>
        </w:rPr>
      </w:pPr>
      <w:r>
        <w:rPr>
          <w:b/>
          <w:szCs w:val="32"/>
          <w:lang w:val="zh-CN"/>
        </w:rPr>
        <w:t>6.2.7</w:t>
      </w:r>
      <w:r>
        <w:rPr>
          <w:rFonts w:ascii="宋体" w:hAnsi="宋体"/>
          <w:szCs w:val="28"/>
        </w:rPr>
        <w:t xml:space="preserve">  </w:t>
      </w:r>
      <w:r>
        <w:rPr>
          <w:rFonts w:hint="eastAsia" w:ascii="宋体" w:hAnsi="宋体"/>
          <w:szCs w:val="28"/>
        </w:rPr>
        <w:t>地下式城镇污水处理厂各生产单元聚合布置，同时地下空间内被各防火分区措施分隔，为便于生产管理制定本条文。</w:t>
      </w:r>
    </w:p>
    <w:p>
      <w:pPr>
        <w:ind w:firstLine="0" w:firstLineChars="0"/>
        <w:rPr>
          <w:szCs w:val="28"/>
          <w:lang w:val="zh-CN"/>
        </w:rPr>
      </w:pPr>
      <w:r>
        <w:rPr>
          <w:b/>
          <w:szCs w:val="32"/>
          <w:lang w:val="zh-CN"/>
        </w:rPr>
        <w:t>6.2.8</w:t>
      </w:r>
      <w:r>
        <w:rPr>
          <w:rFonts w:ascii="宋体" w:hAnsi="宋体"/>
          <w:szCs w:val="28"/>
        </w:rPr>
        <w:t xml:space="preserve">  </w:t>
      </w:r>
      <w:r>
        <w:rPr>
          <w:rFonts w:hint="eastAsia" w:ascii="宋体" w:hAnsi="宋体"/>
          <w:szCs w:val="28"/>
        </w:rPr>
        <w:t>与地上式污水厂相比，</w:t>
      </w:r>
      <w:r>
        <w:rPr>
          <w:rFonts w:hint="eastAsia"/>
          <w:szCs w:val="28"/>
          <w:lang w:val="zh-CN"/>
        </w:rPr>
        <w:t>地下式城镇污水处理厂存在较多易发生事故地方，设置必要的安全警示标识十分重要，尤其是对进入地下厂区、吊装孔等特殊区域，应标注清楚</w:t>
      </w:r>
      <w:r>
        <w:rPr>
          <w:rFonts w:hint="eastAsia"/>
          <w:szCs w:val="28"/>
        </w:rPr>
        <w:t>限重、限高等特殊要求。</w:t>
      </w:r>
    </w:p>
    <w:p>
      <w:pPr>
        <w:ind w:firstLine="0" w:firstLineChars="0"/>
        <w:rPr>
          <w:szCs w:val="28"/>
        </w:rPr>
      </w:pPr>
      <w:r>
        <w:rPr>
          <w:b/>
          <w:szCs w:val="32"/>
          <w:lang w:val="zh-CN"/>
        </w:rPr>
        <w:t>6.2.11</w:t>
      </w:r>
      <w:r>
        <w:rPr>
          <w:rFonts w:ascii="宋体" w:hAnsi="宋体"/>
          <w:szCs w:val="28"/>
        </w:rPr>
        <w:t xml:space="preserve">  </w:t>
      </w:r>
      <w:r>
        <w:rPr>
          <w:rFonts w:hint="eastAsia" w:ascii="宋体" w:hAnsi="宋体"/>
          <w:szCs w:val="28"/>
        </w:rPr>
        <w:t>地下式城镇污水处理厂空间面积大、分布复杂、通讯讯号相对较差。生产巡检人员巡检时应携带完善的生产、通讯、安全防护装备。</w:t>
      </w:r>
    </w:p>
    <w:p>
      <w:pPr>
        <w:pStyle w:val="124"/>
        <w:ind w:firstLine="0" w:firstLineChars="0"/>
        <w:rPr>
          <w:szCs w:val="28"/>
        </w:rPr>
      </w:pPr>
      <w:r>
        <w:rPr>
          <w:b/>
          <w:szCs w:val="32"/>
          <w:lang w:val="zh-CN"/>
        </w:rPr>
        <w:t>6.2.12</w:t>
      </w:r>
      <w:r>
        <w:rPr>
          <w:rFonts w:ascii="宋体" w:hAnsi="宋体"/>
          <w:szCs w:val="28"/>
        </w:rPr>
        <w:t xml:space="preserve">  </w:t>
      </w:r>
      <w:r>
        <w:rPr>
          <w:rFonts w:hint="eastAsia" w:ascii="宋体" w:hAnsi="宋体"/>
          <w:szCs w:val="28"/>
        </w:rPr>
        <w:t>相对传统地面式污水处理厂，地下式城镇污水处理厂空气流通性稍弱，密闭空间范围大，进入密闭空间操作应严格按照国家安全生产要求实施。</w:t>
      </w:r>
    </w:p>
    <w:p>
      <w:pPr>
        <w:ind w:firstLine="0" w:firstLineChars="0"/>
        <w:rPr>
          <w:rFonts w:ascii="宋体" w:hAnsi="宋体"/>
          <w:szCs w:val="28"/>
        </w:rPr>
      </w:pPr>
      <w:r>
        <w:rPr>
          <w:b/>
          <w:szCs w:val="32"/>
          <w:lang w:val="zh-CN"/>
        </w:rPr>
        <w:t>6.2.13</w:t>
      </w:r>
      <w:r>
        <w:rPr>
          <w:rFonts w:ascii="宋体" w:hAnsi="宋体"/>
          <w:szCs w:val="28"/>
        </w:rPr>
        <w:t xml:space="preserve">  </w:t>
      </w:r>
      <w:r>
        <w:rPr>
          <w:rFonts w:hint="eastAsia" w:ascii="宋体" w:hAnsi="宋体"/>
          <w:szCs w:val="28"/>
        </w:rPr>
        <w:t>依据国家安全生产要求，结合地下式城镇污水处理厂地下空间的特点制定本条文。</w:t>
      </w:r>
    </w:p>
    <w:p>
      <w:pPr>
        <w:pStyle w:val="124"/>
        <w:ind w:firstLine="0" w:firstLineChars="0"/>
        <w:rPr>
          <w:sz w:val="24"/>
        </w:rPr>
      </w:pPr>
    </w:p>
    <w:p>
      <w:pPr>
        <w:pStyle w:val="3"/>
        <w:numPr>
          <w:ilvl w:val="0"/>
          <w:numId w:val="0"/>
        </w:numPr>
        <w:spacing w:before="312" w:beforeLines="100" w:after="312" w:afterLines="100"/>
      </w:pPr>
      <w:bookmarkStart w:id="3861" w:name="_Toc132893912"/>
      <w:r>
        <w:rPr>
          <w:rFonts w:hint="eastAsia"/>
        </w:rPr>
        <w:t>6</w:t>
      </w:r>
      <w:r>
        <w:t xml:space="preserve">.3 </w:t>
      </w:r>
      <w:r>
        <w:rPr>
          <w:rFonts w:hint="eastAsia"/>
        </w:rPr>
        <w:t>日常维护</w:t>
      </w:r>
      <w:bookmarkEnd w:id="3861"/>
    </w:p>
    <w:p>
      <w:pPr>
        <w:ind w:firstLine="0" w:firstLineChars="0"/>
        <w:rPr>
          <w:szCs w:val="28"/>
        </w:rPr>
      </w:pPr>
      <w:r>
        <w:rPr>
          <w:b/>
          <w:szCs w:val="32"/>
          <w:lang w:val="zh-CN"/>
        </w:rPr>
        <w:t>6.3.1</w:t>
      </w:r>
      <w:r>
        <w:rPr>
          <w:rFonts w:ascii="宋体" w:hAnsi="宋体"/>
          <w:szCs w:val="28"/>
        </w:rPr>
        <w:t xml:space="preserve">  </w:t>
      </w:r>
      <w:r>
        <w:rPr>
          <w:rFonts w:hint="eastAsia"/>
          <w:szCs w:val="28"/>
        </w:rPr>
        <w:t>地下式城镇污水处理厂主要生产及配套设施位于地下空间内，较常规污水处理厂增加了配套的通风、消防、安全防护设备，设备类型多</w:t>
      </w:r>
      <w:r>
        <w:rPr>
          <w:szCs w:val="28"/>
        </w:rPr>
        <w:t>。</w:t>
      </w:r>
      <w:r>
        <w:rPr>
          <w:rFonts w:hint="eastAsia"/>
          <w:szCs w:val="28"/>
        </w:rPr>
        <w:t>宜针对厂区特点编制针对性的维护保养规定。</w:t>
      </w:r>
    </w:p>
    <w:p>
      <w:pPr>
        <w:pStyle w:val="124"/>
        <w:ind w:firstLine="0" w:firstLineChars="0"/>
        <w:rPr>
          <w:szCs w:val="28"/>
        </w:rPr>
      </w:pPr>
      <w:r>
        <w:rPr>
          <w:b/>
          <w:szCs w:val="32"/>
          <w:lang w:val="zh-CN"/>
        </w:rPr>
        <w:t>6.3.2</w:t>
      </w:r>
      <w:r>
        <w:rPr>
          <w:rFonts w:ascii="宋体" w:hAnsi="宋体"/>
          <w:szCs w:val="28"/>
        </w:rPr>
        <w:t xml:space="preserve">  </w:t>
      </w:r>
      <w:r>
        <w:rPr>
          <w:rFonts w:hint="eastAsia"/>
          <w:szCs w:val="28"/>
        </w:rPr>
        <w:t>设施设备使用与日常维护应按照操作规程和维护保养手册执行，及时处理跑、冒、滴、漏、堵等问题。进水速闭闸门和电动闸门应定期进行启闭功能测定。栅渣、浮渣、污泥等废弃物的输送系统应定期做好维护保养。</w:t>
      </w:r>
      <w:r>
        <w:rPr>
          <w:szCs w:val="28"/>
        </w:rPr>
        <w:t>对各类配电柜、变压器、开关柜、控制柜(箱)、电缆沟、仪表、搅拌、曝气风机、水泵、闸阀、管(渠)道、盖板、爬梯、照明设备、防淹泡设施等应进行分类，定期检查、维修及防腐处理 。</w:t>
      </w:r>
    </w:p>
    <w:p>
      <w:pPr>
        <w:ind w:firstLine="0" w:firstLineChars="0"/>
        <w:rPr>
          <w:szCs w:val="28"/>
        </w:rPr>
      </w:pPr>
      <w:r>
        <w:rPr>
          <w:b/>
          <w:szCs w:val="32"/>
          <w:lang w:val="zh-CN"/>
        </w:rPr>
        <w:t>6.3.3</w:t>
      </w:r>
      <w:r>
        <w:rPr>
          <w:rFonts w:ascii="宋体" w:hAnsi="宋体"/>
          <w:szCs w:val="28"/>
        </w:rPr>
        <w:t xml:space="preserve">  </w:t>
      </w:r>
      <w:r>
        <w:rPr>
          <w:rFonts w:hint="eastAsia"/>
          <w:szCs w:val="28"/>
        </w:rPr>
        <w:t>应定期巡视、检查和记录通风系统、臭气系统、重要设备及附属设施等的运行状况，并应定期维护。</w:t>
      </w:r>
    </w:p>
    <w:p>
      <w:pPr>
        <w:ind w:firstLine="0" w:firstLineChars="0"/>
        <w:rPr>
          <w:szCs w:val="28"/>
        </w:rPr>
      </w:pPr>
      <w:r>
        <w:rPr>
          <w:b/>
          <w:szCs w:val="32"/>
          <w:lang w:val="zh-CN"/>
        </w:rPr>
        <w:t>6.3.6</w:t>
      </w:r>
      <w:r>
        <w:rPr>
          <w:rFonts w:ascii="宋体" w:hAnsi="宋体"/>
          <w:szCs w:val="28"/>
        </w:rPr>
        <w:t xml:space="preserve">  </w:t>
      </w:r>
      <w:r>
        <w:rPr>
          <w:rFonts w:hint="eastAsia"/>
          <w:szCs w:val="28"/>
          <w:lang w:val="zh-CN"/>
        </w:rPr>
        <w:t>地下式城镇污水处理厂在每年例行大修时，应尽量计划在进水量较小时段大修，同时充分利用并列生产线富余处理能力，减少或避免大修时污水外排污染区域水环境</w:t>
      </w:r>
      <w:r>
        <w:rPr>
          <w:rFonts w:hint="eastAsia"/>
          <w:szCs w:val="28"/>
        </w:rPr>
        <w:t>。</w:t>
      </w:r>
    </w:p>
    <w:p>
      <w:pPr>
        <w:ind w:firstLine="0" w:firstLineChars="0"/>
        <w:rPr>
          <w:szCs w:val="28"/>
          <w:lang w:val="zh-CN"/>
        </w:rPr>
      </w:pPr>
      <w:r>
        <w:rPr>
          <w:b/>
          <w:szCs w:val="32"/>
          <w:lang w:val="zh-CN"/>
        </w:rPr>
        <w:t>6.3.8</w:t>
      </w:r>
      <w:r>
        <w:rPr>
          <w:rFonts w:ascii="宋体" w:hAnsi="宋体"/>
          <w:szCs w:val="28"/>
        </w:rPr>
        <w:t xml:space="preserve">  </w:t>
      </w:r>
      <w:r>
        <w:rPr>
          <w:rFonts w:hint="eastAsia" w:ascii="宋体" w:hAnsi="宋体"/>
          <w:szCs w:val="28"/>
        </w:rPr>
        <w:t>各类检测、监测</w:t>
      </w:r>
      <w:r>
        <w:rPr>
          <w:rFonts w:hint="eastAsia"/>
          <w:szCs w:val="28"/>
          <w:lang w:val="zh-CN"/>
        </w:rPr>
        <w:t>仪器仪表是</w:t>
      </w:r>
      <w:r>
        <w:rPr>
          <w:rFonts w:hint="eastAsia" w:ascii="宋体" w:hAnsi="宋体"/>
          <w:szCs w:val="28"/>
        </w:rPr>
        <w:t>地下式城镇污水厂的自动化控制和智慧决策的基础，应提高维护频次，保障各类仪器仪表正常运行。</w:t>
      </w:r>
    </w:p>
    <w:p>
      <w:pPr>
        <w:ind w:firstLine="0" w:firstLineChars="0"/>
        <w:rPr>
          <w:rFonts w:ascii="宋体" w:hAnsi="宋体"/>
          <w:szCs w:val="28"/>
        </w:rPr>
      </w:pPr>
      <w:r>
        <w:rPr>
          <w:b/>
          <w:szCs w:val="32"/>
          <w:lang w:val="zh-CN"/>
        </w:rPr>
        <w:t>6.3.9</w:t>
      </w:r>
      <w:r>
        <w:rPr>
          <w:rFonts w:ascii="宋体" w:hAnsi="宋体"/>
          <w:szCs w:val="28"/>
        </w:rPr>
        <w:t xml:space="preserve">  </w:t>
      </w:r>
      <w:r>
        <w:rPr>
          <w:rFonts w:hint="eastAsia" w:ascii="宋体" w:hAnsi="宋体"/>
          <w:szCs w:val="28"/>
        </w:rPr>
        <w:t>地下式城镇污水处理厂的防淹措施应加强管理，进水速闭闸门的日常维护尤为重要。</w:t>
      </w:r>
    </w:p>
    <w:p>
      <w:pPr>
        <w:ind w:firstLine="0" w:firstLineChars="0"/>
        <w:rPr>
          <w:rFonts w:ascii="宋体" w:hAnsi="宋体"/>
          <w:szCs w:val="28"/>
        </w:rPr>
      </w:pPr>
      <w:r>
        <w:rPr>
          <w:b/>
          <w:szCs w:val="32"/>
          <w:lang w:val="zh-CN"/>
        </w:rPr>
        <w:t>6.3.10</w:t>
      </w:r>
      <w:r>
        <w:rPr>
          <w:rFonts w:ascii="宋体" w:hAnsi="宋体"/>
          <w:szCs w:val="28"/>
        </w:rPr>
        <w:t xml:space="preserve">  </w:t>
      </w:r>
      <w:r>
        <w:rPr>
          <w:rFonts w:hint="eastAsia" w:ascii="宋体" w:hAnsi="宋体"/>
          <w:szCs w:val="28"/>
        </w:rPr>
        <w:t>地下式城镇污水处理厂的管（渠）道堵塞或坑底泵故障会造成水厂的淹泡现象，应严令杜绝此类事件的发生。</w:t>
      </w:r>
    </w:p>
    <w:p>
      <w:pPr>
        <w:pStyle w:val="3"/>
        <w:numPr>
          <w:ilvl w:val="0"/>
          <w:numId w:val="0"/>
        </w:numPr>
        <w:spacing w:before="312" w:beforeLines="100" w:after="312" w:afterLines="100"/>
      </w:pPr>
      <w:bookmarkStart w:id="3862" w:name="_Toc132893913"/>
      <w:r>
        <w:rPr>
          <w:rFonts w:hint="eastAsia"/>
        </w:rPr>
        <w:t>6</w:t>
      </w:r>
      <w:r>
        <w:t xml:space="preserve">.4 </w:t>
      </w:r>
      <w:r>
        <w:rPr>
          <w:rFonts w:hint="eastAsia"/>
        </w:rPr>
        <w:t>应急管理</w:t>
      </w:r>
      <w:bookmarkEnd w:id="3862"/>
    </w:p>
    <w:p>
      <w:pPr>
        <w:ind w:firstLine="0" w:firstLineChars="0"/>
        <w:rPr>
          <w:rFonts w:ascii="宋体" w:hAnsi="宋体"/>
          <w:szCs w:val="28"/>
        </w:rPr>
      </w:pPr>
      <w:r>
        <w:rPr>
          <w:b/>
          <w:szCs w:val="32"/>
          <w:lang w:val="zh-CN"/>
        </w:rPr>
        <w:t>6.4.1</w:t>
      </w:r>
      <w:r>
        <w:rPr>
          <w:rFonts w:ascii="宋体" w:hAnsi="宋体"/>
          <w:szCs w:val="28"/>
        </w:rPr>
        <w:t xml:space="preserve">  </w:t>
      </w:r>
      <w:r>
        <w:rPr>
          <w:rFonts w:hint="eastAsia" w:ascii="宋体" w:hAnsi="宋体"/>
          <w:szCs w:val="28"/>
        </w:rPr>
        <w:t>地下式城镇污水处理厂应急管理含地下污水厂常规异常和突发事件事故处理，其中，污水厂常规异常事故包括；进水水量和水质超标、出水水质异常、提升水泵事故、各处理单元运行异常、设备异常振动或异常噪音、地下空间渗水、通风除臭系统是否异常等；突发事件包括触电、中毒、防汛防淹、停电、供电或自控系统突发事故、关键性生产设备紧急抢修、重大水质污染、严重超负荷运行、有毒有害气体泄漏、防火防爆、防自然灾害、防溺水、防高空坠落、化验室事故、地下有限空间作业安全生产事故、环境保护、自然灾害等。</w:t>
      </w:r>
    </w:p>
    <w:p>
      <w:pPr>
        <w:ind w:firstLine="0" w:firstLineChars="0"/>
        <w:rPr>
          <w:szCs w:val="28"/>
          <w:lang w:val="zh-CN"/>
        </w:rPr>
      </w:pPr>
      <w:r>
        <w:rPr>
          <w:b/>
          <w:szCs w:val="32"/>
          <w:lang w:val="zh-CN"/>
        </w:rPr>
        <w:t>6.4.2</w:t>
      </w:r>
      <w:r>
        <w:rPr>
          <w:rFonts w:ascii="宋体" w:hAnsi="宋体"/>
          <w:szCs w:val="28"/>
        </w:rPr>
        <w:t xml:space="preserve">  </w:t>
      </w:r>
      <w:r>
        <w:rPr>
          <w:rFonts w:hint="eastAsia"/>
          <w:szCs w:val="28"/>
          <w:lang w:val="zh-CN"/>
        </w:rPr>
        <w:t>地下式城镇污水处理厂应具备防淹能力，针对进水水量含雨水水量等会导致短期内进水水量增加的情况，应与气象监测、地震等预报系统建立协同工作机制，应在地下空间内最低点设置具备应急排涝泵站、制定应急处理预案、配备</w:t>
      </w:r>
      <w:r>
        <w:rPr>
          <w:szCs w:val="28"/>
          <w:lang w:val="zh-CN"/>
        </w:rPr>
        <w:t>充足良好的防汛物资。</w:t>
      </w:r>
    </w:p>
    <w:p>
      <w:pPr>
        <w:ind w:firstLine="0" w:firstLineChars="0"/>
        <w:rPr>
          <w:szCs w:val="28"/>
          <w:lang w:val="zh-CN"/>
        </w:rPr>
      </w:pPr>
      <w:r>
        <w:rPr>
          <w:b/>
          <w:szCs w:val="32"/>
          <w:lang w:val="zh-CN"/>
        </w:rPr>
        <w:t>6.4.3</w:t>
      </w:r>
      <w:r>
        <w:rPr>
          <w:rFonts w:ascii="宋体" w:hAnsi="宋体"/>
          <w:szCs w:val="28"/>
        </w:rPr>
        <w:t xml:space="preserve">  </w:t>
      </w:r>
      <w:r>
        <w:rPr>
          <w:rFonts w:hint="eastAsia" w:ascii="宋体" w:hAnsi="宋体"/>
          <w:szCs w:val="28"/>
        </w:rPr>
        <w:t>当除臭系统进气浓度过高、有毒有害气体检测器发生报警时、易燃易爆风险高场所、粉尘和环境潮湿场所等情况，应加大通风量或启动事故通风模式运行，严禁明火和碰撞，警报解除后在进行相应检查和维护工作。</w:t>
      </w:r>
    </w:p>
    <w:p>
      <w:pPr>
        <w:ind w:firstLine="0" w:firstLineChars="0"/>
        <w:rPr>
          <w:rFonts w:ascii="宋体" w:hAnsi="宋体"/>
          <w:sz w:val="24"/>
          <w:szCs w:val="28"/>
        </w:rPr>
      </w:pPr>
    </w:p>
    <w:p>
      <w:pPr>
        <w:pStyle w:val="3"/>
        <w:numPr>
          <w:ilvl w:val="0"/>
          <w:numId w:val="0"/>
        </w:numPr>
        <w:spacing w:before="312" w:beforeLines="100" w:after="312" w:afterLines="100"/>
      </w:pPr>
      <w:bookmarkStart w:id="3863" w:name="_Toc132893914"/>
      <w:r>
        <w:rPr>
          <w:rFonts w:hint="eastAsia"/>
        </w:rPr>
        <w:t>6</w:t>
      </w:r>
      <w:r>
        <w:t xml:space="preserve">.5 </w:t>
      </w:r>
      <w:r>
        <w:rPr>
          <w:rFonts w:hint="eastAsia"/>
        </w:rPr>
        <w:t>职业健康</w:t>
      </w:r>
      <w:bookmarkEnd w:id="3863"/>
    </w:p>
    <w:p>
      <w:pPr>
        <w:ind w:firstLine="0" w:firstLineChars="0"/>
        <w:rPr>
          <w:sz w:val="24"/>
        </w:rPr>
      </w:pPr>
      <w:r>
        <w:rPr>
          <w:b/>
          <w:szCs w:val="32"/>
          <w:lang w:val="zh-CN"/>
        </w:rPr>
        <w:t>6.5.1</w:t>
      </w:r>
      <w:r>
        <w:rPr>
          <w:rFonts w:ascii="宋体" w:hAnsi="宋体"/>
          <w:szCs w:val="28"/>
        </w:rPr>
        <w:t xml:space="preserve">  </w:t>
      </w:r>
      <w:r>
        <w:rPr>
          <w:rFonts w:hint="eastAsia"/>
          <w:szCs w:val="28"/>
        </w:rPr>
        <w:t>应急处理含应急救援方面的教育、培训和考核。</w:t>
      </w:r>
    </w:p>
    <w:p>
      <w:pPr>
        <w:ind w:firstLine="0" w:firstLineChars="0"/>
      </w:pPr>
    </w:p>
    <w:p>
      <w:pPr>
        <w:pStyle w:val="123"/>
        <w:ind w:firstLine="0" w:firstLineChars="0"/>
      </w:pPr>
    </w:p>
    <w:sectPr>
      <w:pgSz w:w="11906" w:h="16838"/>
      <w:pgMar w:top="1440" w:right="1440" w:bottom="111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TimesNewRomanPS-BoldMT">
    <w:altName w:val="宋体"/>
    <w:panose1 w:val="00000000000000000000"/>
    <w:charset w:val="00"/>
    <w:family w:val="roman"/>
    <w:pitch w:val="default"/>
    <w:sig w:usb0="00000000" w:usb1="00000000" w:usb2="00000000" w:usb3="00000000" w:csb0="00000001"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CID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right"/>
    </w:pPr>
  </w:p>
  <w:p>
    <w:pPr>
      <w:pStyle w:val="42"/>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026120"/>
    </w:sdtPr>
    <w:sdtContent>
      <w:p>
        <w:pPr>
          <w:pStyle w:val="15"/>
          <w:ind w:firstLine="360"/>
          <w:jc w:val="right"/>
        </w:pPr>
        <w:r>
          <w:fldChar w:fldCharType="begin"/>
        </w:r>
        <w:r>
          <w:instrText xml:space="preserve"> PAGE   \* MERGEFORMAT </w:instrText>
        </w:r>
        <w:r>
          <w:fldChar w:fldCharType="separate"/>
        </w:r>
        <w:r>
          <w:rPr>
            <w:lang w:val="zh-CN"/>
          </w:rPr>
          <w:t>50</w:t>
        </w:r>
        <w:r>
          <w:rPr>
            <w:lang w:val="zh-CN"/>
          </w:rPr>
          <w:fldChar w:fldCharType="end"/>
        </w:r>
      </w:p>
    </w:sdtContent>
  </w:sdt>
  <w:p>
    <w:pPr>
      <w:pStyle w:val="42"/>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044259"/>
    </w:sdtPr>
    <w:sdtContent>
      <w:p>
        <w:pPr>
          <w:pStyle w:val="15"/>
          <w:ind w:firstLine="360"/>
          <w:jc w:val="right"/>
        </w:pPr>
        <w:r>
          <w:fldChar w:fldCharType="begin"/>
        </w:r>
        <w:r>
          <w:instrText xml:space="preserve"> PAGE   \* MERGEFORMAT </w:instrText>
        </w:r>
        <w:r>
          <w:fldChar w:fldCharType="separate"/>
        </w:r>
        <w:r>
          <w:rPr>
            <w:lang w:val="zh-CN"/>
          </w:rPr>
          <w:t>34</w:t>
        </w:r>
        <w:r>
          <w:rPr>
            <w:lang w:val="zh-CN"/>
          </w:rPr>
          <w:fldChar w:fldCharType="end"/>
        </w:r>
      </w:p>
    </w:sdtContent>
  </w:sdt>
  <w:p>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ind w:firstLine="360"/>
      <w:rPr>
        <w:rStyle w:val="40"/>
      </w:rPr>
    </w:pPr>
    <w:r>
      <w:fldChar w:fldCharType="begin"/>
    </w:r>
    <w:r>
      <w:rPr>
        <w:rStyle w:val="40"/>
      </w:rPr>
      <w:instrText xml:space="preserve">PAGE  </w:instrText>
    </w:r>
    <w:r>
      <w:fldChar w:fldCharType="separate"/>
    </w:r>
    <w:r>
      <w:rPr>
        <w:rStyle w:val="40"/>
      </w:rPr>
      <w:t>31</w:t>
    </w:r>
    <w:r>
      <w:fldChar w:fldCharType="end"/>
    </w:r>
  </w:p>
  <w:p>
    <w:pPr>
      <w:pStyle w:val="4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14877"/>
    </w:sdtPr>
    <w:sdtContent>
      <w:p>
        <w:pPr>
          <w:pStyle w:val="15"/>
          <w:ind w:firstLine="360"/>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14878"/>
    </w:sdtPr>
    <w:sdtContent>
      <w:p>
        <w:pPr>
          <w:pStyle w:val="15"/>
          <w:ind w:firstLine="360"/>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14879"/>
    </w:sdtPr>
    <w:sdtContent>
      <w:p>
        <w:pPr>
          <w:pStyle w:val="15"/>
          <w:ind w:firstLine="360"/>
          <w:jc w:val="right"/>
        </w:pPr>
        <w:r>
          <w:fldChar w:fldCharType="begin"/>
        </w:r>
        <w:r>
          <w:instrText xml:space="preserve"> PAGE   \* MERGEFORMAT </w:instrText>
        </w:r>
        <w:r>
          <w:fldChar w:fldCharType="separate"/>
        </w:r>
        <w:r>
          <w:rPr>
            <w:lang w:val="zh-CN"/>
          </w:rPr>
          <w:t>48</w:t>
        </w:r>
        <w:r>
          <w:rPr>
            <w:lang w:val="zh-CN"/>
          </w:rPr>
          <w:fldChar w:fldCharType="end"/>
        </w:r>
      </w:p>
    </w:sdtContent>
  </w:sdt>
  <w:p>
    <w:pPr>
      <w:pStyle w:val="4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16680"/>
    </w:sdtPr>
    <w:sdtContent>
      <w:p>
        <w:pPr>
          <w:pStyle w:val="15"/>
          <w:ind w:firstLine="360"/>
          <w:jc w:val="right"/>
        </w:pPr>
        <w:r>
          <w:t>49</w:t>
        </w:r>
      </w:p>
    </w:sdtContent>
  </w:sdt>
  <w:p>
    <w:pPr>
      <w:pStyle w:val="4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ind w:firstLine="360"/>
      <w:rPr>
        <w:rStyle w:val="40"/>
      </w:rPr>
    </w:pPr>
    <w:r>
      <w:fldChar w:fldCharType="begin"/>
    </w:r>
    <w:r>
      <w:rPr>
        <w:rStyle w:val="40"/>
      </w:rPr>
      <w:instrText xml:space="preserve">PAGE  </w:instrText>
    </w:r>
    <w:r>
      <w:fldChar w:fldCharType="separate"/>
    </w:r>
    <w:r>
      <w:rPr>
        <w:rStyle w:val="40"/>
      </w:rPr>
      <w:t>31</w:t>
    </w:r>
    <w:r>
      <w:fldChar w:fldCharType="end"/>
    </w:r>
  </w:p>
  <w:p>
    <w:pPr>
      <w:pStyle w:val="42"/>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87B31"/>
    <w:multiLevelType w:val="multilevel"/>
    <w:tmpl w:val="30E87B31"/>
    <w:lvl w:ilvl="0" w:tentative="0">
      <w:start w:val="1"/>
      <w:numFmt w:val="decimal"/>
      <w:pStyle w:val="2"/>
      <w:lvlText w:val="%1 "/>
      <w:lvlJc w:val="left"/>
      <w:pPr>
        <w:ind w:left="3828" w:firstLine="0"/>
      </w:pPr>
      <w:rPr>
        <w:rFonts w:hint="eastAsia" w:cs="Times New Roman"/>
        <w:b/>
        <w:i w:val="0"/>
      </w:rPr>
    </w:lvl>
    <w:lvl w:ilvl="1" w:tentative="0">
      <w:start w:val="1"/>
      <w:numFmt w:val="decimal"/>
      <w:pStyle w:val="3"/>
      <w:lvlText w:val="%1.%2 "/>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pStyle w:val="4"/>
      <w:lvlText w:val="%1.%2.%3 "/>
      <w:lvlJc w:val="right"/>
      <w:pPr>
        <w:tabs>
          <w:tab w:val="left" w:pos="-2549"/>
        </w:tabs>
        <w:ind w:left="0" w:firstLine="567"/>
      </w:pPr>
      <w:rPr>
        <w:rFonts w:hint="eastAsia"/>
        <w:b/>
      </w:rPr>
    </w:lvl>
    <w:lvl w:ilvl="3" w:tentative="0">
      <w:start w:val="1"/>
      <w:numFmt w:val="decimal"/>
      <w:lvlText w:val="%4."/>
      <w:lvlJc w:val="left"/>
      <w:pPr>
        <w:ind w:left="0" w:firstLine="0"/>
      </w:pPr>
      <w:rPr>
        <w:rFonts w:hint="eastAsia" w:cs="Times New Roman"/>
      </w:rPr>
    </w:lvl>
    <w:lvl w:ilvl="4" w:tentative="0">
      <w:start w:val="1"/>
      <w:numFmt w:val="lowerLetter"/>
      <w:lvlText w:val="%5)"/>
      <w:lvlJc w:val="left"/>
      <w:pPr>
        <w:ind w:left="0" w:firstLine="0"/>
      </w:pPr>
      <w:rPr>
        <w:rFonts w:hint="eastAsia" w:cs="Times New Roman"/>
      </w:rPr>
    </w:lvl>
    <w:lvl w:ilvl="5" w:tentative="0">
      <w:start w:val="1"/>
      <w:numFmt w:val="lowerRoman"/>
      <w:lvlText w:val="%6."/>
      <w:lvlJc w:val="right"/>
      <w:pPr>
        <w:ind w:left="0" w:firstLine="0"/>
      </w:pPr>
      <w:rPr>
        <w:rFonts w:hint="eastAsia" w:cs="Times New Roman"/>
      </w:rPr>
    </w:lvl>
    <w:lvl w:ilvl="6" w:tentative="0">
      <w:start w:val="1"/>
      <w:numFmt w:val="decimal"/>
      <w:lvlText w:val="%7."/>
      <w:lvlJc w:val="left"/>
      <w:pPr>
        <w:ind w:left="0" w:firstLine="0"/>
      </w:pPr>
      <w:rPr>
        <w:rFonts w:hint="eastAsia" w:cs="Times New Roman"/>
      </w:rPr>
    </w:lvl>
    <w:lvl w:ilvl="7" w:tentative="0">
      <w:start w:val="1"/>
      <w:numFmt w:val="lowerLetter"/>
      <w:lvlText w:val="%8)"/>
      <w:lvlJc w:val="left"/>
      <w:pPr>
        <w:ind w:left="0" w:firstLine="0"/>
      </w:pPr>
      <w:rPr>
        <w:rFonts w:hint="eastAsia" w:cs="Times New Roman"/>
      </w:rPr>
    </w:lvl>
    <w:lvl w:ilvl="8" w:tentative="0">
      <w:start w:val="1"/>
      <w:numFmt w:val="lowerRoman"/>
      <w:lvlText w:val="%9."/>
      <w:lvlJc w:val="right"/>
      <w:pPr>
        <w:ind w:left="0" w:firstLine="0"/>
      </w:pPr>
      <w:rPr>
        <w:rFonts w:hint="eastAsia" w:cs="Times New Roman"/>
      </w:rPr>
    </w:lvl>
  </w:abstractNum>
  <w:abstractNum w:abstractNumId="1">
    <w:nsid w:val="64902BA5"/>
    <w:multiLevelType w:val="multilevel"/>
    <w:tmpl w:val="64902BA5"/>
    <w:lvl w:ilvl="0" w:tentative="0">
      <w:start w:val="1"/>
      <w:numFmt w:val="decimal"/>
      <w:pStyle w:val="125"/>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28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NjY1YWU0Y2M4ZDU0NmZmMGY0ZDRhZTU4ZmUyNmEifQ=="/>
  </w:docVars>
  <w:rsids>
    <w:rsidRoot w:val="0076619B"/>
    <w:rsid w:val="0000013D"/>
    <w:rsid w:val="00000462"/>
    <w:rsid w:val="000010BF"/>
    <w:rsid w:val="00001A6C"/>
    <w:rsid w:val="0000214F"/>
    <w:rsid w:val="00002899"/>
    <w:rsid w:val="000031DD"/>
    <w:rsid w:val="00003934"/>
    <w:rsid w:val="00010F8D"/>
    <w:rsid w:val="000110E9"/>
    <w:rsid w:val="0001134B"/>
    <w:rsid w:val="00011CD6"/>
    <w:rsid w:val="0001202A"/>
    <w:rsid w:val="00012712"/>
    <w:rsid w:val="0001307B"/>
    <w:rsid w:val="000143FB"/>
    <w:rsid w:val="000148AB"/>
    <w:rsid w:val="00014E01"/>
    <w:rsid w:val="00015A22"/>
    <w:rsid w:val="00016281"/>
    <w:rsid w:val="0001669F"/>
    <w:rsid w:val="00020267"/>
    <w:rsid w:val="00020765"/>
    <w:rsid w:val="00021CDA"/>
    <w:rsid w:val="0002307C"/>
    <w:rsid w:val="000250F7"/>
    <w:rsid w:val="00025F53"/>
    <w:rsid w:val="000265D6"/>
    <w:rsid w:val="000265E8"/>
    <w:rsid w:val="00026CF3"/>
    <w:rsid w:val="00027D84"/>
    <w:rsid w:val="0003138D"/>
    <w:rsid w:val="0003197A"/>
    <w:rsid w:val="00032B2D"/>
    <w:rsid w:val="00032B70"/>
    <w:rsid w:val="00033DBC"/>
    <w:rsid w:val="000347E9"/>
    <w:rsid w:val="00036767"/>
    <w:rsid w:val="0003759D"/>
    <w:rsid w:val="0004021B"/>
    <w:rsid w:val="00040286"/>
    <w:rsid w:val="00042912"/>
    <w:rsid w:val="00043D49"/>
    <w:rsid w:val="00044921"/>
    <w:rsid w:val="00044DEB"/>
    <w:rsid w:val="00045707"/>
    <w:rsid w:val="00050CBE"/>
    <w:rsid w:val="00051205"/>
    <w:rsid w:val="00053FCA"/>
    <w:rsid w:val="00054B6C"/>
    <w:rsid w:val="0005518A"/>
    <w:rsid w:val="00055D63"/>
    <w:rsid w:val="000563C5"/>
    <w:rsid w:val="00060A3C"/>
    <w:rsid w:val="00060AAE"/>
    <w:rsid w:val="000616CF"/>
    <w:rsid w:val="00061EBD"/>
    <w:rsid w:val="00062D19"/>
    <w:rsid w:val="0006360D"/>
    <w:rsid w:val="000653A2"/>
    <w:rsid w:val="000665DF"/>
    <w:rsid w:val="00066ADC"/>
    <w:rsid w:val="0006782F"/>
    <w:rsid w:val="00067FA4"/>
    <w:rsid w:val="00071E66"/>
    <w:rsid w:val="00072410"/>
    <w:rsid w:val="00072F67"/>
    <w:rsid w:val="0007344B"/>
    <w:rsid w:val="000747DB"/>
    <w:rsid w:val="00074967"/>
    <w:rsid w:val="00075340"/>
    <w:rsid w:val="00076F2C"/>
    <w:rsid w:val="00076FD2"/>
    <w:rsid w:val="000774E9"/>
    <w:rsid w:val="0008238E"/>
    <w:rsid w:val="00082C43"/>
    <w:rsid w:val="00086A6D"/>
    <w:rsid w:val="00086FD0"/>
    <w:rsid w:val="00091F98"/>
    <w:rsid w:val="00092C61"/>
    <w:rsid w:val="00093B87"/>
    <w:rsid w:val="00096A07"/>
    <w:rsid w:val="000A0AF2"/>
    <w:rsid w:val="000A1374"/>
    <w:rsid w:val="000A2B7C"/>
    <w:rsid w:val="000A2F7C"/>
    <w:rsid w:val="000A655D"/>
    <w:rsid w:val="000A6914"/>
    <w:rsid w:val="000A6E8A"/>
    <w:rsid w:val="000A7AFD"/>
    <w:rsid w:val="000B16BA"/>
    <w:rsid w:val="000B2304"/>
    <w:rsid w:val="000B2D97"/>
    <w:rsid w:val="000B44D8"/>
    <w:rsid w:val="000B5A30"/>
    <w:rsid w:val="000B5BE0"/>
    <w:rsid w:val="000C08DE"/>
    <w:rsid w:val="000C1D6B"/>
    <w:rsid w:val="000C2C03"/>
    <w:rsid w:val="000C4030"/>
    <w:rsid w:val="000C68C8"/>
    <w:rsid w:val="000C6BBD"/>
    <w:rsid w:val="000C73A7"/>
    <w:rsid w:val="000D0C1C"/>
    <w:rsid w:val="000D1A10"/>
    <w:rsid w:val="000D20A9"/>
    <w:rsid w:val="000D24F3"/>
    <w:rsid w:val="000D3A30"/>
    <w:rsid w:val="000D3CA5"/>
    <w:rsid w:val="000D58DE"/>
    <w:rsid w:val="000D618D"/>
    <w:rsid w:val="000E08CB"/>
    <w:rsid w:val="000E292E"/>
    <w:rsid w:val="000E2A17"/>
    <w:rsid w:val="000E30AE"/>
    <w:rsid w:val="000E3974"/>
    <w:rsid w:val="000E3CA6"/>
    <w:rsid w:val="000E78B8"/>
    <w:rsid w:val="000F0B51"/>
    <w:rsid w:val="000F0F49"/>
    <w:rsid w:val="000F1EB6"/>
    <w:rsid w:val="000F4071"/>
    <w:rsid w:val="000F436D"/>
    <w:rsid w:val="000F5929"/>
    <w:rsid w:val="000F5BE3"/>
    <w:rsid w:val="000F6073"/>
    <w:rsid w:val="000F6BA4"/>
    <w:rsid w:val="000F6EBF"/>
    <w:rsid w:val="001017A7"/>
    <w:rsid w:val="0010574F"/>
    <w:rsid w:val="00105A0A"/>
    <w:rsid w:val="00105B28"/>
    <w:rsid w:val="001115AB"/>
    <w:rsid w:val="00111D90"/>
    <w:rsid w:val="00111FDB"/>
    <w:rsid w:val="00112EBC"/>
    <w:rsid w:val="001155EE"/>
    <w:rsid w:val="0011608C"/>
    <w:rsid w:val="00120488"/>
    <w:rsid w:val="001206D5"/>
    <w:rsid w:val="00121FF8"/>
    <w:rsid w:val="00124710"/>
    <w:rsid w:val="00124BE8"/>
    <w:rsid w:val="001253CA"/>
    <w:rsid w:val="00127FF9"/>
    <w:rsid w:val="001328D8"/>
    <w:rsid w:val="0013393C"/>
    <w:rsid w:val="0013399E"/>
    <w:rsid w:val="00134401"/>
    <w:rsid w:val="00137455"/>
    <w:rsid w:val="00137F1F"/>
    <w:rsid w:val="00141B21"/>
    <w:rsid w:val="001436B4"/>
    <w:rsid w:val="00143B07"/>
    <w:rsid w:val="001447C6"/>
    <w:rsid w:val="001453FE"/>
    <w:rsid w:val="00146B92"/>
    <w:rsid w:val="00146FCB"/>
    <w:rsid w:val="0015085F"/>
    <w:rsid w:val="00151666"/>
    <w:rsid w:val="00151C38"/>
    <w:rsid w:val="00152E33"/>
    <w:rsid w:val="00155081"/>
    <w:rsid w:val="0015553C"/>
    <w:rsid w:val="00156C40"/>
    <w:rsid w:val="001579F8"/>
    <w:rsid w:val="001614A0"/>
    <w:rsid w:val="001635D3"/>
    <w:rsid w:val="001664A7"/>
    <w:rsid w:val="0016720E"/>
    <w:rsid w:val="00170E45"/>
    <w:rsid w:val="00175232"/>
    <w:rsid w:val="00176E0B"/>
    <w:rsid w:val="001776D4"/>
    <w:rsid w:val="00177FA9"/>
    <w:rsid w:val="00181DA2"/>
    <w:rsid w:val="00182490"/>
    <w:rsid w:val="0018416A"/>
    <w:rsid w:val="00185985"/>
    <w:rsid w:val="00186403"/>
    <w:rsid w:val="00191A7D"/>
    <w:rsid w:val="001933D0"/>
    <w:rsid w:val="00193E20"/>
    <w:rsid w:val="001953AA"/>
    <w:rsid w:val="00196F38"/>
    <w:rsid w:val="001A09D9"/>
    <w:rsid w:val="001A0D24"/>
    <w:rsid w:val="001A14DF"/>
    <w:rsid w:val="001A1C21"/>
    <w:rsid w:val="001A2BE9"/>
    <w:rsid w:val="001A45C7"/>
    <w:rsid w:val="001A54D8"/>
    <w:rsid w:val="001B0F10"/>
    <w:rsid w:val="001B2582"/>
    <w:rsid w:val="001B2C5D"/>
    <w:rsid w:val="001B2D86"/>
    <w:rsid w:val="001B2DEF"/>
    <w:rsid w:val="001B4093"/>
    <w:rsid w:val="001B5F76"/>
    <w:rsid w:val="001B7EFB"/>
    <w:rsid w:val="001C0934"/>
    <w:rsid w:val="001C300E"/>
    <w:rsid w:val="001C56F9"/>
    <w:rsid w:val="001C586B"/>
    <w:rsid w:val="001C59B2"/>
    <w:rsid w:val="001C6BBB"/>
    <w:rsid w:val="001D1A17"/>
    <w:rsid w:val="001D654D"/>
    <w:rsid w:val="001E63AE"/>
    <w:rsid w:val="001F012C"/>
    <w:rsid w:val="001F1EF0"/>
    <w:rsid w:val="001F542E"/>
    <w:rsid w:val="001F7F0B"/>
    <w:rsid w:val="002009A0"/>
    <w:rsid w:val="002009D7"/>
    <w:rsid w:val="00201DD6"/>
    <w:rsid w:val="00203160"/>
    <w:rsid w:val="00204F00"/>
    <w:rsid w:val="00205ADC"/>
    <w:rsid w:val="00207E16"/>
    <w:rsid w:val="00207F0C"/>
    <w:rsid w:val="002107AB"/>
    <w:rsid w:val="00211DE7"/>
    <w:rsid w:val="0021257E"/>
    <w:rsid w:val="00215A5A"/>
    <w:rsid w:val="00216002"/>
    <w:rsid w:val="00217636"/>
    <w:rsid w:val="0022005A"/>
    <w:rsid w:val="00220522"/>
    <w:rsid w:val="00220CCF"/>
    <w:rsid w:val="00221BB2"/>
    <w:rsid w:val="00222FAD"/>
    <w:rsid w:val="00224687"/>
    <w:rsid w:val="00225E7B"/>
    <w:rsid w:val="0022651C"/>
    <w:rsid w:val="002322DC"/>
    <w:rsid w:val="00232344"/>
    <w:rsid w:val="002333BE"/>
    <w:rsid w:val="00235765"/>
    <w:rsid w:val="0023616B"/>
    <w:rsid w:val="00241604"/>
    <w:rsid w:val="002424A1"/>
    <w:rsid w:val="0024328E"/>
    <w:rsid w:val="00243FD3"/>
    <w:rsid w:val="002442A9"/>
    <w:rsid w:val="00245002"/>
    <w:rsid w:val="00245143"/>
    <w:rsid w:val="00245A07"/>
    <w:rsid w:val="002460D1"/>
    <w:rsid w:val="002472B9"/>
    <w:rsid w:val="00251DDA"/>
    <w:rsid w:val="00252988"/>
    <w:rsid w:val="002604CB"/>
    <w:rsid w:val="002619E0"/>
    <w:rsid w:val="00261A9D"/>
    <w:rsid w:val="00263D62"/>
    <w:rsid w:val="00263E33"/>
    <w:rsid w:val="002665E3"/>
    <w:rsid w:val="002666F7"/>
    <w:rsid w:val="002669E6"/>
    <w:rsid w:val="0026746A"/>
    <w:rsid w:val="002677BC"/>
    <w:rsid w:val="00270CF0"/>
    <w:rsid w:val="0027133E"/>
    <w:rsid w:val="00272030"/>
    <w:rsid w:val="0027215A"/>
    <w:rsid w:val="002749CD"/>
    <w:rsid w:val="002751CF"/>
    <w:rsid w:val="0027531E"/>
    <w:rsid w:val="00277BAA"/>
    <w:rsid w:val="00282ADB"/>
    <w:rsid w:val="00282F2B"/>
    <w:rsid w:val="00284B00"/>
    <w:rsid w:val="00285932"/>
    <w:rsid w:val="00285D6C"/>
    <w:rsid w:val="0028616A"/>
    <w:rsid w:val="002879EA"/>
    <w:rsid w:val="00290ECB"/>
    <w:rsid w:val="00291137"/>
    <w:rsid w:val="0029158D"/>
    <w:rsid w:val="002919F5"/>
    <w:rsid w:val="00292455"/>
    <w:rsid w:val="00293682"/>
    <w:rsid w:val="00293CBE"/>
    <w:rsid w:val="00295FB0"/>
    <w:rsid w:val="00296AFD"/>
    <w:rsid w:val="0029703E"/>
    <w:rsid w:val="0029740B"/>
    <w:rsid w:val="002A0B01"/>
    <w:rsid w:val="002A0B6D"/>
    <w:rsid w:val="002A2273"/>
    <w:rsid w:val="002A2DBF"/>
    <w:rsid w:val="002A541A"/>
    <w:rsid w:val="002A75F2"/>
    <w:rsid w:val="002B02FA"/>
    <w:rsid w:val="002B3925"/>
    <w:rsid w:val="002B3A57"/>
    <w:rsid w:val="002B4D80"/>
    <w:rsid w:val="002B5A22"/>
    <w:rsid w:val="002B79AD"/>
    <w:rsid w:val="002C0EC2"/>
    <w:rsid w:val="002C1A0A"/>
    <w:rsid w:val="002C28F2"/>
    <w:rsid w:val="002C3528"/>
    <w:rsid w:val="002C3D5E"/>
    <w:rsid w:val="002C4744"/>
    <w:rsid w:val="002C62F4"/>
    <w:rsid w:val="002D0052"/>
    <w:rsid w:val="002D3047"/>
    <w:rsid w:val="002D3E4C"/>
    <w:rsid w:val="002D7255"/>
    <w:rsid w:val="002E1365"/>
    <w:rsid w:val="002E395D"/>
    <w:rsid w:val="002E460B"/>
    <w:rsid w:val="002F061C"/>
    <w:rsid w:val="002F1ACE"/>
    <w:rsid w:val="002F1E4D"/>
    <w:rsid w:val="002F2F4F"/>
    <w:rsid w:val="002F5322"/>
    <w:rsid w:val="002F5BC6"/>
    <w:rsid w:val="003031B2"/>
    <w:rsid w:val="003049DC"/>
    <w:rsid w:val="0030673F"/>
    <w:rsid w:val="00306AC3"/>
    <w:rsid w:val="00306C83"/>
    <w:rsid w:val="00307D58"/>
    <w:rsid w:val="00311D15"/>
    <w:rsid w:val="00312B90"/>
    <w:rsid w:val="00312FDD"/>
    <w:rsid w:val="00313D62"/>
    <w:rsid w:val="0031505C"/>
    <w:rsid w:val="00317F72"/>
    <w:rsid w:val="00320C6C"/>
    <w:rsid w:val="00321ED9"/>
    <w:rsid w:val="00323F8E"/>
    <w:rsid w:val="003273E0"/>
    <w:rsid w:val="00331725"/>
    <w:rsid w:val="00333039"/>
    <w:rsid w:val="00337307"/>
    <w:rsid w:val="00337382"/>
    <w:rsid w:val="0033762E"/>
    <w:rsid w:val="003376A4"/>
    <w:rsid w:val="003377CE"/>
    <w:rsid w:val="00337F2F"/>
    <w:rsid w:val="0034251A"/>
    <w:rsid w:val="00342ABA"/>
    <w:rsid w:val="00343145"/>
    <w:rsid w:val="00343187"/>
    <w:rsid w:val="003433DC"/>
    <w:rsid w:val="00344BFB"/>
    <w:rsid w:val="00344C9A"/>
    <w:rsid w:val="00345C3C"/>
    <w:rsid w:val="003471EE"/>
    <w:rsid w:val="00347506"/>
    <w:rsid w:val="003521C8"/>
    <w:rsid w:val="00352B40"/>
    <w:rsid w:val="00352B7E"/>
    <w:rsid w:val="00352D79"/>
    <w:rsid w:val="003552EE"/>
    <w:rsid w:val="003558D2"/>
    <w:rsid w:val="00355A9B"/>
    <w:rsid w:val="003561DC"/>
    <w:rsid w:val="00356FB7"/>
    <w:rsid w:val="00357CE1"/>
    <w:rsid w:val="0036066A"/>
    <w:rsid w:val="003615F5"/>
    <w:rsid w:val="00364E35"/>
    <w:rsid w:val="003679C9"/>
    <w:rsid w:val="00372595"/>
    <w:rsid w:val="003813B8"/>
    <w:rsid w:val="00382989"/>
    <w:rsid w:val="00382CBD"/>
    <w:rsid w:val="00383307"/>
    <w:rsid w:val="00384DC9"/>
    <w:rsid w:val="00385129"/>
    <w:rsid w:val="0038650F"/>
    <w:rsid w:val="003865DE"/>
    <w:rsid w:val="00391989"/>
    <w:rsid w:val="003944CD"/>
    <w:rsid w:val="00394536"/>
    <w:rsid w:val="0039461E"/>
    <w:rsid w:val="003955EB"/>
    <w:rsid w:val="003967D1"/>
    <w:rsid w:val="00396BEA"/>
    <w:rsid w:val="00397D57"/>
    <w:rsid w:val="003A30D8"/>
    <w:rsid w:val="003A3316"/>
    <w:rsid w:val="003A38B1"/>
    <w:rsid w:val="003A46C8"/>
    <w:rsid w:val="003A54D0"/>
    <w:rsid w:val="003A58C7"/>
    <w:rsid w:val="003A633F"/>
    <w:rsid w:val="003A6AE0"/>
    <w:rsid w:val="003A72CA"/>
    <w:rsid w:val="003B0002"/>
    <w:rsid w:val="003B293D"/>
    <w:rsid w:val="003B36F7"/>
    <w:rsid w:val="003B5B00"/>
    <w:rsid w:val="003B690C"/>
    <w:rsid w:val="003B693C"/>
    <w:rsid w:val="003B7545"/>
    <w:rsid w:val="003C1DD8"/>
    <w:rsid w:val="003C1E18"/>
    <w:rsid w:val="003C3B7D"/>
    <w:rsid w:val="003C519C"/>
    <w:rsid w:val="003C6168"/>
    <w:rsid w:val="003D3AFD"/>
    <w:rsid w:val="003D5989"/>
    <w:rsid w:val="003D766D"/>
    <w:rsid w:val="003E326D"/>
    <w:rsid w:val="003E4691"/>
    <w:rsid w:val="003E4A63"/>
    <w:rsid w:val="003E5284"/>
    <w:rsid w:val="003E5C60"/>
    <w:rsid w:val="003E7373"/>
    <w:rsid w:val="003E7476"/>
    <w:rsid w:val="003E7477"/>
    <w:rsid w:val="003E7A4A"/>
    <w:rsid w:val="003E7B64"/>
    <w:rsid w:val="003F220D"/>
    <w:rsid w:val="003F51EC"/>
    <w:rsid w:val="003F651D"/>
    <w:rsid w:val="003F7E80"/>
    <w:rsid w:val="004000D3"/>
    <w:rsid w:val="00401B24"/>
    <w:rsid w:val="0040442D"/>
    <w:rsid w:val="00404533"/>
    <w:rsid w:val="00411525"/>
    <w:rsid w:val="004115E0"/>
    <w:rsid w:val="00421C34"/>
    <w:rsid w:val="00423ECD"/>
    <w:rsid w:val="00424389"/>
    <w:rsid w:val="004254B8"/>
    <w:rsid w:val="00426A71"/>
    <w:rsid w:val="00430D23"/>
    <w:rsid w:val="00430E61"/>
    <w:rsid w:val="004311A8"/>
    <w:rsid w:val="00433354"/>
    <w:rsid w:val="0043344F"/>
    <w:rsid w:val="00434A76"/>
    <w:rsid w:val="0043535F"/>
    <w:rsid w:val="004356A0"/>
    <w:rsid w:val="00437CCA"/>
    <w:rsid w:val="00444146"/>
    <w:rsid w:val="00445F3D"/>
    <w:rsid w:val="004460BB"/>
    <w:rsid w:val="0044639C"/>
    <w:rsid w:val="0044738A"/>
    <w:rsid w:val="0045195B"/>
    <w:rsid w:val="00452CFB"/>
    <w:rsid w:val="00454899"/>
    <w:rsid w:val="00457473"/>
    <w:rsid w:val="00460257"/>
    <w:rsid w:val="00461F82"/>
    <w:rsid w:val="004637ED"/>
    <w:rsid w:val="0046391D"/>
    <w:rsid w:val="0046642C"/>
    <w:rsid w:val="004665F6"/>
    <w:rsid w:val="00467B52"/>
    <w:rsid w:val="004709D2"/>
    <w:rsid w:val="0047208F"/>
    <w:rsid w:val="0047659F"/>
    <w:rsid w:val="004811FD"/>
    <w:rsid w:val="004826F0"/>
    <w:rsid w:val="0048384F"/>
    <w:rsid w:val="00483E55"/>
    <w:rsid w:val="00495D2A"/>
    <w:rsid w:val="00496C23"/>
    <w:rsid w:val="004A12C8"/>
    <w:rsid w:val="004A17F4"/>
    <w:rsid w:val="004A3232"/>
    <w:rsid w:val="004A36AA"/>
    <w:rsid w:val="004A3B41"/>
    <w:rsid w:val="004A58C4"/>
    <w:rsid w:val="004A6C2A"/>
    <w:rsid w:val="004B0997"/>
    <w:rsid w:val="004B0ECC"/>
    <w:rsid w:val="004B10D1"/>
    <w:rsid w:val="004B26EE"/>
    <w:rsid w:val="004B4777"/>
    <w:rsid w:val="004B6271"/>
    <w:rsid w:val="004B6373"/>
    <w:rsid w:val="004B6F25"/>
    <w:rsid w:val="004B77F7"/>
    <w:rsid w:val="004B7C63"/>
    <w:rsid w:val="004C3327"/>
    <w:rsid w:val="004C36EB"/>
    <w:rsid w:val="004C39F5"/>
    <w:rsid w:val="004C3CBB"/>
    <w:rsid w:val="004C4092"/>
    <w:rsid w:val="004C51DD"/>
    <w:rsid w:val="004C632E"/>
    <w:rsid w:val="004C6F01"/>
    <w:rsid w:val="004C711B"/>
    <w:rsid w:val="004D0626"/>
    <w:rsid w:val="004D113F"/>
    <w:rsid w:val="004D325B"/>
    <w:rsid w:val="004E3FA0"/>
    <w:rsid w:val="004E581A"/>
    <w:rsid w:val="004E5AA4"/>
    <w:rsid w:val="004E636E"/>
    <w:rsid w:val="004E73F9"/>
    <w:rsid w:val="004F0226"/>
    <w:rsid w:val="004F029B"/>
    <w:rsid w:val="004F0667"/>
    <w:rsid w:val="004F1419"/>
    <w:rsid w:val="004F2348"/>
    <w:rsid w:val="004F33A3"/>
    <w:rsid w:val="004F49FC"/>
    <w:rsid w:val="0050090E"/>
    <w:rsid w:val="005014D7"/>
    <w:rsid w:val="005019E8"/>
    <w:rsid w:val="005029CA"/>
    <w:rsid w:val="00504582"/>
    <w:rsid w:val="005048C3"/>
    <w:rsid w:val="00505077"/>
    <w:rsid w:val="005057E1"/>
    <w:rsid w:val="00507564"/>
    <w:rsid w:val="0051070C"/>
    <w:rsid w:val="005109C3"/>
    <w:rsid w:val="00512B10"/>
    <w:rsid w:val="00514529"/>
    <w:rsid w:val="00517C90"/>
    <w:rsid w:val="005206E3"/>
    <w:rsid w:val="00521C95"/>
    <w:rsid w:val="00521FF4"/>
    <w:rsid w:val="0052298A"/>
    <w:rsid w:val="0052625C"/>
    <w:rsid w:val="00526E52"/>
    <w:rsid w:val="005272D2"/>
    <w:rsid w:val="005279F4"/>
    <w:rsid w:val="00530732"/>
    <w:rsid w:val="00530FDF"/>
    <w:rsid w:val="0053180E"/>
    <w:rsid w:val="0053201A"/>
    <w:rsid w:val="00534D16"/>
    <w:rsid w:val="00535888"/>
    <w:rsid w:val="00540ACC"/>
    <w:rsid w:val="00543E87"/>
    <w:rsid w:val="00546115"/>
    <w:rsid w:val="00550BA0"/>
    <w:rsid w:val="00554AD1"/>
    <w:rsid w:val="00557F2E"/>
    <w:rsid w:val="00560E63"/>
    <w:rsid w:val="00561EFF"/>
    <w:rsid w:val="00563673"/>
    <w:rsid w:val="00563F97"/>
    <w:rsid w:val="00566902"/>
    <w:rsid w:val="00566B48"/>
    <w:rsid w:val="00567C38"/>
    <w:rsid w:val="00567F3E"/>
    <w:rsid w:val="0057590E"/>
    <w:rsid w:val="00576F11"/>
    <w:rsid w:val="00577A30"/>
    <w:rsid w:val="005812EE"/>
    <w:rsid w:val="005839F5"/>
    <w:rsid w:val="00584FBB"/>
    <w:rsid w:val="00585FA9"/>
    <w:rsid w:val="00586347"/>
    <w:rsid w:val="005902D5"/>
    <w:rsid w:val="00590F6D"/>
    <w:rsid w:val="005934E9"/>
    <w:rsid w:val="00593A2D"/>
    <w:rsid w:val="00594AD3"/>
    <w:rsid w:val="005A0D83"/>
    <w:rsid w:val="005A1BCF"/>
    <w:rsid w:val="005A2263"/>
    <w:rsid w:val="005A2B4C"/>
    <w:rsid w:val="005A35F9"/>
    <w:rsid w:val="005A5541"/>
    <w:rsid w:val="005A61E2"/>
    <w:rsid w:val="005A6CE6"/>
    <w:rsid w:val="005B036F"/>
    <w:rsid w:val="005B397E"/>
    <w:rsid w:val="005B3A2A"/>
    <w:rsid w:val="005B46F0"/>
    <w:rsid w:val="005B5684"/>
    <w:rsid w:val="005B611C"/>
    <w:rsid w:val="005C2F44"/>
    <w:rsid w:val="005C4375"/>
    <w:rsid w:val="005C4417"/>
    <w:rsid w:val="005C5785"/>
    <w:rsid w:val="005C6BAC"/>
    <w:rsid w:val="005C74AD"/>
    <w:rsid w:val="005C7D1F"/>
    <w:rsid w:val="005D0207"/>
    <w:rsid w:val="005D06C8"/>
    <w:rsid w:val="005D33C3"/>
    <w:rsid w:val="005D38FC"/>
    <w:rsid w:val="005D3D0D"/>
    <w:rsid w:val="005D4759"/>
    <w:rsid w:val="005D4D47"/>
    <w:rsid w:val="005D6749"/>
    <w:rsid w:val="005D6765"/>
    <w:rsid w:val="005D67FF"/>
    <w:rsid w:val="005E0009"/>
    <w:rsid w:val="005E1BCD"/>
    <w:rsid w:val="005E2305"/>
    <w:rsid w:val="005E2533"/>
    <w:rsid w:val="005E2821"/>
    <w:rsid w:val="005E2F5C"/>
    <w:rsid w:val="005E3173"/>
    <w:rsid w:val="005E388D"/>
    <w:rsid w:val="005E4724"/>
    <w:rsid w:val="005E6AFB"/>
    <w:rsid w:val="005F08CF"/>
    <w:rsid w:val="005F142D"/>
    <w:rsid w:val="005F203B"/>
    <w:rsid w:val="005F21EA"/>
    <w:rsid w:val="005F2AB0"/>
    <w:rsid w:val="005F2ADF"/>
    <w:rsid w:val="005F37DB"/>
    <w:rsid w:val="005F3AB2"/>
    <w:rsid w:val="005F5848"/>
    <w:rsid w:val="005F5A82"/>
    <w:rsid w:val="005F6885"/>
    <w:rsid w:val="0060061D"/>
    <w:rsid w:val="0060082D"/>
    <w:rsid w:val="0060123E"/>
    <w:rsid w:val="00602432"/>
    <w:rsid w:val="006048C3"/>
    <w:rsid w:val="006063F9"/>
    <w:rsid w:val="00607555"/>
    <w:rsid w:val="00611F8E"/>
    <w:rsid w:val="006124CC"/>
    <w:rsid w:val="00612F27"/>
    <w:rsid w:val="006139E3"/>
    <w:rsid w:val="00613C6A"/>
    <w:rsid w:val="00613E39"/>
    <w:rsid w:val="00615074"/>
    <w:rsid w:val="00616E62"/>
    <w:rsid w:val="00617D90"/>
    <w:rsid w:val="00621D62"/>
    <w:rsid w:val="00622830"/>
    <w:rsid w:val="0062296A"/>
    <w:rsid w:val="00623140"/>
    <w:rsid w:val="00623641"/>
    <w:rsid w:val="00624E28"/>
    <w:rsid w:val="006250C1"/>
    <w:rsid w:val="0062584A"/>
    <w:rsid w:val="00627FAA"/>
    <w:rsid w:val="0063363A"/>
    <w:rsid w:val="006355C7"/>
    <w:rsid w:val="006374D0"/>
    <w:rsid w:val="006379AB"/>
    <w:rsid w:val="006402C4"/>
    <w:rsid w:val="0064143D"/>
    <w:rsid w:val="00643622"/>
    <w:rsid w:val="006501F3"/>
    <w:rsid w:val="00651D2A"/>
    <w:rsid w:val="00652C41"/>
    <w:rsid w:val="006554CF"/>
    <w:rsid w:val="006601BA"/>
    <w:rsid w:val="00660215"/>
    <w:rsid w:val="00660CE4"/>
    <w:rsid w:val="00665998"/>
    <w:rsid w:val="00665C7E"/>
    <w:rsid w:val="00667701"/>
    <w:rsid w:val="00670B54"/>
    <w:rsid w:val="0067259D"/>
    <w:rsid w:val="006728D6"/>
    <w:rsid w:val="00673524"/>
    <w:rsid w:val="0068122F"/>
    <w:rsid w:val="00681D8A"/>
    <w:rsid w:val="006823DE"/>
    <w:rsid w:val="00684D5D"/>
    <w:rsid w:val="0068632F"/>
    <w:rsid w:val="00690181"/>
    <w:rsid w:val="006925E7"/>
    <w:rsid w:val="00692B98"/>
    <w:rsid w:val="00694488"/>
    <w:rsid w:val="006948A4"/>
    <w:rsid w:val="006959F1"/>
    <w:rsid w:val="00696E8A"/>
    <w:rsid w:val="006970D7"/>
    <w:rsid w:val="0069728A"/>
    <w:rsid w:val="006A12B3"/>
    <w:rsid w:val="006A32E3"/>
    <w:rsid w:val="006A41CB"/>
    <w:rsid w:val="006A4F61"/>
    <w:rsid w:val="006A5E5D"/>
    <w:rsid w:val="006A5ECE"/>
    <w:rsid w:val="006A67CA"/>
    <w:rsid w:val="006A75F7"/>
    <w:rsid w:val="006B0218"/>
    <w:rsid w:val="006B062A"/>
    <w:rsid w:val="006B09E9"/>
    <w:rsid w:val="006B0DF5"/>
    <w:rsid w:val="006B140F"/>
    <w:rsid w:val="006B1A0C"/>
    <w:rsid w:val="006B2BE2"/>
    <w:rsid w:val="006B6200"/>
    <w:rsid w:val="006B78CC"/>
    <w:rsid w:val="006C1C3D"/>
    <w:rsid w:val="006C2540"/>
    <w:rsid w:val="006C6C38"/>
    <w:rsid w:val="006C7786"/>
    <w:rsid w:val="006D136E"/>
    <w:rsid w:val="006D1F39"/>
    <w:rsid w:val="006D2371"/>
    <w:rsid w:val="006D2C16"/>
    <w:rsid w:val="006D3CE2"/>
    <w:rsid w:val="006D4024"/>
    <w:rsid w:val="006D4375"/>
    <w:rsid w:val="006D4C04"/>
    <w:rsid w:val="006D4EBB"/>
    <w:rsid w:val="006D5C97"/>
    <w:rsid w:val="006D7C04"/>
    <w:rsid w:val="006E017F"/>
    <w:rsid w:val="006E261D"/>
    <w:rsid w:val="006E30F7"/>
    <w:rsid w:val="006E3ACB"/>
    <w:rsid w:val="006E46EF"/>
    <w:rsid w:val="006E6853"/>
    <w:rsid w:val="006F13C4"/>
    <w:rsid w:val="006F2537"/>
    <w:rsid w:val="006F44BC"/>
    <w:rsid w:val="006F51C5"/>
    <w:rsid w:val="006F6268"/>
    <w:rsid w:val="0070006B"/>
    <w:rsid w:val="00700171"/>
    <w:rsid w:val="0070167C"/>
    <w:rsid w:val="007025C7"/>
    <w:rsid w:val="00702769"/>
    <w:rsid w:val="00703001"/>
    <w:rsid w:val="00704518"/>
    <w:rsid w:val="00704895"/>
    <w:rsid w:val="00705698"/>
    <w:rsid w:val="00705902"/>
    <w:rsid w:val="007062A3"/>
    <w:rsid w:val="00707DE8"/>
    <w:rsid w:val="00713BA5"/>
    <w:rsid w:val="00713DB7"/>
    <w:rsid w:val="00714C05"/>
    <w:rsid w:val="0071647F"/>
    <w:rsid w:val="00716C2C"/>
    <w:rsid w:val="007170E8"/>
    <w:rsid w:val="00721368"/>
    <w:rsid w:val="00722733"/>
    <w:rsid w:val="007231AE"/>
    <w:rsid w:val="007262D4"/>
    <w:rsid w:val="00726735"/>
    <w:rsid w:val="007274B2"/>
    <w:rsid w:val="00731C70"/>
    <w:rsid w:val="0073213E"/>
    <w:rsid w:val="007353E2"/>
    <w:rsid w:val="00735D93"/>
    <w:rsid w:val="007368F5"/>
    <w:rsid w:val="00736A22"/>
    <w:rsid w:val="00740086"/>
    <w:rsid w:val="00741267"/>
    <w:rsid w:val="0074220D"/>
    <w:rsid w:val="00744984"/>
    <w:rsid w:val="007456CB"/>
    <w:rsid w:val="00747006"/>
    <w:rsid w:val="00750E5F"/>
    <w:rsid w:val="00751DF7"/>
    <w:rsid w:val="00755229"/>
    <w:rsid w:val="00755E18"/>
    <w:rsid w:val="00756EA6"/>
    <w:rsid w:val="0075708C"/>
    <w:rsid w:val="00757536"/>
    <w:rsid w:val="007577DD"/>
    <w:rsid w:val="0076365B"/>
    <w:rsid w:val="0076619B"/>
    <w:rsid w:val="0077002F"/>
    <w:rsid w:val="00770DBB"/>
    <w:rsid w:val="00772D98"/>
    <w:rsid w:val="007746B9"/>
    <w:rsid w:val="00776992"/>
    <w:rsid w:val="00777944"/>
    <w:rsid w:val="0078178A"/>
    <w:rsid w:val="00782996"/>
    <w:rsid w:val="007847EC"/>
    <w:rsid w:val="00791700"/>
    <w:rsid w:val="00796BCD"/>
    <w:rsid w:val="00796C11"/>
    <w:rsid w:val="007970DB"/>
    <w:rsid w:val="007A0F48"/>
    <w:rsid w:val="007A217A"/>
    <w:rsid w:val="007A2242"/>
    <w:rsid w:val="007A2C8B"/>
    <w:rsid w:val="007A3448"/>
    <w:rsid w:val="007A3838"/>
    <w:rsid w:val="007A3C7C"/>
    <w:rsid w:val="007A70F3"/>
    <w:rsid w:val="007A7438"/>
    <w:rsid w:val="007A7EEE"/>
    <w:rsid w:val="007B3AFD"/>
    <w:rsid w:val="007B3E19"/>
    <w:rsid w:val="007B47AF"/>
    <w:rsid w:val="007B5E3C"/>
    <w:rsid w:val="007B73BF"/>
    <w:rsid w:val="007B76DC"/>
    <w:rsid w:val="007C0495"/>
    <w:rsid w:val="007C29B5"/>
    <w:rsid w:val="007C2EF6"/>
    <w:rsid w:val="007C2F90"/>
    <w:rsid w:val="007C5A49"/>
    <w:rsid w:val="007C694F"/>
    <w:rsid w:val="007D0564"/>
    <w:rsid w:val="007D1B21"/>
    <w:rsid w:val="007D44A2"/>
    <w:rsid w:val="007D5197"/>
    <w:rsid w:val="007D7F34"/>
    <w:rsid w:val="007E0D9C"/>
    <w:rsid w:val="007E12C2"/>
    <w:rsid w:val="007E19F3"/>
    <w:rsid w:val="007E1D79"/>
    <w:rsid w:val="007E1E0C"/>
    <w:rsid w:val="007E2228"/>
    <w:rsid w:val="007E291A"/>
    <w:rsid w:val="007E696A"/>
    <w:rsid w:val="007F511E"/>
    <w:rsid w:val="007F6A2E"/>
    <w:rsid w:val="007F70B4"/>
    <w:rsid w:val="007F716C"/>
    <w:rsid w:val="00801440"/>
    <w:rsid w:val="008030A5"/>
    <w:rsid w:val="00806D73"/>
    <w:rsid w:val="00811389"/>
    <w:rsid w:val="008117C1"/>
    <w:rsid w:val="0081219B"/>
    <w:rsid w:val="008127EB"/>
    <w:rsid w:val="00812B0D"/>
    <w:rsid w:val="00814B97"/>
    <w:rsid w:val="008152D8"/>
    <w:rsid w:val="00817D47"/>
    <w:rsid w:val="00821A20"/>
    <w:rsid w:val="008223D2"/>
    <w:rsid w:val="00824130"/>
    <w:rsid w:val="00824600"/>
    <w:rsid w:val="0082526B"/>
    <w:rsid w:val="00825A98"/>
    <w:rsid w:val="00826727"/>
    <w:rsid w:val="00826C19"/>
    <w:rsid w:val="008300F8"/>
    <w:rsid w:val="00831123"/>
    <w:rsid w:val="008313FA"/>
    <w:rsid w:val="0083472A"/>
    <w:rsid w:val="00834E03"/>
    <w:rsid w:val="0083564E"/>
    <w:rsid w:val="00836F96"/>
    <w:rsid w:val="00837CD7"/>
    <w:rsid w:val="008420B9"/>
    <w:rsid w:val="00842F8C"/>
    <w:rsid w:val="008433B0"/>
    <w:rsid w:val="00843605"/>
    <w:rsid w:val="00843A75"/>
    <w:rsid w:val="00844DF9"/>
    <w:rsid w:val="00850150"/>
    <w:rsid w:val="008505AA"/>
    <w:rsid w:val="00853E1A"/>
    <w:rsid w:val="008576BB"/>
    <w:rsid w:val="008607CC"/>
    <w:rsid w:val="00860E00"/>
    <w:rsid w:val="00862BF8"/>
    <w:rsid w:val="00863821"/>
    <w:rsid w:val="00864847"/>
    <w:rsid w:val="00867C0E"/>
    <w:rsid w:val="00870550"/>
    <w:rsid w:val="0087151B"/>
    <w:rsid w:val="00874226"/>
    <w:rsid w:val="008762FB"/>
    <w:rsid w:val="00877C2A"/>
    <w:rsid w:val="00877EE6"/>
    <w:rsid w:val="008824B0"/>
    <w:rsid w:val="00882963"/>
    <w:rsid w:val="0088397E"/>
    <w:rsid w:val="00884943"/>
    <w:rsid w:val="00884B2D"/>
    <w:rsid w:val="00885609"/>
    <w:rsid w:val="00885FFE"/>
    <w:rsid w:val="00886E0D"/>
    <w:rsid w:val="00887152"/>
    <w:rsid w:val="0088716F"/>
    <w:rsid w:val="00890162"/>
    <w:rsid w:val="00890F25"/>
    <w:rsid w:val="00891D84"/>
    <w:rsid w:val="00894793"/>
    <w:rsid w:val="0089542D"/>
    <w:rsid w:val="00895B97"/>
    <w:rsid w:val="00895FB4"/>
    <w:rsid w:val="008A1A5B"/>
    <w:rsid w:val="008A1DFB"/>
    <w:rsid w:val="008A29F8"/>
    <w:rsid w:val="008A3197"/>
    <w:rsid w:val="008A3AA1"/>
    <w:rsid w:val="008A6F8B"/>
    <w:rsid w:val="008B02AB"/>
    <w:rsid w:val="008B28A3"/>
    <w:rsid w:val="008B2CDD"/>
    <w:rsid w:val="008B3E2C"/>
    <w:rsid w:val="008B4396"/>
    <w:rsid w:val="008B528B"/>
    <w:rsid w:val="008B67F9"/>
    <w:rsid w:val="008B7AA8"/>
    <w:rsid w:val="008B7E92"/>
    <w:rsid w:val="008C160D"/>
    <w:rsid w:val="008C2560"/>
    <w:rsid w:val="008C3E65"/>
    <w:rsid w:val="008C7623"/>
    <w:rsid w:val="008D2DEF"/>
    <w:rsid w:val="008D38C2"/>
    <w:rsid w:val="008D38EE"/>
    <w:rsid w:val="008E2CA1"/>
    <w:rsid w:val="008E3F84"/>
    <w:rsid w:val="008E4C8A"/>
    <w:rsid w:val="008E4F29"/>
    <w:rsid w:val="008E58A9"/>
    <w:rsid w:val="008F075D"/>
    <w:rsid w:val="008F28E1"/>
    <w:rsid w:val="008F3C41"/>
    <w:rsid w:val="008F4BD8"/>
    <w:rsid w:val="008F6F41"/>
    <w:rsid w:val="008F7E9A"/>
    <w:rsid w:val="009010F2"/>
    <w:rsid w:val="00904F8C"/>
    <w:rsid w:val="0090573B"/>
    <w:rsid w:val="0090760F"/>
    <w:rsid w:val="0091087C"/>
    <w:rsid w:val="009115D7"/>
    <w:rsid w:val="00911796"/>
    <w:rsid w:val="00914868"/>
    <w:rsid w:val="00914AC9"/>
    <w:rsid w:val="0091599F"/>
    <w:rsid w:val="0091733C"/>
    <w:rsid w:val="009205AC"/>
    <w:rsid w:val="009215CE"/>
    <w:rsid w:val="00921C0B"/>
    <w:rsid w:val="00923C81"/>
    <w:rsid w:val="00924CAE"/>
    <w:rsid w:val="00925354"/>
    <w:rsid w:val="0092662D"/>
    <w:rsid w:val="009275EC"/>
    <w:rsid w:val="009276C7"/>
    <w:rsid w:val="00930110"/>
    <w:rsid w:val="0093154B"/>
    <w:rsid w:val="00932283"/>
    <w:rsid w:val="00935191"/>
    <w:rsid w:val="009351DB"/>
    <w:rsid w:val="009378EF"/>
    <w:rsid w:val="009401B8"/>
    <w:rsid w:val="009429AD"/>
    <w:rsid w:val="00943391"/>
    <w:rsid w:val="0094475A"/>
    <w:rsid w:val="00944A2A"/>
    <w:rsid w:val="00944CD7"/>
    <w:rsid w:val="00947D7A"/>
    <w:rsid w:val="009534A5"/>
    <w:rsid w:val="009555E3"/>
    <w:rsid w:val="00961A3D"/>
    <w:rsid w:val="00962DCE"/>
    <w:rsid w:val="00963E33"/>
    <w:rsid w:val="009640EC"/>
    <w:rsid w:val="009642E9"/>
    <w:rsid w:val="009707A3"/>
    <w:rsid w:val="00970E5F"/>
    <w:rsid w:val="009726B1"/>
    <w:rsid w:val="00973D3D"/>
    <w:rsid w:val="0097480A"/>
    <w:rsid w:val="00974EB6"/>
    <w:rsid w:val="009750E3"/>
    <w:rsid w:val="009817EC"/>
    <w:rsid w:val="00982BD8"/>
    <w:rsid w:val="009834E5"/>
    <w:rsid w:val="00984AF2"/>
    <w:rsid w:val="009865AE"/>
    <w:rsid w:val="00987992"/>
    <w:rsid w:val="00992659"/>
    <w:rsid w:val="009943CD"/>
    <w:rsid w:val="009944B4"/>
    <w:rsid w:val="00994FB2"/>
    <w:rsid w:val="00995C6F"/>
    <w:rsid w:val="00995DC0"/>
    <w:rsid w:val="00995DCC"/>
    <w:rsid w:val="00995E89"/>
    <w:rsid w:val="009A01EF"/>
    <w:rsid w:val="009A04EF"/>
    <w:rsid w:val="009A2D15"/>
    <w:rsid w:val="009A4DAE"/>
    <w:rsid w:val="009A73C4"/>
    <w:rsid w:val="009B017E"/>
    <w:rsid w:val="009B0787"/>
    <w:rsid w:val="009B13BB"/>
    <w:rsid w:val="009B152D"/>
    <w:rsid w:val="009B1C24"/>
    <w:rsid w:val="009B24B2"/>
    <w:rsid w:val="009B3F80"/>
    <w:rsid w:val="009B4FA3"/>
    <w:rsid w:val="009B570D"/>
    <w:rsid w:val="009B5A75"/>
    <w:rsid w:val="009C0C67"/>
    <w:rsid w:val="009C279B"/>
    <w:rsid w:val="009C4EC4"/>
    <w:rsid w:val="009C51F1"/>
    <w:rsid w:val="009C736C"/>
    <w:rsid w:val="009D0F74"/>
    <w:rsid w:val="009D1E8D"/>
    <w:rsid w:val="009D1F3A"/>
    <w:rsid w:val="009D4A3B"/>
    <w:rsid w:val="009D6677"/>
    <w:rsid w:val="009E1029"/>
    <w:rsid w:val="009E12C8"/>
    <w:rsid w:val="009E1548"/>
    <w:rsid w:val="009E2183"/>
    <w:rsid w:val="009E32B5"/>
    <w:rsid w:val="009E6C39"/>
    <w:rsid w:val="009E7A25"/>
    <w:rsid w:val="009F056B"/>
    <w:rsid w:val="009F0A1A"/>
    <w:rsid w:val="009F195D"/>
    <w:rsid w:val="009F3991"/>
    <w:rsid w:val="009F489E"/>
    <w:rsid w:val="009F4E60"/>
    <w:rsid w:val="009F500D"/>
    <w:rsid w:val="009F5157"/>
    <w:rsid w:val="009F6E2B"/>
    <w:rsid w:val="009F7454"/>
    <w:rsid w:val="00A016D8"/>
    <w:rsid w:val="00A01FD2"/>
    <w:rsid w:val="00A02C53"/>
    <w:rsid w:val="00A0374B"/>
    <w:rsid w:val="00A0597F"/>
    <w:rsid w:val="00A06034"/>
    <w:rsid w:val="00A06716"/>
    <w:rsid w:val="00A06905"/>
    <w:rsid w:val="00A12E8C"/>
    <w:rsid w:val="00A13761"/>
    <w:rsid w:val="00A14CA9"/>
    <w:rsid w:val="00A1522F"/>
    <w:rsid w:val="00A15F4E"/>
    <w:rsid w:val="00A169AB"/>
    <w:rsid w:val="00A16E11"/>
    <w:rsid w:val="00A17562"/>
    <w:rsid w:val="00A239C9"/>
    <w:rsid w:val="00A24341"/>
    <w:rsid w:val="00A24FA1"/>
    <w:rsid w:val="00A255A5"/>
    <w:rsid w:val="00A260B0"/>
    <w:rsid w:val="00A268E5"/>
    <w:rsid w:val="00A27B73"/>
    <w:rsid w:val="00A3040D"/>
    <w:rsid w:val="00A329F7"/>
    <w:rsid w:val="00A334E5"/>
    <w:rsid w:val="00A419C2"/>
    <w:rsid w:val="00A44CAE"/>
    <w:rsid w:val="00A463E0"/>
    <w:rsid w:val="00A4644A"/>
    <w:rsid w:val="00A46C5B"/>
    <w:rsid w:val="00A47A99"/>
    <w:rsid w:val="00A50740"/>
    <w:rsid w:val="00A51D3C"/>
    <w:rsid w:val="00A5565E"/>
    <w:rsid w:val="00A557BB"/>
    <w:rsid w:val="00A57007"/>
    <w:rsid w:val="00A578BC"/>
    <w:rsid w:val="00A57BB7"/>
    <w:rsid w:val="00A62175"/>
    <w:rsid w:val="00A626D7"/>
    <w:rsid w:val="00A64848"/>
    <w:rsid w:val="00A64D8B"/>
    <w:rsid w:val="00A65031"/>
    <w:rsid w:val="00A65032"/>
    <w:rsid w:val="00A67A9B"/>
    <w:rsid w:val="00A7193F"/>
    <w:rsid w:val="00A73346"/>
    <w:rsid w:val="00A740F4"/>
    <w:rsid w:val="00A75694"/>
    <w:rsid w:val="00A81D3D"/>
    <w:rsid w:val="00A81F13"/>
    <w:rsid w:val="00A83BA9"/>
    <w:rsid w:val="00A8444C"/>
    <w:rsid w:val="00A84F6B"/>
    <w:rsid w:val="00A85657"/>
    <w:rsid w:val="00A870F8"/>
    <w:rsid w:val="00A91AC3"/>
    <w:rsid w:val="00A956CA"/>
    <w:rsid w:val="00A966A8"/>
    <w:rsid w:val="00AA1532"/>
    <w:rsid w:val="00AA3CCF"/>
    <w:rsid w:val="00AA5C00"/>
    <w:rsid w:val="00AA698E"/>
    <w:rsid w:val="00AA6C1C"/>
    <w:rsid w:val="00AA7278"/>
    <w:rsid w:val="00AA7E9A"/>
    <w:rsid w:val="00AB1B0F"/>
    <w:rsid w:val="00AB3E6D"/>
    <w:rsid w:val="00AC0403"/>
    <w:rsid w:val="00AC07B7"/>
    <w:rsid w:val="00AC195D"/>
    <w:rsid w:val="00AC3275"/>
    <w:rsid w:val="00AC4A57"/>
    <w:rsid w:val="00AC661C"/>
    <w:rsid w:val="00AC6CB5"/>
    <w:rsid w:val="00AD036E"/>
    <w:rsid w:val="00AD1758"/>
    <w:rsid w:val="00AD1CCC"/>
    <w:rsid w:val="00AD2D99"/>
    <w:rsid w:val="00AD2FDC"/>
    <w:rsid w:val="00AD4CCC"/>
    <w:rsid w:val="00AD563D"/>
    <w:rsid w:val="00AD5B86"/>
    <w:rsid w:val="00AD786F"/>
    <w:rsid w:val="00AD7A35"/>
    <w:rsid w:val="00AE0072"/>
    <w:rsid w:val="00AE1726"/>
    <w:rsid w:val="00AE2F1E"/>
    <w:rsid w:val="00AE3BC0"/>
    <w:rsid w:val="00AE4805"/>
    <w:rsid w:val="00AE7091"/>
    <w:rsid w:val="00AF196F"/>
    <w:rsid w:val="00AF28B2"/>
    <w:rsid w:val="00AF3737"/>
    <w:rsid w:val="00AF3DBA"/>
    <w:rsid w:val="00AF63D8"/>
    <w:rsid w:val="00AF69C4"/>
    <w:rsid w:val="00AF6C10"/>
    <w:rsid w:val="00B03003"/>
    <w:rsid w:val="00B033B1"/>
    <w:rsid w:val="00B03E03"/>
    <w:rsid w:val="00B04246"/>
    <w:rsid w:val="00B04607"/>
    <w:rsid w:val="00B04FFF"/>
    <w:rsid w:val="00B0549F"/>
    <w:rsid w:val="00B0720D"/>
    <w:rsid w:val="00B11928"/>
    <w:rsid w:val="00B11A03"/>
    <w:rsid w:val="00B15028"/>
    <w:rsid w:val="00B174A0"/>
    <w:rsid w:val="00B177A9"/>
    <w:rsid w:val="00B214E4"/>
    <w:rsid w:val="00B22C32"/>
    <w:rsid w:val="00B25FB9"/>
    <w:rsid w:val="00B263FE"/>
    <w:rsid w:val="00B30CB2"/>
    <w:rsid w:val="00B31C03"/>
    <w:rsid w:val="00B3222F"/>
    <w:rsid w:val="00B322FC"/>
    <w:rsid w:val="00B33B9E"/>
    <w:rsid w:val="00B3522C"/>
    <w:rsid w:val="00B35646"/>
    <w:rsid w:val="00B4036C"/>
    <w:rsid w:val="00B42EFE"/>
    <w:rsid w:val="00B431DD"/>
    <w:rsid w:val="00B4436D"/>
    <w:rsid w:val="00B47688"/>
    <w:rsid w:val="00B5225B"/>
    <w:rsid w:val="00B52528"/>
    <w:rsid w:val="00B5335C"/>
    <w:rsid w:val="00B55793"/>
    <w:rsid w:val="00B5587E"/>
    <w:rsid w:val="00B56334"/>
    <w:rsid w:val="00B57CF1"/>
    <w:rsid w:val="00B6171B"/>
    <w:rsid w:val="00B62657"/>
    <w:rsid w:val="00B6371C"/>
    <w:rsid w:val="00B6487D"/>
    <w:rsid w:val="00B64F3B"/>
    <w:rsid w:val="00B654B8"/>
    <w:rsid w:val="00B65B52"/>
    <w:rsid w:val="00B7078A"/>
    <w:rsid w:val="00B713A6"/>
    <w:rsid w:val="00B73119"/>
    <w:rsid w:val="00B7330B"/>
    <w:rsid w:val="00B74363"/>
    <w:rsid w:val="00B7505C"/>
    <w:rsid w:val="00B77AFF"/>
    <w:rsid w:val="00B77EEB"/>
    <w:rsid w:val="00B84582"/>
    <w:rsid w:val="00B85CCE"/>
    <w:rsid w:val="00B8675E"/>
    <w:rsid w:val="00B87EE8"/>
    <w:rsid w:val="00B915D3"/>
    <w:rsid w:val="00B93243"/>
    <w:rsid w:val="00B93AA5"/>
    <w:rsid w:val="00B94E53"/>
    <w:rsid w:val="00B9730E"/>
    <w:rsid w:val="00BA1B22"/>
    <w:rsid w:val="00BA1FE5"/>
    <w:rsid w:val="00BA3AF9"/>
    <w:rsid w:val="00BA3B46"/>
    <w:rsid w:val="00BA496C"/>
    <w:rsid w:val="00BA778F"/>
    <w:rsid w:val="00BA7C25"/>
    <w:rsid w:val="00BB03C1"/>
    <w:rsid w:val="00BB0FE8"/>
    <w:rsid w:val="00BB1E22"/>
    <w:rsid w:val="00BB1F7D"/>
    <w:rsid w:val="00BB28B8"/>
    <w:rsid w:val="00BB5365"/>
    <w:rsid w:val="00BB6D5D"/>
    <w:rsid w:val="00BB7EAC"/>
    <w:rsid w:val="00BC25D2"/>
    <w:rsid w:val="00BC2C52"/>
    <w:rsid w:val="00BC2D4E"/>
    <w:rsid w:val="00BC3C80"/>
    <w:rsid w:val="00BC402B"/>
    <w:rsid w:val="00BC488F"/>
    <w:rsid w:val="00BC4C1E"/>
    <w:rsid w:val="00BC535D"/>
    <w:rsid w:val="00BC62FE"/>
    <w:rsid w:val="00BC760E"/>
    <w:rsid w:val="00BC7968"/>
    <w:rsid w:val="00BD0A06"/>
    <w:rsid w:val="00BD587C"/>
    <w:rsid w:val="00BD7D02"/>
    <w:rsid w:val="00BE10DD"/>
    <w:rsid w:val="00BE11EA"/>
    <w:rsid w:val="00BE3C4C"/>
    <w:rsid w:val="00BE3EF6"/>
    <w:rsid w:val="00BE4C84"/>
    <w:rsid w:val="00BE698B"/>
    <w:rsid w:val="00BE7DF7"/>
    <w:rsid w:val="00BF15E6"/>
    <w:rsid w:val="00BF2111"/>
    <w:rsid w:val="00BF6194"/>
    <w:rsid w:val="00BF709B"/>
    <w:rsid w:val="00C0123A"/>
    <w:rsid w:val="00C016F3"/>
    <w:rsid w:val="00C02D70"/>
    <w:rsid w:val="00C0399E"/>
    <w:rsid w:val="00C05596"/>
    <w:rsid w:val="00C06587"/>
    <w:rsid w:val="00C0717F"/>
    <w:rsid w:val="00C077EA"/>
    <w:rsid w:val="00C11494"/>
    <w:rsid w:val="00C11C6F"/>
    <w:rsid w:val="00C12E06"/>
    <w:rsid w:val="00C1404C"/>
    <w:rsid w:val="00C1665D"/>
    <w:rsid w:val="00C176E7"/>
    <w:rsid w:val="00C17AC9"/>
    <w:rsid w:val="00C22068"/>
    <w:rsid w:val="00C239CE"/>
    <w:rsid w:val="00C27CFB"/>
    <w:rsid w:val="00C27F3D"/>
    <w:rsid w:val="00C319C5"/>
    <w:rsid w:val="00C34B96"/>
    <w:rsid w:val="00C37144"/>
    <w:rsid w:val="00C378F1"/>
    <w:rsid w:val="00C40670"/>
    <w:rsid w:val="00C40B74"/>
    <w:rsid w:val="00C41737"/>
    <w:rsid w:val="00C428AE"/>
    <w:rsid w:val="00C430EA"/>
    <w:rsid w:val="00C47B5C"/>
    <w:rsid w:val="00C51869"/>
    <w:rsid w:val="00C53386"/>
    <w:rsid w:val="00C53547"/>
    <w:rsid w:val="00C577B5"/>
    <w:rsid w:val="00C60BBC"/>
    <w:rsid w:val="00C621B5"/>
    <w:rsid w:val="00C62E67"/>
    <w:rsid w:val="00C63907"/>
    <w:rsid w:val="00C72170"/>
    <w:rsid w:val="00C7395F"/>
    <w:rsid w:val="00C74364"/>
    <w:rsid w:val="00C74D19"/>
    <w:rsid w:val="00C773B4"/>
    <w:rsid w:val="00C775FA"/>
    <w:rsid w:val="00C77BAD"/>
    <w:rsid w:val="00C77D8E"/>
    <w:rsid w:val="00C8269E"/>
    <w:rsid w:val="00C82C1B"/>
    <w:rsid w:val="00C8343E"/>
    <w:rsid w:val="00C84125"/>
    <w:rsid w:val="00C85CF9"/>
    <w:rsid w:val="00C85D67"/>
    <w:rsid w:val="00C86564"/>
    <w:rsid w:val="00C86606"/>
    <w:rsid w:val="00C866DF"/>
    <w:rsid w:val="00C96127"/>
    <w:rsid w:val="00C96EE3"/>
    <w:rsid w:val="00C973D2"/>
    <w:rsid w:val="00C97CAA"/>
    <w:rsid w:val="00CA1009"/>
    <w:rsid w:val="00CA1489"/>
    <w:rsid w:val="00CA26E2"/>
    <w:rsid w:val="00CA29B2"/>
    <w:rsid w:val="00CA3674"/>
    <w:rsid w:val="00CA3686"/>
    <w:rsid w:val="00CA6558"/>
    <w:rsid w:val="00CB0B59"/>
    <w:rsid w:val="00CB1AC4"/>
    <w:rsid w:val="00CB2169"/>
    <w:rsid w:val="00CB2D3A"/>
    <w:rsid w:val="00CB2EA9"/>
    <w:rsid w:val="00CB6223"/>
    <w:rsid w:val="00CB6B8D"/>
    <w:rsid w:val="00CC3D1A"/>
    <w:rsid w:val="00CC3FD7"/>
    <w:rsid w:val="00CC4449"/>
    <w:rsid w:val="00CC4D66"/>
    <w:rsid w:val="00CC4E17"/>
    <w:rsid w:val="00CC723F"/>
    <w:rsid w:val="00CD0B93"/>
    <w:rsid w:val="00CD1066"/>
    <w:rsid w:val="00CD3FE5"/>
    <w:rsid w:val="00CD4AF4"/>
    <w:rsid w:val="00CD56F2"/>
    <w:rsid w:val="00CD59F8"/>
    <w:rsid w:val="00CD602F"/>
    <w:rsid w:val="00CD6CA1"/>
    <w:rsid w:val="00CD7B36"/>
    <w:rsid w:val="00CE0F72"/>
    <w:rsid w:val="00CE346D"/>
    <w:rsid w:val="00CE6F48"/>
    <w:rsid w:val="00CE789A"/>
    <w:rsid w:val="00CF16C0"/>
    <w:rsid w:val="00CF16C4"/>
    <w:rsid w:val="00CF1BEF"/>
    <w:rsid w:val="00CF2EE3"/>
    <w:rsid w:val="00CF407F"/>
    <w:rsid w:val="00CF40D4"/>
    <w:rsid w:val="00CF5D11"/>
    <w:rsid w:val="00CF7316"/>
    <w:rsid w:val="00D04B30"/>
    <w:rsid w:val="00D05EF9"/>
    <w:rsid w:val="00D1244C"/>
    <w:rsid w:val="00D1306A"/>
    <w:rsid w:val="00D202A7"/>
    <w:rsid w:val="00D21583"/>
    <w:rsid w:val="00D2162D"/>
    <w:rsid w:val="00D226E8"/>
    <w:rsid w:val="00D22DCB"/>
    <w:rsid w:val="00D246B4"/>
    <w:rsid w:val="00D25277"/>
    <w:rsid w:val="00D25B3F"/>
    <w:rsid w:val="00D26096"/>
    <w:rsid w:val="00D346C8"/>
    <w:rsid w:val="00D346E7"/>
    <w:rsid w:val="00D3528B"/>
    <w:rsid w:val="00D35D4F"/>
    <w:rsid w:val="00D36383"/>
    <w:rsid w:val="00D36A20"/>
    <w:rsid w:val="00D37019"/>
    <w:rsid w:val="00D3788E"/>
    <w:rsid w:val="00D4306E"/>
    <w:rsid w:val="00D444EA"/>
    <w:rsid w:val="00D44947"/>
    <w:rsid w:val="00D45B12"/>
    <w:rsid w:val="00D45F77"/>
    <w:rsid w:val="00D465C8"/>
    <w:rsid w:val="00D47452"/>
    <w:rsid w:val="00D4797B"/>
    <w:rsid w:val="00D504E1"/>
    <w:rsid w:val="00D5097A"/>
    <w:rsid w:val="00D50CF3"/>
    <w:rsid w:val="00D56676"/>
    <w:rsid w:val="00D57D12"/>
    <w:rsid w:val="00D62196"/>
    <w:rsid w:val="00D65E43"/>
    <w:rsid w:val="00D65EE1"/>
    <w:rsid w:val="00D671EB"/>
    <w:rsid w:val="00D711EB"/>
    <w:rsid w:val="00D7203B"/>
    <w:rsid w:val="00D74039"/>
    <w:rsid w:val="00D754B6"/>
    <w:rsid w:val="00D7559F"/>
    <w:rsid w:val="00D77441"/>
    <w:rsid w:val="00D774E8"/>
    <w:rsid w:val="00D77A0E"/>
    <w:rsid w:val="00D77B81"/>
    <w:rsid w:val="00D8017B"/>
    <w:rsid w:val="00D869B5"/>
    <w:rsid w:val="00D86A6E"/>
    <w:rsid w:val="00D870A0"/>
    <w:rsid w:val="00D936F8"/>
    <w:rsid w:val="00D93F3B"/>
    <w:rsid w:val="00D94503"/>
    <w:rsid w:val="00D964F2"/>
    <w:rsid w:val="00D97E4F"/>
    <w:rsid w:val="00DA0BB5"/>
    <w:rsid w:val="00DA0DC5"/>
    <w:rsid w:val="00DA3D0F"/>
    <w:rsid w:val="00DA400A"/>
    <w:rsid w:val="00DA41F7"/>
    <w:rsid w:val="00DA4823"/>
    <w:rsid w:val="00DA6E32"/>
    <w:rsid w:val="00DB0EEF"/>
    <w:rsid w:val="00DB1B9C"/>
    <w:rsid w:val="00DB3CF1"/>
    <w:rsid w:val="00DB660B"/>
    <w:rsid w:val="00DB7A3D"/>
    <w:rsid w:val="00DC015B"/>
    <w:rsid w:val="00DC18CB"/>
    <w:rsid w:val="00DC59BA"/>
    <w:rsid w:val="00DC61EE"/>
    <w:rsid w:val="00DC6839"/>
    <w:rsid w:val="00DD0E99"/>
    <w:rsid w:val="00DD1A9E"/>
    <w:rsid w:val="00DD22F8"/>
    <w:rsid w:val="00DD2565"/>
    <w:rsid w:val="00DD2B17"/>
    <w:rsid w:val="00DD4A70"/>
    <w:rsid w:val="00DD55A2"/>
    <w:rsid w:val="00DD6886"/>
    <w:rsid w:val="00DD7912"/>
    <w:rsid w:val="00DE0901"/>
    <w:rsid w:val="00DE107C"/>
    <w:rsid w:val="00DE3BA9"/>
    <w:rsid w:val="00DE3F55"/>
    <w:rsid w:val="00DE4260"/>
    <w:rsid w:val="00DE4F4E"/>
    <w:rsid w:val="00DE583C"/>
    <w:rsid w:val="00DE5F06"/>
    <w:rsid w:val="00DE6DAA"/>
    <w:rsid w:val="00DE7AE7"/>
    <w:rsid w:val="00DF0194"/>
    <w:rsid w:val="00DF26C5"/>
    <w:rsid w:val="00DF3901"/>
    <w:rsid w:val="00DF4275"/>
    <w:rsid w:val="00DF4DF9"/>
    <w:rsid w:val="00DF5D3D"/>
    <w:rsid w:val="00DF748E"/>
    <w:rsid w:val="00E00E39"/>
    <w:rsid w:val="00E01861"/>
    <w:rsid w:val="00E01FCC"/>
    <w:rsid w:val="00E03E2F"/>
    <w:rsid w:val="00E03F24"/>
    <w:rsid w:val="00E04380"/>
    <w:rsid w:val="00E10271"/>
    <w:rsid w:val="00E10F33"/>
    <w:rsid w:val="00E10FE5"/>
    <w:rsid w:val="00E121DD"/>
    <w:rsid w:val="00E1338A"/>
    <w:rsid w:val="00E13B4F"/>
    <w:rsid w:val="00E13F07"/>
    <w:rsid w:val="00E14085"/>
    <w:rsid w:val="00E14516"/>
    <w:rsid w:val="00E14B5D"/>
    <w:rsid w:val="00E14D7D"/>
    <w:rsid w:val="00E21BF0"/>
    <w:rsid w:val="00E22AC3"/>
    <w:rsid w:val="00E237E7"/>
    <w:rsid w:val="00E24B4C"/>
    <w:rsid w:val="00E25068"/>
    <w:rsid w:val="00E26962"/>
    <w:rsid w:val="00E26E2B"/>
    <w:rsid w:val="00E27572"/>
    <w:rsid w:val="00E2785F"/>
    <w:rsid w:val="00E27FC3"/>
    <w:rsid w:val="00E30FED"/>
    <w:rsid w:val="00E31FA2"/>
    <w:rsid w:val="00E3208F"/>
    <w:rsid w:val="00E322E8"/>
    <w:rsid w:val="00E3239A"/>
    <w:rsid w:val="00E32CBB"/>
    <w:rsid w:val="00E3531F"/>
    <w:rsid w:val="00E42F5B"/>
    <w:rsid w:val="00E5182E"/>
    <w:rsid w:val="00E52448"/>
    <w:rsid w:val="00E529E1"/>
    <w:rsid w:val="00E5641B"/>
    <w:rsid w:val="00E565A8"/>
    <w:rsid w:val="00E57E82"/>
    <w:rsid w:val="00E632F6"/>
    <w:rsid w:val="00E63474"/>
    <w:rsid w:val="00E636BD"/>
    <w:rsid w:val="00E63ECF"/>
    <w:rsid w:val="00E65090"/>
    <w:rsid w:val="00E65241"/>
    <w:rsid w:val="00E65EF2"/>
    <w:rsid w:val="00E661CB"/>
    <w:rsid w:val="00E666D2"/>
    <w:rsid w:val="00E66DCF"/>
    <w:rsid w:val="00E67E88"/>
    <w:rsid w:val="00E70A41"/>
    <w:rsid w:val="00E7158C"/>
    <w:rsid w:val="00E72FAA"/>
    <w:rsid w:val="00E7346E"/>
    <w:rsid w:val="00E737FD"/>
    <w:rsid w:val="00E73AA4"/>
    <w:rsid w:val="00E73F71"/>
    <w:rsid w:val="00E740F7"/>
    <w:rsid w:val="00E74CED"/>
    <w:rsid w:val="00E75195"/>
    <w:rsid w:val="00E75807"/>
    <w:rsid w:val="00E7597B"/>
    <w:rsid w:val="00E75DCD"/>
    <w:rsid w:val="00E76072"/>
    <w:rsid w:val="00E77EA4"/>
    <w:rsid w:val="00E80106"/>
    <w:rsid w:val="00E801DA"/>
    <w:rsid w:val="00E801DB"/>
    <w:rsid w:val="00E822DB"/>
    <w:rsid w:val="00E84E90"/>
    <w:rsid w:val="00E87EF9"/>
    <w:rsid w:val="00E9522B"/>
    <w:rsid w:val="00E95CC4"/>
    <w:rsid w:val="00E96B8A"/>
    <w:rsid w:val="00E96C17"/>
    <w:rsid w:val="00EA154B"/>
    <w:rsid w:val="00EA1DC6"/>
    <w:rsid w:val="00EA2361"/>
    <w:rsid w:val="00EA23AF"/>
    <w:rsid w:val="00EB0FB8"/>
    <w:rsid w:val="00EB0FFB"/>
    <w:rsid w:val="00EB14C3"/>
    <w:rsid w:val="00EB2710"/>
    <w:rsid w:val="00EB3465"/>
    <w:rsid w:val="00EB3E4F"/>
    <w:rsid w:val="00EB42FC"/>
    <w:rsid w:val="00EC00C0"/>
    <w:rsid w:val="00EC221F"/>
    <w:rsid w:val="00EC4DFA"/>
    <w:rsid w:val="00EC4FDF"/>
    <w:rsid w:val="00EC51FB"/>
    <w:rsid w:val="00EC55EB"/>
    <w:rsid w:val="00EC7157"/>
    <w:rsid w:val="00ED1E86"/>
    <w:rsid w:val="00ED1EC8"/>
    <w:rsid w:val="00ED3433"/>
    <w:rsid w:val="00ED444A"/>
    <w:rsid w:val="00ED59D0"/>
    <w:rsid w:val="00EE2EC2"/>
    <w:rsid w:val="00EE322E"/>
    <w:rsid w:val="00EE4458"/>
    <w:rsid w:val="00EF0BC6"/>
    <w:rsid w:val="00EF0DCB"/>
    <w:rsid w:val="00EF13D4"/>
    <w:rsid w:val="00EF3DE6"/>
    <w:rsid w:val="00EF4536"/>
    <w:rsid w:val="00EF4718"/>
    <w:rsid w:val="00EF528F"/>
    <w:rsid w:val="00EF5DB3"/>
    <w:rsid w:val="00EF654B"/>
    <w:rsid w:val="00EF732F"/>
    <w:rsid w:val="00EF7EEB"/>
    <w:rsid w:val="00F004FA"/>
    <w:rsid w:val="00F00B7A"/>
    <w:rsid w:val="00F01DF7"/>
    <w:rsid w:val="00F0670D"/>
    <w:rsid w:val="00F06F9B"/>
    <w:rsid w:val="00F07387"/>
    <w:rsid w:val="00F107B6"/>
    <w:rsid w:val="00F1145B"/>
    <w:rsid w:val="00F115AF"/>
    <w:rsid w:val="00F1291C"/>
    <w:rsid w:val="00F12F41"/>
    <w:rsid w:val="00F14BD3"/>
    <w:rsid w:val="00F1518F"/>
    <w:rsid w:val="00F15490"/>
    <w:rsid w:val="00F15DC9"/>
    <w:rsid w:val="00F177DE"/>
    <w:rsid w:val="00F221B1"/>
    <w:rsid w:val="00F2431F"/>
    <w:rsid w:val="00F24ADE"/>
    <w:rsid w:val="00F25A93"/>
    <w:rsid w:val="00F26274"/>
    <w:rsid w:val="00F2664C"/>
    <w:rsid w:val="00F27796"/>
    <w:rsid w:val="00F40E15"/>
    <w:rsid w:val="00F42B57"/>
    <w:rsid w:val="00F44E4A"/>
    <w:rsid w:val="00F467F5"/>
    <w:rsid w:val="00F5034D"/>
    <w:rsid w:val="00F50410"/>
    <w:rsid w:val="00F52A07"/>
    <w:rsid w:val="00F53AE2"/>
    <w:rsid w:val="00F6190C"/>
    <w:rsid w:val="00F62790"/>
    <w:rsid w:val="00F630F3"/>
    <w:rsid w:val="00F64739"/>
    <w:rsid w:val="00F66636"/>
    <w:rsid w:val="00F703DE"/>
    <w:rsid w:val="00F706B6"/>
    <w:rsid w:val="00F72C01"/>
    <w:rsid w:val="00F737BA"/>
    <w:rsid w:val="00F73B28"/>
    <w:rsid w:val="00F74138"/>
    <w:rsid w:val="00F74B79"/>
    <w:rsid w:val="00F74CE2"/>
    <w:rsid w:val="00F75053"/>
    <w:rsid w:val="00F77B6D"/>
    <w:rsid w:val="00F810AD"/>
    <w:rsid w:val="00F82240"/>
    <w:rsid w:val="00F824CA"/>
    <w:rsid w:val="00F824F9"/>
    <w:rsid w:val="00F86821"/>
    <w:rsid w:val="00F86CB5"/>
    <w:rsid w:val="00F86F3F"/>
    <w:rsid w:val="00F8747A"/>
    <w:rsid w:val="00F92494"/>
    <w:rsid w:val="00F94254"/>
    <w:rsid w:val="00F95FAC"/>
    <w:rsid w:val="00F96A6F"/>
    <w:rsid w:val="00F9775F"/>
    <w:rsid w:val="00FA3577"/>
    <w:rsid w:val="00FA6DA5"/>
    <w:rsid w:val="00FB052E"/>
    <w:rsid w:val="00FB13D1"/>
    <w:rsid w:val="00FB2A48"/>
    <w:rsid w:val="00FB36D7"/>
    <w:rsid w:val="00FB37C9"/>
    <w:rsid w:val="00FB62B4"/>
    <w:rsid w:val="00FB698D"/>
    <w:rsid w:val="00FB71E4"/>
    <w:rsid w:val="00FB7213"/>
    <w:rsid w:val="00FC048B"/>
    <w:rsid w:val="00FC15AF"/>
    <w:rsid w:val="00FC1688"/>
    <w:rsid w:val="00FC178C"/>
    <w:rsid w:val="00FC1A2C"/>
    <w:rsid w:val="00FC538C"/>
    <w:rsid w:val="00FC53D8"/>
    <w:rsid w:val="00FD17F3"/>
    <w:rsid w:val="00FD4589"/>
    <w:rsid w:val="00FD5744"/>
    <w:rsid w:val="00FD5E9D"/>
    <w:rsid w:val="00FD6561"/>
    <w:rsid w:val="00FD6A23"/>
    <w:rsid w:val="00FD759D"/>
    <w:rsid w:val="00FE09A0"/>
    <w:rsid w:val="00FE132E"/>
    <w:rsid w:val="00FE3243"/>
    <w:rsid w:val="00FE4952"/>
    <w:rsid w:val="00FE4AAA"/>
    <w:rsid w:val="00FE4D78"/>
    <w:rsid w:val="00FE57DA"/>
    <w:rsid w:val="00FE66AA"/>
    <w:rsid w:val="00FE7B1C"/>
    <w:rsid w:val="00FF205E"/>
    <w:rsid w:val="00FF35B1"/>
    <w:rsid w:val="00FF48B7"/>
    <w:rsid w:val="00FF6BB6"/>
    <w:rsid w:val="01A44AED"/>
    <w:rsid w:val="024B39B2"/>
    <w:rsid w:val="025873A5"/>
    <w:rsid w:val="02D7678C"/>
    <w:rsid w:val="033A69B5"/>
    <w:rsid w:val="03F607E3"/>
    <w:rsid w:val="047A2A0A"/>
    <w:rsid w:val="04A14D02"/>
    <w:rsid w:val="04F236C9"/>
    <w:rsid w:val="04F77BA0"/>
    <w:rsid w:val="05BC0D4D"/>
    <w:rsid w:val="05F748B7"/>
    <w:rsid w:val="06103894"/>
    <w:rsid w:val="070B0C06"/>
    <w:rsid w:val="07107B0F"/>
    <w:rsid w:val="07224DAC"/>
    <w:rsid w:val="074D1591"/>
    <w:rsid w:val="075342B1"/>
    <w:rsid w:val="081D6FD2"/>
    <w:rsid w:val="08E34FE8"/>
    <w:rsid w:val="09405AC2"/>
    <w:rsid w:val="09755EF6"/>
    <w:rsid w:val="0AAA69CC"/>
    <w:rsid w:val="0ADE1852"/>
    <w:rsid w:val="0B1477EB"/>
    <w:rsid w:val="0B6F285F"/>
    <w:rsid w:val="0BFD14AB"/>
    <w:rsid w:val="0C9069EF"/>
    <w:rsid w:val="0CCB26AF"/>
    <w:rsid w:val="0D380DDE"/>
    <w:rsid w:val="0DAE73D3"/>
    <w:rsid w:val="0DE5265B"/>
    <w:rsid w:val="0E2C6B8A"/>
    <w:rsid w:val="0E7805BC"/>
    <w:rsid w:val="0F306DA3"/>
    <w:rsid w:val="0F5D1499"/>
    <w:rsid w:val="0FCE6811"/>
    <w:rsid w:val="10AD785C"/>
    <w:rsid w:val="1125372A"/>
    <w:rsid w:val="11B52458"/>
    <w:rsid w:val="11CD7D6D"/>
    <w:rsid w:val="129F5674"/>
    <w:rsid w:val="13024DDF"/>
    <w:rsid w:val="130C3DE8"/>
    <w:rsid w:val="13552439"/>
    <w:rsid w:val="13756A96"/>
    <w:rsid w:val="13796BC8"/>
    <w:rsid w:val="13A6372B"/>
    <w:rsid w:val="140E687D"/>
    <w:rsid w:val="144D0EC9"/>
    <w:rsid w:val="14965981"/>
    <w:rsid w:val="150E0FB7"/>
    <w:rsid w:val="15897E0F"/>
    <w:rsid w:val="15AC2E3D"/>
    <w:rsid w:val="16254753"/>
    <w:rsid w:val="163A0522"/>
    <w:rsid w:val="16891F0D"/>
    <w:rsid w:val="16AD49A5"/>
    <w:rsid w:val="16D52C47"/>
    <w:rsid w:val="173359F7"/>
    <w:rsid w:val="17566EA6"/>
    <w:rsid w:val="17F46FDA"/>
    <w:rsid w:val="1825073D"/>
    <w:rsid w:val="18387D12"/>
    <w:rsid w:val="192E4E5E"/>
    <w:rsid w:val="194C6F88"/>
    <w:rsid w:val="19593857"/>
    <w:rsid w:val="19B004B4"/>
    <w:rsid w:val="1ADE031B"/>
    <w:rsid w:val="1B4B79BA"/>
    <w:rsid w:val="1C060FF8"/>
    <w:rsid w:val="1C277745"/>
    <w:rsid w:val="1C5F3AE2"/>
    <w:rsid w:val="1C941ACA"/>
    <w:rsid w:val="1D2D4540"/>
    <w:rsid w:val="1D532EF4"/>
    <w:rsid w:val="1D896B03"/>
    <w:rsid w:val="1DCC37F5"/>
    <w:rsid w:val="1DF154C0"/>
    <w:rsid w:val="1DF77F0F"/>
    <w:rsid w:val="1E856B94"/>
    <w:rsid w:val="1E862EA3"/>
    <w:rsid w:val="1E9A03E2"/>
    <w:rsid w:val="1EF764ED"/>
    <w:rsid w:val="1F800F32"/>
    <w:rsid w:val="1F9E66A7"/>
    <w:rsid w:val="201B38EA"/>
    <w:rsid w:val="203945D7"/>
    <w:rsid w:val="203B5819"/>
    <w:rsid w:val="20654220"/>
    <w:rsid w:val="20820573"/>
    <w:rsid w:val="20AF34D1"/>
    <w:rsid w:val="21AB5C38"/>
    <w:rsid w:val="21D203E2"/>
    <w:rsid w:val="21FE279B"/>
    <w:rsid w:val="22761B21"/>
    <w:rsid w:val="228F67C3"/>
    <w:rsid w:val="23232BF1"/>
    <w:rsid w:val="233E64FF"/>
    <w:rsid w:val="23B70AD6"/>
    <w:rsid w:val="23D96487"/>
    <w:rsid w:val="23E7593D"/>
    <w:rsid w:val="24995D12"/>
    <w:rsid w:val="24FF50AF"/>
    <w:rsid w:val="26691CF9"/>
    <w:rsid w:val="26F51F96"/>
    <w:rsid w:val="277B4AD1"/>
    <w:rsid w:val="27CE4863"/>
    <w:rsid w:val="2820360F"/>
    <w:rsid w:val="28722E66"/>
    <w:rsid w:val="28F11E28"/>
    <w:rsid w:val="29391072"/>
    <w:rsid w:val="299B0CCC"/>
    <w:rsid w:val="2A982C1A"/>
    <w:rsid w:val="2C81752F"/>
    <w:rsid w:val="2CD840A1"/>
    <w:rsid w:val="2CE84165"/>
    <w:rsid w:val="2DB70DDD"/>
    <w:rsid w:val="2DF24D67"/>
    <w:rsid w:val="2E0C0B29"/>
    <w:rsid w:val="2E1D1FEF"/>
    <w:rsid w:val="2E776F87"/>
    <w:rsid w:val="2EF31297"/>
    <w:rsid w:val="2F2D59F8"/>
    <w:rsid w:val="2F604A6B"/>
    <w:rsid w:val="31241D47"/>
    <w:rsid w:val="315A71FA"/>
    <w:rsid w:val="31D71FD8"/>
    <w:rsid w:val="321F5FB5"/>
    <w:rsid w:val="32303458"/>
    <w:rsid w:val="328565FB"/>
    <w:rsid w:val="32A719CB"/>
    <w:rsid w:val="33033B5F"/>
    <w:rsid w:val="33993E55"/>
    <w:rsid w:val="33F55B38"/>
    <w:rsid w:val="341A3C21"/>
    <w:rsid w:val="348C2872"/>
    <w:rsid w:val="34AD18E8"/>
    <w:rsid w:val="34BE7A6D"/>
    <w:rsid w:val="34F10937"/>
    <w:rsid w:val="35EB0636"/>
    <w:rsid w:val="36297B70"/>
    <w:rsid w:val="37461FC2"/>
    <w:rsid w:val="37B76391"/>
    <w:rsid w:val="380755D5"/>
    <w:rsid w:val="387174E9"/>
    <w:rsid w:val="38AC22D6"/>
    <w:rsid w:val="38C365AB"/>
    <w:rsid w:val="38CD6EC1"/>
    <w:rsid w:val="3A06099F"/>
    <w:rsid w:val="3A3365F4"/>
    <w:rsid w:val="3B0579BE"/>
    <w:rsid w:val="3B20247C"/>
    <w:rsid w:val="3B2907B1"/>
    <w:rsid w:val="3BAE59AD"/>
    <w:rsid w:val="3C9B7BD9"/>
    <w:rsid w:val="3CBE261D"/>
    <w:rsid w:val="3CC00AB8"/>
    <w:rsid w:val="3CDC0BB3"/>
    <w:rsid w:val="3D027705"/>
    <w:rsid w:val="3D264DEC"/>
    <w:rsid w:val="3D5F1492"/>
    <w:rsid w:val="3D9B7BEF"/>
    <w:rsid w:val="3DF614CF"/>
    <w:rsid w:val="3E2B6735"/>
    <w:rsid w:val="3EA42260"/>
    <w:rsid w:val="3EB2134E"/>
    <w:rsid w:val="3EC2380D"/>
    <w:rsid w:val="3EC56968"/>
    <w:rsid w:val="3F101148"/>
    <w:rsid w:val="3F7D6AA0"/>
    <w:rsid w:val="3FD82096"/>
    <w:rsid w:val="40047F2E"/>
    <w:rsid w:val="4081223A"/>
    <w:rsid w:val="408967CE"/>
    <w:rsid w:val="40DA0A7E"/>
    <w:rsid w:val="412E5D5C"/>
    <w:rsid w:val="42786CDF"/>
    <w:rsid w:val="430A02E7"/>
    <w:rsid w:val="43B664EB"/>
    <w:rsid w:val="44596778"/>
    <w:rsid w:val="44E94222"/>
    <w:rsid w:val="45070FD2"/>
    <w:rsid w:val="45991699"/>
    <w:rsid w:val="45A7072D"/>
    <w:rsid w:val="463152EF"/>
    <w:rsid w:val="464B0B38"/>
    <w:rsid w:val="465A42AB"/>
    <w:rsid w:val="467215B5"/>
    <w:rsid w:val="47553630"/>
    <w:rsid w:val="476B77C4"/>
    <w:rsid w:val="477A50E7"/>
    <w:rsid w:val="47907701"/>
    <w:rsid w:val="47A65303"/>
    <w:rsid w:val="484C2936"/>
    <w:rsid w:val="48934B63"/>
    <w:rsid w:val="48F75937"/>
    <w:rsid w:val="4986219D"/>
    <w:rsid w:val="4B797EAA"/>
    <w:rsid w:val="4C2B5F97"/>
    <w:rsid w:val="4C3B7D84"/>
    <w:rsid w:val="4C673891"/>
    <w:rsid w:val="4C812BBE"/>
    <w:rsid w:val="4C9457B9"/>
    <w:rsid w:val="4D421B12"/>
    <w:rsid w:val="4DC66C43"/>
    <w:rsid w:val="4DEC4992"/>
    <w:rsid w:val="4E0E3413"/>
    <w:rsid w:val="4E34378B"/>
    <w:rsid w:val="4E5C0C1A"/>
    <w:rsid w:val="4E880339"/>
    <w:rsid w:val="4EBD22BA"/>
    <w:rsid w:val="4EFD7EF5"/>
    <w:rsid w:val="4F095406"/>
    <w:rsid w:val="4F1A411A"/>
    <w:rsid w:val="4F2F11B7"/>
    <w:rsid w:val="4F6B2B8C"/>
    <w:rsid w:val="4F7255BE"/>
    <w:rsid w:val="4F7A3B9A"/>
    <w:rsid w:val="4F881A5B"/>
    <w:rsid w:val="4FE1373F"/>
    <w:rsid w:val="4FEC19BF"/>
    <w:rsid w:val="502F7A70"/>
    <w:rsid w:val="5055448B"/>
    <w:rsid w:val="5064049D"/>
    <w:rsid w:val="50914A53"/>
    <w:rsid w:val="50C02517"/>
    <w:rsid w:val="50F75728"/>
    <w:rsid w:val="517B7D23"/>
    <w:rsid w:val="521B295D"/>
    <w:rsid w:val="527F4BDF"/>
    <w:rsid w:val="53942BEA"/>
    <w:rsid w:val="539C1839"/>
    <w:rsid w:val="53FA20D6"/>
    <w:rsid w:val="547A7007"/>
    <w:rsid w:val="54AF7C5F"/>
    <w:rsid w:val="55374204"/>
    <w:rsid w:val="554916EB"/>
    <w:rsid w:val="55C47BCA"/>
    <w:rsid w:val="55D6346D"/>
    <w:rsid w:val="56273B37"/>
    <w:rsid w:val="56BA570E"/>
    <w:rsid w:val="571261DD"/>
    <w:rsid w:val="574814E1"/>
    <w:rsid w:val="574C7E3D"/>
    <w:rsid w:val="59D20C01"/>
    <w:rsid w:val="5A0A4CEC"/>
    <w:rsid w:val="5A2038B9"/>
    <w:rsid w:val="5A434AB9"/>
    <w:rsid w:val="5B983236"/>
    <w:rsid w:val="5B9C4947"/>
    <w:rsid w:val="5BC9039F"/>
    <w:rsid w:val="5BE75639"/>
    <w:rsid w:val="5C6D7170"/>
    <w:rsid w:val="5D2D79F0"/>
    <w:rsid w:val="5D6E3BC7"/>
    <w:rsid w:val="5E4E6878"/>
    <w:rsid w:val="5E67060F"/>
    <w:rsid w:val="5E9B2A53"/>
    <w:rsid w:val="5F3C0E75"/>
    <w:rsid w:val="5F513AB4"/>
    <w:rsid w:val="60670A96"/>
    <w:rsid w:val="60D7521E"/>
    <w:rsid w:val="613948D6"/>
    <w:rsid w:val="614A2A29"/>
    <w:rsid w:val="61D50B7C"/>
    <w:rsid w:val="62662BD4"/>
    <w:rsid w:val="62722D29"/>
    <w:rsid w:val="63047C05"/>
    <w:rsid w:val="63221844"/>
    <w:rsid w:val="635F63F2"/>
    <w:rsid w:val="637C47A6"/>
    <w:rsid w:val="64434865"/>
    <w:rsid w:val="64AD2B34"/>
    <w:rsid w:val="64C659B4"/>
    <w:rsid w:val="650B3EEE"/>
    <w:rsid w:val="65E05C26"/>
    <w:rsid w:val="660466A5"/>
    <w:rsid w:val="662F0DD9"/>
    <w:rsid w:val="6634661D"/>
    <w:rsid w:val="663F09AB"/>
    <w:rsid w:val="664A0F06"/>
    <w:rsid w:val="66680770"/>
    <w:rsid w:val="66EC64B5"/>
    <w:rsid w:val="670955AB"/>
    <w:rsid w:val="670F05E5"/>
    <w:rsid w:val="678443B4"/>
    <w:rsid w:val="67925067"/>
    <w:rsid w:val="682E741A"/>
    <w:rsid w:val="683A3B40"/>
    <w:rsid w:val="69B24443"/>
    <w:rsid w:val="6A790279"/>
    <w:rsid w:val="6A833461"/>
    <w:rsid w:val="6B8348D7"/>
    <w:rsid w:val="6BA17B74"/>
    <w:rsid w:val="6BC37D9A"/>
    <w:rsid w:val="6BCB0450"/>
    <w:rsid w:val="6C3C32EB"/>
    <w:rsid w:val="6C3F1D82"/>
    <w:rsid w:val="6C9933DD"/>
    <w:rsid w:val="6C9C097C"/>
    <w:rsid w:val="6CC50933"/>
    <w:rsid w:val="6D803222"/>
    <w:rsid w:val="6D98197B"/>
    <w:rsid w:val="6DA65975"/>
    <w:rsid w:val="6DC23AA7"/>
    <w:rsid w:val="6E810903"/>
    <w:rsid w:val="6E957D69"/>
    <w:rsid w:val="6ECB6D13"/>
    <w:rsid w:val="6F9B2F1A"/>
    <w:rsid w:val="6FF56BE3"/>
    <w:rsid w:val="7018133B"/>
    <w:rsid w:val="711879FD"/>
    <w:rsid w:val="712F2D1D"/>
    <w:rsid w:val="71894B99"/>
    <w:rsid w:val="71DD0037"/>
    <w:rsid w:val="735A0666"/>
    <w:rsid w:val="74700CBB"/>
    <w:rsid w:val="74706E34"/>
    <w:rsid w:val="748E47EE"/>
    <w:rsid w:val="748F13B0"/>
    <w:rsid w:val="74AA49D2"/>
    <w:rsid w:val="74EC3C64"/>
    <w:rsid w:val="759F0A94"/>
    <w:rsid w:val="75D9014A"/>
    <w:rsid w:val="76046FC3"/>
    <w:rsid w:val="760D6272"/>
    <w:rsid w:val="763F2BA5"/>
    <w:rsid w:val="76D55B5F"/>
    <w:rsid w:val="76D67A7B"/>
    <w:rsid w:val="7724550F"/>
    <w:rsid w:val="778E6DA2"/>
    <w:rsid w:val="779930A9"/>
    <w:rsid w:val="77EE0CD7"/>
    <w:rsid w:val="77F453F4"/>
    <w:rsid w:val="78543C1F"/>
    <w:rsid w:val="785638FC"/>
    <w:rsid w:val="78767538"/>
    <w:rsid w:val="79142640"/>
    <w:rsid w:val="79495BBC"/>
    <w:rsid w:val="79910ECE"/>
    <w:rsid w:val="7A564C94"/>
    <w:rsid w:val="7A871926"/>
    <w:rsid w:val="7A8F35D9"/>
    <w:rsid w:val="7A954636"/>
    <w:rsid w:val="7A9943F5"/>
    <w:rsid w:val="7B6654DE"/>
    <w:rsid w:val="7BB079F5"/>
    <w:rsid w:val="7C6B1D06"/>
    <w:rsid w:val="7CFB34EF"/>
    <w:rsid w:val="7D095E27"/>
    <w:rsid w:val="7D501041"/>
    <w:rsid w:val="7D865096"/>
    <w:rsid w:val="7D9376D1"/>
    <w:rsid w:val="7DF6F848"/>
    <w:rsid w:val="7E3F2124"/>
    <w:rsid w:val="7E590C18"/>
    <w:rsid w:val="7E947E16"/>
    <w:rsid w:val="7EE63C37"/>
    <w:rsid w:val="7F487C96"/>
    <w:rsid w:val="7FB359F3"/>
    <w:rsid w:val="7FC7527B"/>
    <w:rsid w:val="7FD56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textAlignment w:val="baseline"/>
    </w:pPr>
    <w:rPr>
      <w:rFonts w:ascii="Times New Roman" w:hAnsi="Times New Roman" w:eastAsia="宋体" w:cs="Times New Roman"/>
      <w:kern w:val="2"/>
      <w:sz w:val="28"/>
      <w:szCs w:val="24"/>
      <w:lang w:val="en-US" w:eastAsia="zh-CN" w:bidi="ar-SA"/>
    </w:rPr>
  </w:style>
  <w:style w:type="paragraph" w:styleId="2">
    <w:name w:val="heading 1"/>
    <w:basedOn w:val="1"/>
    <w:next w:val="1"/>
    <w:link w:val="48"/>
    <w:qFormat/>
    <w:uiPriority w:val="0"/>
    <w:pPr>
      <w:numPr>
        <w:ilvl w:val="0"/>
        <w:numId w:val="1"/>
      </w:numPr>
      <w:spacing w:beforeLines="200" w:after="960" w:line="480" w:lineRule="atLeast"/>
      <w:ind w:left="0" w:firstLineChars="0"/>
      <w:jc w:val="center"/>
      <w:outlineLvl w:val="0"/>
    </w:pPr>
    <w:rPr>
      <w:b/>
      <w:color w:val="000000"/>
      <w:spacing w:val="8"/>
      <w:sz w:val="30"/>
      <w:szCs w:val="30"/>
    </w:rPr>
  </w:style>
  <w:style w:type="paragraph" w:styleId="3">
    <w:name w:val="heading 2"/>
    <w:basedOn w:val="1"/>
    <w:next w:val="1"/>
    <w:link w:val="46"/>
    <w:qFormat/>
    <w:uiPriority w:val="0"/>
    <w:pPr>
      <w:numPr>
        <w:ilvl w:val="1"/>
        <w:numId w:val="1"/>
      </w:numPr>
      <w:spacing w:beforeLines="200" w:afterLines="200"/>
      <w:ind w:firstLineChars="0"/>
      <w:jc w:val="center"/>
      <w:outlineLvl w:val="1"/>
    </w:pPr>
    <w:rPr>
      <w:b/>
    </w:rPr>
  </w:style>
  <w:style w:type="paragraph" w:styleId="4">
    <w:name w:val="heading 3"/>
    <w:basedOn w:val="1"/>
    <w:next w:val="1"/>
    <w:link w:val="47"/>
    <w:qFormat/>
    <w:uiPriority w:val="0"/>
    <w:pPr>
      <w:numPr>
        <w:ilvl w:val="2"/>
        <w:numId w:val="1"/>
      </w:numPr>
      <w:tabs>
        <w:tab w:val="left" w:pos="-991"/>
        <w:tab w:val="left" w:pos="567"/>
      </w:tabs>
      <w:adjustRightInd/>
      <w:ind w:firstLine="0" w:firstLineChars="0"/>
      <w:outlineLvl w:val="2"/>
    </w:pPr>
    <w:rPr>
      <w:bCs/>
      <w:szCs w:val="32"/>
    </w:rPr>
  </w:style>
  <w:style w:type="paragraph" w:styleId="5">
    <w:name w:val="heading 4"/>
    <w:basedOn w:val="1"/>
    <w:next w:val="1"/>
    <w:link w:val="50"/>
    <w:qFormat/>
    <w:uiPriority w:val="0"/>
    <w:pPr>
      <w:keepLines/>
      <w:widowControl/>
      <w:adjustRightInd/>
      <w:spacing w:before="120" w:after="120"/>
      <w:textAlignment w:val="auto"/>
      <w:outlineLvl w:val="3"/>
    </w:pPr>
    <w:rPr>
      <w:rFonts w:ascii="等线 Light" w:hAnsi="等线 Light" w:eastAsia="等线 Light"/>
      <w:b/>
      <w:bCs/>
      <w:szCs w:val="28"/>
    </w:rPr>
  </w:style>
  <w:style w:type="paragraph" w:styleId="6">
    <w:name w:val="heading 7"/>
    <w:basedOn w:val="1"/>
    <w:next w:val="1"/>
    <w:link w:val="51"/>
    <w:qFormat/>
    <w:uiPriority w:val="0"/>
    <w:pPr>
      <w:keepLines/>
      <w:spacing w:before="240" w:after="64" w:line="320" w:lineRule="atLeast"/>
      <w:outlineLvl w:val="6"/>
    </w:pPr>
    <w:rPr>
      <w:rFonts w:eastAsia="Times New Roman"/>
      <w:b/>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adjustRightInd/>
      <w:spacing w:line="240" w:lineRule="auto"/>
      <w:ind w:left="2520" w:leftChars="1200"/>
      <w:textAlignment w:val="auto"/>
    </w:pPr>
    <w:rPr>
      <w:rFonts w:ascii="Calibri" w:hAnsi="Calibri"/>
      <w:sz w:val="21"/>
      <w:szCs w:val="22"/>
    </w:rPr>
  </w:style>
  <w:style w:type="paragraph" w:styleId="8">
    <w:name w:val="caption"/>
    <w:basedOn w:val="1"/>
    <w:next w:val="1"/>
    <w:link w:val="89"/>
    <w:qFormat/>
    <w:uiPriority w:val="0"/>
    <w:pPr>
      <w:spacing w:beforeLines="25" w:afterLines="25" w:line="300" w:lineRule="auto"/>
    </w:pPr>
    <w:rPr>
      <w:rFonts w:ascii="Arial" w:hAnsi="Arial" w:eastAsia="黑体" w:cstheme="minorBidi"/>
      <w:sz w:val="21"/>
      <w:szCs w:val="22"/>
    </w:rPr>
  </w:style>
  <w:style w:type="paragraph" w:styleId="9">
    <w:name w:val="Document Map"/>
    <w:basedOn w:val="1"/>
    <w:link w:val="121"/>
    <w:semiHidden/>
    <w:unhideWhenUsed/>
    <w:qFormat/>
    <w:uiPriority w:val="99"/>
    <w:rPr>
      <w:rFonts w:ascii="宋体"/>
      <w:sz w:val="18"/>
      <w:szCs w:val="18"/>
    </w:rPr>
  </w:style>
  <w:style w:type="paragraph" w:styleId="10">
    <w:name w:val="annotation text"/>
    <w:basedOn w:val="1"/>
    <w:semiHidden/>
    <w:unhideWhenUsed/>
    <w:qFormat/>
    <w:uiPriority w:val="99"/>
  </w:style>
  <w:style w:type="paragraph" w:styleId="11">
    <w:name w:val="toc 5"/>
    <w:basedOn w:val="1"/>
    <w:next w:val="1"/>
    <w:qFormat/>
    <w:uiPriority w:val="39"/>
    <w:pPr>
      <w:adjustRightInd/>
      <w:spacing w:line="240" w:lineRule="auto"/>
      <w:ind w:left="1680" w:leftChars="800"/>
      <w:textAlignment w:val="auto"/>
    </w:pPr>
    <w:rPr>
      <w:rFonts w:ascii="Calibri" w:hAnsi="Calibri"/>
      <w:sz w:val="21"/>
      <w:szCs w:val="22"/>
    </w:rPr>
  </w:style>
  <w:style w:type="paragraph" w:styleId="12">
    <w:name w:val="toc 3"/>
    <w:basedOn w:val="1"/>
    <w:next w:val="1"/>
    <w:qFormat/>
    <w:uiPriority w:val="39"/>
    <w:pPr>
      <w:ind w:left="840" w:leftChars="400"/>
    </w:pPr>
  </w:style>
  <w:style w:type="paragraph" w:styleId="13">
    <w:name w:val="toc 8"/>
    <w:basedOn w:val="1"/>
    <w:next w:val="1"/>
    <w:qFormat/>
    <w:uiPriority w:val="39"/>
    <w:pPr>
      <w:adjustRightInd/>
      <w:spacing w:line="240" w:lineRule="auto"/>
      <w:ind w:left="2940" w:leftChars="1400"/>
      <w:textAlignment w:val="auto"/>
    </w:pPr>
    <w:rPr>
      <w:rFonts w:ascii="Calibri" w:hAnsi="Calibri"/>
      <w:sz w:val="21"/>
      <w:szCs w:val="22"/>
    </w:rPr>
  </w:style>
  <w:style w:type="paragraph" w:styleId="14">
    <w:name w:val="Balloon Text"/>
    <w:basedOn w:val="1"/>
    <w:link w:val="120"/>
    <w:semiHidden/>
    <w:unhideWhenUsed/>
    <w:qFormat/>
    <w:uiPriority w:val="99"/>
    <w:pPr>
      <w:spacing w:line="240" w:lineRule="auto"/>
    </w:pPr>
    <w:rPr>
      <w:sz w:val="18"/>
      <w:szCs w:val="18"/>
    </w:rPr>
  </w:style>
  <w:style w:type="paragraph" w:styleId="15">
    <w:name w:val="footer"/>
    <w:basedOn w:val="1"/>
    <w:link w:val="37"/>
    <w:unhideWhenUsed/>
    <w:qFormat/>
    <w:uiPriority w:val="99"/>
    <w:pPr>
      <w:tabs>
        <w:tab w:val="center" w:pos="4153"/>
        <w:tab w:val="right" w:pos="8306"/>
      </w:tabs>
      <w:spacing w:line="240" w:lineRule="auto"/>
    </w:pPr>
    <w:rPr>
      <w:sz w:val="18"/>
      <w:szCs w:val="18"/>
    </w:rPr>
  </w:style>
  <w:style w:type="paragraph" w:styleId="16">
    <w:name w:val="header"/>
    <w:basedOn w:val="1"/>
    <w:link w:val="36"/>
    <w:semiHidden/>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7">
    <w:name w:val="toc 1"/>
    <w:basedOn w:val="1"/>
    <w:next w:val="1"/>
    <w:qFormat/>
    <w:uiPriority w:val="39"/>
    <w:pPr>
      <w:ind w:firstLine="0" w:firstLineChars="0"/>
      <w:outlineLvl w:val="0"/>
    </w:pPr>
  </w:style>
  <w:style w:type="paragraph" w:styleId="18">
    <w:name w:val="toc 4"/>
    <w:basedOn w:val="1"/>
    <w:next w:val="1"/>
    <w:qFormat/>
    <w:uiPriority w:val="39"/>
    <w:pPr>
      <w:adjustRightInd/>
      <w:spacing w:line="240" w:lineRule="auto"/>
      <w:ind w:left="1260" w:leftChars="600"/>
      <w:textAlignment w:val="auto"/>
    </w:pPr>
    <w:rPr>
      <w:rFonts w:ascii="Calibri" w:hAnsi="Calibri"/>
      <w:sz w:val="21"/>
      <w:szCs w:val="22"/>
    </w:rPr>
  </w:style>
  <w:style w:type="paragraph" w:styleId="19">
    <w:name w:val="toc 6"/>
    <w:basedOn w:val="1"/>
    <w:next w:val="1"/>
    <w:qFormat/>
    <w:uiPriority w:val="39"/>
    <w:pPr>
      <w:adjustRightInd/>
      <w:spacing w:line="240" w:lineRule="auto"/>
      <w:ind w:left="2100" w:leftChars="1000"/>
      <w:textAlignment w:val="auto"/>
    </w:pPr>
    <w:rPr>
      <w:rFonts w:ascii="Calibri" w:hAnsi="Calibri"/>
      <w:sz w:val="21"/>
      <w:szCs w:val="22"/>
    </w:rPr>
  </w:style>
  <w:style w:type="paragraph" w:styleId="20">
    <w:name w:val="toc 2"/>
    <w:basedOn w:val="1"/>
    <w:next w:val="1"/>
    <w:qFormat/>
    <w:uiPriority w:val="39"/>
    <w:pPr>
      <w:spacing w:after="50" w:afterLines="50" w:line="259" w:lineRule="auto"/>
      <w:ind w:left="50" w:leftChars="50" w:firstLine="0" w:firstLineChars="0"/>
    </w:pPr>
  </w:style>
  <w:style w:type="paragraph" w:styleId="21">
    <w:name w:val="toc 9"/>
    <w:basedOn w:val="1"/>
    <w:next w:val="1"/>
    <w:qFormat/>
    <w:uiPriority w:val="39"/>
    <w:pPr>
      <w:adjustRightInd/>
      <w:spacing w:line="240" w:lineRule="auto"/>
      <w:ind w:left="3360" w:leftChars="1600"/>
      <w:textAlignment w:val="auto"/>
    </w:pPr>
    <w:rPr>
      <w:rFonts w:ascii="Calibri" w:hAnsi="Calibri"/>
      <w:sz w:val="21"/>
      <w:szCs w:val="22"/>
    </w:rPr>
  </w:style>
  <w:style w:type="paragraph" w:styleId="22">
    <w:name w:val="Normal (Web)"/>
    <w:basedOn w:val="1"/>
    <w:semiHidden/>
    <w:unhideWhenUsed/>
    <w:qFormat/>
    <w:uiPriority w:val="99"/>
    <w:pPr>
      <w:widowControl/>
      <w:adjustRightInd/>
      <w:snapToGrid/>
      <w:spacing w:before="100" w:beforeAutospacing="1" w:after="100" w:afterAutospacing="1" w:line="240" w:lineRule="auto"/>
      <w:ind w:firstLine="0" w:firstLineChars="0"/>
      <w:textAlignment w:val="auto"/>
    </w:pPr>
    <w:rPr>
      <w:rFonts w:ascii="宋体" w:hAnsi="宋体" w:cs="宋体"/>
      <w:kern w:val="0"/>
      <w:sz w:val="24"/>
    </w:rPr>
  </w:style>
  <w:style w:type="character" w:styleId="25">
    <w:name w:val="Strong"/>
    <w:basedOn w:val="24"/>
    <w:qFormat/>
    <w:uiPriority w:val="22"/>
    <w:rPr>
      <w:b/>
    </w:rPr>
  </w:style>
  <w:style w:type="character" w:styleId="26">
    <w:name w:val="FollowedHyperlink"/>
    <w:basedOn w:val="24"/>
    <w:semiHidden/>
    <w:unhideWhenUsed/>
    <w:qFormat/>
    <w:uiPriority w:val="99"/>
    <w:rPr>
      <w:color w:val="014CCC"/>
      <w:u w:val="none"/>
    </w:rPr>
  </w:style>
  <w:style w:type="character" w:styleId="27">
    <w:name w:val="Emphasis"/>
    <w:basedOn w:val="24"/>
    <w:qFormat/>
    <w:uiPriority w:val="20"/>
  </w:style>
  <w:style w:type="character" w:styleId="28">
    <w:name w:val="HTML Definition"/>
    <w:basedOn w:val="24"/>
    <w:semiHidden/>
    <w:unhideWhenUsed/>
    <w:qFormat/>
    <w:uiPriority w:val="99"/>
  </w:style>
  <w:style w:type="character" w:styleId="29">
    <w:name w:val="HTML Variable"/>
    <w:basedOn w:val="24"/>
    <w:semiHidden/>
    <w:unhideWhenUsed/>
    <w:qFormat/>
    <w:uiPriority w:val="99"/>
  </w:style>
  <w:style w:type="character" w:styleId="30">
    <w:name w:val="Hyperlink"/>
    <w:basedOn w:val="24"/>
    <w:unhideWhenUsed/>
    <w:qFormat/>
    <w:uiPriority w:val="99"/>
    <w:rPr>
      <w:color w:val="0000FF" w:themeColor="hyperlink"/>
      <w:u w:val="single"/>
      <w14:textFill>
        <w14:solidFill>
          <w14:schemeClr w14:val="hlink"/>
        </w14:solidFill>
      </w14:textFill>
    </w:rPr>
  </w:style>
  <w:style w:type="character" w:styleId="31">
    <w:name w:val="HTML Code"/>
    <w:basedOn w:val="24"/>
    <w:semiHidden/>
    <w:unhideWhenUsed/>
    <w:qFormat/>
    <w:uiPriority w:val="99"/>
    <w:rPr>
      <w:rFonts w:hint="default" w:ascii="Arial" w:hAnsi="Arial" w:cs="Arial"/>
      <w:sz w:val="20"/>
    </w:rPr>
  </w:style>
  <w:style w:type="character" w:styleId="32">
    <w:name w:val="annotation reference"/>
    <w:basedOn w:val="24"/>
    <w:semiHidden/>
    <w:unhideWhenUsed/>
    <w:qFormat/>
    <w:uiPriority w:val="99"/>
    <w:rPr>
      <w:sz w:val="21"/>
      <w:szCs w:val="21"/>
    </w:rPr>
  </w:style>
  <w:style w:type="character" w:styleId="33">
    <w:name w:val="HTML Cite"/>
    <w:basedOn w:val="24"/>
    <w:semiHidden/>
    <w:unhideWhenUsed/>
    <w:qFormat/>
    <w:uiPriority w:val="99"/>
  </w:style>
  <w:style w:type="character" w:styleId="34">
    <w:name w:val="HTML Keyboard"/>
    <w:basedOn w:val="24"/>
    <w:semiHidden/>
    <w:unhideWhenUsed/>
    <w:qFormat/>
    <w:uiPriority w:val="99"/>
    <w:rPr>
      <w:rFonts w:hint="default" w:ascii="Arial" w:hAnsi="Arial" w:cs="Arial"/>
      <w:sz w:val="20"/>
    </w:rPr>
  </w:style>
  <w:style w:type="character" w:styleId="35">
    <w:name w:val="HTML Sample"/>
    <w:basedOn w:val="24"/>
    <w:semiHidden/>
    <w:unhideWhenUsed/>
    <w:qFormat/>
    <w:uiPriority w:val="99"/>
    <w:rPr>
      <w:rFonts w:hint="eastAsia" w:ascii="Arial" w:hAnsi="Arial" w:cs="Arial"/>
    </w:rPr>
  </w:style>
  <w:style w:type="character" w:customStyle="1" w:styleId="36">
    <w:name w:val="页眉 字符2"/>
    <w:basedOn w:val="24"/>
    <w:link w:val="16"/>
    <w:qFormat/>
    <w:uiPriority w:val="0"/>
    <w:rPr>
      <w:sz w:val="18"/>
      <w:szCs w:val="18"/>
    </w:rPr>
  </w:style>
  <w:style w:type="character" w:customStyle="1" w:styleId="37">
    <w:name w:val="页脚 字符2"/>
    <w:basedOn w:val="24"/>
    <w:link w:val="15"/>
    <w:qFormat/>
    <w:uiPriority w:val="99"/>
    <w:rPr>
      <w:sz w:val="18"/>
      <w:szCs w:val="18"/>
    </w:rPr>
  </w:style>
  <w:style w:type="character" w:customStyle="1" w:styleId="38">
    <w:name w:val="正文文本 Char"/>
    <w:link w:val="39"/>
    <w:qFormat/>
    <w:uiPriority w:val="0"/>
    <w:rPr>
      <w:sz w:val="24"/>
    </w:rPr>
  </w:style>
  <w:style w:type="paragraph" w:customStyle="1" w:styleId="39">
    <w:name w:val="正文文本1"/>
    <w:basedOn w:val="1"/>
    <w:link w:val="38"/>
    <w:qFormat/>
    <w:uiPriority w:val="0"/>
    <w:pPr>
      <w:spacing w:after="120"/>
    </w:pPr>
    <w:rPr>
      <w:rFonts w:asciiTheme="minorHAnsi" w:hAnsiTheme="minorHAnsi" w:eastAsiaTheme="minorEastAsia" w:cstheme="minorBidi"/>
      <w:szCs w:val="22"/>
    </w:rPr>
  </w:style>
  <w:style w:type="character" w:customStyle="1" w:styleId="40">
    <w:name w:val="页码1"/>
    <w:qFormat/>
    <w:uiPriority w:val="0"/>
    <w:rPr>
      <w:rFonts w:cs="Times New Roman"/>
    </w:rPr>
  </w:style>
  <w:style w:type="character" w:customStyle="1" w:styleId="41">
    <w:name w:val="页脚 字符1"/>
    <w:link w:val="42"/>
    <w:qFormat/>
    <w:uiPriority w:val="0"/>
    <w:rPr>
      <w:sz w:val="18"/>
    </w:rPr>
  </w:style>
  <w:style w:type="paragraph" w:customStyle="1" w:styleId="42">
    <w:name w:val="页脚1"/>
    <w:basedOn w:val="1"/>
    <w:link w:val="41"/>
    <w:qFormat/>
    <w:uiPriority w:val="0"/>
    <w:pPr>
      <w:tabs>
        <w:tab w:val="center" w:pos="4153"/>
        <w:tab w:val="right" w:pos="8306"/>
      </w:tabs>
      <w:spacing w:line="240" w:lineRule="atLeast"/>
    </w:pPr>
    <w:rPr>
      <w:rFonts w:asciiTheme="minorHAnsi" w:hAnsiTheme="minorHAnsi" w:eastAsiaTheme="minorEastAsia" w:cstheme="minorBidi"/>
      <w:sz w:val="18"/>
      <w:szCs w:val="22"/>
    </w:rPr>
  </w:style>
  <w:style w:type="character" w:customStyle="1" w:styleId="43">
    <w:name w:val="页眉 字符1"/>
    <w:link w:val="44"/>
    <w:qFormat/>
    <w:uiPriority w:val="0"/>
    <w:rPr>
      <w:sz w:val="18"/>
    </w:rPr>
  </w:style>
  <w:style w:type="paragraph" w:customStyle="1" w:styleId="44">
    <w:name w:val="页眉1"/>
    <w:basedOn w:val="1"/>
    <w:link w:val="43"/>
    <w:qFormat/>
    <w:uiPriority w:val="0"/>
    <w:pPr>
      <w:pBdr>
        <w:bottom w:val="single" w:color="auto" w:sz="6" w:space="1"/>
      </w:pBdr>
      <w:tabs>
        <w:tab w:val="center" w:pos="4153"/>
        <w:tab w:val="right" w:pos="8306"/>
      </w:tabs>
      <w:spacing w:line="240" w:lineRule="auto"/>
      <w:jc w:val="center"/>
    </w:pPr>
    <w:rPr>
      <w:rFonts w:asciiTheme="minorHAnsi" w:hAnsiTheme="minorHAnsi" w:eastAsiaTheme="minorEastAsia" w:cstheme="minorBidi"/>
      <w:sz w:val="18"/>
      <w:szCs w:val="22"/>
    </w:rPr>
  </w:style>
  <w:style w:type="character" w:customStyle="1" w:styleId="45">
    <w:name w:val="标题 1 Char"/>
    <w:basedOn w:val="24"/>
    <w:qFormat/>
    <w:uiPriority w:val="0"/>
    <w:rPr>
      <w:rFonts w:ascii="Times New Roman" w:hAnsi="Times New Roman" w:eastAsia="宋体" w:cs="Times New Roman"/>
      <w:b/>
      <w:bCs/>
      <w:kern w:val="44"/>
      <w:sz w:val="44"/>
      <w:szCs w:val="44"/>
    </w:rPr>
  </w:style>
  <w:style w:type="character" w:customStyle="1" w:styleId="46">
    <w:name w:val="标题 2 字符"/>
    <w:basedOn w:val="24"/>
    <w:link w:val="3"/>
    <w:qFormat/>
    <w:uiPriority w:val="0"/>
    <w:rPr>
      <w:rFonts w:ascii="Times New Roman" w:hAnsi="Times New Roman" w:eastAsia="宋体" w:cs="Times New Roman"/>
      <w:b/>
      <w:kern w:val="2"/>
      <w:sz w:val="28"/>
      <w:szCs w:val="24"/>
    </w:rPr>
  </w:style>
  <w:style w:type="character" w:customStyle="1" w:styleId="47">
    <w:name w:val="标题 3 字符"/>
    <w:basedOn w:val="24"/>
    <w:link w:val="4"/>
    <w:qFormat/>
    <w:uiPriority w:val="0"/>
    <w:rPr>
      <w:rFonts w:ascii="Times New Roman" w:hAnsi="Times New Roman" w:eastAsia="宋体" w:cs="Times New Roman"/>
      <w:bCs/>
      <w:kern w:val="2"/>
      <w:sz w:val="28"/>
      <w:szCs w:val="32"/>
    </w:rPr>
  </w:style>
  <w:style w:type="character" w:customStyle="1" w:styleId="48">
    <w:name w:val="标题 1 字符"/>
    <w:link w:val="2"/>
    <w:qFormat/>
    <w:uiPriority w:val="0"/>
    <w:rPr>
      <w:rFonts w:ascii="Times New Roman" w:hAnsi="Times New Roman" w:eastAsia="宋体" w:cs="Times New Roman"/>
      <w:b/>
      <w:color w:val="000000"/>
      <w:spacing w:val="8"/>
      <w:sz w:val="30"/>
      <w:szCs w:val="30"/>
    </w:rPr>
  </w:style>
  <w:style w:type="character" w:customStyle="1" w:styleId="49">
    <w:name w:val="批注引用2"/>
    <w:qFormat/>
    <w:uiPriority w:val="0"/>
    <w:rPr>
      <w:sz w:val="21"/>
    </w:rPr>
  </w:style>
  <w:style w:type="character" w:customStyle="1" w:styleId="50">
    <w:name w:val="标题 4 字符"/>
    <w:basedOn w:val="24"/>
    <w:link w:val="5"/>
    <w:qFormat/>
    <w:uiPriority w:val="0"/>
    <w:rPr>
      <w:rFonts w:ascii="等线 Light" w:hAnsi="等线 Light" w:eastAsia="等线 Light" w:cs="Times New Roman"/>
      <w:b/>
      <w:bCs/>
      <w:sz w:val="28"/>
      <w:szCs w:val="28"/>
    </w:rPr>
  </w:style>
  <w:style w:type="character" w:customStyle="1" w:styleId="51">
    <w:name w:val="标题 7 字符"/>
    <w:basedOn w:val="24"/>
    <w:link w:val="6"/>
    <w:qFormat/>
    <w:uiPriority w:val="0"/>
    <w:rPr>
      <w:rFonts w:ascii="Times New Roman" w:hAnsi="Times New Roman" w:eastAsia="Times New Roman" w:cs="Times New Roman"/>
      <w:b/>
      <w:sz w:val="24"/>
      <w:szCs w:val="24"/>
    </w:rPr>
  </w:style>
  <w:style w:type="character" w:customStyle="1" w:styleId="52">
    <w:name w:val="批注主题 字符1"/>
    <w:link w:val="53"/>
    <w:qFormat/>
    <w:uiPriority w:val="0"/>
    <w:rPr>
      <w:rFonts w:eastAsia="Times New Roman"/>
      <w:b/>
      <w:sz w:val="24"/>
    </w:rPr>
  </w:style>
  <w:style w:type="paragraph" w:customStyle="1" w:styleId="53">
    <w:name w:val="批注主题1"/>
    <w:basedOn w:val="54"/>
    <w:next w:val="54"/>
    <w:link w:val="52"/>
    <w:qFormat/>
    <w:uiPriority w:val="0"/>
    <w:rPr>
      <w:b/>
    </w:rPr>
  </w:style>
  <w:style w:type="paragraph" w:customStyle="1" w:styleId="54">
    <w:name w:val="批注文字2"/>
    <w:basedOn w:val="1"/>
    <w:link w:val="55"/>
    <w:qFormat/>
    <w:uiPriority w:val="0"/>
    <w:rPr>
      <w:rFonts w:eastAsia="Times New Roman" w:asciiTheme="minorHAnsi" w:hAnsiTheme="minorHAnsi" w:cstheme="minorBidi"/>
      <w:szCs w:val="22"/>
    </w:rPr>
  </w:style>
  <w:style w:type="character" w:customStyle="1" w:styleId="55">
    <w:name w:val="批注文字 字符1"/>
    <w:link w:val="54"/>
    <w:qFormat/>
    <w:uiPriority w:val="0"/>
    <w:rPr>
      <w:rFonts w:eastAsia="Times New Roman"/>
      <w:sz w:val="24"/>
    </w:rPr>
  </w:style>
  <w:style w:type="character" w:customStyle="1" w:styleId="56">
    <w:name w:val="正文文本 (3) + MingLiU"/>
    <w:qFormat/>
    <w:uiPriority w:val="0"/>
    <w:rPr>
      <w:rFonts w:ascii="MingLiU" w:hAnsi="MingLiU" w:eastAsia="MingLiU"/>
      <w:color w:val="000000"/>
      <w:spacing w:val="0"/>
      <w:w w:val="100"/>
      <w:position w:val="0"/>
      <w:sz w:val="11"/>
      <w:u w:val="none"/>
      <w:lang w:val="zh-TW"/>
    </w:rPr>
  </w:style>
  <w:style w:type="character" w:customStyle="1" w:styleId="57">
    <w:name w:val="批注文字 Char"/>
    <w:link w:val="58"/>
    <w:qFormat/>
    <w:uiPriority w:val="0"/>
    <w:rPr>
      <w:sz w:val="24"/>
    </w:rPr>
  </w:style>
  <w:style w:type="paragraph" w:customStyle="1" w:styleId="58">
    <w:name w:val="批注文字1"/>
    <w:basedOn w:val="1"/>
    <w:link w:val="57"/>
    <w:qFormat/>
    <w:uiPriority w:val="0"/>
    <w:rPr>
      <w:rFonts w:asciiTheme="minorHAnsi" w:hAnsiTheme="minorHAnsi" w:eastAsiaTheme="minorEastAsia" w:cstheme="minorBidi"/>
      <w:szCs w:val="22"/>
    </w:rPr>
  </w:style>
  <w:style w:type="character" w:customStyle="1" w:styleId="59">
    <w:name w:val="批注框文本 字符"/>
    <w:qFormat/>
    <w:uiPriority w:val="0"/>
    <w:rPr>
      <w:kern w:val="2"/>
      <w:sz w:val="18"/>
      <w:szCs w:val="18"/>
    </w:rPr>
  </w:style>
  <w:style w:type="character" w:customStyle="1" w:styleId="60">
    <w:name w:val="标题 Char"/>
    <w:link w:val="61"/>
    <w:qFormat/>
    <w:uiPriority w:val="0"/>
    <w:rPr>
      <w:rFonts w:ascii="Cambria" w:hAnsi="Cambria"/>
      <w:b/>
      <w:sz w:val="32"/>
    </w:rPr>
  </w:style>
  <w:style w:type="paragraph" w:customStyle="1" w:styleId="61">
    <w:name w:val="标题1"/>
    <w:basedOn w:val="1"/>
    <w:next w:val="1"/>
    <w:link w:val="60"/>
    <w:qFormat/>
    <w:uiPriority w:val="0"/>
    <w:pPr>
      <w:spacing w:before="240" w:after="60"/>
      <w:jc w:val="center"/>
      <w:outlineLvl w:val="0"/>
    </w:pPr>
    <w:rPr>
      <w:rFonts w:ascii="Cambria" w:hAnsi="Cambria" w:eastAsiaTheme="minorEastAsia" w:cstheme="minorBidi"/>
      <w:b/>
      <w:sz w:val="32"/>
      <w:szCs w:val="22"/>
    </w:rPr>
  </w:style>
  <w:style w:type="character" w:customStyle="1" w:styleId="62">
    <w:name w:val="批注文字 Char2"/>
    <w:qFormat/>
    <w:uiPriority w:val="0"/>
    <w:rPr>
      <w:rFonts w:eastAsia="Times New Roman"/>
      <w:kern w:val="2"/>
      <w:sz w:val="24"/>
    </w:rPr>
  </w:style>
  <w:style w:type="character" w:customStyle="1" w:styleId="63">
    <w:name w:val="段 Char"/>
    <w:link w:val="64"/>
    <w:qFormat/>
    <w:uiPriority w:val="0"/>
    <w:rPr>
      <w:rFonts w:ascii="宋体"/>
    </w:rPr>
  </w:style>
  <w:style w:type="paragraph" w:customStyle="1" w:styleId="64">
    <w:name w:val="段"/>
    <w:link w:val="63"/>
    <w:qFormat/>
    <w:uiPriority w:val="0"/>
    <w:pPr>
      <w:widowControl w:val="0"/>
      <w:tabs>
        <w:tab w:val="center" w:pos="4201"/>
        <w:tab w:val="right" w:leader="dot" w:pos="9298"/>
      </w:tabs>
      <w:autoSpaceDE w:val="0"/>
      <w:autoSpaceDN w:val="0"/>
      <w:adjustRightInd w:val="0"/>
      <w:spacing w:line="360" w:lineRule="atLeast"/>
      <w:ind w:firstLine="420" w:firstLineChars="200"/>
      <w:jc w:val="both"/>
      <w:textAlignment w:val="baseline"/>
    </w:pPr>
    <w:rPr>
      <w:rFonts w:ascii="宋体" w:hAnsiTheme="minorHAnsi" w:eastAsiaTheme="minorEastAsia" w:cstheme="minorBidi"/>
      <w:kern w:val="2"/>
      <w:sz w:val="21"/>
      <w:szCs w:val="22"/>
      <w:lang w:val="en-US" w:eastAsia="zh-CN" w:bidi="ar-SA"/>
    </w:rPr>
  </w:style>
  <w:style w:type="character" w:customStyle="1" w:styleId="65">
    <w:name w:val="占位符文本1"/>
    <w:qFormat/>
    <w:uiPriority w:val="0"/>
    <w:rPr>
      <w:color w:val="808080"/>
    </w:rPr>
  </w:style>
  <w:style w:type="character" w:customStyle="1" w:styleId="66">
    <w:name w:val="批注框文本 Char"/>
    <w:link w:val="67"/>
    <w:qFormat/>
    <w:uiPriority w:val="0"/>
    <w:rPr>
      <w:sz w:val="18"/>
    </w:rPr>
  </w:style>
  <w:style w:type="paragraph" w:customStyle="1" w:styleId="67">
    <w:name w:val="批注框文本1"/>
    <w:basedOn w:val="1"/>
    <w:link w:val="66"/>
    <w:qFormat/>
    <w:uiPriority w:val="0"/>
    <w:rPr>
      <w:rFonts w:asciiTheme="minorHAnsi" w:hAnsiTheme="minorHAnsi" w:eastAsiaTheme="minorEastAsia" w:cstheme="minorBidi"/>
      <w:sz w:val="18"/>
      <w:szCs w:val="22"/>
    </w:rPr>
  </w:style>
  <w:style w:type="character" w:customStyle="1" w:styleId="68">
    <w:name w:val="表格 Char"/>
    <w:link w:val="69"/>
    <w:qFormat/>
    <w:uiPriority w:val="0"/>
    <w:rPr>
      <w:sz w:val="28"/>
    </w:rPr>
  </w:style>
  <w:style w:type="paragraph" w:customStyle="1" w:styleId="69">
    <w:name w:val="表格"/>
    <w:basedOn w:val="1"/>
    <w:link w:val="68"/>
    <w:qFormat/>
    <w:uiPriority w:val="0"/>
    <w:pPr>
      <w:jc w:val="center"/>
    </w:pPr>
    <w:rPr>
      <w:rFonts w:asciiTheme="minorHAnsi" w:hAnsiTheme="minorHAnsi" w:eastAsiaTheme="minorEastAsia" w:cstheme="minorBidi"/>
      <w:szCs w:val="22"/>
    </w:rPr>
  </w:style>
  <w:style w:type="character" w:customStyle="1" w:styleId="70">
    <w:name w:val="日期 字符"/>
    <w:qFormat/>
    <w:uiPriority w:val="0"/>
    <w:rPr>
      <w:kern w:val="2"/>
      <w:sz w:val="28"/>
      <w:szCs w:val="24"/>
    </w:rPr>
  </w:style>
  <w:style w:type="character" w:customStyle="1" w:styleId="71">
    <w:name w:val="文档结构图 Char"/>
    <w:link w:val="72"/>
    <w:qFormat/>
    <w:uiPriority w:val="0"/>
    <w:rPr>
      <w:rFonts w:ascii="宋体"/>
      <w:sz w:val="18"/>
    </w:rPr>
  </w:style>
  <w:style w:type="paragraph" w:customStyle="1" w:styleId="72">
    <w:name w:val="文档结构图1"/>
    <w:basedOn w:val="1"/>
    <w:link w:val="71"/>
    <w:qFormat/>
    <w:uiPriority w:val="0"/>
    <w:rPr>
      <w:rFonts w:ascii="宋体" w:hAnsiTheme="minorHAnsi" w:eastAsiaTheme="minorEastAsia" w:cstheme="minorBidi"/>
      <w:sz w:val="18"/>
      <w:szCs w:val="22"/>
    </w:rPr>
  </w:style>
  <w:style w:type="character" w:customStyle="1" w:styleId="73">
    <w:name w:val="标题 2 Char2"/>
    <w:qFormat/>
    <w:uiPriority w:val="0"/>
    <w:rPr>
      <w:b/>
      <w:kern w:val="2"/>
      <w:sz w:val="24"/>
      <w:szCs w:val="24"/>
    </w:rPr>
  </w:style>
  <w:style w:type="character" w:customStyle="1" w:styleId="74">
    <w:name w:val="批注文字 字符"/>
    <w:qFormat/>
    <w:uiPriority w:val="0"/>
    <w:rPr>
      <w:kern w:val="2"/>
      <w:sz w:val="28"/>
      <w:szCs w:val="24"/>
    </w:rPr>
  </w:style>
  <w:style w:type="character" w:customStyle="1" w:styleId="75">
    <w:name w:val="正文缩进 字符"/>
    <w:link w:val="76"/>
    <w:qFormat/>
    <w:uiPriority w:val="0"/>
    <w:rPr>
      <w:sz w:val="24"/>
    </w:rPr>
  </w:style>
  <w:style w:type="paragraph" w:customStyle="1" w:styleId="76">
    <w:name w:val="正文缩进1"/>
    <w:basedOn w:val="1"/>
    <w:link w:val="75"/>
    <w:qFormat/>
    <w:uiPriority w:val="0"/>
    <w:pPr>
      <w:ind w:firstLine="420"/>
      <w:textAlignment w:val="auto"/>
    </w:pPr>
    <w:rPr>
      <w:rFonts w:asciiTheme="minorHAnsi" w:hAnsiTheme="minorHAnsi" w:eastAsiaTheme="minorEastAsia" w:cstheme="minorBidi"/>
      <w:szCs w:val="22"/>
    </w:rPr>
  </w:style>
  <w:style w:type="character" w:customStyle="1" w:styleId="77">
    <w:name w:val="正文文本 字符"/>
    <w:link w:val="78"/>
    <w:qFormat/>
    <w:uiPriority w:val="0"/>
    <w:rPr>
      <w:rFonts w:ascii="宋体" w:cs="宋体"/>
      <w:szCs w:val="21"/>
    </w:rPr>
  </w:style>
  <w:style w:type="paragraph" w:customStyle="1" w:styleId="78">
    <w:name w:val="正文文本2"/>
    <w:basedOn w:val="1"/>
    <w:link w:val="77"/>
    <w:qFormat/>
    <w:uiPriority w:val="0"/>
    <w:pPr>
      <w:autoSpaceDE w:val="0"/>
      <w:autoSpaceDN w:val="0"/>
      <w:spacing w:before="177" w:line="240" w:lineRule="auto"/>
      <w:ind w:left="118"/>
      <w:textAlignment w:val="auto"/>
    </w:pPr>
    <w:rPr>
      <w:rFonts w:ascii="宋体" w:cs="宋体" w:hAnsiTheme="minorHAnsi" w:eastAsiaTheme="minorEastAsia"/>
      <w:sz w:val="21"/>
      <w:szCs w:val="21"/>
    </w:rPr>
  </w:style>
  <w:style w:type="character" w:customStyle="1" w:styleId="79">
    <w:name w:val="批注主题 字符"/>
    <w:qFormat/>
    <w:uiPriority w:val="0"/>
    <w:rPr>
      <w:rFonts w:eastAsia="Times New Roman"/>
      <w:b/>
      <w:bCs/>
      <w:kern w:val="2"/>
      <w:sz w:val="28"/>
      <w:szCs w:val="24"/>
    </w:rPr>
  </w:style>
  <w:style w:type="character" w:customStyle="1" w:styleId="80">
    <w:name w:val="页眉 字符"/>
    <w:qFormat/>
    <w:uiPriority w:val="0"/>
    <w:rPr>
      <w:kern w:val="2"/>
      <w:sz w:val="18"/>
      <w:szCs w:val="18"/>
    </w:rPr>
  </w:style>
  <w:style w:type="character" w:customStyle="1" w:styleId="81">
    <w:name w:val="页脚 字符"/>
    <w:qFormat/>
    <w:uiPriority w:val="99"/>
    <w:rPr>
      <w:kern w:val="2"/>
      <w:sz w:val="18"/>
      <w:szCs w:val="18"/>
    </w:rPr>
  </w:style>
  <w:style w:type="character" w:customStyle="1" w:styleId="82">
    <w:name w:val="日期 字符1"/>
    <w:link w:val="83"/>
    <w:qFormat/>
    <w:uiPriority w:val="0"/>
    <w:rPr>
      <w:rFonts w:eastAsia="Times New Roman"/>
      <w:sz w:val="24"/>
    </w:rPr>
  </w:style>
  <w:style w:type="paragraph" w:customStyle="1" w:styleId="83">
    <w:name w:val="日期2"/>
    <w:basedOn w:val="1"/>
    <w:next w:val="1"/>
    <w:link w:val="82"/>
    <w:qFormat/>
    <w:uiPriority w:val="0"/>
    <w:pPr>
      <w:ind w:left="100" w:leftChars="2500"/>
    </w:pPr>
    <w:rPr>
      <w:rFonts w:eastAsia="Times New Roman" w:asciiTheme="minorHAnsi" w:hAnsiTheme="minorHAnsi" w:cstheme="minorBidi"/>
      <w:szCs w:val="22"/>
    </w:rPr>
  </w:style>
  <w:style w:type="character" w:customStyle="1" w:styleId="84">
    <w:name w:val="fontstyle21"/>
    <w:basedOn w:val="24"/>
    <w:qFormat/>
    <w:uiPriority w:val="0"/>
    <w:rPr>
      <w:rFonts w:hint="eastAsia" w:ascii="宋体" w:hAnsi="宋体" w:eastAsia="宋体"/>
      <w:color w:val="000000"/>
      <w:sz w:val="24"/>
    </w:rPr>
  </w:style>
  <w:style w:type="character" w:customStyle="1" w:styleId="85">
    <w:name w:val="fontstyle01"/>
    <w:basedOn w:val="24"/>
    <w:qFormat/>
    <w:uiPriority w:val="0"/>
    <w:rPr>
      <w:rFonts w:hint="default" w:ascii="TimesNewRomanPS-BoldMT"/>
      <w:b/>
      <w:color w:val="000000"/>
      <w:sz w:val="24"/>
    </w:rPr>
  </w:style>
  <w:style w:type="character" w:customStyle="1" w:styleId="86">
    <w:name w:val="批注框文本 字符1"/>
    <w:link w:val="87"/>
    <w:qFormat/>
    <w:uiPriority w:val="0"/>
    <w:rPr>
      <w:rFonts w:eastAsia="Times New Roman"/>
      <w:sz w:val="18"/>
    </w:rPr>
  </w:style>
  <w:style w:type="paragraph" w:customStyle="1" w:styleId="87">
    <w:name w:val="批注框文本2"/>
    <w:basedOn w:val="1"/>
    <w:link w:val="86"/>
    <w:qFormat/>
    <w:uiPriority w:val="0"/>
    <w:pPr>
      <w:spacing w:line="240" w:lineRule="auto"/>
    </w:pPr>
    <w:rPr>
      <w:rFonts w:eastAsia="Times New Roman" w:asciiTheme="minorHAnsi" w:hAnsiTheme="minorHAnsi" w:cstheme="minorBidi"/>
      <w:sz w:val="18"/>
      <w:szCs w:val="22"/>
    </w:rPr>
  </w:style>
  <w:style w:type="character" w:customStyle="1" w:styleId="88">
    <w:name w:val="正文文本 (3) + Constantia"/>
    <w:qFormat/>
    <w:uiPriority w:val="0"/>
    <w:rPr>
      <w:rFonts w:ascii="Constantia" w:hAnsi="Constantia"/>
      <w:color w:val="000000"/>
      <w:spacing w:val="0"/>
      <w:w w:val="100"/>
      <w:position w:val="0"/>
      <w:sz w:val="9"/>
      <w:u w:val="none"/>
      <w:lang w:val="en-US"/>
    </w:rPr>
  </w:style>
  <w:style w:type="character" w:customStyle="1" w:styleId="89">
    <w:name w:val="题注 字符"/>
    <w:link w:val="8"/>
    <w:qFormat/>
    <w:uiPriority w:val="0"/>
    <w:rPr>
      <w:rFonts w:ascii="Arial" w:hAnsi="Arial" w:eastAsia="黑体"/>
    </w:rPr>
  </w:style>
  <w:style w:type="character" w:customStyle="1" w:styleId="90">
    <w:name w:val="批注引用1"/>
    <w:qFormat/>
    <w:uiPriority w:val="0"/>
    <w:rPr>
      <w:sz w:val="21"/>
    </w:rPr>
  </w:style>
  <w:style w:type="character" w:customStyle="1" w:styleId="91">
    <w:name w:val="标题 2 Char1"/>
    <w:qFormat/>
    <w:uiPriority w:val="0"/>
    <w:rPr>
      <w:kern w:val="2"/>
      <w:sz w:val="24"/>
      <w:szCs w:val="24"/>
    </w:rPr>
  </w:style>
  <w:style w:type="character" w:customStyle="1" w:styleId="92">
    <w:name w:val="正文文本缩进 Char"/>
    <w:link w:val="93"/>
    <w:qFormat/>
    <w:uiPriority w:val="0"/>
    <w:rPr>
      <w:sz w:val="28"/>
    </w:rPr>
  </w:style>
  <w:style w:type="paragraph" w:customStyle="1" w:styleId="93">
    <w:name w:val="正文文本缩进1"/>
    <w:basedOn w:val="1"/>
    <w:link w:val="92"/>
    <w:qFormat/>
    <w:uiPriority w:val="0"/>
    <w:pPr>
      <w:ind w:firstLine="560"/>
    </w:pPr>
    <w:rPr>
      <w:rFonts w:asciiTheme="minorHAnsi" w:hAnsiTheme="minorHAnsi" w:eastAsiaTheme="minorEastAsia" w:cstheme="minorBidi"/>
      <w:szCs w:val="22"/>
    </w:rPr>
  </w:style>
  <w:style w:type="character" w:customStyle="1" w:styleId="94">
    <w:name w:val="批注框文本 Char1"/>
    <w:qFormat/>
    <w:uiPriority w:val="0"/>
    <w:rPr>
      <w:rFonts w:eastAsia="Times New Roman"/>
      <w:kern w:val="2"/>
      <w:sz w:val="18"/>
    </w:rPr>
  </w:style>
  <w:style w:type="character" w:customStyle="1" w:styleId="95">
    <w:name w:val="批注文字 Char1"/>
    <w:qFormat/>
    <w:uiPriority w:val="0"/>
    <w:rPr>
      <w:rFonts w:eastAsia="Times New Roman"/>
      <w:kern w:val="2"/>
      <w:sz w:val="24"/>
    </w:rPr>
  </w:style>
  <w:style w:type="character" w:customStyle="1" w:styleId="96">
    <w:name w:val="页码2"/>
    <w:qFormat/>
    <w:uiPriority w:val="0"/>
    <w:rPr>
      <w:rFonts w:cs="Times New Roman"/>
    </w:rPr>
  </w:style>
  <w:style w:type="paragraph" w:customStyle="1" w:styleId="97">
    <w:name w:val="列出段落2"/>
    <w:basedOn w:val="1"/>
    <w:qFormat/>
    <w:uiPriority w:val="0"/>
    <w:pPr>
      <w:ind w:firstLine="420"/>
    </w:pPr>
    <w:rPr>
      <w:rFonts w:ascii="Calibri" w:hAnsi="Calibri" w:cs="Calibri"/>
      <w:szCs w:val="21"/>
    </w:rPr>
  </w:style>
  <w:style w:type="paragraph" w:customStyle="1" w:styleId="98">
    <w:name w:val="加粗正文"/>
    <w:basedOn w:val="1"/>
    <w:qFormat/>
    <w:uiPriority w:val="0"/>
    <w:pPr>
      <w:ind w:firstLine="560"/>
    </w:pPr>
    <w:rPr>
      <w:rFonts w:eastAsia="黑体"/>
      <w:b/>
    </w:rPr>
  </w:style>
  <w:style w:type="paragraph" w:customStyle="1" w:styleId="99">
    <w:name w:val="S 正文"/>
    <w:qFormat/>
    <w:uiPriority w:val="0"/>
    <w:pPr>
      <w:spacing w:line="360" w:lineRule="auto"/>
      <w:ind w:firstLine="200" w:firstLineChars="200"/>
    </w:pPr>
    <w:rPr>
      <w:rFonts w:ascii="Times New Roman" w:hAnsi="Times New Roman" w:eastAsia="宋体" w:cs="Times New Roman"/>
      <w:sz w:val="24"/>
      <w:szCs w:val="22"/>
      <w:lang w:val="en-US" w:eastAsia="en-US" w:bidi="ar-SA"/>
    </w:rPr>
  </w:style>
  <w:style w:type="paragraph" w:customStyle="1" w:styleId="100">
    <w:name w:val="p0"/>
    <w:basedOn w:val="1"/>
    <w:qFormat/>
    <w:uiPriority w:val="0"/>
    <w:pPr>
      <w:widowControl/>
      <w:adjustRightInd/>
      <w:spacing w:line="240" w:lineRule="auto"/>
      <w:textAlignment w:val="auto"/>
    </w:pPr>
    <w:rPr>
      <w:rFonts w:ascii="Calibri" w:hAnsi="Calibri" w:cs="Calibri"/>
      <w:kern w:val="0"/>
      <w:szCs w:val="21"/>
    </w:rPr>
  </w:style>
  <w:style w:type="paragraph" w:customStyle="1" w:styleId="101">
    <w:name w:val="列表段落1"/>
    <w:basedOn w:val="1"/>
    <w:qFormat/>
    <w:uiPriority w:val="0"/>
    <w:pPr>
      <w:ind w:firstLine="420"/>
    </w:pPr>
    <w:rPr>
      <w:rFonts w:ascii="Calibri" w:hAnsi="Calibri"/>
      <w:szCs w:val="22"/>
    </w:rPr>
  </w:style>
  <w:style w:type="paragraph" w:customStyle="1" w:styleId="102">
    <w:name w:val="Default"/>
    <w:qFormat/>
    <w:uiPriority w:val="0"/>
    <w:pPr>
      <w:widowControl w:val="0"/>
      <w:autoSpaceDE w:val="0"/>
      <w:autoSpaceDN w:val="0"/>
      <w:adjustRightInd w:val="0"/>
      <w:spacing w:line="360" w:lineRule="atLeast"/>
      <w:jc w:val="both"/>
      <w:textAlignment w:val="baseline"/>
    </w:pPr>
    <w:rPr>
      <w:rFonts w:ascii="Times New Roman" w:hAnsi="Times New Roman" w:eastAsia="宋体" w:cs="Times New Roman"/>
      <w:color w:val="000000"/>
      <w:sz w:val="24"/>
      <w:szCs w:val="24"/>
      <w:lang w:val="en-US" w:eastAsia="zh-CN" w:bidi="ar-SA"/>
    </w:rPr>
  </w:style>
  <w:style w:type="paragraph" w:customStyle="1" w:styleId="103">
    <w:name w:val="默认段落字体 Para Char"/>
    <w:basedOn w:val="1"/>
    <w:qFormat/>
    <w:uiPriority w:val="0"/>
  </w:style>
  <w:style w:type="character" w:customStyle="1" w:styleId="104">
    <w:name w:val="页脚 Char1"/>
    <w:basedOn w:val="24"/>
    <w:qFormat/>
    <w:uiPriority w:val="0"/>
    <w:rPr>
      <w:kern w:val="2"/>
      <w:sz w:val="18"/>
      <w:szCs w:val="24"/>
    </w:rPr>
  </w:style>
  <w:style w:type="paragraph" w:customStyle="1" w:styleId="105">
    <w:name w:val="p15"/>
    <w:basedOn w:val="1"/>
    <w:qFormat/>
    <w:uiPriority w:val="0"/>
    <w:pPr>
      <w:widowControl/>
      <w:adjustRightInd/>
      <w:ind w:firstLine="420"/>
      <w:textAlignment w:val="auto"/>
    </w:pPr>
    <w:rPr>
      <w:rFonts w:ascii="Calibri" w:hAnsi="Calibri" w:cs="Calibri"/>
      <w:kern w:val="0"/>
      <w:szCs w:val="21"/>
    </w:rPr>
  </w:style>
  <w:style w:type="paragraph" w:customStyle="1" w:styleId="106">
    <w:name w:val="列出段落1"/>
    <w:basedOn w:val="1"/>
    <w:qFormat/>
    <w:uiPriority w:val="0"/>
    <w:pPr>
      <w:ind w:firstLine="420"/>
    </w:pPr>
    <w:rPr>
      <w:rFonts w:ascii="Calibri" w:hAnsi="Calibri"/>
      <w:szCs w:val="22"/>
    </w:rPr>
  </w:style>
  <w:style w:type="paragraph" w:customStyle="1" w:styleId="107">
    <w:name w:val="_Style 21"/>
    <w:basedOn w:val="1"/>
    <w:qFormat/>
    <w:uiPriority w:val="0"/>
    <w:pPr>
      <w:widowControl/>
      <w:spacing w:after="160" w:line="240" w:lineRule="exact"/>
    </w:pPr>
    <w:rPr>
      <w:rFonts w:ascii="Verdana" w:hAnsi="Verdana" w:eastAsia="仿宋_GB2312"/>
      <w:kern w:val="0"/>
      <w:szCs w:val="20"/>
      <w:lang w:eastAsia="en-US"/>
    </w:rPr>
  </w:style>
  <w:style w:type="paragraph" w:customStyle="1" w:styleId="108">
    <w:name w:val="封面标准号1"/>
    <w:qFormat/>
    <w:uiPriority w:val="0"/>
    <w:pPr>
      <w:widowControl w:val="0"/>
      <w:kinsoku w:val="0"/>
      <w:overflowPunct w:val="0"/>
      <w:autoSpaceDE w:val="0"/>
      <w:autoSpaceDN w:val="0"/>
      <w:adjustRightInd w:val="0"/>
      <w:spacing w:before="308" w:line="360" w:lineRule="atLeast"/>
      <w:jc w:val="right"/>
      <w:textAlignment w:val="center"/>
    </w:pPr>
    <w:rPr>
      <w:rFonts w:ascii="Times New Roman" w:hAnsi="Times New Roman" w:eastAsia="宋体" w:cs="Times New Roman"/>
      <w:sz w:val="28"/>
      <w:lang w:val="en-US" w:eastAsia="zh-CN" w:bidi="ar-SA"/>
    </w:rPr>
  </w:style>
  <w:style w:type="paragraph" w:customStyle="1" w:styleId="109">
    <w:name w:val="样式 标题 4四 + Times New Roman 段前: 0 磅 段后: 0 磅 行距: 1.5 倍行距1"/>
    <w:basedOn w:val="5"/>
    <w:qFormat/>
    <w:uiPriority w:val="0"/>
    <w:pPr>
      <w:keepLines w:val="0"/>
      <w:tabs>
        <w:tab w:val="left" w:pos="682"/>
      </w:tabs>
      <w:spacing w:before="0" w:after="0"/>
      <w:ind w:left="682"/>
    </w:pPr>
  </w:style>
  <w:style w:type="paragraph" w:customStyle="1" w:styleId="110">
    <w:name w:val="修订1"/>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customStyle="1" w:styleId="111">
    <w:name w:val="列出段落3"/>
    <w:basedOn w:val="1"/>
    <w:qFormat/>
    <w:uiPriority w:val="0"/>
    <w:pPr>
      <w:ind w:firstLine="420"/>
    </w:pPr>
    <w:rPr>
      <w:rFonts w:ascii="Calibri" w:hAnsi="Calibri"/>
      <w:szCs w:val="22"/>
    </w:rPr>
  </w:style>
  <w:style w:type="paragraph" w:customStyle="1" w:styleId="112">
    <w:name w:val="日期1"/>
    <w:basedOn w:val="1"/>
    <w:next w:val="1"/>
    <w:qFormat/>
    <w:uiPriority w:val="0"/>
    <w:pPr>
      <w:ind w:left="100" w:leftChars="2500"/>
    </w:pPr>
  </w:style>
  <w:style w:type="paragraph" w:customStyle="1" w:styleId="113">
    <w:name w:val="其他发布部门"/>
    <w:basedOn w:val="1"/>
    <w:qFormat/>
    <w:uiPriority w:val="0"/>
    <w:pPr>
      <w:widowControl/>
      <w:spacing w:line="240" w:lineRule="atLeast"/>
      <w:jc w:val="center"/>
    </w:pPr>
    <w:rPr>
      <w:rFonts w:ascii="黑体" w:eastAsia="黑体"/>
      <w:spacing w:val="20"/>
      <w:w w:val="135"/>
      <w:kern w:val="0"/>
      <w:sz w:val="36"/>
      <w:szCs w:val="20"/>
    </w:rPr>
  </w:style>
  <w:style w:type="paragraph" w:customStyle="1" w:styleId="114">
    <w:name w:val="普通(网站)1"/>
    <w:basedOn w:val="1"/>
    <w:qFormat/>
    <w:uiPriority w:val="0"/>
    <w:pPr>
      <w:widowControl/>
      <w:spacing w:before="100" w:beforeAutospacing="1" w:after="100" w:afterAutospacing="1"/>
    </w:pPr>
    <w:rPr>
      <w:rFonts w:ascii="宋体" w:hAnsi="宋体" w:cs="宋体"/>
      <w:kern w:val="0"/>
    </w:rPr>
  </w:style>
  <w:style w:type="paragraph" w:customStyle="1" w:styleId="115">
    <w:name w:val="标准标志"/>
    <w:next w:val="1"/>
    <w:qFormat/>
    <w:uiPriority w:val="0"/>
    <w:pPr>
      <w:widowControl w:val="0"/>
      <w:shd w:val="solid" w:color="FFFFFF" w:fill="FFFFFF"/>
      <w:adjustRightInd w:val="0"/>
      <w:spacing w:line="240" w:lineRule="atLeast"/>
      <w:jc w:val="right"/>
      <w:textAlignment w:val="baseline"/>
    </w:pPr>
    <w:rPr>
      <w:rFonts w:ascii="Times New Roman" w:hAnsi="Times New Roman" w:eastAsia="宋体" w:cs="Times New Roman"/>
      <w:b/>
      <w:w w:val="130"/>
      <w:sz w:val="96"/>
      <w:lang w:val="en-US" w:eastAsia="zh-CN" w:bidi="ar-SA"/>
    </w:rPr>
  </w:style>
  <w:style w:type="paragraph" w:customStyle="1" w:styleId="116">
    <w:name w:val="！我的正文"/>
    <w:basedOn w:val="1"/>
    <w:qFormat/>
    <w:uiPriority w:val="0"/>
    <w:rPr>
      <w:rFonts w:eastAsia="仿宋_GB2312"/>
    </w:rPr>
  </w:style>
  <w:style w:type="paragraph" w:customStyle="1" w:styleId="117">
    <w:name w:val="正文文本缩进 21"/>
    <w:basedOn w:val="1"/>
    <w:qFormat/>
    <w:uiPriority w:val="0"/>
    <w:pPr>
      <w:spacing w:after="120" w:line="480" w:lineRule="auto"/>
      <w:ind w:left="420" w:leftChars="200"/>
    </w:pPr>
  </w:style>
  <w:style w:type="paragraph" w:customStyle="1" w:styleId="118">
    <w:name w:val="条文说明"/>
    <w:basedOn w:val="114"/>
    <w:qFormat/>
    <w:uiPriority w:val="0"/>
    <w:pPr>
      <w:spacing w:before="0" w:beforeAutospacing="0" w:after="0" w:afterAutospacing="0"/>
      <w:ind w:firstLine="560"/>
      <w:jc w:val="both"/>
    </w:pPr>
    <w:rPr>
      <w:rFonts w:eastAsia="楷体_GB2312"/>
      <w:szCs w:val="28"/>
    </w:rPr>
  </w:style>
  <w:style w:type="paragraph" w:customStyle="1" w:styleId="119">
    <w:name w:val="页脚2"/>
    <w:basedOn w:val="1"/>
    <w:qFormat/>
    <w:uiPriority w:val="0"/>
    <w:pPr>
      <w:tabs>
        <w:tab w:val="center" w:pos="4153"/>
        <w:tab w:val="right" w:pos="8306"/>
      </w:tabs>
    </w:pPr>
    <w:rPr>
      <w:color w:val="0000FF"/>
      <w:kern w:val="0"/>
      <w:sz w:val="18"/>
      <w:szCs w:val="18"/>
    </w:rPr>
  </w:style>
  <w:style w:type="character" w:customStyle="1" w:styleId="120">
    <w:name w:val="批注框文本 字符2"/>
    <w:basedOn w:val="24"/>
    <w:link w:val="14"/>
    <w:semiHidden/>
    <w:qFormat/>
    <w:uiPriority w:val="99"/>
    <w:rPr>
      <w:rFonts w:ascii="Times New Roman" w:hAnsi="Times New Roman" w:eastAsia="宋体" w:cs="Times New Roman"/>
      <w:sz w:val="18"/>
      <w:szCs w:val="18"/>
    </w:rPr>
  </w:style>
  <w:style w:type="character" w:customStyle="1" w:styleId="121">
    <w:name w:val="文档结构图 字符"/>
    <w:basedOn w:val="24"/>
    <w:link w:val="9"/>
    <w:semiHidden/>
    <w:qFormat/>
    <w:uiPriority w:val="99"/>
    <w:rPr>
      <w:rFonts w:ascii="宋体" w:hAnsi="Times New Roman" w:eastAsia="宋体" w:cs="Times New Roman"/>
      <w:sz w:val="18"/>
      <w:szCs w:val="18"/>
    </w:rPr>
  </w:style>
  <w:style w:type="character" w:customStyle="1" w:styleId="122">
    <w:name w:val="可研正文 Char"/>
    <w:link w:val="123"/>
    <w:qFormat/>
    <w:locked/>
    <w:uiPriority w:val="0"/>
    <w:rPr>
      <w:rFonts w:ascii="宋体" w:hAnsi="宋体" w:cs="宋体"/>
      <w:sz w:val="24"/>
    </w:rPr>
  </w:style>
  <w:style w:type="paragraph" w:customStyle="1" w:styleId="123">
    <w:name w:val="可研正文"/>
    <w:basedOn w:val="1"/>
    <w:link w:val="122"/>
    <w:qFormat/>
    <w:uiPriority w:val="0"/>
    <w:pPr>
      <w:adjustRightInd/>
      <w:snapToGrid/>
      <w:ind w:firstLine="560"/>
      <w:jc w:val="both"/>
      <w:textAlignment w:val="auto"/>
    </w:pPr>
    <w:rPr>
      <w:rFonts w:ascii="宋体" w:hAnsi="宋体" w:cs="宋体" w:eastAsiaTheme="minorEastAsia"/>
      <w:sz w:val="24"/>
      <w:szCs w:val="22"/>
    </w:rPr>
  </w:style>
  <w:style w:type="paragraph" w:styleId="124">
    <w:name w:val="List Paragraph"/>
    <w:basedOn w:val="1"/>
    <w:qFormat/>
    <w:uiPriority w:val="34"/>
    <w:pPr>
      <w:ind w:firstLine="420"/>
    </w:pPr>
  </w:style>
  <w:style w:type="paragraph" w:customStyle="1" w:styleId="125">
    <w:name w:val="（1）正文"/>
    <w:basedOn w:val="124"/>
    <w:link w:val="126"/>
    <w:qFormat/>
    <w:uiPriority w:val="0"/>
    <w:pPr>
      <w:numPr>
        <w:ilvl w:val="0"/>
        <w:numId w:val="2"/>
      </w:numPr>
      <w:adjustRightInd/>
      <w:snapToGrid/>
      <w:spacing w:line="240" w:lineRule="auto"/>
      <w:ind w:firstLine="0" w:firstLineChars="0"/>
      <w:jc w:val="both"/>
      <w:textAlignment w:val="auto"/>
    </w:pPr>
    <w:rPr>
      <w:rFonts w:ascii="宋体" w:hAnsi="宋体" w:cs="宋体"/>
      <w:szCs w:val="28"/>
    </w:rPr>
  </w:style>
  <w:style w:type="character" w:customStyle="1" w:styleId="126">
    <w:name w:val="（1）正文 字符"/>
    <w:basedOn w:val="24"/>
    <w:link w:val="125"/>
    <w:qFormat/>
    <w:uiPriority w:val="0"/>
    <w:rPr>
      <w:rFonts w:ascii="宋体" w:hAnsi="宋体" w:eastAsia="宋体" w:cs="宋体"/>
      <w:kern w:val="2"/>
      <w:sz w:val="28"/>
      <w:szCs w:val="28"/>
    </w:rPr>
  </w:style>
  <w:style w:type="paragraph" w:customStyle="1" w:styleId="127">
    <w:name w:val="Table Paragraph"/>
    <w:basedOn w:val="1"/>
    <w:qFormat/>
    <w:uiPriority w:val="1"/>
    <w:pPr>
      <w:adjustRightInd/>
      <w:snapToGrid/>
      <w:spacing w:line="240" w:lineRule="auto"/>
      <w:ind w:firstLine="0" w:firstLineChars="0"/>
      <w:jc w:val="both"/>
      <w:textAlignment w:val="auto"/>
    </w:pPr>
    <w:rPr>
      <w:rFonts w:asciiTheme="minorHAnsi" w:hAnsiTheme="minorHAnsi" w:eastAsiaTheme="minorEastAsia" w:cstheme="minorBidi"/>
      <w:sz w:val="21"/>
      <w:szCs w:val="22"/>
    </w:rPr>
  </w:style>
  <w:style w:type="character" w:customStyle="1" w:styleId="128">
    <w:name w:val="nth-of-type(2)"/>
    <w:basedOn w:val="24"/>
    <w:qFormat/>
    <w:uiPriority w:val="0"/>
  </w:style>
  <w:style w:type="character" w:customStyle="1" w:styleId="129">
    <w:name w:val="nth-of-type(2)1"/>
    <w:basedOn w:val="24"/>
    <w:qFormat/>
    <w:uiPriority w:val="0"/>
  </w:style>
  <w:style w:type="character" w:customStyle="1" w:styleId="130">
    <w:name w:val="nth-of-type(2)2"/>
    <w:basedOn w:val="24"/>
    <w:qFormat/>
    <w:uiPriority w:val="0"/>
  </w:style>
  <w:style w:type="character" w:customStyle="1" w:styleId="131">
    <w:name w:val="nth-of-type(2)3"/>
    <w:basedOn w:val="24"/>
    <w:qFormat/>
    <w:uiPriority w:val="0"/>
  </w:style>
  <w:style w:type="character" w:customStyle="1" w:styleId="132">
    <w:name w:val="first-of-type"/>
    <w:basedOn w:val="24"/>
    <w:qFormat/>
    <w:uiPriority w:val="0"/>
  </w:style>
  <w:style w:type="character" w:customStyle="1" w:styleId="133">
    <w:name w:val="nth-of-type(1)"/>
    <w:basedOn w:val="24"/>
    <w:qFormat/>
    <w:uiPriority w:val="0"/>
  </w:style>
  <w:style w:type="character" w:customStyle="1" w:styleId="134">
    <w:name w:val="nth-of-type(1)1"/>
    <w:basedOn w:val="24"/>
    <w:qFormat/>
    <w:uiPriority w:val="0"/>
  </w:style>
  <w:style w:type="character" w:customStyle="1" w:styleId="135">
    <w:name w:val="nth-of-type(1)2"/>
    <w:basedOn w:val="24"/>
    <w:qFormat/>
    <w:uiPriority w:val="0"/>
  </w:style>
  <w:style w:type="character" w:customStyle="1" w:styleId="136">
    <w:name w:val="first-of-type1"/>
    <w:basedOn w:val="24"/>
    <w:qFormat/>
    <w:uiPriority w:val="0"/>
  </w:style>
  <w:style w:type="character" w:customStyle="1" w:styleId="137">
    <w:name w:val="trumbowyg-msg-error"/>
    <w:basedOn w:val="24"/>
    <w:qFormat/>
    <w:uiPriority w:val="0"/>
    <w:rPr>
      <w:color w:val="E74C3C"/>
    </w:rPr>
  </w:style>
  <w:style w:type="character" w:customStyle="1" w:styleId="138">
    <w:name w:val="trumbowyg-msg-error1"/>
    <w:basedOn w:val="24"/>
    <w:qFormat/>
    <w:uiPriority w:val="0"/>
    <w:rPr>
      <w:color w:val="E74C3C"/>
    </w:rPr>
  </w:style>
  <w:style w:type="character" w:customStyle="1" w:styleId="139">
    <w:name w:val="fontstrikethrough"/>
    <w:basedOn w:val="24"/>
    <w:qFormat/>
    <w:uiPriority w:val="0"/>
    <w:rPr>
      <w:strike/>
    </w:rPr>
  </w:style>
  <w:style w:type="character" w:customStyle="1" w:styleId="140">
    <w:name w:val="fontborder"/>
    <w:basedOn w:val="24"/>
    <w:qFormat/>
    <w:uiPriority w:val="0"/>
    <w:rPr>
      <w:bdr w:val="single" w:color="000000" w:sz="6" w:space="0"/>
    </w:rPr>
  </w:style>
  <w:style w:type="character" w:customStyle="1" w:styleId="141">
    <w:name w:val="two-lines"/>
    <w:basedOn w:val="24"/>
    <w:qFormat/>
    <w:uiPriority w:val="0"/>
  </w:style>
  <w:style w:type="character" w:customStyle="1" w:styleId="142">
    <w:name w:val="one-lines"/>
    <w:basedOn w:val="24"/>
    <w:qFormat/>
    <w:uiPriority w:val="0"/>
  </w:style>
  <w:style w:type="character" w:customStyle="1" w:styleId="143">
    <w:name w:val="hidden4"/>
    <w:basedOn w:val="24"/>
    <w:qFormat/>
    <w:uiPriority w:val="0"/>
    <w:rPr>
      <w:vanish/>
    </w:rPr>
  </w:style>
  <w:style w:type="character" w:customStyle="1" w:styleId="144">
    <w:name w:val="hidden"/>
    <w:basedOn w:val="24"/>
    <w:qFormat/>
    <w:uiPriority w:val="0"/>
    <w:rPr>
      <w:vanish/>
    </w:rPr>
  </w:style>
  <w:style w:type="paragraph" w:customStyle="1" w:styleId="145">
    <w:name w:val="TOC 标题1"/>
    <w:basedOn w:val="2"/>
    <w:next w:val="1"/>
    <w:unhideWhenUsed/>
    <w:qFormat/>
    <w:uiPriority w:val="39"/>
    <w:pPr>
      <w:keepNext/>
      <w:keepLines/>
      <w:widowControl/>
      <w:numPr>
        <w:numId w:val="0"/>
      </w:numPr>
      <w:adjustRightInd/>
      <w:snapToGrid/>
      <w:spacing w:before="240" w:beforeLines="0" w:after="0" w:line="259" w:lineRule="auto"/>
      <w:jc w:val="left"/>
      <w:textAlignment w:val="auto"/>
      <w:outlineLvl w:val="9"/>
    </w:pPr>
    <w:rPr>
      <w:rFonts w:asciiTheme="majorHAnsi" w:hAnsiTheme="majorHAnsi" w:eastAsiaTheme="majorEastAsia" w:cstheme="majorBidi"/>
      <w:b w:val="0"/>
      <w:color w:val="376092" w:themeColor="accent1" w:themeShade="BF"/>
      <w:spacing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44734</Words>
  <Characters>48423</Characters>
  <Lines>390</Lines>
  <Paragraphs>109</Paragraphs>
  <TotalTime>11</TotalTime>
  <ScaleCrop>false</ScaleCrop>
  <LinksUpToDate>false</LinksUpToDate>
  <CharactersWithSpaces>49768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2022-09-20T11:48:00Z</dcterms:created>
  <dc:creator>win</dc:creator>
  <cp:lastModifiedBy>陌</cp:lastModifiedBy>
  <cp:lastPrinted>2022-09-22T10:22:00Z</cp:lastPrinted>
  <dcterms:modified xsi:type="dcterms:W3CDTF">2023-05-24T02:36:02Z</dcterms:modified>
  <cp:revision>560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E77C91EEDC724F00AB6C983090E688BC</vt:lpwstr>
  </property>
</Properties>
</file>