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rPr>
      </w:pPr>
      <w:bookmarkStart w:id="0" w:name="_GoBack"/>
      <w:bookmarkEnd w:id="0"/>
      <w:r>
        <w:rPr>
          <w:rFonts w:hint="eastAsia"/>
          <w:highlight w:val="none"/>
        </w:rPr>
        <w:drawing>
          <wp:anchor distT="0" distB="0" distL="114300" distR="114300" simplePos="0" relativeHeight="251659264" behindDoc="0" locked="0" layoutInCell="1" allowOverlap="1">
            <wp:simplePos x="0" y="0"/>
            <wp:positionH relativeFrom="column">
              <wp:posOffset>-272415</wp:posOffset>
            </wp:positionH>
            <wp:positionV relativeFrom="paragraph">
              <wp:posOffset>792480</wp:posOffset>
            </wp:positionV>
            <wp:extent cx="8572500" cy="4681855"/>
            <wp:effectExtent l="0" t="0" r="0" b="4445"/>
            <wp:wrapSquare wrapText="bothSides"/>
            <wp:docPr id="2" name="图片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lip_image002"/>
                    <pic:cNvPicPr>
                      <a:picLocks noChangeAspect="1"/>
                    </pic:cNvPicPr>
                  </pic:nvPicPr>
                  <pic:blipFill>
                    <a:blip r:embed="rId8"/>
                    <a:stretch>
                      <a:fillRect/>
                    </a:stretch>
                  </pic:blipFill>
                  <pic:spPr>
                    <a:xfrm>
                      <a:off x="0" y="0"/>
                      <a:ext cx="8572500" cy="4681855"/>
                    </a:xfrm>
                    <a:prstGeom prst="rect">
                      <a:avLst/>
                    </a:prstGeom>
                    <a:noFill/>
                    <a:ln w="9525">
                      <a:noFill/>
                    </a:ln>
                  </pic:spPr>
                </pic:pic>
              </a:graphicData>
            </a:graphic>
          </wp:anchor>
        </w:drawing>
      </w:r>
      <w:r>
        <w:rPr>
          <w:rFonts w:hint="eastAsia" w:ascii="黑体" w:hAnsi="黑体" w:eastAsia="黑体" w:cs="黑体"/>
        </w:rPr>
        <w:t>附件1</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32" w:firstLineChars="200"/>
        <w:jc w:val="right"/>
        <w:textAlignment w:val="auto"/>
        <w:outlineLvl w:val="9"/>
        <w:rPr>
          <w:rFonts w:hint="eastAsia" w:ascii="宋体" w:hAnsi="宋体" w:cs="宋体"/>
          <w:kern w:val="0"/>
          <w:sz w:val="32"/>
          <w:szCs w:val="32"/>
          <w:highlight w:val="none"/>
          <w:lang w:val="en-US" w:eastAsia="zh-CN"/>
        </w:rPr>
        <w:sectPr>
          <w:footerReference r:id="rId4" w:type="first"/>
          <w:footerReference r:id="rId3" w:type="default"/>
          <w:pgSz w:w="16838" w:h="11905" w:orient="landscape"/>
          <w:pgMar w:top="1474" w:right="1984" w:bottom="1587" w:left="2098" w:header="851" w:footer="1361" w:gutter="0"/>
          <w:pgNumType w:fmt="decimal"/>
          <w:cols w:space="0" w:num="1"/>
          <w:titlePg/>
          <w:rtlGutter w:val="0"/>
          <w:docGrid w:type="linesAndChars" w:linePitch="589" w:charSpace="-842"/>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u w:val="none"/>
        </w:rPr>
      </w:pPr>
      <w:r>
        <w:rPr>
          <w:rFonts w:hint="eastAsia" w:ascii="黑体" w:hAnsi="黑体" w:eastAsia="黑体" w:cs="黑体"/>
          <w:b w:val="0"/>
          <w:i w:val="0"/>
          <w:outline w:val="0"/>
          <w:shadow w:val="0"/>
          <w:emboss w:val="0"/>
          <w:imprint w:val="0"/>
          <w:snapToGrid/>
          <w:vanish w:val="0"/>
          <w:spacing w:val="0"/>
          <w:w w:val="100"/>
          <w:kern w:val="2"/>
          <w:position w:val="0"/>
          <w:sz w:val="32"/>
          <w:u w:val="none"/>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方正小标宋简体"/>
          <w:b w:val="0"/>
          <w:i w:val="0"/>
          <w:outline w:val="0"/>
          <w:shadow w:val="0"/>
          <w:emboss w:val="0"/>
          <w:imprint w:val="0"/>
          <w:snapToGrid/>
          <w:vanish w:val="0"/>
          <w:spacing w:val="0"/>
          <w:w w:val="100"/>
          <w:kern w:val="2"/>
          <w:position w:val="0"/>
          <w:sz w:val="32"/>
          <w:szCs w:val="44"/>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outline w:val="0"/>
          <w:shadow w:val="0"/>
          <w:emboss w:val="0"/>
          <w:imprint w:val="0"/>
          <w:vanish w:val="0"/>
          <w:w w:val="100"/>
          <w:sz w:val="44"/>
          <w:szCs w:val="44"/>
          <w:u w:val="none"/>
        </w:rPr>
      </w:pPr>
      <w:r>
        <w:rPr>
          <w:rFonts w:hint="eastAsia" w:ascii="方正小标宋简体" w:hAnsi="方正小标宋简体" w:eastAsia="方正小标宋简体" w:cs="方正小标宋简体"/>
          <w:outline w:val="0"/>
          <w:shadow w:val="0"/>
          <w:emboss w:val="0"/>
          <w:imprint w:val="0"/>
          <w:vanish w:val="0"/>
          <w:w w:val="100"/>
          <w:sz w:val="44"/>
          <w:szCs w:val="44"/>
          <w:u w:val="none"/>
        </w:rPr>
        <w:t>西樵镇听音湖片区产业园区开发建设（拓展区）项目宅基地地上房屋（住宅）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outline w:val="0"/>
          <w:shadow w:val="0"/>
          <w:emboss w:val="0"/>
          <w:imprint w:val="0"/>
          <w:vanish w:val="0"/>
          <w:w w:val="100"/>
          <w:sz w:val="44"/>
          <w:szCs w:val="44"/>
          <w:u w:val="none"/>
        </w:rPr>
      </w:pPr>
      <w:r>
        <w:rPr>
          <w:rFonts w:hint="eastAsia" w:ascii="方正小标宋简体" w:hAnsi="方正小标宋简体" w:eastAsia="方正小标宋简体" w:cs="方正小标宋简体"/>
          <w:outline w:val="0"/>
          <w:shadow w:val="0"/>
          <w:emboss w:val="0"/>
          <w:imprint w:val="0"/>
          <w:vanish w:val="0"/>
          <w:w w:val="100"/>
          <w:sz w:val="44"/>
          <w:szCs w:val="44"/>
          <w:u w:val="none"/>
        </w:rPr>
        <w:t>征收补偿安置方案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b w:val="0"/>
          <w:i w:val="0"/>
          <w:outline w:val="0"/>
          <w:shadow w:val="0"/>
          <w:emboss w:val="0"/>
          <w:imprint w:val="0"/>
          <w:snapToGrid/>
          <w:vanish w:val="0"/>
          <w:spacing w:val="0"/>
          <w:w w:val="100"/>
          <w:kern w:val="2"/>
          <w:position w:val="0"/>
          <w:sz w:val="32"/>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t>为确保西樵镇听音湖片区产业园区开发建设（拓展区）项目的建设顺利进行，维护被征地（拆迁）单位和个人的合法权益，现启动项目用地范围内宅基地地上房屋（住宅）征拆补偿工作。根据《中华人民共和国土地管理法》等法律法规及省、市、区有关规定和政策，参照《国有土地上房屋征收与补偿条例》，结合西樵镇的实际情况和我区宅基地相关政策规定，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u w:val="none"/>
        </w:rPr>
      </w:pPr>
      <w:r>
        <w:rPr>
          <w:rFonts w:hint="eastAsia" w:ascii="黑体" w:hAnsi="黑体" w:eastAsia="黑体" w:cs="黑体"/>
          <w:b w:val="0"/>
          <w:i w:val="0"/>
          <w:outline w:val="0"/>
          <w:shadow w:val="0"/>
          <w:emboss w:val="0"/>
          <w:imprint w:val="0"/>
          <w:snapToGrid/>
          <w:vanish w:val="0"/>
          <w:spacing w:val="0"/>
          <w:w w:val="100"/>
          <w:kern w:val="2"/>
          <w:position w:val="0"/>
          <w:sz w:val="32"/>
          <w:u w:val="none"/>
        </w:rPr>
        <w:t>一、建设项目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t>西樵镇听音湖片区产业园区开发建设（拓展区）项目。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u w:val="none"/>
        </w:rPr>
      </w:pPr>
      <w:r>
        <w:rPr>
          <w:rFonts w:hint="eastAsia" w:ascii="黑体" w:hAnsi="黑体" w:eastAsia="黑体" w:cs="黑体"/>
          <w:b w:val="0"/>
          <w:i w:val="0"/>
          <w:outline w:val="0"/>
          <w:shadow w:val="0"/>
          <w:emboss w:val="0"/>
          <w:imprint w:val="0"/>
          <w:snapToGrid/>
          <w:vanish w:val="0"/>
          <w:spacing w:val="0"/>
          <w:w w:val="100"/>
          <w:kern w:val="2"/>
          <w:position w:val="0"/>
          <w:sz w:val="32"/>
          <w:u w:val="none"/>
        </w:rPr>
        <w:t>二、征收（拆迁）范围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t>西樵镇听音湖片区产业园区开发建设（拓展区）项目用地范围涉及的集体宅基地使用权及地上房屋（住宅）。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u w:val="none"/>
        </w:rPr>
      </w:pPr>
      <w:r>
        <w:rPr>
          <w:rFonts w:hint="eastAsia" w:ascii="黑体" w:hAnsi="黑体" w:eastAsia="黑体" w:cs="黑体"/>
          <w:b w:val="0"/>
          <w:i w:val="0"/>
          <w:outline w:val="0"/>
          <w:shadow w:val="0"/>
          <w:emboss w:val="0"/>
          <w:imprint w:val="0"/>
          <w:snapToGrid/>
          <w:vanish w:val="0"/>
          <w:spacing w:val="0"/>
          <w:w w:val="100"/>
          <w:kern w:val="2"/>
          <w:position w:val="0"/>
          <w:sz w:val="32"/>
          <w:u w:val="none"/>
        </w:rPr>
        <w:t>三、征收补偿对象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t>西樵镇听音湖片区产业园区开发建设（拓展区）项目征收红线范围内涉及的宅基地使用权、宅基地上房屋（住宅）、建（构）筑物及附着物。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u w:val="none"/>
        </w:rPr>
      </w:pPr>
      <w:r>
        <w:rPr>
          <w:rFonts w:hint="eastAsia" w:ascii="黑体" w:hAnsi="黑体" w:eastAsia="黑体" w:cs="黑体"/>
          <w:b w:val="0"/>
          <w:i w:val="0"/>
          <w:outline w:val="0"/>
          <w:shadow w:val="0"/>
          <w:emboss w:val="0"/>
          <w:imprint w:val="0"/>
          <w:snapToGrid/>
          <w:vanish w:val="0"/>
          <w:spacing w:val="0"/>
          <w:w w:val="100"/>
          <w:kern w:val="2"/>
          <w:position w:val="0"/>
          <w:sz w:val="32"/>
          <w:u w:val="none"/>
        </w:rPr>
        <w:t>四、征收土地、房屋权属证明材料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（一）《宅基地使用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（二）《房屋所有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（三）《房地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产权证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（四）《</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不动产权证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（五）其它</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权属证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u w:val="none"/>
        </w:rPr>
      </w:pPr>
      <w:r>
        <w:rPr>
          <w:rFonts w:hint="eastAsia" w:ascii="黑体" w:hAnsi="黑体" w:eastAsia="黑体" w:cs="黑体"/>
          <w:b w:val="0"/>
          <w:i w:val="0"/>
          <w:outline w:val="0"/>
          <w:shadow w:val="0"/>
          <w:emboss w:val="0"/>
          <w:imprint w:val="0"/>
          <w:snapToGrid/>
          <w:vanish w:val="0"/>
          <w:spacing w:val="0"/>
          <w:w w:val="100"/>
          <w:kern w:val="2"/>
          <w:position w:val="0"/>
          <w:sz w:val="32"/>
          <w:u w:val="none"/>
        </w:rPr>
        <w:t>五、征收土地、房屋分类及面积、用途核定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楷体_GB2312" w:hAnsi="楷体_GB2312" w:eastAsia="楷体_GB2312" w:cs="楷体_GB2312"/>
          <w:b w:val="0"/>
          <w:bCs/>
          <w:i w:val="0"/>
          <w:outline w:val="0"/>
          <w:shadow w:val="0"/>
          <w:emboss w:val="0"/>
          <w:imprint w:val="0"/>
          <w:snapToGrid/>
          <w:vanish w:val="0"/>
          <w:spacing w:val="0"/>
          <w:w w:val="100"/>
          <w:kern w:val="2"/>
          <w:position w:val="0"/>
          <w:sz w:val="32"/>
          <w:szCs w:val="32"/>
          <w:highlight w:val="none"/>
          <w:u w:val="none"/>
        </w:rPr>
      </w:pPr>
      <w:r>
        <w:rPr>
          <w:rFonts w:hint="eastAsia" w:ascii="楷体_GB2312" w:hAnsi="楷体_GB2312" w:eastAsia="楷体_GB2312" w:cs="楷体_GB2312"/>
          <w:b w:val="0"/>
          <w:bCs/>
          <w:i w:val="0"/>
          <w:outline w:val="0"/>
          <w:shadow w:val="0"/>
          <w:emboss w:val="0"/>
          <w:imprint w:val="0"/>
          <w:snapToGrid/>
          <w:vanish w:val="0"/>
          <w:spacing w:val="0"/>
          <w:w w:val="100"/>
          <w:kern w:val="2"/>
          <w:position w:val="0"/>
          <w:sz w:val="32"/>
          <w:szCs w:val="32"/>
          <w:highlight w:val="none"/>
          <w:u w:val="none"/>
        </w:rPr>
        <w:t>土地与房屋的分类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1.有证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土地与</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有证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有证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土地是指已</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经办理</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《宅基地使用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产权证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》或《</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不动产权证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统称</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“土地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权属证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”）的土地。</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有证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房屋是指已</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经办理</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《房屋所有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产权证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》或《</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不动产权证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统称</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权属证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”）的房屋。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2.历</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史用地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与历</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史房屋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t>历史用地是指已建成房屋，没有权属证书（仅指土地使用证、房地产权证或不动产权证），但具有土地所在地经济组织或村（居）委会出具历史用地证明材料的房屋建筑主体占地的土地。（不含房屋附属物和其它构筑物占地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t>历</w:t>
      </w:r>
      <w:r>
        <w:rPr>
          <w:rFonts w:hint="eastAsia" w:ascii="宋体" w:hAnsi="宋体" w:eastAsia="仿宋_GB2312" w:cs="仿宋"/>
          <w:b w:val="0"/>
          <w:i w:val="0"/>
          <w:outline w:val="0"/>
          <w:shadow w:val="0"/>
          <w:emboss w:val="0"/>
          <w:imprint w:val="0"/>
          <w:snapToGrid/>
          <w:vanish w:val="0"/>
          <w:spacing w:val="5"/>
          <w:w w:val="100"/>
          <w:kern w:val="2"/>
          <w:position w:val="0"/>
          <w:sz w:val="32"/>
          <w:szCs w:val="32"/>
          <w:highlight w:val="none"/>
          <w:u w:val="none"/>
        </w:rPr>
        <w:t>史房屋是指没有权属证书（仅指房屋所有权证、房地产权证或不动产权证），但具有房屋所在地经济组织或村（居）委会出具证明材料的房屋（不含房屋附属物和其它构筑物）。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3.无证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土地与</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无证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t>无</w:t>
      </w:r>
      <w:r>
        <w:rPr>
          <w:rFonts w:hint="eastAsia" w:ascii="宋体" w:hAnsi="宋体" w:eastAsia="仿宋_GB2312" w:cs="仿宋"/>
          <w:b w:val="0"/>
          <w:i w:val="0"/>
          <w:outline w:val="0"/>
          <w:shadow w:val="0"/>
          <w:emboss w:val="0"/>
          <w:imprint w:val="0"/>
          <w:snapToGrid/>
          <w:vanish w:val="0"/>
          <w:spacing w:val="3"/>
          <w:w w:val="100"/>
          <w:kern w:val="2"/>
          <w:position w:val="0"/>
          <w:sz w:val="32"/>
          <w:szCs w:val="32"/>
          <w:highlight w:val="none"/>
          <w:u w:val="none"/>
        </w:rPr>
        <w:t>证土地是指已建成房屋或房屋附属物和其它构筑物，</w:t>
      </w:r>
      <w:r>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t>没有权属证书且没有土地所在地经济组织或村（居）委会出具历史用地证明材料的房屋建筑主体占地的土地；或没有权属证书的房屋附属物和其它构筑物用地。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楷体_GB2312" w:hAnsi="楷体_GB2312" w:eastAsia="楷体_GB2312" w:cs="楷体_GB2312"/>
          <w:b w:val="0"/>
          <w:i w:val="0"/>
          <w:outline w:val="0"/>
          <w:shadow w:val="0"/>
          <w:emboss w:val="0"/>
          <w:imprint w:val="0"/>
          <w:snapToGrid/>
          <w:vanish w:val="0"/>
          <w:spacing w:val="3"/>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t>无</w:t>
      </w:r>
      <w:r>
        <w:rPr>
          <w:rFonts w:hint="eastAsia" w:ascii="宋体" w:hAnsi="宋体" w:eastAsia="仿宋_GB2312" w:cs="仿宋"/>
          <w:b w:val="0"/>
          <w:i w:val="0"/>
          <w:outline w:val="0"/>
          <w:shadow w:val="0"/>
          <w:emboss w:val="0"/>
          <w:imprint w:val="0"/>
          <w:snapToGrid/>
          <w:vanish w:val="0"/>
          <w:spacing w:val="3"/>
          <w:w w:val="100"/>
          <w:kern w:val="2"/>
          <w:position w:val="0"/>
          <w:sz w:val="32"/>
          <w:szCs w:val="32"/>
          <w:highlight w:val="none"/>
          <w:u w:val="none"/>
        </w:rPr>
        <w:t>证房屋是指没有权属证且没有房屋所在地经济组织或村（居）委会出具证明材料的房屋和房屋附属物和其它构筑</w:t>
      </w:r>
      <w:r>
        <w:rPr>
          <w:rFonts w:hint="eastAsia" w:ascii="宋体" w:hAnsi="宋体" w:eastAsia="仿宋_GB2312" w:cs="楷体_GB2312"/>
          <w:b w:val="0"/>
          <w:i w:val="0"/>
          <w:outline w:val="0"/>
          <w:shadow w:val="0"/>
          <w:emboss w:val="0"/>
          <w:imprint w:val="0"/>
          <w:snapToGrid/>
          <w:vanish w:val="0"/>
          <w:spacing w:val="3"/>
          <w:w w:val="100"/>
          <w:kern w:val="2"/>
          <w:position w:val="0"/>
          <w:sz w:val="32"/>
          <w:szCs w:val="32"/>
          <w:highlight w:val="none"/>
          <w:u w:val="none"/>
        </w:rPr>
        <w:t>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楷体_GB2312" w:hAnsi="楷体_GB2312" w:eastAsia="楷体_GB2312" w:cs="楷体_GB2312"/>
          <w:b w:val="0"/>
          <w:bCs/>
          <w:i w:val="0"/>
          <w:outline w:val="0"/>
          <w:shadow w:val="0"/>
          <w:emboss w:val="0"/>
          <w:imprint w:val="0"/>
          <w:snapToGrid/>
          <w:vanish w:val="0"/>
          <w:spacing w:val="0"/>
          <w:w w:val="100"/>
          <w:kern w:val="2"/>
          <w:position w:val="0"/>
          <w:sz w:val="32"/>
          <w:szCs w:val="32"/>
          <w:highlight w:val="none"/>
          <w:u w:val="none"/>
        </w:rPr>
      </w:pPr>
      <w:r>
        <w:rPr>
          <w:rFonts w:hint="eastAsia" w:ascii="楷体_GB2312" w:hAnsi="楷体_GB2312" w:eastAsia="楷体_GB2312" w:cs="楷体_GB2312"/>
          <w:b w:val="0"/>
          <w:bCs/>
          <w:i w:val="0"/>
          <w:outline w:val="0"/>
          <w:shadow w:val="0"/>
          <w:emboss w:val="0"/>
          <w:imprint w:val="0"/>
          <w:snapToGrid/>
          <w:vanish w:val="0"/>
          <w:spacing w:val="0"/>
          <w:w w:val="100"/>
          <w:kern w:val="2"/>
          <w:position w:val="0"/>
          <w:sz w:val="32"/>
          <w:szCs w:val="32"/>
          <w:highlight w:val="none"/>
          <w:u w:val="none"/>
        </w:rPr>
        <w:t>面积、用途的核定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1.原则</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上按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权属证载</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面</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积</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作</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为认</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定的依据；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2.若对证载</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面</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积</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异议</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的，由有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资质的测绘</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机构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进行测绘</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认</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定的面</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积计</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3.属于本</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方案</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补偿对</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象，</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没</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权属证载</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面</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积</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的，可由有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资质的测绘</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机构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进行测绘</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实际测绘面积计</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4.</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被征收房屋的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结</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构、用途等以房屋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权属证书</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或以</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测绘报告为</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准；房屋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对应</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的土地用途以土地登</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记用</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途</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为</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u w:val="none"/>
        </w:rPr>
      </w:pPr>
      <w:r>
        <w:rPr>
          <w:rFonts w:hint="eastAsia" w:ascii="黑体" w:hAnsi="黑体" w:eastAsia="黑体" w:cs="黑体"/>
          <w:b w:val="0"/>
          <w:i w:val="0"/>
          <w:outline w:val="0"/>
          <w:shadow w:val="0"/>
          <w:emboss w:val="0"/>
          <w:imprint w:val="0"/>
          <w:snapToGrid/>
          <w:vanish w:val="0"/>
          <w:spacing w:val="0"/>
          <w:w w:val="100"/>
          <w:kern w:val="2"/>
          <w:position w:val="0"/>
          <w:sz w:val="32"/>
          <w:u w:val="none"/>
        </w:rPr>
        <w:t>六、征收补偿方式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楷体_GB2312" w:hAnsi="楷体_GB2312" w:eastAsia="楷体_GB2312" w:cs="楷体_GB2312"/>
          <w:b w:val="0"/>
          <w:bCs/>
          <w:i w:val="0"/>
          <w:outline w:val="0"/>
          <w:shadow w:val="0"/>
          <w:emboss w:val="0"/>
          <w:imprint w:val="0"/>
          <w:snapToGrid/>
          <w:vanish w:val="0"/>
          <w:spacing w:val="0"/>
          <w:w w:val="100"/>
          <w:kern w:val="2"/>
          <w:position w:val="0"/>
          <w:sz w:val="32"/>
          <w:szCs w:val="32"/>
          <w:highlight w:val="none"/>
          <w:u w:val="none"/>
        </w:rPr>
      </w:pPr>
      <w:r>
        <w:rPr>
          <w:rFonts w:hint="eastAsia" w:ascii="楷体_GB2312" w:hAnsi="楷体_GB2312" w:eastAsia="楷体_GB2312" w:cs="楷体_GB2312"/>
          <w:b w:val="0"/>
          <w:bCs/>
          <w:i w:val="0"/>
          <w:outline w:val="0"/>
          <w:shadow w:val="0"/>
          <w:emboss w:val="0"/>
          <w:imprint w:val="0"/>
          <w:snapToGrid/>
          <w:vanish w:val="0"/>
          <w:spacing w:val="0"/>
          <w:w w:val="100"/>
          <w:kern w:val="2"/>
          <w:position w:val="0"/>
          <w:sz w:val="32"/>
          <w:szCs w:val="32"/>
          <w:highlight w:val="none"/>
          <w:u w:val="none"/>
        </w:rPr>
        <w:t>（一）征收补偿方式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宅基地回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安置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结合货币补偿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2.货币补偿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楷体_GB2312" w:hAnsi="楷体_GB2312" w:eastAsia="楷体_GB2312" w:cs="楷体_GB2312"/>
          <w:b w:val="0"/>
          <w:bCs/>
          <w:i w:val="0"/>
          <w:outline w:val="0"/>
          <w:shadow w:val="0"/>
          <w:emboss w:val="0"/>
          <w:imprint w:val="0"/>
          <w:snapToGrid/>
          <w:vanish w:val="0"/>
          <w:spacing w:val="0"/>
          <w:w w:val="100"/>
          <w:kern w:val="2"/>
          <w:position w:val="0"/>
          <w:sz w:val="32"/>
          <w:szCs w:val="32"/>
          <w:highlight w:val="none"/>
          <w:u w:val="none"/>
        </w:rPr>
        <w:t>（二）</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被征收人可</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结合实际</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情</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况</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规定时间内</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自</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愿选择</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上述任意一种</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u w:val="none"/>
        </w:rPr>
      </w:pPr>
      <w:r>
        <w:rPr>
          <w:rFonts w:hint="eastAsia" w:ascii="黑体" w:hAnsi="黑体" w:eastAsia="黑体" w:cs="黑体"/>
          <w:b w:val="0"/>
          <w:i w:val="0"/>
          <w:outline w:val="0"/>
          <w:shadow w:val="0"/>
          <w:emboss w:val="0"/>
          <w:imprint w:val="0"/>
          <w:snapToGrid/>
          <w:vanish w:val="0"/>
          <w:spacing w:val="0"/>
          <w:w w:val="100"/>
          <w:kern w:val="2"/>
          <w:position w:val="0"/>
          <w:sz w:val="32"/>
          <w:u w:val="none"/>
        </w:rPr>
        <w:t>七、签约期限与搬迁期限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1.签约</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期限：自</w:t>
      </w:r>
      <w:r>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t>征收补偿安置公告发布之日起</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4</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个</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月</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内</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搬</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迁期</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限：自征收补偿安置公告发布之日起6</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个</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月</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内</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u w:val="none"/>
        </w:rPr>
      </w:pPr>
      <w:r>
        <w:rPr>
          <w:rFonts w:hint="eastAsia" w:ascii="黑体" w:hAnsi="黑体" w:eastAsia="黑体" w:cs="黑体"/>
          <w:b w:val="0"/>
          <w:i w:val="0"/>
          <w:outline w:val="0"/>
          <w:shadow w:val="0"/>
          <w:emboss w:val="0"/>
          <w:imprint w:val="0"/>
          <w:snapToGrid/>
          <w:vanish w:val="0"/>
          <w:spacing w:val="0"/>
          <w:w w:val="100"/>
          <w:kern w:val="2"/>
          <w:position w:val="0"/>
          <w:sz w:val="32"/>
          <w:u w:val="none"/>
        </w:rPr>
        <w:t>八、补偿标准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楷体_GB2312" w:hAnsi="楷体_GB2312" w:eastAsia="楷体_GB2312" w:cs="楷体_GB2312"/>
          <w:b w:val="0"/>
          <w:bCs/>
          <w:i w:val="0"/>
          <w:outline w:val="0"/>
          <w:shadow w:val="0"/>
          <w:emboss w:val="0"/>
          <w:imprint w:val="0"/>
          <w:snapToGrid/>
          <w:vanish w:val="0"/>
          <w:spacing w:val="0"/>
          <w:w w:val="100"/>
          <w:kern w:val="2"/>
          <w:position w:val="0"/>
          <w:sz w:val="32"/>
          <w:szCs w:val="32"/>
          <w:highlight w:val="none"/>
          <w:u w:val="none"/>
        </w:rPr>
      </w:pPr>
      <w:r>
        <w:rPr>
          <w:rFonts w:hint="eastAsia" w:ascii="楷体_GB2312" w:hAnsi="楷体_GB2312" w:eastAsia="楷体_GB2312" w:cs="楷体_GB2312"/>
          <w:b w:val="0"/>
          <w:bCs/>
          <w:i w:val="0"/>
          <w:outline w:val="0"/>
          <w:shadow w:val="0"/>
          <w:emboss w:val="0"/>
          <w:imprint w:val="0"/>
          <w:snapToGrid/>
          <w:vanish w:val="0"/>
          <w:spacing w:val="0"/>
          <w:w w:val="100"/>
          <w:kern w:val="2"/>
          <w:position w:val="0"/>
          <w:sz w:val="32"/>
          <w:szCs w:val="32"/>
          <w:highlight w:val="none"/>
          <w:u w:val="none"/>
        </w:rPr>
        <w:t>（一）宅基地回迁安置结合货币补偿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1.回迁宅基地位置、面积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回迁宅基地位于简村社区海风祖（详见附图），面积约5亩，具体以最终确定住宅规划用地面积为准。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2.回迁宅基地置换原则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1）有证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土地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与历</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史用地面</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积原则</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上按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1:1</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换</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，即被征</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收房屋核定的宅基地面</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积1</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平方米置</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换</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回</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宅基地面</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积1</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）被征收房屋核定的宅基地面</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积不</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足</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80</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平方米且</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条</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件</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允许</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的，被征收人可向征</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收实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施</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单</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位</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申请</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购</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宅基地面</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积</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至</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80</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平方米，按土地取得成本价增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购</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。被征收房屋核定的宅基地面</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积</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大于或等于</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150</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平方米的可</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选择两块</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宅基地。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3）无证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土地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、无证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对应</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土地不得置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换</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宅基地。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3.</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宅基地置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换条</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件与要求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申请</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宅基地必</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须</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是本方案所确定的被征收人或其直系</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亲属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宅基地由西樵</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镇</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政府</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负责统筹</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安排并另行制定</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选</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取回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宅基</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地细则</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cs="仿宋_GB2312"/>
          <w:b w:val="0"/>
          <w:i w:val="0"/>
          <w:outline w:val="0"/>
          <w:shadow w:val="0"/>
          <w:emboss w:val="0"/>
          <w:imprint w:val="0"/>
          <w:snapToGrid/>
          <w:vanish w:val="0"/>
          <w:spacing w:val="0"/>
          <w:w w:val="100"/>
          <w:kern w:val="2"/>
          <w:position w:val="0"/>
          <w:sz w:val="32"/>
          <w:szCs w:val="32"/>
          <w:highlight w:val="none"/>
          <w:u w:val="none"/>
          <w:lang w:eastAsia="zh-CN"/>
        </w:rPr>
        <w:t>（</w:t>
      </w:r>
      <w:r>
        <w:rPr>
          <w:rFonts w:hint="eastAsia" w:cs="仿宋_GB2312"/>
          <w:b w:val="0"/>
          <w:i w:val="0"/>
          <w:outline w:val="0"/>
          <w:shadow w:val="0"/>
          <w:emboss w:val="0"/>
          <w:imprint w:val="0"/>
          <w:snapToGrid/>
          <w:vanish w:val="0"/>
          <w:spacing w:val="0"/>
          <w:w w:val="100"/>
          <w:kern w:val="2"/>
          <w:position w:val="0"/>
          <w:sz w:val="32"/>
          <w:szCs w:val="32"/>
          <w:highlight w:val="none"/>
          <w:u w:val="none"/>
          <w:lang w:val="en-US" w:eastAsia="zh-CN"/>
        </w:rPr>
        <w:t>3</w:t>
      </w:r>
      <w:r>
        <w:rPr>
          <w:rFonts w:hint="eastAsia" w:cs="仿宋_GB2312"/>
          <w:b w:val="0"/>
          <w:i w:val="0"/>
          <w:outline w:val="0"/>
          <w:shadow w:val="0"/>
          <w:emboss w:val="0"/>
          <w:imprint w:val="0"/>
          <w:snapToGrid/>
          <w:vanish w:val="0"/>
          <w:spacing w:val="0"/>
          <w:w w:val="100"/>
          <w:kern w:val="2"/>
          <w:position w:val="0"/>
          <w:sz w:val="32"/>
          <w:szCs w:val="32"/>
          <w:highlight w:val="none"/>
          <w:u w:val="none"/>
          <w:lang w:eastAsia="zh-CN"/>
        </w:rPr>
        <w:t>）</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宅基地交付被征收人后，被征收人按照西樵镇人民</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lang w:eastAsia="zh-CN"/>
        </w:rPr>
        <w:t>政府</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制定的该部分回迁安置地用地建房细则办理用地报批手续和规划报建手续后并自行建设，由征收实施单位协助办理权属证书。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4.</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补偿标</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值补偿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按有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资质</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估机构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估的价值予以</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（不含宅基地使用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价值）。</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有证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房屋和</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历</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史房屋按重置价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无证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房屋按建安成本价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装</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t>按有资质的评估机构采用建安成本价评估补偿。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3</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附属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物和其它构筑物</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①房屋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附属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物指</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附属于</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房屋，由房屋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产权人</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或使用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权人</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在使用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过</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程中</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为</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提高房屋使用效能而改造或追加的，不能异地使用或异地使用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将</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影</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响</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其功能的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财物</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或相</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关设施</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。比如房屋主体建筑以外的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厨</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杂</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物</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间、仓库、厕</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所等。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②构筑物指不具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备、</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不包含或不提供人</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类</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居住功能的人工建筑物。比如房屋主体建筑以外的水井、水池、</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化粪</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池、</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围墙</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、水泥地面、棚架等。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③房屋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附属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物和其它构筑物按有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资质</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估机构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估的价值予以</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5.</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搬</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）搬出被征收房屋的搬</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：按被征收房屋核定的建筑面</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积30</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元</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平方米</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计</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算</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并给</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予一次性</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）水表、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电</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表、有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线电视</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线电话、</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互</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联</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网、空</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调</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等房屋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设施设备按有资质</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估机构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估的价值予以一次性</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3</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）搬入回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重建房的搬</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：按被征收房屋核定的建筑面</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积30</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元</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平方米</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计</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算</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并给</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予一次性</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4</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）由被征收房屋直接搬入回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重建房的，搬</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按被征收房屋核定的建筑面</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积30</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元</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平方米</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计</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算</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并给</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予一次性</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6.临时</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安置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经</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核定的被征收房屋建筑面</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积</w:t>
      </w:r>
      <w:r>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t>30</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元</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月</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平方米</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计</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算</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给</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予</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从</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被征收人移交被征收房屋（含土地）之日起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计</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算</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临时</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安置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补偿费至</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宅基地交付后</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满18个</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月（回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重建房的建</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设</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期）止。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3</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）征收实施单位应自本补偿安置公告发布之日起12个月内向被征收人交付回迁宅基地。回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宅基地通知接收</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时间</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以征</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收实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施</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单</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位出具通知</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时间为</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准，如被征收人未在通知期限</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内</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接收回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宅基地的，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则</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交地通知</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书发</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出后第二日</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视为已</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移交。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4</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）回迁宅基地逾期不能交付（不可抗力因素除外），临时安置补偿费从逾期之日后满18个月（回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重建房的建</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设</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期）起递增10%，之后临时安置补偿费每三年递增10%支付至回迁宅基地交付止，不足一年按一年计算。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（5）</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临时</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安置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补偿费</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半年支付一次</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包括逾期不能交付的情</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况）</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（6）被征收人在回</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重建房</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动工</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建</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设</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后移交被征收房屋（含土地）的，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没</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临时</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安置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补偿费</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7.</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支付期限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签订补偿协议</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之日起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30个</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工作日</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内支</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付房屋价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值补偿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装</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附属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物和其它构筑物</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）在</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签订补偿协议</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之日起</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30个</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工作日</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内支</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付搬</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迁补偿费</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楷体_GB2312" w:hAnsi="楷体_GB2312" w:eastAsia="楷体_GB2312" w:cs="楷体_GB2312"/>
          <w:b w:val="0"/>
          <w:bCs/>
          <w:i w:val="0"/>
          <w:outline w:val="0"/>
          <w:shadow w:val="0"/>
          <w:emboss w:val="0"/>
          <w:imprint w:val="0"/>
          <w:snapToGrid/>
          <w:vanish w:val="0"/>
          <w:spacing w:val="0"/>
          <w:w w:val="100"/>
          <w:kern w:val="2"/>
          <w:position w:val="0"/>
          <w:sz w:val="32"/>
          <w:szCs w:val="32"/>
          <w:highlight w:val="none"/>
          <w:u w:val="none"/>
        </w:rPr>
      </w:pPr>
      <w:r>
        <w:rPr>
          <w:rFonts w:hint="eastAsia" w:ascii="楷体_GB2312" w:hAnsi="楷体_GB2312" w:eastAsia="楷体_GB2312" w:cs="楷体_GB2312"/>
          <w:b w:val="0"/>
          <w:bCs/>
          <w:i w:val="0"/>
          <w:outline w:val="0"/>
          <w:shadow w:val="0"/>
          <w:emboss w:val="0"/>
          <w:imprint w:val="0"/>
          <w:snapToGrid/>
          <w:vanish w:val="0"/>
          <w:spacing w:val="0"/>
          <w:w w:val="100"/>
          <w:kern w:val="2"/>
          <w:position w:val="0"/>
          <w:sz w:val="32"/>
          <w:szCs w:val="32"/>
          <w:highlight w:val="none"/>
          <w:u w:val="none"/>
        </w:rPr>
        <w:t>（二）货币补偿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宅基地使用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按有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资质</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估机构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估的价值予以</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有证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用地按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历</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史用地按扣除</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办证费</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没</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权属证书</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但有土地所在地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经济组织</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或村（居）委</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会</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出</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具历</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史用地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明材料的房屋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附属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物和其它构筑物用地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参照历</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史用地按扣除</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办证费</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值补偿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按有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资质</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估机构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估的价值予以</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（不含宅基地使用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价值）。</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有证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房屋和</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历</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史房屋按重置价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无证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房屋按建安成本价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3.</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装</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
          <w:b w:val="0"/>
          <w:i w:val="0"/>
          <w:outline w:val="0"/>
          <w:shadow w:val="0"/>
          <w:emboss w:val="0"/>
          <w:imprint w:val="0"/>
          <w:snapToGrid/>
          <w:vanish w:val="0"/>
          <w:spacing w:val="0"/>
          <w:w w:val="100"/>
          <w:kern w:val="2"/>
          <w:position w:val="0"/>
          <w:sz w:val="32"/>
          <w:szCs w:val="32"/>
          <w:highlight w:val="none"/>
          <w:u w:val="none"/>
        </w:rPr>
        <w:t>按有资质的评估机构采用建安成本价评估补偿。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4.</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附属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物和其它构筑物</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附属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物指</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附属于</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房屋，由房屋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产权人</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或使用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权人</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在使用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过</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程中</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为</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提高房屋使用效能而改造或追加的，不能异地使用或异地使用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将</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影</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响</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其功能的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财物</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或相</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关设施</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，比如房屋主体建筑以外的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厨</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杂</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物</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间、仓库、厕</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所等。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）构筑物指不具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备、</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不包含或不提供人</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类</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居住功能的人工建筑物。比如房屋主体建筑以外的水井、水池、</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化粪</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池、</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围墙</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、水泥地面、棚架等。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3</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附属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物和其它构筑物按有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资质</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估机构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估的价值予以</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bCs/>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5.</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搬</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）搬</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按被征收房</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屋经</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核定的建筑面</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积30</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元</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平方米</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计</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算，</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并给</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予一次性</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）水表、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电</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表、有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线电视</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线电话、</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互</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联</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网、空</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调</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等房屋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设施设备按有资质</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估机构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估的价值予以一次性</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6.</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支付期限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签订补偿协议</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之日起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30个</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工作日</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内支</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付宅基地使用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值补偿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装</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附属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物和其它构筑物</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等款</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项</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黑体"/>
          <w:b w:val="0"/>
          <w:i w:val="0"/>
          <w:outline w:val="0"/>
          <w:shadow w:val="0"/>
          <w:emboss w:val="0"/>
          <w:imprint w:val="0"/>
          <w:snapToGrid/>
          <w:vanish w:val="0"/>
          <w:spacing w:val="5"/>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）在</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签订补偿协议</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之日起</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30个</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工作日</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内支</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付搬</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迁补偿费</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u w:val="none"/>
        </w:rPr>
      </w:pPr>
      <w:r>
        <w:rPr>
          <w:rFonts w:hint="eastAsia" w:ascii="黑体" w:hAnsi="黑体" w:eastAsia="黑体" w:cs="黑体"/>
          <w:b w:val="0"/>
          <w:i w:val="0"/>
          <w:outline w:val="0"/>
          <w:shadow w:val="0"/>
          <w:emboss w:val="0"/>
          <w:imprint w:val="0"/>
          <w:snapToGrid/>
          <w:vanish w:val="0"/>
          <w:spacing w:val="0"/>
          <w:w w:val="100"/>
          <w:kern w:val="2"/>
          <w:position w:val="0"/>
          <w:sz w:val="32"/>
          <w:u w:val="none"/>
        </w:rPr>
        <w:t>九、补助办法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楷体_GB2312" w:hAnsi="楷体_GB2312" w:eastAsia="楷体_GB2312" w:cs="楷体_GB2312"/>
          <w:b w:val="0"/>
          <w:bCs/>
          <w:i w:val="0"/>
          <w:outline w:val="0"/>
          <w:shadow w:val="0"/>
          <w:emboss w:val="0"/>
          <w:imprint w:val="0"/>
          <w:snapToGrid/>
          <w:vanish w:val="0"/>
          <w:spacing w:val="0"/>
          <w:w w:val="100"/>
          <w:kern w:val="2"/>
          <w:position w:val="0"/>
          <w:sz w:val="32"/>
          <w:szCs w:val="32"/>
          <w:highlight w:val="none"/>
          <w:u w:val="none"/>
        </w:rPr>
      </w:pPr>
      <w:r>
        <w:rPr>
          <w:rFonts w:hint="eastAsia" w:ascii="楷体_GB2312" w:hAnsi="楷体_GB2312" w:eastAsia="楷体_GB2312" w:cs="楷体_GB2312"/>
          <w:b w:val="0"/>
          <w:bCs/>
          <w:i w:val="0"/>
          <w:outline w:val="0"/>
          <w:shadow w:val="0"/>
          <w:emboss w:val="0"/>
          <w:imprint w:val="0"/>
          <w:snapToGrid/>
          <w:vanish w:val="0"/>
          <w:spacing w:val="0"/>
          <w:w w:val="100"/>
          <w:kern w:val="2"/>
          <w:position w:val="0"/>
          <w:sz w:val="32"/>
          <w:szCs w:val="32"/>
          <w:highlight w:val="none"/>
          <w:u w:val="none"/>
        </w:rPr>
        <w:t>（一）按时签约补助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1.协议签订补</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助。被征收人在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规定时间内签订补偿协议</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的，按被征收房屋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补偿总额</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（包括房屋、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装</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附属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物和其它构筑</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物、搬</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等</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，不包括</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临时</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安置</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补偿费</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）的</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20%给</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予</w:t>
      </w:r>
      <w:r>
        <w:rPr>
          <w:rFonts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签约补</w:t>
      </w:r>
      <w:r>
        <w:rPr>
          <w:rFonts w:hint="eastAsia" w:ascii="宋体" w:hAnsi="宋体" w:eastAsia="仿宋_GB2312" w:cs="仿宋_GB2312"/>
          <w:b w:val="0"/>
          <w:i w:val="0"/>
          <w:outline w:val="0"/>
          <w:shadow w:val="0"/>
          <w:emboss w:val="0"/>
          <w:imprint w:val="0"/>
          <w:snapToGrid/>
          <w:vanish w:val="0"/>
          <w:spacing w:val="5"/>
          <w:w w:val="100"/>
          <w:kern w:val="2"/>
          <w:position w:val="0"/>
          <w:sz w:val="32"/>
          <w:szCs w:val="32"/>
          <w:highlight w:val="none"/>
          <w:u w:val="none"/>
        </w:rPr>
        <w:t>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搬</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移</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交补</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助。被征收人在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规定时间内</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搬</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、移交被征收房屋及</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附属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物并</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签订《</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移交确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认书</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》的，按被征收</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补偿总额</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（包括房屋、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装</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附属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物和其它构筑物、搬</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，不包括</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临时</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安置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补偿费</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20%给</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予搬</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移</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交补</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楷体_GB2312" w:hAnsi="楷体_GB2312" w:eastAsia="楷体_GB2312" w:cs="楷体_GB2312"/>
          <w:b w:val="0"/>
          <w:bCs/>
          <w:i w:val="0"/>
          <w:outline w:val="0"/>
          <w:shadow w:val="0"/>
          <w:emboss w:val="0"/>
          <w:imprint w:val="0"/>
          <w:snapToGrid/>
          <w:vanish w:val="0"/>
          <w:spacing w:val="0"/>
          <w:w w:val="100"/>
          <w:kern w:val="2"/>
          <w:position w:val="0"/>
          <w:sz w:val="32"/>
          <w:szCs w:val="32"/>
          <w:highlight w:val="none"/>
          <w:u w:val="none"/>
        </w:rPr>
      </w:pPr>
      <w:r>
        <w:rPr>
          <w:rFonts w:hint="eastAsia" w:ascii="楷体_GB2312" w:hAnsi="楷体_GB2312" w:eastAsia="楷体_GB2312" w:cs="楷体_GB2312"/>
          <w:b w:val="0"/>
          <w:bCs/>
          <w:i w:val="0"/>
          <w:outline w:val="0"/>
          <w:shadow w:val="0"/>
          <w:emboss w:val="0"/>
          <w:imprint w:val="0"/>
          <w:snapToGrid/>
          <w:vanish w:val="0"/>
          <w:spacing w:val="0"/>
          <w:w w:val="100"/>
          <w:kern w:val="2"/>
          <w:position w:val="0"/>
          <w:sz w:val="32"/>
          <w:szCs w:val="32"/>
          <w:highlight w:val="none"/>
          <w:u w:val="none"/>
        </w:rPr>
        <w:t>（二）补助支付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全部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助在被征收人完成搬</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移交被征收土地房屋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和附属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物并</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签订《</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移交确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认书</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》之日起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30个</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工作日</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内支</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付。逾期未</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签订补偿协议</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或未</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达</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助</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条</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件的一律不予以</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u w:val="none"/>
        </w:rPr>
      </w:pPr>
      <w:r>
        <w:rPr>
          <w:rFonts w:hint="eastAsia" w:ascii="黑体" w:hAnsi="黑体" w:eastAsia="黑体" w:cs="黑体"/>
          <w:b w:val="0"/>
          <w:i w:val="0"/>
          <w:outline w:val="0"/>
          <w:shadow w:val="0"/>
          <w:emboss w:val="0"/>
          <w:imprint w:val="0"/>
          <w:snapToGrid/>
          <w:vanish w:val="0"/>
          <w:spacing w:val="0"/>
          <w:w w:val="100"/>
          <w:kern w:val="2"/>
          <w:position w:val="0"/>
          <w:sz w:val="32"/>
          <w:u w:val="none"/>
        </w:rPr>
        <w:t>十、其它事项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（一）自本</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项</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目征地拆</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通告</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发</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布之日起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，属抢</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建、</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扩</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建、加建等情</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况</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一律不</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给</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予</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（二）征</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收实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施</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单</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位按相</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关规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定</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选</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取确定有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资质</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估机构；如被征收人有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异议</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的，可以由征</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收实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施</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单</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位与被征收人共</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同协</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商确定。</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时点为本补偿与</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安置方案批复之日；</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时</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由征</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收实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施</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单</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位工作人</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员</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和被征收人</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现场</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认</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（三）征收方案</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施完成后，被征收人</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应</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同步</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办理</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销原土</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地或房</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产</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登</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记</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手</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续</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（四）征拆有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产权纠纷</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或因其它原因</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暂时</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不能</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确定权属的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土地或房屋，由</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区</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人民政府作出</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安置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决定</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，公</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机</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关办理证</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据留存、提存后按相</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关规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定</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施征收。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（五）在征</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收过</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程中如遇特殊情</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况</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，由相</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关权属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人提出</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书</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面</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申请</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，征</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收实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施</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单</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位按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实际</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情</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况</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另行</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处</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（六）被征收土地和房屋的所有</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权人</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、使用</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权人</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逾期未</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签订</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征地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安置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协议</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的，</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区</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人民政府依据本方案</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和补偿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登</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记结</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果作出征地</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补偿</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安置</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（七）本方案</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仅</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适用于本征收</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项目</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pP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（八）本方案由西樵</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镇</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具</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体组织实</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施并</w:t>
      </w:r>
      <w:r>
        <w:rPr>
          <w:rFonts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负责解释</w:t>
      </w:r>
      <w:r>
        <w:rPr>
          <w:rFonts w:hint="eastAsia" w:ascii="宋体" w:hAnsi="宋体" w:eastAsia="仿宋_GB2312" w:cs="仿宋_GB2312"/>
          <w:b w:val="0"/>
          <w:i w:val="0"/>
          <w:outline w:val="0"/>
          <w:shadow w:val="0"/>
          <w:emboss w:val="0"/>
          <w:imprint w:val="0"/>
          <w:snapToGrid/>
          <w:vanish w:val="0"/>
          <w:spacing w:val="0"/>
          <w:w w:val="100"/>
          <w:kern w:val="2"/>
          <w:positio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eastAsia" w:ascii="宋体" w:hAnsi="宋体" w:eastAsia="仿宋_GB2312" w:cs="仿宋_GB2312"/>
          <w:b w:val="0"/>
          <w:bCs/>
          <w:i w:val="0"/>
          <w:outline w:val="0"/>
          <w:shadow w:val="0"/>
          <w:emboss w:val="0"/>
          <w:imprint w:val="0"/>
          <w:snapToGrid/>
          <w:vanish w:val="0"/>
          <w:spacing w:val="0"/>
          <w:w w:val="100"/>
          <w:kern w:val="2"/>
          <w:position w:val="0"/>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635" w:leftChars="200" w:right="0" w:rightChars="0" w:hanging="981" w:hangingChars="300"/>
        <w:jc w:val="both"/>
        <w:textAlignment w:val="auto"/>
        <w:outlineLvl w:val="9"/>
        <w:rPr>
          <w:rFonts w:hint="eastAsia" w:ascii="宋体" w:hAnsi="宋体" w:eastAsia="仿宋_GB2312" w:cs="仿宋_GB2312"/>
          <w:b w:val="0"/>
          <w:bCs/>
          <w:i w:val="0"/>
          <w:outline w:val="0"/>
          <w:shadow w:val="0"/>
          <w:emboss w:val="0"/>
          <w:imprint w:val="0"/>
          <w:snapToGrid/>
          <w:vanish w:val="0"/>
          <w:spacing w:val="0"/>
          <w:w w:val="100"/>
          <w:kern w:val="2"/>
          <w:position w:val="0"/>
          <w:sz w:val="32"/>
          <w:szCs w:val="32"/>
          <w:highlight w:val="none"/>
          <w:u w:val="none"/>
          <w:lang w:eastAsia="zh-CN"/>
        </w:rPr>
        <w:sectPr>
          <w:footerReference r:id="rId6" w:type="first"/>
          <w:footerReference r:id="rId5" w:type="default"/>
          <w:pgSz w:w="11905" w:h="16838"/>
          <w:pgMar w:top="1984" w:right="1587" w:bottom="2098" w:left="1474" w:header="851" w:footer="1361" w:gutter="0"/>
          <w:pgNumType w:fmt="decimal"/>
          <w:cols w:space="0" w:num="1"/>
          <w:titlePg/>
          <w:rtlGutter w:val="0"/>
          <w:docGrid w:type="linesAndChars" w:linePitch="589" w:charSpace="1547"/>
        </w:sectPr>
      </w:pPr>
      <w:r>
        <w:rPr>
          <w:rFonts w:hint="eastAsia" w:ascii="宋体" w:hAnsi="宋体" w:eastAsia="仿宋_GB2312" w:cs="仿宋_GB2312"/>
          <w:b w:val="0"/>
          <w:bCs/>
          <w:i w:val="0"/>
          <w:outline w:val="0"/>
          <w:shadow w:val="0"/>
          <w:emboss w:val="0"/>
          <w:imprint w:val="0"/>
          <w:snapToGrid/>
          <w:vanish w:val="0"/>
          <w:spacing w:val="0"/>
          <w:w w:val="100"/>
          <w:kern w:val="2"/>
          <w:position w:val="0"/>
          <w:sz w:val="32"/>
          <w:szCs w:val="32"/>
          <w:highlight w:val="none"/>
          <w:u w:val="none"/>
          <w:lang w:eastAsia="zh-CN"/>
        </w:rPr>
        <w:t>附件：西樵镇听音湖片区产业园开发建设（拓展区）项目宅基地回迁安置用地位置图</w:t>
      </w:r>
    </w:p>
    <w:p>
      <w:pPr>
        <w:spacing w:line="560" w:lineRule="exact"/>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附</w:t>
      </w:r>
      <w:r>
        <w:rPr>
          <w:rFonts w:hint="eastAsia" w:ascii="黑体" w:hAnsi="黑体" w:eastAsia="黑体" w:cs="黑体"/>
          <w:b w:val="0"/>
          <w:bCs/>
          <w:sz w:val="32"/>
          <w:szCs w:val="32"/>
          <w:highlight w:val="none"/>
          <w:lang w:eastAsia="zh-CN"/>
        </w:rPr>
        <w:t>件</w:t>
      </w:r>
    </w:p>
    <w:p>
      <w:r>
        <w:rPr>
          <w:rFonts w:hint="eastAsia" w:ascii="黑体" w:hAnsi="黑体" w:eastAsia="黑体" w:cs="黑体"/>
          <w:b w:val="0"/>
          <w:bCs/>
          <w:highlight w:val="none"/>
        </w:rPr>
        <w:drawing>
          <wp:anchor distT="0" distB="0" distL="114300" distR="114300" simplePos="0" relativeHeight="251660288" behindDoc="0" locked="0" layoutInCell="1" allowOverlap="1">
            <wp:simplePos x="0" y="0"/>
            <wp:positionH relativeFrom="column">
              <wp:posOffset>527050</wp:posOffset>
            </wp:positionH>
            <wp:positionV relativeFrom="page">
              <wp:posOffset>1751330</wp:posOffset>
            </wp:positionV>
            <wp:extent cx="4633595" cy="6777355"/>
            <wp:effectExtent l="0" t="0" r="14605" b="4445"/>
            <wp:wrapNone/>
            <wp:docPr id="3" name="图片 2" descr="回迁安置地位置图-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回迁安置地位置图-Model"/>
                    <pic:cNvPicPr>
                      <a:picLocks noChangeAspect="1"/>
                    </pic:cNvPicPr>
                  </pic:nvPicPr>
                  <pic:blipFill>
                    <a:blip r:embed="rId9"/>
                    <a:stretch>
                      <a:fillRect/>
                    </a:stretch>
                  </pic:blipFill>
                  <pic:spPr>
                    <a:xfrm>
                      <a:off x="0" y="0"/>
                      <a:ext cx="4633595" cy="6777355"/>
                    </a:xfrm>
                    <a:prstGeom prst="rect">
                      <a:avLst/>
                    </a:prstGeom>
                    <a:noFill/>
                    <a:ln w="9525">
                      <a:noFill/>
                    </a:ln>
                  </pic:spPr>
                </pic:pic>
              </a:graphicData>
            </a:graphic>
          </wp:anchor>
        </w:drawing>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54" w:firstLineChars="200"/>
        <w:jc w:val="right"/>
        <w:textAlignment w:val="auto"/>
        <w:outlineLvl w:val="9"/>
        <w:rPr>
          <w:rFonts w:hint="eastAsia" w:ascii="宋体" w:hAnsi="宋体" w:cs="宋体"/>
          <w:kern w:val="0"/>
          <w:sz w:val="32"/>
          <w:szCs w:val="32"/>
          <w:highlight w:val="none"/>
          <w:lang w:val="en-US" w:eastAsia="zh-CN"/>
        </w:rPr>
      </w:pPr>
    </w:p>
    <w:p>
      <w:pPr>
        <w:spacing w:line="560" w:lineRule="exact"/>
        <w:rPr>
          <w:rFonts w:hint="eastAsia" w:ascii="黑体" w:hAnsi="黑体" w:eastAsia="黑体" w:cs="黑体"/>
          <w:b w:val="0"/>
          <w:bCs/>
          <w:sz w:val="32"/>
          <w:szCs w:val="32"/>
          <w:highlight w:val="none"/>
        </w:rPr>
      </w:pPr>
    </w:p>
    <w:p/>
    <w:p>
      <w:pPr>
        <w:pStyle w:val="2"/>
      </w:pPr>
    </w:p>
    <w:p/>
    <w:p>
      <w:pPr>
        <w:pStyle w:val="2"/>
      </w:pPr>
    </w:p>
    <w:p/>
    <w:p>
      <w:pPr>
        <w:pStyle w:val="2"/>
      </w:pPr>
    </w:p>
    <w:p/>
    <w:p>
      <w:pPr>
        <w:pStyle w:val="2"/>
      </w:pPr>
    </w:p>
    <w:p/>
    <w:p>
      <w:pPr>
        <w:pStyle w:val="2"/>
      </w:pPr>
    </w:p>
    <w:p/>
    <w:p>
      <w:pPr>
        <w:pStyle w:val="2"/>
      </w:pPr>
    </w:p>
    <w:p>
      <w:pPr>
        <w:pStyle w:val="8"/>
        <w:keepNext w:val="0"/>
        <w:keepLines w:val="0"/>
        <w:pageBreakBefore w:val="0"/>
        <w:widowControl w:val="0"/>
        <w:tabs>
          <w:tab w:val="left" w:pos="8280"/>
          <w:tab w:val="left" w:pos="8487"/>
          <w:tab w:val="left" w:pos="8694"/>
        </w:tabs>
        <w:kinsoku/>
        <w:wordWrap/>
        <w:overflowPunct/>
        <w:topLinePunct w:val="0"/>
        <w:autoSpaceDE/>
        <w:autoSpaceDN/>
        <w:bidi w:val="0"/>
        <w:adjustRightInd/>
        <w:snapToGrid/>
        <w:spacing w:line="900" w:lineRule="exact"/>
        <w:ind w:left="327" w:leftChars="100" w:right="327" w:rightChars="100" w:firstLine="0" w:firstLineChars="0"/>
        <w:textAlignment w:val="auto"/>
        <w:rPr>
          <w:rFonts w:hint="eastAsia" w:ascii="宋体" w:hAnsi="宋体" w:eastAsia="仿宋_GB2312"/>
          <w:sz w:val="28"/>
        </w:rPr>
      </w:pPr>
    </w:p>
    <w:sectPr>
      <w:pgSz w:w="11905" w:h="16838"/>
      <w:pgMar w:top="1984" w:right="1587" w:bottom="2098" w:left="1474" w:header="851" w:footer="1361" w:gutter="0"/>
      <w:pgNumType w:fmt="decimal"/>
      <w:cols w:space="0" w:num="1"/>
      <w:titlePg/>
      <w:rtlGutter w:val="0"/>
      <w:docGrid w:type="linesAndChars" w:linePitch="589"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251"/>
        <w:tab w:val="clear" w:pos="4153"/>
      </w:tabs>
      <w:ind w:left="320" w:leftChars="100" w:right="320" w:rightChars="100"/>
      <w:jc w:val="both"/>
      <w:rPr>
        <w:rFonts w:hint="eastAsia" w:ascii="宋体" w:hAnsi="宋体" w:eastAsia="宋体" w:cs="宋体"/>
        <w:sz w:val="2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jc w:val="both"/>
      <w:rPr>
        <w:rFonts w:hint="eastAsia" w:ascii="宋体" w:hAnsi="宋体" w:eastAsia="宋体" w:cs="宋体"/>
        <w:sz w:val="28"/>
        <w:lang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20" w:leftChars="100" w:right="320" w:rightChars="100"/>
                            <w:jc w:val="both"/>
                          </w:pPr>
                          <w:r>
                            <w:rPr>
                              <w:rFonts w:hint="eastAsia" w:eastAsia="宋体" w:cs="宋体"/>
                              <w:sz w:val="28"/>
                              <w:lang w:eastAsia="zh-CN"/>
                            </w:rPr>
                            <w:t xml:space="preserve">— </w:t>
                          </w:r>
                          <w:r>
                            <w:rPr>
                              <w:rFonts w:hint="eastAsia" w:eastAsia="宋体" w:cs="宋体"/>
                              <w:sz w:val="28"/>
                              <w:lang w:eastAsia="zh-CN"/>
                            </w:rPr>
                            <w:fldChar w:fldCharType="begin"/>
                          </w:r>
                          <w:r>
                            <w:rPr>
                              <w:rFonts w:hint="eastAsia" w:eastAsia="宋体" w:cs="宋体"/>
                              <w:sz w:val="28"/>
                              <w:lang w:eastAsia="zh-CN"/>
                            </w:rPr>
                            <w:instrText xml:space="preserve"> PAGE  \* MERGEFORMAT </w:instrText>
                          </w:r>
                          <w:r>
                            <w:rPr>
                              <w:rFonts w:hint="eastAsia" w:eastAsia="宋体" w:cs="宋体"/>
                              <w:sz w:val="28"/>
                              <w:lang w:eastAsia="zh-CN"/>
                            </w:rPr>
                            <w:fldChar w:fldCharType="separate"/>
                          </w:r>
                          <w:r>
                            <w:rPr>
                              <w:rFonts w:hint="eastAsia" w:eastAsia="宋体" w:cs="宋体"/>
                              <w:sz w:val="28"/>
                              <w:lang w:eastAsia="zh-CN"/>
                            </w:rPr>
                            <w:t>5</w:t>
                          </w:r>
                          <w:r>
                            <w:rPr>
                              <w:rFonts w:hint="eastAsia" w:eastAsia="宋体" w:cs="宋体"/>
                              <w:sz w:val="28"/>
                              <w:lang w:eastAsia="zh-CN"/>
                            </w:rPr>
                            <w:fldChar w:fldCharType="end"/>
                          </w:r>
                          <w:r>
                            <w:rPr>
                              <w:rFonts w:hint="eastAsia" w:eastAsia="宋体" w:cs="宋体"/>
                              <w:sz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qK+VMQIAAGM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qaivlTECAABjBAAADgAAAAAAAAABACAAAAA1&#10;AQAAZHJzL2Uyb0RvYy54bWxQSwUGAAAAAAYABgBZAQAA2AUAAAAA&#10;">
              <v:fill on="f" focussize="0,0"/>
              <v:stroke on="f" weight="0.5pt"/>
              <v:imagedata o:title=""/>
              <o:lock v:ext="edit" aspectratio="f"/>
              <v:textbox inset="0mm,0mm,0mm,0mm" style="mso-fit-shape-to-text:t;">
                <w:txbxContent>
                  <w:p>
                    <w:pPr>
                      <w:pStyle w:val="3"/>
                      <w:ind w:left="320" w:leftChars="100" w:right="320" w:rightChars="100"/>
                      <w:jc w:val="both"/>
                    </w:pPr>
                    <w:r>
                      <w:rPr>
                        <w:rFonts w:hint="eastAsia" w:eastAsia="宋体" w:cs="宋体"/>
                        <w:sz w:val="28"/>
                        <w:lang w:eastAsia="zh-CN"/>
                      </w:rPr>
                      <w:t xml:space="preserve">— </w:t>
                    </w:r>
                    <w:r>
                      <w:rPr>
                        <w:rFonts w:hint="eastAsia" w:eastAsia="宋体" w:cs="宋体"/>
                        <w:sz w:val="28"/>
                        <w:lang w:eastAsia="zh-CN"/>
                      </w:rPr>
                      <w:fldChar w:fldCharType="begin"/>
                    </w:r>
                    <w:r>
                      <w:rPr>
                        <w:rFonts w:hint="eastAsia" w:eastAsia="宋体" w:cs="宋体"/>
                        <w:sz w:val="28"/>
                        <w:lang w:eastAsia="zh-CN"/>
                      </w:rPr>
                      <w:instrText xml:space="preserve"> PAGE  \* MERGEFORMAT </w:instrText>
                    </w:r>
                    <w:r>
                      <w:rPr>
                        <w:rFonts w:hint="eastAsia" w:eastAsia="宋体" w:cs="宋体"/>
                        <w:sz w:val="28"/>
                        <w:lang w:eastAsia="zh-CN"/>
                      </w:rPr>
                      <w:fldChar w:fldCharType="separate"/>
                    </w:r>
                    <w:r>
                      <w:rPr>
                        <w:rFonts w:hint="eastAsia" w:eastAsia="宋体" w:cs="宋体"/>
                        <w:sz w:val="28"/>
                        <w:lang w:eastAsia="zh-CN"/>
                      </w:rPr>
                      <w:t>5</w:t>
                    </w:r>
                    <w:r>
                      <w:rPr>
                        <w:rFonts w:hint="eastAsia" w:eastAsia="宋体" w:cs="宋体"/>
                        <w:sz w:val="28"/>
                        <w:lang w:eastAsia="zh-CN"/>
                      </w:rPr>
                      <w:fldChar w:fldCharType="end"/>
                    </w:r>
                    <w:r>
                      <w:rPr>
                        <w:rFonts w:hint="eastAsia" w:eastAsia="宋体" w:cs="宋体"/>
                        <w:sz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251"/>
        <w:tab w:val="clear" w:pos="4153"/>
      </w:tabs>
      <w:ind w:left="320" w:leftChars="100" w:right="320" w:rightChars="100"/>
      <w:jc w:val="both"/>
      <w:rPr>
        <w:rFonts w:hint="eastAsia" w:ascii="宋体" w:hAnsi="宋体" w:eastAsia="宋体" w:cs="宋体"/>
        <w:sz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20" w:leftChars="100" w:right="320" w:rightChars="100"/>
                            <w:jc w:val="both"/>
                          </w:pPr>
                          <w:r>
                            <w:rPr>
                              <w:rFonts w:hint="eastAsia" w:eastAsia="宋体" w:cs="宋体"/>
                              <w:sz w:val="28"/>
                              <w:lang w:eastAsia="zh-CN"/>
                            </w:rPr>
                            <w:t xml:space="preserve">— </w:t>
                          </w:r>
                          <w:r>
                            <w:rPr>
                              <w:rFonts w:hint="eastAsia" w:eastAsia="宋体" w:cs="宋体"/>
                              <w:sz w:val="28"/>
                              <w:lang w:eastAsia="zh-CN"/>
                            </w:rPr>
                            <w:fldChar w:fldCharType="begin"/>
                          </w:r>
                          <w:r>
                            <w:rPr>
                              <w:rFonts w:hint="eastAsia" w:eastAsia="宋体" w:cs="宋体"/>
                              <w:sz w:val="28"/>
                              <w:lang w:eastAsia="zh-CN"/>
                            </w:rPr>
                            <w:instrText xml:space="preserve"> PAGE  \* MERGEFORMAT </w:instrText>
                          </w:r>
                          <w:r>
                            <w:rPr>
                              <w:rFonts w:hint="eastAsia" w:eastAsia="宋体" w:cs="宋体"/>
                              <w:sz w:val="28"/>
                              <w:lang w:eastAsia="zh-CN"/>
                            </w:rPr>
                            <w:fldChar w:fldCharType="separate"/>
                          </w:r>
                          <w:r>
                            <w:rPr>
                              <w:rFonts w:hint="eastAsia" w:eastAsia="宋体" w:cs="宋体"/>
                              <w:sz w:val="28"/>
                              <w:lang w:eastAsia="zh-CN"/>
                            </w:rPr>
                            <w:t>- 1 -</w:t>
                          </w:r>
                          <w:r>
                            <w:rPr>
                              <w:rFonts w:hint="eastAsia" w:eastAsia="宋体" w:cs="宋体"/>
                              <w:sz w:val="28"/>
                              <w:lang w:eastAsia="zh-CN"/>
                            </w:rPr>
                            <w:fldChar w:fldCharType="end"/>
                          </w:r>
                          <w:r>
                            <w:rPr>
                              <w:rFonts w:hint="eastAsia" w:eastAsia="宋体" w:cs="宋体"/>
                              <w:sz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ind w:left="320" w:leftChars="100" w:right="320" w:rightChars="100"/>
                      <w:jc w:val="both"/>
                    </w:pPr>
                    <w:r>
                      <w:rPr>
                        <w:rFonts w:hint="eastAsia" w:eastAsia="宋体" w:cs="宋体"/>
                        <w:sz w:val="28"/>
                        <w:lang w:eastAsia="zh-CN"/>
                      </w:rPr>
                      <w:t xml:space="preserve">— </w:t>
                    </w:r>
                    <w:r>
                      <w:rPr>
                        <w:rFonts w:hint="eastAsia" w:eastAsia="宋体" w:cs="宋体"/>
                        <w:sz w:val="28"/>
                        <w:lang w:eastAsia="zh-CN"/>
                      </w:rPr>
                      <w:fldChar w:fldCharType="begin"/>
                    </w:r>
                    <w:r>
                      <w:rPr>
                        <w:rFonts w:hint="eastAsia" w:eastAsia="宋体" w:cs="宋体"/>
                        <w:sz w:val="28"/>
                        <w:lang w:eastAsia="zh-CN"/>
                      </w:rPr>
                      <w:instrText xml:space="preserve"> PAGE  \* MERGEFORMAT </w:instrText>
                    </w:r>
                    <w:r>
                      <w:rPr>
                        <w:rFonts w:hint="eastAsia" w:eastAsia="宋体" w:cs="宋体"/>
                        <w:sz w:val="28"/>
                        <w:lang w:eastAsia="zh-CN"/>
                      </w:rPr>
                      <w:fldChar w:fldCharType="separate"/>
                    </w:r>
                    <w:r>
                      <w:rPr>
                        <w:rFonts w:hint="eastAsia" w:eastAsia="宋体" w:cs="宋体"/>
                        <w:sz w:val="28"/>
                        <w:lang w:eastAsia="zh-CN"/>
                      </w:rPr>
                      <w:t>- 1 -</w:t>
                    </w:r>
                    <w:r>
                      <w:rPr>
                        <w:rFonts w:hint="eastAsia" w:eastAsia="宋体" w:cs="宋体"/>
                        <w:sz w:val="28"/>
                        <w:lang w:eastAsia="zh-CN"/>
                      </w:rPr>
                      <w:fldChar w:fldCharType="end"/>
                    </w:r>
                    <w:r>
                      <w:rPr>
                        <w:rFonts w:hint="eastAsia" w:eastAsia="宋体" w:cs="宋体"/>
                        <w:sz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jc w:val="both"/>
      <w:rPr>
        <w:rFonts w:hint="eastAsia" w:ascii="宋体" w:hAnsi="宋体" w:eastAsia="宋体" w:cs="宋体"/>
        <w:sz w:val="28"/>
        <w:lang w:eastAsia="zh-CN"/>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20" w:leftChars="100" w:right="320" w:rightChars="100"/>
                            <w:jc w:val="both"/>
                          </w:pPr>
                          <w:r>
                            <w:rPr>
                              <w:rFonts w:hint="eastAsia" w:eastAsia="宋体" w:cs="宋体"/>
                              <w:sz w:val="28"/>
                              <w:lang w:eastAsia="zh-CN"/>
                            </w:rPr>
                            <w:t xml:space="preserve">— </w:t>
                          </w:r>
                          <w:r>
                            <w:rPr>
                              <w:rFonts w:hint="eastAsia" w:eastAsia="宋体" w:cs="宋体"/>
                              <w:sz w:val="28"/>
                              <w:lang w:eastAsia="zh-CN"/>
                            </w:rPr>
                            <w:fldChar w:fldCharType="begin"/>
                          </w:r>
                          <w:r>
                            <w:rPr>
                              <w:rFonts w:hint="eastAsia" w:eastAsia="宋体" w:cs="宋体"/>
                              <w:sz w:val="28"/>
                              <w:lang w:eastAsia="zh-CN"/>
                            </w:rPr>
                            <w:instrText xml:space="preserve"> PAGE  \* MERGEFORMAT </w:instrText>
                          </w:r>
                          <w:r>
                            <w:rPr>
                              <w:rFonts w:hint="eastAsia" w:eastAsia="宋体" w:cs="宋体"/>
                              <w:sz w:val="28"/>
                              <w:lang w:eastAsia="zh-CN"/>
                            </w:rPr>
                            <w:fldChar w:fldCharType="separate"/>
                          </w:r>
                          <w:r>
                            <w:rPr>
                              <w:rFonts w:hint="eastAsia" w:eastAsia="宋体" w:cs="宋体"/>
                              <w:sz w:val="28"/>
                              <w:lang w:eastAsia="zh-CN"/>
                            </w:rPr>
                            <w:t>5</w:t>
                          </w:r>
                          <w:r>
                            <w:rPr>
                              <w:rFonts w:hint="eastAsia" w:eastAsia="宋体" w:cs="宋体"/>
                              <w:sz w:val="28"/>
                              <w:lang w:eastAsia="zh-CN"/>
                            </w:rPr>
                            <w:fldChar w:fldCharType="end"/>
                          </w:r>
                          <w:r>
                            <w:rPr>
                              <w:rFonts w:hint="eastAsia" w:eastAsia="宋体" w:cs="宋体"/>
                              <w:sz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6wA4ejECAABjBAAADgAAAAAAAAABACAAAAA1&#10;AQAAZHJzL2Uyb0RvYy54bWxQSwUGAAAAAAYABgBZAQAA2AUAAAAA&#10;">
              <v:fill on="f" focussize="0,0"/>
              <v:stroke on="f" weight="0.5pt"/>
              <v:imagedata o:title=""/>
              <o:lock v:ext="edit" aspectratio="f"/>
              <v:textbox inset="0mm,0mm,0mm,0mm" style="mso-fit-shape-to-text:t;">
                <w:txbxContent>
                  <w:p>
                    <w:pPr>
                      <w:pStyle w:val="3"/>
                      <w:ind w:left="320" w:leftChars="100" w:right="320" w:rightChars="100"/>
                      <w:jc w:val="both"/>
                    </w:pPr>
                    <w:r>
                      <w:rPr>
                        <w:rFonts w:hint="eastAsia" w:eastAsia="宋体" w:cs="宋体"/>
                        <w:sz w:val="28"/>
                        <w:lang w:eastAsia="zh-CN"/>
                      </w:rPr>
                      <w:t xml:space="preserve">— </w:t>
                    </w:r>
                    <w:r>
                      <w:rPr>
                        <w:rFonts w:hint="eastAsia" w:eastAsia="宋体" w:cs="宋体"/>
                        <w:sz w:val="28"/>
                        <w:lang w:eastAsia="zh-CN"/>
                      </w:rPr>
                      <w:fldChar w:fldCharType="begin"/>
                    </w:r>
                    <w:r>
                      <w:rPr>
                        <w:rFonts w:hint="eastAsia" w:eastAsia="宋体" w:cs="宋体"/>
                        <w:sz w:val="28"/>
                        <w:lang w:eastAsia="zh-CN"/>
                      </w:rPr>
                      <w:instrText xml:space="preserve"> PAGE  \* MERGEFORMAT </w:instrText>
                    </w:r>
                    <w:r>
                      <w:rPr>
                        <w:rFonts w:hint="eastAsia" w:eastAsia="宋体" w:cs="宋体"/>
                        <w:sz w:val="28"/>
                        <w:lang w:eastAsia="zh-CN"/>
                      </w:rPr>
                      <w:fldChar w:fldCharType="separate"/>
                    </w:r>
                    <w:r>
                      <w:rPr>
                        <w:rFonts w:hint="eastAsia" w:eastAsia="宋体" w:cs="宋体"/>
                        <w:sz w:val="28"/>
                        <w:lang w:eastAsia="zh-CN"/>
                      </w:rPr>
                      <w:t>5</w:t>
                    </w:r>
                    <w:r>
                      <w:rPr>
                        <w:rFonts w:hint="eastAsia" w:eastAsia="宋体" w:cs="宋体"/>
                        <w:sz w:val="28"/>
                        <w:lang w:eastAsia="zh-CN"/>
                      </w:rPr>
                      <w:fldChar w:fldCharType="end"/>
                    </w:r>
                    <w:r>
                      <w:rPr>
                        <w:rFonts w:hint="eastAsia" w:eastAsia="宋体" w:cs="宋体"/>
                        <w:sz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5996C0"/>
    <w:multiLevelType w:val="singleLevel"/>
    <w:tmpl w:val="225996C0"/>
    <w:lvl w:ilvl="0" w:tentative="0">
      <w:start w:val="1"/>
      <w:numFmt w:val="chineseCounting"/>
      <w:suff w:val="nothing"/>
      <w:lvlText w:val="（%1）"/>
      <w:lvlJc w:val="left"/>
      <w:rPr>
        <w:rFonts w:hint="eastAsia"/>
      </w:rPr>
    </w:lvl>
  </w:abstractNum>
  <w:abstractNum w:abstractNumId="1">
    <w:nsid w:val="5F34A01B"/>
    <w:multiLevelType w:val="singleLevel"/>
    <w:tmpl w:val="5F34A01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64"/>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6A11A0"/>
    <w:rsid w:val="2B552315"/>
    <w:rsid w:val="397509A3"/>
    <w:rsid w:val="503640AC"/>
    <w:rsid w:val="594D55B8"/>
    <w:rsid w:val="ED7A9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24"/>
      <w:lang w:val="en-US" w:eastAsia="zh-CN" w:bidi="ar-SA"/>
    </w:rPr>
  </w:style>
  <w:style w:type="paragraph" w:styleId="2">
    <w:name w:val="heading 3"/>
    <w:basedOn w:val="1"/>
    <w:next w:val="1"/>
    <w:unhideWhenUsed/>
    <w:qFormat/>
    <w:uiPriority w:val="0"/>
    <w:pPr>
      <w:spacing w:before="104" w:after="104"/>
      <w:outlineLvl w:val="2"/>
    </w:p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正文 New New"/>
    <w:qFormat/>
    <w:uiPriority w:val="0"/>
    <w:pPr>
      <w:widowControl w:val="0"/>
      <w:jc w:val="both"/>
    </w:pPr>
    <w:rPr>
      <w:rFonts w:ascii="Calibri" w:hAnsi="Calibri" w:eastAsia="仿宋"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lianxiang</dc:creator>
  <cp:lastModifiedBy>崔嘉仪</cp:lastModifiedBy>
  <cp:lastPrinted>2022-12-08T16:26:00Z</cp:lastPrinted>
  <dcterms:modified xsi:type="dcterms:W3CDTF">2022-12-08T18:22:31Z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9F8BAAB771834F5D913286E1D1D75085</vt:lpwstr>
  </property>
</Properties>
</file>