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drawing>
          <wp:anchor distT="0" distB="0" distL="114300" distR="114300" simplePos="0" relativeHeight="251661312" behindDoc="0" locked="0" layoutInCell="1" allowOverlap="1">
            <wp:simplePos x="0" y="0"/>
            <wp:positionH relativeFrom="page">
              <wp:posOffset>4455795</wp:posOffset>
            </wp:positionH>
            <wp:positionV relativeFrom="page">
              <wp:posOffset>1002030</wp:posOffset>
            </wp:positionV>
            <wp:extent cx="1715770" cy="803275"/>
            <wp:effectExtent l="19050" t="0" r="0" b="0"/>
            <wp:wrapNone/>
            <wp:docPr id="9"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说明: GD"/>
                    <pic:cNvPicPr>
                      <a:picLocks noChangeAspect="1" noChangeArrowheads="1"/>
                    </pic:cNvPicPr>
                  </pic:nvPicPr>
                  <pic:blipFill>
                    <a:blip r:embed="rId8"/>
                    <a:srcRect/>
                    <a:stretch>
                      <a:fillRect/>
                    </a:stretch>
                  </pic:blipFill>
                  <pic:spPr>
                    <a:xfrm>
                      <a:off x="0" y="0"/>
                      <a:ext cx="1715966" cy="803031"/>
                    </a:xfrm>
                    <a:prstGeom prst="rect">
                      <a:avLst/>
                    </a:prstGeom>
                    <a:noFill/>
                    <a:ln w="9525">
                      <a:noFill/>
                      <a:miter lim="800000"/>
                      <a:headEnd/>
                      <a:tailEnd/>
                    </a:ln>
                  </pic:spPr>
                </pic:pic>
              </a:graphicData>
            </a:graphic>
          </wp:anchor>
        </w:drawing>
      </w:r>
    </w:p>
    <w:p>
      <w:pPr>
        <w:ind w:firstLine="1072" w:firstLineChars="200"/>
        <w:rPr>
          <w:rFonts w:eastAsia="MS Gothic"/>
          <w:b/>
          <w:sz w:val="84"/>
          <w:szCs w:val="84"/>
        </w:rPr>
      </w:pP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r>
        <w:t xml:space="preserve">                              </w:t>
      </w:r>
      <w:bookmarkStart w:id="0" w:name="_Toc337542810"/>
      <w:r>
        <w:rPr>
          <w:rFonts w:hint="eastAsia"/>
        </w:rPr>
        <w:t xml:space="preserve">                                                        </w:t>
      </w:r>
    </w:p>
    <w:p>
      <w:pPr>
        <w:spacing w:line="400" w:lineRule="exact"/>
        <w:rPr>
          <w:rFonts w:hint="eastAsia" w:eastAsiaTheme="minorEastAsia"/>
          <w:spacing w:val="17"/>
          <w:sz w:val="30"/>
          <w:szCs w:val="30"/>
          <w:lang w:eastAsia="zh-CN"/>
        </w:rPr>
      </w:pPr>
      <w:r>
        <w:rPr>
          <w:rFonts w:hint="eastAsia"/>
        </w:rPr>
        <w:t xml:space="preserve">                                                       </w:t>
      </w:r>
      <w:r>
        <w:rPr>
          <w:spacing w:val="23"/>
          <w:sz w:val="30"/>
          <w:szCs w:val="30"/>
        </w:rPr>
        <w:t>DBJ</w:t>
      </w:r>
      <w:r>
        <w:rPr>
          <w:rFonts w:hint="eastAsia"/>
          <w:spacing w:val="23"/>
          <w:sz w:val="30"/>
          <w:szCs w:val="30"/>
        </w:rPr>
        <w:t xml:space="preserve"> 15</w:t>
      </w:r>
      <w:r>
        <w:rPr>
          <w:spacing w:val="23"/>
          <w:sz w:val="30"/>
          <w:szCs w:val="30"/>
        </w:rPr>
        <w:t>-</w:t>
      </w:r>
      <w:r>
        <w:rPr>
          <w:rFonts w:hint="eastAsia"/>
          <w:spacing w:val="23"/>
          <w:sz w:val="30"/>
          <w:szCs w:val="30"/>
        </w:rPr>
        <w:t>XX</w:t>
      </w:r>
      <w:r>
        <w:rPr>
          <w:spacing w:val="23"/>
          <w:sz w:val="30"/>
          <w:szCs w:val="30"/>
        </w:rPr>
        <w:t>-</w:t>
      </w:r>
      <w:bookmarkEnd w:id="0"/>
      <w:r>
        <w:rPr>
          <w:sz w:val="30"/>
          <w:szCs w:val="30"/>
        </w:rPr>
        <w:t>20</w:t>
      </w:r>
      <w:r>
        <w:rPr>
          <w:rFonts w:hint="eastAsia"/>
          <w:sz w:val="30"/>
          <w:szCs w:val="30"/>
        </w:rPr>
        <w:t>2</w:t>
      </w:r>
      <w:r>
        <w:rPr>
          <w:rFonts w:hint="eastAsia"/>
          <w:sz w:val="30"/>
          <w:szCs w:val="30"/>
          <w:lang w:val="en-US" w:eastAsia="zh-CN"/>
        </w:rPr>
        <w:t>2</w:t>
      </w:r>
    </w:p>
    <w:p>
      <w:pPr>
        <w:spacing w:line="400" w:lineRule="exact"/>
        <w:rPr>
          <w:rFonts w:hint="eastAsia" w:eastAsia="黑体"/>
          <w:sz w:val="28"/>
          <w:szCs w:val="28"/>
          <w:lang w:eastAsia="zh-CN"/>
        </w:rPr>
      </w:pPr>
      <w:r>
        <w:rPr>
          <w:rFonts w:hint="eastAsia"/>
          <w:sz w:val="28"/>
          <w:szCs w:val="28"/>
        </w:rPr>
        <w:t xml:space="preserve">                                        </w:t>
      </w:r>
      <w:r>
        <w:rPr>
          <w:rFonts w:hint="eastAsia" w:ascii="黑体" w:hAnsi="黑体" w:eastAsia="黑体"/>
          <w:sz w:val="28"/>
          <w:szCs w:val="28"/>
        </w:rPr>
        <w:t>备案号 J XXXXX-202</w:t>
      </w:r>
      <w:r>
        <w:rPr>
          <w:rFonts w:hint="eastAsia" w:ascii="黑体" w:hAnsi="黑体" w:eastAsia="黑体"/>
          <w:sz w:val="28"/>
          <w:szCs w:val="28"/>
          <w:lang w:val="en-US" w:eastAsia="zh-CN"/>
        </w:rPr>
        <w:t>2</w:t>
      </w:r>
    </w:p>
    <w:p>
      <w:pPr>
        <w:snapToGrid w:val="0"/>
        <w:spacing w:line="380" w:lineRule="atLeast"/>
        <w:rPr>
          <w:rFonts w:eastAsia="黑体"/>
          <w:sz w:val="36"/>
        </w:rPr>
      </w:pPr>
      <w:r>
        <w:pict>
          <v:line id="直接连接符 33" o:spid="_x0000_s1029" o:spt="20" style="position:absolute;left:0pt;flip:y;margin-left:2.8pt;margin-top:9.05pt;height:0pt;width:479.5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xRQgIAAE4EAAAOAAAAZHJzL2Uyb0RvYy54bWysVMGO0zAQvSPxD5bvbZI2LW206QolLZcF&#10;VtqFu2s7jYVjW7a3aYX4BX4AiRucOHLnb1g+g7HbLbtwQYgcnLFn5uXNm3HOznedRFtundCqxNkw&#10;xYgrqplQmxK/ul4NZhg5TxQjUite4j13+Hzx+NFZbwo+0q2WjFsEIMoVvSlx670pksTRlnfEDbXh&#10;CpyNth3xsLWbhFnSA3onk1GaTpNeW2asptw5OK0PTryI+E3DqX/ZNI57JEsM3HxcbVzXYU0WZ6TY&#10;WGJaQY80yD+w6IhQ8NETVE08QTdW/AHVCWq1040fUt0lumkE5bEGqCZLf6vmqiWGx1pAHGdOMrn/&#10;B0tfbC8tEqzE4zFGinTQo9sPX7+///Tj20dYb798RuABmXrjCoiu1KUNhdKdujIXmr5xSOmqJWrD&#10;I93rvQGILGQkD1LCxhn42Lp/rhnEkBuvo2a7xnaokcK8DokBHHRBu9ik/alJfOcRhcNJPpvmKfSS&#10;gi/P5llsYkKKABOSjXX+GdcdCkaJpVBBQ1KQ7YXzgdavkHCs9EpIGedAKtSXeD4ZTQC9MyCKU5uY&#10;67QULMSFDGc360patCVhqOITywXP/TCrbxSLuC0nbHm0PRHyYAMPqQIeVAbMjtZhat7O0/lytpzl&#10;g3w0XQ7ytK4HT1dVPpiusieTelxXVZ29C9SyvGgFY1wFdncTnOV/NyHHu3SYvdMMnxRJHqJH6YDs&#10;3TuSjk0OfT1MyFqz/aW9az4MbQw+XrBwK+7vwb7/G1j8BAAA//8DAFBLAwQUAAYACAAAACEALw3R&#10;x90AAAAIAQAADwAAAGRycy9kb3ducmV2LnhtbEyPy07DMBBF90j8gzVI7KjdUPUR4lQVAjZISJTA&#10;2omHJMIeR7Gbhr9nWMFqHvfqzpliP3snJhxjH0jDcqFAIDXB9tRqqN4eb7YgYjJkjQuEGr4xwr68&#10;vChMbsOZXnE6plZwCMXcaOhSGnIpY9OhN3ERBiTWPsPoTeJxbKUdzZnDvZOZUmvpTU98oTMD3nfY&#10;fB1PXsPh4/nh9mWqfXB211bv1lfqKdP6+mo+3IFIOKc/M/ziMzqUzFSHE9konIbNeslO3m+5sr5b&#10;KW5qDdlqA7Is5P8Hyh8AAAD//wMAUEsBAi0AFAAGAAgAAAAhALaDOJL+AAAA4QEAABMAAAAAAAAA&#10;AAAAAAAAAAAAAFtDb250ZW50X1R5cGVzXS54bWxQSwECLQAUAAYACAAAACEAOP0h/9YAAACUAQAA&#10;CwAAAAAAAAAAAAAAAAAvAQAAX3JlbHMvLnJlbHNQSwECLQAUAAYACAAAACEAaguMUUICAABOBAAA&#10;DgAAAAAAAAAAAAAAAAAuAgAAZHJzL2Uyb0RvYy54bWxQSwECLQAUAAYACAAAACEALw3Rx90AAAAI&#10;AQAADwAAAAAAAAAAAAAAAACcBAAAZHJzL2Rvd25yZXYueG1sUEsFBgAAAAAEAAQA8wAAAKYFAAAA&#10;AA==&#10;">
            <v:path arrowok="t"/>
            <v:fill focussize="0,0"/>
            <v:stroke/>
            <v:imagedata o:title=""/>
            <o:lock v:ext="edit"/>
          </v:line>
        </w:pict>
      </w:r>
    </w:p>
    <w:p>
      <w:pPr>
        <w:snapToGrid w:val="0"/>
        <w:spacing w:line="380" w:lineRule="atLeast"/>
        <w:jc w:val="center"/>
        <w:rPr>
          <w:b/>
          <w:sz w:val="48"/>
        </w:rPr>
      </w:pPr>
    </w:p>
    <w:p>
      <w:pPr>
        <w:snapToGrid w:val="0"/>
        <w:spacing w:line="380" w:lineRule="atLeast"/>
        <w:jc w:val="center"/>
        <w:rPr>
          <w:b/>
          <w:sz w:val="48"/>
        </w:rPr>
      </w:pPr>
    </w:p>
    <w:p>
      <w:pPr>
        <w:spacing w:line="360" w:lineRule="auto"/>
        <w:jc w:val="center"/>
        <w:rPr>
          <w:rFonts w:ascii="宋体" w:hAnsi="宋体" w:eastAsia="宋体"/>
          <w:b/>
          <w:bCs/>
          <w:sz w:val="48"/>
          <w:szCs w:val="48"/>
        </w:rPr>
      </w:pPr>
      <w:r>
        <w:rPr>
          <w:rFonts w:hint="eastAsia" w:ascii="宋体" w:hAnsi="宋体" w:eastAsia="宋体"/>
          <w:b/>
          <w:bCs/>
          <w:sz w:val="48"/>
          <w:szCs w:val="48"/>
        </w:rPr>
        <w:t>广东省绿色轨道交通评价标准</w:t>
      </w:r>
    </w:p>
    <w:p>
      <w:pPr>
        <w:spacing w:line="360" w:lineRule="auto"/>
        <w:jc w:val="center"/>
        <w:rPr>
          <w:b/>
          <w:bCs/>
          <w:spacing w:val="-10"/>
          <w:sz w:val="28"/>
          <w:szCs w:val="28"/>
        </w:rPr>
      </w:pPr>
      <w:r>
        <w:rPr>
          <w:rFonts w:ascii="Times New Roman" w:hAnsi="Times New Roman" w:eastAsia="宋体" w:cs="Times New Roman"/>
          <w:b/>
          <w:sz w:val="28"/>
          <w:szCs w:val="28"/>
        </w:rPr>
        <w:t>Assessment standard for green rail transit in Guangdong Province</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rFonts w:ascii="宋体" w:hAnsi="宋体" w:eastAsia="宋体" w:cs="Times New Roman"/>
          <w:b/>
          <w:color w:val="000000"/>
          <w:sz w:val="30"/>
          <w:szCs w:val="30"/>
        </w:rPr>
      </w:pPr>
      <w:r>
        <w:rPr>
          <w:rFonts w:ascii="宋体" w:hAnsi="宋体" w:eastAsia="宋体" w:cs="Times New Roman"/>
          <w:b/>
          <w:color w:val="000000"/>
          <w:sz w:val="30"/>
          <w:szCs w:val="30"/>
        </w:rPr>
        <w:t>(征求意见稿)</w:t>
      </w:r>
    </w:p>
    <w:p>
      <w:pPr>
        <w:snapToGrid w:val="0"/>
        <w:spacing w:line="380" w:lineRule="atLeast"/>
        <w:jc w:val="center"/>
        <w:rPr>
          <w:b/>
          <w:sz w:val="28"/>
        </w:rPr>
      </w:pPr>
    </w:p>
    <w:p>
      <w:pPr>
        <w:snapToGrid w:val="0"/>
        <w:spacing w:line="380" w:lineRule="atLeast"/>
        <w:jc w:val="center"/>
        <w:rPr>
          <w:b/>
          <w:sz w:val="28"/>
        </w:rPr>
      </w:pPr>
    </w:p>
    <w:p>
      <w:pPr>
        <w:snapToGrid w:val="0"/>
        <w:spacing w:line="380" w:lineRule="atLeast"/>
        <w:jc w:val="center"/>
        <w:rPr>
          <w:b/>
          <w:sz w:val="28"/>
        </w:rPr>
      </w:pPr>
    </w:p>
    <w:p>
      <w:pPr>
        <w:snapToGrid w:val="0"/>
        <w:spacing w:line="380" w:lineRule="atLeast"/>
        <w:jc w:val="center"/>
        <w:rPr>
          <w:b/>
          <w:sz w:val="28"/>
        </w:rPr>
      </w:pPr>
    </w:p>
    <w:p>
      <w:pPr>
        <w:snapToGrid w:val="0"/>
        <w:spacing w:line="380" w:lineRule="atLeast"/>
        <w:jc w:val="center"/>
        <w:rPr>
          <w:b/>
          <w:sz w:val="28"/>
        </w:rPr>
      </w:pPr>
    </w:p>
    <w:p>
      <w:pPr>
        <w:snapToGrid w:val="0"/>
        <w:spacing w:line="380" w:lineRule="atLeast"/>
        <w:jc w:val="center"/>
        <w:rPr>
          <w:b/>
          <w:sz w:val="28"/>
        </w:rPr>
      </w:pPr>
    </w:p>
    <w:p>
      <w:pPr>
        <w:snapToGrid w:val="0"/>
        <w:spacing w:line="380" w:lineRule="atLeast"/>
        <w:jc w:val="left"/>
        <w:rPr>
          <w:b/>
          <w:sz w:val="28"/>
        </w:rPr>
      </w:pPr>
      <w:r>
        <w:rPr>
          <w:rFonts w:ascii="Times New Roman" w:hAnsi="Times New Roman" w:eastAsia="宋体" w:cs="Times New Roman"/>
          <w:sz w:val="28"/>
          <w:szCs w:val="28"/>
        </w:rPr>
        <w:t>202×-××-××</w:t>
      </w:r>
      <w:r>
        <w:rPr>
          <w:rFonts w:eastAsia="黑体"/>
          <w:sz w:val="28"/>
          <w:szCs w:val="28"/>
        </w:rPr>
        <w:t xml:space="preserve">  发布</w:t>
      </w:r>
      <w:r>
        <w:rPr>
          <w:rFonts w:hint="eastAsia" w:eastAsia="黑体"/>
          <w:sz w:val="28"/>
          <w:szCs w:val="28"/>
        </w:rPr>
        <w:t xml:space="preserve">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202×-××-××</w:t>
      </w:r>
      <w:r>
        <w:rPr>
          <w:bCs/>
          <w:sz w:val="28"/>
        </w:rPr>
        <w:t xml:space="preserve">  </w:t>
      </w:r>
      <w:r>
        <w:rPr>
          <w:rFonts w:eastAsia="黑体"/>
          <w:sz w:val="28"/>
          <w:szCs w:val="28"/>
        </w:rPr>
        <w:t>实施</w:t>
      </w:r>
    </w:p>
    <w:p>
      <w:pPr>
        <w:snapToGrid w:val="0"/>
        <w:spacing w:line="380" w:lineRule="atLeast"/>
        <w:rPr>
          <w:b/>
          <w:sz w:val="28"/>
        </w:rPr>
      </w:pPr>
      <w:r>
        <w:pict>
          <v:line id="直接连接符 32" o:spid="_x0000_s1028" o:spt="20" style="position:absolute;left:0pt;flip:y;margin-left:-1.45pt;margin-top:7.45pt;height:0.6pt;width:490.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XePAIAAEQEAAAOAAAAZHJzL2Uyb0RvYy54bWysU82O0zAQviPxDpbvbZJu222jpivUtFwW&#10;qLTLA7i201g4tmW7TSvEK/ACSHuDE0fuvA3LYzB2f9SFC0Lk4Iw9M5+/+WY8udk1Em25dUKrAmfd&#10;FCOuqGZCrQv89n7RGWHkPFGMSK14gffc4Zvp82eT1uS8p2stGbcIQJTLW1Pg2nuTJ4mjNW+I62rD&#10;FTgrbRviYWvXCbOkBfRGJr00HSattsxYTblzcFoenHga8auKU/+mqhz3SBYYuPm42riuwppMJyRf&#10;W2JqQY80yD+waIhQcOkZqiSeoI0Vf0A1glrtdOW7VDeJripBeawBqsnS36q5q4nhsRYQx5mzTO7/&#10;wdLX26VFghX4qoeRIg306PHTtx8fP//8/gDr49cvCDwgU2tcDtEztbShULpTd+ZW03cOKT2riVrz&#10;SPd+bwAiCxnJk5SwcQYuW7WvNIMYsvE6ararbBMgQQ20i63Zn1vDdx5ROBwM0/Q6hQ5S8PWGw+vY&#10;uoTkp2RjnX/JdYOCUWApVFCO5GR763wgQ/JTSDhWeiGkjN2XCrUFHg96A0BvDEjh1DrmOi0FC3Eh&#10;w9n1aiYt2pIwSvGLRYLnMszqjWIRt+aEzY+2J0IebOAhVcCDyoDZ0TrMyvtxOp6P5qN+p98bzjv9&#10;tCw7Lxazfme4yK4H5VU5m5XZh0At6+e1YIyrwO40t1n/7+bi+IIOE3ee3LMiyVP0KB2QPf0j6dja&#10;0M3DXKw02y/tqeUwqjH4+KzCW7jcg335+Ke/AAAA//8DAFBLAwQUAAYACAAAACEA/YIGj90AAAAI&#10;AQAADwAAAGRycy9kb3ducmV2LnhtbEyPzU7DMBCE70i8g7VIXCrq/IgKQpwKAblxoYC4buMliYjX&#10;aey2gadnOZXjzoxmvynXsxvUgabQezaQLhNQxI23PbcG3l7rqxtQISJbHDyTgW8KsK7Oz0osrD/y&#10;Cx02sVVSwqFAA12MY6F1aDpyGJZ+JBbv008Oo5xTq+2ERyl3g86SZKUd9iwfOhzpoaPma7N3BkL9&#10;Trv6Z9Esko+89ZTtHp+f0JjLi/n+DlSkOZ7C8Icv6FAJ09bv2QY1GLhOZUoUfZWCEv82z0XYGsiS&#10;HHRV6v8Dql8AAAD//wMAUEsBAi0AFAAGAAgAAAAhALaDOJL+AAAA4QEAABMAAAAAAAAAAAAAAAAA&#10;AAAAAFtDb250ZW50X1R5cGVzXS54bWxQSwECLQAUAAYACAAAACEAOP0h/9YAAACUAQAACwAAAAAA&#10;AAAAAAAAAAAvAQAAX3JlbHMvLnJlbHNQSwECLQAUAAYACAAAACEAHXil3jwCAABEBAAADgAAAAAA&#10;AAAAAAAAAAAuAgAAZHJzL2Uyb0RvYy54bWxQSwECLQAUAAYACAAAACEA/YIGj90AAAAIAQAADwAA&#10;AAAAAAAAAAAAAACWBAAAZHJzL2Rvd25yZXYueG1sUEsFBgAAAAAEAAQA8wAAAKAFAAAAAA==&#10;">
            <v:path arrowok="t"/>
            <v:fill focussize="0,0"/>
            <v:stroke/>
            <v:imagedata o:title=""/>
            <o:lock v:ext="edit"/>
          </v:line>
        </w:pict>
      </w:r>
    </w:p>
    <w:p>
      <w:pPr>
        <w:snapToGrid w:val="0"/>
        <w:spacing w:line="380" w:lineRule="atLeast"/>
        <w:jc w:val="center"/>
        <w:rPr>
          <w:b/>
          <w:sz w:val="28"/>
        </w:rPr>
      </w:pPr>
    </w:p>
    <w:p>
      <w:pPr>
        <w:snapToGrid w:val="0"/>
        <w:spacing w:line="380" w:lineRule="atLeast"/>
        <w:jc w:val="center"/>
        <w:rPr>
          <w:rFonts w:eastAsia="黑体"/>
          <w:spacing w:val="20"/>
          <w:sz w:val="32"/>
          <w:szCs w:val="32"/>
        </w:rPr>
      </w:pPr>
      <w:r>
        <w:rPr>
          <w:rFonts w:eastAsia="黑体"/>
          <w:sz w:val="32"/>
          <w:szCs w:val="32"/>
        </w:rPr>
        <w:t>广东省住房和城乡建设厅</w:t>
      </w:r>
      <w:r>
        <w:rPr>
          <w:rFonts w:hint="eastAsia" w:eastAsia="黑体"/>
          <w:sz w:val="32"/>
          <w:szCs w:val="32"/>
        </w:rPr>
        <w:t xml:space="preserve">  </w:t>
      </w:r>
      <w:r>
        <w:rPr>
          <w:rFonts w:eastAsia="黑体"/>
          <w:spacing w:val="20"/>
          <w:sz w:val="32"/>
          <w:szCs w:val="32"/>
        </w:rPr>
        <w:t>发布</w:t>
      </w:r>
    </w:p>
    <w:tbl>
      <w:tblPr>
        <w:tblStyle w:val="13"/>
        <w:tblpPr w:leftFromText="180" w:rightFromText="180" w:vertAnchor="text" w:horzAnchor="margin" w:tblpXSpec="right"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20" w:type="dxa"/>
            <w:vAlign w:val="center"/>
          </w:tcPr>
          <w:p>
            <w:pPr>
              <w:jc w:val="center"/>
            </w:pPr>
            <w:r>
              <w:t>本标准不涉及专利</w:t>
            </w:r>
          </w:p>
        </w:tc>
      </w:tr>
    </w:tbl>
    <w:p>
      <w:pPr>
        <w:rPr>
          <w:rFonts w:eastAsia="黑体"/>
          <w:b/>
          <w:sz w:val="32"/>
          <w:szCs w:val="32"/>
        </w:rPr>
        <w:sectPr>
          <w:footerReference r:id="rId3" w:type="default"/>
          <w:footerReference r:id="rId4" w:type="even"/>
          <w:pgSz w:w="11906" w:h="16838"/>
          <w:pgMar w:top="1440" w:right="1418" w:bottom="1440" w:left="1418" w:header="851" w:footer="992" w:gutter="0"/>
          <w:cols w:space="720" w:num="1"/>
          <w:titlePg/>
          <w:docGrid w:type="lines" w:linePitch="312" w:charSpace="0"/>
        </w:sectPr>
      </w:pPr>
    </w:p>
    <w:p>
      <w:pPr>
        <w:jc w:val="center"/>
        <w:rPr>
          <w:rFonts w:eastAsia="黑体"/>
          <w:b/>
          <w:sz w:val="32"/>
          <w:szCs w:val="32"/>
        </w:rPr>
      </w:pPr>
    </w:p>
    <w:p>
      <w:pPr>
        <w:jc w:val="center"/>
        <w:rPr>
          <w:rFonts w:eastAsia="黑体"/>
          <w:b/>
          <w:sz w:val="32"/>
          <w:szCs w:val="32"/>
        </w:rPr>
      </w:pPr>
      <w:r>
        <w:rPr>
          <w:rFonts w:eastAsia="黑体"/>
          <w:b/>
          <w:sz w:val="32"/>
          <w:szCs w:val="32"/>
        </w:rPr>
        <w:t>广东省标准</w:t>
      </w:r>
    </w:p>
    <w:p>
      <w:pPr>
        <w:jc w:val="center"/>
        <w:rPr>
          <w:rFonts w:eastAsia="黑体"/>
          <w:b/>
          <w:sz w:val="32"/>
          <w:szCs w:val="32"/>
        </w:rPr>
      </w:pPr>
    </w:p>
    <w:p>
      <w:pPr>
        <w:rPr>
          <w:rFonts w:eastAsia="黑体"/>
          <w:b/>
          <w:sz w:val="32"/>
          <w:szCs w:val="32"/>
        </w:rPr>
      </w:pPr>
    </w:p>
    <w:p>
      <w:pPr>
        <w:spacing w:line="360" w:lineRule="auto"/>
        <w:jc w:val="center"/>
        <w:rPr>
          <w:rFonts w:ascii="宋体" w:hAnsi="宋体" w:eastAsia="宋体"/>
          <w:b/>
          <w:bCs/>
          <w:sz w:val="48"/>
          <w:szCs w:val="48"/>
        </w:rPr>
      </w:pPr>
      <w:r>
        <w:rPr>
          <w:rFonts w:hint="eastAsia" w:ascii="宋体" w:hAnsi="宋体" w:eastAsia="宋体"/>
          <w:b/>
          <w:bCs/>
          <w:sz w:val="48"/>
          <w:szCs w:val="48"/>
        </w:rPr>
        <w:t>广东省绿色轨道交通评价标准</w:t>
      </w:r>
    </w:p>
    <w:p>
      <w:pPr>
        <w:jc w:val="center"/>
        <w:rPr>
          <w:rFonts w:ascii="Times New Roman" w:hAnsi="Times New Roman" w:eastAsia="宋体" w:cs="Times New Roman"/>
          <w:b/>
          <w:sz w:val="28"/>
          <w:szCs w:val="28"/>
        </w:rPr>
      </w:pPr>
      <w:r>
        <w:rPr>
          <w:rFonts w:ascii="Times New Roman" w:hAnsi="Times New Roman" w:eastAsia="宋体" w:cs="Times New Roman"/>
          <w:b/>
          <w:sz w:val="28"/>
          <w:szCs w:val="28"/>
        </w:rPr>
        <w:t>Assessment standard for green rail transit in Guangdong Province</w:t>
      </w:r>
    </w:p>
    <w:p>
      <w:pPr>
        <w:jc w:val="center"/>
        <w:rPr>
          <w:rFonts w:ascii="Times New Roman" w:hAnsi="Times New Roman" w:eastAsia="宋体" w:cs="Times New Roman"/>
          <w:b/>
          <w:sz w:val="32"/>
          <w:szCs w:val="32"/>
        </w:rPr>
      </w:pPr>
      <w:r>
        <w:rPr>
          <w:rFonts w:ascii="Times New Roman" w:hAnsi="Times New Roman" w:eastAsia="宋体" w:cs="Times New Roman"/>
          <w:b/>
          <w:sz w:val="32"/>
          <w:szCs w:val="32"/>
        </w:rPr>
        <w:t>DBJ15-××-202×</w:t>
      </w:r>
    </w:p>
    <w:p>
      <w:pPr>
        <w:jc w:val="center"/>
        <w:rPr>
          <w:rFonts w:eastAsia="黑体"/>
          <w:b/>
          <w:sz w:val="32"/>
          <w:szCs w:val="32"/>
        </w:rPr>
      </w:pPr>
    </w:p>
    <w:p>
      <w:pPr>
        <w:jc w:val="center"/>
        <w:rPr>
          <w:rFonts w:eastAsia="黑体"/>
          <w:b/>
          <w:sz w:val="32"/>
          <w:szCs w:val="32"/>
        </w:rPr>
      </w:pPr>
    </w:p>
    <w:p>
      <w:pPr>
        <w:spacing w:line="400" w:lineRule="exact"/>
        <w:ind w:firstLine="2760" w:firstLineChars="1150"/>
        <w:rPr>
          <w:sz w:val="24"/>
          <w:szCs w:val="24"/>
        </w:rPr>
      </w:pPr>
      <w:r>
        <w:rPr>
          <w:sz w:val="24"/>
          <w:szCs w:val="24"/>
        </w:rPr>
        <w:t>住房和城乡建设部备案号：</w:t>
      </w:r>
    </w:p>
    <w:p>
      <w:pPr>
        <w:spacing w:line="400" w:lineRule="exact"/>
        <w:ind w:firstLine="2760" w:firstLineChars="1150"/>
        <w:rPr>
          <w:sz w:val="24"/>
          <w:szCs w:val="24"/>
        </w:rPr>
      </w:pPr>
      <w:r>
        <w:rPr>
          <w:sz w:val="24"/>
          <w:szCs w:val="24"/>
        </w:rPr>
        <w:t>批准部门：广东省住房和城乡建设厅</w:t>
      </w:r>
    </w:p>
    <w:p>
      <w:pPr>
        <w:spacing w:line="400" w:lineRule="exact"/>
        <w:ind w:firstLine="2760" w:firstLineChars="1150"/>
        <w:rPr>
          <w:sz w:val="24"/>
          <w:szCs w:val="24"/>
        </w:rPr>
      </w:pPr>
      <w:r>
        <w:rPr>
          <w:sz w:val="24"/>
          <w:szCs w:val="24"/>
        </w:rPr>
        <w:t>实施日期：202×年××月××日</w:t>
      </w: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jc w:val="center"/>
        <w:rPr>
          <w:rFonts w:eastAsia="仿宋_GB2312"/>
          <w:sz w:val="28"/>
          <w:szCs w:val="28"/>
        </w:rPr>
      </w:pPr>
      <w:r>
        <w:rPr>
          <w:rFonts w:eastAsia="黑体"/>
          <w:b/>
          <w:sz w:val="28"/>
          <w:szCs w:val="28"/>
        </w:rPr>
        <w:t>××××</w:t>
      </w:r>
      <w:r>
        <w:rPr>
          <w:rFonts w:eastAsia="仿宋_GB2312"/>
          <w:sz w:val="28"/>
          <w:szCs w:val="28"/>
        </w:rPr>
        <w:t>出版社</w:t>
      </w:r>
    </w:p>
    <w:p>
      <w:pPr>
        <w:jc w:val="center"/>
        <w:rPr>
          <w:rFonts w:eastAsia="仿宋_GB2312"/>
          <w:sz w:val="28"/>
          <w:szCs w:val="28"/>
        </w:rPr>
        <w:sectPr>
          <w:footerReference r:id="rId5" w:type="default"/>
          <w:pgSz w:w="11906" w:h="16838"/>
          <w:pgMar w:top="1440" w:right="1080" w:bottom="1440" w:left="1080" w:header="851" w:footer="992" w:gutter="0"/>
          <w:cols w:space="720" w:num="1"/>
          <w:titlePg/>
          <w:docGrid w:type="lines" w:linePitch="312" w:charSpace="0"/>
        </w:sectPr>
      </w:pPr>
    </w:p>
    <w:p>
      <w:pPr>
        <w:pStyle w:val="2"/>
        <w:spacing w:before="624" w:after="624"/>
      </w:pPr>
      <w:bookmarkStart w:id="1" w:name="_Toc77584215"/>
      <w:bookmarkStart w:id="2" w:name="_Toc60822399"/>
      <w:r>
        <w:t>前言</w:t>
      </w:r>
      <w:bookmarkEnd w:id="1"/>
      <w:bookmarkEnd w:id="2"/>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根据《广东省住房和城乡建设厅关于发布〈2019年广东省工程建设标准制订、修订计划〉的通知》（粤建科函〔2019〕1118号）的要求，编制组经深入调查研究，借鉴国内、国际绿色轨道交通发展经验，结合广东省的实际发展情况，在广泛征求意见的基础上，编制了本标准。</w:t>
      </w:r>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本标准的主要技术内容是：总则、术语、基本规定、安全耐久、便捷高效、健康舒适、资源节约、环境友好、</w:t>
      </w:r>
      <w:r>
        <w:rPr>
          <w:rFonts w:hint="eastAsia" w:ascii="宋体" w:hAnsi="宋体" w:eastAsia="宋体"/>
          <w:sz w:val="24"/>
          <w:szCs w:val="24"/>
        </w:rPr>
        <w:t>运营服务、</w:t>
      </w:r>
      <w:r>
        <w:rPr>
          <w:rFonts w:ascii="宋体" w:hAnsi="宋体" w:eastAsia="宋体"/>
          <w:sz w:val="24"/>
          <w:szCs w:val="24"/>
        </w:rPr>
        <w:t>提高创新。</w:t>
      </w:r>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本标准由广东省住房和城乡建设厅</w:t>
      </w:r>
      <w:r>
        <w:rPr>
          <w:rFonts w:hint="eastAsia" w:ascii="宋体" w:hAnsi="宋体" w:eastAsia="宋体"/>
          <w:sz w:val="24"/>
          <w:szCs w:val="24"/>
        </w:rPr>
        <w:t>负责</w:t>
      </w:r>
      <w:r>
        <w:rPr>
          <w:rFonts w:ascii="宋体" w:hAnsi="宋体" w:eastAsia="宋体"/>
          <w:sz w:val="24"/>
          <w:szCs w:val="24"/>
        </w:rPr>
        <w:t>管理，由广州地铁设计研究院股份</w:t>
      </w:r>
      <w:r>
        <w:rPr>
          <w:rFonts w:hint="eastAsia" w:ascii="宋体" w:hAnsi="宋体" w:eastAsia="宋体"/>
          <w:sz w:val="24"/>
          <w:szCs w:val="24"/>
        </w:rPr>
        <w:t>有限</w:t>
      </w:r>
      <w:r>
        <w:rPr>
          <w:rFonts w:ascii="宋体" w:hAnsi="宋体" w:eastAsia="宋体"/>
          <w:sz w:val="24"/>
          <w:szCs w:val="24"/>
        </w:rPr>
        <w:t>公司负责具体技术内容的解释。执行过程中如有意见或建议，请寄送广州地铁设计研究院股份</w:t>
      </w:r>
      <w:r>
        <w:rPr>
          <w:rFonts w:hint="eastAsia" w:ascii="宋体" w:hAnsi="宋体" w:eastAsia="宋体"/>
          <w:sz w:val="24"/>
          <w:szCs w:val="24"/>
        </w:rPr>
        <w:t>有限</w:t>
      </w:r>
      <w:r>
        <w:rPr>
          <w:rFonts w:ascii="宋体" w:hAnsi="宋体" w:eastAsia="宋体"/>
          <w:sz w:val="24"/>
          <w:szCs w:val="24"/>
        </w:rPr>
        <w:t>公司（地址：广州市环市西路204号；邮政编码：51010）</w:t>
      </w:r>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本标准主编单位：广州地铁设计研究院股份</w:t>
      </w:r>
      <w:r>
        <w:rPr>
          <w:rFonts w:hint="eastAsia" w:ascii="宋体" w:hAnsi="宋体" w:eastAsia="宋体"/>
          <w:sz w:val="24"/>
          <w:szCs w:val="24"/>
        </w:rPr>
        <w:t>有限</w:t>
      </w:r>
      <w:r>
        <w:rPr>
          <w:rFonts w:ascii="宋体" w:hAnsi="宋体" w:eastAsia="宋体"/>
          <w:sz w:val="24"/>
          <w:szCs w:val="24"/>
        </w:rPr>
        <w:t>公司</w:t>
      </w:r>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本标准参编单位：广州地铁集团有限公司</w:t>
      </w:r>
    </w:p>
    <w:p>
      <w:pPr>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深圳市地铁集团有限公司</w:t>
      </w:r>
    </w:p>
    <w:p>
      <w:pPr>
        <w:tabs>
          <w:tab w:val="left" w:pos="7130"/>
        </w:tabs>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佛山市铁路投资建设集团有限公司</w:t>
      </w:r>
      <w:r>
        <w:rPr>
          <w:rFonts w:ascii="宋体" w:hAnsi="宋体" w:eastAsia="宋体"/>
          <w:sz w:val="24"/>
          <w:szCs w:val="24"/>
        </w:rPr>
        <w:tab/>
      </w:r>
    </w:p>
    <w:p>
      <w:pPr>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东莞市轨道交通有限公司</w:t>
      </w:r>
    </w:p>
    <w:p>
      <w:pPr>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佛山轨道交通设计研究院有限公司</w:t>
      </w:r>
    </w:p>
    <w:p>
      <w:pPr>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深圳市市政设计研究院有限公司</w:t>
      </w:r>
    </w:p>
    <w:p>
      <w:pPr>
        <w:adjustRightInd w:val="0"/>
        <w:snapToGrid w:val="0"/>
        <w:spacing w:line="360" w:lineRule="auto"/>
        <w:ind w:left="2400" w:hanging="2400" w:hangingChars="1000"/>
        <w:jc w:val="left"/>
        <w:rPr>
          <w:rFonts w:ascii="宋体" w:hAnsi="宋体" w:eastAsia="宋体"/>
          <w:sz w:val="24"/>
          <w:szCs w:val="24"/>
        </w:rPr>
      </w:pPr>
      <w:r>
        <w:rPr>
          <w:rFonts w:ascii="宋体" w:hAnsi="宋体" w:eastAsia="宋体"/>
          <w:sz w:val="24"/>
          <w:szCs w:val="24"/>
        </w:rPr>
        <w:t>本标准主要起草人员：</w:t>
      </w:r>
      <w:r>
        <w:rPr>
          <w:rFonts w:hint="eastAsia" w:ascii="宋体" w:hAnsi="宋体" w:eastAsia="宋体"/>
          <w:sz w:val="24"/>
          <w:szCs w:val="24"/>
        </w:rPr>
        <w:t>农兴中 王迪军 史海欧 贺利工 何治新 刘丽萍 林  珊   罗燕萍 靳守杰 廖振宁 俞军燕 耿  明 廖贵玲 唐  敏 李立颖 黄  强 林  斌 刘鑫美 秦  旭 向  东 陈虹兵 朱  江 潘  茜 刘文武 唐晓勇 涂旭炜 孙元广 郑  翔 唐亚琳 刘增华 周灿朗 吴  疆 黄德亮 谢  伟 朱建峰 赵  斌 胡文伟 伍拾煤 黄凤至 林  湘 罗信伟 王兆红 邓睿康 关耀东 黄忠兴 邬燕芳 潘继灏 黄光宇 马坚生 欧阳开 闫雅斌 罗定鑫 杨莹冰</w:t>
      </w:r>
    </w:p>
    <w:p>
      <w:pPr>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sz w:val="24"/>
          <w:szCs w:val="24"/>
        </w:rPr>
        <w:t>本标准主要审查人员</w:t>
      </w:r>
      <w:r>
        <w:rPr>
          <w:rFonts w:hint="eastAsia" w:ascii="宋体" w:hAnsi="宋体" w:eastAsia="宋体"/>
          <w:sz w:val="24"/>
          <w:szCs w:val="24"/>
        </w:rPr>
        <w:t>:</w:t>
      </w:r>
    </w:p>
    <w:p>
      <w:pPr>
        <w:adjustRightInd w:val="0"/>
        <w:snapToGrid w:val="0"/>
        <w:spacing w:line="360" w:lineRule="auto"/>
        <w:rPr>
          <w:rFonts w:ascii="宋体" w:hAnsi="宋体" w:eastAsia="宋体"/>
          <w:sz w:val="44"/>
          <w:szCs w:val="44"/>
        </w:rPr>
      </w:pPr>
    </w:p>
    <w:p>
      <w:pPr>
        <w:pStyle w:val="2"/>
        <w:spacing w:before="624" w:after="624"/>
      </w:pPr>
      <w:bookmarkStart w:id="3" w:name="_Toc60822400"/>
      <w:bookmarkStart w:id="4" w:name="_Toc77584216"/>
      <w:r>
        <w:t>目次</w:t>
      </w:r>
      <w:bookmarkEnd w:id="3"/>
      <w:bookmarkEnd w:id="4"/>
    </w:p>
    <w:p>
      <w:pPr>
        <w:pStyle w:val="11"/>
        <w:tabs>
          <w:tab w:val="right" w:leader="dot" w:pos="8302"/>
        </w:tabs>
        <w:rPr>
          <w:sz w:val="24"/>
          <w:szCs w:val="24"/>
        </w:rPr>
      </w:pPr>
      <w:r>
        <w:rPr>
          <w:rFonts w:ascii="宋体" w:hAnsi="宋体" w:eastAsia="宋体"/>
          <w:sz w:val="24"/>
          <w:szCs w:val="24"/>
        </w:rPr>
        <w:fldChar w:fldCharType="begin"/>
      </w:r>
      <w:r>
        <w:rPr>
          <w:rFonts w:hint="eastAsia" w:ascii="宋体" w:hAnsi="宋体" w:eastAsia="宋体"/>
          <w:sz w:val="24"/>
          <w:szCs w:val="24"/>
        </w:rPr>
        <w:instrText xml:space="preserve">TOC \o "1-2" \u</w:instrText>
      </w:r>
      <w:r>
        <w:rPr>
          <w:rFonts w:ascii="宋体" w:hAnsi="宋体" w:eastAsia="宋体"/>
          <w:sz w:val="24"/>
          <w:szCs w:val="24"/>
        </w:rPr>
        <w:fldChar w:fldCharType="separate"/>
      </w:r>
      <w:r>
        <w:rPr>
          <w:sz w:val="24"/>
          <w:szCs w:val="24"/>
        </w:rPr>
        <w:t>1　</w:t>
      </w:r>
      <w:r>
        <w:rPr>
          <w:rFonts w:hint="eastAsia" w:cs="宋体"/>
          <w:sz w:val="24"/>
          <w:szCs w:val="24"/>
        </w:rPr>
        <w:t>总则</w:t>
      </w:r>
      <w:r>
        <w:rPr>
          <w:sz w:val="24"/>
          <w:szCs w:val="24"/>
        </w:rPr>
        <w:tab/>
      </w:r>
      <w:r>
        <w:rPr>
          <w:sz w:val="24"/>
          <w:szCs w:val="24"/>
        </w:rPr>
        <w:fldChar w:fldCharType="begin"/>
      </w:r>
      <w:r>
        <w:rPr>
          <w:sz w:val="24"/>
          <w:szCs w:val="24"/>
        </w:rPr>
        <w:instrText xml:space="preserve"> PAGEREF _Toc77584218 \h </w:instrText>
      </w:r>
      <w:r>
        <w:rPr>
          <w:sz w:val="24"/>
          <w:szCs w:val="24"/>
        </w:rPr>
        <w:fldChar w:fldCharType="separate"/>
      </w:r>
      <w:r>
        <w:rPr>
          <w:sz w:val="24"/>
          <w:szCs w:val="24"/>
        </w:rPr>
        <w:t>1</w:t>
      </w:r>
      <w:r>
        <w:rPr>
          <w:sz w:val="24"/>
          <w:szCs w:val="24"/>
        </w:rPr>
        <w:fldChar w:fldCharType="end"/>
      </w:r>
    </w:p>
    <w:p>
      <w:pPr>
        <w:pStyle w:val="11"/>
        <w:tabs>
          <w:tab w:val="right" w:leader="dot" w:pos="8302"/>
        </w:tabs>
        <w:rPr>
          <w:sz w:val="24"/>
          <w:szCs w:val="24"/>
        </w:rPr>
      </w:pPr>
      <w:r>
        <w:rPr>
          <w:sz w:val="24"/>
          <w:szCs w:val="24"/>
        </w:rPr>
        <w:t>2　</w:t>
      </w:r>
      <w:r>
        <w:rPr>
          <w:rFonts w:hint="eastAsia" w:cs="宋体"/>
          <w:sz w:val="24"/>
          <w:szCs w:val="24"/>
        </w:rPr>
        <w:t>术语</w:t>
      </w:r>
      <w:r>
        <w:rPr>
          <w:sz w:val="24"/>
          <w:szCs w:val="24"/>
        </w:rPr>
        <w:tab/>
      </w:r>
      <w:r>
        <w:rPr>
          <w:sz w:val="24"/>
          <w:szCs w:val="24"/>
        </w:rPr>
        <w:fldChar w:fldCharType="begin"/>
      </w:r>
      <w:r>
        <w:rPr>
          <w:sz w:val="24"/>
          <w:szCs w:val="24"/>
        </w:rPr>
        <w:instrText xml:space="preserve"> PAGEREF _Toc77584219 \h </w:instrText>
      </w:r>
      <w:r>
        <w:rPr>
          <w:sz w:val="24"/>
          <w:szCs w:val="24"/>
        </w:rPr>
        <w:fldChar w:fldCharType="separate"/>
      </w:r>
      <w:r>
        <w:rPr>
          <w:sz w:val="24"/>
          <w:szCs w:val="24"/>
        </w:rPr>
        <w:t>2</w:t>
      </w:r>
      <w:r>
        <w:rPr>
          <w:sz w:val="24"/>
          <w:szCs w:val="24"/>
        </w:rPr>
        <w:fldChar w:fldCharType="end"/>
      </w:r>
    </w:p>
    <w:p>
      <w:pPr>
        <w:pStyle w:val="11"/>
        <w:tabs>
          <w:tab w:val="right" w:leader="dot" w:pos="8302"/>
        </w:tabs>
        <w:rPr>
          <w:sz w:val="24"/>
          <w:szCs w:val="24"/>
        </w:rPr>
      </w:pPr>
      <w:r>
        <w:rPr>
          <w:sz w:val="24"/>
          <w:szCs w:val="24"/>
        </w:rPr>
        <w:t>3　</w:t>
      </w:r>
      <w:r>
        <w:rPr>
          <w:rFonts w:hint="eastAsia"/>
          <w:sz w:val="24"/>
          <w:szCs w:val="24"/>
        </w:rPr>
        <w:t>基本规定</w:t>
      </w:r>
      <w:r>
        <w:rPr>
          <w:sz w:val="24"/>
          <w:szCs w:val="24"/>
        </w:rPr>
        <w:tab/>
      </w:r>
      <w:r>
        <w:rPr>
          <w:sz w:val="24"/>
          <w:szCs w:val="24"/>
        </w:rPr>
        <w:fldChar w:fldCharType="begin"/>
      </w:r>
      <w:r>
        <w:rPr>
          <w:sz w:val="24"/>
          <w:szCs w:val="24"/>
        </w:rPr>
        <w:instrText xml:space="preserve"> PAGEREF _Toc77584220 \h </w:instrText>
      </w:r>
      <w:r>
        <w:rPr>
          <w:sz w:val="24"/>
          <w:szCs w:val="24"/>
        </w:rPr>
        <w:fldChar w:fldCharType="separate"/>
      </w:r>
      <w:r>
        <w:rPr>
          <w:sz w:val="24"/>
          <w:szCs w:val="24"/>
        </w:rPr>
        <w:t>3</w:t>
      </w:r>
      <w:r>
        <w:rPr>
          <w:sz w:val="24"/>
          <w:szCs w:val="24"/>
        </w:rPr>
        <w:fldChar w:fldCharType="end"/>
      </w:r>
    </w:p>
    <w:p>
      <w:pPr>
        <w:pStyle w:val="12"/>
        <w:rPr>
          <w:szCs w:val="24"/>
        </w:rPr>
      </w:pPr>
      <w:r>
        <w:rPr>
          <w:szCs w:val="24"/>
        </w:rPr>
        <w:t>3.1　</w:t>
      </w:r>
      <w:r>
        <w:rPr>
          <w:rFonts w:hint="eastAsia"/>
          <w:szCs w:val="24"/>
        </w:rPr>
        <w:t>一般规定</w:t>
      </w:r>
      <w:r>
        <w:rPr>
          <w:szCs w:val="24"/>
        </w:rPr>
        <w:tab/>
      </w:r>
      <w:r>
        <w:rPr>
          <w:szCs w:val="24"/>
        </w:rPr>
        <w:fldChar w:fldCharType="begin"/>
      </w:r>
      <w:r>
        <w:rPr>
          <w:szCs w:val="24"/>
        </w:rPr>
        <w:instrText xml:space="preserve"> PAGEREF _Toc77584221 \h </w:instrText>
      </w:r>
      <w:r>
        <w:rPr>
          <w:szCs w:val="24"/>
        </w:rPr>
        <w:fldChar w:fldCharType="separate"/>
      </w:r>
      <w:r>
        <w:rPr>
          <w:szCs w:val="24"/>
        </w:rPr>
        <w:t>3</w:t>
      </w:r>
      <w:r>
        <w:rPr>
          <w:szCs w:val="24"/>
        </w:rPr>
        <w:fldChar w:fldCharType="end"/>
      </w:r>
    </w:p>
    <w:p>
      <w:pPr>
        <w:pStyle w:val="12"/>
        <w:rPr>
          <w:szCs w:val="24"/>
        </w:rPr>
      </w:pPr>
      <w:r>
        <w:rPr>
          <w:szCs w:val="24"/>
        </w:rPr>
        <w:t>3.2　</w:t>
      </w:r>
      <w:r>
        <w:rPr>
          <w:rFonts w:hint="eastAsia"/>
          <w:szCs w:val="24"/>
        </w:rPr>
        <w:t>评价方法与等级划分</w:t>
      </w:r>
      <w:r>
        <w:rPr>
          <w:szCs w:val="24"/>
        </w:rPr>
        <w:tab/>
      </w:r>
      <w:r>
        <w:rPr>
          <w:szCs w:val="24"/>
        </w:rPr>
        <w:fldChar w:fldCharType="begin"/>
      </w:r>
      <w:r>
        <w:rPr>
          <w:szCs w:val="24"/>
        </w:rPr>
        <w:instrText xml:space="preserve"> PAGEREF _Toc77584222 \h </w:instrText>
      </w:r>
      <w:r>
        <w:rPr>
          <w:szCs w:val="24"/>
        </w:rPr>
        <w:fldChar w:fldCharType="separate"/>
      </w:r>
      <w:r>
        <w:rPr>
          <w:szCs w:val="24"/>
        </w:rPr>
        <w:t>3</w:t>
      </w:r>
      <w:r>
        <w:rPr>
          <w:szCs w:val="24"/>
        </w:rPr>
        <w:fldChar w:fldCharType="end"/>
      </w:r>
    </w:p>
    <w:p>
      <w:pPr>
        <w:pStyle w:val="11"/>
        <w:tabs>
          <w:tab w:val="right" w:leader="dot" w:pos="8302"/>
        </w:tabs>
        <w:rPr>
          <w:sz w:val="24"/>
          <w:szCs w:val="24"/>
        </w:rPr>
      </w:pPr>
      <w:r>
        <w:rPr>
          <w:sz w:val="24"/>
          <w:szCs w:val="24"/>
        </w:rPr>
        <w:t>4　</w:t>
      </w:r>
      <w:r>
        <w:rPr>
          <w:rFonts w:hint="eastAsia"/>
          <w:sz w:val="24"/>
          <w:szCs w:val="24"/>
        </w:rPr>
        <w:t>安全耐久</w:t>
      </w:r>
      <w:r>
        <w:rPr>
          <w:sz w:val="24"/>
          <w:szCs w:val="24"/>
        </w:rPr>
        <w:tab/>
      </w:r>
      <w:r>
        <w:rPr>
          <w:rFonts w:hint="eastAsia"/>
          <w:sz w:val="24"/>
          <w:szCs w:val="24"/>
        </w:rPr>
        <w:t>5</w:t>
      </w:r>
    </w:p>
    <w:p>
      <w:pPr>
        <w:pStyle w:val="12"/>
        <w:rPr>
          <w:szCs w:val="24"/>
        </w:rPr>
      </w:pPr>
      <w:r>
        <w:rPr>
          <w:szCs w:val="24"/>
        </w:rPr>
        <w:t>4.1　</w:t>
      </w:r>
      <w:r>
        <w:rPr>
          <w:rFonts w:hint="eastAsia"/>
          <w:szCs w:val="24"/>
        </w:rPr>
        <w:t>控制项</w:t>
      </w:r>
      <w:r>
        <w:rPr>
          <w:szCs w:val="24"/>
        </w:rPr>
        <w:tab/>
      </w:r>
      <w:r>
        <w:rPr>
          <w:rFonts w:hint="eastAsia"/>
          <w:szCs w:val="24"/>
        </w:rPr>
        <w:t>5</w:t>
      </w:r>
    </w:p>
    <w:p>
      <w:pPr>
        <w:pStyle w:val="12"/>
        <w:rPr>
          <w:szCs w:val="24"/>
        </w:rPr>
      </w:pPr>
      <w:r>
        <w:rPr>
          <w:szCs w:val="24"/>
        </w:rPr>
        <w:t>4.2　</w:t>
      </w:r>
      <w:r>
        <w:rPr>
          <w:rFonts w:hint="eastAsia"/>
          <w:szCs w:val="24"/>
        </w:rPr>
        <w:t>评分项</w:t>
      </w:r>
      <w:r>
        <w:rPr>
          <w:szCs w:val="24"/>
        </w:rPr>
        <w:tab/>
      </w:r>
      <w:r>
        <w:rPr>
          <w:rFonts w:hint="eastAsia"/>
          <w:szCs w:val="24"/>
        </w:rPr>
        <w:t>7</w:t>
      </w:r>
    </w:p>
    <w:p>
      <w:pPr>
        <w:pStyle w:val="11"/>
        <w:tabs>
          <w:tab w:val="right" w:leader="dot" w:pos="8302"/>
        </w:tabs>
        <w:rPr>
          <w:sz w:val="24"/>
          <w:szCs w:val="24"/>
        </w:rPr>
      </w:pPr>
      <w:r>
        <w:rPr>
          <w:sz w:val="24"/>
          <w:szCs w:val="24"/>
        </w:rPr>
        <w:t>5　</w:t>
      </w:r>
      <w:r>
        <w:rPr>
          <w:rFonts w:hint="eastAsia"/>
          <w:sz w:val="24"/>
          <w:szCs w:val="24"/>
        </w:rPr>
        <w:t>便捷高效</w:t>
      </w:r>
      <w:r>
        <w:rPr>
          <w:sz w:val="24"/>
          <w:szCs w:val="24"/>
        </w:rPr>
        <w:tab/>
      </w:r>
      <w:r>
        <w:rPr>
          <w:rFonts w:hint="eastAsia"/>
          <w:sz w:val="24"/>
          <w:szCs w:val="24"/>
        </w:rPr>
        <w:t>13</w:t>
      </w:r>
    </w:p>
    <w:p>
      <w:pPr>
        <w:pStyle w:val="12"/>
        <w:rPr>
          <w:szCs w:val="24"/>
        </w:rPr>
      </w:pPr>
      <w:r>
        <w:rPr>
          <w:szCs w:val="24"/>
        </w:rPr>
        <w:t>5.1　</w:t>
      </w:r>
      <w:r>
        <w:rPr>
          <w:rFonts w:hint="eastAsia"/>
          <w:szCs w:val="24"/>
        </w:rPr>
        <w:t>控制项</w:t>
      </w:r>
      <w:r>
        <w:rPr>
          <w:szCs w:val="24"/>
        </w:rPr>
        <w:tab/>
      </w:r>
      <w:r>
        <w:rPr>
          <w:rFonts w:hint="eastAsia"/>
          <w:szCs w:val="24"/>
        </w:rPr>
        <w:t>13</w:t>
      </w:r>
    </w:p>
    <w:p>
      <w:pPr>
        <w:pStyle w:val="12"/>
        <w:rPr>
          <w:szCs w:val="24"/>
        </w:rPr>
      </w:pPr>
      <w:r>
        <w:rPr>
          <w:szCs w:val="24"/>
        </w:rPr>
        <w:t>5.2　</w:t>
      </w:r>
      <w:r>
        <w:rPr>
          <w:rFonts w:hint="eastAsia"/>
          <w:szCs w:val="24"/>
        </w:rPr>
        <w:t>评分项</w:t>
      </w:r>
      <w:r>
        <w:rPr>
          <w:szCs w:val="24"/>
        </w:rPr>
        <w:tab/>
      </w:r>
      <w:r>
        <w:rPr>
          <w:rFonts w:hint="eastAsia"/>
          <w:szCs w:val="24"/>
        </w:rPr>
        <w:t>14</w:t>
      </w:r>
    </w:p>
    <w:p>
      <w:pPr>
        <w:pStyle w:val="11"/>
        <w:tabs>
          <w:tab w:val="right" w:leader="dot" w:pos="8302"/>
        </w:tabs>
        <w:rPr>
          <w:sz w:val="24"/>
          <w:szCs w:val="24"/>
        </w:rPr>
      </w:pPr>
      <w:r>
        <w:rPr>
          <w:sz w:val="24"/>
          <w:szCs w:val="24"/>
        </w:rPr>
        <w:t>6　</w:t>
      </w:r>
      <w:r>
        <w:rPr>
          <w:rFonts w:hint="eastAsia"/>
          <w:sz w:val="24"/>
          <w:szCs w:val="24"/>
        </w:rPr>
        <w:t>健康舒适</w:t>
      </w:r>
      <w:r>
        <w:rPr>
          <w:sz w:val="24"/>
          <w:szCs w:val="24"/>
        </w:rPr>
        <w:tab/>
      </w:r>
      <w:r>
        <w:rPr>
          <w:rFonts w:hint="eastAsia"/>
          <w:sz w:val="24"/>
          <w:szCs w:val="24"/>
        </w:rPr>
        <w:t>17</w:t>
      </w:r>
    </w:p>
    <w:p>
      <w:pPr>
        <w:pStyle w:val="12"/>
        <w:rPr>
          <w:szCs w:val="24"/>
        </w:rPr>
      </w:pPr>
      <w:r>
        <w:rPr>
          <w:szCs w:val="24"/>
        </w:rPr>
        <w:t>6.1　</w:t>
      </w:r>
      <w:r>
        <w:rPr>
          <w:rFonts w:hint="eastAsia"/>
          <w:szCs w:val="24"/>
        </w:rPr>
        <w:t>控制项</w:t>
      </w:r>
      <w:r>
        <w:rPr>
          <w:szCs w:val="24"/>
        </w:rPr>
        <w:tab/>
      </w:r>
      <w:r>
        <w:rPr>
          <w:rFonts w:hint="eastAsia"/>
          <w:szCs w:val="24"/>
        </w:rPr>
        <w:t>17</w:t>
      </w:r>
    </w:p>
    <w:p>
      <w:pPr>
        <w:pStyle w:val="12"/>
        <w:rPr>
          <w:szCs w:val="24"/>
        </w:rPr>
      </w:pPr>
      <w:r>
        <w:rPr>
          <w:szCs w:val="24"/>
        </w:rPr>
        <w:t>6.2　</w:t>
      </w:r>
      <w:r>
        <w:rPr>
          <w:rFonts w:hint="eastAsia"/>
          <w:szCs w:val="24"/>
        </w:rPr>
        <w:t>评分项</w:t>
      </w:r>
      <w:r>
        <w:rPr>
          <w:szCs w:val="24"/>
        </w:rPr>
        <w:tab/>
      </w:r>
      <w:r>
        <w:rPr>
          <w:rFonts w:hint="eastAsia"/>
          <w:szCs w:val="24"/>
        </w:rPr>
        <w:t>18</w:t>
      </w:r>
    </w:p>
    <w:p>
      <w:pPr>
        <w:pStyle w:val="11"/>
        <w:tabs>
          <w:tab w:val="right" w:leader="dot" w:pos="8302"/>
        </w:tabs>
        <w:rPr>
          <w:sz w:val="24"/>
          <w:szCs w:val="24"/>
        </w:rPr>
      </w:pPr>
      <w:r>
        <w:rPr>
          <w:sz w:val="24"/>
          <w:szCs w:val="24"/>
        </w:rPr>
        <w:t>7　</w:t>
      </w:r>
      <w:r>
        <w:rPr>
          <w:rFonts w:hint="eastAsia"/>
          <w:sz w:val="24"/>
          <w:szCs w:val="24"/>
        </w:rPr>
        <w:t>资源节约</w:t>
      </w:r>
      <w:r>
        <w:rPr>
          <w:sz w:val="24"/>
          <w:szCs w:val="24"/>
        </w:rPr>
        <w:tab/>
      </w:r>
      <w:r>
        <w:rPr>
          <w:rFonts w:hint="eastAsia"/>
          <w:sz w:val="24"/>
          <w:szCs w:val="24"/>
        </w:rPr>
        <w:t>24</w:t>
      </w:r>
    </w:p>
    <w:p>
      <w:pPr>
        <w:pStyle w:val="12"/>
        <w:rPr>
          <w:szCs w:val="24"/>
        </w:rPr>
      </w:pPr>
      <w:r>
        <w:rPr>
          <w:szCs w:val="24"/>
        </w:rPr>
        <w:t>7.1　</w:t>
      </w:r>
      <w:r>
        <w:rPr>
          <w:rFonts w:hint="eastAsia"/>
          <w:szCs w:val="24"/>
        </w:rPr>
        <w:t>控制项</w:t>
      </w:r>
      <w:r>
        <w:rPr>
          <w:szCs w:val="24"/>
        </w:rPr>
        <w:tab/>
      </w:r>
      <w:r>
        <w:rPr>
          <w:rFonts w:hint="eastAsia"/>
          <w:szCs w:val="24"/>
        </w:rPr>
        <w:t>24</w:t>
      </w:r>
    </w:p>
    <w:p>
      <w:pPr>
        <w:pStyle w:val="12"/>
        <w:rPr>
          <w:szCs w:val="24"/>
        </w:rPr>
      </w:pPr>
      <w:r>
        <w:rPr>
          <w:szCs w:val="24"/>
        </w:rPr>
        <w:t>7.2　</w:t>
      </w:r>
      <w:r>
        <w:rPr>
          <w:rFonts w:hint="eastAsia"/>
          <w:szCs w:val="24"/>
        </w:rPr>
        <w:t>评分项</w:t>
      </w:r>
      <w:r>
        <w:rPr>
          <w:szCs w:val="24"/>
        </w:rPr>
        <w:tab/>
      </w:r>
      <w:r>
        <w:rPr>
          <w:rFonts w:hint="eastAsia"/>
          <w:szCs w:val="24"/>
        </w:rPr>
        <w:t>25</w:t>
      </w:r>
    </w:p>
    <w:p>
      <w:pPr>
        <w:pStyle w:val="11"/>
        <w:tabs>
          <w:tab w:val="right" w:leader="dot" w:pos="8302"/>
        </w:tabs>
        <w:rPr>
          <w:sz w:val="24"/>
          <w:szCs w:val="24"/>
        </w:rPr>
      </w:pPr>
      <w:r>
        <w:rPr>
          <w:sz w:val="24"/>
          <w:szCs w:val="24"/>
        </w:rPr>
        <w:t>8　</w:t>
      </w:r>
      <w:r>
        <w:rPr>
          <w:rFonts w:hint="eastAsia"/>
          <w:sz w:val="24"/>
          <w:szCs w:val="24"/>
        </w:rPr>
        <w:t>环境友好</w:t>
      </w:r>
      <w:r>
        <w:rPr>
          <w:sz w:val="24"/>
          <w:szCs w:val="24"/>
        </w:rPr>
        <w:tab/>
      </w:r>
      <w:r>
        <w:rPr>
          <w:rFonts w:hint="eastAsia"/>
          <w:sz w:val="24"/>
          <w:szCs w:val="24"/>
        </w:rPr>
        <w:t>36</w:t>
      </w:r>
    </w:p>
    <w:p>
      <w:pPr>
        <w:pStyle w:val="12"/>
        <w:rPr>
          <w:szCs w:val="24"/>
        </w:rPr>
      </w:pPr>
      <w:r>
        <w:rPr>
          <w:szCs w:val="24"/>
        </w:rPr>
        <w:t>8.1　</w:t>
      </w:r>
      <w:r>
        <w:rPr>
          <w:rFonts w:hint="eastAsia"/>
          <w:szCs w:val="24"/>
        </w:rPr>
        <w:t>控制项</w:t>
      </w:r>
      <w:r>
        <w:rPr>
          <w:szCs w:val="24"/>
        </w:rPr>
        <w:tab/>
      </w:r>
      <w:r>
        <w:rPr>
          <w:rFonts w:hint="eastAsia"/>
          <w:szCs w:val="24"/>
        </w:rPr>
        <w:t>36</w:t>
      </w:r>
    </w:p>
    <w:p>
      <w:pPr>
        <w:pStyle w:val="12"/>
        <w:rPr>
          <w:szCs w:val="24"/>
        </w:rPr>
      </w:pPr>
      <w:r>
        <w:rPr>
          <w:szCs w:val="24"/>
        </w:rPr>
        <w:t>8.2　</w:t>
      </w:r>
      <w:r>
        <w:rPr>
          <w:rFonts w:hint="eastAsia"/>
          <w:szCs w:val="24"/>
        </w:rPr>
        <w:t>评分项</w:t>
      </w:r>
      <w:r>
        <w:rPr>
          <w:szCs w:val="24"/>
        </w:rPr>
        <w:tab/>
      </w:r>
      <w:r>
        <w:rPr>
          <w:rFonts w:hint="eastAsia"/>
          <w:szCs w:val="24"/>
        </w:rPr>
        <w:t>36</w:t>
      </w:r>
    </w:p>
    <w:p>
      <w:pPr>
        <w:pStyle w:val="11"/>
        <w:tabs>
          <w:tab w:val="right" w:leader="dot" w:pos="8302"/>
        </w:tabs>
        <w:rPr>
          <w:sz w:val="24"/>
          <w:szCs w:val="24"/>
        </w:rPr>
      </w:pPr>
      <w:r>
        <w:rPr>
          <w:rFonts w:hint="eastAsia"/>
          <w:sz w:val="24"/>
          <w:szCs w:val="24"/>
        </w:rPr>
        <w:t>9</w:t>
      </w:r>
      <w:r>
        <w:rPr>
          <w:sz w:val="24"/>
          <w:szCs w:val="24"/>
        </w:rPr>
        <w:t>　</w:t>
      </w:r>
      <w:r>
        <w:rPr>
          <w:rFonts w:hint="eastAsia"/>
          <w:sz w:val="24"/>
          <w:szCs w:val="24"/>
        </w:rPr>
        <w:t>运营服务</w:t>
      </w:r>
      <w:r>
        <w:rPr>
          <w:sz w:val="24"/>
          <w:szCs w:val="24"/>
        </w:rPr>
        <w:tab/>
      </w:r>
      <w:r>
        <w:rPr>
          <w:rFonts w:hint="eastAsia"/>
          <w:sz w:val="24"/>
          <w:szCs w:val="24"/>
        </w:rPr>
        <w:t>40</w:t>
      </w:r>
    </w:p>
    <w:p>
      <w:pPr>
        <w:pStyle w:val="12"/>
        <w:rPr>
          <w:szCs w:val="24"/>
        </w:rPr>
      </w:pPr>
      <w:r>
        <w:rPr>
          <w:szCs w:val="24"/>
        </w:rPr>
        <w:t>8.1　</w:t>
      </w:r>
      <w:r>
        <w:rPr>
          <w:rFonts w:hint="eastAsia"/>
          <w:szCs w:val="24"/>
        </w:rPr>
        <w:t>控制项</w:t>
      </w:r>
      <w:r>
        <w:rPr>
          <w:szCs w:val="24"/>
        </w:rPr>
        <w:tab/>
      </w:r>
      <w:r>
        <w:rPr>
          <w:rFonts w:hint="eastAsia"/>
          <w:szCs w:val="24"/>
        </w:rPr>
        <w:t>40</w:t>
      </w:r>
    </w:p>
    <w:p>
      <w:pPr>
        <w:pStyle w:val="12"/>
        <w:rPr>
          <w:szCs w:val="24"/>
        </w:rPr>
      </w:pPr>
      <w:r>
        <w:rPr>
          <w:szCs w:val="24"/>
        </w:rPr>
        <w:t>8.2　</w:t>
      </w:r>
      <w:r>
        <w:rPr>
          <w:rFonts w:hint="eastAsia"/>
          <w:szCs w:val="24"/>
        </w:rPr>
        <w:t>评分项</w:t>
      </w:r>
      <w:r>
        <w:rPr>
          <w:szCs w:val="24"/>
        </w:rPr>
        <w:tab/>
      </w:r>
      <w:r>
        <w:rPr>
          <w:rFonts w:hint="eastAsia"/>
          <w:szCs w:val="24"/>
        </w:rPr>
        <w:t>40</w:t>
      </w:r>
    </w:p>
    <w:p/>
    <w:p>
      <w:pPr>
        <w:pStyle w:val="11"/>
        <w:tabs>
          <w:tab w:val="right" w:leader="dot" w:pos="8302"/>
        </w:tabs>
        <w:rPr>
          <w:sz w:val="24"/>
          <w:szCs w:val="24"/>
        </w:rPr>
      </w:pPr>
      <w:r>
        <w:rPr>
          <w:rFonts w:hint="eastAsia"/>
          <w:sz w:val="24"/>
          <w:szCs w:val="24"/>
        </w:rPr>
        <w:t>10</w:t>
      </w:r>
      <w:r>
        <w:rPr>
          <w:sz w:val="24"/>
          <w:szCs w:val="24"/>
        </w:rPr>
        <w:t>　</w:t>
      </w:r>
      <w:r>
        <w:rPr>
          <w:rFonts w:hint="eastAsia"/>
          <w:sz w:val="24"/>
          <w:szCs w:val="24"/>
        </w:rPr>
        <w:t>提高创新</w:t>
      </w:r>
      <w:r>
        <w:rPr>
          <w:sz w:val="24"/>
          <w:szCs w:val="24"/>
        </w:rPr>
        <w:tab/>
      </w:r>
      <w:r>
        <w:rPr>
          <w:rFonts w:hint="eastAsia"/>
          <w:sz w:val="24"/>
          <w:szCs w:val="24"/>
        </w:rPr>
        <w:t>45</w:t>
      </w:r>
    </w:p>
    <w:p>
      <w:pPr>
        <w:pStyle w:val="12"/>
        <w:rPr>
          <w:szCs w:val="24"/>
        </w:rPr>
      </w:pPr>
      <w:r>
        <w:rPr>
          <w:rFonts w:hint="eastAsia"/>
          <w:szCs w:val="24"/>
        </w:rPr>
        <w:t>10</w:t>
      </w:r>
      <w:r>
        <w:rPr>
          <w:szCs w:val="24"/>
        </w:rPr>
        <w:t>.1　</w:t>
      </w:r>
      <w:r>
        <w:rPr>
          <w:rFonts w:hint="eastAsia"/>
          <w:szCs w:val="24"/>
        </w:rPr>
        <w:t>一般规定</w:t>
      </w:r>
      <w:r>
        <w:rPr>
          <w:szCs w:val="24"/>
        </w:rPr>
        <w:tab/>
      </w:r>
      <w:r>
        <w:rPr>
          <w:szCs w:val="24"/>
        </w:rPr>
        <w:fldChar w:fldCharType="begin"/>
      </w:r>
      <w:r>
        <w:rPr>
          <w:szCs w:val="24"/>
        </w:rPr>
        <w:instrText xml:space="preserve"> PAGEREF _Toc77584239 \h </w:instrText>
      </w:r>
      <w:r>
        <w:rPr>
          <w:szCs w:val="24"/>
        </w:rPr>
        <w:fldChar w:fldCharType="separate"/>
      </w:r>
      <w:r>
        <w:rPr>
          <w:szCs w:val="24"/>
        </w:rPr>
        <w:t>4</w:t>
      </w:r>
      <w:r>
        <w:rPr>
          <w:rFonts w:hint="eastAsia"/>
          <w:szCs w:val="24"/>
        </w:rPr>
        <w:t>5</w:t>
      </w:r>
      <w:r>
        <w:rPr>
          <w:szCs w:val="24"/>
        </w:rPr>
        <w:fldChar w:fldCharType="end"/>
      </w:r>
    </w:p>
    <w:p>
      <w:pPr>
        <w:pStyle w:val="12"/>
        <w:rPr>
          <w:szCs w:val="24"/>
        </w:rPr>
      </w:pPr>
      <w:r>
        <w:rPr>
          <w:rFonts w:hint="eastAsia"/>
          <w:szCs w:val="24"/>
        </w:rPr>
        <w:t>10</w:t>
      </w:r>
      <w:r>
        <w:rPr>
          <w:szCs w:val="24"/>
        </w:rPr>
        <w:t>.2　</w:t>
      </w:r>
      <w:r>
        <w:rPr>
          <w:rFonts w:hint="eastAsia"/>
          <w:szCs w:val="24"/>
        </w:rPr>
        <w:t>加分项</w:t>
      </w:r>
      <w:r>
        <w:rPr>
          <w:szCs w:val="24"/>
        </w:rPr>
        <w:tab/>
      </w:r>
      <w:r>
        <w:rPr>
          <w:szCs w:val="24"/>
        </w:rPr>
        <w:fldChar w:fldCharType="begin"/>
      </w:r>
      <w:r>
        <w:rPr>
          <w:szCs w:val="24"/>
        </w:rPr>
        <w:instrText xml:space="preserve"> PAGEREF _Toc77584240 \h </w:instrText>
      </w:r>
      <w:r>
        <w:rPr>
          <w:szCs w:val="24"/>
        </w:rPr>
        <w:fldChar w:fldCharType="separate"/>
      </w:r>
      <w:r>
        <w:rPr>
          <w:szCs w:val="24"/>
        </w:rPr>
        <w:t>4</w:t>
      </w:r>
      <w:r>
        <w:rPr>
          <w:rFonts w:hint="eastAsia"/>
          <w:szCs w:val="24"/>
        </w:rPr>
        <w:t>5</w:t>
      </w:r>
      <w:r>
        <w:rPr>
          <w:szCs w:val="24"/>
        </w:rPr>
        <w:fldChar w:fldCharType="end"/>
      </w:r>
    </w:p>
    <w:p>
      <w:pPr>
        <w:pStyle w:val="11"/>
        <w:tabs>
          <w:tab w:val="right" w:leader="dot" w:pos="8302"/>
        </w:tabs>
        <w:rPr>
          <w:sz w:val="24"/>
          <w:szCs w:val="24"/>
        </w:rPr>
      </w:pPr>
      <w:r>
        <w:rPr>
          <w:rFonts w:hint="eastAsia"/>
          <w:sz w:val="24"/>
          <w:szCs w:val="24"/>
        </w:rPr>
        <w:t>附录A  能耗指标分级</w:t>
      </w:r>
      <w:r>
        <w:rPr>
          <w:szCs w:val="24"/>
        </w:rPr>
        <w:tab/>
      </w:r>
      <w:r>
        <w:rPr>
          <w:rFonts w:hint="eastAsia"/>
          <w:sz w:val="24"/>
          <w:szCs w:val="24"/>
        </w:rPr>
        <w:t>49</w:t>
      </w:r>
    </w:p>
    <w:p>
      <w:pPr>
        <w:pStyle w:val="11"/>
        <w:tabs>
          <w:tab w:val="right" w:leader="dot" w:pos="8302"/>
        </w:tabs>
        <w:rPr>
          <w:sz w:val="24"/>
          <w:szCs w:val="24"/>
        </w:rPr>
      </w:pPr>
      <w:r>
        <w:rPr>
          <w:rFonts w:hint="eastAsia"/>
          <w:sz w:val="24"/>
          <w:szCs w:val="24"/>
        </w:rPr>
        <w:t>本标准用词说明</w:t>
      </w:r>
      <w:r>
        <w:rPr>
          <w:sz w:val="24"/>
          <w:szCs w:val="24"/>
        </w:rPr>
        <w:tab/>
      </w:r>
      <w:r>
        <w:rPr>
          <w:rFonts w:hint="eastAsia"/>
          <w:sz w:val="24"/>
          <w:szCs w:val="24"/>
        </w:rPr>
        <w:t>52</w:t>
      </w:r>
    </w:p>
    <w:p>
      <w:pPr>
        <w:pStyle w:val="11"/>
        <w:tabs>
          <w:tab w:val="right" w:leader="dot" w:pos="8302"/>
        </w:tabs>
        <w:rPr>
          <w:sz w:val="24"/>
          <w:szCs w:val="24"/>
        </w:rPr>
      </w:pPr>
      <w:r>
        <w:rPr>
          <w:rFonts w:hint="eastAsia"/>
          <w:sz w:val="24"/>
          <w:szCs w:val="24"/>
        </w:rPr>
        <w:t>引用标准名录</w:t>
      </w:r>
      <w:r>
        <w:rPr>
          <w:sz w:val="24"/>
          <w:szCs w:val="24"/>
        </w:rPr>
        <w:tab/>
      </w:r>
      <w:r>
        <w:rPr>
          <w:rFonts w:hint="eastAsia"/>
          <w:sz w:val="24"/>
          <w:szCs w:val="24"/>
        </w:rPr>
        <w:t>53</w:t>
      </w:r>
    </w:p>
    <w:p>
      <w:pPr>
        <w:pStyle w:val="11"/>
        <w:tabs>
          <w:tab w:val="right" w:leader="dot" w:pos="8302"/>
        </w:tabs>
        <w:rPr>
          <w:sz w:val="24"/>
          <w:szCs w:val="24"/>
        </w:rPr>
      </w:pPr>
      <w:r>
        <w:rPr>
          <w:rFonts w:hint="eastAsia"/>
          <w:sz w:val="24"/>
          <w:szCs w:val="24"/>
        </w:rPr>
        <w:t>条</w:t>
      </w:r>
      <w:r>
        <w:rPr>
          <w:sz w:val="24"/>
          <w:szCs w:val="24"/>
        </w:rPr>
        <w:t xml:space="preserve"> </w:t>
      </w:r>
      <w:r>
        <w:rPr>
          <w:rFonts w:hint="eastAsia"/>
          <w:sz w:val="24"/>
          <w:szCs w:val="24"/>
        </w:rPr>
        <w:t>文</w:t>
      </w:r>
      <w:r>
        <w:rPr>
          <w:sz w:val="24"/>
          <w:szCs w:val="24"/>
        </w:rPr>
        <w:t xml:space="preserve"> </w:t>
      </w:r>
      <w:r>
        <w:rPr>
          <w:rFonts w:hint="eastAsia"/>
          <w:sz w:val="24"/>
          <w:szCs w:val="24"/>
        </w:rPr>
        <w:t>说</w:t>
      </w:r>
      <w:r>
        <w:rPr>
          <w:sz w:val="24"/>
          <w:szCs w:val="24"/>
        </w:rPr>
        <w:t xml:space="preserve"> </w:t>
      </w:r>
      <w:r>
        <w:rPr>
          <w:rFonts w:hint="eastAsia"/>
          <w:sz w:val="24"/>
          <w:szCs w:val="24"/>
        </w:rPr>
        <w:t>明</w:t>
      </w:r>
      <w:r>
        <w:rPr>
          <w:sz w:val="24"/>
          <w:szCs w:val="24"/>
        </w:rPr>
        <w:tab/>
      </w:r>
      <w:r>
        <w:rPr>
          <w:rFonts w:hint="eastAsia"/>
          <w:sz w:val="24"/>
          <w:szCs w:val="24"/>
        </w:rPr>
        <w:t>54</w:t>
      </w:r>
    </w:p>
    <w:p>
      <w:pPr>
        <w:rPr>
          <w:rFonts w:ascii="宋体" w:hAnsi="宋体" w:eastAsia="宋体"/>
        </w:rPr>
      </w:pPr>
      <w:r>
        <w:rPr>
          <w:rFonts w:ascii="宋体" w:hAnsi="宋体" w:eastAsia="宋体"/>
          <w:sz w:val="24"/>
          <w:szCs w:val="24"/>
        </w:rPr>
        <w:fldChar w:fldCharType="end"/>
      </w:r>
      <w:r>
        <w:rPr>
          <w:rFonts w:ascii="宋体" w:hAnsi="宋体" w:eastAsia="宋体"/>
        </w:rPr>
        <w:br w:type="page"/>
      </w:r>
    </w:p>
    <w:p>
      <w:pPr>
        <w:rPr>
          <w:rFonts w:ascii="宋体" w:hAnsi="宋体" w:eastAsia="宋体"/>
        </w:rPr>
      </w:pPr>
    </w:p>
    <w:p>
      <w:pPr>
        <w:pStyle w:val="2"/>
        <w:spacing w:before="624" w:after="624"/>
      </w:pPr>
      <w:bookmarkStart w:id="5" w:name="_Toc77584217"/>
      <w:r>
        <w:t>Contents</w:t>
      </w:r>
      <w:bookmarkEnd w:id="5"/>
    </w:p>
    <w:p>
      <w:pPr>
        <w:pStyle w:val="11"/>
        <w:tabs>
          <w:tab w:val="right" w:leader="dot" w:pos="8302"/>
        </w:tabs>
        <w:spacing w:line="400" w:lineRule="exact"/>
        <w:rPr>
          <w:sz w:val="24"/>
          <w:szCs w:val="24"/>
        </w:rPr>
      </w:pPr>
      <w:r>
        <w:rPr>
          <w:rFonts w:ascii="宋体" w:hAnsi="宋体" w:eastAsia="宋体"/>
        </w:rPr>
        <w:fldChar w:fldCharType="begin"/>
      </w:r>
      <w:r>
        <w:rPr>
          <w:rFonts w:hint="eastAsia" w:ascii="宋体" w:hAnsi="宋体" w:eastAsia="宋体"/>
        </w:rPr>
        <w:instrText xml:space="preserve">TOC \o "1-2" \u</w:instrText>
      </w:r>
      <w:r>
        <w:rPr>
          <w:rFonts w:ascii="宋体" w:hAnsi="宋体" w:eastAsia="宋体"/>
        </w:rPr>
        <w:fldChar w:fldCharType="separate"/>
      </w:r>
      <w:r>
        <w:rPr>
          <w:rFonts w:ascii="宋体" w:hAnsi="宋体" w:eastAsia="宋体"/>
          <w:sz w:val="24"/>
          <w:szCs w:val="24"/>
        </w:rPr>
        <w:t>1</w:t>
      </w:r>
      <w:r>
        <w:rPr>
          <w:rFonts w:hint="eastAsia" w:ascii="宋体" w:hAnsi="宋体" w:eastAsia="宋体"/>
          <w:sz w:val="24"/>
          <w:szCs w:val="24"/>
        </w:rPr>
        <w:t>　</w:t>
      </w:r>
      <w:r>
        <w:rPr>
          <w:rFonts w:ascii="宋体" w:hAnsi="宋体" w:eastAsia="宋体" w:cs="宋体"/>
          <w:sz w:val="24"/>
          <w:szCs w:val="24"/>
        </w:rPr>
        <w:t>General Provisions</w:t>
      </w:r>
      <w:r>
        <w:rPr>
          <w:sz w:val="24"/>
          <w:szCs w:val="24"/>
        </w:rPr>
        <w:tab/>
      </w:r>
      <w:r>
        <w:rPr>
          <w:rFonts w:hint="eastAsia"/>
          <w:sz w:val="24"/>
          <w:szCs w:val="24"/>
        </w:rPr>
        <w:t>1</w:t>
      </w:r>
    </w:p>
    <w:p>
      <w:pPr>
        <w:pStyle w:val="11"/>
        <w:tabs>
          <w:tab w:val="right" w:leader="dot" w:pos="8302"/>
        </w:tabs>
        <w:spacing w:line="400" w:lineRule="exact"/>
        <w:rPr>
          <w:sz w:val="24"/>
          <w:szCs w:val="24"/>
        </w:rPr>
      </w:pPr>
      <w:r>
        <w:rPr>
          <w:rFonts w:ascii="宋体" w:hAnsi="宋体" w:eastAsia="宋体"/>
          <w:sz w:val="24"/>
          <w:szCs w:val="24"/>
        </w:rPr>
        <w:t>2</w:t>
      </w:r>
      <w:r>
        <w:rPr>
          <w:rFonts w:hint="eastAsia" w:ascii="宋体" w:hAnsi="宋体" w:eastAsia="宋体"/>
          <w:sz w:val="24"/>
          <w:szCs w:val="24"/>
        </w:rPr>
        <w:t>　</w:t>
      </w:r>
      <w:r>
        <w:rPr>
          <w:rFonts w:ascii="宋体" w:hAnsi="宋体" w:eastAsia="宋体" w:cs="宋体"/>
          <w:sz w:val="24"/>
          <w:szCs w:val="24"/>
        </w:rPr>
        <w:t>Terms</w:t>
      </w:r>
      <w:r>
        <w:rPr>
          <w:sz w:val="24"/>
          <w:szCs w:val="24"/>
        </w:rPr>
        <w:tab/>
      </w:r>
      <w:r>
        <w:rPr>
          <w:rFonts w:hint="eastAsia"/>
          <w:sz w:val="24"/>
          <w:szCs w:val="24"/>
        </w:rPr>
        <w:t>2</w:t>
      </w:r>
    </w:p>
    <w:p>
      <w:pPr>
        <w:pStyle w:val="11"/>
        <w:tabs>
          <w:tab w:val="right" w:leader="dot" w:pos="8302"/>
        </w:tabs>
        <w:spacing w:line="400" w:lineRule="exact"/>
        <w:rPr>
          <w:sz w:val="24"/>
          <w:szCs w:val="24"/>
        </w:rPr>
      </w:pPr>
      <w:r>
        <w:rPr>
          <w:sz w:val="24"/>
          <w:szCs w:val="24"/>
        </w:rPr>
        <w:t>3</w:t>
      </w:r>
      <w:r>
        <w:rPr>
          <w:rFonts w:hint="eastAsia"/>
          <w:sz w:val="24"/>
          <w:szCs w:val="24"/>
        </w:rPr>
        <w:t>　</w:t>
      </w:r>
      <w:r>
        <w:rPr>
          <w:rFonts w:ascii="宋体" w:hAnsi="宋体" w:eastAsia="宋体" w:cs="宋体"/>
          <w:sz w:val="24"/>
          <w:szCs w:val="24"/>
        </w:rPr>
        <w:t>Basic Requirements</w:t>
      </w:r>
      <w:r>
        <w:rPr>
          <w:sz w:val="24"/>
          <w:szCs w:val="24"/>
        </w:rPr>
        <w:tab/>
      </w:r>
      <w:r>
        <w:rPr>
          <w:rFonts w:hint="eastAsia"/>
          <w:sz w:val="24"/>
          <w:szCs w:val="24"/>
        </w:rPr>
        <w:t>3</w:t>
      </w:r>
    </w:p>
    <w:p>
      <w:pPr>
        <w:pStyle w:val="12"/>
        <w:spacing w:line="400" w:lineRule="exact"/>
        <w:ind w:left="0" w:leftChars="0" w:firstLine="240" w:firstLineChars="100"/>
        <w:rPr>
          <w:szCs w:val="24"/>
        </w:rPr>
      </w:pPr>
      <w:r>
        <w:rPr>
          <w:rFonts w:ascii="宋体" w:hAnsi="宋体" w:eastAsia="宋体"/>
          <w:szCs w:val="24"/>
        </w:rPr>
        <w:t>3.1</w:t>
      </w:r>
      <w:r>
        <w:rPr>
          <w:rFonts w:hint="eastAsia" w:ascii="宋体" w:hAnsi="宋体" w:eastAsia="宋体"/>
          <w:szCs w:val="24"/>
        </w:rPr>
        <w:t xml:space="preserve">  </w:t>
      </w:r>
      <w:r>
        <w:rPr>
          <w:rFonts w:ascii="宋体" w:hAnsi="宋体" w:eastAsia="宋体"/>
          <w:szCs w:val="24"/>
        </w:rPr>
        <w:t>General Requirements</w:t>
      </w:r>
      <w:r>
        <w:rPr>
          <w:szCs w:val="24"/>
        </w:rPr>
        <w:tab/>
      </w:r>
      <w:r>
        <w:rPr>
          <w:rFonts w:hint="eastAsia"/>
          <w:szCs w:val="24"/>
        </w:rPr>
        <w:t>3</w:t>
      </w:r>
    </w:p>
    <w:p>
      <w:pPr>
        <w:pStyle w:val="12"/>
        <w:spacing w:line="400" w:lineRule="exact"/>
        <w:ind w:left="0" w:leftChars="0" w:firstLine="240" w:firstLineChars="100"/>
        <w:rPr>
          <w:szCs w:val="24"/>
        </w:rPr>
      </w:pPr>
      <w:r>
        <w:rPr>
          <w:rFonts w:ascii="宋体" w:hAnsi="宋体" w:eastAsia="宋体"/>
          <w:szCs w:val="24"/>
        </w:rPr>
        <w:t>3.2</w:t>
      </w:r>
      <w:r>
        <w:rPr>
          <w:rFonts w:hint="eastAsia" w:ascii="宋体" w:hAnsi="宋体" w:eastAsia="宋体"/>
          <w:szCs w:val="24"/>
        </w:rPr>
        <w:t xml:space="preserve">  A</w:t>
      </w:r>
      <w:r>
        <w:rPr>
          <w:rFonts w:ascii="宋体" w:hAnsi="宋体" w:eastAsia="宋体"/>
          <w:szCs w:val="24"/>
        </w:rPr>
        <w:t>ssessment and Rating</w:t>
      </w:r>
      <w:r>
        <w:rPr>
          <w:szCs w:val="24"/>
        </w:rPr>
        <w:tab/>
      </w:r>
      <w:r>
        <w:rPr>
          <w:rFonts w:hint="eastAsia"/>
          <w:szCs w:val="24"/>
        </w:rPr>
        <w:t>3</w:t>
      </w:r>
    </w:p>
    <w:p>
      <w:pPr>
        <w:pStyle w:val="11"/>
        <w:tabs>
          <w:tab w:val="right" w:leader="dot" w:pos="8302"/>
        </w:tabs>
        <w:spacing w:line="400" w:lineRule="exact"/>
        <w:rPr>
          <w:sz w:val="24"/>
          <w:szCs w:val="24"/>
        </w:rPr>
      </w:pPr>
      <w:r>
        <w:rPr>
          <w:rFonts w:ascii="宋体" w:hAnsi="宋体" w:eastAsia="宋体"/>
          <w:sz w:val="24"/>
          <w:szCs w:val="24"/>
        </w:rPr>
        <w:t>4</w:t>
      </w:r>
      <w:r>
        <w:rPr>
          <w:rFonts w:hint="eastAsia" w:ascii="宋体" w:hAnsi="宋体" w:eastAsia="宋体"/>
          <w:sz w:val="24"/>
          <w:szCs w:val="24"/>
        </w:rPr>
        <w:t xml:space="preserve">  </w:t>
      </w:r>
      <w:r>
        <w:rPr>
          <w:rFonts w:ascii="宋体" w:hAnsi="宋体" w:eastAsia="宋体"/>
          <w:sz w:val="24"/>
          <w:szCs w:val="24"/>
        </w:rPr>
        <w:t>Safety and Durability</w:t>
      </w:r>
      <w:r>
        <w:rPr>
          <w:sz w:val="24"/>
          <w:szCs w:val="24"/>
        </w:rPr>
        <w:tab/>
      </w:r>
      <w:r>
        <w:rPr>
          <w:rFonts w:hint="eastAsia"/>
          <w:sz w:val="24"/>
          <w:szCs w:val="24"/>
        </w:rPr>
        <w:t>5</w:t>
      </w:r>
    </w:p>
    <w:p>
      <w:pPr>
        <w:pStyle w:val="12"/>
        <w:spacing w:line="400" w:lineRule="exact"/>
        <w:ind w:left="0" w:leftChars="0" w:firstLine="240" w:firstLineChars="100"/>
        <w:rPr>
          <w:szCs w:val="24"/>
        </w:rPr>
      </w:pPr>
      <w:r>
        <w:rPr>
          <w:rFonts w:ascii="宋体" w:hAnsi="宋体" w:eastAsia="宋体"/>
          <w:szCs w:val="24"/>
        </w:rPr>
        <w:t>4.1</w:t>
      </w:r>
      <w:r>
        <w:rPr>
          <w:rFonts w:hint="eastAsia" w:ascii="宋体" w:hAnsi="宋体" w:eastAsia="宋体"/>
          <w:szCs w:val="24"/>
        </w:rPr>
        <w:t xml:space="preserve">  </w:t>
      </w:r>
      <w:r>
        <w:rPr>
          <w:rFonts w:ascii="宋体" w:hAnsi="宋体" w:eastAsia="宋体"/>
          <w:szCs w:val="24"/>
        </w:rPr>
        <w:t>Prerequisite Items</w:t>
      </w:r>
      <w:r>
        <w:rPr>
          <w:szCs w:val="24"/>
        </w:rPr>
        <w:tab/>
      </w:r>
      <w:r>
        <w:rPr>
          <w:rFonts w:hint="eastAsia"/>
          <w:szCs w:val="24"/>
        </w:rPr>
        <w:t>5</w:t>
      </w:r>
    </w:p>
    <w:p>
      <w:pPr>
        <w:pStyle w:val="12"/>
        <w:spacing w:line="400" w:lineRule="exact"/>
        <w:ind w:left="0" w:leftChars="0" w:firstLine="240" w:firstLineChars="100"/>
        <w:rPr>
          <w:szCs w:val="24"/>
        </w:rPr>
      </w:pPr>
      <w:r>
        <w:rPr>
          <w:rFonts w:ascii="宋体" w:hAnsi="宋体" w:eastAsia="宋体"/>
          <w:szCs w:val="24"/>
        </w:rPr>
        <w:t xml:space="preserve">4.2 </w:t>
      </w:r>
      <w:r>
        <w:rPr>
          <w:rFonts w:hint="eastAsia" w:ascii="宋体" w:hAnsi="宋体" w:eastAsia="宋体"/>
          <w:szCs w:val="24"/>
        </w:rPr>
        <w:t xml:space="preserve"> </w:t>
      </w:r>
      <w:r>
        <w:rPr>
          <w:rFonts w:ascii="宋体" w:hAnsi="宋体" w:eastAsia="宋体"/>
          <w:szCs w:val="24"/>
        </w:rPr>
        <w:t>Scoring Items</w:t>
      </w:r>
      <w:r>
        <w:rPr>
          <w:szCs w:val="24"/>
        </w:rPr>
        <w:tab/>
      </w:r>
      <w:r>
        <w:rPr>
          <w:rFonts w:hint="eastAsia"/>
          <w:szCs w:val="24"/>
        </w:rPr>
        <w:t>7</w:t>
      </w:r>
    </w:p>
    <w:p>
      <w:pPr>
        <w:pStyle w:val="11"/>
        <w:tabs>
          <w:tab w:val="right" w:leader="dot" w:pos="8302"/>
        </w:tabs>
        <w:spacing w:line="400" w:lineRule="exact"/>
        <w:rPr>
          <w:sz w:val="24"/>
          <w:szCs w:val="24"/>
        </w:rPr>
      </w:pPr>
      <w:r>
        <w:rPr>
          <w:rFonts w:ascii="宋体" w:hAnsi="宋体" w:eastAsia="宋体"/>
          <w:sz w:val="24"/>
          <w:szCs w:val="24"/>
        </w:rPr>
        <w:t>5</w:t>
      </w:r>
      <w:r>
        <w:rPr>
          <w:rFonts w:hint="eastAsia" w:ascii="宋体" w:hAnsi="宋体" w:eastAsia="宋体"/>
          <w:sz w:val="24"/>
          <w:szCs w:val="24"/>
        </w:rPr>
        <w:t xml:space="preserve">  </w:t>
      </w:r>
      <w:r>
        <w:rPr>
          <w:rFonts w:ascii="宋体" w:hAnsi="宋体" w:eastAsia="宋体"/>
          <w:sz w:val="24"/>
          <w:szCs w:val="24"/>
        </w:rPr>
        <w:t>Convenience</w:t>
      </w:r>
      <w:r>
        <w:rPr>
          <w:rFonts w:hint="eastAsia" w:ascii="宋体" w:hAnsi="宋体" w:eastAsia="宋体"/>
          <w:sz w:val="24"/>
          <w:szCs w:val="24"/>
        </w:rPr>
        <w:t>a</w:t>
      </w:r>
      <w:r>
        <w:rPr>
          <w:rFonts w:ascii="宋体" w:hAnsi="宋体" w:eastAsia="宋体"/>
          <w:sz w:val="24"/>
          <w:szCs w:val="24"/>
        </w:rPr>
        <w:t xml:space="preserve">nd </w:t>
      </w:r>
      <w:r>
        <w:rPr>
          <w:rFonts w:hint="eastAsia" w:ascii="宋体" w:hAnsi="宋体" w:eastAsia="宋体"/>
          <w:sz w:val="24"/>
          <w:szCs w:val="24"/>
        </w:rPr>
        <w:t xml:space="preserve">and High </w:t>
      </w:r>
      <w:r>
        <w:rPr>
          <w:rFonts w:ascii="宋体" w:hAnsi="宋体" w:eastAsia="宋体"/>
          <w:sz w:val="24"/>
          <w:szCs w:val="24"/>
        </w:rPr>
        <w:t>Efficient</w:t>
      </w:r>
      <w:r>
        <w:rPr>
          <w:sz w:val="24"/>
          <w:szCs w:val="24"/>
        </w:rPr>
        <w:tab/>
      </w:r>
      <w:r>
        <w:rPr>
          <w:rFonts w:hint="eastAsia"/>
          <w:sz w:val="24"/>
          <w:szCs w:val="24"/>
        </w:rPr>
        <w:t>13</w:t>
      </w:r>
    </w:p>
    <w:p>
      <w:pPr>
        <w:pStyle w:val="12"/>
        <w:spacing w:line="400" w:lineRule="exact"/>
        <w:ind w:left="0" w:leftChars="0" w:firstLine="240" w:firstLineChars="100"/>
        <w:rPr>
          <w:szCs w:val="24"/>
        </w:rPr>
      </w:pPr>
      <w:r>
        <w:rPr>
          <w:rFonts w:ascii="宋体" w:hAnsi="宋体" w:eastAsia="宋体"/>
          <w:szCs w:val="24"/>
        </w:rPr>
        <w:t>5.1</w:t>
      </w:r>
      <w:r>
        <w:rPr>
          <w:rFonts w:hint="eastAsia" w:ascii="宋体" w:hAnsi="宋体" w:eastAsia="宋体"/>
          <w:szCs w:val="24"/>
        </w:rPr>
        <w:t xml:space="preserve">  </w:t>
      </w:r>
      <w:r>
        <w:rPr>
          <w:rFonts w:ascii="宋体" w:hAnsi="宋体" w:eastAsia="宋体"/>
          <w:szCs w:val="24"/>
        </w:rPr>
        <w:t>Prerequisite Items</w:t>
      </w:r>
      <w:r>
        <w:rPr>
          <w:szCs w:val="24"/>
        </w:rPr>
        <w:tab/>
      </w:r>
      <w:r>
        <w:rPr>
          <w:rFonts w:hint="eastAsia"/>
          <w:szCs w:val="24"/>
        </w:rPr>
        <w:t>13</w:t>
      </w:r>
    </w:p>
    <w:p>
      <w:pPr>
        <w:pStyle w:val="12"/>
        <w:spacing w:line="400" w:lineRule="exact"/>
        <w:ind w:left="0" w:leftChars="0" w:firstLine="240" w:firstLineChars="100"/>
        <w:rPr>
          <w:szCs w:val="24"/>
        </w:rPr>
      </w:pPr>
      <w:r>
        <w:rPr>
          <w:rFonts w:ascii="宋体" w:hAnsi="宋体" w:eastAsia="宋体"/>
          <w:szCs w:val="24"/>
        </w:rPr>
        <w:t>5.2</w:t>
      </w:r>
      <w:r>
        <w:rPr>
          <w:rFonts w:hint="eastAsia" w:ascii="宋体" w:hAnsi="宋体" w:eastAsia="宋体"/>
          <w:szCs w:val="24"/>
        </w:rPr>
        <w:t xml:space="preserve">  </w:t>
      </w:r>
      <w:r>
        <w:rPr>
          <w:rFonts w:ascii="宋体" w:hAnsi="宋体" w:eastAsia="宋体"/>
          <w:szCs w:val="24"/>
        </w:rPr>
        <w:t>Scoring Items</w:t>
      </w:r>
      <w:r>
        <w:rPr>
          <w:szCs w:val="24"/>
        </w:rPr>
        <w:tab/>
      </w:r>
      <w:r>
        <w:rPr>
          <w:rFonts w:hint="eastAsia"/>
          <w:szCs w:val="24"/>
        </w:rPr>
        <w:t>14</w:t>
      </w:r>
    </w:p>
    <w:p>
      <w:pPr>
        <w:pStyle w:val="11"/>
        <w:tabs>
          <w:tab w:val="right" w:leader="dot" w:pos="8302"/>
        </w:tabs>
        <w:spacing w:line="400" w:lineRule="exact"/>
        <w:rPr>
          <w:sz w:val="24"/>
          <w:szCs w:val="24"/>
        </w:rPr>
      </w:pPr>
      <w:r>
        <w:rPr>
          <w:rFonts w:ascii="宋体" w:hAnsi="宋体" w:eastAsia="宋体"/>
          <w:sz w:val="24"/>
          <w:szCs w:val="24"/>
        </w:rPr>
        <w:t>6</w:t>
      </w:r>
      <w:r>
        <w:rPr>
          <w:rFonts w:hint="eastAsia" w:ascii="宋体" w:hAnsi="宋体" w:eastAsia="宋体"/>
          <w:sz w:val="24"/>
          <w:szCs w:val="24"/>
        </w:rPr>
        <w:t xml:space="preserve">  H</w:t>
      </w:r>
      <w:r>
        <w:rPr>
          <w:rFonts w:ascii="宋体" w:hAnsi="宋体" w:eastAsia="宋体"/>
          <w:sz w:val="24"/>
          <w:szCs w:val="24"/>
        </w:rPr>
        <w:t xml:space="preserve">ealth and </w:t>
      </w:r>
      <w:r>
        <w:rPr>
          <w:rFonts w:hint="eastAsia" w:ascii="宋体" w:hAnsi="宋体" w:eastAsia="宋体"/>
          <w:sz w:val="24"/>
          <w:szCs w:val="24"/>
        </w:rPr>
        <w:t>C</w:t>
      </w:r>
      <w:r>
        <w:rPr>
          <w:rFonts w:ascii="宋体" w:hAnsi="宋体" w:eastAsia="宋体"/>
          <w:sz w:val="24"/>
          <w:szCs w:val="24"/>
        </w:rPr>
        <w:t>omfort</w:t>
      </w:r>
      <w:r>
        <w:rPr>
          <w:sz w:val="24"/>
          <w:szCs w:val="24"/>
        </w:rPr>
        <w:tab/>
      </w:r>
      <w:r>
        <w:rPr>
          <w:rFonts w:hint="eastAsia"/>
          <w:sz w:val="24"/>
          <w:szCs w:val="24"/>
        </w:rPr>
        <w:t>17</w:t>
      </w:r>
    </w:p>
    <w:p>
      <w:pPr>
        <w:pStyle w:val="12"/>
        <w:spacing w:line="400" w:lineRule="exact"/>
        <w:ind w:left="0" w:leftChars="0" w:firstLine="240" w:firstLineChars="100"/>
        <w:rPr>
          <w:szCs w:val="24"/>
        </w:rPr>
      </w:pPr>
      <w:r>
        <w:rPr>
          <w:rFonts w:ascii="宋体" w:hAnsi="宋体" w:eastAsia="宋体"/>
          <w:szCs w:val="24"/>
        </w:rPr>
        <w:t>6.1</w:t>
      </w:r>
      <w:r>
        <w:rPr>
          <w:rFonts w:hint="eastAsia" w:ascii="宋体" w:hAnsi="宋体" w:eastAsia="宋体"/>
          <w:szCs w:val="24"/>
        </w:rPr>
        <w:t xml:space="preserve">  </w:t>
      </w:r>
      <w:r>
        <w:rPr>
          <w:rFonts w:ascii="宋体" w:hAnsi="宋体" w:eastAsia="宋体"/>
          <w:szCs w:val="24"/>
        </w:rPr>
        <w:t>Prerequisite Items</w:t>
      </w:r>
      <w:r>
        <w:rPr>
          <w:szCs w:val="24"/>
        </w:rPr>
        <w:tab/>
      </w:r>
      <w:r>
        <w:rPr>
          <w:rFonts w:hint="eastAsia"/>
          <w:szCs w:val="24"/>
        </w:rPr>
        <w:t>17</w:t>
      </w:r>
    </w:p>
    <w:p>
      <w:pPr>
        <w:pStyle w:val="12"/>
        <w:spacing w:line="400" w:lineRule="exact"/>
        <w:ind w:left="0" w:leftChars="0" w:firstLine="240" w:firstLineChars="100"/>
        <w:rPr>
          <w:szCs w:val="24"/>
        </w:rPr>
      </w:pPr>
      <w:r>
        <w:rPr>
          <w:rFonts w:ascii="宋体" w:hAnsi="宋体" w:eastAsia="宋体"/>
          <w:szCs w:val="24"/>
        </w:rPr>
        <w:t>6.2</w:t>
      </w:r>
      <w:r>
        <w:rPr>
          <w:rFonts w:hint="eastAsia" w:ascii="宋体" w:hAnsi="宋体" w:eastAsia="宋体"/>
          <w:szCs w:val="24"/>
        </w:rPr>
        <w:t xml:space="preserve">  </w:t>
      </w:r>
      <w:r>
        <w:rPr>
          <w:rFonts w:ascii="宋体" w:hAnsi="宋体" w:eastAsia="宋体"/>
          <w:szCs w:val="24"/>
        </w:rPr>
        <w:t>Scoring Items</w:t>
      </w:r>
      <w:r>
        <w:rPr>
          <w:szCs w:val="24"/>
        </w:rPr>
        <w:tab/>
      </w:r>
      <w:r>
        <w:rPr>
          <w:rFonts w:hint="eastAsia"/>
          <w:szCs w:val="24"/>
        </w:rPr>
        <w:t>18</w:t>
      </w:r>
    </w:p>
    <w:p>
      <w:pPr>
        <w:pStyle w:val="11"/>
        <w:tabs>
          <w:tab w:val="right" w:leader="dot" w:pos="8302"/>
        </w:tabs>
        <w:spacing w:line="400" w:lineRule="exact"/>
        <w:rPr>
          <w:sz w:val="24"/>
          <w:szCs w:val="24"/>
        </w:rPr>
      </w:pPr>
      <w:r>
        <w:rPr>
          <w:rFonts w:ascii="宋体" w:hAnsi="宋体" w:eastAsia="宋体"/>
          <w:sz w:val="24"/>
          <w:szCs w:val="24"/>
        </w:rPr>
        <w:t>7</w:t>
      </w:r>
      <w:r>
        <w:rPr>
          <w:rFonts w:hint="eastAsia" w:ascii="宋体" w:hAnsi="宋体" w:eastAsia="宋体"/>
          <w:sz w:val="24"/>
          <w:szCs w:val="24"/>
        </w:rPr>
        <w:t xml:space="preserve">  R</w:t>
      </w:r>
      <w:r>
        <w:rPr>
          <w:rFonts w:ascii="宋体" w:hAnsi="宋体" w:eastAsia="宋体"/>
          <w:sz w:val="24"/>
          <w:szCs w:val="24"/>
        </w:rPr>
        <w:t>esources and Saving</w:t>
      </w:r>
      <w:r>
        <w:rPr>
          <w:sz w:val="24"/>
          <w:szCs w:val="24"/>
        </w:rPr>
        <w:tab/>
      </w:r>
      <w:r>
        <w:rPr>
          <w:rFonts w:hint="eastAsia"/>
          <w:sz w:val="24"/>
          <w:szCs w:val="24"/>
        </w:rPr>
        <w:t>24</w:t>
      </w:r>
    </w:p>
    <w:p>
      <w:pPr>
        <w:pStyle w:val="12"/>
        <w:spacing w:line="400" w:lineRule="exact"/>
        <w:ind w:left="0" w:leftChars="0" w:firstLine="240" w:firstLineChars="100"/>
        <w:rPr>
          <w:szCs w:val="24"/>
        </w:rPr>
      </w:pPr>
      <w:r>
        <w:rPr>
          <w:rFonts w:ascii="宋体" w:hAnsi="宋体" w:eastAsia="宋体"/>
          <w:szCs w:val="24"/>
        </w:rPr>
        <w:t>7.1</w:t>
      </w:r>
      <w:r>
        <w:rPr>
          <w:rFonts w:hint="eastAsia" w:ascii="宋体" w:hAnsi="宋体" w:eastAsia="宋体"/>
          <w:szCs w:val="24"/>
        </w:rPr>
        <w:t xml:space="preserve">  </w:t>
      </w:r>
      <w:r>
        <w:rPr>
          <w:rFonts w:ascii="宋体" w:hAnsi="宋体" w:eastAsia="宋体"/>
          <w:szCs w:val="24"/>
        </w:rPr>
        <w:t>Prerequisite Items</w:t>
      </w:r>
      <w:r>
        <w:rPr>
          <w:szCs w:val="24"/>
        </w:rPr>
        <w:tab/>
      </w:r>
      <w:r>
        <w:rPr>
          <w:rFonts w:hint="eastAsia"/>
          <w:szCs w:val="24"/>
        </w:rPr>
        <w:t>24</w:t>
      </w:r>
    </w:p>
    <w:p>
      <w:pPr>
        <w:pStyle w:val="12"/>
        <w:spacing w:line="400" w:lineRule="exact"/>
        <w:ind w:left="0" w:leftChars="0" w:firstLine="240" w:firstLineChars="100"/>
        <w:rPr>
          <w:szCs w:val="24"/>
        </w:rPr>
      </w:pPr>
      <w:r>
        <w:rPr>
          <w:rFonts w:ascii="宋体" w:hAnsi="宋体" w:eastAsia="宋体"/>
          <w:szCs w:val="24"/>
        </w:rPr>
        <w:t>7.2</w:t>
      </w:r>
      <w:r>
        <w:rPr>
          <w:rFonts w:hint="eastAsia" w:ascii="宋体" w:hAnsi="宋体" w:eastAsia="宋体"/>
          <w:szCs w:val="24"/>
        </w:rPr>
        <w:t xml:space="preserve">  </w:t>
      </w:r>
      <w:r>
        <w:rPr>
          <w:rFonts w:ascii="宋体" w:hAnsi="宋体" w:eastAsia="宋体"/>
          <w:szCs w:val="24"/>
        </w:rPr>
        <w:t>Scoring Items</w:t>
      </w:r>
      <w:r>
        <w:rPr>
          <w:szCs w:val="24"/>
        </w:rPr>
        <w:tab/>
      </w:r>
      <w:r>
        <w:rPr>
          <w:rFonts w:hint="eastAsia"/>
          <w:szCs w:val="24"/>
        </w:rPr>
        <w:t>25</w:t>
      </w:r>
    </w:p>
    <w:p>
      <w:pPr>
        <w:pStyle w:val="11"/>
        <w:tabs>
          <w:tab w:val="right" w:leader="dot" w:pos="8302"/>
        </w:tabs>
        <w:spacing w:line="400" w:lineRule="exact"/>
        <w:rPr>
          <w:sz w:val="24"/>
          <w:szCs w:val="24"/>
        </w:rPr>
      </w:pPr>
      <w:r>
        <w:rPr>
          <w:rFonts w:hint="eastAsia" w:ascii="宋体" w:hAnsi="宋体" w:eastAsia="宋体"/>
          <w:sz w:val="24"/>
          <w:szCs w:val="24"/>
        </w:rPr>
        <w:t xml:space="preserve">8  </w:t>
      </w:r>
      <w:r>
        <w:rPr>
          <w:rFonts w:ascii="宋体" w:hAnsi="宋体" w:eastAsia="宋体"/>
          <w:sz w:val="24"/>
          <w:szCs w:val="24"/>
        </w:rPr>
        <w:t xml:space="preserve">Environment </w:t>
      </w:r>
      <w:r>
        <w:rPr>
          <w:rFonts w:hint="eastAsia" w:ascii="宋体" w:hAnsi="宋体" w:eastAsia="宋体"/>
          <w:sz w:val="24"/>
          <w:szCs w:val="24"/>
        </w:rPr>
        <w:t>F</w:t>
      </w:r>
      <w:r>
        <w:rPr>
          <w:rFonts w:ascii="宋体" w:hAnsi="宋体" w:eastAsia="宋体"/>
          <w:sz w:val="24"/>
          <w:szCs w:val="24"/>
        </w:rPr>
        <w:t>riendly</w:t>
      </w:r>
      <w:r>
        <w:rPr>
          <w:sz w:val="24"/>
          <w:szCs w:val="24"/>
        </w:rPr>
        <w:tab/>
      </w:r>
      <w:r>
        <w:rPr>
          <w:rFonts w:hint="eastAsia"/>
          <w:sz w:val="24"/>
          <w:szCs w:val="24"/>
        </w:rPr>
        <w:t>36</w:t>
      </w:r>
    </w:p>
    <w:p>
      <w:pPr>
        <w:pStyle w:val="12"/>
        <w:spacing w:line="400" w:lineRule="exact"/>
        <w:ind w:left="0" w:leftChars="0" w:firstLine="240" w:firstLineChars="100"/>
        <w:rPr>
          <w:szCs w:val="24"/>
        </w:rPr>
      </w:pPr>
      <w:r>
        <w:rPr>
          <w:rFonts w:hint="eastAsia" w:ascii="宋体" w:hAnsi="宋体" w:eastAsia="宋体"/>
          <w:szCs w:val="24"/>
        </w:rPr>
        <w:t>8</w:t>
      </w:r>
      <w:r>
        <w:rPr>
          <w:rFonts w:ascii="宋体" w:hAnsi="宋体" w:eastAsia="宋体"/>
          <w:szCs w:val="24"/>
        </w:rPr>
        <w:t>.1</w:t>
      </w:r>
      <w:r>
        <w:rPr>
          <w:rFonts w:hint="eastAsia" w:ascii="宋体" w:hAnsi="宋体" w:eastAsia="宋体"/>
          <w:szCs w:val="24"/>
        </w:rPr>
        <w:t xml:space="preserve">  </w:t>
      </w:r>
      <w:r>
        <w:rPr>
          <w:rFonts w:ascii="宋体" w:hAnsi="宋体" w:eastAsia="宋体"/>
          <w:szCs w:val="24"/>
        </w:rPr>
        <w:t>Prerequisite Items</w:t>
      </w:r>
      <w:r>
        <w:rPr>
          <w:szCs w:val="24"/>
        </w:rPr>
        <w:tab/>
      </w:r>
      <w:r>
        <w:rPr>
          <w:rFonts w:hint="eastAsia"/>
          <w:szCs w:val="24"/>
        </w:rPr>
        <w:t>36</w:t>
      </w:r>
    </w:p>
    <w:p>
      <w:pPr>
        <w:pStyle w:val="12"/>
        <w:spacing w:line="400" w:lineRule="exact"/>
        <w:ind w:left="0" w:leftChars="0" w:firstLine="240" w:firstLineChars="100"/>
        <w:rPr>
          <w:szCs w:val="24"/>
        </w:rPr>
      </w:pPr>
      <w:r>
        <w:rPr>
          <w:rFonts w:hint="eastAsia" w:ascii="宋体" w:hAnsi="宋体" w:eastAsia="宋体"/>
          <w:szCs w:val="24"/>
        </w:rPr>
        <w:t>8</w:t>
      </w:r>
      <w:r>
        <w:rPr>
          <w:rFonts w:ascii="宋体" w:hAnsi="宋体" w:eastAsia="宋体"/>
          <w:szCs w:val="24"/>
        </w:rPr>
        <w:t>.2</w:t>
      </w:r>
      <w:r>
        <w:rPr>
          <w:rFonts w:hint="eastAsia" w:ascii="宋体" w:hAnsi="宋体" w:eastAsia="宋体"/>
          <w:szCs w:val="24"/>
        </w:rPr>
        <w:t xml:space="preserve">  </w:t>
      </w:r>
      <w:r>
        <w:rPr>
          <w:rFonts w:ascii="宋体" w:hAnsi="宋体" w:eastAsia="宋体"/>
          <w:szCs w:val="24"/>
        </w:rPr>
        <w:t>Scoring Items</w:t>
      </w:r>
      <w:r>
        <w:rPr>
          <w:szCs w:val="24"/>
        </w:rPr>
        <w:tab/>
      </w:r>
      <w:r>
        <w:rPr>
          <w:rFonts w:hint="eastAsia"/>
          <w:szCs w:val="24"/>
        </w:rPr>
        <w:t>36</w:t>
      </w:r>
    </w:p>
    <w:p>
      <w:pPr>
        <w:pStyle w:val="11"/>
        <w:tabs>
          <w:tab w:val="right" w:leader="dot" w:pos="8302"/>
        </w:tabs>
        <w:spacing w:line="400" w:lineRule="exact"/>
        <w:rPr>
          <w:sz w:val="24"/>
          <w:szCs w:val="24"/>
        </w:rPr>
      </w:pPr>
      <w:r>
        <w:rPr>
          <w:rFonts w:hint="eastAsia" w:ascii="宋体" w:hAnsi="宋体" w:eastAsia="宋体"/>
          <w:sz w:val="24"/>
          <w:szCs w:val="24"/>
        </w:rPr>
        <w:t xml:space="preserve">9  </w:t>
      </w:r>
      <w:r>
        <w:rPr>
          <w:rFonts w:ascii="宋体" w:hAnsi="宋体" w:eastAsia="宋体"/>
          <w:sz w:val="24"/>
          <w:szCs w:val="24"/>
        </w:rPr>
        <w:t>Operation</w:t>
      </w:r>
      <w:r>
        <w:rPr>
          <w:rFonts w:hint="eastAsia" w:ascii="宋体" w:hAnsi="宋体" w:eastAsia="宋体"/>
          <w:sz w:val="24"/>
          <w:szCs w:val="24"/>
        </w:rPr>
        <w:t xml:space="preserve"> S</w:t>
      </w:r>
      <w:r>
        <w:rPr>
          <w:rFonts w:ascii="宋体" w:hAnsi="宋体" w:eastAsia="宋体"/>
          <w:sz w:val="24"/>
          <w:szCs w:val="24"/>
        </w:rPr>
        <w:t>ervice</w:t>
      </w:r>
      <w:r>
        <w:rPr>
          <w:sz w:val="24"/>
          <w:szCs w:val="24"/>
        </w:rPr>
        <w:tab/>
      </w:r>
      <w:r>
        <w:rPr>
          <w:rFonts w:hint="eastAsia"/>
          <w:sz w:val="24"/>
          <w:szCs w:val="24"/>
        </w:rPr>
        <w:t>40</w:t>
      </w:r>
    </w:p>
    <w:p>
      <w:pPr>
        <w:pStyle w:val="12"/>
        <w:spacing w:line="400" w:lineRule="exact"/>
        <w:ind w:left="0" w:leftChars="0" w:firstLine="240" w:firstLineChars="100"/>
        <w:rPr>
          <w:szCs w:val="24"/>
        </w:rPr>
      </w:pPr>
      <w:r>
        <w:rPr>
          <w:rFonts w:hint="eastAsia" w:ascii="宋体" w:hAnsi="宋体" w:eastAsia="宋体"/>
          <w:szCs w:val="24"/>
        </w:rPr>
        <w:t>9</w:t>
      </w:r>
      <w:r>
        <w:rPr>
          <w:rFonts w:ascii="宋体" w:hAnsi="宋体" w:eastAsia="宋体"/>
          <w:szCs w:val="24"/>
        </w:rPr>
        <w:t>.1</w:t>
      </w:r>
      <w:r>
        <w:rPr>
          <w:rFonts w:hint="eastAsia" w:ascii="宋体" w:hAnsi="宋体" w:eastAsia="宋体"/>
          <w:szCs w:val="24"/>
        </w:rPr>
        <w:t xml:space="preserve">  </w:t>
      </w:r>
      <w:r>
        <w:rPr>
          <w:rFonts w:ascii="宋体" w:hAnsi="宋体" w:eastAsia="宋体"/>
          <w:szCs w:val="24"/>
        </w:rPr>
        <w:t>Prerequisite Items</w:t>
      </w:r>
      <w:r>
        <w:rPr>
          <w:szCs w:val="24"/>
        </w:rPr>
        <w:tab/>
      </w:r>
      <w:r>
        <w:rPr>
          <w:rFonts w:hint="eastAsia"/>
          <w:szCs w:val="24"/>
        </w:rPr>
        <w:t>40</w:t>
      </w:r>
    </w:p>
    <w:p>
      <w:pPr>
        <w:pStyle w:val="12"/>
        <w:spacing w:line="400" w:lineRule="exact"/>
        <w:ind w:left="0" w:leftChars="0" w:firstLine="240" w:firstLineChars="100"/>
        <w:rPr>
          <w:szCs w:val="24"/>
        </w:rPr>
      </w:pPr>
      <w:r>
        <w:rPr>
          <w:rFonts w:hint="eastAsia" w:ascii="宋体" w:hAnsi="宋体" w:eastAsia="宋体"/>
          <w:szCs w:val="24"/>
        </w:rPr>
        <w:t>9</w:t>
      </w:r>
      <w:r>
        <w:rPr>
          <w:rFonts w:ascii="宋体" w:hAnsi="宋体" w:eastAsia="宋体"/>
          <w:szCs w:val="24"/>
        </w:rPr>
        <w:t>.2</w:t>
      </w:r>
      <w:r>
        <w:rPr>
          <w:rFonts w:hint="eastAsia" w:ascii="宋体" w:hAnsi="宋体" w:eastAsia="宋体"/>
          <w:szCs w:val="24"/>
        </w:rPr>
        <w:t xml:space="preserve">  </w:t>
      </w:r>
      <w:r>
        <w:rPr>
          <w:rFonts w:ascii="宋体" w:hAnsi="宋体" w:eastAsia="宋体"/>
          <w:szCs w:val="24"/>
        </w:rPr>
        <w:t>Scoring Items</w:t>
      </w:r>
      <w:r>
        <w:rPr>
          <w:szCs w:val="24"/>
        </w:rPr>
        <w:tab/>
      </w:r>
      <w:r>
        <w:rPr>
          <w:rFonts w:hint="eastAsia"/>
          <w:szCs w:val="24"/>
        </w:rPr>
        <w:t>40</w:t>
      </w:r>
    </w:p>
    <w:p>
      <w:pPr>
        <w:pStyle w:val="11"/>
        <w:tabs>
          <w:tab w:val="right" w:leader="dot" w:pos="8302"/>
        </w:tabs>
        <w:spacing w:line="400" w:lineRule="exact"/>
        <w:rPr>
          <w:sz w:val="24"/>
          <w:szCs w:val="24"/>
        </w:rPr>
      </w:pPr>
      <w:r>
        <w:rPr>
          <w:rFonts w:hint="eastAsia" w:ascii="宋体" w:hAnsi="宋体" w:eastAsia="宋体"/>
          <w:sz w:val="24"/>
          <w:szCs w:val="24"/>
        </w:rPr>
        <w:t xml:space="preserve">10 </w:t>
      </w:r>
      <w:r>
        <w:rPr>
          <w:rFonts w:ascii="宋体" w:hAnsi="宋体" w:eastAsia="宋体"/>
          <w:sz w:val="24"/>
          <w:szCs w:val="24"/>
        </w:rPr>
        <w:t xml:space="preserve"> </w:t>
      </w:r>
      <w:r>
        <w:rPr>
          <w:rFonts w:hint="eastAsia" w:ascii="宋体" w:hAnsi="宋体" w:eastAsia="宋体"/>
          <w:sz w:val="24"/>
          <w:szCs w:val="24"/>
        </w:rPr>
        <w:t>P</w:t>
      </w:r>
      <w:r>
        <w:rPr>
          <w:rFonts w:ascii="宋体" w:hAnsi="宋体" w:eastAsia="宋体"/>
          <w:sz w:val="24"/>
          <w:szCs w:val="24"/>
        </w:rPr>
        <w:t>romotion and Innovation</w:t>
      </w:r>
      <w:r>
        <w:rPr>
          <w:sz w:val="24"/>
          <w:szCs w:val="24"/>
        </w:rPr>
        <w:tab/>
      </w:r>
      <w:r>
        <w:rPr>
          <w:rFonts w:hint="eastAsia"/>
          <w:sz w:val="24"/>
          <w:szCs w:val="24"/>
        </w:rPr>
        <w:t>45</w:t>
      </w:r>
    </w:p>
    <w:p>
      <w:pPr>
        <w:pStyle w:val="12"/>
        <w:spacing w:line="400" w:lineRule="exact"/>
        <w:ind w:left="0" w:leftChars="0" w:firstLine="240" w:firstLineChars="100"/>
        <w:rPr>
          <w:szCs w:val="24"/>
        </w:rPr>
      </w:pPr>
      <w:r>
        <w:rPr>
          <w:rFonts w:hint="eastAsia" w:ascii="宋体" w:hAnsi="宋体" w:eastAsia="宋体"/>
          <w:szCs w:val="24"/>
        </w:rPr>
        <w:t>10</w:t>
      </w:r>
      <w:r>
        <w:rPr>
          <w:rFonts w:ascii="宋体" w:hAnsi="宋体" w:eastAsia="宋体"/>
          <w:szCs w:val="24"/>
        </w:rPr>
        <w:t xml:space="preserve">.1 </w:t>
      </w:r>
      <w:r>
        <w:rPr>
          <w:rFonts w:hint="eastAsia" w:ascii="宋体" w:hAnsi="宋体" w:eastAsia="宋体"/>
          <w:szCs w:val="24"/>
        </w:rPr>
        <w:t xml:space="preserve"> </w:t>
      </w:r>
      <w:r>
        <w:rPr>
          <w:rFonts w:ascii="宋体" w:hAnsi="宋体" w:eastAsia="宋体"/>
          <w:szCs w:val="24"/>
        </w:rPr>
        <w:t>General Requirements</w:t>
      </w:r>
      <w:r>
        <w:rPr>
          <w:szCs w:val="24"/>
        </w:rPr>
        <w:tab/>
      </w:r>
      <w:r>
        <w:rPr>
          <w:rFonts w:hint="eastAsia"/>
          <w:szCs w:val="24"/>
        </w:rPr>
        <w:t>45</w:t>
      </w:r>
    </w:p>
    <w:p>
      <w:pPr>
        <w:pStyle w:val="12"/>
        <w:spacing w:line="400" w:lineRule="exact"/>
        <w:ind w:left="0" w:leftChars="0" w:firstLine="240" w:firstLineChars="100"/>
        <w:rPr>
          <w:szCs w:val="24"/>
        </w:rPr>
      </w:pPr>
      <w:r>
        <w:rPr>
          <w:rFonts w:hint="eastAsia" w:ascii="宋体" w:hAnsi="宋体" w:eastAsia="宋体"/>
          <w:szCs w:val="24"/>
        </w:rPr>
        <w:t>10</w:t>
      </w:r>
      <w:r>
        <w:rPr>
          <w:rFonts w:ascii="宋体" w:hAnsi="宋体" w:eastAsia="宋体"/>
          <w:szCs w:val="24"/>
        </w:rPr>
        <w:t>.2</w:t>
      </w:r>
      <w:r>
        <w:rPr>
          <w:rFonts w:hint="eastAsia" w:ascii="宋体" w:hAnsi="宋体" w:eastAsia="宋体"/>
          <w:szCs w:val="24"/>
        </w:rPr>
        <w:t xml:space="preserve">  </w:t>
      </w:r>
      <w:r>
        <w:rPr>
          <w:rFonts w:ascii="宋体" w:hAnsi="宋体" w:eastAsia="宋体"/>
          <w:szCs w:val="24"/>
        </w:rPr>
        <w:t>Bonus Items</w:t>
      </w:r>
      <w:r>
        <w:rPr>
          <w:szCs w:val="24"/>
        </w:rPr>
        <w:tab/>
      </w:r>
      <w:r>
        <w:rPr>
          <w:rFonts w:hint="eastAsia"/>
          <w:szCs w:val="24"/>
        </w:rPr>
        <w:t>45</w:t>
      </w:r>
    </w:p>
    <w:p>
      <w:pPr>
        <w:pStyle w:val="11"/>
        <w:tabs>
          <w:tab w:val="right" w:leader="dot" w:pos="8302"/>
        </w:tabs>
        <w:spacing w:line="400" w:lineRule="exac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ppendix</w:t>
      </w:r>
      <w:r>
        <w:rPr>
          <w:rFonts w:hint="eastAsia" w:ascii="宋体" w:hAnsi="宋体" w:eastAsia="宋体"/>
          <w:sz w:val="24"/>
          <w:szCs w:val="24"/>
        </w:rPr>
        <w:t xml:space="preserve">  A</w:t>
      </w:r>
      <w:r>
        <w:rPr>
          <w:szCs w:val="24"/>
        </w:rPr>
        <w:tab/>
      </w:r>
      <w:r>
        <w:rPr>
          <w:rFonts w:hint="eastAsia"/>
          <w:sz w:val="24"/>
          <w:szCs w:val="24"/>
        </w:rPr>
        <w:t>49</w:t>
      </w:r>
    </w:p>
    <w:p>
      <w:pPr>
        <w:pStyle w:val="11"/>
        <w:tabs>
          <w:tab w:val="right" w:leader="dot" w:pos="8302"/>
        </w:tabs>
        <w:spacing w:line="400" w:lineRule="exact"/>
        <w:rPr>
          <w:sz w:val="24"/>
          <w:szCs w:val="24"/>
        </w:rPr>
      </w:pPr>
      <w:r>
        <w:rPr>
          <w:rFonts w:ascii="宋体" w:hAnsi="宋体" w:eastAsia="宋体"/>
          <w:sz w:val="24"/>
          <w:szCs w:val="24"/>
        </w:rPr>
        <w:t>Explanation of Wording in This Standard</w:t>
      </w:r>
      <w:r>
        <w:rPr>
          <w:sz w:val="24"/>
          <w:szCs w:val="24"/>
        </w:rPr>
        <w:tab/>
      </w:r>
      <w:r>
        <w:rPr>
          <w:rFonts w:hint="eastAsia"/>
          <w:sz w:val="24"/>
          <w:szCs w:val="24"/>
        </w:rPr>
        <w:t>52</w:t>
      </w:r>
    </w:p>
    <w:p>
      <w:pPr>
        <w:pStyle w:val="11"/>
        <w:tabs>
          <w:tab w:val="right" w:leader="dot" w:pos="8302"/>
        </w:tabs>
        <w:spacing w:line="400" w:lineRule="exact"/>
        <w:rPr>
          <w:sz w:val="24"/>
          <w:szCs w:val="24"/>
        </w:rPr>
      </w:pPr>
      <w:r>
        <w:rPr>
          <w:rFonts w:ascii="宋体" w:hAnsi="宋体" w:eastAsia="宋体"/>
          <w:sz w:val="24"/>
          <w:szCs w:val="24"/>
        </w:rPr>
        <w:t>List of Quoted Standards</w:t>
      </w:r>
      <w:r>
        <w:rPr>
          <w:sz w:val="24"/>
          <w:szCs w:val="24"/>
        </w:rPr>
        <w:tab/>
      </w:r>
      <w:r>
        <w:rPr>
          <w:rFonts w:hint="eastAsia"/>
          <w:sz w:val="24"/>
          <w:szCs w:val="24"/>
        </w:rPr>
        <w:t>53</w:t>
      </w:r>
    </w:p>
    <w:p>
      <w:pPr>
        <w:pStyle w:val="11"/>
        <w:tabs>
          <w:tab w:val="right" w:leader="dot" w:pos="8302"/>
        </w:tabs>
        <w:spacing w:line="400" w:lineRule="exact"/>
        <w:rPr>
          <w:sz w:val="21"/>
          <w:szCs w:val="22"/>
        </w:rPr>
      </w:pPr>
      <w:r>
        <w:rPr>
          <w:rFonts w:ascii="宋体" w:hAnsi="宋体" w:eastAsia="宋体"/>
          <w:sz w:val="24"/>
          <w:szCs w:val="24"/>
        </w:rPr>
        <w:t>Addition:Explanation of Provisions</w:t>
      </w:r>
      <w:r>
        <w:rPr>
          <w:sz w:val="24"/>
          <w:szCs w:val="24"/>
        </w:rPr>
        <w:tab/>
      </w:r>
      <w:r>
        <w:rPr>
          <w:rFonts w:hint="eastAsia"/>
          <w:sz w:val="24"/>
          <w:szCs w:val="24"/>
        </w:rPr>
        <w:t>54</w:t>
      </w:r>
    </w:p>
    <w:p>
      <w:pPr>
        <w:rPr>
          <w:rFonts w:ascii="宋体" w:hAnsi="宋体" w:eastAsia="宋体"/>
        </w:rPr>
        <w:sectPr>
          <w:pgSz w:w="11906" w:h="16838"/>
          <w:pgMar w:top="1440" w:right="1797" w:bottom="1440" w:left="1797" w:header="851" w:footer="992" w:gutter="0"/>
          <w:cols w:space="425" w:num="1"/>
          <w:docGrid w:type="lines" w:linePitch="312" w:charSpace="0"/>
        </w:sectPr>
      </w:pPr>
      <w:r>
        <w:rPr>
          <w:rFonts w:ascii="宋体" w:hAnsi="宋体" w:eastAsia="宋体"/>
        </w:rPr>
        <w:fldChar w:fldCharType="end"/>
      </w:r>
    </w:p>
    <w:p>
      <w:pPr>
        <w:pStyle w:val="2"/>
        <w:spacing w:before="624" w:after="624"/>
      </w:pPr>
      <w:bookmarkStart w:id="6" w:name="_Toc77584218"/>
      <w:bookmarkStart w:id="7" w:name="_Toc60822227"/>
      <w:r>
        <w:t>1</w:t>
      </w:r>
      <w:r>
        <w:rPr>
          <w:rFonts w:hint="eastAsia"/>
        </w:rPr>
        <w:t xml:space="preserve">  </w:t>
      </w:r>
      <w:r>
        <w:rPr>
          <w:rFonts w:hint="eastAsia" w:cs="宋体"/>
        </w:rPr>
        <w:t>总则</w:t>
      </w:r>
      <w:bookmarkEnd w:id="6"/>
      <w:bookmarkEnd w:id="7"/>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1.0.1</w:t>
      </w:r>
      <w:r>
        <w:rPr>
          <w:rFonts w:hint="eastAsia" w:ascii="宋体" w:hAnsi="宋体" w:eastAsia="宋体"/>
          <w:b/>
          <w:bCs/>
          <w:sz w:val="24"/>
          <w:szCs w:val="24"/>
        </w:rPr>
        <w:t xml:space="preserve">  </w:t>
      </w:r>
      <w:r>
        <w:rPr>
          <w:rFonts w:ascii="宋体" w:hAnsi="宋体" w:eastAsia="宋体"/>
          <w:sz w:val="24"/>
          <w:szCs w:val="24"/>
        </w:rPr>
        <w:t>为贯彻落实绿色发展理念，推进城市轨道交通的可持续发展，满足人民日益增长的美好生活需求，规范绿色城市轨道交通的评价管理工作，制定本标准。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1.0.2</w:t>
      </w:r>
      <w:r>
        <w:rPr>
          <w:rFonts w:hint="eastAsia" w:ascii="宋体" w:hAnsi="宋体" w:eastAsia="宋体"/>
          <w:b/>
          <w:bCs/>
          <w:sz w:val="24"/>
          <w:szCs w:val="24"/>
        </w:rPr>
        <w:t xml:space="preserve">  </w:t>
      </w:r>
      <w:r>
        <w:rPr>
          <w:rFonts w:ascii="宋体" w:hAnsi="宋体" w:eastAsia="宋体"/>
          <w:sz w:val="24"/>
          <w:szCs w:val="24"/>
        </w:rPr>
        <w:t>本标准适用于城市轨道交通的新建、改建线路绿色评价。</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1.0.3</w:t>
      </w:r>
      <w:r>
        <w:rPr>
          <w:rFonts w:hint="eastAsia" w:ascii="宋体" w:hAnsi="宋体" w:eastAsia="宋体"/>
          <w:b/>
          <w:bCs/>
          <w:sz w:val="24"/>
          <w:szCs w:val="24"/>
        </w:rPr>
        <w:t xml:space="preserve">  </w:t>
      </w:r>
      <w:r>
        <w:rPr>
          <w:rFonts w:ascii="宋体" w:hAnsi="宋体" w:eastAsia="宋体"/>
          <w:sz w:val="24"/>
          <w:szCs w:val="24"/>
        </w:rPr>
        <w:t>绿色城市轨道交通评价应遵循因地制宜的原则，结合所在区域的资源、环境、经济、文化等特点，对轨道交通的安全耐久、便捷高效、健康舒适、资源节约、环境友好、提高创新进行综合评价。</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1.0.4</w:t>
      </w:r>
      <w:r>
        <w:rPr>
          <w:rFonts w:hint="eastAsia" w:ascii="宋体" w:hAnsi="宋体" w:eastAsia="宋体"/>
          <w:b/>
          <w:bCs/>
          <w:sz w:val="24"/>
          <w:szCs w:val="24"/>
        </w:rPr>
        <w:t xml:space="preserve">  </w:t>
      </w:r>
      <w:r>
        <w:rPr>
          <w:rFonts w:ascii="宋体" w:hAnsi="宋体" w:eastAsia="宋体"/>
          <w:sz w:val="24"/>
          <w:szCs w:val="24"/>
        </w:rPr>
        <w:t>绿色轨道交通的评价除应符合本标准外，尚应符合国家法律法规和现行有关标准的规定。</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jc w:val="right"/>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sectPr>
          <w:footerReference r:id="rId6" w:type="default"/>
          <w:pgSz w:w="11906" w:h="16838"/>
          <w:pgMar w:top="1440" w:right="1797" w:bottom="1440" w:left="1797" w:header="851" w:footer="992" w:gutter="0"/>
          <w:pgNumType w:start="1"/>
          <w:cols w:space="425" w:num="1"/>
          <w:docGrid w:type="lines" w:linePitch="312" w:charSpace="0"/>
        </w:sectPr>
      </w:pPr>
    </w:p>
    <w:p>
      <w:pPr>
        <w:adjustRightInd w:val="0"/>
        <w:snapToGrid w:val="0"/>
        <w:spacing w:line="360" w:lineRule="auto"/>
        <w:jc w:val="left"/>
        <w:rPr>
          <w:rFonts w:ascii="宋体" w:hAnsi="宋体" w:eastAsia="宋体"/>
          <w:sz w:val="24"/>
          <w:szCs w:val="24"/>
        </w:rPr>
      </w:pPr>
    </w:p>
    <w:p>
      <w:pPr>
        <w:pStyle w:val="2"/>
        <w:spacing w:before="624" w:after="624"/>
      </w:pPr>
      <w:bookmarkStart w:id="8" w:name="_Toc60822228"/>
      <w:bookmarkStart w:id="9" w:name="_Toc77584219"/>
      <w:r>
        <w:t>2</w:t>
      </w:r>
      <w:r>
        <w:rPr>
          <w:rFonts w:hint="eastAsia"/>
        </w:rPr>
        <w:t xml:space="preserve">  </w:t>
      </w:r>
      <w:r>
        <w:rPr>
          <w:rFonts w:hint="eastAsia" w:cs="宋体"/>
        </w:rPr>
        <w:t>术语</w:t>
      </w:r>
      <w:bookmarkEnd w:id="8"/>
      <w:bookmarkEnd w:id="9"/>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2.0.1</w:t>
      </w:r>
      <w:r>
        <w:rPr>
          <w:rFonts w:hint="eastAsia" w:ascii="宋体" w:hAnsi="宋体" w:eastAsia="宋体"/>
          <w:b/>
          <w:bCs/>
          <w:sz w:val="24"/>
          <w:szCs w:val="24"/>
        </w:rPr>
        <w:t xml:space="preserve">  </w:t>
      </w:r>
      <w:r>
        <w:rPr>
          <w:rFonts w:ascii="宋体" w:hAnsi="宋体" w:eastAsia="宋体"/>
          <w:sz w:val="24"/>
          <w:szCs w:val="24"/>
        </w:rPr>
        <w:t>绿色城市轨道交通</w:t>
      </w:r>
      <w:r>
        <w:rPr>
          <w:rFonts w:hint="eastAsia" w:ascii="宋体" w:hAnsi="宋体" w:eastAsia="宋体"/>
          <w:sz w:val="24"/>
          <w:szCs w:val="24"/>
        </w:rPr>
        <w:t xml:space="preserve"> </w:t>
      </w:r>
      <w:r>
        <w:rPr>
          <w:rFonts w:ascii="宋体" w:hAnsi="宋体" w:eastAsia="宋体"/>
          <w:sz w:val="24"/>
          <w:szCs w:val="24"/>
          <w:shd w:val="clear" w:color="auto" w:fill="FFFFFF"/>
        </w:rPr>
        <w:t xml:space="preserve">green </w:t>
      </w:r>
      <w:r>
        <w:rPr>
          <w:rFonts w:hint="eastAsia" w:ascii="宋体" w:hAnsi="宋体" w:eastAsia="宋体"/>
          <w:sz w:val="24"/>
          <w:szCs w:val="24"/>
          <w:shd w:val="clear" w:color="auto" w:fill="FFFFFF"/>
        </w:rPr>
        <w:t xml:space="preserve">urban </w:t>
      </w:r>
      <w:r>
        <w:rPr>
          <w:rFonts w:ascii="宋体" w:hAnsi="宋体" w:eastAsia="宋体"/>
          <w:sz w:val="24"/>
          <w:szCs w:val="24"/>
          <w:shd w:val="clear" w:color="auto" w:fill="FFFFFF"/>
        </w:rPr>
        <w:t>rail transit</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ab/>
      </w:r>
      <w:r>
        <w:rPr>
          <w:rFonts w:ascii="宋体" w:hAnsi="宋体" w:eastAsia="宋体"/>
          <w:sz w:val="24"/>
          <w:szCs w:val="24"/>
        </w:rPr>
        <w:t>在全寿命周期内，采取合适的规划、线路、系统制式及资源共享，节约资源、保护环境和减少污染，为乘客及员工提供安全、便捷、健康、舒适的出行和工作环境的城市轨道交通。</w:t>
      </w:r>
    </w:p>
    <w:p>
      <w:pPr>
        <w:adjustRightInd w:val="0"/>
        <w:snapToGrid w:val="0"/>
        <w:spacing w:line="360" w:lineRule="auto"/>
        <w:jc w:val="left"/>
        <w:rPr>
          <w:rFonts w:ascii="宋体" w:hAnsi="宋体" w:eastAsia="宋体"/>
          <w:sz w:val="24"/>
          <w:szCs w:val="24"/>
        </w:rPr>
      </w:pPr>
      <w:r>
        <w:rPr>
          <w:rFonts w:ascii="宋体" w:hAnsi="宋体" w:eastAsia="宋体" w:cs="宋体"/>
          <w:b/>
          <w:bCs/>
          <w:sz w:val="24"/>
          <w:szCs w:val="24"/>
        </w:rPr>
        <w:t>2.0.</w:t>
      </w:r>
      <w:r>
        <w:rPr>
          <w:rFonts w:hint="eastAsia" w:ascii="宋体" w:hAnsi="宋体" w:eastAsia="宋体" w:cs="宋体"/>
          <w:b/>
          <w:bCs/>
          <w:sz w:val="24"/>
          <w:szCs w:val="24"/>
        </w:rPr>
        <w:t xml:space="preserve">2  </w:t>
      </w:r>
      <w:r>
        <w:rPr>
          <w:rFonts w:hint="eastAsia" w:ascii="宋体" w:hAnsi="宋体" w:eastAsia="宋体" w:cs="宋体"/>
          <w:sz w:val="24"/>
          <w:szCs w:val="24"/>
        </w:rPr>
        <w:t xml:space="preserve">非传统水源 </w:t>
      </w:r>
      <w:r>
        <w:rPr>
          <w:rFonts w:hint="eastAsia" w:ascii="宋体" w:hAnsi="宋体" w:eastAsia="宋体"/>
          <w:sz w:val="24"/>
          <w:szCs w:val="24"/>
          <w:shd w:val="clear" w:color="auto" w:fill="FFFFFF"/>
        </w:rPr>
        <w:t>u</w:t>
      </w:r>
      <w:r>
        <w:rPr>
          <w:rFonts w:ascii="宋体" w:hAnsi="宋体" w:eastAsia="宋体"/>
          <w:sz w:val="24"/>
          <w:szCs w:val="24"/>
          <w:shd w:val="clear" w:color="auto" w:fill="FFFFFF"/>
        </w:rPr>
        <w:t>nconventional water source</w:t>
      </w:r>
    </w:p>
    <w:p>
      <w:pPr>
        <w:adjustRightInd w:val="0"/>
        <w:snapToGrid w:val="0"/>
        <w:spacing w:line="360" w:lineRule="auto"/>
        <w:jc w:val="left"/>
        <w:rPr>
          <w:rFonts w:ascii="宋体" w:hAnsi="宋体" w:eastAsia="宋体"/>
          <w:sz w:val="24"/>
          <w:szCs w:val="24"/>
        </w:rPr>
      </w:pPr>
      <w:r>
        <w:rPr>
          <w:rFonts w:hint="eastAsia" w:ascii="宋体" w:hAnsi="宋体" w:eastAsia="宋体" w:cs="宋体"/>
          <w:sz w:val="24"/>
          <w:szCs w:val="24"/>
        </w:rPr>
        <w:t>不同于传统地表水供水和地下水供水的水源，包括再生水、雨水、海水等。</w:t>
      </w:r>
    </w:p>
    <w:p>
      <w:pPr>
        <w:adjustRightInd w:val="0"/>
        <w:snapToGrid w:val="0"/>
        <w:spacing w:line="360" w:lineRule="auto"/>
        <w:jc w:val="left"/>
        <w:rPr>
          <w:rFonts w:ascii="宋体" w:hAnsi="宋体" w:eastAsia="宋体"/>
          <w:sz w:val="24"/>
          <w:szCs w:val="24"/>
        </w:rPr>
      </w:pPr>
      <w:r>
        <w:rPr>
          <w:rFonts w:ascii="宋体" w:hAnsi="宋体" w:eastAsia="宋体" w:cs="宋体"/>
          <w:b/>
          <w:bCs/>
          <w:sz w:val="24"/>
          <w:szCs w:val="24"/>
        </w:rPr>
        <w:t>2.0.</w:t>
      </w:r>
      <w:r>
        <w:rPr>
          <w:rFonts w:hint="eastAsia" w:ascii="宋体" w:hAnsi="宋体" w:eastAsia="宋体" w:cs="宋体"/>
          <w:b/>
          <w:bCs/>
          <w:sz w:val="24"/>
          <w:szCs w:val="24"/>
        </w:rPr>
        <w:t xml:space="preserve">3  </w:t>
      </w:r>
      <w:r>
        <w:rPr>
          <w:rFonts w:hint="eastAsia" w:ascii="宋体" w:hAnsi="宋体" w:eastAsia="宋体" w:cs="宋体"/>
          <w:sz w:val="24"/>
          <w:szCs w:val="24"/>
        </w:rPr>
        <w:t>年径流总量控制率 a</w:t>
      </w:r>
      <w:r>
        <w:rPr>
          <w:rFonts w:ascii="宋体" w:hAnsi="宋体" w:eastAsia="宋体" w:cs="宋体"/>
          <w:sz w:val="24"/>
          <w:szCs w:val="24"/>
        </w:rPr>
        <w:t>nnual total runoff control rate</w:t>
      </w:r>
    </w:p>
    <w:p>
      <w:pPr>
        <w:adjustRightInd w:val="0"/>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通过自然和人工强化的入渗、滞蓄、调蓄和收集回用，场地内累计一年得到控制的雨水量占全年总降雨量的比例</w:t>
      </w:r>
      <w:r>
        <w:rPr>
          <w:rFonts w:hint="eastAsia" w:ascii="宋体" w:hAnsi="宋体" w:eastAsia="宋体" w:cs="宋体"/>
          <w:sz w:val="24"/>
          <w:szCs w:val="24"/>
          <w:lang w:eastAsia="zh-CN"/>
        </w:rPr>
        <w:t>。</w:t>
      </w:r>
    </w:p>
    <w:p>
      <w:pPr>
        <w:adjustRightInd w:val="0"/>
        <w:snapToGrid w:val="0"/>
        <w:spacing w:line="360" w:lineRule="auto"/>
        <w:jc w:val="left"/>
        <w:rPr>
          <w:rFonts w:ascii="宋体" w:hAnsi="宋体" w:eastAsia="宋体" w:cs="宋体"/>
          <w:sz w:val="24"/>
          <w:szCs w:val="24"/>
        </w:rPr>
      </w:pPr>
      <w:r>
        <w:rPr>
          <w:rFonts w:hint="eastAsia" w:ascii="宋体" w:hAnsi="宋体" w:eastAsia="宋体" w:cs="宋体"/>
          <w:b/>
          <w:bCs/>
          <w:sz w:val="24"/>
          <w:szCs w:val="24"/>
        </w:rPr>
        <w:t>2.0.4</w:t>
      </w:r>
      <w:r>
        <w:rPr>
          <w:rFonts w:hint="eastAsia" w:ascii="宋体" w:hAnsi="宋体" w:eastAsia="宋体" w:cs="宋体"/>
          <w:sz w:val="24"/>
          <w:szCs w:val="24"/>
        </w:rPr>
        <w:t xml:space="preserve">  非接触式给水器具 n</w:t>
      </w:r>
      <w:r>
        <w:rPr>
          <w:rFonts w:ascii="宋体" w:hAnsi="宋体" w:eastAsia="宋体" w:cs="宋体"/>
          <w:sz w:val="24"/>
          <w:szCs w:val="24"/>
        </w:rPr>
        <w:t>on</w:t>
      </w:r>
      <w:r>
        <w:rPr>
          <w:rFonts w:hint="eastAsia" w:ascii="宋体" w:hAnsi="宋体" w:eastAsia="宋体" w:cs="宋体"/>
          <w:sz w:val="24"/>
          <w:szCs w:val="24"/>
        </w:rPr>
        <w:t>-</w:t>
      </w:r>
      <w:r>
        <w:rPr>
          <w:rFonts w:ascii="宋体" w:hAnsi="宋体" w:eastAsia="宋体" w:cs="宋体"/>
          <w:sz w:val="24"/>
          <w:szCs w:val="24"/>
        </w:rPr>
        <w:t>contact water supply appliance</w:t>
      </w:r>
    </w:p>
    <w:p>
      <w:pPr>
        <w:adjustRightInd w:val="0"/>
        <w:snapToGrid w:val="0"/>
        <w:spacing w:line="360" w:lineRule="auto"/>
        <w:jc w:val="left"/>
        <w:rPr>
          <w:rFonts w:hint="eastAsia" w:ascii="宋体" w:hAnsi="宋体" w:eastAsia="宋体"/>
          <w:sz w:val="24"/>
          <w:szCs w:val="24"/>
          <w:lang w:eastAsia="zh-CN"/>
        </w:rPr>
        <w:sectPr>
          <w:pgSz w:w="11906" w:h="16838"/>
          <w:pgMar w:top="1440" w:right="1797" w:bottom="1440" w:left="1797" w:header="851" w:footer="992" w:gutter="0"/>
          <w:cols w:space="425" w:num="1"/>
          <w:docGrid w:type="lines" w:linePitch="312" w:charSpace="0"/>
        </w:sectPr>
      </w:pPr>
      <w:r>
        <w:rPr>
          <w:rFonts w:hint="eastAsia" w:ascii="宋体" w:hAnsi="宋体" w:eastAsia="宋体" w:cs="宋体"/>
          <w:sz w:val="24"/>
          <w:szCs w:val="24"/>
        </w:rPr>
        <w:t>通过非接触式感应驱动电动阀门进行启、闭操作的给水器具</w:t>
      </w:r>
      <w:r>
        <w:rPr>
          <w:rFonts w:hint="eastAsia" w:ascii="宋体" w:hAnsi="宋体" w:eastAsia="宋体"/>
          <w:sz w:val="24"/>
          <w:szCs w:val="24"/>
          <w:lang w:eastAsia="zh-CN"/>
        </w:rPr>
        <w:t>。</w:t>
      </w:r>
    </w:p>
    <w:p>
      <w:pPr>
        <w:adjustRightInd w:val="0"/>
        <w:snapToGrid w:val="0"/>
        <w:spacing w:line="360" w:lineRule="auto"/>
        <w:jc w:val="left"/>
        <w:rPr>
          <w:rFonts w:ascii="宋体" w:hAnsi="宋体" w:eastAsia="宋体"/>
          <w:sz w:val="24"/>
          <w:szCs w:val="24"/>
        </w:rPr>
      </w:pPr>
    </w:p>
    <w:p>
      <w:pPr>
        <w:pStyle w:val="2"/>
        <w:spacing w:before="624" w:after="624"/>
      </w:pPr>
      <w:bookmarkStart w:id="10" w:name="_Toc60822229"/>
      <w:bookmarkStart w:id="11" w:name="_Toc77584220"/>
      <w:r>
        <w:t>3</w:t>
      </w:r>
      <w:r>
        <w:rPr>
          <w:rFonts w:hint="eastAsia"/>
        </w:rPr>
        <w:t xml:space="preserve">  基本规定</w:t>
      </w:r>
      <w:bookmarkEnd w:id="10"/>
      <w:bookmarkEnd w:id="11"/>
    </w:p>
    <w:p>
      <w:pPr>
        <w:pStyle w:val="3"/>
        <w:spacing w:before="468" w:after="468"/>
      </w:pPr>
      <w:bookmarkStart w:id="12" w:name="_Toc60822230"/>
      <w:bookmarkStart w:id="13" w:name="_Toc77584221"/>
      <w:r>
        <w:t>3.1</w:t>
      </w:r>
      <w:r>
        <w:rPr>
          <w:rFonts w:hint="eastAsia"/>
        </w:rPr>
        <w:t xml:space="preserve">  </w:t>
      </w:r>
      <w:r>
        <w:t>一般规定</w:t>
      </w:r>
      <w:bookmarkEnd w:id="12"/>
      <w:bookmarkEnd w:id="13"/>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 xml:space="preserve">3.1.1 </w:t>
      </w:r>
      <w:r>
        <w:rPr>
          <w:rFonts w:hint="eastAsia" w:ascii="宋体" w:hAnsi="宋体" w:eastAsia="宋体"/>
          <w:b/>
          <w:bCs/>
          <w:sz w:val="24"/>
          <w:szCs w:val="24"/>
        </w:rPr>
        <w:t xml:space="preserve"> </w:t>
      </w:r>
      <w:r>
        <w:rPr>
          <w:rFonts w:ascii="宋体" w:hAnsi="宋体" w:eastAsia="宋体"/>
          <w:sz w:val="24"/>
          <w:szCs w:val="24"/>
        </w:rPr>
        <w:t>绿色城市轨道交通的评价以城市轨道交通新建、改建线路作为评价对象。</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3.1.2</w:t>
      </w:r>
      <w:r>
        <w:rPr>
          <w:rFonts w:hint="eastAsia" w:ascii="宋体" w:hAnsi="宋体" w:eastAsia="宋体"/>
          <w:b/>
          <w:bCs/>
          <w:sz w:val="24"/>
          <w:szCs w:val="24"/>
        </w:rPr>
        <w:t xml:space="preserve">  </w:t>
      </w:r>
      <w:r>
        <w:rPr>
          <w:rFonts w:ascii="宋体" w:hAnsi="宋体" w:eastAsia="宋体"/>
          <w:sz w:val="24"/>
          <w:szCs w:val="24"/>
        </w:rPr>
        <w:t>绿色城市轨道交通各专业应进行全寿命期的绿色技术和经济分析，合理确定规模，选用适当的规划、线路、系统制式、建筑技术、设备和材料，并在评估时提交相应分析报告。</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3.1.3</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绿色城市轨道交通的评价分为规划设计和运营管理两个阶段，规划设计阶段评价在完成施工图设计并取得施工图审查合格证后进行；运营管理阶段评价投入正式运营一年后进行，两个阶段评价完成后作出评定结果。申请评价方应按本标准的有关要求，对各阶段进行过程控制，并提交规划设计和运行管理阶段评价的相关证明文件与说明。</w:t>
      </w:r>
    </w:p>
    <w:p>
      <w:pPr>
        <w:pStyle w:val="3"/>
        <w:spacing w:before="468" w:after="468"/>
      </w:pPr>
      <w:bookmarkStart w:id="14" w:name="_Toc60822231"/>
      <w:bookmarkStart w:id="15" w:name="_Toc77584222"/>
      <w:r>
        <w:t>3.2</w:t>
      </w:r>
      <w:r>
        <w:rPr>
          <w:rFonts w:hint="eastAsia"/>
        </w:rPr>
        <w:t xml:space="preserve">  </w:t>
      </w:r>
      <w:r>
        <w:t>评价方法与等级划分</w:t>
      </w:r>
      <w:bookmarkEnd w:id="14"/>
      <w:bookmarkEnd w:id="15"/>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3.2.1</w:t>
      </w:r>
      <w:r>
        <w:rPr>
          <w:rFonts w:hint="eastAsia" w:ascii="宋体" w:hAnsi="宋体" w:eastAsia="宋体"/>
          <w:b/>
          <w:bCs/>
          <w:sz w:val="24"/>
          <w:szCs w:val="24"/>
        </w:rPr>
        <w:t xml:space="preserve"> </w:t>
      </w:r>
      <w:r>
        <w:rPr>
          <w:rFonts w:ascii="宋体" w:hAnsi="宋体" w:eastAsia="宋体"/>
          <w:b/>
          <w:bCs/>
          <w:sz w:val="24"/>
          <w:szCs w:val="24"/>
        </w:rPr>
        <w:t xml:space="preserve"> </w:t>
      </w:r>
      <w:r>
        <w:rPr>
          <w:rFonts w:ascii="宋体" w:hAnsi="宋体" w:eastAsia="宋体"/>
          <w:sz w:val="24"/>
          <w:szCs w:val="24"/>
        </w:rPr>
        <w:t>绿色城市轨道交通评价体系由五类指标组成，含安全耐久、便捷高效、健康舒适、资源节约、环境友好、运营服务，每类指标包括控制项、评分项。此外，针对创新技术设加分项。</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3.2.2</w:t>
      </w:r>
      <w:r>
        <w:rPr>
          <w:rFonts w:hint="eastAsia" w:ascii="宋体" w:hAnsi="宋体" w:eastAsia="宋体"/>
          <w:b/>
          <w:bCs/>
          <w:sz w:val="24"/>
          <w:szCs w:val="24"/>
        </w:rPr>
        <w:t xml:space="preserve">  </w:t>
      </w:r>
      <w:r>
        <w:rPr>
          <w:rFonts w:ascii="宋体" w:hAnsi="宋体" w:eastAsia="宋体"/>
          <w:sz w:val="24"/>
          <w:szCs w:val="24"/>
        </w:rPr>
        <w:t>控制项的评定结果应为满足或不满足；评分项和加分项的评定结果应为分值。</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3.2.3</w:t>
      </w:r>
      <w:r>
        <w:rPr>
          <w:rFonts w:hint="eastAsia" w:ascii="宋体" w:hAnsi="宋体" w:eastAsia="宋体"/>
          <w:b/>
          <w:bCs/>
          <w:sz w:val="24"/>
          <w:szCs w:val="24"/>
        </w:rPr>
        <w:t xml:space="preserve">  </w:t>
      </w:r>
      <w:r>
        <w:rPr>
          <w:rFonts w:ascii="宋体" w:hAnsi="宋体" w:eastAsia="宋体"/>
          <w:sz w:val="24"/>
          <w:szCs w:val="24"/>
        </w:rPr>
        <w:t>绿色城市轨道交通评价按总得分确定等级。</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3.2.4</w:t>
      </w:r>
      <w:r>
        <w:rPr>
          <w:rFonts w:hint="eastAsia" w:ascii="宋体" w:hAnsi="宋体" w:eastAsia="宋体"/>
          <w:sz w:val="24"/>
          <w:szCs w:val="24"/>
        </w:rPr>
        <w:t xml:space="preserve">  评价指标体系每类指标评分项得分累计值为本类指标得分。有不参评项的，本类指标得分按式(3.2.4)进行计算。</w:t>
      </w:r>
    </w:p>
    <w:p>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 xml:space="preserve">                    </w:t>
      </w:r>
      <m:oMath>
        <m:r>
          <m:rPr>
            <m:sty m:val="p"/>
          </m:rPr>
          <w:rPr>
            <w:rFonts w:ascii="Cambria Math" w:hAnsi="Cambria Math" w:eastAsia="宋体"/>
            <w:sz w:val="24"/>
            <w:szCs w:val="24"/>
          </w:rPr>
          <m:t>Q=</m:t>
        </m:r>
        <m:f>
          <m:fPr>
            <m:ctrlPr>
              <w:rPr>
                <w:rFonts w:ascii="Cambria Math" w:hAnsi="Cambria Math" w:eastAsia="宋体"/>
                <w:sz w:val="24"/>
                <w:szCs w:val="24"/>
              </w:rPr>
            </m:ctrlPr>
          </m:fPr>
          <m:num>
            <m:sSub>
              <m:sSubPr>
                <m:ctrlPr>
                  <w:rPr>
                    <w:rFonts w:ascii="Cambria Math" w:hAnsi="Cambria Math" w:eastAsia="宋体"/>
                    <w:sz w:val="24"/>
                    <w:szCs w:val="24"/>
                  </w:rPr>
                </m:ctrlPr>
              </m:sSubPr>
              <m:e>
                <m:r>
                  <m:rPr>
                    <m:sty m:val="p"/>
                  </m:rPr>
                  <w:rPr>
                    <w:rFonts w:ascii="Cambria Math" w:hAnsi="Cambria Math" w:eastAsia="宋体"/>
                    <w:sz w:val="24"/>
                    <w:szCs w:val="24"/>
                  </w:rPr>
                  <m:t>q</m:t>
                </m:r>
                <m:ctrlPr>
                  <w:rPr>
                    <w:rFonts w:ascii="Cambria Math" w:hAnsi="Cambria Math" w:eastAsia="宋体"/>
                    <w:sz w:val="24"/>
                    <w:szCs w:val="24"/>
                  </w:rPr>
                </m:ctrlPr>
              </m:e>
              <m:sub>
                <m:r>
                  <m:rPr>
                    <m:sty m:val="p"/>
                  </m:rPr>
                  <w:rPr>
                    <w:rFonts w:ascii="Cambria Math" w:hAnsi="Cambria Math" w:eastAsia="宋体"/>
                    <w:sz w:val="24"/>
                    <w:szCs w:val="24"/>
                  </w:rPr>
                  <m:t>i</m:t>
                </m:r>
                <m:ctrlPr>
                  <w:rPr>
                    <w:rFonts w:ascii="Cambria Math" w:hAnsi="Cambria Math" w:eastAsia="宋体"/>
                    <w:sz w:val="24"/>
                    <w:szCs w:val="24"/>
                  </w:rPr>
                </m:ctrlPr>
              </m:sub>
            </m:sSub>
            <m:ctrlPr>
              <w:rPr>
                <w:rFonts w:ascii="Cambria Math" w:hAnsi="Cambria Math" w:eastAsia="宋体"/>
                <w:sz w:val="24"/>
                <w:szCs w:val="24"/>
              </w:rPr>
            </m:ctrlPr>
          </m:num>
          <m:den>
            <m:r>
              <m:rPr>
                <m:sty m:val="p"/>
              </m:rPr>
              <w:rPr>
                <w:rFonts w:ascii="Cambria Math" w:hAnsi="Cambria Math" w:eastAsia="宋体"/>
                <w:sz w:val="24"/>
                <w:szCs w:val="24"/>
              </w:rPr>
              <m:t>（</m:t>
            </m:r>
            <m:sSub>
              <m:sSubPr>
                <m:ctrlPr>
                  <w:rPr>
                    <w:rFonts w:ascii="Cambria Math" w:hAnsi="Cambria Math" w:eastAsia="宋体"/>
                    <w:sz w:val="24"/>
                    <w:szCs w:val="24"/>
                  </w:rPr>
                </m:ctrlPr>
              </m:sSubPr>
              <m:e>
                <m:r>
                  <m:rPr>
                    <m:sty m:val="p"/>
                  </m:rPr>
                  <w:rPr>
                    <w:rFonts w:ascii="Cambria Math" w:hAnsi="Cambria Math" w:eastAsia="宋体"/>
                    <w:sz w:val="24"/>
                    <w:szCs w:val="24"/>
                  </w:rPr>
                  <m:t>Q</m:t>
                </m:r>
                <m:ctrlPr>
                  <w:rPr>
                    <w:rFonts w:ascii="Cambria Math" w:hAnsi="Cambria Math" w:eastAsia="宋体"/>
                    <w:sz w:val="24"/>
                    <w:szCs w:val="24"/>
                  </w:rPr>
                </m:ctrlPr>
              </m:e>
              <m:sub>
                <m:r>
                  <m:rPr>
                    <m:sty m:val="p"/>
                  </m:rPr>
                  <w:rPr>
                    <w:rFonts w:ascii="Cambria Math" w:hAnsi="Cambria Math" w:eastAsia="宋体"/>
                    <w:sz w:val="24"/>
                    <w:szCs w:val="24"/>
                  </w:rPr>
                  <m:t>i</m:t>
                </m:r>
                <m:ctrlPr>
                  <w:rPr>
                    <w:rFonts w:ascii="Cambria Math" w:hAnsi="Cambria Math" w:eastAsia="宋体"/>
                    <w:sz w:val="24"/>
                    <w:szCs w:val="24"/>
                  </w:rPr>
                </m:ctrlPr>
              </m:sub>
            </m:sSub>
            <m:r>
              <m:rPr>
                <m:sty m:val="p"/>
              </m:rPr>
              <w:rPr>
                <w:rFonts w:ascii="Cambria Math" w:hAnsi="Cambria Math" w:eastAsia="宋体"/>
                <w:sz w:val="24"/>
                <w:szCs w:val="24"/>
              </w:rPr>
              <m:t>−</m:t>
            </m:r>
            <m:sSub>
              <m:sSubPr>
                <m:ctrlPr>
                  <w:rPr>
                    <w:rFonts w:ascii="Cambria Math" w:hAnsi="Cambria Math" w:eastAsia="宋体"/>
                    <w:sz w:val="24"/>
                    <w:szCs w:val="24"/>
                  </w:rPr>
                </m:ctrlPr>
              </m:sSubPr>
              <m:e>
                <m:acc>
                  <m:accPr>
                    <m:chr m:val="̅"/>
                    <m:ctrlPr>
                      <w:rPr>
                        <w:rFonts w:ascii="Cambria Math" w:hAnsi="Cambria Math" w:eastAsia="宋体"/>
                        <w:sz w:val="24"/>
                        <w:szCs w:val="24"/>
                      </w:rPr>
                    </m:ctrlPr>
                  </m:accPr>
                  <m:e>
                    <m:r>
                      <m:rPr>
                        <m:sty m:val="p"/>
                      </m:rPr>
                      <w:rPr>
                        <w:rFonts w:ascii="Cambria Math" w:hAnsi="Cambria Math" w:eastAsia="宋体"/>
                        <w:sz w:val="24"/>
                        <w:szCs w:val="24"/>
                      </w:rPr>
                      <m:t>q</m:t>
                    </m:r>
                    <m:ctrlPr>
                      <w:rPr>
                        <w:rFonts w:ascii="Cambria Math" w:hAnsi="Cambria Math" w:eastAsia="宋体"/>
                        <w:sz w:val="24"/>
                        <w:szCs w:val="24"/>
                      </w:rPr>
                    </m:ctrlPr>
                  </m:e>
                </m:acc>
                <m:ctrlPr>
                  <w:rPr>
                    <w:rFonts w:ascii="Cambria Math" w:hAnsi="Cambria Math" w:eastAsia="宋体"/>
                    <w:sz w:val="24"/>
                    <w:szCs w:val="24"/>
                  </w:rPr>
                </m:ctrlPr>
              </m:e>
              <m:sub>
                <m:r>
                  <m:rPr>
                    <m:sty m:val="p"/>
                  </m:rPr>
                  <w:rPr>
                    <w:rFonts w:ascii="Cambria Math" w:hAnsi="Cambria Math" w:eastAsia="宋体"/>
                    <w:sz w:val="24"/>
                    <w:szCs w:val="24"/>
                  </w:rPr>
                  <m:t>i</m:t>
                </m:r>
                <m:ctrlPr>
                  <w:rPr>
                    <w:rFonts w:ascii="Cambria Math" w:hAnsi="Cambria Math" w:eastAsia="宋体"/>
                    <w:sz w:val="24"/>
                    <w:szCs w:val="24"/>
                  </w:rPr>
                </m:ctrlPr>
              </m:sub>
            </m:sSub>
            <m:r>
              <m:rPr>
                <m:sty m:val="p"/>
              </m:rPr>
              <w:rPr>
                <w:rFonts w:ascii="Cambria Math" w:hAnsi="Cambria Math" w:eastAsia="宋体"/>
                <w:sz w:val="24"/>
                <w:szCs w:val="24"/>
              </w:rPr>
              <m:t>）</m:t>
            </m:r>
            <m:ctrlPr>
              <w:rPr>
                <w:rFonts w:ascii="Cambria Math" w:hAnsi="Cambria Math" w:eastAsia="宋体"/>
                <w:sz w:val="24"/>
                <w:szCs w:val="24"/>
              </w:rPr>
            </m:ctrlPr>
          </m:den>
        </m:f>
        <m:r>
          <m:rPr>
            <m:sty m:val="p"/>
          </m:rPr>
          <w:rPr>
            <w:rFonts w:ascii="Cambria Math" w:hAnsi="Cambria Math" w:eastAsia="宋体"/>
            <w:sz w:val="24"/>
            <w:szCs w:val="24"/>
          </w:rPr>
          <m:t>×</m:t>
        </m:r>
        <m:sSub>
          <m:sSubPr>
            <m:ctrlPr>
              <w:rPr>
                <w:rFonts w:ascii="Cambria Math" w:hAnsi="Cambria Math" w:eastAsia="宋体"/>
                <w:sz w:val="24"/>
                <w:szCs w:val="24"/>
              </w:rPr>
            </m:ctrlPr>
          </m:sSubPr>
          <m:e>
            <m:r>
              <m:rPr>
                <m:sty m:val="p"/>
              </m:rPr>
              <w:rPr>
                <w:rFonts w:ascii="Cambria Math" w:hAnsi="Cambria Math" w:eastAsia="宋体"/>
                <w:sz w:val="24"/>
                <w:szCs w:val="24"/>
              </w:rPr>
              <m:t>Q</m:t>
            </m:r>
            <m:ctrlPr>
              <w:rPr>
                <w:rFonts w:ascii="Cambria Math" w:hAnsi="Cambria Math" w:eastAsia="宋体"/>
                <w:sz w:val="24"/>
                <w:szCs w:val="24"/>
              </w:rPr>
            </m:ctrlPr>
          </m:e>
          <m:sub>
            <m:r>
              <m:rPr>
                <m:sty m:val="p"/>
              </m:rPr>
              <w:rPr>
                <w:rFonts w:ascii="Cambria Math" w:hAnsi="Cambria Math" w:eastAsia="宋体"/>
                <w:sz w:val="24"/>
                <w:szCs w:val="24"/>
              </w:rPr>
              <m:t>i</m:t>
            </m:r>
            <m:ctrlPr>
              <w:rPr>
                <w:rFonts w:ascii="Cambria Math" w:hAnsi="Cambria Math" w:eastAsia="宋体"/>
                <w:sz w:val="24"/>
                <w:szCs w:val="24"/>
              </w:rPr>
            </m:ctrlPr>
          </m:sub>
        </m:sSub>
      </m:oMath>
      <w:r>
        <w:rPr>
          <w:rFonts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ab/>
      </w:r>
      <w:r>
        <w:rPr>
          <w:rFonts w:ascii="宋体" w:hAnsi="宋体" w:eastAsia="宋体"/>
          <w:sz w:val="24"/>
          <w:szCs w:val="24"/>
        </w:rPr>
        <w:t>(3.2.4)</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式中：</w:t>
      </w:r>
      <m:oMath>
        <m:r>
          <m:rPr>
            <m:sty m:val="p"/>
          </m:rPr>
          <w:rPr>
            <w:rFonts w:ascii="Cambria Math" w:hAnsi="Cambria Math" w:eastAsia="宋体"/>
            <w:sz w:val="24"/>
            <w:szCs w:val="24"/>
          </w:rPr>
          <m:t>Q</m:t>
        </m:r>
      </m:oMath>
      <w:r>
        <w:rPr>
          <w:rFonts w:hint="eastAsia" w:ascii="宋体" w:hAnsi="宋体" w:eastAsia="宋体"/>
          <w:sz w:val="24"/>
          <w:szCs w:val="24"/>
        </w:rPr>
        <w:t>——本类指标得分值；</w:t>
      </w:r>
    </w:p>
    <w:p>
      <w:pPr>
        <w:adjustRightInd w:val="0"/>
        <w:snapToGrid w:val="0"/>
        <w:spacing w:line="360" w:lineRule="auto"/>
        <w:ind w:firstLine="240" w:firstLineChars="100"/>
        <w:jc w:val="left"/>
        <w:rPr>
          <w:rFonts w:ascii="宋体" w:hAnsi="宋体" w:eastAsia="宋体"/>
          <w:sz w:val="24"/>
          <w:szCs w:val="24"/>
        </w:rPr>
      </w:pPr>
      <w:r>
        <w:rPr>
          <w:rFonts w:hint="eastAsia" w:ascii="宋体" w:hAnsi="宋体" w:eastAsia="宋体"/>
          <w:sz w:val="24"/>
          <w:szCs w:val="24"/>
        </w:rPr>
        <w:t xml:space="preserve">   </w:t>
      </w:r>
      <m:oMath>
        <m:sSub>
          <m:sSubPr>
            <m:ctrlPr>
              <w:rPr>
                <w:rFonts w:ascii="Cambria Math" w:hAnsi="Cambria Math" w:eastAsia="宋体"/>
                <w:sz w:val="24"/>
                <w:szCs w:val="24"/>
              </w:rPr>
            </m:ctrlPr>
          </m:sSubPr>
          <m:e>
            <m:r>
              <m:rPr>
                <m:sty m:val="p"/>
              </m:rPr>
              <w:rPr>
                <w:rFonts w:ascii="Cambria Math" w:hAnsi="Cambria Math" w:eastAsia="宋体"/>
                <w:sz w:val="24"/>
                <w:szCs w:val="24"/>
              </w:rPr>
              <m:t>Q</m:t>
            </m:r>
            <m:ctrlPr>
              <w:rPr>
                <w:rFonts w:ascii="Cambria Math" w:hAnsi="Cambria Math" w:eastAsia="宋体"/>
                <w:sz w:val="24"/>
                <w:szCs w:val="24"/>
              </w:rPr>
            </m:ctrlPr>
          </m:e>
          <m:sub>
            <m:r>
              <m:rPr>
                <m:sty m:val="p"/>
              </m:rPr>
              <w:rPr>
                <w:rFonts w:ascii="Cambria Math" w:hAnsi="Cambria Math" w:eastAsia="宋体"/>
                <w:sz w:val="24"/>
                <w:szCs w:val="24"/>
              </w:rPr>
              <m:t>i</m:t>
            </m:r>
            <m:ctrlPr>
              <w:rPr>
                <w:rFonts w:ascii="Cambria Math" w:hAnsi="Cambria Math" w:eastAsia="宋体"/>
                <w:sz w:val="24"/>
                <w:szCs w:val="24"/>
              </w:rPr>
            </m:ctrlPr>
          </m:sub>
        </m:sSub>
      </m:oMath>
      <w:r>
        <w:rPr>
          <w:rFonts w:hint="eastAsia" w:ascii="宋体" w:hAnsi="宋体" w:eastAsia="宋体"/>
          <w:sz w:val="24"/>
          <w:szCs w:val="24"/>
        </w:rPr>
        <w:t>——第i类指标满分值，i=1~6；</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     </w:t>
      </w:r>
      <m:oMath>
        <m:sSub>
          <m:sSubPr>
            <m:ctrlPr>
              <w:rPr>
                <w:rFonts w:ascii="Cambria Math" w:hAnsi="Cambria Math" w:eastAsia="宋体"/>
                <w:sz w:val="24"/>
                <w:szCs w:val="24"/>
              </w:rPr>
            </m:ctrlPr>
          </m:sSubPr>
          <m:e>
            <m:r>
              <m:rPr>
                <m:sty m:val="p"/>
              </m:rPr>
              <w:rPr>
                <w:rFonts w:ascii="Cambria Math" w:hAnsi="Cambria Math" w:eastAsia="宋体"/>
                <w:sz w:val="24"/>
                <w:szCs w:val="24"/>
              </w:rPr>
              <m:t>q</m:t>
            </m:r>
            <m:ctrlPr>
              <w:rPr>
                <w:rFonts w:ascii="Cambria Math" w:hAnsi="Cambria Math" w:eastAsia="宋体"/>
                <w:sz w:val="24"/>
                <w:szCs w:val="24"/>
              </w:rPr>
            </m:ctrlPr>
          </m:e>
          <m:sub>
            <m:r>
              <m:rPr>
                <m:sty m:val="p"/>
              </m:rPr>
              <w:rPr>
                <w:rFonts w:ascii="Cambria Math" w:hAnsi="Cambria Math" w:eastAsia="宋体"/>
                <w:sz w:val="24"/>
                <w:szCs w:val="24"/>
              </w:rPr>
              <m:t>i</m:t>
            </m:r>
            <m:ctrlPr>
              <w:rPr>
                <w:rFonts w:ascii="Cambria Math" w:hAnsi="Cambria Math" w:eastAsia="宋体"/>
                <w:sz w:val="24"/>
                <w:szCs w:val="24"/>
              </w:rPr>
            </m:ctrlPr>
          </m:sub>
        </m:sSub>
      </m:oMath>
      <w:r>
        <w:rPr>
          <w:rFonts w:hint="eastAsia" w:ascii="宋体" w:hAnsi="宋体" w:eastAsia="宋体"/>
          <w:sz w:val="24"/>
          <w:szCs w:val="24"/>
        </w:rPr>
        <w:t>——按参评项计算的第i类指标得分直接累计值，i=1~6；</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     </w:t>
      </w:r>
      <m:oMath>
        <m:sSub>
          <m:sSubPr>
            <m:ctrlPr>
              <w:rPr>
                <w:rFonts w:ascii="Cambria Math" w:hAnsi="Cambria Math" w:eastAsia="宋体"/>
                <w:sz w:val="24"/>
                <w:szCs w:val="24"/>
              </w:rPr>
            </m:ctrlPr>
          </m:sSubPr>
          <m:e>
            <m:acc>
              <m:accPr>
                <m:chr m:val="̅"/>
                <m:ctrlPr>
                  <w:rPr>
                    <w:rFonts w:ascii="Cambria Math" w:hAnsi="Cambria Math" w:eastAsia="宋体"/>
                    <w:sz w:val="24"/>
                    <w:szCs w:val="24"/>
                  </w:rPr>
                </m:ctrlPr>
              </m:accPr>
              <m:e>
                <m:r>
                  <m:rPr>
                    <m:sty m:val="p"/>
                  </m:rPr>
                  <w:rPr>
                    <w:rFonts w:ascii="Cambria Math" w:hAnsi="Cambria Math" w:eastAsia="宋体"/>
                    <w:sz w:val="24"/>
                    <w:szCs w:val="24"/>
                  </w:rPr>
                  <m:t>q</m:t>
                </m:r>
                <m:ctrlPr>
                  <w:rPr>
                    <w:rFonts w:ascii="Cambria Math" w:hAnsi="Cambria Math" w:eastAsia="宋体"/>
                    <w:sz w:val="24"/>
                    <w:szCs w:val="24"/>
                  </w:rPr>
                </m:ctrlPr>
              </m:e>
            </m:acc>
            <m:ctrlPr>
              <w:rPr>
                <w:rFonts w:ascii="Cambria Math" w:hAnsi="Cambria Math" w:eastAsia="宋体"/>
                <w:sz w:val="24"/>
                <w:szCs w:val="24"/>
              </w:rPr>
            </m:ctrlPr>
          </m:e>
          <m:sub>
            <m:r>
              <m:rPr>
                <m:sty m:val="p"/>
              </m:rPr>
              <w:rPr>
                <w:rFonts w:ascii="Cambria Math" w:hAnsi="Cambria Math" w:eastAsia="宋体"/>
                <w:sz w:val="24"/>
                <w:szCs w:val="24"/>
              </w:rPr>
              <m:t>i</m:t>
            </m:r>
            <m:ctrlPr>
              <w:rPr>
                <w:rFonts w:ascii="Cambria Math" w:hAnsi="Cambria Math" w:eastAsia="宋体"/>
                <w:sz w:val="24"/>
                <w:szCs w:val="24"/>
              </w:rPr>
            </m:ctrlPr>
          </m:sub>
        </m:sSub>
      </m:oMath>
      <w:r>
        <w:rPr>
          <w:rFonts w:hint="eastAsia" w:ascii="宋体" w:hAnsi="宋体" w:eastAsia="宋体"/>
          <w:sz w:val="24"/>
          <w:szCs w:val="24"/>
        </w:rPr>
        <w:t>——第i类指标不参评项的累计分值，i=1~6。</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3.2.</w:t>
      </w:r>
      <w:r>
        <w:rPr>
          <w:rFonts w:hint="eastAsia" w:ascii="宋体" w:hAnsi="宋体" w:eastAsia="宋体"/>
          <w:b/>
          <w:bCs/>
          <w:sz w:val="24"/>
          <w:szCs w:val="24"/>
        </w:rPr>
        <w:t xml:space="preserve">5  </w:t>
      </w:r>
      <w:r>
        <w:rPr>
          <w:rFonts w:ascii="宋体" w:hAnsi="宋体" w:eastAsia="宋体"/>
          <w:sz w:val="24"/>
          <w:szCs w:val="24"/>
        </w:rPr>
        <w:t>绿色城市轨道交通评价总得分为</w:t>
      </w:r>
      <w:r>
        <w:rPr>
          <w:rFonts w:hint="eastAsia" w:ascii="宋体" w:hAnsi="宋体" w:eastAsia="宋体"/>
          <w:sz w:val="24"/>
          <w:szCs w:val="24"/>
        </w:rPr>
        <w:t>110分，</w:t>
      </w:r>
      <w:r>
        <w:rPr>
          <w:rFonts w:ascii="宋体" w:hAnsi="宋体" w:eastAsia="宋体"/>
          <w:sz w:val="24"/>
          <w:szCs w:val="24"/>
        </w:rPr>
        <w:t>按</w:t>
      </w:r>
      <w:r>
        <w:rPr>
          <w:rFonts w:ascii="宋体" w:hAnsi="宋体" w:eastAsia="宋体"/>
          <w:b/>
          <w:bCs/>
          <w:sz w:val="24"/>
          <w:szCs w:val="24"/>
        </w:rPr>
        <w:t>3.2.</w:t>
      </w:r>
      <w:r>
        <w:rPr>
          <w:rFonts w:hint="eastAsia" w:ascii="宋体" w:hAnsi="宋体" w:eastAsia="宋体"/>
          <w:b/>
          <w:bCs/>
          <w:sz w:val="24"/>
          <w:szCs w:val="24"/>
        </w:rPr>
        <w:t>5</w:t>
      </w:r>
      <w:r>
        <w:rPr>
          <w:rFonts w:ascii="宋体" w:hAnsi="宋体" w:eastAsia="宋体"/>
          <w:sz w:val="24"/>
          <w:szCs w:val="24"/>
        </w:rPr>
        <w:t>式进行计算，表</w:t>
      </w:r>
      <w:r>
        <w:rPr>
          <w:rFonts w:hint="eastAsia" w:ascii="宋体" w:hAnsi="宋体" w:eastAsia="宋体"/>
          <w:sz w:val="24"/>
          <w:szCs w:val="24"/>
        </w:rPr>
        <w:t>3.2.5为各类评价指标的名称及对应满分值</w:t>
      </w:r>
      <w:r>
        <w:rPr>
          <w:rFonts w:ascii="宋体" w:hAnsi="宋体" w:eastAsia="宋体"/>
          <w:sz w:val="24"/>
          <w:szCs w:val="24"/>
        </w:rPr>
        <w:t>。</w:t>
      </w:r>
    </w:p>
    <w:p>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ΣQ＝（Q</w:t>
      </w:r>
      <w:r>
        <w:rPr>
          <w:rFonts w:ascii="宋体" w:hAnsi="宋体" w:eastAsia="宋体"/>
          <w:sz w:val="24"/>
          <w:szCs w:val="24"/>
          <w:vertAlign w:val="subscript"/>
        </w:rPr>
        <w:t>1</w:t>
      </w:r>
      <w:r>
        <w:rPr>
          <w:rFonts w:ascii="宋体" w:hAnsi="宋体" w:eastAsia="宋体"/>
          <w:sz w:val="24"/>
          <w:szCs w:val="24"/>
        </w:rPr>
        <w:t>＋Q</w:t>
      </w:r>
      <w:r>
        <w:rPr>
          <w:rFonts w:ascii="宋体" w:hAnsi="宋体" w:eastAsia="宋体"/>
          <w:sz w:val="24"/>
          <w:szCs w:val="24"/>
          <w:vertAlign w:val="subscript"/>
        </w:rPr>
        <w:t>2</w:t>
      </w:r>
      <w:r>
        <w:rPr>
          <w:rFonts w:ascii="宋体" w:hAnsi="宋体" w:eastAsia="宋体"/>
          <w:sz w:val="24"/>
          <w:szCs w:val="24"/>
        </w:rPr>
        <w:t>＋Q</w:t>
      </w:r>
      <w:r>
        <w:rPr>
          <w:rFonts w:ascii="宋体" w:hAnsi="宋体" w:eastAsia="宋体"/>
          <w:sz w:val="24"/>
          <w:szCs w:val="24"/>
          <w:vertAlign w:val="subscript"/>
        </w:rPr>
        <w:t>3</w:t>
      </w:r>
      <w:r>
        <w:rPr>
          <w:rFonts w:ascii="宋体" w:hAnsi="宋体" w:eastAsia="宋体"/>
          <w:sz w:val="24"/>
          <w:szCs w:val="24"/>
        </w:rPr>
        <w:t>＋Q</w:t>
      </w:r>
      <w:r>
        <w:rPr>
          <w:rFonts w:ascii="宋体" w:hAnsi="宋体" w:eastAsia="宋体"/>
          <w:sz w:val="24"/>
          <w:szCs w:val="24"/>
          <w:vertAlign w:val="subscript"/>
        </w:rPr>
        <w:t>4</w:t>
      </w:r>
      <w:r>
        <w:rPr>
          <w:rFonts w:ascii="宋体" w:hAnsi="宋体" w:eastAsia="宋体"/>
          <w:sz w:val="24"/>
          <w:szCs w:val="24"/>
        </w:rPr>
        <w:t>＋Q</w:t>
      </w:r>
      <w:r>
        <w:rPr>
          <w:rFonts w:ascii="宋体" w:hAnsi="宋体" w:eastAsia="宋体"/>
          <w:sz w:val="24"/>
          <w:szCs w:val="24"/>
          <w:vertAlign w:val="subscript"/>
        </w:rPr>
        <w:t>5</w:t>
      </w:r>
      <w:r>
        <w:rPr>
          <w:rFonts w:ascii="宋体" w:hAnsi="宋体" w:eastAsia="宋体"/>
          <w:sz w:val="24"/>
          <w:szCs w:val="24"/>
        </w:rPr>
        <w:t>＋Q</w:t>
      </w:r>
      <w:r>
        <w:rPr>
          <w:rFonts w:hint="eastAsia" w:ascii="宋体" w:hAnsi="宋体" w:eastAsia="宋体"/>
          <w:sz w:val="24"/>
          <w:szCs w:val="24"/>
          <w:vertAlign w:val="subscript"/>
        </w:rPr>
        <w:t>6</w:t>
      </w:r>
      <w:r>
        <w:rPr>
          <w:rFonts w:ascii="宋体" w:hAnsi="宋体" w:eastAsia="宋体"/>
          <w:sz w:val="24"/>
          <w:szCs w:val="24"/>
        </w:rPr>
        <w:t>＋Q</w:t>
      </w:r>
      <w:r>
        <w:rPr>
          <w:rFonts w:hint="eastAsia" w:ascii="宋体" w:hAnsi="宋体" w:eastAsia="宋体"/>
          <w:sz w:val="24"/>
          <w:szCs w:val="24"/>
          <w:vertAlign w:val="subscript"/>
        </w:rPr>
        <w:t>A</w:t>
      </w:r>
      <w:r>
        <w:rPr>
          <w:rFonts w:ascii="宋体" w:hAnsi="宋体" w:eastAsia="宋体"/>
          <w:sz w:val="24"/>
          <w:szCs w:val="24"/>
        </w:rPr>
        <w:t>）/10</w:t>
      </w:r>
      <w:r>
        <w:rPr>
          <w:rFonts w:hint="eastAsia" w:ascii="宋体" w:hAnsi="宋体" w:eastAsia="宋体"/>
          <w:sz w:val="24"/>
          <w:szCs w:val="24"/>
        </w:rPr>
        <w:t xml:space="preserve">          </w:t>
      </w:r>
      <w:r>
        <w:rPr>
          <w:rFonts w:hint="eastAsia" w:ascii="宋体" w:hAnsi="宋体" w:eastAsia="宋体" w:cs="宋体"/>
          <w:bCs/>
          <w:sz w:val="24"/>
          <w:szCs w:val="24"/>
        </w:rPr>
        <w:t>（</w:t>
      </w:r>
      <w:r>
        <w:rPr>
          <w:rFonts w:ascii="宋体" w:hAnsi="宋体" w:eastAsia="宋体"/>
          <w:bCs/>
          <w:sz w:val="24"/>
          <w:szCs w:val="24"/>
        </w:rPr>
        <w:t>3.2.</w:t>
      </w:r>
      <w:r>
        <w:rPr>
          <w:rFonts w:hint="eastAsia" w:ascii="宋体" w:hAnsi="宋体" w:eastAsia="宋体"/>
          <w:bCs/>
          <w:sz w:val="24"/>
          <w:szCs w:val="24"/>
        </w:rPr>
        <w:t>5</w:t>
      </w:r>
      <w:r>
        <w:rPr>
          <w:rFonts w:hint="eastAsia" w:ascii="宋体" w:hAnsi="宋体" w:eastAsia="宋体" w:cs="宋体"/>
          <w:bCs/>
          <w:sz w:val="24"/>
          <w:szCs w:val="24"/>
        </w:rPr>
        <w:t>）</w:t>
      </w:r>
    </w:p>
    <w:p>
      <w:pPr>
        <w:adjustRightInd w:val="0"/>
        <w:snapToGrid w:val="0"/>
        <w:spacing w:line="360" w:lineRule="auto"/>
        <w:jc w:val="center"/>
        <w:rPr>
          <w:rFonts w:ascii="宋体" w:hAnsi="宋体" w:eastAsia="宋体"/>
          <w:b/>
          <w:bCs/>
          <w:sz w:val="24"/>
          <w:szCs w:val="24"/>
        </w:rPr>
      </w:pPr>
      <w:r>
        <w:rPr>
          <w:rFonts w:ascii="宋体" w:hAnsi="宋体" w:eastAsia="宋体"/>
          <w:b/>
          <w:bCs/>
          <w:sz w:val="24"/>
          <w:szCs w:val="24"/>
        </w:rPr>
        <w:t>表3.2.</w:t>
      </w:r>
      <w:r>
        <w:rPr>
          <w:rFonts w:hint="eastAsia" w:ascii="宋体" w:hAnsi="宋体" w:eastAsia="宋体"/>
          <w:b/>
          <w:bCs/>
          <w:sz w:val="24"/>
          <w:szCs w:val="24"/>
        </w:rPr>
        <w:t>5</w:t>
      </w:r>
      <w:r>
        <w:rPr>
          <w:rFonts w:ascii="宋体" w:hAnsi="宋体" w:eastAsia="宋体"/>
          <w:b/>
          <w:bCs/>
          <w:sz w:val="24"/>
          <w:szCs w:val="24"/>
        </w:rPr>
        <w:t>各类评价指标的满分值</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274"/>
        <w:gridCol w:w="1160"/>
        <w:gridCol w:w="1160"/>
        <w:gridCol w:w="1235"/>
        <w:gridCol w:w="1269"/>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00" w:type="pct"/>
            <w:gridSpan w:val="7"/>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18"/>
                <w:szCs w:val="18"/>
              </w:rPr>
              <w:t>评分项满分值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ascii="宋体" w:hAnsi="宋体" w:eastAsia="宋体"/>
              </w:rPr>
              <w:t>安全耐久</w:t>
            </w:r>
            <w:r>
              <w:rPr>
                <w:rFonts w:ascii="宋体" w:hAnsi="宋体" w:eastAsia="宋体"/>
                <w:i/>
                <w:iCs/>
              </w:rPr>
              <w:t>Q1</w:t>
            </w:r>
          </w:p>
        </w:tc>
        <w:tc>
          <w:tcPr>
            <w:tcW w:w="747"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ascii="宋体" w:hAnsi="宋体" w:eastAsia="宋体"/>
              </w:rPr>
              <w:t>便捷高效</w:t>
            </w:r>
            <w:r>
              <w:rPr>
                <w:rFonts w:ascii="宋体" w:hAnsi="宋体" w:eastAsia="宋体"/>
                <w:i/>
                <w:iCs/>
              </w:rPr>
              <w:t>Q2</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ascii="宋体" w:hAnsi="宋体" w:eastAsia="宋体"/>
              </w:rPr>
              <w:t>健康舒适</w:t>
            </w:r>
            <w:r>
              <w:rPr>
                <w:rFonts w:ascii="宋体" w:hAnsi="宋体" w:eastAsia="宋体"/>
                <w:i/>
                <w:iCs/>
              </w:rPr>
              <w:t>Q3</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ascii="宋体" w:hAnsi="宋体" w:eastAsia="宋体"/>
              </w:rPr>
              <w:t>节约资源</w:t>
            </w:r>
            <w:r>
              <w:rPr>
                <w:rFonts w:ascii="宋体" w:hAnsi="宋体" w:eastAsia="宋体"/>
                <w:i/>
                <w:iCs/>
              </w:rPr>
              <w:t>Q4</w:t>
            </w:r>
          </w:p>
        </w:tc>
        <w:tc>
          <w:tcPr>
            <w:tcW w:w="724"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rPr>
            </w:pPr>
            <w:r>
              <w:rPr>
                <w:rFonts w:ascii="宋体" w:hAnsi="宋体" w:eastAsia="宋体"/>
              </w:rPr>
              <w:t>环境友好</w:t>
            </w:r>
            <w:r>
              <w:rPr>
                <w:rFonts w:ascii="宋体" w:hAnsi="宋体" w:eastAsia="宋体"/>
                <w:i/>
                <w:iCs/>
              </w:rPr>
              <w:t>Q5</w:t>
            </w:r>
          </w:p>
        </w:tc>
        <w:tc>
          <w:tcPr>
            <w:tcW w:w="744"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rPr>
            </w:pPr>
            <w:r>
              <w:rPr>
                <w:rFonts w:ascii="宋体" w:hAnsi="宋体" w:eastAsia="宋体"/>
              </w:rPr>
              <w:t>运营服务</w:t>
            </w:r>
            <w:r>
              <w:rPr>
                <w:rFonts w:ascii="宋体" w:hAnsi="宋体" w:eastAsia="宋体"/>
                <w:i/>
                <w:iCs/>
              </w:rPr>
              <w:t>Q</w:t>
            </w:r>
            <w:r>
              <w:rPr>
                <w:rFonts w:hint="eastAsia" w:ascii="宋体" w:hAnsi="宋体" w:eastAsia="宋体"/>
                <w:i/>
                <w:iCs/>
              </w:rPr>
              <w:t>6</w:t>
            </w:r>
          </w:p>
        </w:tc>
        <w:tc>
          <w:tcPr>
            <w:tcW w:w="74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ascii="宋体" w:hAnsi="宋体" w:eastAsia="宋体"/>
              </w:rPr>
              <w:t>提高创新</w:t>
            </w:r>
            <w:r>
              <w:rPr>
                <w:rFonts w:ascii="宋体" w:hAnsi="宋体" w:eastAsia="宋体"/>
                <w:i/>
                <w:iCs/>
              </w:rPr>
              <w:t>Q</w:t>
            </w:r>
            <w:r>
              <w:rPr>
                <w:rFonts w:hint="eastAsia" w:ascii="宋体" w:hAnsi="宋体" w:eastAsia="宋体"/>
                <w:i/>
                <w:iC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1</w:t>
            </w:r>
            <w:r>
              <w:rPr>
                <w:rFonts w:ascii="宋体" w:hAnsi="宋体" w:eastAsia="宋体"/>
              </w:rPr>
              <w:t>00</w:t>
            </w:r>
          </w:p>
        </w:tc>
        <w:tc>
          <w:tcPr>
            <w:tcW w:w="747"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ascii="宋体" w:hAnsi="宋体" w:eastAsia="宋体"/>
              </w:rPr>
              <w:t>2</w:t>
            </w:r>
            <w:r>
              <w:rPr>
                <w:rFonts w:hint="eastAsia" w:ascii="宋体" w:hAnsi="宋体" w:eastAsia="宋体"/>
              </w:rPr>
              <w:t>0</w:t>
            </w:r>
            <w:r>
              <w:rPr>
                <w:rFonts w:ascii="宋体" w:hAnsi="宋体" w:eastAsia="宋体"/>
              </w:rPr>
              <w:t>0</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15</w:t>
            </w:r>
            <w:r>
              <w:rPr>
                <w:rFonts w:ascii="宋体" w:hAnsi="宋体" w:eastAsia="宋体"/>
              </w:rPr>
              <w:t>0</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25</w:t>
            </w:r>
            <w:r>
              <w:rPr>
                <w:rFonts w:ascii="宋体" w:hAnsi="宋体" w:eastAsia="宋体"/>
              </w:rPr>
              <w:t>0</w:t>
            </w:r>
          </w:p>
        </w:tc>
        <w:tc>
          <w:tcPr>
            <w:tcW w:w="724"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rPr>
            </w:pPr>
            <w:r>
              <w:rPr>
                <w:rFonts w:hint="eastAsia" w:ascii="宋体" w:hAnsi="宋体" w:eastAsia="宋体"/>
              </w:rPr>
              <w:t>100</w:t>
            </w:r>
          </w:p>
        </w:tc>
        <w:tc>
          <w:tcPr>
            <w:tcW w:w="744"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auto"/>
              <w:jc w:val="center"/>
              <w:rPr>
                <w:rFonts w:ascii="宋体" w:hAnsi="宋体" w:eastAsia="宋体"/>
              </w:rPr>
            </w:pPr>
            <w:r>
              <w:rPr>
                <w:rFonts w:hint="eastAsia" w:ascii="宋体" w:hAnsi="宋体" w:eastAsia="宋体"/>
              </w:rPr>
              <w:t>200</w:t>
            </w:r>
          </w:p>
        </w:tc>
        <w:tc>
          <w:tcPr>
            <w:tcW w:w="74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eastAsia="宋体"/>
              </w:rPr>
            </w:pPr>
            <w:r>
              <w:rPr>
                <w:rFonts w:ascii="宋体" w:hAnsi="宋体" w:eastAsia="宋体"/>
              </w:rPr>
              <w:t>1</w:t>
            </w:r>
            <w:r>
              <w:rPr>
                <w:rFonts w:hint="eastAsia" w:ascii="宋体" w:hAnsi="宋体" w:eastAsia="宋体"/>
              </w:rPr>
              <w:t>0</w:t>
            </w:r>
            <w:r>
              <w:rPr>
                <w:rFonts w:ascii="宋体" w:hAnsi="宋体" w:eastAsia="宋体"/>
              </w:rPr>
              <w:t>0</w:t>
            </w:r>
          </w:p>
        </w:tc>
      </w:tr>
    </w:tbl>
    <w:p>
      <w:pPr>
        <w:adjustRightInd w:val="0"/>
        <w:snapToGrid w:val="0"/>
        <w:spacing w:line="360" w:lineRule="auto"/>
        <w:jc w:val="center"/>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3.2.</w:t>
      </w:r>
      <w:r>
        <w:rPr>
          <w:rFonts w:hint="eastAsia" w:ascii="宋体" w:hAnsi="宋体" w:eastAsia="宋体"/>
          <w:b/>
          <w:bCs/>
          <w:sz w:val="24"/>
          <w:szCs w:val="24"/>
        </w:rPr>
        <w:t xml:space="preserve">6  </w:t>
      </w:r>
      <w:r>
        <w:rPr>
          <w:rFonts w:ascii="宋体" w:hAnsi="宋体" w:eastAsia="宋体"/>
          <w:sz w:val="24"/>
          <w:szCs w:val="24"/>
        </w:rPr>
        <w:t>绿色轨道交通等级应按下列要求确定：</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绿色轨道交通划分为基本级、一星级、二星级、三星级</w:t>
      </w:r>
      <w:r>
        <w:rPr>
          <w:rFonts w:hint="eastAsia" w:ascii="宋体" w:hAnsi="宋体" w:eastAsia="宋体"/>
          <w:sz w:val="24"/>
          <w:szCs w:val="24"/>
        </w:rPr>
        <w:t>4</w:t>
      </w:r>
      <w:r>
        <w:rPr>
          <w:rFonts w:ascii="宋体" w:hAnsi="宋体" w:eastAsia="宋体"/>
          <w:sz w:val="24"/>
          <w:szCs w:val="24"/>
        </w:rPr>
        <w:t>个等级；</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当满足全部控制项要求时，绿色轨道交通应为基本级；</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一星级、二星级、三星级</w:t>
      </w:r>
      <w:r>
        <w:rPr>
          <w:rFonts w:hint="eastAsia" w:ascii="宋体" w:hAnsi="宋体" w:eastAsia="宋体"/>
          <w:sz w:val="24"/>
          <w:szCs w:val="24"/>
        </w:rPr>
        <w:t>3</w:t>
      </w:r>
      <w:r>
        <w:rPr>
          <w:rFonts w:ascii="宋体" w:hAnsi="宋体" w:eastAsia="宋体"/>
          <w:sz w:val="24"/>
          <w:szCs w:val="24"/>
        </w:rPr>
        <w:t>个等级的绿色轨道交通均应满足本标准所有控制项的要求，且各类指标的评分项得分不应小于其评分项满分值的30%；</w:t>
      </w:r>
    </w:p>
    <w:p>
      <w:pPr>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b/>
          <w:sz w:val="24"/>
          <w:szCs w:val="24"/>
        </w:rPr>
        <w:t>4</w:t>
      </w:r>
      <w:r>
        <w:rPr>
          <w:rFonts w:hint="eastAsia" w:ascii="宋体" w:hAnsi="宋体" w:eastAsia="宋体"/>
          <w:sz w:val="24"/>
          <w:szCs w:val="24"/>
        </w:rPr>
        <w:t xml:space="preserve">  </w:t>
      </w:r>
      <w:r>
        <w:rPr>
          <w:rFonts w:hint="eastAsia" w:ascii="宋体" w:hAnsi="宋体" w:eastAsia="宋体" w:cs="宋体"/>
          <w:sz w:val="24"/>
          <w:szCs w:val="24"/>
        </w:rPr>
        <w:t>当总得分分别达到</w:t>
      </w:r>
      <w:r>
        <w:rPr>
          <w:rFonts w:ascii="宋体" w:hAnsi="宋体" w:eastAsia="宋体"/>
          <w:sz w:val="24"/>
          <w:szCs w:val="24"/>
        </w:rPr>
        <w:t>60</w:t>
      </w:r>
      <w:r>
        <w:rPr>
          <w:rFonts w:hint="eastAsia" w:ascii="宋体" w:hAnsi="宋体" w:eastAsia="宋体" w:cs="宋体"/>
          <w:sz w:val="24"/>
          <w:szCs w:val="24"/>
        </w:rPr>
        <w:t>分、</w:t>
      </w:r>
      <w:r>
        <w:rPr>
          <w:rFonts w:ascii="宋体" w:hAnsi="宋体" w:eastAsia="宋体"/>
          <w:sz w:val="24"/>
          <w:szCs w:val="24"/>
        </w:rPr>
        <w:t>70</w:t>
      </w:r>
      <w:r>
        <w:rPr>
          <w:rFonts w:hint="eastAsia" w:ascii="宋体" w:hAnsi="宋体" w:eastAsia="宋体" w:cs="宋体"/>
          <w:sz w:val="24"/>
          <w:szCs w:val="24"/>
        </w:rPr>
        <w:t>分、</w:t>
      </w:r>
      <w:r>
        <w:rPr>
          <w:rFonts w:hint="eastAsia" w:ascii="宋体" w:hAnsi="宋体" w:eastAsia="宋体"/>
          <w:sz w:val="24"/>
          <w:szCs w:val="24"/>
        </w:rPr>
        <w:t>85</w:t>
      </w:r>
      <w:r>
        <w:rPr>
          <w:rFonts w:hint="eastAsia" w:ascii="宋体" w:hAnsi="宋体" w:eastAsia="宋体" w:cs="宋体"/>
          <w:sz w:val="24"/>
          <w:szCs w:val="24"/>
        </w:rPr>
        <w:t>分时，绿色轨道交通等级分别为一星级、二星级、三星级。</w:t>
      </w:r>
    </w:p>
    <w:p>
      <w:pPr>
        <w:widowControl/>
        <w:spacing w:line="360" w:lineRule="auto"/>
        <w:jc w:val="left"/>
        <w:rPr>
          <w:rFonts w:ascii="宋体" w:hAnsi="宋体" w:eastAsia="宋体"/>
          <w:bCs/>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bCs/>
          <w:sz w:val="24"/>
          <w:szCs w:val="24"/>
        </w:rPr>
        <w:t>3.2.</w:t>
      </w:r>
      <w:r>
        <w:rPr>
          <w:rFonts w:hint="eastAsia" w:ascii="宋体" w:hAnsi="宋体" w:eastAsia="宋体"/>
          <w:b/>
          <w:bCs/>
          <w:sz w:val="24"/>
          <w:szCs w:val="24"/>
        </w:rPr>
        <w:t xml:space="preserve">7  </w:t>
      </w:r>
      <w:r>
        <w:rPr>
          <w:rFonts w:hint="eastAsia" w:ascii="宋体" w:hAnsi="宋体" w:eastAsia="宋体"/>
          <w:bCs/>
          <w:sz w:val="24"/>
          <w:szCs w:val="24"/>
        </w:rPr>
        <w:t>对评分条款，若存在只有部分车站或场所符合该条款的情况，其评分值按占全线数量的比例计算。</w:t>
      </w:r>
    </w:p>
    <w:p>
      <w:pPr>
        <w:adjustRightInd w:val="0"/>
        <w:snapToGrid w:val="0"/>
        <w:spacing w:line="360" w:lineRule="auto"/>
        <w:jc w:val="left"/>
        <w:rPr>
          <w:rFonts w:ascii="宋体" w:hAnsi="宋体" w:eastAsia="宋体"/>
          <w:sz w:val="24"/>
          <w:szCs w:val="24"/>
        </w:rPr>
      </w:pPr>
    </w:p>
    <w:p>
      <w:pPr>
        <w:pStyle w:val="2"/>
        <w:spacing w:before="624" w:after="624"/>
      </w:pPr>
      <w:bookmarkStart w:id="16" w:name="_Toc77584223"/>
      <w:bookmarkStart w:id="17" w:name="_Toc60822232"/>
      <w:r>
        <w:t>4</w:t>
      </w:r>
      <w:r>
        <w:rPr>
          <w:rFonts w:hint="eastAsia"/>
        </w:rPr>
        <w:t xml:space="preserve">  </w:t>
      </w:r>
      <w:r>
        <w:t>安全耐久</w:t>
      </w:r>
      <w:bookmarkEnd w:id="16"/>
      <w:bookmarkEnd w:id="17"/>
    </w:p>
    <w:p>
      <w:pPr>
        <w:pStyle w:val="3"/>
        <w:spacing w:before="468" w:after="468"/>
      </w:pPr>
      <w:bookmarkStart w:id="18" w:name="_Toc60822233"/>
      <w:bookmarkStart w:id="19" w:name="_Toc77584224"/>
      <w:r>
        <w:t>4.1</w:t>
      </w:r>
      <w:r>
        <w:rPr>
          <w:rFonts w:hint="eastAsia"/>
        </w:rPr>
        <w:t xml:space="preserve">  </w:t>
      </w:r>
      <w:r>
        <w:t>控制项</w:t>
      </w:r>
      <w:bookmarkEnd w:id="18"/>
      <w:bookmarkEnd w:id="19"/>
    </w:p>
    <w:p>
      <w:pPr>
        <w:widowControl/>
        <w:adjustRightInd w:val="0"/>
        <w:snapToGrid w:val="0"/>
        <w:spacing w:line="360" w:lineRule="auto"/>
        <w:jc w:val="left"/>
        <w:rPr>
          <w:rFonts w:ascii="宋体" w:hAnsi="宋体" w:eastAsia="宋体"/>
          <w:sz w:val="24"/>
          <w:szCs w:val="24"/>
        </w:rPr>
      </w:pPr>
      <w:r>
        <w:rPr>
          <w:rFonts w:ascii="宋体" w:hAnsi="宋体" w:eastAsia="宋体"/>
          <w:b/>
          <w:bCs/>
          <w:sz w:val="24"/>
          <w:szCs w:val="24"/>
        </w:rPr>
        <w:t>4.1.1</w:t>
      </w:r>
      <w:r>
        <w:rPr>
          <w:rFonts w:hint="eastAsia" w:ascii="宋体" w:hAnsi="宋体" w:eastAsia="宋体"/>
          <w:b/>
          <w:bCs/>
          <w:sz w:val="24"/>
          <w:szCs w:val="24"/>
        </w:rPr>
        <w:t xml:space="preserve">  </w:t>
      </w:r>
      <w:r>
        <w:rPr>
          <w:rFonts w:hint="eastAsia" w:ascii="宋体" w:hAnsi="宋体" w:eastAsia="宋体"/>
          <w:sz w:val="24"/>
          <w:szCs w:val="24"/>
        </w:rPr>
        <w:t>车辆</w:t>
      </w:r>
      <w:r>
        <w:rPr>
          <w:rFonts w:ascii="宋体" w:hAnsi="宋体" w:eastAsia="宋体"/>
          <w:sz w:val="24"/>
          <w:szCs w:val="24"/>
        </w:rPr>
        <w:t>应采取措施防止高压设备危及人</w:t>
      </w:r>
      <w:r>
        <w:rPr>
          <w:rFonts w:hint="eastAsia" w:ascii="宋体" w:hAnsi="宋体" w:eastAsia="宋体"/>
          <w:sz w:val="24"/>
          <w:szCs w:val="24"/>
        </w:rPr>
        <w:t>身</w:t>
      </w:r>
      <w:r>
        <w:rPr>
          <w:rFonts w:ascii="宋体" w:hAnsi="宋体" w:eastAsia="宋体"/>
          <w:sz w:val="24"/>
          <w:szCs w:val="24"/>
        </w:rPr>
        <w:t>安全。一旦发生火灾或其他紧急情况时，除有灭火器外，还应有使乘客迅速疏散、撤离事故车的通道和设施</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 xml:space="preserve">4.1.2 </w:t>
      </w:r>
      <w:r>
        <w:rPr>
          <w:rFonts w:hint="eastAsia" w:ascii="宋体" w:hAnsi="宋体" w:eastAsia="宋体"/>
          <w:b/>
          <w:bCs/>
          <w:sz w:val="24"/>
          <w:szCs w:val="24"/>
        </w:rPr>
        <w:t xml:space="preserve"> </w:t>
      </w:r>
      <w:r>
        <w:rPr>
          <w:rFonts w:hint="eastAsia" w:ascii="宋体" w:hAnsi="宋体" w:eastAsia="宋体"/>
          <w:sz w:val="24"/>
          <w:szCs w:val="24"/>
        </w:rPr>
        <w:t>车辆应具备辅助防撞功能，实现对前方列车和线路上各关键点实时探测与测距</w:t>
      </w:r>
      <w:r>
        <w:rPr>
          <w:rFonts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4.1.3  </w:t>
      </w:r>
      <w:r>
        <w:rPr>
          <w:rFonts w:hint="eastAsia" w:ascii="宋体" w:hAnsi="宋体" w:eastAsia="宋体"/>
          <w:sz w:val="24"/>
          <w:szCs w:val="24"/>
        </w:rPr>
        <w:t>车辆上所使用的材料必须符合车辆环保要求，客室内装材料应满足现行国家标准《机车车辆内装材料及室内空气有害物质限量》TB/T3139。</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4.1.4  </w:t>
      </w:r>
      <w:r>
        <w:rPr>
          <w:rFonts w:hint="eastAsia" w:ascii="宋体" w:hAnsi="宋体" w:eastAsia="宋体"/>
          <w:sz w:val="24"/>
          <w:szCs w:val="24"/>
        </w:rPr>
        <w:t>车辆涂装应采用绿色、环保、安全的材料，满足《铁路机车车辆涂料及涂装涂料》TB/T2879系列要求，车辆涂装应优先采用水性油漆。</w:t>
      </w:r>
    </w:p>
    <w:p>
      <w:pPr>
        <w:spacing w:line="360" w:lineRule="auto"/>
        <w:jc w:val="left"/>
        <w:rPr>
          <w:rFonts w:ascii="宋体" w:hAnsi="宋体" w:eastAsia="宋体"/>
          <w:sz w:val="24"/>
          <w:szCs w:val="24"/>
        </w:rPr>
      </w:pPr>
      <w:r>
        <w:rPr>
          <w:rFonts w:hint="eastAsia" w:ascii="宋体" w:hAnsi="宋体" w:eastAsia="宋体"/>
          <w:b/>
          <w:bCs/>
          <w:sz w:val="24"/>
          <w:szCs w:val="24"/>
        </w:rPr>
        <w:t xml:space="preserve">4.1.5  </w:t>
      </w:r>
      <w:r>
        <w:rPr>
          <w:rFonts w:ascii="宋体" w:hAnsi="宋体" w:eastAsia="宋体"/>
          <w:sz w:val="24"/>
          <w:szCs w:val="24"/>
        </w:rPr>
        <w:t>作为疏散通道的道床面</w:t>
      </w:r>
      <w:r>
        <w:rPr>
          <w:rFonts w:hint="eastAsia" w:ascii="宋体" w:hAnsi="宋体" w:eastAsia="宋体"/>
          <w:sz w:val="24"/>
          <w:szCs w:val="24"/>
        </w:rPr>
        <w:t>应</w:t>
      </w:r>
      <w:r>
        <w:rPr>
          <w:rFonts w:ascii="宋体" w:hAnsi="宋体" w:eastAsia="宋体"/>
          <w:sz w:val="24"/>
          <w:szCs w:val="24"/>
        </w:rPr>
        <w:t>平整、连续、无障碍。</w:t>
      </w:r>
    </w:p>
    <w:p>
      <w:pPr>
        <w:spacing w:line="360" w:lineRule="auto"/>
        <w:jc w:val="left"/>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rPr>
        <w:t xml:space="preserve">1.6  </w:t>
      </w:r>
      <w:r>
        <w:rPr>
          <w:rFonts w:ascii="宋体"/>
          <w:sz w:val="24"/>
        </w:rPr>
        <w:t>尚未使用的道岔</w:t>
      </w:r>
      <w:r>
        <w:rPr>
          <w:rFonts w:hint="eastAsia" w:ascii="宋体"/>
          <w:sz w:val="24"/>
        </w:rPr>
        <w:t>应采取</w:t>
      </w:r>
      <w:r>
        <w:rPr>
          <w:rFonts w:ascii="宋体"/>
          <w:sz w:val="24"/>
        </w:rPr>
        <w:t>道岔定向锁闭</w:t>
      </w:r>
      <w:r>
        <w:rPr>
          <w:rFonts w:hint="eastAsia" w:ascii="宋体"/>
          <w:sz w:val="24"/>
        </w:rPr>
        <w:t>，</w:t>
      </w:r>
      <w:r>
        <w:rPr>
          <w:rFonts w:ascii="宋体"/>
          <w:sz w:val="24"/>
        </w:rPr>
        <w:t>预留延伸线终端</w:t>
      </w:r>
      <w:r>
        <w:rPr>
          <w:rFonts w:hint="eastAsia" w:ascii="宋体"/>
          <w:sz w:val="24"/>
        </w:rPr>
        <w:t>应</w:t>
      </w:r>
      <w:r>
        <w:rPr>
          <w:rFonts w:ascii="宋体"/>
          <w:sz w:val="24"/>
        </w:rPr>
        <w:t>采取设置车挡等安全防护措施</w:t>
      </w:r>
      <w:r>
        <w:rPr>
          <w:rFonts w:ascii="宋体" w:hAnsi="宋体" w:eastAsia="宋体"/>
          <w:sz w:val="24"/>
          <w:szCs w:val="24"/>
        </w:rPr>
        <w:t>。</w:t>
      </w:r>
    </w:p>
    <w:p>
      <w:pPr>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7  </w:t>
      </w:r>
      <w:r>
        <w:rPr>
          <w:rFonts w:hint="eastAsia" w:ascii="宋体" w:hAnsi="宋体" w:eastAsia="宋体"/>
          <w:sz w:val="24"/>
          <w:szCs w:val="24"/>
        </w:rPr>
        <w:t>应</w:t>
      </w:r>
      <w:r>
        <w:rPr>
          <w:rFonts w:ascii="宋体" w:hAnsi="宋体" w:eastAsia="宋体"/>
          <w:sz w:val="24"/>
          <w:szCs w:val="24"/>
        </w:rPr>
        <w:t>具有道岔、钢轨的焊点或栓接部位的探伤检测合格报告，对于无缝线路地段，</w:t>
      </w:r>
      <w:r>
        <w:rPr>
          <w:rFonts w:hint="eastAsia" w:ascii="宋体" w:hAnsi="宋体" w:eastAsia="宋体"/>
          <w:sz w:val="24"/>
          <w:szCs w:val="24"/>
        </w:rPr>
        <w:t>应</w:t>
      </w:r>
      <w:r>
        <w:rPr>
          <w:rFonts w:ascii="宋体" w:hAnsi="宋体" w:eastAsia="宋体"/>
          <w:sz w:val="24"/>
          <w:szCs w:val="24"/>
        </w:rPr>
        <w:t>具有锁定轨温、单元轨节长度和观测桩位置等技术资料。</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8  </w:t>
      </w:r>
      <w:r>
        <w:rPr>
          <w:rFonts w:ascii="宋体" w:hAnsi="宋体" w:eastAsia="宋体"/>
          <w:sz w:val="24"/>
          <w:szCs w:val="24"/>
        </w:rPr>
        <w:t>车站</w:t>
      </w:r>
      <w:r>
        <w:rPr>
          <w:rFonts w:hint="eastAsia" w:ascii="宋体" w:hAnsi="宋体" w:eastAsia="宋体"/>
          <w:sz w:val="24"/>
          <w:szCs w:val="24"/>
        </w:rPr>
        <w:t>及车辆基地</w:t>
      </w:r>
      <w:r>
        <w:rPr>
          <w:rFonts w:ascii="宋体" w:hAnsi="宋体" w:eastAsia="宋体"/>
          <w:sz w:val="24"/>
          <w:szCs w:val="24"/>
        </w:rPr>
        <w:t>选址应</w:t>
      </w:r>
      <w:r>
        <w:rPr>
          <w:rFonts w:hint="eastAsia" w:ascii="宋体" w:hAnsi="宋体" w:eastAsia="宋体"/>
          <w:sz w:val="24"/>
          <w:szCs w:val="24"/>
        </w:rPr>
        <w:t>结合城市规划要求，选址</w:t>
      </w:r>
      <w:r>
        <w:rPr>
          <w:rFonts w:ascii="宋体" w:hAnsi="宋体" w:eastAsia="宋体"/>
          <w:sz w:val="24"/>
          <w:szCs w:val="24"/>
        </w:rPr>
        <w:t>无洪涝、滑坡、泥石流等自然灾害的威胁，</w:t>
      </w:r>
      <w:r>
        <w:rPr>
          <w:rFonts w:hint="eastAsia" w:ascii="宋体" w:hAnsi="宋体" w:eastAsia="宋体"/>
          <w:sz w:val="24"/>
          <w:szCs w:val="24"/>
        </w:rPr>
        <w:t>应</w:t>
      </w:r>
      <w:r>
        <w:rPr>
          <w:rFonts w:ascii="宋体" w:hAnsi="宋体" w:eastAsia="宋体"/>
          <w:sz w:val="24"/>
          <w:szCs w:val="24"/>
        </w:rPr>
        <w:t>避绕抗震不利地段，</w:t>
      </w:r>
      <w:r>
        <w:rPr>
          <w:rFonts w:hint="eastAsia" w:ascii="宋体" w:hAnsi="宋体" w:eastAsia="宋体"/>
          <w:sz w:val="24"/>
          <w:szCs w:val="24"/>
        </w:rPr>
        <w:t>应</w:t>
      </w:r>
      <w:r>
        <w:rPr>
          <w:rFonts w:ascii="宋体" w:hAnsi="宋体" w:eastAsia="宋体"/>
          <w:sz w:val="24"/>
          <w:szCs w:val="24"/>
        </w:rPr>
        <w:t>无危险化学品、易燃易爆等危险源的威胁，</w:t>
      </w:r>
      <w:r>
        <w:rPr>
          <w:rFonts w:hint="eastAsia" w:ascii="宋体" w:hAnsi="宋体" w:eastAsia="宋体"/>
          <w:sz w:val="24"/>
          <w:szCs w:val="24"/>
        </w:rPr>
        <w:t>应</w:t>
      </w:r>
      <w:r>
        <w:rPr>
          <w:rFonts w:ascii="宋体" w:hAnsi="宋体" w:eastAsia="宋体"/>
          <w:sz w:val="24"/>
          <w:szCs w:val="24"/>
        </w:rPr>
        <w:t>无电磁辐射、含氡土壤等危害</w:t>
      </w:r>
      <w:r>
        <w:rPr>
          <w:rFonts w:hint="eastAsia" w:ascii="宋体" w:hAnsi="宋体" w:eastAsia="宋体"/>
          <w:sz w:val="24"/>
          <w:szCs w:val="24"/>
          <w:lang w:eastAsia="zh-CN"/>
        </w:rPr>
        <w:t>。</w:t>
      </w:r>
      <w:r>
        <w:rPr>
          <w:rFonts w:ascii="宋体" w:hAnsi="宋体" w:eastAsia="宋体"/>
          <w:sz w:val="24"/>
          <w:szCs w:val="24"/>
        </w:rPr>
        <w:t xml:space="preserve"> </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4.1.9</w:t>
      </w:r>
      <w:r>
        <w:rPr>
          <w:rFonts w:hint="eastAsia" w:ascii="宋体" w:hAnsi="宋体" w:eastAsia="宋体"/>
          <w:b/>
          <w:bCs/>
          <w:sz w:val="24"/>
          <w:szCs w:val="24"/>
        </w:rPr>
        <w:t xml:space="preserve">  </w:t>
      </w:r>
      <w:r>
        <w:rPr>
          <w:rFonts w:ascii="宋体" w:hAnsi="宋体" w:eastAsia="宋体"/>
          <w:sz w:val="24"/>
          <w:szCs w:val="24"/>
        </w:rPr>
        <w:t>建筑内部的非结构构件、建筑</w:t>
      </w:r>
      <w:r>
        <w:rPr>
          <w:rFonts w:hint="eastAsia" w:ascii="宋体" w:hAnsi="宋体" w:eastAsia="宋体"/>
          <w:sz w:val="24"/>
          <w:szCs w:val="24"/>
        </w:rPr>
        <w:t>装饰</w:t>
      </w:r>
      <w:r>
        <w:rPr>
          <w:rFonts w:ascii="宋体" w:hAnsi="宋体" w:eastAsia="宋体"/>
          <w:sz w:val="24"/>
          <w:szCs w:val="24"/>
        </w:rPr>
        <w:t>装修</w:t>
      </w:r>
      <w:r>
        <w:rPr>
          <w:rFonts w:hint="eastAsia" w:ascii="宋体" w:hAnsi="宋体" w:eastAsia="宋体"/>
          <w:sz w:val="24"/>
          <w:szCs w:val="24"/>
        </w:rPr>
        <w:t>构件</w:t>
      </w:r>
      <w:r>
        <w:rPr>
          <w:rFonts w:ascii="宋体" w:hAnsi="宋体" w:eastAsia="宋体"/>
          <w:sz w:val="24"/>
          <w:szCs w:val="24"/>
        </w:rPr>
        <w:t>、设备及附属设施等应连接牢固并能适应主体结构形变。</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10  </w:t>
      </w:r>
      <w:r>
        <w:rPr>
          <w:rFonts w:hint="eastAsia" w:ascii="宋体" w:hAnsi="宋体"/>
          <w:sz w:val="24"/>
          <w:szCs w:val="24"/>
        </w:rPr>
        <w:t>公共区域</w:t>
      </w:r>
      <w:r>
        <w:rPr>
          <w:rFonts w:ascii="宋体" w:hAnsi="宋体"/>
          <w:sz w:val="24"/>
          <w:szCs w:val="24"/>
        </w:rPr>
        <w:t>应具有</w:t>
      </w:r>
      <w:r>
        <w:rPr>
          <w:rFonts w:hint="eastAsia" w:ascii="宋体" w:hAnsi="宋体"/>
          <w:sz w:val="24"/>
          <w:szCs w:val="24"/>
        </w:rPr>
        <w:t>建筑装饰效果</w:t>
      </w:r>
      <w:r>
        <w:rPr>
          <w:rFonts w:ascii="宋体" w:hAnsi="宋体"/>
          <w:sz w:val="24"/>
          <w:szCs w:val="24"/>
        </w:rPr>
        <w:t>、安全防护的警示和引导标识系统。</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11  </w:t>
      </w:r>
      <w:r>
        <w:rPr>
          <w:rFonts w:hint="eastAsia" w:ascii="宋体" w:hAnsi="宋体" w:eastAsia="宋体"/>
          <w:sz w:val="24"/>
          <w:szCs w:val="24"/>
        </w:rPr>
        <w:t>结构</w:t>
      </w:r>
      <w:r>
        <w:rPr>
          <w:rFonts w:ascii="宋体" w:hAnsi="宋体" w:eastAsia="宋体"/>
          <w:sz w:val="24"/>
          <w:szCs w:val="24"/>
        </w:rPr>
        <w:t>设计应满足承载能力极限状态计算和正常使用极限状态验算的要求。</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12  </w:t>
      </w:r>
      <w:r>
        <w:rPr>
          <w:rFonts w:ascii="宋体" w:hAnsi="宋体" w:eastAsia="宋体"/>
          <w:sz w:val="24"/>
          <w:szCs w:val="24"/>
        </w:rPr>
        <w:t>混凝土结构的耐久性应根据结构的设计使用年限、结构所处的环境类别及作用等级进行设计。</w:t>
      </w:r>
      <w:r>
        <w:rPr>
          <w:rFonts w:hint="eastAsia" w:ascii="宋体" w:hAnsi="宋体" w:eastAsia="宋体"/>
          <w:sz w:val="24"/>
          <w:szCs w:val="24"/>
        </w:rPr>
        <w:t>当处于</w:t>
      </w:r>
      <w:r>
        <w:rPr>
          <w:rFonts w:ascii="宋体" w:hAnsi="宋体" w:eastAsia="宋体"/>
          <w:sz w:val="24"/>
          <w:szCs w:val="24"/>
        </w:rPr>
        <w:t>海洋氯化物、硫酸盐</w:t>
      </w:r>
      <w:r>
        <w:rPr>
          <w:rFonts w:hint="eastAsia" w:ascii="宋体" w:hAnsi="宋体" w:eastAsia="宋体"/>
          <w:sz w:val="24"/>
          <w:szCs w:val="24"/>
        </w:rPr>
        <w:t>或碳酸盐</w:t>
      </w:r>
      <w:r>
        <w:rPr>
          <w:rFonts w:ascii="宋体" w:hAnsi="宋体" w:eastAsia="宋体"/>
          <w:sz w:val="24"/>
          <w:szCs w:val="24"/>
        </w:rPr>
        <w:t>环境下，混凝土结构</w:t>
      </w:r>
      <w:r>
        <w:rPr>
          <w:rFonts w:hint="eastAsia" w:ascii="宋体" w:hAnsi="宋体" w:eastAsia="宋体"/>
          <w:sz w:val="24"/>
          <w:szCs w:val="24"/>
        </w:rPr>
        <w:t>应</w:t>
      </w:r>
      <w:r>
        <w:rPr>
          <w:rFonts w:ascii="宋体" w:hAnsi="宋体" w:eastAsia="宋体"/>
          <w:sz w:val="24"/>
          <w:szCs w:val="24"/>
        </w:rPr>
        <w:t>采取合理</w:t>
      </w:r>
      <w:r>
        <w:rPr>
          <w:rFonts w:hint="eastAsia" w:ascii="宋体" w:hAnsi="宋体" w:eastAsia="宋体"/>
          <w:sz w:val="24"/>
          <w:szCs w:val="24"/>
        </w:rPr>
        <w:t>的</w:t>
      </w:r>
      <w:r>
        <w:rPr>
          <w:rFonts w:ascii="宋体" w:hAnsi="宋体" w:eastAsia="宋体"/>
          <w:sz w:val="24"/>
          <w:szCs w:val="24"/>
        </w:rPr>
        <w:t>防腐蚀附加措施或多重防护策略。</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4.1.1</w:t>
      </w:r>
      <w:r>
        <w:rPr>
          <w:rFonts w:hint="eastAsia" w:ascii="宋体" w:hAnsi="宋体" w:eastAsia="宋体"/>
          <w:b/>
          <w:bCs/>
          <w:sz w:val="24"/>
          <w:szCs w:val="24"/>
        </w:rPr>
        <w:t xml:space="preserve">3  </w:t>
      </w:r>
      <w:r>
        <w:rPr>
          <w:rFonts w:hint="eastAsia" w:ascii="宋体" w:hAnsi="宋体"/>
          <w:sz w:val="24"/>
          <w:szCs w:val="24"/>
        </w:rPr>
        <w:t>通风、空气调节设备应预留有系统设备、管道及配件安装、操作、测量、调试和维修的空间,并应在土建设计中预留安装和维修用的孔洞。系统大型设备及管道应设置运输通道和起吊设施。</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4.1.1</w:t>
      </w:r>
      <w:r>
        <w:rPr>
          <w:rFonts w:hint="eastAsia" w:ascii="宋体" w:hAnsi="宋体" w:eastAsia="宋体"/>
          <w:b/>
          <w:bCs/>
          <w:sz w:val="24"/>
          <w:szCs w:val="24"/>
        </w:rPr>
        <w:t xml:space="preserve">4  </w:t>
      </w:r>
      <w:r>
        <w:rPr>
          <w:rFonts w:hint="eastAsia" w:ascii="宋体" w:hAnsi="宋体"/>
          <w:sz w:val="24"/>
          <w:szCs w:val="24"/>
        </w:rPr>
        <w:t>通风、空气调节系统的管道、保温及消声材料应具有防潮、防腐、防蛀、耐老化和无毒的性能，应采用A级不燃材料,局部部位不能满足时可采用B1级难燃材料。</w:t>
      </w:r>
    </w:p>
    <w:p>
      <w:pPr>
        <w:adjustRightInd w:val="0"/>
        <w:snapToGrid w:val="0"/>
        <w:spacing w:line="360" w:lineRule="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rPr>
        <w:t>1</w:t>
      </w:r>
      <w:r>
        <w:rPr>
          <w:rFonts w:ascii="宋体" w:hAnsi="宋体" w:eastAsia="宋体"/>
          <w:b/>
          <w:bCs/>
          <w:sz w:val="24"/>
          <w:szCs w:val="24"/>
        </w:rPr>
        <w:t>.1</w:t>
      </w:r>
      <w:r>
        <w:rPr>
          <w:rFonts w:hint="eastAsia" w:ascii="宋体" w:hAnsi="宋体" w:eastAsia="宋体"/>
          <w:b/>
          <w:bCs/>
          <w:sz w:val="24"/>
          <w:szCs w:val="24"/>
        </w:rPr>
        <w:t xml:space="preserve">7  </w:t>
      </w:r>
      <w:r>
        <w:rPr>
          <w:rFonts w:hint="eastAsia" w:ascii="宋体" w:hAnsi="宋体" w:eastAsia="宋体"/>
          <w:sz w:val="24"/>
          <w:szCs w:val="24"/>
        </w:rPr>
        <w:t>气体灭火系统应设置气体灭火压力监测系统。</w:t>
      </w:r>
    </w:p>
    <w:p>
      <w:pPr>
        <w:adjustRightInd w:val="0"/>
        <w:snapToGrid w:val="0"/>
        <w:spacing w:line="360" w:lineRule="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rPr>
        <w:t>1</w:t>
      </w:r>
      <w:r>
        <w:rPr>
          <w:rFonts w:ascii="宋体" w:hAnsi="宋体" w:eastAsia="宋体"/>
          <w:b/>
          <w:bCs/>
          <w:sz w:val="24"/>
          <w:szCs w:val="24"/>
        </w:rPr>
        <w:t>.1</w:t>
      </w:r>
      <w:r>
        <w:rPr>
          <w:rFonts w:hint="eastAsia" w:ascii="宋体" w:hAnsi="宋体" w:eastAsia="宋体"/>
          <w:b/>
          <w:bCs/>
          <w:sz w:val="24"/>
          <w:szCs w:val="24"/>
        </w:rPr>
        <w:t xml:space="preserve">8  </w:t>
      </w:r>
      <w:r>
        <w:rPr>
          <w:rFonts w:hint="eastAsia" w:ascii="宋体" w:hAnsi="宋体" w:eastAsia="宋体"/>
          <w:sz w:val="24"/>
          <w:szCs w:val="24"/>
        </w:rPr>
        <w:t>气体灭火系统应设置气瓶爆裂预警探测系统。</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4.1.19  </w:t>
      </w:r>
      <w:r>
        <w:rPr>
          <w:rFonts w:hint="eastAsia" w:ascii="宋体" w:hAnsi="宋体" w:eastAsia="宋体"/>
          <w:sz w:val="24"/>
          <w:szCs w:val="24"/>
        </w:rPr>
        <w:t>供电系统中的各类变电所均应具备双重电源。每个进线电源的容量应满足变电所一、二级负荷的要求。主变电所、电源开闭所进线电源应至少有一回为专线电源。</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4.1.20  </w:t>
      </w:r>
      <w:r>
        <w:rPr>
          <w:rFonts w:hint="eastAsia" w:ascii="宋体" w:hAnsi="宋体" w:eastAsia="宋体"/>
          <w:sz w:val="24"/>
          <w:szCs w:val="24"/>
        </w:rPr>
        <w:t>供电系统应进行防雷、接地及过电压保护设计。</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4.1.21  </w:t>
      </w:r>
      <w:r>
        <w:rPr>
          <w:rFonts w:hint="eastAsia" w:ascii="宋体" w:hAnsi="宋体" w:eastAsia="宋体"/>
          <w:sz w:val="24"/>
          <w:szCs w:val="24"/>
        </w:rPr>
        <w:t>直流牵引供电制式线路杂散电流防护设计应列入地铁建设工程总体规划，在工程可行性研究阶段或初步设计阶段应进行技术、经济、环保、安全性论证与评估，并应与相关专业进行统筹、协调与综合设计。</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4.1.22  </w:t>
      </w:r>
      <w:r>
        <w:rPr>
          <w:rFonts w:hint="eastAsia" w:ascii="宋体" w:hAnsi="宋体" w:eastAsia="宋体"/>
          <w:sz w:val="24"/>
          <w:szCs w:val="24"/>
        </w:rPr>
        <w:t>交流牵引供电制式线路应针对沿线管线、特殊建构筑物等进行电磁干扰防护及交流干扰防护论证及评估，并根据评估情况采用相应的防护设计。</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4.1.23  </w:t>
      </w:r>
      <w:r>
        <w:rPr>
          <w:rFonts w:hint="eastAsia" w:ascii="宋体" w:hAnsi="宋体" w:eastAsia="宋体"/>
          <w:sz w:val="24"/>
          <w:szCs w:val="24"/>
        </w:rPr>
        <w:t>地下线路应选用低烟、无卤、低毒的阻燃或耐火电线、电缆、光缆。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4.1.24  </w:t>
      </w:r>
      <w:r>
        <w:rPr>
          <w:rFonts w:hint="eastAsia" w:ascii="宋体" w:hAnsi="宋体" w:eastAsia="宋体"/>
          <w:sz w:val="24"/>
          <w:szCs w:val="24"/>
        </w:rPr>
        <w:t>直流牵引供电制式系统，应将走行轨电位有效控制在合理范围内。</w:t>
      </w:r>
    </w:p>
    <w:p>
      <w:pPr>
        <w:adjustRightInd w:val="0"/>
        <w:snapToGrid w:val="0"/>
        <w:spacing w:line="360" w:lineRule="auto"/>
        <w:rPr>
          <w:rFonts w:ascii="宋体" w:hAnsi="宋体" w:eastAsia="宋体"/>
          <w:sz w:val="24"/>
          <w:szCs w:val="28"/>
        </w:rPr>
      </w:pPr>
      <w:r>
        <w:rPr>
          <w:rFonts w:hint="eastAsia" w:ascii="宋体" w:hAnsi="宋体" w:eastAsia="宋体"/>
          <w:b/>
          <w:bCs/>
          <w:sz w:val="24"/>
          <w:szCs w:val="24"/>
        </w:rPr>
        <w:t xml:space="preserve">4.1.25  </w:t>
      </w:r>
      <w:r>
        <w:rPr>
          <w:rFonts w:hint="eastAsia" w:ascii="宋体" w:hAnsi="宋体" w:eastAsia="宋体"/>
          <w:sz w:val="24"/>
          <w:szCs w:val="28"/>
        </w:rPr>
        <w:t>列车应设置车载</w:t>
      </w:r>
      <w:r>
        <w:rPr>
          <w:rFonts w:ascii="宋体" w:hAnsi="宋体" w:eastAsia="宋体"/>
          <w:sz w:val="24"/>
          <w:szCs w:val="28"/>
        </w:rPr>
        <w:t>视频</w:t>
      </w:r>
      <w:r>
        <w:rPr>
          <w:rFonts w:hint="eastAsia" w:ascii="宋体" w:hAnsi="宋体" w:eastAsia="宋体"/>
          <w:sz w:val="24"/>
          <w:szCs w:val="28"/>
        </w:rPr>
        <w:t xml:space="preserve">监视系统，并将相关视频信息上传到车站及线路控制中心。 </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26  </w:t>
      </w:r>
      <w:r>
        <w:rPr>
          <w:rFonts w:ascii="宋体" w:hAnsi="宋体" w:eastAsia="宋体"/>
          <w:sz w:val="24"/>
          <w:szCs w:val="24"/>
        </w:rPr>
        <w:t>站台门结构应能适应土建结构沉降。</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4.1.2</w:t>
      </w:r>
      <w:r>
        <w:rPr>
          <w:rFonts w:hint="eastAsia" w:ascii="宋体" w:hAnsi="宋体" w:eastAsia="宋体"/>
          <w:b/>
          <w:bCs/>
          <w:sz w:val="24"/>
          <w:szCs w:val="24"/>
        </w:rPr>
        <w:t xml:space="preserve">7  </w:t>
      </w:r>
      <w:r>
        <w:rPr>
          <w:rFonts w:ascii="宋体" w:hAnsi="宋体" w:eastAsia="宋体"/>
          <w:sz w:val="24"/>
          <w:szCs w:val="24"/>
        </w:rPr>
        <w:t>站台门应具备列车与站台门空隙防夹人及自身门体防夹人措施。</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28  </w:t>
      </w:r>
      <w:r>
        <w:rPr>
          <w:rFonts w:ascii="宋体" w:hAnsi="宋体" w:eastAsia="宋体"/>
          <w:sz w:val="24"/>
          <w:szCs w:val="24"/>
        </w:rPr>
        <w:t>自动扶梯</w:t>
      </w:r>
      <w:r>
        <w:rPr>
          <w:rFonts w:hint="eastAsia" w:ascii="宋体" w:hAnsi="宋体" w:eastAsia="宋体"/>
          <w:sz w:val="24"/>
          <w:szCs w:val="24"/>
        </w:rPr>
        <w:t>应</w:t>
      </w:r>
      <w:r>
        <w:rPr>
          <w:rFonts w:ascii="宋体" w:hAnsi="宋体" w:eastAsia="宋体"/>
          <w:sz w:val="24"/>
          <w:szCs w:val="24"/>
        </w:rPr>
        <w:t>采用重载荷公共交通型自动扶梯，在大客流工况下，整机寿命不应小于40年，大修周期不应小于20年。</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29  </w:t>
      </w:r>
      <w:r>
        <w:rPr>
          <w:rFonts w:ascii="宋体" w:hAnsi="宋体" w:eastAsia="宋体"/>
          <w:sz w:val="24"/>
          <w:szCs w:val="24"/>
        </w:rPr>
        <w:t>自动扶梯、电梯应设置状态监视、故障报警系统。</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4.1.</w:t>
      </w:r>
      <w:r>
        <w:rPr>
          <w:rFonts w:hint="eastAsia" w:ascii="宋体" w:hAnsi="宋体" w:eastAsia="宋体"/>
          <w:b/>
          <w:bCs/>
          <w:sz w:val="24"/>
          <w:szCs w:val="24"/>
        </w:rPr>
        <w:t xml:space="preserve">30  </w:t>
      </w:r>
      <w:r>
        <w:rPr>
          <w:rFonts w:ascii="宋体" w:hAnsi="宋体" w:eastAsia="宋体"/>
          <w:sz w:val="24"/>
          <w:szCs w:val="24"/>
        </w:rPr>
        <w:t>电气设备</w:t>
      </w:r>
      <w:r>
        <w:rPr>
          <w:rFonts w:hint="eastAsia" w:ascii="宋体" w:hAnsi="宋体" w:eastAsia="宋体"/>
          <w:sz w:val="24"/>
          <w:szCs w:val="24"/>
        </w:rPr>
        <w:t>应</w:t>
      </w:r>
      <w:r>
        <w:rPr>
          <w:rFonts w:ascii="宋体" w:hAnsi="宋体" w:eastAsia="宋体"/>
          <w:sz w:val="24"/>
          <w:szCs w:val="24"/>
        </w:rPr>
        <w:t>按照《剩余电流动作保护装置安装和运行》 GB/T 13955的要求设置人身安全保护。</w:t>
      </w:r>
    </w:p>
    <w:p>
      <w:pPr>
        <w:pStyle w:val="3"/>
        <w:spacing w:before="468" w:after="468"/>
      </w:pPr>
      <w:bookmarkStart w:id="20" w:name="_Toc60822234"/>
      <w:bookmarkStart w:id="21" w:name="_Toc77584225"/>
      <w:r>
        <w:t>4.</w:t>
      </w:r>
      <w:r>
        <w:rPr>
          <w:rFonts w:hint="eastAsia"/>
        </w:rPr>
        <w:t xml:space="preserve">2  </w:t>
      </w:r>
      <w:r>
        <w:t>评分项</w:t>
      </w:r>
      <w:bookmarkEnd w:id="20"/>
      <w:bookmarkEnd w:id="21"/>
    </w:p>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4.2.1</w:t>
      </w:r>
      <w:r>
        <w:rPr>
          <w:rFonts w:hint="eastAsia" w:ascii="宋体" w:hAnsi="宋体" w:eastAsia="宋体"/>
          <w:b/>
          <w:bCs/>
          <w:sz w:val="24"/>
          <w:szCs w:val="24"/>
        </w:rPr>
        <w:t xml:space="preserve">  </w:t>
      </w:r>
      <w:r>
        <w:rPr>
          <w:rFonts w:hint="eastAsia" w:ascii="宋体" w:hAnsi="宋体" w:eastAsia="宋体"/>
          <w:sz w:val="24"/>
          <w:szCs w:val="24"/>
        </w:rPr>
        <w:t>列车采用全自动无人驾驶系统，且车辆功能与性能满足全自动无人驾驶系统的可靠性及安全性要求设置脱轨监测装置、障碍物监测装置及远程控制功能，</w:t>
      </w:r>
      <w:r>
        <w:rPr>
          <w:rFonts w:ascii="宋体" w:hAnsi="宋体" w:eastAsia="宋体"/>
          <w:sz w:val="24"/>
          <w:szCs w:val="24"/>
        </w:rPr>
        <w:t>评价</w:t>
      </w:r>
      <w:r>
        <w:rPr>
          <w:rFonts w:hint="eastAsia" w:ascii="宋体" w:hAnsi="宋体" w:eastAsia="宋体"/>
          <w:sz w:val="24"/>
          <w:szCs w:val="24"/>
        </w:rPr>
        <w:t>总</w:t>
      </w:r>
      <w:r>
        <w:rPr>
          <w:rFonts w:ascii="宋体" w:hAnsi="宋体" w:eastAsia="宋体"/>
          <w:sz w:val="24"/>
          <w:szCs w:val="24"/>
        </w:rPr>
        <w:t>分值为</w:t>
      </w:r>
      <w:r>
        <w:rPr>
          <w:rFonts w:hint="eastAsia" w:ascii="宋体" w:hAnsi="宋体" w:eastAsia="宋体"/>
          <w:sz w:val="24"/>
          <w:szCs w:val="24"/>
        </w:rPr>
        <w:t>5分，并按下列规则评分：</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自动化等级评级为GOA2级，得2分；</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自动化等级评级为GOA3级，得3分；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自动化等级评级为GOA4级，得5分。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4.2.2</w:t>
      </w:r>
      <w:r>
        <w:rPr>
          <w:rFonts w:hint="eastAsia" w:ascii="宋体" w:hAnsi="宋体" w:eastAsia="宋体"/>
          <w:b/>
          <w:bCs/>
          <w:sz w:val="24"/>
          <w:szCs w:val="24"/>
        </w:rPr>
        <w:t xml:space="preserve">  </w:t>
      </w:r>
      <w:r>
        <w:rPr>
          <w:rFonts w:hint="eastAsia" w:ascii="宋体" w:hAnsi="宋体" w:eastAsia="宋体"/>
          <w:sz w:val="24"/>
          <w:szCs w:val="24"/>
        </w:rPr>
        <w:t>列车设置智能运维系统，能够自动监测及采集转向架、轨道、弓网、车门、空调、蓄电池等主要部件的数据信息，并且对采集的数据信息进行分析、判断，实现智能化维护，提高车辆安全保障能力，</w:t>
      </w:r>
      <w:r>
        <w:rPr>
          <w:rFonts w:ascii="宋体" w:hAnsi="宋体" w:eastAsia="宋体"/>
          <w:sz w:val="24"/>
          <w:szCs w:val="24"/>
        </w:rPr>
        <w:t>评价分值为</w:t>
      </w:r>
      <w:r>
        <w:rPr>
          <w:rFonts w:hint="eastAsia" w:ascii="宋体" w:hAnsi="宋体" w:eastAsia="宋体"/>
          <w:sz w:val="24"/>
          <w:szCs w:val="24"/>
        </w:rPr>
        <w:t>5分。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4.2.3  </w:t>
      </w:r>
      <w:r>
        <w:rPr>
          <w:rFonts w:hint="eastAsia" w:ascii="宋体" w:hAnsi="宋体" w:eastAsia="宋体"/>
          <w:sz w:val="24"/>
          <w:szCs w:val="24"/>
        </w:rPr>
        <w:t>列车采用永磁牵引系统，</w:t>
      </w:r>
      <w:r>
        <w:rPr>
          <w:rFonts w:ascii="宋体" w:hAnsi="宋体" w:eastAsia="宋体"/>
          <w:sz w:val="24"/>
          <w:szCs w:val="24"/>
        </w:rPr>
        <w:t>评价分值为</w:t>
      </w:r>
      <w:r>
        <w:rPr>
          <w:rFonts w:hint="eastAsia" w:ascii="宋体" w:hAnsi="宋体" w:eastAsia="宋体"/>
          <w:sz w:val="24"/>
          <w:szCs w:val="24"/>
        </w:rPr>
        <w:t>2分。</w:t>
      </w:r>
    </w:p>
    <w:p>
      <w:pPr>
        <w:spacing w:line="360" w:lineRule="auto"/>
        <w:jc w:val="left"/>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4  </w:t>
      </w:r>
      <w:r>
        <w:rPr>
          <w:rFonts w:ascii="宋体" w:hAnsi="宋体" w:eastAsia="宋体"/>
          <w:sz w:val="24"/>
          <w:szCs w:val="24"/>
        </w:rPr>
        <w:t>采取防腐处理延长轨道扣件钢件的使用寿命，经</w:t>
      </w:r>
      <w:r>
        <w:rPr>
          <w:rFonts w:hint="eastAsia" w:ascii="宋体" w:hAnsi="宋体" w:eastAsia="宋体"/>
          <w:sz w:val="24"/>
          <w:szCs w:val="24"/>
        </w:rPr>
        <w:t>144</w:t>
      </w:r>
      <w:r>
        <w:rPr>
          <w:rFonts w:ascii="宋体" w:hAnsi="宋体" w:eastAsia="宋体"/>
          <w:sz w:val="24"/>
          <w:szCs w:val="24"/>
        </w:rPr>
        <w:t>小时中性盐雾试验（NSS试验）保护级不低于9级，</w:t>
      </w:r>
      <w:r>
        <w:rPr>
          <w:rFonts w:hint="eastAsia" w:ascii="宋体" w:hAnsi="宋体" w:eastAsia="宋体"/>
          <w:sz w:val="24"/>
          <w:szCs w:val="24"/>
        </w:rPr>
        <w:t>评价总分值为3分，并按下列规则评分：</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 xml:space="preserve"> NSS试验</w:t>
      </w:r>
      <w:r>
        <w:rPr>
          <w:rFonts w:hint="eastAsia" w:ascii="宋体" w:hAnsi="宋体" w:eastAsia="宋体"/>
          <w:sz w:val="24"/>
          <w:szCs w:val="24"/>
        </w:rPr>
        <w:t>保护评级为9级，得2分；</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NSS试验</w:t>
      </w:r>
      <w:r>
        <w:rPr>
          <w:rFonts w:hint="eastAsia" w:ascii="宋体" w:hAnsi="宋体" w:eastAsia="宋体"/>
          <w:sz w:val="24"/>
          <w:szCs w:val="24"/>
        </w:rPr>
        <w:t>保护评级为10级，得3分。</w:t>
      </w:r>
    </w:p>
    <w:p>
      <w:pPr>
        <w:spacing w:line="360" w:lineRule="auto"/>
        <w:jc w:val="left"/>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5 </w:t>
      </w:r>
      <w:r>
        <w:rPr>
          <w:rFonts w:ascii="宋体" w:hAnsi="宋体" w:eastAsia="宋体"/>
          <w:sz w:val="24"/>
          <w:szCs w:val="24"/>
        </w:rPr>
        <w:t>采取措施延长道岔易损件的使用寿命，评价总分值为</w:t>
      </w:r>
      <w:r>
        <w:rPr>
          <w:rFonts w:hint="eastAsia" w:ascii="宋体" w:hAnsi="宋体" w:eastAsia="宋体"/>
          <w:sz w:val="24"/>
          <w:szCs w:val="24"/>
        </w:rPr>
        <w:t>3</w:t>
      </w:r>
      <w:r>
        <w:rPr>
          <w:rFonts w:ascii="宋体" w:hAnsi="宋体" w:eastAsia="宋体"/>
          <w:sz w:val="24"/>
          <w:szCs w:val="24"/>
        </w:rPr>
        <w:t>分，并按下列规则分别评分并累计：</w:t>
      </w:r>
    </w:p>
    <w:p>
      <w:pPr>
        <w:snapToGrid w:val="0"/>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尖轨、辙叉材质进行强化处理，得</w:t>
      </w:r>
      <w:r>
        <w:rPr>
          <w:rFonts w:hint="eastAsia" w:ascii="宋体" w:hAnsi="宋体" w:eastAsia="宋体"/>
          <w:sz w:val="24"/>
          <w:szCs w:val="24"/>
        </w:rPr>
        <w:t>2</w:t>
      </w:r>
      <w:r>
        <w:rPr>
          <w:rFonts w:ascii="宋体" w:hAnsi="宋体" w:eastAsia="宋体"/>
          <w:sz w:val="24"/>
          <w:szCs w:val="24"/>
        </w:rPr>
        <w:t>分；</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采用整铸式滑床板，得</w:t>
      </w:r>
      <w:r>
        <w:rPr>
          <w:rFonts w:hint="eastAsia" w:ascii="宋体" w:hAnsi="宋体" w:eastAsia="宋体"/>
          <w:sz w:val="24"/>
          <w:szCs w:val="24"/>
        </w:rPr>
        <w:t>1</w:t>
      </w:r>
      <w:r>
        <w:rPr>
          <w:rFonts w:ascii="宋体" w:hAnsi="宋体" w:eastAsia="宋体"/>
          <w:sz w:val="24"/>
          <w:szCs w:val="24"/>
        </w:rPr>
        <w:t>分。</w:t>
      </w:r>
    </w:p>
    <w:p>
      <w:pPr>
        <w:spacing w:line="360" w:lineRule="auto"/>
        <w:jc w:val="left"/>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6 </w:t>
      </w:r>
      <w:r>
        <w:rPr>
          <w:rFonts w:ascii="宋体" w:hAnsi="宋体" w:eastAsia="宋体"/>
          <w:sz w:val="24"/>
          <w:szCs w:val="24"/>
        </w:rPr>
        <w:t>采取措施改善轮轨关系、提高轨道平顺度，延长钢轨使用寿命，评价总分值为</w:t>
      </w:r>
      <w:r>
        <w:rPr>
          <w:rFonts w:hint="eastAsia" w:ascii="宋体" w:hAnsi="宋体" w:eastAsia="宋体"/>
          <w:sz w:val="24"/>
          <w:szCs w:val="24"/>
        </w:rPr>
        <w:t>7</w:t>
      </w:r>
      <w:r>
        <w:rPr>
          <w:rFonts w:ascii="宋体" w:hAnsi="宋体" w:eastAsia="宋体"/>
          <w:sz w:val="24"/>
          <w:szCs w:val="24"/>
        </w:rPr>
        <w:t>分，并按下列规则分别评分并累计：</w:t>
      </w:r>
    </w:p>
    <w:p>
      <w:pPr>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线路开通前进行钢轨预打磨，得</w:t>
      </w:r>
      <w:r>
        <w:rPr>
          <w:rFonts w:hint="eastAsia" w:ascii="宋体" w:hAnsi="宋体" w:eastAsia="宋体"/>
          <w:sz w:val="24"/>
          <w:szCs w:val="24"/>
        </w:rPr>
        <w:t>3</w:t>
      </w:r>
      <w:r>
        <w:rPr>
          <w:rFonts w:ascii="宋体" w:hAnsi="宋体" w:eastAsia="宋体"/>
          <w:sz w:val="24"/>
          <w:szCs w:val="24"/>
        </w:rPr>
        <w:t>分；</w:t>
      </w:r>
    </w:p>
    <w:p>
      <w:pPr>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根据通过总重、曲线半径、磨耗状态对钢轨进行周期性预防打磨，得</w:t>
      </w:r>
      <w:r>
        <w:rPr>
          <w:rFonts w:hint="eastAsia" w:ascii="宋体" w:hAnsi="宋体" w:eastAsia="宋体"/>
          <w:sz w:val="24"/>
          <w:szCs w:val="24"/>
        </w:rPr>
        <w:t>1</w:t>
      </w:r>
      <w:r>
        <w:rPr>
          <w:rFonts w:ascii="宋体" w:hAnsi="宋体" w:eastAsia="宋体"/>
          <w:sz w:val="24"/>
          <w:szCs w:val="24"/>
        </w:rPr>
        <w:t>分；</w:t>
      </w:r>
    </w:p>
    <w:p>
      <w:pPr>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正线采用跨区间无缝线路，得</w:t>
      </w:r>
      <w:r>
        <w:rPr>
          <w:rFonts w:hint="eastAsia" w:ascii="宋体" w:hAnsi="宋体" w:eastAsia="宋体"/>
          <w:sz w:val="24"/>
          <w:szCs w:val="24"/>
        </w:rPr>
        <w:t>1</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xml:space="preserve">  </w:t>
      </w:r>
      <w:r>
        <w:rPr>
          <w:rFonts w:ascii="宋体" w:hAnsi="宋体" w:eastAsia="宋体"/>
          <w:sz w:val="24"/>
          <w:szCs w:val="24"/>
        </w:rPr>
        <w:t>小半径地段设置轮轨减磨润滑装置，得</w:t>
      </w:r>
      <w:r>
        <w:rPr>
          <w:rFonts w:hint="eastAsia" w:ascii="宋体" w:hAnsi="宋体" w:eastAsia="宋体"/>
          <w:sz w:val="24"/>
          <w:szCs w:val="24"/>
        </w:rPr>
        <w:t>2</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4.2.7  </w:t>
      </w:r>
      <w:r>
        <w:rPr>
          <w:rFonts w:hint="eastAsia" w:ascii="宋体" w:hAnsi="宋体"/>
          <w:sz w:val="24"/>
          <w:szCs w:val="24"/>
        </w:rPr>
        <w:t>合理采用耐久性好、易维护的装饰装修建筑材料，评价总分值为10分，并按下列规则分别评分并累计：</w:t>
      </w:r>
    </w:p>
    <w:p>
      <w:pPr>
        <w:spacing w:line="360" w:lineRule="auto"/>
        <w:ind w:left="420" w:firstLine="6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采用耐久性好的外饰面材料，得2分；</w:t>
      </w:r>
    </w:p>
    <w:p>
      <w:pPr>
        <w:spacing w:line="360" w:lineRule="auto"/>
        <w:ind w:firstLine="480"/>
        <w:jc w:val="left"/>
        <w:rPr>
          <w:rFonts w:ascii="宋体" w:hAnsi="宋体"/>
          <w:sz w:val="24"/>
          <w:szCs w:val="24"/>
        </w:rPr>
      </w:pPr>
      <w:r>
        <w:rPr>
          <w:rFonts w:hint="eastAsia" w:ascii="宋体" w:hAnsi="宋体"/>
          <w:b/>
          <w:sz w:val="24"/>
          <w:szCs w:val="24"/>
        </w:rPr>
        <w:t>2</w:t>
      </w:r>
      <w:r>
        <w:rPr>
          <w:rFonts w:hint="eastAsia" w:ascii="宋体" w:hAnsi="宋体"/>
          <w:sz w:val="24"/>
          <w:szCs w:val="24"/>
        </w:rPr>
        <w:t xml:space="preserve">  采用耐久性好的防水和密封材料，得3分；</w:t>
      </w:r>
    </w:p>
    <w:p>
      <w:pPr>
        <w:spacing w:line="360" w:lineRule="auto"/>
        <w:ind w:firstLine="480"/>
        <w:jc w:val="left"/>
        <w:rPr>
          <w:rFonts w:ascii="宋体" w:hAnsi="宋体"/>
          <w:sz w:val="24"/>
          <w:szCs w:val="24"/>
        </w:rPr>
      </w:pPr>
      <w:r>
        <w:rPr>
          <w:rFonts w:hint="eastAsia" w:ascii="宋体" w:hAnsi="宋体"/>
          <w:b/>
          <w:sz w:val="24"/>
          <w:szCs w:val="24"/>
        </w:rPr>
        <w:t>3</w:t>
      </w:r>
      <w:r>
        <w:rPr>
          <w:rFonts w:hint="eastAsia" w:ascii="宋体" w:hAnsi="宋体"/>
          <w:sz w:val="24"/>
          <w:szCs w:val="24"/>
        </w:rPr>
        <w:t xml:space="preserve">  采用耐久性好、易维护的室内装饰装修材料，得2分；</w:t>
      </w:r>
    </w:p>
    <w:p>
      <w:pPr>
        <w:adjustRightInd w:val="0"/>
        <w:snapToGrid w:val="0"/>
        <w:spacing w:line="360" w:lineRule="auto"/>
        <w:ind w:firstLine="482" w:firstLineChars="200"/>
        <w:jc w:val="left"/>
        <w:rPr>
          <w:rFonts w:ascii="宋体" w:hAnsi="宋体"/>
          <w:sz w:val="24"/>
          <w:szCs w:val="24"/>
        </w:rPr>
      </w:pPr>
      <w:r>
        <w:rPr>
          <w:rFonts w:hint="eastAsia" w:ascii="宋体" w:hAnsi="宋体"/>
          <w:b/>
          <w:sz w:val="24"/>
          <w:szCs w:val="24"/>
        </w:rPr>
        <w:t>4</w:t>
      </w:r>
      <w:r>
        <w:rPr>
          <w:rFonts w:hint="eastAsia" w:ascii="宋体" w:hAnsi="宋体"/>
          <w:sz w:val="24"/>
          <w:szCs w:val="24"/>
        </w:rPr>
        <w:t xml:space="preserve">  采用的装修材料参数或安全性高于规范标准，得3分。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8  </w:t>
      </w:r>
      <w:r>
        <w:rPr>
          <w:rFonts w:ascii="宋体" w:hAnsi="宋体" w:eastAsia="宋体"/>
          <w:sz w:val="24"/>
          <w:szCs w:val="24"/>
        </w:rPr>
        <w:t>提高建筑结构的耐久性，评价总分值为</w:t>
      </w:r>
      <w:r>
        <w:rPr>
          <w:rFonts w:hint="eastAsia" w:ascii="宋体" w:hAnsi="宋体" w:eastAsia="宋体"/>
          <w:sz w:val="24"/>
          <w:szCs w:val="24"/>
        </w:rPr>
        <w:t>7</w:t>
      </w:r>
      <w:r>
        <w:rPr>
          <w:rFonts w:ascii="宋体" w:hAnsi="宋体" w:eastAsia="宋体"/>
          <w:sz w:val="24"/>
          <w:szCs w:val="24"/>
        </w:rPr>
        <w:t>分，并按下列规则分别评分并累计：</w:t>
      </w:r>
    </w:p>
    <w:p>
      <w:pPr>
        <w:adjustRightInd w:val="0"/>
        <w:snapToGrid w:val="0"/>
        <w:spacing w:line="360" w:lineRule="auto"/>
        <w:ind w:firstLine="48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地下及地面主体结构设计使用年限</w:t>
      </w:r>
      <w:r>
        <w:rPr>
          <w:rFonts w:ascii="宋体" w:hAnsi="宋体" w:eastAsia="宋体"/>
          <w:sz w:val="24"/>
          <w:szCs w:val="24"/>
        </w:rPr>
        <w:t>按</w:t>
      </w:r>
      <w:r>
        <w:rPr>
          <w:rFonts w:hint="eastAsia" w:ascii="宋体" w:hAnsi="宋体" w:eastAsia="宋体"/>
          <w:sz w:val="24"/>
          <w:szCs w:val="24"/>
        </w:rPr>
        <w:t>不低于</w:t>
      </w:r>
      <w:r>
        <w:rPr>
          <w:rFonts w:ascii="宋体" w:hAnsi="宋体" w:eastAsia="宋体"/>
          <w:sz w:val="24"/>
          <w:szCs w:val="24"/>
        </w:rPr>
        <w:t>100年进行耐久性设计，得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firstLine="480"/>
        <w:jc w:val="left"/>
        <w:rPr>
          <w:rFonts w:hint="eastAsia" w:ascii="宋体" w:hAnsi="宋体" w:eastAsia="宋体"/>
          <w:sz w:val="24"/>
          <w:szCs w:val="24"/>
          <w:lang w:eastAsia="zh-CN"/>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采用耐久性能好的建筑结构材料，满足下列条件</w:t>
      </w:r>
      <w:r>
        <w:rPr>
          <w:rFonts w:hint="eastAsia" w:ascii="宋体" w:hAnsi="宋体" w:eastAsia="宋体"/>
          <w:sz w:val="24"/>
          <w:szCs w:val="24"/>
        </w:rPr>
        <w:t>其中的2条</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lang w:eastAsia="zh-CN"/>
        </w:rPr>
        <w:t>；</w:t>
      </w:r>
    </w:p>
    <w:p>
      <w:pPr>
        <w:adjustRightInd w:val="0"/>
        <w:snapToGrid w:val="0"/>
        <w:spacing w:line="360" w:lineRule="auto"/>
        <w:ind w:firstLine="723" w:firstLineChars="3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对于混凝土构件，提高钢筋保护层厚度或采用高耐久混凝土；</w:t>
      </w:r>
    </w:p>
    <w:p>
      <w:pPr>
        <w:adjustRightInd w:val="0"/>
        <w:snapToGrid w:val="0"/>
        <w:spacing w:line="360" w:lineRule="auto"/>
        <w:ind w:firstLine="723" w:firstLineChars="300"/>
        <w:jc w:val="left"/>
        <w:rPr>
          <w:rFonts w:hint="eastAsia" w:ascii="宋体" w:hAnsi="宋体" w:eastAsia="宋体"/>
          <w:sz w:val="24"/>
          <w:szCs w:val="24"/>
          <w:lang w:eastAsia="zh-CN"/>
        </w:rPr>
      </w:pPr>
      <w:r>
        <w:rPr>
          <w:rFonts w:ascii="宋体" w:hAnsi="宋体" w:eastAsia="宋体"/>
          <w:b/>
          <w:sz w:val="24"/>
          <w:szCs w:val="24"/>
        </w:rPr>
        <w:t>2）</w:t>
      </w:r>
      <w:r>
        <w:rPr>
          <w:rFonts w:ascii="宋体" w:hAnsi="宋体" w:eastAsia="宋体"/>
          <w:sz w:val="24"/>
          <w:szCs w:val="24"/>
        </w:rPr>
        <w:t>对于</w:t>
      </w:r>
      <w:r>
        <w:rPr>
          <w:rFonts w:hint="eastAsia" w:ascii="宋体" w:hAnsi="宋体" w:eastAsia="宋体"/>
          <w:sz w:val="24"/>
          <w:szCs w:val="24"/>
        </w:rPr>
        <w:t>地面</w:t>
      </w:r>
      <w:r>
        <w:rPr>
          <w:rFonts w:ascii="宋体" w:hAnsi="宋体" w:eastAsia="宋体"/>
          <w:sz w:val="24"/>
          <w:szCs w:val="24"/>
        </w:rPr>
        <w:t>钢构件，采用耐候结构钢及耐候型防腐涂料</w:t>
      </w:r>
      <w:r>
        <w:rPr>
          <w:rFonts w:hint="eastAsia" w:ascii="宋体" w:hAnsi="宋体" w:eastAsia="宋体"/>
          <w:sz w:val="24"/>
          <w:szCs w:val="24"/>
          <w:lang w:eastAsia="zh-CN"/>
        </w:rPr>
        <w:t>；</w:t>
      </w:r>
    </w:p>
    <w:p>
      <w:pPr>
        <w:adjustRightInd w:val="0"/>
        <w:snapToGrid w:val="0"/>
        <w:spacing w:line="360" w:lineRule="auto"/>
        <w:ind w:firstLine="723" w:firstLineChars="300"/>
        <w:jc w:val="left"/>
        <w:rPr>
          <w:rFonts w:hint="eastAsia" w:ascii="宋体" w:hAnsi="宋体" w:eastAsia="宋体"/>
          <w:sz w:val="24"/>
          <w:szCs w:val="24"/>
          <w:lang w:eastAsia="zh-CN"/>
        </w:rPr>
      </w:pPr>
      <w:r>
        <w:rPr>
          <w:rFonts w:hint="eastAsia" w:ascii="宋体" w:hAnsi="宋体" w:eastAsia="宋体"/>
          <w:b/>
          <w:sz w:val="24"/>
          <w:szCs w:val="24"/>
        </w:rPr>
        <w:t>3）</w:t>
      </w:r>
      <w:r>
        <w:rPr>
          <w:rFonts w:hint="eastAsia" w:ascii="宋体" w:hAnsi="宋体" w:eastAsia="宋体"/>
          <w:sz w:val="24"/>
          <w:szCs w:val="24"/>
        </w:rPr>
        <w:t>对</w:t>
      </w:r>
      <w:r>
        <w:rPr>
          <w:rFonts w:ascii="宋体" w:hAnsi="宋体" w:eastAsia="宋体"/>
          <w:sz w:val="24"/>
          <w:szCs w:val="24"/>
        </w:rPr>
        <w:t>于</w:t>
      </w:r>
      <w:r>
        <w:rPr>
          <w:rFonts w:hint="eastAsia" w:ascii="宋体" w:hAnsi="宋体" w:eastAsia="宋体"/>
          <w:sz w:val="24"/>
          <w:szCs w:val="24"/>
        </w:rPr>
        <w:t>地下明挖结构，采用全外包防水做法</w:t>
      </w:r>
      <w:r>
        <w:rPr>
          <w:rFonts w:hint="eastAsia" w:ascii="宋体" w:hAnsi="宋体" w:eastAsia="宋体"/>
          <w:sz w:val="24"/>
          <w:szCs w:val="24"/>
          <w:lang w:eastAsia="zh-CN"/>
        </w:rPr>
        <w:t>；</w:t>
      </w:r>
    </w:p>
    <w:p>
      <w:pPr>
        <w:adjustRightInd w:val="0"/>
        <w:snapToGrid w:val="0"/>
        <w:spacing w:line="360" w:lineRule="auto"/>
        <w:ind w:left="718" w:leftChars="342"/>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对于盾构区间，管片迎水侧采用水泥基渗透结晶型防水材料或高渗透改性环氧防腐涂层、环氧聚氨酯防腐涂层等防水涂料。</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 xml:space="preserve">3 </w:t>
      </w:r>
      <w:r>
        <w:rPr>
          <w:rFonts w:hint="eastAsia" w:ascii="宋体" w:hAnsi="宋体" w:eastAsia="宋体"/>
          <w:sz w:val="24"/>
          <w:szCs w:val="24"/>
        </w:rPr>
        <w:t xml:space="preserve"> 运营期对车站及区间结构进行位移、变形、裂缝等进行监测跟踪，得2分。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9  </w:t>
      </w:r>
      <w:r>
        <w:rPr>
          <w:rFonts w:hint="eastAsia" w:ascii="宋体" w:hAnsi="宋体"/>
          <w:sz w:val="24"/>
          <w:szCs w:val="24"/>
        </w:rPr>
        <w:t>对于空调各管路系统，应根据设计要求进行色标的标识，以方便工程的运行和维修管理，</w:t>
      </w:r>
      <w:r>
        <w:rPr>
          <w:rFonts w:ascii="宋体" w:hAnsi="宋体"/>
          <w:sz w:val="24"/>
          <w:szCs w:val="24"/>
        </w:rPr>
        <w:t>评价分值为1分。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4.2.10  </w:t>
      </w:r>
      <w:r>
        <w:rPr>
          <w:rFonts w:hint="eastAsia" w:ascii="宋体" w:hAnsi="宋体"/>
          <w:sz w:val="24"/>
          <w:szCs w:val="24"/>
        </w:rPr>
        <w:t>水系统需保温的管道保温材料采用导热系数小、吸水率小、不燃烧的材料得1分，风系统需保温的风管采用复合风管得1分, 评价总分值为2分。</w:t>
      </w:r>
    </w:p>
    <w:p>
      <w:pPr>
        <w:spacing w:line="360" w:lineRule="auto"/>
        <w:jc w:val="left"/>
        <w:rPr>
          <w:rFonts w:ascii="宋体" w:hAnsi="宋体"/>
          <w:sz w:val="24"/>
          <w:szCs w:val="24"/>
        </w:rPr>
      </w:pPr>
      <w:r>
        <w:rPr>
          <w:rFonts w:hint="eastAsia" w:ascii="宋体" w:hAnsi="宋体" w:eastAsia="宋体"/>
          <w:b/>
          <w:bCs/>
          <w:sz w:val="24"/>
          <w:szCs w:val="24"/>
        </w:rPr>
        <w:t xml:space="preserve">4.2.11 </w:t>
      </w:r>
      <w:r>
        <w:rPr>
          <w:rFonts w:hint="eastAsia" w:ascii="宋体" w:hAnsi="宋体"/>
          <w:sz w:val="24"/>
          <w:szCs w:val="24"/>
        </w:rPr>
        <w:t xml:space="preserve"> 通风空调系统设置智能运维系统，评价总分值为2分，并按下列规则分别评分并累计：</w:t>
      </w:r>
    </w:p>
    <w:p>
      <w:pPr>
        <w:spacing w:line="360" w:lineRule="auto"/>
        <w:ind w:firstLine="482" w:firstLineChars="20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实现主要运行设备运行参数的采集和分析、不正常运行状态或故障的预警功能，得</w:t>
      </w:r>
      <w:r>
        <w:rPr>
          <w:rFonts w:ascii="宋体" w:hAnsi="宋体"/>
          <w:sz w:val="24"/>
          <w:szCs w:val="24"/>
        </w:rPr>
        <w:t>1分；</w:t>
      </w:r>
    </w:p>
    <w:p>
      <w:pPr>
        <w:spacing w:line="360" w:lineRule="auto"/>
        <w:ind w:firstLine="482" w:firstLineChars="200"/>
        <w:jc w:val="left"/>
        <w:rPr>
          <w:rFonts w:ascii="宋体" w:hAnsi="宋体"/>
          <w:sz w:val="24"/>
          <w:szCs w:val="24"/>
        </w:rPr>
      </w:pPr>
      <w:r>
        <w:rPr>
          <w:rFonts w:hint="eastAsia" w:ascii="宋体" w:hAnsi="宋体"/>
          <w:b/>
          <w:sz w:val="24"/>
          <w:szCs w:val="24"/>
        </w:rPr>
        <w:t>2</w:t>
      </w:r>
      <w:r>
        <w:rPr>
          <w:rFonts w:hint="eastAsia" w:ascii="宋体" w:hAnsi="宋体"/>
          <w:sz w:val="24"/>
          <w:szCs w:val="24"/>
        </w:rPr>
        <w:t xml:space="preserve">  实现环境空气质量自动监测，至少包括PM2.5、PM</w:t>
      </w:r>
      <w:r>
        <w:rPr>
          <w:rFonts w:ascii="宋体" w:hAnsi="宋体"/>
          <w:sz w:val="24"/>
          <w:szCs w:val="24"/>
        </w:rPr>
        <w:t>10</w:t>
      </w:r>
      <w:r>
        <w:rPr>
          <w:rFonts w:hint="eastAsia" w:ascii="宋体" w:hAnsi="宋体"/>
          <w:sz w:val="24"/>
          <w:szCs w:val="24"/>
        </w:rPr>
        <w:t>、CO</w:t>
      </w:r>
      <w:r>
        <w:rPr>
          <w:rFonts w:hint="eastAsia" w:ascii="宋体" w:hAnsi="宋体"/>
          <w:sz w:val="24"/>
          <w:szCs w:val="24"/>
          <w:vertAlign w:val="subscript"/>
        </w:rPr>
        <w:t>2</w:t>
      </w:r>
      <w:r>
        <w:rPr>
          <w:rFonts w:hint="eastAsia" w:ascii="宋体" w:hAnsi="宋体"/>
          <w:sz w:val="24"/>
          <w:szCs w:val="24"/>
        </w:rPr>
        <w:t>浓度监测及超标预警功能，得1</w:t>
      </w:r>
      <w:r>
        <w:rPr>
          <w:rFonts w:ascii="宋体" w:hAnsi="宋体"/>
          <w:sz w:val="24"/>
          <w:szCs w:val="24"/>
        </w:rPr>
        <w:t>分</w:t>
      </w:r>
      <w:r>
        <w:rPr>
          <w:rFonts w:hint="eastAsia" w:ascii="宋体" w:hAnsi="宋体"/>
          <w:sz w:val="24"/>
          <w:szCs w:val="24"/>
        </w:rPr>
        <w:t>；</w:t>
      </w:r>
    </w:p>
    <w:p>
      <w:pPr>
        <w:adjustRightInd w:val="0"/>
        <w:snapToGrid w:val="0"/>
        <w:spacing w:line="360" w:lineRule="auto"/>
        <w:ind w:firstLine="482" w:firstLineChars="200"/>
        <w:jc w:val="left"/>
        <w:rPr>
          <w:rFonts w:ascii="宋体" w:hAnsi="宋体"/>
          <w:sz w:val="24"/>
          <w:szCs w:val="24"/>
        </w:rPr>
      </w:pPr>
      <w:r>
        <w:rPr>
          <w:rFonts w:hint="eastAsia" w:ascii="宋体" w:hAnsi="宋体"/>
          <w:b/>
          <w:sz w:val="24"/>
          <w:szCs w:val="24"/>
        </w:rPr>
        <w:t>3</w:t>
      </w:r>
      <w:r>
        <w:rPr>
          <w:rFonts w:hint="eastAsia" w:ascii="宋体" w:hAnsi="宋体"/>
          <w:sz w:val="24"/>
          <w:szCs w:val="24"/>
        </w:rPr>
        <w:t xml:space="preserve">  实现通风空调系统的自动运行保护功能，得1</w:t>
      </w:r>
      <w:r>
        <w:rPr>
          <w:rFonts w:ascii="宋体" w:hAnsi="宋体"/>
          <w:sz w:val="24"/>
          <w:szCs w:val="24"/>
        </w:rPr>
        <w:t>分</w:t>
      </w:r>
      <w:r>
        <w:rPr>
          <w:rFonts w:hint="eastAsia" w:ascii="宋体" w:hAnsi="宋体"/>
          <w:sz w:val="24"/>
          <w:szCs w:val="24"/>
        </w:rPr>
        <w:t>。</w:t>
      </w:r>
    </w:p>
    <w:p>
      <w:pPr>
        <w:adjustRightInd w:val="0"/>
        <w:snapToGrid w:val="0"/>
        <w:spacing w:line="360" w:lineRule="auto"/>
        <w:jc w:val="left"/>
        <w:rPr>
          <w:rFonts w:ascii="宋体" w:hAnsi="宋体" w:eastAsia="宋体" w:cs="宋体"/>
          <w:sz w:val="24"/>
          <w:szCs w:val="24"/>
        </w:rPr>
      </w:pPr>
      <w:r>
        <w:rPr>
          <w:rFonts w:ascii="宋体" w:hAnsi="宋体" w:eastAsia="宋体"/>
          <w:b/>
          <w:bCs/>
          <w:sz w:val="24"/>
          <w:szCs w:val="24"/>
        </w:rPr>
        <w:t>4.2.</w:t>
      </w:r>
      <w:r>
        <w:rPr>
          <w:rFonts w:hint="eastAsia" w:ascii="宋体" w:hAnsi="宋体" w:eastAsia="宋体"/>
          <w:b/>
          <w:bCs/>
          <w:sz w:val="24"/>
          <w:szCs w:val="24"/>
        </w:rPr>
        <w:t xml:space="preserve">12  </w:t>
      </w:r>
      <w:r>
        <w:rPr>
          <w:rFonts w:hint="eastAsia" w:ascii="宋体" w:hAnsi="宋体" w:eastAsia="宋体"/>
          <w:sz w:val="24"/>
          <w:szCs w:val="24"/>
        </w:rPr>
        <w:t>所</w:t>
      </w:r>
      <w:r>
        <w:rPr>
          <w:rFonts w:hint="eastAsia" w:ascii="宋体" w:hAnsi="宋体" w:eastAsia="宋体" w:cs="宋体"/>
          <w:sz w:val="24"/>
          <w:szCs w:val="24"/>
        </w:rPr>
        <w:t>有给水排水管道、设备、设施设置明确、清晰的永久性标识，评价分值为1分。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4.2.13  </w:t>
      </w:r>
      <w:r>
        <w:rPr>
          <w:rFonts w:hint="eastAsia" w:ascii="宋体" w:hAnsi="宋体" w:eastAsia="宋体"/>
          <w:sz w:val="24"/>
          <w:szCs w:val="24"/>
        </w:rPr>
        <w:t>电力监控系统</w:t>
      </w:r>
      <w:r>
        <w:rPr>
          <w:rFonts w:ascii="宋体" w:hAnsi="宋体" w:eastAsia="宋体"/>
          <w:sz w:val="24"/>
          <w:szCs w:val="24"/>
        </w:rPr>
        <w:t>除实施通用的公共防护措施如恶意代码防范、访问控制等之外，还严格按照安全分区、网络专用、横向隔离、纵向认证的原则，配置相应安全防护装置和设备</w:t>
      </w:r>
      <w:r>
        <w:rPr>
          <w:rFonts w:hint="eastAsia" w:ascii="宋体" w:hAnsi="宋体" w:eastAsia="宋体"/>
          <w:sz w:val="24"/>
          <w:szCs w:val="24"/>
        </w:rPr>
        <w:t>，评价分值为1分</w:t>
      </w:r>
      <w:r>
        <w:rPr>
          <w:rFonts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4.2.14  </w:t>
      </w:r>
      <w:r>
        <w:rPr>
          <w:rFonts w:hint="eastAsia" w:ascii="宋体" w:hAnsi="宋体" w:eastAsia="宋体"/>
          <w:sz w:val="24"/>
          <w:szCs w:val="24"/>
        </w:rPr>
        <w:t>供电系统</w:t>
      </w:r>
      <w:r>
        <w:rPr>
          <w:rFonts w:ascii="宋体" w:hAnsi="宋体" w:eastAsia="宋体"/>
          <w:sz w:val="24"/>
          <w:szCs w:val="24"/>
        </w:rPr>
        <w:t>实现系统整体的安全防误功能，满足轨道交通供电系统安全、规范、可靠的运行操作要求</w:t>
      </w:r>
      <w:r>
        <w:rPr>
          <w:rFonts w:hint="eastAsia" w:ascii="宋体" w:hAnsi="宋体" w:eastAsia="宋体"/>
          <w:sz w:val="24"/>
          <w:szCs w:val="24"/>
        </w:rPr>
        <w:t>，评价总分值为3分，并按下列规则分别评分并累计：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具备系统性防止电气误操作功能，实现防误功能的监控系统符合《变电站监控系统防止电气误操作技术规范》DL/T 1404的要求，得1分；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具备工作票、操作票电子化自动开票，操作票预演及执行，两票管理等功能，得1分；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具备接触网隔离开关、接触网接地开关等关键开关视频远程监视等功能，并能实现接触网自动停送电、自动接地等顺序控制功能，得1分。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4.2.15  </w:t>
      </w:r>
      <w:r>
        <w:rPr>
          <w:rFonts w:hint="eastAsia" w:ascii="宋体" w:hAnsi="宋体" w:eastAsia="宋体"/>
          <w:sz w:val="24"/>
          <w:szCs w:val="24"/>
        </w:rPr>
        <w:t>地下线路敷设的电线、电缆、光缆燃烧性能按《电缆及光缆燃烧性能分级》GB 31247分级，评价总分值为3分，</w:t>
      </w:r>
      <w:r>
        <w:rPr>
          <w:rFonts w:ascii="宋体" w:hAnsi="宋体" w:eastAsia="宋体"/>
          <w:sz w:val="24"/>
          <w:szCs w:val="24"/>
        </w:rPr>
        <w:t xml:space="preserve">并按下列规则分别评分并累计： </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电力电缆燃烧性能达到B1级以上，得1分，附加信息同时达到 （d0、t0、a1），得1分；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控制电缆、光缆燃烧性能达到B1级以上，得1分；附加信息同时达到 （d0、t0、a1），得1分；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电线性能达到B1级以上，得1分；附加信息同时达到 （d0、t0、a1），得1分。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4.2.16  </w:t>
      </w:r>
      <w:r>
        <w:rPr>
          <w:rFonts w:hint="eastAsia" w:ascii="宋体" w:hAnsi="宋体" w:eastAsia="宋体"/>
          <w:sz w:val="24"/>
          <w:szCs w:val="24"/>
        </w:rPr>
        <w:t>供电系统提供智能运维解决方案，并配置相关设备设施，评价总分值为3分，并按下列规则分别评分并累计：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具备变电设备在线监测、健康管理功能，可对变电设备的运行状态进行在线监测、故障预警、状态预估，提供故障应对策略等，得1分；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具备接触网在线监测、健康管理功能，可对弓网/靴轨的状态及关键运行特征进行在线监测、故障预警、状态预估，提供故障应对策略等，得1分；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变电所具备智能视频监视功能，可实现对设备房内设备、安防及运行环境进行远方综合智能巡视或检修作业，得1分。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4.2.17  </w:t>
      </w:r>
      <w:r>
        <w:rPr>
          <w:rFonts w:hint="eastAsia" w:ascii="宋体" w:hAnsi="宋体" w:eastAsia="宋体"/>
          <w:sz w:val="24"/>
          <w:szCs w:val="24"/>
        </w:rPr>
        <w:t>直流牵引供电系统的回流系统结合系统整体杂散电流腐蚀防护方案进行设计，评价总分值为3分，并按下列规则评分：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采用走行轨回流，走行轨对地绝缘安装，其过渡电阻不小于15Ω·km，设置排流防护，配置杂散电流监控设施，钢筋</w:t>
      </w:r>
      <w:r>
        <w:rPr>
          <w:rFonts w:ascii="宋体" w:hAnsi="宋体" w:eastAsia="宋体"/>
          <w:sz w:val="24"/>
          <w:szCs w:val="24"/>
        </w:rPr>
        <w:t>混凝土结构极化偏移电压正向偏移平均值不</w:t>
      </w:r>
      <w:r>
        <w:rPr>
          <w:rFonts w:hint="eastAsia" w:ascii="宋体" w:hAnsi="宋体" w:eastAsia="宋体"/>
          <w:sz w:val="24"/>
          <w:szCs w:val="24"/>
        </w:rPr>
        <w:t>超过0.5V，得1分；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采用走行轨回流，走行轨对地绝缘安装，其过渡电阻不小于150Ω·km，配置杂散电流监控设施，钢筋</w:t>
      </w:r>
      <w:r>
        <w:rPr>
          <w:rFonts w:ascii="宋体" w:hAnsi="宋体" w:eastAsia="宋体"/>
          <w:sz w:val="24"/>
          <w:szCs w:val="24"/>
        </w:rPr>
        <w:t>混凝土结构极化电位正向偏移平均值不</w:t>
      </w:r>
      <w:r>
        <w:rPr>
          <w:rFonts w:hint="eastAsia" w:ascii="宋体" w:hAnsi="宋体" w:eastAsia="宋体"/>
          <w:sz w:val="24"/>
          <w:szCs w:val="24"/>
        </w:rPr>
        <w:t>超过0.2V，得2分；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采用专用回流轨，回流轨绝缘安装，绝缘水平满足牵引供电系统标称电压最高值要求，得3分。</w:t>
      </w:r>
    </w:p>
    <w:p>
      <w:pPr>
        <w:adjustRightInd w:val="0"/>
        <w:snapToGrid w:val="0"/>
        <w:spacing w:line="360" w:lineRule="auto"/>
        <w:rPr>
          <w:rFonts w:ascii="宋体" w:hAnsi="宋体" w:eastAsia="宋体"/>
          <w:bCs/>
          <w:sz w:val="24"/>
          <w:szCs w:val="24"/>
        </w:rPr>
      </w:pPr>
      <w:r>
        <w:rPr>
          <w:rFonts w:hint="eastAsia" w:ascii="宋体" w:hAnsi="宋体" w:eastAsia="宋体"/>
          <w:b/>
          <w:bCs/>
          <w:sz w:val="24"/>
          <w:szCs w:val="24"/>
        </w:rPr>
        <w:t xml:space="preserve">4.2.18  </w:t>
      </w:r>
      <w:r>
        <w:rPr>
          <w:rFonts w:hint="eastAsia" w:ascii="宋体" w:hAnsi="宋体" w:eastAsia="宋体"/>
          <w:bCs/>
          <w:sz w:val="24"/>
          <w:szCs w:val="24"/>
        </w:rPr>
        <w:t>低压配电系统具备在线监测功能，评价总分值为2分，并按以下规则评分。</w:t>
      </w:r>
    </w:p>
    <w:p>
      <w:pPr>
        <w:adjustRightInd w:val="0"/>
        <w:snapToGrid w:val="0"/>
        <w:spacing w:line="360" w:lineRule="auto"/>
        <w:ind w:firstLine="482" w:firstLineChars="200"/>
        <w:rPr>
          <w:rFonts w:ascii="宋体" w:hAnsi="宋体" w:eastAsia="宋体"/>
          <w:bCs/>
          <w:sz w:val="24"/>
          <w:szCs w:val="24"/>
        </w:rPr>
      </w:pPr>
      <w:r>
        <w:rPr>
          <w:rFonts w:hint="eastAsia" w:ascii="宋体" w:hAnsi="宋体" w:eastAsia="宋体"/>
          <w:b/>
          <w:bCs/>
          <w:sz w:val="24"/>
          <w:szCs w:val="24"/>
        </w:rPr>
        <w:t>1</w:t>
      </w:r>
      <w:r>
        <w:rPr>
          <w:rFonts w:hint="eastAsia" w:ascii="宋体" w:hAnsi="宋体" w:eastAsia="宋体"/>
          <w:bCs/>
          <w:sz w:val="24"/>
          <w:szCs w:val="24"/>
        </w:rPr>
        <w:t xml:space="preserve">  可监测开关状态、故障事件 得0.5分；</w:t>
      </w:r>
    </w:p>
    <w:p>
      <w:pPr>
        <w:adjustRightInd w:val="0"/>
        <w:snapToGrid w:val="0"/>
        <w:spacing w:line="360" w:lineRule="auto"/>
        <w:ind w:firstLine="482" w:firstLineChars="200"/>
        <w:rPr>
          <w:rFonts w:ascii="宋体" w:hAnsi="宋体" w:eastAsia="宋体"/>
          <w:bCs/>
          <w:sz w:val="24"/>
          <w:szCs w:val="24"/>
        </w:rPr>
      </w:pPr>
      <w:r>
        <w:rPr>
          <w:rFonts w:hint="eastAsia" w:ascii="宋体" w:hAnsi="宋体" w:eastAsia="宋体"/>
          <w:b/>
          <w:bCs/>
          <w:sz w:val="24"/>
          <w:szCs w:val="24"/>
        </w:rPr>
        <w:t xml:space="preserve">2 </w:t>
      </w:r>
      <w:r>
        <w:rPr>
          <w:rFonts w:hint="eastAsia" w:ascii="宋体" w:hAnsi="宋体" w:eastAsia="宋体"/>
          <w:bCs/>
          <w:sz w:val="24"/>
          <w:szCs w:val="24"/>
        </w:rPr>
        <w:t xml:space="preserve"> 可监测开关状态、故障事件、动作计数、温度 得1分；</w:t>
      </w:r>
    </w:p>
    <w:p>
      <w:pPr>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bCs/>
          <w:sz w:val="24"/>
          <w:szCs w:val="24"/>
        </w:rPr>
        <w:t xml:space="preserve">  可监测开关状态、故障事件、动作计数、温度、触头磨损、环境温湿度 得2分。</w:t>
      </w:r>
    </w:p>
    <w:p>
      <w:pPr>
        <w:adjustRightInd w:val="0"/>
        <w:snapToGrid w:val="0"/>
        <w:spacing w:line="360" w:lineRule="auto"/>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19  </w:t>
      </w:r>
      <w:r>
        <w:rPr>
          <w:rFonts w:hint="eastAsia" w:ascii="宋体" w:hAnsi="宋体" w:eastAsia="宋体"/>
          <w:sz w:val="24"/>
          <w:szCs w:val="24"/>
        </w:rPr>
        <w:t>设置</w:t>
      </w:r>
      <w:r>
        <w:rPr>
          <w:rFonts w:ascii="宋体" w:hAnsi="宋体" w:eastAsia="宋体"/>
          <w:sz w:val="24"/>
          <w:szCs w:val="24"/>
        </w:rPr>
        <w:t>智能化视频监控</w:t>
      </w:r>
      <w:r>
        <w:rPr>
          <w:rFonts w:hint="eastAsia" w:ascii="宋体" w:hAnsi="宋体" w:eastAsia="宋体"/>
          <w:sz w:val="24"/>
          <w:szCs w:val="24"/>
        </w:rPr>
        <w:t>系统对车载视频进行实时智能分析，实现对列车客室内异常情况的报警，评价分值为3</w:t>
      </w:r>
      <w:r>
        <w:rPr>
          <w:rFonts w:ascii="宋体" w:hAnsi="宋体" w:eastAsia="宋体"/>
          <w:sz w:val="24"/>
          <w:szCs w:val="24"/>
        </w:rPr>
        <w:t>分。</w:t>
      </w:r>
    </w:p>
    <w:p>
      <w:pPr>
        <w:adjustRightInd w:val="0"/>
        <w:snapToGrid w:val="0"/>
        <w:spacing w:line="360" w:lineRule="auto"/>
        <w:rPr>
          <w:rFonts w:ascii="宋体" w:hAnsi="宋体" w:eastAsia="宋体"/>
          <w:sz w:val="24"/>
          <w:szCs w:val="24"/>
        </w:rPr>
      </w:pPr>
      <w:r>
        <w:rPr>
          <w:rFonts w:hint="eastAsia" w:ascii="宋体" w:hAnsi="宋体" w:eastAsia="宋体"/>
          <w:b/>
          <w:bCs/>
          <w:sz w:val="24"/>
          <w:szCs w:val="24"/>
        </w:rPr>
        <w:t xml:space="preserve">4.2.20  </w:t>
      </w:r>
      <w:r>
        <w:rPr>
          <w:rFonts w:hint="eastAsia" w:ascii="宋体" w:hAnsi="宋体" w:eastAsia="宋体"/>
          <w:sz w:val="24"/>
          <w:szCs w:val="24"/>
        </w:rPr>
        <w:t>车站设置</w:t>
      </w:r>
      <w:r>
        <w:rPr>
          <w:rFonts w:ascii="宋体" w:hAnsi="宋体" w:eastAsia="宋体"/>
          <w:sz w:val="24"/>
          <w:szCs w:val="24"/>
        </w:rPr>
        <w:t>智能视频监控</w:t>
      </w:r>
      <w:r>
        <w:rPr>
          <w:rFonts w:hint="eastAsia" w:ascii="宋体" w:hAnsi="宋体" w:eastAsia="宋体"/>
          <w:sz w:val="24"/>
          <w:szCs w:val="24"/>
        </w:rPr>
        <w:t>系统，通过对视频进行实时分析实现相关异常情况的报警，评价总分值为5分，</w:t>
      </w:r>
      <w:r>
        <w:rPr>
          <w:rFonts w:ascii="宋体" w:hAnsi="宋体" w:eastAsia="宋体"/>
          <w:sz w:val="24"/>
          <w:szCs w:val="24"/>
        </w:rPr>
        <w:t>并按下列规则分别评分并累计：</w:t>
      </w:r>
    </w:p>
    <w:p>
      <w:pPr>
        <w:adjustRightInd w:val="0"/>
        <w:snapToGrid w:val="0"/>
        <w:spacing w:line="360" w:lineRule="auto"/>
        <w:ind w:firstLine="482" w:firstLineChars="2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对拥堵情况进行报警，得1</w:t>
      </w:r>
      <w:r>
        <w:rPr>
          <w:rFonts w:ascii="宋体" w:hAnsi="宋体" w:eastAsia="宋体"/>
          <w:sz w:val="24"/>
          <w:szCs w:val="24"/>
        </w:rPr>
        <w:t>分；</w:t>
      </w:r>
    </w:p>
    <w:p>
      <w:pPr>
        <w:adjustRightInd w:val="0"/>
        <w:snapToGrid w:val="0"/>
        <w:spacing w:line="360" w:lineRule="auto"/>
        <w:ind w:firstLine="482" w:firstLineChars="200"/>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对</w:t>
      </w:r>
      <w:r>
        <w:rPr>
          <w:rFonts w:hint="eastAsia" w:ascii="宋体" w:hAnsi="宋体" w:eastAsia="宋体"/>
          <w:sz w:val="24"/>
          <w:szCs w:val="24"/>
        </w:rPr>
        <w:t>隔杆递物进行报警，得1</w:t>
      </w:r>
      <w:r>
        <w:rPr>
          <w:rFonts w:ascii="宋体" w:hAnsi="宋体" w:eastAsia="宋体"/>
          <w:sz w:val="24"/>
          <w:szCs w:val="24"/>
        </w:rPr>
        <w:t>分；</w:t>
      </w:r>
    </w:p>
    <w:p>
      <w:pPr>
        <w:adjustRightInd w:val="0"/>
        <w:snapToGrid w:val="0"/>
        <w:spacing w:line="360" w:lineRule="auto"/>
        <w:ind w:firstLine="482" w:firstLineChars="200"/>
        <w:rPr>
          <w:rFonts w:ascii="宋体" w:hAnsi="宋体" w:eastAsia="宋体"/>
          <w:sz w:val="24"/>
          <w:szCs w:val="24"/>
        </w:rPr>
      </w:pP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对人包分离进行报警，</w:t>
      </w:r>
      <w:r>
        <w:rPr>
          <w:rFonts w:hint="eastAsia" w:ascii="宋体" w:hAnsi="宋体" w:eastAsia="宋体"/>
          <w:sz w:val="24"/>
          <w:szCs w:val="24"/>
        </w:rPr>
        <w:t>得1</w:t>
      </w:r>
      <w:r>
        <w:rPr>
          <w:rFonts w:ascii="宋体" w:hAnsi="宋体" w:eastAsia="宋体"/>
          <w:sz w:val="24"/>
          <w:szCs w:val="24"/>
        </w:rPr>
        <w:t>分；</w:t>
      </w:r>
    </w:p>
    <w:p>
      <w:pPr>
        <w:adjustRightInd w:val="0"/>
        <w:snapToGrid w:val="0"/>
        <w:spacing w:line="360" w:lineRule="auto"/>
        <w:ind w:firstLine="482" w:firstLineChars="200"/>
        <w:rPr>
          <w:rFonts w:ascii="宋体" w:hAnsi="宋体" w:eastAsia="宋体"/>
          <w:sz w:val="24"/>
          <w:szCs w:val="24"/>
        </w:rPr>
      </w:pPr>
      <w:r>
        <w:rPr>
          <w:rFonts w:ascii="宋体" w:hAnsi="宋体" w:eastAsia="宋体"/>
          <w:b/>
          <w:sz w:val="24"/>
          <w:szCs w:val="24"/>
        </w:rPr>
        <w:t>4</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对人群异常</w:t>
      </w:r>
      <w:r>
        <w:rPr>
          <w:rFonts w:hint="eastAsia" w:ascii="宋体" w:hAnsi="宋体" w:eastAsia="宋体"/>
          <w:sz w:val="24"/>
          <w:szCs w:val="24"/>
        </w:rPr>
        <w:t>等异常情况的报警</w:t>
      </w:r>
      <w:r>
        <w:rPr>
          <w:rFonts w:ascii="宋体" w:hAnsi="宋体" w:eastAsia="宋体"/>
          <w:sz w:val="24"/>
          <w:szCs w:val="24"/>
        </w:rPr>
        <w:t xml:space="preserve">, </w:t>
      </w:r>
      <w:r>
        <w:rPr>
          <w:rFonts w:hint="eastAsia" w:ascii="宋体" w:hAnsi="宋体" w:eastAsia="宋体"/>
          <w:sz w:val="24"/>
          <w:szCs w:val="24"/>
        </w:rPr>
        <w:t>得1分；</w:t>
      </w:r>
    </w:p>
    <w:p>
      <w:pPr>
        <w:adjustRightInd w:val="0"/>
        <w:snapToGrid w:val="0"/>
        <w:spacing w:line="360" w:lineRule="auto"/>
        <w:ind w:firstLine="482" w:firstLineChars="200"/>
        <w:rPr>
          <w:rFonts w:ascii="宋体" w:hAnsi="宋体" w:eastAsia="宋体"/>
          <w:sz w:val="24"/>
          <w:szCs w:val="24"/>
        </w:rPr>
      </w:pPr>
      <w:r>
        <w:rPr>
          <w:rFonts w:ascii="宋体" w:hAnsi="宋体" w:eastAsia="宋体"/>
          <w:b/>
          <w:sz w:val="24"/>
          <w:szCs w:val="24"/>
        </w:rPr>
        <w:t>5</w:t>
      </w:r>
      <w:r>
        <w:rPr>
          <w:rFonts w:ascii="宋体" w:hAnsi="宋体" w:eastAsia="宋体"/>
          <w:sz w:val="24"/>
          <w:szCs w:val="24"/>
        </w:rPr>
        <w:t xml:space="preserve"> </w:t>
      </w:r>
      <w:r>
        <w:rPr>
          <w:rFonts w:hint="eastAsia" w:ascii="宋体" w:hAnsi="宋体" w:eastAsia="宋体"/>
          <w:sz w:val="24"/>
          <w:szCs w:val="24"/>
        </w:rPr>
        <w:t xml:space="preserve"> 运用人脸特征识别技术，实现对“黑名单”、“灰名单”乘客进行及时预警及监控，得1</w:t>
      </w:r>
      <w:r>
        <w:rPr>
          <w:rFonts w:ascii="宋体" w:hAnsi="宋体" w:eastAsia="宋体"/>
          <w:sz w:val="24"/>
          <w:szCs w:val="24"/>
        </w:rPr>
        <w:t>分。</w:t>
      </w:r>
    </w:p>
    <w:p>
      <w:pPr>
        <w:adjustRightInd w:val="0"/>
        <w:snapToGrid w:val="0"/>
        <w:spacing w:line="360" w:lineRule="auto"/>
        <w:rPr>
          <w:rFonts w:hint="eastAsia" w:ascii="宋体" w:hAnsi="宋体" w:eastAsia="宋体"/>
          <w:sz w:val="24"/>
          <w:szCs w:val="24"/>
          <w:lang w:eastAsia="zh-CN"/>
        </w:rPr>
      </w:pPr>
      <w:r>
        <w:rPr>
          <w:rFonts w:ascii="宋体" w:hAnsi="宋体" w:eastAsia="宋体"/>
          <w:b/>
          <w:bCs/>
          <w:sz w:val="24"/>
          <w:szCs w:val="24"/>
        </w:rPr>
        <w:t>4.2.2</w:t>
      </w:r>
      <w:r>
        <w:rPr>
          <w:rFonts w:hint="eastAsia" w:ascii="宋体" w:hAnsi="宋体" w:eastAsia="宋体"/>
          <w:b/>
          <w:bCs/>
          <w:sz w:val="24"/>
          <w:szCs w:val="24"/>
        </w:rPr>
        <w:t xml:space="preserve">1  </w:t>
      </w:r>
      <w:r>
        <w:rPr>
          <w:rFonts w:ascii="宋体" w:hAnsi="宋体" w:eastAsia="宋体"/>
          <w:sz w:val="24"/>
          <w:szCs w:val="24"/>
        </w:rPr>
        <w:t>采取措施提高安检的工作效率及节约人力成本，评价总分值为</w:t>
      </w:r>
      <w:r>
        <w:rPr>
          <w:rFonts w:hint="eastAsia" w:ascii="宋体" w:hAnsi="宋体" w:eastAsia="宋体"/>
          <w:sz w:val="24"/>
          <w:szCs w:val="24"/>
        </w:rPr>
        <w:t>3</w:t>
      </w:r>
      <w:r>
        <w:rPr>
          <w:rFonts w:ascii="宋体" w:hAnsi="宋体" w:eastAsia="宋体"/>
          <w:sz w:val="24"/>
          <w:szCs w:val="24"/>
        </w:rPr>
        <w:t>分，并按下列规则分别评分并累计：</w:t>
      </w:r>
    </w:p>
    <w:p>
      <w:pPr>
        <w:adjustRightInd w:val="0"/>
        <w:snapToGrid w:val="0"/>
        <w:spacing w:line="360" w:lineRule="auto"/>
        <w:rPr>
          <w:rFonts w:hint="eastAsia" w:ascii="宋体" w:hAnsi="宋体" w:eastAsia="宋体"/>
          <w:sz w:val="24"/>
          <w:szCs w:val="24"/>
          <w:lang w:eastAsia="zh-CN"/>
        </w:rPr>
      </w:pPr>
      <w:r>
        <w:rPr>
          <w:rFonts w:ascii="宋体" w:hAnsi="宋体" w:eastAsia="宋体"/>
          <w:b/>
          <w:sz w:val="24"/>
          <w:szCs w:val="24"/>
        </w:rPr>
        <w:t>　　1</w:t>
      </w:r>
      <w:r>
        <w:rPr>
          <w:rFonts w:hint="eastAsia" w:ascii="宋体" w:hAnsi="宋体" w:eastAsia="宋体"/>
          <w:sz w:val="24"/>
          <w:szCs w:val="24"/>
        </w:rPr>
        <w:t xml:space="preserve">  </w:t>
      </w:r>
      <w:r>
        <w:rPr>
          <w:rFonts w:ascii="宋体" w:hAnsi="宋体" w:eastAsia="宋体"/>
          <w:sz w:val="24"/>
          <w:szCs w:val="24"/>
        </w:rPr>
        <w:t>采用智能图像识别技术实现快速精准识别危险品，提高判图员的工作效率，得</w:t>
      </w:r>
      <w:r>
        <w:rPr>
          <w:rFonts w:hint="eastAsia" w:ascii="宋体" w:hAnsi="宋体" w:eastAsia="宋体"/>
          <w:sz w:val="24"/>
          <w:szCs w:val="24"/>
        </w:rPr>
        <w:t>2</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　　</w:t>
      </w: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 xml:space="preserve"> 安检设备全线联网，实现线网集中智能判图，节约人力成本，得</w:t>
      </w:r>
      <w:r>
        <w:rPr>
          <w:rFonts w:hint="eastAsia" w:ascii="宋体" w:hAnsi="宋体" w:eastAsia="宋体"/>
          <w:sz w:val="24"/>
          <w:szCs w:val="24"/>
        </w:rPr>
        <w:t>1</w:t>
      </w:r>
      <w:r>
        <w:rPr>
          <w:rFonts w:ascii="宋体" w:hAnsi="宋体" w:eastAsia="宋体"/>
          <w:sz w:val="24"/>
          <w:szCs w:val="24"/>
        </w:rPr>
        <w:t>分。</w:t>
      </w:r>
    </w:p>
    <w:p>
      <w:pPr>
        <w:adjustRightInd w:val="0"/>
        <w:snapToGrid w:val="0"/>
        <w:spacing w:line="360" w:lineRule="auto"/>
        <w:rPr>
          <w:rFonts w:ascii="宋体" w:hAnsi="宋体" w:eastAsia="宋体"/>
          <w:sz w:val="24"/>
          <w:szCs w:val="24"/>
        </w:rPr>
      </w:pPr>
      <w:r>
        <w:rPr>
          <w:rFonts w:ascii="宋体" w:hAnsi="宋体" w:eastAsia="宋体"/>
          <w:b/>
          <w:bCs/>
          <w:sz w:val="24"/>
          <w:szCs w:val="24"/>
        </w:rPr>
        <w:t>4.2.2</w:t>
      </w:r>
      <w:r>
        <w:rPr>
          <w:rFonts w:hint="eastAsia" w:ascii="宋体" w:hAnsi="宋体" w:eastAsia="宋体"/>
          <w:b/>
          <w:bCs/>
          <w:sz w:val="24"/>
          <w:szCs w:val="24"/>
        </w:rPr>
        <w:t xml:space="preserve">2  </w:t>
      </w:r>
      <w:r>
        <w:rPr>
          <w:rFonts w:ascii="宋体" w:hAnsi="宋体" w:eastAsia="宋体"/>
          <w:sz w:val="24"/>
          <w:szCs w:val="24"/>
        </w:rPr>
        <w:t>设置</w:t>
      </w:r>
      <w:r>
        <w:rPr>
          <w:rFonts w:hint="eastAsia" w:ascii="宋体" w:hAnsi="宋体" w:eastAsia="宋体"/>
          <w:sz w:val="24"/>
          <w:szCs w:val="24"/>
        </w:rPr>
        <w:t>基于实时在线监测和大数据分析技术的信号系统</w:t>
      </w:r>
      <w:r>
        <w:rPr>
          <w:rFonts w:ascii="宋体" w:hAnsi="宋体" w:eastAsia="宋体"/>
          <w:sz w:val="24"/>
          <w:szCs w:val="24"/>
        </w:rPr>
        <w:t>设备维修</w:t>
      </w:r>
      <w:r>
        <w:rPr>
          <w:rFonts w:hint="eastAsia" w:ascii="宋体" w:hAnsi="宋体" w:eastAsia="宋体"/>
          <w:sz w:val="24"/>
          <w:szCs w:val="24"/>
        </w:rPr>
        <w:t>保障</w:t>
      </w:r>
      <w:r>
        <w:rPr>
          <w:rFonts w:ascii="宋体" w:hAnsi="宋体" w:eastAsia="宋体"/>
          <w:sz w:val="24"/>
          <w:szCs w:val="24"/>
        </w:rPr>
        <w:t>平台</w:t>
      </w:r>
      <w:r>
        <w:rPr>
          <w:rFonts w:hint="eastAsia" w:ascii="宋体" w:hAnsi="宋体" w:eastAsia="宋体"/>
          <w:sz w:val="24"/>
          <w:szCs w:val="24"/>
        </w:rPr>
        <w:t>，实现信号</w:t>
      </w:r>
      <w:r>
        <w:rPr>
          <w:rFonts w:ascii="宋体" w:hAnsi="宋体" w:eastAsia="宋体"/>
          <w:sz w:val="24"/>
          <w:szCs w:val="24"/>
        </w:rPr>
        <w:t>设备</w:t>
      </w:r>
      <w:r>
        <w:rPr>
          <w:rFonts w:hint="eastAsia" w:ascii="宋体" w:hAnsi="宋体" w:eastAsia="宋体"/>
          <w:sz w:val="24"/>
          <w:szCs w:val="24"/>
        </w:rPr>
        <w:t>的状态修，评价分值为1分。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23  </w:t>
      </w:r>
      <w:r>
        <w:rPr>
          <w:rFonts w:ascii="宋体" w:hAnsi="宋体" w:eastAsia="宋体"/>
          <w:sz w:val="24"/>
          <w:szCs w:val="24"/>
        </w:rPr>
        <w:t>站台门材料选型安全、耐久，评价总分值为</w:t>
      </w:r>
      <w:r>
        <w:rPr>
          <w:rFonts w:hint="eastAsia" w:ascii="宋体" w:hAnsi="宋体" w:eastAsia="宋体"/>
          <w:sz w:val="24"/>
          <w:szCs w:val="24"/>
        </w:rPr>
        <w:t>5分，</w:t>
      </w:r>
      <w:r>
        <w:rPr>
          <w:rFonts w:ascii="宋体" w:hAnsi="宋体" w:eastAsia="宋体"/>
          <w:sz w:val="24"/>
          <w:szCs w:val="24"/>
        </w:rPr>
        <w:t>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承重结构采用Q235</w:t>
      </w:r>
      <w:r>
        <w:rPr>
          <w:rFonts w:hint="eastAsia" w:ascii="宋体" w:hAnsi="宋体" w:eastAsia="宋体"/>
          <w:sz w:val="24"/>
          <w:szCs w:val="24"/>
        </w:rPr>
        <w:t>A结构钢，得2分；采用</w:t>
      </w:r>
      <w:r>
        <w:rPr>
          <w:rFonts w:ascii="宋体" w:hAnsi="宋体" w:eastAsia="宋体"/>
          <w:sz w:val="24"/>
          <w:szCs w:val="24"/>
        </w:rPr>
        <w:t>Q235</w:t>
      </w:r>
      <w:r>
        <w:rPr>
          <w:rFonts w:hint="eastAsia" w:ascii="宋体" w:hAnsi="宋体" w:eastAsia="宋体"/>
          <w:sz w:val="24"/>
          <w:szCs w:val="24"/>
        </w:rPr>
        <w:t>B结构钢，得1分；采用</w:t>
      </w:r>
      <w:r>
        <w:rPr>
          <w:rFonts w:ascii="宋体" w:hAnsi="宋体" w:eastAsia="宋体"/>
          <w:sz w:val="24"/>
          <w:szCs w:val="24"/>
        </w:rPr>
        <w:t>Q235</w:t>
      </w:r>
      <w:r>
        <w:rPr>
          <w:rFonts w:hint="eastAsia" w:ascii="宋体" w:hAnsi="宋体" w:eastAsia="宋体"/>
          <w:sz w:val="24"/>
          <w:szCs w:val="24"/>
        </w:rPr>
        <w:t>B以上结构钢，得2分；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承重结构采用热镀锌，锌层厚度不小于70</w:t>
      </w:r>
      <w:r>
        <w:rPr>
          <w:rFonts w:ascii="宋体" w:hAnsi="宋体" w:eastAsia="宋体"/>
          <w:sz w:val="24"/>
          <w:szCs w:val="24"/>
        </w:rPr>
        <w:t>μm，</w:t>
      </w:r>
      <w:r>
        <w:rPr>
          <w:rFonts w:hint="eastAsia" w:ascii="宋体" w:hAnsi="宋体" w:eastAsia="宋体"/>
          <w:sz w:val="24"/>
          <w:szCs w:val="24"/>
        </w:rPr>
        <w:t>得1</w:t>
      </w:r>
      <w:r>
        <w:rPr>
          <w:rFonts w:ascii="宋体" w:hAnsi="宋体" w:eastAsia="宋体"/>
          <w:sz w:val="24"/>
          <w:szCs w:val="24"/>
        </w:rPr>
        <w:t>分；</w:t>
      </w:r>
      <w:r>
        <w:rPr>
          <w:rFonts w:hint="eastAsia" w:ascii="宋体" w:hAnsi="宋体" w:eastAsia="宋体"/>
          <w:sz w:val="24"/>
          <w:szCs w:val="24"/>
        </w:rPr>
        <w:t>70</w:t>
      </w:r>
      <w:r>
        <w:rPr>
          <w:rFonts w:ascii="宋体" w:hAnsi="宋体" w:eastAsia="宋体"/>
          <w:sz w:val="24"/>
          <w:szCs w:val="24"/>
        </w:rPr>
        <w:t>μ</w:t>
      </w:r>
      <w:r>
        <w:rPr>
          <w:rFonts w:hint="eastAsia" w:ascii="宋体" w:hAnsi="宋体" w:eastAsia="宋体"/>
          <w:sz w:val="24"/>
          <w:szCs w:val="24"/>
        </w:rPr>
        <w:t>m以上，得1分；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门体玻璃</w:t>
      </w:r>
      <w:r>
        <w:rPr>
          <w:rFonts w:ascii="宋体" w:hAnsi="宋体" w:eastAsia="宋体"/>
          <w:sz w:val="24"/>
          <w:szCs w:val="24"/>
        </w:rPr>
        <w:t>自爆率不大于千分之三</w:t>
      </w:r>
      <w:r>
        <w:rPr>
          <w:rFonts w:hint="eastAsia" w:ascii="宋体" w:hAnsi="宋体" w:eastAsia="宋体"/>
          <w:sz w:val="24"/>
          <w:szCs w:val="24"/>
        </w:rPr>
        <w:t>，得2分。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24  </w:t>
      </w:r>
      <w:r>
        <w:rPr>
          <w:rFonts w:ascii="宋体" w:hAnsi="宋体" w:eastAsia="宋体"/>
          <w:sz w:val="24"/>
          <w:szCs w:val="24"/>
        </w:rPr>
        <w:t>高架及地面车站采用全高非封闭式站台门，</w:t>
      </w:r>
      <w:r>
        <w:rPr>
          <w:rFonts w:hint="eastAsia" w:ascii="宋体" w:hAnsi="宋体" w:eastAsia="宋体"/>
          <w:sz w:val="24"/>
          <w:szCs w:val="24"/>
        </w:rPr>
        <w:t>评价分值为1</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4.2.</w:t>
      </w:r>
      <w:r>
        <w:rPr>
          <w:rFonts w:hint="eastAsia" w:ascii="宋体" w:hAnsi="宋体" w:eastAsia="宋体"/>
          <w:b/>
          <w:bCs/>
          <w:sz w:val="24"/>
          <w:szCs w:val="24"/>
        </w:rPr>
        <w:t xml:space="preserve">25  </w:t>
      </w:r>
      <w:r>
        <w:rPr>
          <w:rFonts w:ascii="宋体" w:hAnsi="宋体" w:eastAsia="宋体"/>
          <w:bCs/>
          <w:sz w:val="24"/>
          <w:szCs w:val="24"/>
        </w:rPr>
        <w:t>自</w:t>
      </w:r>
      <w:r>
        <w:rPr>
          <w:rFonts w:ascii="宋体" w:hAnsi="宋体" w:eastAsia="宋体"/>
          <w:sz w:val="24"/>
          <w:szCs w:val="24"/>
        </w:rPr>
        <w:t>动扶梯桁架采用整体热浸镀锌，锌层厚度不小于100μm。</w:t>
      </w:r>
      <w:r>
        <w:rPr>
          <w:rFonts w:hint="eastAsia" w:ascii="宋体" w:hAnsi="宋体" w:eastAsia="宋体"/>
          <w:sz w:val="24"/>
          <w:szCs w:val="24"/>
        </w:rPr>
        <w:t>桁架</w:t>
      </w:r>
      <w:r>
        <w:rPr>
          <w:rFonts w:ascii="宋体" w:hAnsi="宋体" w:eastAsia="宋体"/>
          <w:sz w:val="24"/>
          <w:szCs w:val="24"/>
        </w:rPr>
        <w:t>根据5000N/㎡的载荷计算或实测的最大挠度</w:t>
      </w:r>
      <w:r>
        <w:rPr>
          <w:rFonts w:hint="eastAsia" w:ascii="宋体" w:hAnsi="宋体" w:eastAsia="宋体"/>
          <w:sz w:val="24"/>
          <w:szCs w:val="24"/>
        </w:rPr>
        <w:t>分档，</w:t>
      </w:r>
      <w:r>
        <w:rPr>
          <w:rFonts w:hint="eastAsia" w:ascii="宋体" w:hAnsi="宋体" w:eastAsia="宋体"/>
          <w:sz w:val="24"/>
          <w:szCs w:val="28"/>
        </w:rPr>
        <w:t>评价总分值为2分，</w:t>
      </w:r>
      <w:r>
        <w:rPr>
          <w:rFonts w:ascii="宋体" w:hAnsi="宋体" w:eastAsia="宋体"/>
          <w:sz w:val="24"/>
          <w:szCs w:val="24"/>
        </w:rPr>
        <w:t>并按下列规则评分：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不超过支承水平距离的1/1000。评价分值为</w:t>
      </w:r>
      <w:r>
        <w:rPr>
          <w:rFonts w:hint="eastAsia" w:ascii="宋体" w:hAnsi="宋体" w:eastAsia="宋体"/>
          <w:sz w:val="24"/>
          <w:szCs w:val="24"/>
        </w:rPr>
        <w:t>1</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rPr>
        <w:t xml:space="preserve"> </w:t>
      </w:r>
      <w:r>
        <w:rPr>
          <w:rFonts w:hint="eastAsia" w:ascii="宋体" w:hAnsi="宋体" w:eastAsia="宋体"/>
          <w:sz w:val="24"/>
          <w:szCs w:val="24"/>
        </w:rPr>
        <w:t xml:space="preserve"> </w:t>
      </w:r>
      <w:r>
        <w:rPr>
          <w:rFonts w:ascii="宋体" w:hAnsi="宋体" w:eastAsia="宋体"/>
          <w:sz w:val="24"/>
          <w:szCs w:val="24"/>
        </w:rPr>
        <w:t>不超过支承水平距离的1/1500。评价分值为</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4.2.2</w:t>
      </w:r>
      <w:r>
        <w:rPr>
          <w:rFonts w:hint="eastAsia" w:ascii="宋体" w:hAnsi="宋体" w:eastAsia="宋体"/>
          <w:b/>
          <w:bCs/>
          <w:sz w:val="24"/>
          <w:szCs w:val="24"/>
        </w:rPr>
        <w:t xml:space="preserve">6  </w:t>
      </w:r>
      <w:r>
        <w:rPr>
          <w:rFonts w:ascii="宋体" w:hAnsi="宋体" w:eastAsia="宋体"/>
          <w:sz w:val="24"/>
          <w:szCs w:val="24"/>
        </w:rPr>
        <w:t>自动扶梯电机与减速机满足不小于20年的工作寿命</w:t>
      </w:r>
      <w:r>
        <w:rPr>
          <w:rFonts w:hint="eastAsia" w:ascii="宋体" w:hAnsi="宋体" w:eastAsia="宋体"/>
          <w:sz w:val="24"/>
          <w:szCs w:val="24"/>
        </w:rPr>
        <w:t>，工作</w:t>
      </w:r>
      <w:r>
        <w:rPr>
          <w:rFonts w:ascii="宋体" w:hAnsi="宋体" w:eastAsia="宋体"/>
          <w:sz w:val="24"/>
          <w:szCs w:val="24"/>
        </w:rPr>
        <w:t>寿命计算</w:t>
      </w:r>
      <w:r>
        <w:rPr>
          <w:rFonts w:hint="eastAsia" w:ascii="宋体" w:hAnsi="宋体" w:eastAsia="宋体"/>
          <w:sz w:val="24"/>
          <w:szCs w:val="24"/>
        </w:rPr>
        <w:t>所用</w:t>
      </w:r>
      <w:r>
        <w:rPr>
          <w:rFonts w:ascii="宋体" w:hAnsi="宋体" w:eastAsia="宋体"/>
          <w:sz w:val="24"/>
          <w:szCs w:val="24"/>
        </w:rPr>
        <w:t>的当量载荷</w:t>
      </w:r>
      <w:r>
        <w:rPr>
          <w:rFonts w:hint="eastAsia" w:ascii="宋体" w:hAnsi="宋体" w:eastAsia="宋体"/>
          <w:sz w:val="24"/>
          <w:szCs w:val="24"/>
        </w:rPr>
        <w:t>分档，</w:t>
      </w:r>
      <w:r>
        <w:rPr>
          <w:rFonts w:hint="eastAsia" w:ascii="宋体" w:hAnsi="宋体" w:eastAsia="宋体"/>
          <w:sz w:val="24"/>
          <w:szCs w:val="28"/>
        </w:rPr>
        <w:t>评价总分值为2分，</w:t>
      </w:r>
      <w:r>
        <w:rPr>
          <w:rFonts w:ascii="宋体" w:hAnsi="宋体" w:eastAsia="宋体"/>
          <w:sz w:val="24"/>
          <w:szCs w:val="24"/>
        </w:rPr>
        <w:t>并按下列规则评分：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按照不小于60%制动载荷的要求，评价分值为</w:t>
      </w:r>
      <w:r>
        <w:rPr>
          <w:rFonts w:hint="eastAsia" w:ascii="宋体" w:hAnsi="宋体" w:eastAsia="宋体"/>
          <w:sz w:val="24"/>
          <w:szCs w:val="24"/>
        </w:rPr>
        <w:t>1</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按照不小于78.2%制动载荷的要求，评价分值为</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.2.</w:t>
      </w:r>
      <w:r>
        <w:rPr>
          <w:rFonts w:hint="eastAsia" w:ascii="宋体" w:hAnsi="宋体" w:eastAsia="宋体"/>
          <w:b/>
          <w:bCs/>
          <w:sz w:val="24"/>
          <w:szCs w:val="24"/>
        </w:rPr>
        <w:t xml:space="preserve">27  </w:t>
      </w:r>
      <w:r>
        <w:rPr>
          <w:rFonts w:ascii="宋体" w:hAnsi="宋体" w:eastAsia="宋体"/>
          <w:sz w:val="24"/>
          <w:szCs w:val="24"/>
        </w:rPr>
        <w:t>自动扶梯、电梯采用物联网技术、传感技术等对其运行状态进行监测、对主要部件进行运行状态趋势进行预警，实现设备智能运维管理的目标，</w:t>
      </w:r>
      <w:r>
        <w:rPr>
          <w:rFonts w:hint="eastAsia" w:ascii="宋体" w:hAnsi="宋体" w:eastAsia="宋体"/>
          <w:sz w:val="24"/>
          <w:szCs w:val="24"/>
        </w:rPr>
        <w:t>评价总分值为3分，并按下列规则分别评分并累计：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实现</w:t>
      </w:r>
      <w:r>
        <w:rPr>
          <w:rFonts w:ascii="宋体" w:hAnsi="宋体" w:eastAsia="宋体"/>
          <w:sz w:val="24"/>
          <w:szCs w:val="24"/>
        </w:rPr>
        <w:t>对自动扶梯、电梯运行状态</w:t>
      </w:r>
      <w:r>
        <w:rPr>
          <w:rFonts w:hint="eastAsia" w:ascii="宋体" w:hAnsi="宋体" w:eastAsia="宋体"/>
          <w:sz w:val="24"/>
          <w:szCs w:val="24"/>
        </w:rPr>
        <w:t>监视</w:t>
      </w:r>
      <w:r>
        <w:rPr>
          <w:rFonts w:ascii="宋体" w:hAnsi="宋体" w:eastAsia="宋体"/>
          <w:sz w:val="24"/>
          <w:szCs w:val="24"/>
        </w:rPr>
        <w:t>、</w:t>
      </w:r>
      <w:r>
        <w:rPr>
          <w:rFonts w:hint="eastAsia" w:ascii="宋体" w:hAnsi="宋体" w:eastAsia="宋体"/>
          <w:sz w:val="24"/>
          <w:szCs w:val="24"/>
        </w:rPr>
        <w:t>故障报警，得1</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实现</w:t>
      </w:r>
      <w:r>
        <w:rPr>
          <w:rFonts w:ascii="宋体" w:hAnsi="宋体" w:eastAsia="宋体"/>
          <w:sz w:val="24"/>
          <w:szCs w:val="24"/>
        </w:rPr>
        <w:t>对自动扶梯、电梯</w:t>
      </w:r>
      <w:r>
        <w:rPr>
          <w:rFonts w:hint="eastAsia" w:ascii="宋体" w:hAnsi="宋体" w:eastAsia="宋体"/>
          <w:sz w:val="24"/>
          <w:szCs w:val="24"/>
        </w:rPr>
        <w:t>主要部件运行状态趋势预警，得1</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实现</w:t>
      </w:r>
      <w:r>
        <w:rPr>
          <w:rFonts w:ascii="宋体" w:hAnsi="宋体" w:eastAsia="宋体"/>
          <w:sz w:val="24"/>
          <w:szCs w:val="24"/>
        </w:rPr>
        <w:t>对自动扶梯、电梯</w:t>
      </w:r>
      <w:r>
        <w:rPr>
          <w:rFonts w:hint="eastAsia" w:ascii="宋体" w:hAnsi="宋体" w:eastAsia="宋体"/>
          <w:sz w:val="24"/>
          <w:szCs w:val="24"/>
        </w:rPr>
        <w:t>设备智能运维管理的目标，得1</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4.2.28  </w:t>
      </w:r>
      <w:r>
        <w:rPr>
          <w:rFonts w:hint="eastAsia" w:ascii="宋体" w:hAnsi="宋体" w:eastAsia="宋体"/>
          <w:sz w:val="24"/>
          <w:szCs w:val="24"/>
        </w:rPr>
        <w:t>地面建筑</w:t>
      </w:r>
      <w:r>
        <w:rPr>
          <w:rFonts w:ascii="宋体" w:hAnsi="宋体" w:eastAsia="宋体"/>
          <w:sz w:val="24"/>
          <w:szCs w:val="24"/>
        </w:rPr>
        <w:t>出入口均设外墙饰面、门窗玻璃意外脱落的防护措施，并与人员通行区域的遮阳、遮风</w:t>
      </w:r>
      <w:r>
        <w:rPr>
          <w:rFonts w:hint="eastAsia" w:ascii="宋体" w:hAnsi="宋体" w:eastAsia="宋体"/>
          <w:sz w:val="24"/>
          <w:szCs w:val="24"/>
        </w:rPr>
        <w:t>、</w:t>
      </w:r>
      <w:r>
        <w:rPr>
          <w:rFonts w:ascii="宋体" w:hAnsi="宋体" w:eastAsia="宋体"/>
          <w:sz w:val="24"/>
          <w:szCs w:val="24"/>
        </w:rPr>
        <w:t>挡雨措施结合</w:t>
      </w:r>
      <w:r>
        <w:rPr>
          <w:rFonts w:hint="eastAsia" w:ascii="宋体" w:hAnsi="宋体" w:eastAsia="宋体"/>
          <w:sz w:val="24"/>
          <w:szCs w:val="24"/>
        </w:rPr>
        <w:t>，同时</w:t>
      </w:r>
      <w:r>
        <w:rPr>
          <w:rFonts w:ascii="宋体" w:hAnsi="宋体" w:eastAsia="宋体"/>
          <w:sz w:val="24"/>
          <w:szCs w:val="24"/>
        </w:rPr>
        <w:t>利用场地</w:t>
      </w:r>
      <w:r>
        <w:rPr>
          <w:rFonts w:hint="eastAsia" w:ascii="宋体" w:hAnsi="宋体" w:eastAsia="宋体"/>
          <w:sz w:val="24"/>
          <w:szCs w:val="24"/>
        </w:rPr>
        <w:t>、</w:t>
      </w:r>
      <w:r>
        <w:rPr>
          <w:rFonts w:ascii="宋体" w:hAnsi="宋体" w:eastAsia="宋体"/>
          <w:sz w:val="24"/>
          <w:szCs w:val="24"/>
        </w:rPr>
        <w:t>景观</w:t>
      </w:r>
      <w:r>
        <w:rPr>
          <w:rFonts w:hint="eastAsia" w:ascii="宋体" w:hAnsi="宋体" w:eastAsia="宋体"/>
          <w:sz w:val="24"/>
          <w:szCs w:val="24"/>
        </w:rPr>
        <w:t>、护栏</w:t>
      </w:r>
      <w:r>
        <w:rPr>
          <w:rFonts w:ascii="宋体" w:hAnsi="宋体" w:eastAsia="宋体"/>
          <w:sz w:val="24"/>
          <w:szCs w:val="24"/>
        </w:rPr>
        <w:t>形成可降低坠物风险的缓冲区、隔离带</w:t>
      </w:r>
      <w:r>
        <w:rPr>
          <w:rFonts w:hint="eastAsia" w:ascii="宋体" w:hAnsi="宋体" w:eastAsia="宋体"/>
          <w:sz w:val="24"/>
          <w:szCs w:val="24"/>
        </w:rPr>
        <w:t>，评价分值为2分。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4.2.29  </w:t>
      </w:r>
      <w:r>
        <w:rPr>
          <w:rFonts w:hint="eastAsia" w:ascii="宋体" w:hAnsi="宋体" w:eastAsia="宋体"/>
          <w:sz w:val="24"/>
          <w:szCs w:val="24"/>
        </w:rPr>
        <w:t>地面建筑采取具有安全防护功能产品或配件，评价总分值为2分，并按下列规则分别评分并累计：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 xml:space="preserve">1 </w:t>
      </w:r>
      <w:r>
        <w:rPr>
          <w:rFonts w:hint="eastAsia" w:ascii="宋体" w:hAnsi="宋体" w:eastAsia="宋体"/>
          <w:sz w:val="24"/>
          <w:szCs w:val="24"/>
        </w:rPr>
        <w:t xml:space="preserve"> 采用具有安全防护功能的玻璃，得1分；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 xml:space="preserve">2 </w:t>
      </w:r>
      <w:r>
        <w:rPr>
          <w:rFonts w:hint="eastAsia" w:ascii="宋体" w:hAnsi="宋体" w:eastAsia="宋体"/>
          <w:sz w:val="24"/>
          <w:szCs w:val="24"/>
        </w:rPr>
        <w:t xml:space="preserve"> 采用具备防夹功能的门窗，得1分。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4.2.30  </w:t>
      </w:r>
      <w:r>
        <w:rPr>
          <w:rFonts w:hint="eastAsia" w:ascii="宋体" w:hAnsi="宋体" w:eastAsia="宋体"/>
          <w:sz w:val="24"/>
          <w:szCs w:val="24"/>
        </w:rPr>
        <w:t>车辆基地设置车辆检修智能运维系统，实现列车全寿命周期的智能化运维管理，评价总分值为4分，并按下列规则分别评分并累计：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 xml:space="preserve">1  </w:t>
      </w:r>
      <w:r>
        <w:rPr>
          <w:rFonts w:hint="eastAsia" w:ascii="宋体" w:hAnsi="宋体" w:eastAsia="宋体"/>
          <w:sz w:val="24"/>
          <w:szCs w:val="24"/>
        </w:rPr>
        <w:t>具备跟踪部分关键部件、实时掌握设备的状态和性能变化情况的功能，得1分；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具备依据车辆、设备、部件进行健康趋势分析模型将局部检修项工作频率进行疏密调整，并提交基础信息管理系统进行配置决策，检修修程调整决策，得1分；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具备维保流程管理功能，支持工单派发、报表、报告、台账等生产文档的自动生成和管理以及维保流程的配置，得1分；</w:t>
      </w:r>
    </w:p>
    <w:p>
      <w:pPr>
        <w:adjustRightInd w:val="0"/>
        <w:snapToGrid w:val="0"/>
        <w:spacing w:line="360" w:lineRule="auto"/>
        <w:ind w:firstLine="482" w:firstLineChars="200"/>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 xml:space="preserve">4 </w:t>
      </w:r>
      <w:r>
        <w:rPr>
          <w:rFonts w:hint="eastAsia" w:ascii="宋体" w:hAnsi="宋体" w:eastAsia="宋体"/>
          <w:sz w:val="24"/>
          <w:szCs w:val="24"/>
        </w:rPr>
        <w:t xml:space="preserve"> 具备对作业人员跟踪、列车定位跟踪、异常入侵跟踪，保障检修业务的顺利执行和提供安全保障，得1分。</w:t>
      </w:r>
    </w:p>
    <w:p>
      <w:pPr>
        <w:pStyle w:val="2"/>
        <w:spacing w:before="624" w:after="624"/>
      </w:pPr>
      <w:bookmarkStart w:id="22" w:name="_Toc77584226"/>
      <w:bookmarkStart w:id="23" w:name="_Toc60822235"/>
      <w:r>
        <w:t>5</w:t>
      </w:r>
      <w:r>
        <w:rPr>
          <w:rFonts w:hint="eastAsia"/>
        </w:rPr>
        <w:t xml:space="preserve">  </w:t>
      </w:r>
      <w:r>
        <w:t>便捷高效</w:t>
      </w:r>
      <w:bookmarkEnd w:id="22"/>
      <w:bookmarkEnd w:id="23"/>
    </w:p>
    <w:p>
      <w:pPr>
        <w:pStyle w:val="3"/>
        <w:spacing w:before="468" w:after="468"/>
      </w:pPr>
      <w:bookmarkStart w:id="24" w:name="_Toc77584227"/>
      <w:bookmarkStart w:id="25" w:name="_Toc60822236"/>
      <w:r>
        <w:t>5.1</w:t>
      </w:r>
      <w:r>
        <w:rPr>
          <w:rFonts w:hint="eastAsia"/>
        </w:rPr>
        <w:t xml:space="preserve">  </w:t>
      </w:r>
      <w:r>
        <w:t>控制项</w:t>
      </w:r>
      <w:bookmarkEnd w:id="24"/>
      <w:bookmarkEnd w:id="25"/>
    </w:p>
    <w:p>
      <w:pPr>
        <w:spacing w:line="360" w:lineRule="auto"/>
        <w:jc w:val="left"/>
        <w:rPr>
          <w:rFonts w:ascii="宋体" w:hAnsi="宋体"/>
          <w:sz w:val="24"/>
          <w:szCs w:val="24"/>
        </w:rPr>
      </w:pPr>
      <w:r>
        <w:rPr>
          <w:rFonts w:ascii="宋体" w:hAnsi="宋体" w:eastAsia="宋体"/>
          <w:b/>
          <w:bCs/>
          <w:sz w:val="24"/>
          <w:szCs w:val="24"/>
        </w:rPr>
        <w:t>5.1.1</w:t>
      </w:r>
      <w:r>
        <w:rPr>
          <w:rFonts w:hint="eastAsia" w:ascii="宋体" w:hAnsi="宋体" w:eastAsia="宋体"/>
          <w:b/>
          <w:bCs/>
          <w:sz w:val="24"/>
          <w:szCs w:val="24"/>
        </w:rPr>
        <w:t xml:space="preserve">  </w:t>
      </w:r>
      <w:r>
        <w:rPr>
          <w:rFonts w:ascii="宋体" w:hAnsi="宋体"/>
          <w:sz w:val="24"/>
          <w:szCs w:val="24"/>
        </w:rPr>
        <w:t>运营规模的确定，应在满足客流量及运量需求的基础上，提高运输效率和服务水平，降低建设成本和运营成本。</w:t>
      </w:r>
    </w:p>
    <w:p>
      <w:pPr>
        <w:spacing w:line="360" w:lineRule="auto"/>
        <w:jc w:val="left"/>
        <w:rPr>
          <w:rFonts w:ascii="宋体" w:hAnsi="宋体"/>
          <w:sz w:val="24"/>
          <w:szCs w:val="24"/>
        </w:rPr>
      </w:pPr>
      <w:r>
        <w:rPr>
          <w:rFonts w:ascii="宋体" w:hAnsi="宋体" w:eastAsia="宋体"/>
          <w:b/>
          <w:bCs/>
          <w:sz w:val="24"/>
          <w:szCs w:val="24"/>
        </w:rPr>
        <w:t>5.1.2</w:t>
      </w:r>
      <w:r>
        <w:rPr>
          <w:rFonts w:hint="eastAsia" w:ascii="宋体" w:hAnsi="宋体" w:eastAsia="宋体"/>
          <w:b/>
          <w:bCs/>
          <w:sz w:val="24"/>
          <w:szCs w:val="24"/>
        </w:rPr>
        <w:t xml:space="preserve">  </w:t>
      </w:r>
      <w:r>
        <w:rPr>
          <w:rFonts w:ascii="宋体" w:hAnsi="宋体"/>
          <w:sz w:val="24"/>
          <w:szCs w:val="24"/>
        </w:rPr>
        <w:t>运营方案应兼顾合理性、经济性</w:t>
      </w:r>
      <w:bookmarkStart w:id="26" w:name="_Hlk53152733"/>
      <w:r>
        <w:rPr>
          <w:rFonts w:hint="eastAsia" w:ascii="宋体" w:hAnsi="宋体"/>
          <w:sz w:val="24"/>
          <w:szCs w:val="24"/>
        </w:rPr>
        <w:t>、安全性</w:t>
      </w:r>
      <w:bookmarkEnd w:id="26"/>
      <w:r>
        <w:rPr>
          <w:rFonts w:ascii="宋体" w:hAnsi="宋体"/>
          <w:sz w:val="24"/>
          <w:szCs w:val="24"/>
        </w:rPr>
        <w:t>与可行性，明确全线运行模式、列车交路、行车计划</w:t>
      </w:r>
      <w:bookmarkStart w:id="27" w:name="_Hlk53152738"/>
      <w:r>
        <w:rPr>
          <w:rFonts w:ascii="宋体" w:hAnsi="宋体"/>
          <w:sz w:val="24"/>
          <w:szCs w:val="24"/>
        </w:rPr>
        <w:t>、</w:t>
      </w:r>
      <w:r>
        <w:rPr>
          <w:rFonts w:hint="eastAsia" w:ascii="宋体" w:hAnsi="宋体"/>
          <w:sz w:val="24"/>
          <w:szCs w:val="24"/>
        </w:rPr>
        <w:t>应急</w:t>
      </w:r>
      <w:bookmarkEnd w:id="27"/>
      <w:r>
        <w:rPr>
          <w:rFonts w:hint="eastAsia" w:ascii="宋体" w:hAnsi="宋体"/>
          <w:sz w:val="24"/>
          <w:szCs w:val="24"/>
        </w:rPr>
        <w:t>保障系统、</w:t>
      </w:r>
      <w:r>
        <w:rPr>
          <w:rFonts w:ascii="宋体" w:hAnsi="宋体"/>
          <w:sz w:val="24"/>
          <w:szCs w:val="24"/>
        </w:rPr>
        <w:t>旅行速度、车站配线等；运营方案应兼顾灵活性，为将来运营实施留有调整</w:t>
      </w:r>
      <w:r>
        <w:rPr>
          <w:rFonts w:hint="eastAsia" w:ascii="宋体" w:hAnsi="宋体"/>
          <w:sz w:val="24"/>
          <w:szCs w:val="24"/>
        </w:rPr>
        <w:t>条件</w:t>
      </w:r>
      <w:r>
        <w:rPr>
          <w:rFonts w:ascii="宋体" w:hAnsi="宋体"/>
          <w:sz w:val="24"/>
          <w:szCs w:val="24"/>
        </w:rPr>
        <w:t>。</w:t>
      </w:r>
    </w:p>
    <w:p>
      <w:pPr>
        <w:spacing w:line="360" w:lineRule="auto"/>
        <w:jc w:val="left"/>
        <w:rPr>
          <w:rFonts w:ascii="宋体" w:hAnsi="宋体"/>
          <w:sz w:val="24"/>
          <w:szCs w:val="24"/>
        </w:rPr>
      </w:pPr>
      <w:r>
        <w:rPr>
          <w:rFonts w:hint="eastAsia" w:ascii="宋体" w:hAnsi="宋体" w:eastAsia="宋体"/>
          <w:b/>
          <w:bCs/>
          <w:sz w:val="24"/>
          <w:szCs w:val="24"/>
        </w:rPr>
        <w:t xml:space="preserve">5.1.3  </w:t>
      </w:r>
      <w:r>
        <w:rPr>
          <w:rFonts w:ascii="宋体" w:hAnsi="宋体"/>
          <w:sz w:val="24"/>
          <w:szCs w:val="24"/>
        </w:rPr>
        <w:t>运营部门</w:t>
      </w:r>
      <w:r>
        <w:rPr>
          <w:rFonts w:hint="eastAsia" w:ascii="宋体" w:hAnsi="宋体"/>
          <w:sz w:val="24"/>
          <w:szCs w:val="24"/>
        </w:rPr>
        <w:t>应</w:t>
      </w:r>
      <w:r>
        <w:rPr>
          <w:rFonts w:ascii="宋体" w:hAnsi="宋体"/>
          <w:sz w:val="24"/>
          <w:szCs w:val="24"/>
        </w:rPr>
        <w:t>充分了解设备系统的节能设计思想，按照设计模式进行系统控制，</w:t>
      </w:r>
      <w:r>
        <w:rPr>
          <w:rFonts w:hint="eastAsia" w:ascii="宋体" w:hAnsi="宋体"/>
          <w:sz w:val="24"/>
          <w:szCs w:val="24"/>
        </w:rPr>
        <w:t>加强能源消耗的监测，</w:t>
      </w:r>
      <w:r>
        <w:rPr>
          <w:rFonts w:ascii="宋体" w:hAnsi="宋体"/>
          <w:sz w:val="24"/>
          <w:szCs w:val="24"/>
        </w:rPr>
        <w:t>并根据具体情况进行优化，保证各种节能设施的正常运转。加强运输组织管理，提高城市轨道交通运输效率。</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5</w:t>
      </w:r>
      <w:r>
        <w:rPr>
          <w:rFonts w:ascii="宋体" w:hAnsi="宋体" w:eastAsia="宋体"/>
          <w:b/>
          <w:bCs/>
          <w:sz w:val="24"/>
          <w:szCs w:val="24"/>
        </w:rPr>
        <w:t>.1.4</w:t>
      </w:r>
      <w:r>
        <w:rPr>
          <w:rFonts w:hint="eastAsia" w:ascii="宋体" w:hAnsi="宋体" w:eastAsia="宋体"/>
          <w:b/>
          <w:bCs/>
          <w:sz w:val="24"/>
          <w:szCs w:val="24"/>
        </w:rPr>
        <w:t xml:space="preserve">  </w:t>
      </w:r>
      <w:r>
        <w:rPr>
          <w:rFonts w:hint="eastAsia" w:ascii="宋体" w:hAnsi="宋体"/>
          <w:sz w:val="24"/>
          <w:szCs w:val="24"/>
        </w:rPr>
        <w:t>轨道交通运营期间应遵循可持续发展原则，保护周围的环境，减少或避免运营对环境造成包括噪声、水、固体废弃物、振动等污染的影响。</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5.1.5</w:t>
      </w:r>
      <w:r>
        <w:rPr>
          <w:rFonts w:hint="eastAsia" w:ascii="宋体" w:hAnsi="宋体" w:eastAsia="宋体"/>
          <w:b/>
          <w:bCs/>
          <w:sz w:val="24"/>
          <w:szCs w:val="24"/>
        </w:rPr>
        <w:t xml:space="preserve">  </w:t>
      </w:r>
      <w:r>
        <w:rPr>
          <w:rFonts w:ascii="宋体" w:hAnsi="宋体" w:eastAsia="宋体"/>
          <w:sz w:val="24"/>
          <w:szCs w:val="24"/>
        </w:rPr>
        <w:t>线路</w:t>
      </w:r>
      <w:r>
        <w:rPr>
          <w:rFonts w:hint="eastAsia" w:ascii="宋体" w:hAnsi="宋体" w:eastAsia="宋体"/>
          <w:sz w:val="24"/>
          <w:szCs w:val="24"/>
        </w:rPr>
        <w:t>选线及车站、车辆基地选址</w:t>
      </w:r>
      <w:r>
        <w:rPr>
          <w:rFonts w:ascii="宋体" w:hAnsi="宋体" w:eastAsia="宋体"/>
          <w:sz w:val="24"/>
          <w:szCs w:val="24"/>
        </w:rPr>
        <w:t>应与城市总体规划相协调，并符合下列规定：</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14"/>
          <w:szCs w:val="14"/>
        </w:rPr>
        <w:t> </w:t>
      </w:r>
      <w:r>
        <w:rPr>
          <w:rFonts w:ascii="宋体" w:hAnsi="宋体" w:eastAsia="宋体"/>
          <w:sz w:val="24"/>
          <w:szCs w:val="24"/>
        </w:rPr>
        <w:t>符合城市综合交通规划等的要求；</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符合运营效益的原则，线路走向应与客流廊道相匹配，宜衔接廊道上重要客流点；</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14"/>
          <w:szCs w:val="14"/>
        </w:rPr>
        <w:t> </w:t>
      </w:r>
      <w:r>
        <w:rPr>
          <w:rFonts w:ascii="宋体" w:hAnsi="宋体" w:eastAsia="宋体"/>
          <w:sz w:val="24"/>
          <w:szCs w:val="24"/>
        </w:rPr>
        <w:t>符合城市环境、风景名胜、文物保护等的要求。</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5.1.6</w:t>
      </w:r>
      <w:r>
        <w:rPr>
          <w:rFonts w:hint="eastAsia" w:ascii="宋体" w:hAnsi="宋体" w:eastAsia="宋体"/>
          <w:b/>
          <w:bCs/>
          <w:sz w:val="24"/>
          <w:szCs w:val="24"/>
        </w:rPr>
        <w:t xml:space="preserve">  </w:t>
      </w:r>
      <w:r>
        <w:rPr>
          <w:rFonts w:ascii="宋体" w:hAnsi="宋体" w:eastAsia="宋体"/>
          <w:sz w:val="24"/>
          <w:szCs w:val="24"/>
        </w:rPr>
        <w:t>车站布置应符合以下规定：</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14"/>
          <w:szCs w:val="14"/>
        </w:rPr>
        <w:t> </w:t>
      </w:r>
      <w:r>
        <w:rPr>
          <w:rFonts w:ascii="宋体" w:hAnsi="宋体" w:eastAsia="宋体"/>
          <w:sz w:val="24"/>
          <w:szCs w:val="24"/>
        </w:rPr>
        <w:t>车站站间距符合线路功能定位、性质、运营速度及沿线用地的要求；</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14"/>
          <w:szCs w:val="14"/>
        </w:rPr>
        <w:t> </w:t>
      </w:r>
      <w:r>
        <w:rPr>
          <w:rFonts w:ascii="宋体" w:hAnsi="宋体" w:eastAsia="宋体"/>
          <w:sz w:val="24"/>
          <w:szCs w:val="24"/>
        </w:rPr>
        <w:t>符合车站换乘便捷、一体化。</w:t>
      </w:r>
    </w:p>
    <w:p>
      <w:pPr>
        <w:pStyle w:val="3"/>
        <w:spacing w:before="468" w:after="468"/>
      </w:pPr>
      <w:bookmarkStart w:id="28" w:name="_Toc60822237"/>
      <w:bookmarkStart w:id="29" w:name="_Toc77584228"/>
      <w:r>
        <w:t>5.2</w:t>
      </w:r>
      <w:r>
        <w:rPr>
          <w:rFonts w:hint="eastAsia"/>
        </w:rPr>
        <w:t xml:space="preserve">  </w:t>
      </w:r>
      <w:r>
        <w:t>评分项</w:t>
      </w:r>
      <w:bookmarkEnd w:id="28"/>
      <w:bookmarkEnd w:id="29"/>
    </w:p>
    <w:p>
      <w:pPr>
        <w:spacing w:line="360" w:lineRule="auto"/>
        <w:jc w:val="left"/>
        <w:rPr>
          <w:rFonts w:ascii="宋体" w:hAnsi="宋体"/>
          <w:sz w:val="24"/>
          <w:szCs w:val="24"/>
        </w:rPr>
      </w:pPr>
      <w:r>
        <w:rPr>
          <w:rFonts w:ascii="宋体" w:hAnsi="宋体" w:eastAsia="宋体"/>
          <w:b/>
          <w:bCs/>
          <w:sz w:val="24"/>
          <w:szCs w:val="24"/>
        </w:rPr>
        <w:t>5.2.1</w:t>
      </w:r>
      <w:r>
        <w:rPr>
          <w:rFonts w:hint="eastAsia" w:ascii="宋体" w:hAnsi="宋体" w:eastAsia="宋体"/>
          <w:b/>
          <w:bCs/>
          <w:sz w:val="24"/>
          <w:szCs w:val="24"/>
        </w:rPr>
        <w:t xml:space="preserve">  </w:t>
      </w:r>
      <w:r>
        <w:rPr>
          <w:rFonts w:ascii="宋体" w:hAnsi="宋体"/>
          <w:sz w:val="24"/>
          <w:szCs w:val="24"/>
        </w:rPr>
        <w:t>运营规模</w:t>
      </w:r>
      <w:r>
        <w:rPr>
          <w:rFonts w:hint="eastAsia" w:ascii="宋体" w:hAnsi="宋体"/>
          <w:sz w:val="24"/>
          <w:szCs w:val="24"/>
        </w:rPr>
        <w:t>确定的</w:t>
      </w:r>
      <w:r>
        <w:rPr>
          <w:rFonts w:ascii="宋体" w:hAnsi="宋体"/>
          <w:sz w:val="24"/>
          <w:szCs w:val="24"/>
        </w:rPr>
        <w:t>合理</w:t>
      </w:r>
      <w:r>
        <w:rPr>
          <w:rFonts w:hint="eastAsia" w:ascii="宋体" w:hAnsi="宋体"/>
          <w:sz w:val="24"/>
          <w:szCs w:val="24"/>
        </w:rPr>
        <w:t>性</w:t>
      </w:r>
      <w:r>
        <w:rPr>
          <w:rFonts w:ascii="宋体" w:hAnsi="宋体"/>
          <w:sz w:val="24"/>
          <w:szCs w:val="24"/>
        </w:rPr>
        <w:t>，评价总分值</w:t>
      </w:r>
      <w:r>
        <w:rPr>
          <w:rFonts w:hint="eastAsia" w:ascii="宋体" w:hAnsi="宋体"/>
          <w:sz w:val="24"/>
          <w:szCs w:val="24"/>
        </w:rPr>
        <w:t>26</w:t>
      </w:r>
      <w:r>
        <w:rPr>
          <w:rFonts w:ascii="宋体" w:hAnsi="宋体"/>
          <w:sz w:val="24"/>
          <w:szCs w:val="24"/>
        </w:rPr>
        <w:t>分，并按下列规则评分：</w:t>
      </w:r>
    </w:p>
    <w:p>
      <w:pPr>
        <w:spacing w:line="360" w:lineRule="auto"/>
        <w:ind w:firstLine="482" w:firstLineChars="200"/>
        <w:jc w:val="left"/>
        <w:rPr>
          <w:rFonts w:ascii="宋体" w:hAnsi="宋体"/>
          <w:sz w:val="24"/>
          <w:szCs w:val="24"/>
        </w:rPr>
      </w:pPr>
      <w:r>
        <w:rPr>
          <w:rFonts w:ascii="宋体" w:hAnsi="宋体"/>
          <w:b/>
          <w:sz w:val="24"/>
          <w:szCs w:val="24"/>
        </w:rPr>
        <w:t>1</w:t>
      </w:r>
      <w:r>
        <w:rPr>
          <w:rFonts w:hint="eastAsia" w:ascii="宋体" w:hAnsi="宋体"/>
          <w:sz w:val="24"/>
          <w:szCs w:val="24"/>
        </w:rPr>
        <w:t xml:space="preserve">  </w:t>
      </w:r>
      <w:r>
        <w:rPr>
          <w:rFonts w:ascii="宋体" w:hAnsi="宋体"/>
          <w:sz w:val="24"/>
          <w:szCs w:val="24"/>
        </w:rPr>
        <w:t>运能富裕度25%</w:t>
      </w:r>
      <w:r>
        <w:rPr>
          <w:rFonts w:hint="eastAsia" w:ascii="宋体" w:hAnsi="宋体" w:eastAsia="宋体"/>
          <w:sz w:val="24"/>
          <w:szCs w:val="24"/>
        </w:rPr>
        <w:t>～</w:t>
      </w:r>
      <w:r>
        <w:rPr>
          <w:rFonts w:ascii="宋体" w:hAnsi="宋体"/>
          <w:sz w:val="24"/>
          <w:szCs w:val="24"/>
        </w:rPr>
        <w:t>30%，得</w:t>
      </w:r>
      <w:r>
        <w:rPr>
          <w:rFonts w:hint="eastAsia" w:ascii="宋体" w:hAnsi="宋体"/>
          <w:sz w:val="24"/>
          <w:szCs w:val="24"/>
        </w:rPr>
        <w:t>10</w:t>
      </w:r>
      <w:r>
        <w:rPr>
          <w:rFonts w:ascii="宋体" w:hAnsi="宋体"/>
          <w:sz w:val="24"/>
          <w:szCs w:val="24"/>
        </w:rPr>
        <w:t>分；</w:t>
      </w:r>
    </w:p>
    <w:p>
      <w:pPr>
        <w:spacing w:line="360" w:lineRule="auto"/>
        <w:ind w:firstLine="482" w:firstLineChars="200"/>
        <w:jc w:val="left"/>
        <w:rPr>
          <w:rFonts w:ascii="宋体" w:hAnsi="宋体"/>
          <w:sz w:val="24"/>
          <w:szCs w:val="24"/>
        </w:rPr>
      </w:pPr>
      <w:r>
        <w:rPr>
          <w:rFonts w:ascii="宋体" w:hAnsi="宋体"/>
          <w:b/>
          <w:sz w:val="24"/>
          <w:szCs w:val="24"/>
        </w:rPr>
        <w:t>2</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运能富裕度20%</w:t>
      </w:r>
      <w:r>
        <w:rPr>
          <w:rFonts w:hint="eastAsia" w:ascii="宋体" w:hAnsi="宋体" w:eastAsia="宋体"/>
          <w:sz w:val="24"/>
          <w:szCs w:val="24"/>
        </w:rPr>
        <w:t>～</w:t>
      </w:r>
      <w:r>
        <w:rPr>
          <w:rFonts w:ascii="宋体" w:hAnsi="宋体"/>
          <w:sz w:val="24"/>
          <w:szCs w:val="24"/>
        </w:rPr>
        <w:t>25%（不含），得</w:t>
      </w:r>
      <w:r>
        <w:rPr>
          <w:rFonts w:hint="eastAsia" w:ascii="宋体" w:hAnsi="宋体"/>
          <w:sz w:val="24"/>
          <w:szCs w:val="24"/>
        </w:rPr>
        <w:t>15</w:t>
      </w:r>
      <w:r>
        <w:rPr>
          <w:rFonts w:ascii="宋体" w:hAnsi="宋体"/>
          <w:sz w:val="24"/>
          <w:szCs w:val="24"/>
        </w:rPr>
        <w:t>分；</w:t>
      </w:r>
    </w:p>
    <w:p>
      <w:pPr>
        <w:spacing w:line="360" w:lineRule="auto"/>
        <w:ind w:firstLine="482" w:firstLineChars="200"/>
        <w:jc w:val="left"/>
        <w:rPr>
          <w:rFonts w:ascii="宋体" w:hAnsi="宋体"/>
          <w:sz w:val="24"/>
          <w:szCs w:val="24"/>
        </w:rPr>
      </w:pPr>
      <w:r>
        <w:rPr>
          <w:rFonts w:ascii="宋体" w:hAnsi="宋体"/>
          <w:b/>
          <w:sz w:val="24"/>
          <w:szCs w:val="24"/>
        </w:rPr>
        <w:t>3</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运能富裕度0%</w:t>
      </w:r>
      <w:r>
        <w:rPr>
          <w:rFonts w:hint="eastAsia" w:ascii="宋体" w:hAnsi="宋体" w:eastAsia="宋体"/>
          <w:sz w:val="24"/>
          <w:szCs w:val="24"/>
        </w:rPr>
        <w:t>～</w:t>
      </w:r>
      <w:r>
        <w:rPr>
          <w:rFonts w:ascii="宋体" w:hAnsi="宋体"/>
          <w:sz w:val="24"/>
          <w:szCs w:val="24"/>
        </w:rPr>
        <w:t>5%（不含），15%</w:t>
      </w:r>
      <w:r>
        <w:rPr>
          <w:rFonts w:hint="eastAsia" w:ascii="宋体" w:hAnsi="宋体" w:eastAsia="宋体"/>
          <w:sz w:val="24"/>
          <w:szCs w:val="24"/>
        </w:rPr>
        <w:t>～</w:t>
      </w:r>
      <w:r>
        <w:rPr>
          <w:rFonts w:ascii="宋体" w:hAnsi="宋体"/>
          <w:sz w:val="24"/>
          <w:szCs w:val="24"/>
        </w:rPr>
        <w:t>20%（不含），得</w:t>
      </w:r>
      <w:r>
        <w:rPr>
          <w:rFonts w:hint="eastAsia" w:ascii="宋体" w:hAnsi="宋体"/>
          <w:sz w:val="24"/>
          <w:szCs w:val="24"/>
        </w:rPr>
        <w:t>20</w:t>
      </w:r>
      <w:r>
        <w:rPr>
          <w:rFonts w:ascii="宋体" w:hAnsi="宋体"/>
          <w:sz w:val="24"/>
          <w:szCs w:val="24"/>
        </w:rPr>
        <w:t>分；</w:t>
      </w:r>
    </w:p>
    <w:p>
      <w:pPr>
        <w:spacing w:line="360" w:lineRule="auto"/>
        <w:ind w:firstLine="482" w:firstLineChars="200"/>
        <w:jc w:val="left"/>
        <w:rPr>
          <w:rFonts w:ascii="宋体" w:hAnsi="宋体"/>
          <w:sz w:val="24"/>
          <w:szCs w:val="24"/>
        </w:rPr>
      </w:pPr>
      <w:r>
        <w:rPr>
          <w:rFonts w:ascii="宋体" w:hAnsi="宋体"/>
          <w:b/>
          <w:sz w:val="24"/>
          <w:szCs w:val="24"/>
        </w:rPr>
        <w:t>4</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运能富裕度5%</w:t>
      </w:r>
      <w:r>
        <w:rPr>
          <w:rFonts w:hint="eastAsia" w:ascii="宋体" w:hAnsi="宋体" w:eastAsia="宋体"/>
          <w:sz w:val="24"/>
          <w:szCs w:val="24"/>
        </w:rPr>
        <w:t>～</w:t>
      </w:r>
      <w:r>
        <w:rPr>
          <w:rFonts w:ascii="宋体" w:hAnsi="宋体"/>
          <w:sz w:val="24"/>
          <w:szCs w:val="24"/>
        </w:rPr>
        <w:t>15%（不含），得</w:t>
      </w:r>
      <w:r>
        <w:rPr>
          <w:rFonts w:hint="eastAsia" w:ascii="宋体" w:hAnsi="宋体"/>
          <w:sz w:val="24"/>
          <w:szCs w:val="24"/>
        </w:rPr>
        <w:t>26</w:t>
      </w:r>
      <w:r>
        <w:rPr>
          <w:rFonts w:ascii="宋体" w:hAnsi="宋体"/>
          <w:sz w:val="24"/>
          <w:szCs w:val="24"/>
        </w:rPr>
        <w:t>分。</w:t>
      </w:r>
    </w:p>
    <w:p>
      <w:pPr>
        <w:spacing w:line="360" w:lineRule="auto"/>
        <w:jc w:val="left"/>
        <w:rPr>
          <w:rFonts w:ascii="微软雅黑" w:hAnsi="微软雅黑" w:eastAsia="微软雅黑"/>
          <w:sz w:val="24"/>
          <w:szCs w:val="24"/>
        </w:rPr>
      </w:pPr>
      <w:r>
        <w:rPr>
          <w:rFonts w:ascii="宋体" w:hAnsi="宋体" w:eastAsia="宋体"/>
          <w:b/>
          <w:bCs/>
          <w:sz w:val="24"/>
          <w:szCs w:val="24"/>
        </w:rPr>
        <w:t>5.2.2</w:t>
      </w:r>
      <w:r>
        <w:rPr>
          <w:rFonts w:hint="eastAsia" w:ascii="宋体" w:hAnsi="宋体" w:eastAsia="宋体"/>
          <w:b/>
          <w:bCs/>
          <w:sz w:val="24"/>
          <w:szCs w:val="24"/>
        </w:rPr>
        <w:t xml:space="preserve">  </w:t>
      </w:r>
      <w:r>
        <w:rPr>
          <w:rFonts w:ascii="宋体" w:hAnsi="宋体"/>
          <w:sz w:val="24"/>
          <w:szCs w:val="24"/>
        </w:rPr>
        <w:t>高峰期间运营方案</w:t>
      </w:r>
      <w:r>
        <w:rPr>
          <w:rFonts w:hint="eastAsia" w:ascii="宋体" w:hAnsi="宋体"/>
          <w:sz w:val="24"/>
          <w:szCs w:val="24"/>
        </w:rPr>
        <w:t>的</w:t>
      </w:r>
      <w:r>
        <w:rPr>
          <w:rFonts w:ascii="宋体" w:hAnsi="宋体"/>
          <w:sz w:val="24"/>
          <w:szCs w:val="24"/>
        </w:rPr>
        <w:t>合理</w:t>
      </w:r>
      <w:r>
        <w:rPr>
          <w:rFonts w:hint="eastAsia" w:ascii="宋体" w:hAnsi="宋体"/>
          <w:sz w:val="24"/>
          <w:szCs w:val="24"/>
        </w:rPr>
        <w:t>性</w:t>
      </w:r>
      <w:r>
        <w:rPr>
          <w:rFonts w:ascii="宋体" w:hAnsi="宋体"/>
          <w:sz w:val="24"/>
          <w:szCs w:val="24"/>
        </w:rPr>
        <w:t>，评价总分值</w:t>
      </w:r>
      <w:r>
        <w:rPr>
          <w:rFonts w:hint="eastAsia" w:ascii="宋体" w:hAnsi="宋体"/>
          <w:sz w:val="24"/>
          <w:szCs w:val="24"/>
        </w:rPr>
        <w:t>18</w:t>
      </w:r>
      <w:r>
        <w:rPr>
          <w:rFonts w:ascii="宋体" w:hAnsi="宋体"/>
          <w:sz w:val="24"/>
          <w:szCs w:val="24"/>
        </w:rPr>
        <w:t>分，并按下列规则评分：</w:t>
      </w:r>
    </w:p>
    <w:p>
      <w:pPr>
        <w:spacing w:line="360" w:lineRule="auto"/>
        <w:ind w:firstLine="482" w:firstLineChars="200"/>
        <w:jc w:val="left"/>
        <w:rPr>
          <w:rFonts w:ascii="宋体" w:hAnsi="宋体"/>
          <w:sz w:val="24"/>
          <w:szCs w:val="24"/>
        </w:rPr>
      </w:pPr>
      <w:r>
        <w:rPr>
          <w:rFonts w:ascii="宋体" w:hAnsi="宋体"/>
          <w:b/>
          <w:sz w:val="24"/>
          <w:szCs w:val="24"/>
        </w:rPr>
        <w:t>1</w:t>
      </w:r>
      <w:r>
        <w:rPr>
          <w:rFonts w:hint="eastAsia" w:ascii="宋体" w:hAnsi="宋体"/>
          <w:sz w:val="24"/>
          <w:szCs w:val="24"/>
        </w:rPr>
        <w:t xml:space="preserve">  </w:t>
      </w:r>
      <w:r>
        <w:rPr>
          <w:rFonts w:ascii="宋体" w:hAnsi="宋体"/>
          <w:sz w:val="24"/>
          <w:szCs w:val="24"/>
        </w:rPr>
        <w:t>高峰小时平均满载率60%</w:t>
      </w:r>
      <w:r>
        <w:rPr>
          <w:rFonts w:hint="eastAsia" w:ascii="宋体" w:hAnsi="宋体" w:eastAsia="宋体"/>
          <w:sz w:val="24"/>
          <w:szCs w:val="24"/>
        </w:rPr>
        <w:t>～</w:t>
      </w:r>
      <w:r>
        <w:rPr>
          <w:rFonts w:ascii="宋体" w:hAnsi="宋体"/>
          <w:sz w:val="24"/>
          <w:szCs w:val="24"/>
        </w:rPr>
        <w:t>65%，得</w:t>
      </w:r>
      <w:r>
        <w:rPr>
          <w:rFonts w:hint="eastAsia" w:ascii="宋体" w:hAnsi="宋体"/>
          <w:sz w:val="24"/>
          <w:szCs w:val="24"/>
        </w:rPr>
        <w:t>5</w:t>
      </w:r>
      <w:r>
        <w:rPr>
          <w:rFonts w:ascii="宋体" w:hAnsi="宋体"/>
          <w:sz w:val="24"/>
          <w:szCs w:val="24"/>
        </w:rPr>
        <w:t>分；</w:t>
      </w:r>
    </w:p>
    <w:p>
      <w:pPr>
        <w:spacing w:line="360" w:lineRule="auto"/>
        <w:ind w:firstLine="482" w:firstLineChars="200"/>
        <w:jc w:val="left"/>
        <w:rPr>
          <w:rFonts w:ascii="宋体" w:hAnsi="宋体"/>
          <w:sz w:val="24"/>
          <w:szCs w:val="24"/>
        </w:rPr>
      </w:pPr>
      <w:r>
        <w:rPr>
          <w:rFonts w:hint="eastAsia" w:ascii="宋体" w:hAnsi="宋体"/>
          <w:b/>
          <w:sz w:val="24"/>
          <w:szCs w:val="24"/>
        </w:rPr>
        <w:t>2</w:t>
      </w:r>
      <w:r>
        <w:rPr>
          <w:rFonts w:hint="eastAsia" w:ascii="宋体" w:hAnsi="宋体"/>
          <w:sz w:val="24"/>
          <w:szCs w:val="24"/>
        </w:rPr>
        <w:t xml:space="preserve">  </w:t>
      </w:r>
      <w:r>
        <w:rPr>
          <w:rFonts w:ascii="宋体" w:hAnsi="宋体"/>
          <w:sz w:val="24"/>
          <w:szCs w:val="24"/>
        </w:rPr>
        <w:t>高峰小时平均满载率30%</w:t>
      </w:r>
      <w:r>
        <w:rPr>
          <w:rFonts w:hint="eastAsia" w:ascii="宋体" w:hAnsi="宋体" w:eastAsia="宋体"/>
          <w:sz w:val="24"/>
          <w:szCs w:val="24"/>
        </w:rPr>
        <w:t>～</w:t>
      </w:r>
      <w:r>
        <w:rPr>
          <w:rFonts w:ascii="宋体" w:hAnsi="宋体"/>
          <w:sz w:val="24"/>
          <w:szCs w:val="24"/>
        </w:rPr>
        <w:t>35%（不含）、60%</w:t>
      </w:r>
      <w:r>
        <w:rPr>
          <w:rFonts w:hint="eastAsia" w:ascii="宋体" w:hAnsi="宋体" w:eastAsia="宋体"/>
          <w:sz w:val="24"/>
          <w:szCs w:val="24"/>
        </w:rPr>
        <w:t>～</w:t>
      </w:r>
      <w:r>
        <w:rPr>
          <w:rFonts w:ascii="宋体" w:hAnsi="宋体"/>
          <w:sz w:val="24"/>
          <w:szCs w:val="24"/>
        </w:rPr>
        <w:t>65%，得</w:t>
      </w:r>
      <w:r>
        <w:rPr>
          <w:rFonts w:hint="eastAsia" w:ascii="宋体" w:hAnsi="宋体"/>
          <w:sz w:val="24"/>
          <w:szCs w:val="24"/>
        </w:rPr>
        <w:t>8</w:t>
      </w:r>
      <w:r>
        <w:rPr>
          <w:rFonts w:ascii="宋体" w:hAnsi="宋体"/>
          <w:sz w:val="24"/>
          <w:szCs w:val="24"/>
        </w:rPr>
        <w:t>分；</w:t>
      </w:r>
    </w:p>
    <w:p>
      <w:pPr>
        <w:spacing w:line="360" w:lineRule="auto"/>
        <w:ind w:firstLine="482" w:firstLineChars="200"/>
        <w:jc w:val="left"/>
        <w:rPr>
          <w:rFonts w:ascii="宋体" w:hAnsi="宋体"/>
          <w:sz w:val="24"/>
          <w:szCs w:val="24"/>
        </w:rPr>
      </w:pPr>
      <w:r>
        <w:rPr>
          <w:rFonts w:hint="eastAsia" w:ascii="宋体" w:hAnsi="宋体"/>
          <w:b/>
          <w:sz w:val="24"/>
          <w:szCs w:val="24"/>
        </w:rPr>
        <w:t>3</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高峰小时平均满载率35%</w:t>
      </w:r>
      <w:r>
        <w:rPr>
          <w:rFonts w:hint="eastAsia" w:ascii="宋体" w:hAnsi="宋体" w:eastAsia="宋体"/>
          <w:sz w:val="24"/>
          <w:szCs w:val="24"/>
        </w:rPr>
        <w:t>～</w:t>
      </w:r>
      <w:r>
        <w:rPr>
          <w:rFonts w:ascii="宋体" w:hAnsi="宋体"/>
          <w:sz w:val="24"/>
          <w:szCs w:val="24"/>
        </w:rPr>
        <w:t>40%（不含）、55%</w:t>
      </w:r>
      <w:r>
        <w:rPr>
          <w:rFonts w:hint="eastAsia" w:ascii="宋体" w:hAnsi="宋体" w:eastAsia="宋体"/>
          <w:sz w:val="24"/>
          <w:szCs w:val="24"/>
        </w:rPr>
        <w:t>～</w:t>
      </w:r>
      <w:r>
        <w:rPr>
          <w:rFonts w:ascii="宋体" w:hAnsi="宋体"/>
          <w:sz w:val="24"/>
          <w:szCs w:val="24"/>
        </w:rPr>
        <w:t>60%（不含），得</w:t>
      </w:r>
      <w:r>
        <w:rPr>
          <w:rFonts w:hint="eastAsia" w:ascii="宋体" w:hAnsi="宋体"/>
          <w:sz w:val="24"/>
          <w:szCs w:val="24"/>
        </w:rPr>
        <w:t>10</w:t>
      </w:r>
      <w:r>
        <w:rPr>
          <w:rFonts w:ascii="宋体" w:hAnsi="宋体"/>
          <w:sz w:val="24"/>
          <w:szCs w:val="24"/>
        </w:rPr>
        <w:t>分；</w:t>
      </w:r>
    </w:p>
    <w:p>
      <w:pPr>
        <w:spacing w:line="360" w:lineRule="auto"/>
        <w:ind w:firstLine="482" w:firstLineChars="200"/>
        <w:jc w:val="left"/>
        <w:rPr>
          <w:rFonts w:ascii="宋体" w:hAnsi="宋体"/>
          <w:sz w:val="24"/>
          <w:szCs w:val="24"/>
        </w:rPr>
      </w:pPr>
      <w:r>
        <w:rPr>
          <w:rFonts w:hint="eastAsia" w:ascii="宋体" w:hAnsi="宋体"/>
          <w:b/>
          <w:sz w:val="24"/>
          <w:szCs w:val="24"/>
        </w:rPr>
        <w:t>4</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高峰小时平均满载率40%</w:t>
      </w:r>
      <w:r>
        <w:rPr>
          <w:rFonts w:hint="eastAsia" w:ascii="宋体" w:hAnsi="宋体" w:eastAsia="宋体"/>
          <w:sz w:val="24"/>
          <w:szCs w:val="24"/>
        </w:rPr>
        <w:t>～</w:t>
      </w:r>
      <w:r>
        <w:rPr>
          <w:rFonts w:ascii="宋体" w:hAnsi="宋体"/>
          <w:sz w:val="24"/>
          <w:szCs w:val="24"/>
        </w:rPr>
        <w:t>45%（不含）、50%</w:t>
      </w:r>
      <w:r>
        <w:rPr>
          <w:rFonts w:hint="eastAsia" w:ascii="宋体" w:hAnsi="宋体" w:eastAsia="宋体"/>
          <w:sz w:val="24"/>
          <w:szCs w:val="24"/>
        </w:rPr>
        <w:t>～</w:t>
      </w:r>
      <w:r>
        <w:rPr>
          <w:rFonts w:ascii="宋体" w:hAnsi="宋体"/>
          <w:sz w:val="24"/>
          <w:szCs w:val="24"/>
        </w:rPr>
        <w:t>55%（不含），得</w:t>
      </w:r>
      <w:r>
        <w:rPr>
          <w:rFonts w:hint="eastAsia" w:ascii="宋体" w:hAnsi="宋体"/>
          <w:sz w:val="24"/>
          <w:szCs w:val="24"/>
        </w:rPr>
        <w:t>15</w:t>
      </w:r>
      <w:r>
        <w:rPr>
          <w:rFonts w:ascii="宋体" w:hAnsi="宋体"/>
          <w:sz w:val="24"/>
          <w:szCs w:val="24"/>
        </w:rPr>
        <w:t>分；</w:t>
      </w:r>
    </w:p>
    <w:p>
      <w:pPr>
        <w:spacing w:line="360" w:lineRule="auto"/>
        <w:ind w:firstLine="482" w:firstLineChars="200"/>
        <w:jc w:val="left"/>
        <w:rPr>
          <w:rFonts w:ascii="宋体" w:hAnsi="宋体"/>
          <w:sz w:val="24"/>
          <w:szCs w:val="24"/>
        </w:rPr>
      </w:pPr>
      <w:r>
        <w:rPr>
          <w:rFonts w:hint="eastAsia" w:ascii="宋体" w:hAnsi="宋体"/>
          <w:b/>
          <w:sz w:val="24"/>
          <w:szCs w:val="24"/>
        </w:rPr>
        <w:t>5</w:t>
      </w:r>
      <w:r>
        <w:rPr>
          <w:rFonts w:hint="eastAsia" w:ascii="宋体" w:hAnsi="宋体"/>
          <w:sz w:val="24"/>
          <w:szCs w:val="24"/>
        </w:rPr>
        <w:t xml:space="preserve">  </w:t>
      </w:r>
      <w:r>
        <w:rPr>
          <w:rFonts w:ascii="宋体" w:hAnsi="宋体"/>
          <w:sz w:val="24"/>
          <w:szCs w:val="24"/>
        </w:rPr>
        <w:t>高峰小时平均满载率45%</w:t>
      </w:r>
      <w:r>
        <w:rPr>
          <w:rFonts w:hint="eastAsia" w:ascii="宋体" w:hAnsi="宋体" w:eastAsia="宋体"/>
          <w:sz w:val="24"/>
          <w:szCs w:val="24"/>
        </w:rPr>
        <w:t>～</w:t>
      </w:r>
      <w:r>
        <w:rPr>
          <w:rFonts w:ascii="宋体" w:hAnsi="宋体"/>
          <w:sz w:val="24"/>
          <w:szCs w:val="24"/>
        </w:rPr>
        <w:t>50%（不含），得</w:t>
      </w:r>
      <w:r>
        <w:rPr>
          <w:rFonts w:hint="eastAsia" w:ascii="宋体" w:hAnsi="宋体"/>
          <w:sz w:val="24"/>
          <w:szCs w:val="24"/>
        </w:rPr>
        <w:t>18</w:t>
      </w:r>
      <w:r>
        <w:rPr>
          <w:rFonts w:ascii="宋体" w:hAnsi="宋体"/>
          <w:sz w:val="24"/>
          <w:szCs w:val="24"/>
        </w:rPr>
        <w:t>分。</w:t>
      </w:r>
    </w:p>
    <w:p>
      <w:pPr>
        <w:spacing w:line="360" w:lineRule="auto"/>
        <w:jc w:val="left"/>
        <w:rPr>
          <w:rFonts w:ascii="宋体" w:hAnsi="宋体"/>
          <w:sz w:val="24"/>
          <w:szCs w:val="24"/>
        </w:rPr>
      </w:pPr>
      <w:r>
        <w:rPr>
          <w:rFonts w:hint="eastAsia" w:ascii="宋体" w:hAnsi="宋体"/>
          <w:b/>
          <w:sz w:val="24"/>
          <w:szCs w:val="24"/>
        </w:rPr>
        <w:t xml:space="preserve">5.2.3  </w:t>
      </w:r>
      <w:r>
        <w:rPr>
          <w:rFonts w:hint="eastAsia" w:ascii="宋体" w:hAnsi="宋体"/>
          <w:sz w:val="24"/>
          <w:szCs w:val="24"/>
        </w:rPr>
        <w:t>全日运营方案的合理性，评价总分值18分，并按下列规则评分：</w:t>
      </w:r>
    </w:p>
    <w:p>
      <w:pPr>
        <w:spacing w:line="360" w:lineRule="auto"/>
        <w:ind w:firstLine="482" w:firstLineChars="20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全日平均满载率25%以下，得5分；</w:t>
      </w:r>
    </w:p>
    <w:p>
      <w:pPr>
        <w:spacing w:line="360" w:lineRule="auto"/>
        <w:ind w:firstLine="482" w:firstLineChars="200"/>
        <w:jc w:val="left"/>
        <w:rPr>
          <w:rFonts w:ascii="宋体" w:hAnsi="宋体"/>
          <w:sz w:val="24"/>
          <w:szCs w:val="24"/>
        </w:rPr>
      </w:pPr>
      <w:r>
        <w:rPr>
          <w:rFonts w:hint="eastAsia" w:ascii="宋体" w:hAnsi="宋体"/>
          <w:b/>
          <w:sz w:val="24"/>
          <w:szCs w:val="24"/>
        </w:rPr>
        <w:t>2</w:t>
      </w:r>
      <w:r>
        <w:rPr>
          <w:rFonts w:hint="eastAsia" w:ascii="宋体" w:hAnsi="宋体"/>
          <w:sz w:val="24"/>
          <w:szCs w:val="24"/>
        </w:rPr>
        <w:t xml:space="preserve">  全日平均满载率25%</w:t>
      </w:r>
      <w:r>
        <w:rPr>
          <w:rFonts w:hint="eastAsia" w:ascii="宋体" w:hAnsi="宋体" w:eastAsia="宋体"/>
          <w:sz w:val="24"/>
          <w:szCs w:val="24"/>
        </w:rPr>
        <w:t>～</w:t>
      </w:r>
      <w:r>
        <w:rPr>
          <w:rFonts w:hint="eastAsia" w:ascii="宋体" w:hAnsi="宋体"/>
          <w:sz w:val="24"/>
          <w:szCs w:val="24"/>
        </w:rPr>
        <w:t>30%（不含），得10分；</w:t>
      </w:r>
    </w:p>
    <w:p>
      <w:pPr>
        <w:spacing w:line="360" w:lineRule="auto"/>
        <w:ind w:firstLine="482" w:firstLineChars="200"/>
        <w:jc w:val="left"/>
        <w:rPr>
          <w:rFonts w:ascii="宋体" w:hAnsi="宋体"/>
          <w:sz w:val="24"/>
          <w:szCs w:val="24"/>
        </w:rPr>
      </w:pPr>
      <w:r>
        <w:rPr>
          <w:rFonts w:hint="eastAsia" w:ascii="宋体" w:hAnsi="宋体"/>
          <w:b/>
          <w:sz w:val="24"/>
          <w:szCs w:val="24"/>
        </w:rPr>
        <w:t>3</w:t>
      </w:r>
      <w:r>
        <w:rPr>
          <w:rFonts w:hint="eastAsia" w:ascii="宋体" w:hAnsi="宋体"/>
          <w:sz w:val="24"/>
          <w:szCs w:val="24"/>
        </w:rPr>
        <w:t xml:space="preserve">  全日平均满载率30%</w:t>
      </w:r>
      <w:r>
        <w:rPr>
          <w:rFonts w:hint="eastAsia" w:ascii="宋体" w:hAnsi="宋体" w:eastAsia="宋体"/>
          <w:sz w:val="24"/>
          <w:szCs w:val="24"/>
        </w:rPr>
        <w:t>～</w:t>
      </w:r>
      <w:r>
        <w:rPr>
          <w:rFonts w:hint="eastAsia" w:ascii="宋体" w:hAnsi="宋体"/>
          <w:sz w:val="24"/>
          <w:szCs w:val="24"/>
        </w:rPr>
        <w:t>35%（不含），得15分；</w:t>
      </w:r>
    </w:p>
    <w:p>
      <w:pPr>
        <w:spacing w:line="360" w:lineRule="auto"/>
        <w:ind w:firstLine="482" w:firstLineChars="200"/>
        <w:jc w:val="left"/>
        <w:rPr>
          <w:rFonts w:ascii="宋体" w:hAnsi="宋体"/>
          <w:sz w:val="24"/>
          <w:szCs w:val="24"/>
        </w:rPr>
      </w:pPr>
      <w:r>
        <w:rPr>
          <w:rFonts w:hint="eastAsia" w:ascii="宋体" w:hAnsi="宋体"/>
          <w:b/>
          <w:sz w:val="24"/>
          <w:szCs w:val="24"/>
        </w:rPr>
        <w:t>4</w:t>
      </w:r>
      <w:r>
        <w:rPr>
          <w:rFonts w:hint="eastAsia" w:ascii="宋体" w:hAnsi="宋体"/>
          <w:sz w:val="24"/>
          <w:szCs w:val="24"/>
        </w:rPr>
        <w:t xml:space="preserve">  全日平均满载率35%以上，得18分。</w:t>
      </w:r>
    </w:p>
    <w:p>
      <w:pPr>
        <w:pStyle w:val="24"/>
        <w:adjustRightInd w:val="0"/>
        <w:snapToGrid w:val="0"/>
        <w:spacing w:line="360" w:lineRule="auto"/>
        <w:ind w:firstLine="0" w:firstLineChars="0"/>
        <w:jc w:val="left"/>
        <w:rPr>
          <w:rFonts w:ascii="宋体" w:hAnsi="宋体" w:eastAsia="宋体"/>
          <w:sz w:val="24"/>
          <w:szCs w:val="24"/>
        </w:rPr>
      </w:pPr>
      <w:r>
        <w:rPr>
          <w:rFonts w:ascii="宋体" w:hAnsi="宋体" w:eastAsia="宋体"/>
          <w:b/>
          <w:bCs/>
          <w:sz w:val="24"/>
          <w:szCs w:val="24"/>
        </w:rPr>
        <w:t>5.2.</w:t>
      </w:r>
      <w:r>
        <w:rPr>
          <w:rFonts w:hint="eastAsia" w:ascii="宋体" w:hAnsi="宋体" w:eastAsia="宋体"/>
          <w:b/>
          <w:bCs/>
          <w:sz w:val="24"/>
          <w:szCs w:val="24"/>
        </w:rPr>
        <w:t xml:space="preserve">4  </w:t>
      </w:r>
      <w:r>
        <w:rPr>
          <w:rFonts w:hint="eastAsia" w:ascii="宋体" w:hAnsi="宋体" w:eastAsia="宋体"/>
          <w:sz w:val="24"/>
          <w:szCs w:val="24"/>
        </w:rPr>
        <w:t>线路建成后，市域范围内轨道交通占公共交通出行比例较线路开通前增长率超过</w:t>
      </w:r>
      <w:r>
        <w:rPr>
          <w:rFonts w:ascii="宋体" w:hAnsi="宋体" w:eastAsia="宋体"/>
          <w:sz w:val="24"/>
          <w:szCs w:val="24"/>
        </w:rPr>
        <w:t>2%，评价分值为</w:t>
      </w:r>
      <w:r>
        <w:rPr>
          <w:rFonts w:hint="eastAsia" w:ascii="宋体" w:hAnsi="宋体" w:eastAsia="宋体"/>
          <w:sz w:val="24"/>
          <w:szCs w:val="24"/>
        </w:rPr>
        <w:t>9分。</w:t>
      </w:r>
    </w:p>
    <w:p>
      <w:pPr>
        <w:pStyle w:val="24"/>
        <w:adjustRightInd w:val="0"/>
        <w:snapToGrid w:val="0"/>
        <w:spacing w:line="360" w:lineRule="auto"/>
        <w:ind w:firstLine="0" w:firstLineChars="0"/>
        <w:jc w:val="left"/>
        <w:rPr>
          <w:rFonts w:ascii="宋体" w:hAnsi="宋体" w:eastAsia="宋体"/>
          <w:sz w:val="24"/>
          <w:szCs w:val="24"/>
        </w:rPr>
      </w:pPr>
      <w:r>
        <w:rPr>
          <w:rFonts w:ascii="宋体" w:hAnsi="宋体" w:eastAsia="宋体"/>
          <w:b/>
          <w:bCs/>
          <w:sz w:val="24"/>
          <w:szCs w:val="24"/>
        </w:rPr>
        <w:t>5.2.</w:t>
      </w:r>
      <w:r>
        <w:rPr>
          <w:rFonts w:hint="eastAsia" w:ascii="宋体" w:hAnsi="宋体" w:eastAsia="宋体"/>
          <w:b/>
          <w:bCs/>
          <w:sz w:val="24"/>
          <w:szCs w:val="24"/>
        </w:rPr>
        <w:t xml:space="preserve">5  </w:t>
      </w:r>
      <w:r>
        <w:rPr>
          <w:rFonts w:ascii="宋体" w:hAnsi="宋体" w:eastAsia="宋体"/>
          <w:sz w:val="24"/>
          <w:szCs w:val="24"/>
        </w:rPr>
        <w:t>城市主要枢纽点可达性，评价总分值为</w:t>
      </w:r>
      <w:r>
        <w:rPr>
          <w:rFonts w:hint="eastAsia" w:ascii="宋体" w:hAnsi="宋体" w:eastAsia="宋体"/>
          <w:sz w:val="24"/>
          <w:szCs w:val="24"/>
        </w:rPr>
        <w:t>15</w:t>
      </w:r>
      <w:r>
        <w:rPr>
          <w:rFonts w:ascii="宋体" w:hAnsi="宋体" w:eastAsia="宋体"/>
          <w:sz w:val="24"/>
          <w:szCs w:val="24"/>
        </w:rPr>
        <w:t>分，并按下列规则评分：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 xml:space="preserve"> 线路站点到达城市内枢纽平均换乘次数</w:t>
      </w:r>
      <w:r>
        <w:rPr>
          <w:rFonts w:hint="eastAsia" w:ascii="宋体" w:hAnsi="宋体" w:eastAsia="宋体"/>
          <w:sz w:val="24"/>
          <w:szCs w:val="24"/>
          <w:lang w:val="en-US" w:eastAsia="zh-CN"/>
        </w:rPr>
        <w:t>大于</w:t>
      </w:r>
      <w:r>
        <w:rPr>
          <w:rFonts w:ascii="宋体" w:hAnsi="宋体" w:eastAsia="宋体"/>
          <w:sz w:val="24"/>
          <w:szCs w:val="24"/>
        </w:rPr>
        <w:t>2且</w:t>
      </w:r>
      <w:r>
        <w:rPr>
          <w:rFonts w:hint="eastAsia" w:ascii="宋体" w:hAnsi="宋体" w:eastAsia="宋体"/>
          <w:sz w:val="24"/>
          <w:szCs w:val="24"/>
          <w:lang w:val="en-US" w:eastAsia="zh-CN"/>
        </w:rPr>
        <w:t>小于等于</w:t>
      </w:r>
      <w:r>
        <w:rPr>
          <w:rFonts w:ascii="宋体" w:hAnsi="宋体" w:eastAsia="宋体"/>
          <w:sz w:val="24"/>
          <w:szCs w:val="24"/>
        </w:rPr>
        <w:t>3，得</w:t>
      </w:r>
      <w:r>
        <w:rPr>
          <w:rFonts w:hint="eastAsia" w:ascii="宋体" w:hAnsi="宋体" w:eastAsia="宋体"/>
          <w:sz w:val="24"/>
          <w:szCs w:val="24"/>
        </w:rPr>
        <w:t>5</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 xml:space="preserve"> 线路站点到达城市内枢纽平均换乘次数</w:t>
      </w:r>
      <w:r>
        <w:rPr>
          <w:rFonts w:hint="eastAsia" w:ascii="宋体" w:hAnsi="宋体" w:eastAsia="宋体"/>
          <w:sz w:val="24"/>
          <w:szCs w:val="24"/>
          <w:lang w:val="en-US" w:eastAsia="zh-CN"/>
        </w:rPr>
        <w:t>大于</w:t>
      </w:r>
      <w:r>
        <w:rPr>
          <w:rFonts w:ascii="宋体" w:hAnsi="宋体" w:eastAsia="宋体"/>
          <w:sz w:val="24"/>
          <w:szCs w:val="24"/>
        </w:rPr>
        <w:t>1且</w:t>
      </w:r>
      <w:r>
        <w:rPr>
          <w:rFonts w:hint="eastAsia" w:ascii="宋体" w:hAnsi="宋体" w:eastAsia="宋体"/>
          <w:sz w:val="24"/>
          <w:szCs w:val="24"/>
          <w:lang w:val="en-US" w:eastAsia="zh-CN"/>
        </w:rPr>
        <w:t>小于等于</w:t>
      </w:r>
      <w:r>
        <w:rPr>
          <w:rFonts w:ascii="宋体" w:hAnsi="宋体" w:eastAsia="宋体"/>
          <w:sz w:val="24"/>
          <w:szCs w:val="24"/>
        </w:rPr>
        <w:t>2，得</w:t>
      </w:r>
      <w:r>
        <w:rPr>
          <w:rFonts w:hint="eastAsia" w:ascii="宋体" w:hAnsi="宋体" w:eastAsia="宋体"/>
          <w:sz w:val="24"/>
          <w:szCs w:val="24"/>
        </w:rPr>
        <w:t>10</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 xml:space="preserve"> 线路站点到达城市内枢纽平均换乘次数</w:t>
      </w:r>
      <w:r>
        <w:rPr>
          <w:rFonts w:hint="eastAsia" w:ascii="宋体" w:hAnsi="宋体" w:eastAsia="宋体"/>
          <w:sz w:val="24"/>
          <w:szCs w:val="24"/>
          <w:lang w:val="en-US" w:eastAsia="zh-CN"/>
        </w:rPr>
        <w:t>小于等于</w:t>
      </w:r>
      <w:r>
        <w:rPr>
          <w:rFonts w:ascii="宋体" w:hAnsi="宋体" w:eastAsia="宋体"/>
          <w:sz w:val="24"/>
          <w:szCs w:val="24"/>
        </w:rPr>
        <w:t>1，得</w:t>
      </w:r>
      <w:r>
        <w:rPr>
          <w:rFonts w:hint="eastAsia" w:ascii="宋体" w:hAnsi="宋体" w:eastAsia="宋体"/>
          <w:sz w:val="24"/>
          <w:szCs w:val="24"/>
        </w:rPr>
        <w:t>15</w:t>
      </w:r>
      <w:r>
        <w:rPr>
          <w:rFonts w:ascii="宋体" w:hAnsi="宋体" w:eastAsia="宋体"/>
          <w:sz w:val="24"/>
          <w:szCs w:val="24"/>
        </w:rPr>
        <w:t>分。</w:t>
      </w:r>
    </w:p>
    <w:p>
      <w:pPr>
        <w:pStyle w:val="24"/>
        <w:adjustRightInd w:val="0"/>
        <w:snapToGrid w:val="0"/>
        <w:spacing w:line="360" w:lineRule="auto"/>
        <w:ind w:firstLine="0" w:firstLineChars="0"/>
        <w:jc w:val="left"/>
        <w:rPr>
          <w:rFonts w:ascii="宋体" w:hAnsi="宋体" w:eastAsia="宋体"/>
          <w:sz w:val="24"/>
          <w:szCs w:val="24"/>
        </w:rPr>
      </w:pPr>
      <w:r>
        <w:rPr>
          <w:rFonts w:ascii="宋体" w:hAnsi="宋体" w:eastAsia="宋体"/>
          <w:b/>
          <w:bCs/>
          <w:sz w:val="24"/>
          <w:szCs w:val="24"/>
        </w:rPr>
        <w:t>5.2.</w:t>
      </w:r>
      <w:r>
        <w:rPr>
          <w:rFonts w:hint="eastAsia" w:ascii="宋体" w:hAnsi="宋体" w:eastAsia="宋体"/>
          <w:b/>
          <w:bCs/>
          <w:sz w:val="24"/>
          <w:szCs w:val="24"/>
        </w:rPr>
        <w:t xml:space="preserve">6  </w:t>
      </w:r>
      <w:r>
        <w:rPr>
          <w:rFonts w:hint="eastAsia" w:ascii="宋体" w:hAnsi="宋体" w:eastAsia="宋体"/>
          <w:sz w:val="24"/>
          <w:szCs w:val="24"/>
        </w:rPr>
        <w:t>线路车站与二级及以上客运枢纽衔接站点占全线车站比，评价总分</w:t>
      </w:r>
      <w:r>
        <w:rPr>
          <w:rFonts w:ascii="宋体" w:hAnsi="宋体" w:eastAsia="宋体"/>
          <w:sz w:val="24"/>
          <w:szCs w:val="24"/>
        </w:rPr>
        <w:t>值</w:t>
      </w:r>
      <w:r>
        <w:rPr>
          <w:rFonts w:hint="eastAsia" w:ascii="宋体" w:hAnsi="宋体" w:eastAsia="宋体"/>
          <w:sz w:val="24"/>
          <w:szCs w:val="24"/>
        </w:rPr>
        <w:t>为15</w:t>
      </w:r>
      <w:r>
        <w:rPr>
          <w:rFonts w:ascii="宋体" w:hAnsi="宋体" w:eastAsia="宋体"/>
          <w:sz w:val="24"/>
          <w:szCs w:val="24"/>
        </w:rPr>
        <w:t>分</w:t>
      </w:r>
      <w:r>
        <w:rPr>
          <w:rFonts w:hint="eastAsia" w:ascii="宋体" w:hAnsi="宋体" w:eastAsia="宋体"/>
          <w:sz w:val="24"/>
          <w:szCs w:val="24"/>
        </w:rPr>
        <w:t>，</w:t>
      </w:r>
      <w:r>
        <w:rPr>
          <w:rFonts w:ascii="宋体" w:hAnsi="宋体" w:eastAsia="宋体"/>
          <w:sz w:val="24"/>
          <w:szCs w:val="24"/>
        </w:rPr>
        <w:t>并按下列规则评分：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与二级及以上客运枢纽衔接站点占全线车站比i枢纽比</w:t>
      </w:r>
      <w:r>
        <w:rPr>
          <w:rFonts w:hint="eastAsia" w:ascii="宋体" w:hAnsi="宋体" w:eastAsia="宋体"/>
          <w:sz w:val="24"/>
          <w:szCs w:val="24"/>
          <w:lang w:val="en-US" w:eastAsia="zh-CN"/>
        </w:rPr>
        <w:t>大于等于</w:t>
      </w:r>
      <w:r>
        <w:rPr>
          <w:rFonts w:ascii="宋体" w:hAnsi="宋体" w:eastAsia="宋体"/>
          <w:sz w:val="24"/>
          <w:szCs w:val="24"/>
        </w:rPr>
        <w:t>15%，得</w:t>
      </w:r>
      <w:r>
        <w:rPr>
          <w:rFonts w:hint="eastAsia" w:ascii="宋体" w:hAnsi="宋体" w:eastAsia="宋体"/>
          <w:sz w:val="24"/>
          <w:szCs w:val="24"/>
        </w:rPr>
        <w:t>15</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与二级及以上客运枢纽衔接站点占全线车站比0%</w:t>
      </w:r>
      <w:r>
        <w:rPr>
          <w:rFonts w:hint="eastAsia" w:ascii="宋体" w:hAnsi="宋体" w:eastAsia="宋体"/>
          <w:sz w:val="24"/>
          <w:szCs w:val="24"/>
          <w:lang w:val="en-US" w:eastAsia="zh-CN"/>
        </w:rPr>
        <w:t>小于</w:t>
      </w:r>
      <w:r>
        <w:rPr>
          <w:rFonts w:ascii="宋体" w:hAnsi="宋体" w:eastAsia="宋体"/>
          <w:sz w:val="24"/>
          <w:szCs w:val="24"/>
        </w:rPr>
        <w:t>i枢纽比</w:t>
      </w:r>
      <w:r>
        <w:rPr>
          <w:rFonts w:hint="eastAsia" w:ascii="宋体" w:hAnsi="宋体" w:eastAsia="宋体"/>
          <w:sz w:val="24"/>
          <w:szCs w:val="24"/>
          <w:lang w:val="en-US" w:eastAsia="zh-CN"/>
        </w:rPr>
        <w:t>小于</w:t>
      </w:r>
      <w:r>
        <w:rPr>
          <w:rFonts w:ascii="宋体" w:hAnsi="宋体" w:eastAsia="宋体"/>
          <w:sz w:val="24"/>
          <w:szCs w:val="24"/>
        </w:rPr>
        <w:t>15%，按照</w:t>
      </w:r>
      <w:r>
        <w:rPr>
          <w:rFonts w:hint="eastAsia" w:ascii="宋体" w:hAnsi="宋体" w:eastAsia="宋体"/>
          <w:sz w:val="24"/>
          <w:szCs w:val="24"/>
        </w:rPr>
        <w:t>100i计算</w:t>
      </w:r>
      <w:r>
        <w:rPr>
          <w:rFonts w:ascii="宋体" w:hAnsi="宋体" w:eastAsia="宋体"/>
          <w:sz w:val="24"/>
          <w:szCs w:val="24"/>
        </w:rPr>
        <w:t>得分</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5.2.</w:t>
      </w:r>
      <w:r>
        <w:rPr>
          <w:rFonts w:hint="eastAsia" w:ascii="宋体" w:hAnsi="宋体" w:eastAsia="宋体"/>
          <w:b/>
          <w:bCs/>
          <w:sz w:val="24"/>
          <w:szCs w:val="24"/>
        </w:rPr>
        <w:t xml:space="preserve">7  </w:t>
      </w:r>
      <w:r>
        <w:rPr>
          <w:rFonts w:ascii="宋体" w:hAnsi="宋体" w:eastAsia="宋体"/>
          <w:sz w:val="24"/>
          <w:szCs w:val="24"/>
        </w:rPr>
        <w:t>车站选址预留续建工程的连接条件，评价总分值为</w:t>
      </w:r>
      <w:r>
        <w:rPr>
          <w:rFonts w:hint="eastAsia" w:ascii="宋体" w:hAnsi="宋体" w:eastAsia="宋体"/>
          <w:sz w:val="24"/>
          <w:szCs w:val="24"/>
        </w:rPr>
        <w:t>6</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在本期工程实施中预留后期地铁工程连接条件的，得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在本期工程实施中预留周边地块拟建或在建工程连接条件的，得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5.2.</w:t>
      </w:r>
      <w:r>
        <w:rPr>
          <w:rFonts w:hint="eastAsia" w:ascii="宋体" w:hAnsi="宋体" w:eastAsia="宋体"/>
          <w:b/>
          <w:bCs/>
          <w:sz w:val="24"/>
          <w:szCs w:val="24"/>
        </w:rPr>
        <w:t xml:space="preserve">8  </w:t>
      </w:r>
      <w:r>
        <w:rPr>
          <w:rFonts w:hint="eastAsia" w:ascii="宋体" w:hAnsi="宋体" w:eastAsia="宋体"/>
          <w:sz w:val="24"/>
          <w:szCs w:val="24"/>
        </w:rPr>
        <w:t>车站</w:t>
      </w:r>
      <w:r>
        <w:rPr>
          <w:rFonts w:ascii="宋体" w:hAnsi="宋体" w:eastAsia="宋体"/>
          <w:sz w:val="24"/>
          <w:szCs w:val="24"/>
        </w:rPr>
        <w:t>换乘形式合理，换乘顺畅，评价总分值为</w:t>
      </w:r>
      <w:r>
        <w:rPr>
          <w:rFonts w:hint="eastAsia" w:ascii="宋体" w:hAnsi="宋体" w:eastAsia="宋体"/>
          <w:sz w:val="24"/>
          <w:szCs w:val="24"/>
        </w:rPr>
        <w:t>27</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车站部分换乘</w:t>
      </w:r>
      <w:r>
        <w:rPr>
          <w:rFonts w:ascii="宋体" w:hAnsi="宋体" w:eastAsia="宋体"/>
          <w:sz w:val="24"/>
          <w:szCs w:val="24"/>
        </w:rPr>
        <w:t>方向的</w:t>
      </w:r>
      <w:r>
        <w:rPr>
          <w:rFonts w:hint="eastAsia" w:ascii="宋体" w:hAnsi="宋体" w:eastAsia="宋体"/>
          <w:sz w:val="24"/>
          <w:szCs w:val="24"/>
        </w:rPr>
        <w:t>走行</w:t>
      </w:r>
      <w:r>
        <w:rPr>
          <w:rFonts w:ascii="宋体" w:hAnsi="宋体" w:eastAsia="宋体"/>
          <w:sz w:val="24"/>
          <w:szCs w:val="24"/>
        </w:rPr>
        <w:t>时间小于3分钟，</w:t>
      </w:r>
      <w:r>
        <w:rPr>
          <w:rFonts w:hint="eastAsia" w:ascii="宋体" w:hAnsi="宋体" w:eastAsia="宋体"/>
          <w:sz w:val="24"/>
          <w:szCs w:val="24"/>
        </w:rPr>
        <w:t>得6分；车站</w:t>
      </w:r>
      <w:r>
        <w:rPr>
          <w:rFonts w:ascii="宋体" w:hAnsi="宋体" w:eastAsia="宋体"/>
          <w:sz w:val="24"/>
          <w:szCs w:val="24"/>
        </w:rPr>
        <w:t>每个</w:t>
      </w:r>
      <w:r>
        <w:rPr>
          <w:rFonts w:hint="eastAsia" w:ascii="宋体" w:hAnsi="宋体" w:eastAsia="宋体"/>
          <w:sz w:val="24"/>
          <w:szCs w:val="24"/>
        </w:rPr>
        <w:t>换乘</w:t>
      </w:r>
      <w:r>
        <w:rPr>
          <w:rFonts w:ascii="宋体" w:hAnsi="宋体" w:eastAsia="宋体"/>
          <w:sz w:val="24"/>
          <w:szCs w:val="24"/>
        </w:rPr>
        <w:t>方向的</w:t>
      </w:r>
      <w:r>
        <w:rPr>
          <w:rFonts w:hint="eastAsia" w:ascii="宋体" w:hAnsi="宋体" w:eastAsia="宋体"/>
          <w:sz w:val="24"/>
          <w:szCs w:val="24"/>
        </w:rPr>
        <w:t>走行</w:t>
      </w:r>
      <w:r>
        <w:rPr>
          <w:rFonts w:ascii="宋体" w:hAnsi="宋体" w:eastAsia="宋体"/>
          <w:sz w:val="24"/>
          <w:szCs w:val="24"/>
        </w:rPr>
        <w:t>时间均小于3分钟，得</w:t>
      </w:r>
      <w:r>
        <w:rPr>
          <w:rFonts w:hint="eastAsia" w:ascii="宋体" w:hAnsi="宋体" w:eastAsia="宋体"/>
          <w:sz w:val="24"/>
          <w:szCs w:val="24"/>
        </w:rPr>
        <w:t>8</w:t>
      </w:r>
      <w:r>
        <w:rPr>
          <w:rFonts w:ascii="宋体" w:hAnsi="宋体" w:eastAsia="宋体"/>
          <w:sz w:val="24"/>
          <w:szCs w:val="24"/>
        </w:rPr>
        <w:t>分；</w:t>
      </w:r>
      <w:r>
        <w:rPr>
          <w:rFonts w:hint="eastAsia" w:ascii="宋体" w:hAnsi="宋体" w:eastAsia="宋体"/>
          <w:sz w:val="24"/>
          <w:szCs w:val="24"/>
        </w:rPr>
        <w:t>车站部分换乘</w:t>
      </w:r>
      <w:r>
        <w:rPr>
          <w:rFonts w:ascii="宋体" w:hAnsi="宋体" w:eastAsia="宋体"/>
          <w:sz w:val="24"/>
          <w:szCs w:val="24"/>
        </w:rPr>
        <w:t>方向的</w:t>
      </w:r>
      <w:r>
        <w:rPr>
          <w:rFonts w:hint="eastAsia" w:ascii="宋体" w:hAnsi="宋体" w:eastAsia="宋体"/>
          <w:sz w:val="24"/>
          <w:szCs w:val="24"/>
        </w:rPr>
        <w:t>走行</w:t>
      </w:r>
      <w:r>
        <w:rPr>
          <w:rFonts w:ascii="宋体" w:hAnsi="宋体" w:eastAsia="宋体"/>
          <w:sz w:val="24"/>
          <w:szCs w:val="24"/>
        </w:rPr>
        <w:t>时间小于1分钟，得</w:t>
      </w:r>
      <w:r>
        <w:rPr>
          <w:rFonts w:hint="eastAsia" w:ascii="宋体" w:hAnsi="宋体" w:eastAsia="宋体"/>
          <w:sz w:val="24"/>
          <w:szCs w:val="24"/>
        </w:rPr>
        <w:t>10</w:t>
      </w:r>
      <w:r>
        <w:rPr>
          <w:rFonts w:ascii="宋体" w:hAnsi="宋体" w:eastAsia="宋体"/>
          <w:sz w:val="24"/>
          <w:szCs w:val="24"/>
        </w:rPr>
        <w:t>分，每个换乘方向的</w:t>
      </w:r>
      <w:r>
        <w:rPr>
          <w:rFonts w:hint="eastAsia" w:ascii="宋体" w:hAnsi="宋体" w:eastAsia="宋体"/>
          <w:sz w:val="24"/>
          <w:szCs w:val="24"/>
        </w:rPr>
        <w:t>走行</w:t>
      </w:r>
      <w:r>
        <w:rPr>
          <w:rFonts w:ascii="宋体" w:hAnsi="宋体" w:eastAsia="宋体"/>
          <w:sz w:val="24"/>
          <w:szCs w:val="24"/>
        </w:rPr>
        <w:t>时间均小于1分钟，得</w:t>
      </w:r>
      <w:r>
        <w:rPr>
          <w:rFonts w:hint="eastAsia" w:ascii="宋体" w:hAnsi="宋体" w:eastAsia="宋体"/>
          <w:sz w:val="24"/>
          <w:szCs w:val="24"/>
        </w:rPr>
        <w:t>12</w:t>
      </w:r>
      <w:r>
        <w:rPr>
          <w:rFonts w:ascii="宋体" w:hAnsi="宋体" w:eastAsia="宋体"/>
          <w:sz w:val="24"/>
          <w:szCs w:val="24"/>
        </w:rPr>
        <w:t xml:space="preserve">分； </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换乘路径上</w:t>
      </w:r>
      <w:r>
        <w:rPr>
          <w:rFonts w:hint="eastAsia" w:ascii="宋体" w:hAnsi="宋体" w:eastAsia="宋体"/>
          <w:sz w:val="24"/>
          <w:szCs w:val="24"/>
        </w:rPr>
        <w:t>设置</w:t>
      </w:r>
      <w:r>
        <w:rPr>
          <w:rFonts w:ascii="宋体" w:hAnsi="宋体" w:eastAsia="宋体"/>
          <w:sz w:val="24"/>
          <w:szCs w:val="24"/>
        </w:rPr>
        <w:t>自动扶梯，</w:t>
      </w:r>
      <w:r>
        <w:rPr>
          <w:rFonts w:hint="eastAsia" w:ascii="宋体" w:hAnsi="宋体" w:eastAsia="宋体"/>
          <w:sz w:val="24"/>
          <w:szCs w:val="24"/>
        </w:rPr>
        <w:t>满足部分换乘方向采用扶梯换乘的</w:t>
      </w:r>
      <w:r>
        <w:rPr>
          <w:rFonts w:ascii="宋体" w:hAnsi="宋体" w:eastAsia="宋体"/>
          <w:sz w:val="24"/>
          <w:szCs w:val="24"/>
        </w:rPr>
        <w:t>得</w:t>
      </w:r>
      <w:r>
        <w:rPr>
          <w:rFonts w:hint="eastAsia" w:ascii="宋体" w:hAnsi="宋体" w:eastAsia="宋体"/>
          <w:sz w:val="24"/>
          <w:szCs w:val="24"/>
        </w:rPr>
        <w:t>1</w:t>
      </w:r>
      <w:r>
        <w:rPr>
          <w:rFonts w:ascii="宋体" w:hAnsi="宋体" w:eastAsia="宋体"/>
          <w:sz w:val="24"/>
          <w:szCs w:val="24"/>
        </w:rPr>
        <w:t>分；</w:t>
      </w:r>
      <w:r>
        <w:rPr>
          <w:rFonts w:hint="eastAsia" w:ascii="宋体" w:hAnsi="宋体" w:eastAsia="宋体"/>
          <w:sz w:val="24"/>
          <w:szCs w:val="24"/>
        </w:rPr>
        <w:t>满足所有换乘方向采用扶梯换乘</w:t>
      </w:r>
      <w:r>
        <w:rPr>
          <w:rFonts w:ascii="宋体" w:hAnsi="宋体" w:eastAsia="宋体"/>
          <w:sz w:val="24"/>
          <w:szCs w:val="24"/>
        </w:rPr>
        <w:t>得</w:t>
      </w:r>
      <w:r>
        <w:rPr>
          <w:rFonts w:hint="eastAsia" w:ascii="宋体" w:hAnsi="宋体" w:eastAsia="宋体"/>
          <w:sz w:val="24"/>
          <w:szCs w:val="24"/>
        </w:rPr>
        <w:t>5</w:t>
      </w:r>
      <w:r>
        <w:rPr>
          <w:rFonts w:ascii="宋体" w:hAnsi="宋体" w:eastAsia="宋体"/>
          <w:sz w:val="24"/>
          <w:szCs w:val="24"/>
        </w:rPr>
        <w:t>分</w:t>
      </w:r>
      <w:r>
        <w:rPr>
          <w:rFonts w:hint="eastAsia" w:ascii="宋体" w:hAnsi="宋体" w:eastAsia="宋体"/>
          <w:sz w:val="24"/>
          <w:szCs w:val="24"/>
        </w:rPr>
        <w:t>。</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换乘设施通行能力大于换乘客流通行需求30%以上的，得</w:t>
      </w:r>
      <w:r>
        <w:rPr>
          <w:rFonts w:hint="eastAsia" w:ascii="宋体" w:hAnsi="宋体" w:eastAsia="宋体"/>
          <w:sz w:val="24"/>
          <w:szCs w:val="24"/>
        </w:rPr>
        <w:t>5</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4</w:t>
      </w:r>
      <w:r>
        <w:rPr>
          <w:rFonts w:ascii="宋体" w:hAnsi="宋体" w:eastAsia="宋体"/>
          <w:sz w:val="24"/>
          <w:szCs w:val="24"/>
        </w:rPr>
        <w:t xml:space="preserve"> </w:t>
      </w:r>
      <w:r>
        <w:rPr>
          <w:rFonts w:hint="eastAsia" w:ascii="宋体" w:hAnsi="宋体" w:eastAsia="宋体"/>
          <w:sz w:val="24"/>
          <w:szCs w:val="24"/>
        </w:rPr>
        <w:t xml:space="preserve"> 换乘路径上满足无障碍通行，通过换乘节点满足无障碍换乘的</w:t>
      </w:r>
      <w:r>
        <w:rPr>
          <w:rFonts w:ascii="宋体" w:hAnsi="宋体" w:eastAsia="宋体"/>
          <w:sz w:val="24"/>
          <w:szCs w:val="24"/>
        </w:rPr>
        <w:t>得</w:t>
      </w:r>
      <w:r>
        <w:rPr>
          <w:rFonts w:hint="eastAsia" w:ascii="宋体" w:hAnsi="宋体" w:eastAsia="宋体"/>
          <w:sz w:val="24"/>
          <w:szCs w:val="24"/>
        </w:rPr>
        <w:t>2</w:t>
      </w:r>
      <w:r>
        <w:rPr>
          <w:rFonts w:ascii="宋体" w:hAnsi="宋体" w:eastAsia="宋体"/>
          <w:sz w:val="24"/>
          <w:szCs w:val="24"/>
        </w:rPr>
        <w:t>分；</w:t>
      </w:r>
      <w:r>
        <w:rPr>
          <w:rFonts w:hint="eastAsia" w:ascii="宋体" w:hAnsi="宋体" w:eastAsia="宋体"/>
          <w:sz w:val="24"/>
          <w:szCs w:val="24"/>
        </w:rPr>
        <w:t>通过站厅或通道满足无障碍换乘的</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5</w:t>
      </w:r>
      <w:r>
        <w:rPr>
          <w:rFonts w:hint="eastAsia" w:ascii="宋体" w:hAnsi="宋体" w:eastAsia="宋体"/>
          <w:sz w:val="24"/>
          <w:szCs w:val="24"/>
        </w:rPr>
        <w:t xml:space="preserve">  换乘走行距离较长时设置自动人行道，得2分。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5.2.</w:t>
      </w:r>
      <w:r>
        <w:rPr>
          <w:rFonts w:hint="eastAsia" w:ascii="宋体" w:hAnsi="宋体" w:eastAsia="宋体"/>
          <w:b/>
          <w:bCs/>
          <w:sz w:val="24"/>
          <w:szCs w:val="24"/>
        </w:rPr>
        <w:t xml:space="preserve">9  </w:t>
      </w:r>
      <w:r>
        <w:rPr>
          <w:rFonts w:ascii="宋体" w:hAnsi="宋体" w:eastAsia="宋体"/>
          <w:sz w:val="24"/>
          <w:szCs w:val="24"/>
        </w:rPr>
        <w:t>车站结合现状及规划条件，根据吸引和疏散客流的要求，合理确定出入口数量和位置，评分总分值为</w:t>
      </w:r>
      <w:r>
        <w:rPr>
          <w:rFonts w:hint="eastAsia" w:ascii="宋体" w:hAnsi="宋体" w:eastAsia="宋体"/>
          <w:sz w:val="24"/>
          <w:szCs w:val="24"/>
        </w:rPr>
        <w:t>18</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独立</w:t>
      </w:r>
      <w:r>
        <w:rPr>
          <w:rFonts w:ascii="宋体" w:hAnsi="宋体" w:eastAsia="宋体"/>
          <w:sz w:val="24"/>
          <w:szCs w:val="24"/>
        </w:rPr>
        <w:t>出入口数量</w:t>
      </w:r>
      <w:r>
        <w:rPr>
          <w:rFonts w:hint="eastAsia" w:ascii="宋体" w:hAnsi="宋体" w:eastAsia="宋体"/>
          <w:sz w:val="24"/>
          <w:szCs w:val="24"/>
        </w:rPr>
        <w:t>为</w:t>
      </w:r>
      <w:r>
        <w:rPr>
          <w:rFonts w:ascii="宋体" w:hAnsi="宋体" w:eastAsia="宋体"/>
          <w:sz w:val="24"/>
          <w:szCs w:val="24"/>
        </w:rPr>
        <w:t xml:space="preserve">4 个，得 </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每增加1个得1分，总分不大于6分</w:t>
      </w:r>
      <w:r>
        <w:rPr>
          <w:rFonts w:ascii="宋体" w:hAnsi="宋体" w:eastAsia="宋体"/>
          <w:sz w:val="24"/>
          <w:szCs w:val="24"/>
        </w:rPr>
        <w:t xml:space="preserve">； </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 xml:space="preserve"> 出入口设有</w:t>
      </w:r>
      <w:r>
        <w:rPr>
          <w:rFonts w:hint="eastAsia" w:ascii="宋体" w:hAnsi="宋体" w:eastAsia="宋体"/>
          <w:sz w:val="24"/>
          <w:szCs w:val="24"/>
        </w:rPr>
        <w:t>周边</w:t>
      </w:r>
      <w:r>
        <w:rPr>
          <w:rFonts w:ascii="宋体" w:hAnsi="宋体" w:eastAsia="宋体"/>
          <w:sz w:val="24"/>
          <w:szCs w:val="24"/>
        </w:rPr>
        <w:t>地块连接口，</w:t>
      </w:r>
      <w:r>
        <w:rPr>
          <w:rFonts w:hint="eastAsia" w:ascii="宋体" w:hAnsi="宋体" w:eastAsia="宋体"/>
          <w:sz w:val="24"/>
          <w:szCs w:val="24"/>
        </w:rPr>
        <w:t>每设置一处</w:t>
      </w:r>
      <w:r>
        <w:rPr>
          <w:rFonts w:ascii="宋体" w:hAnsi="宋体" w:eastAsia="宋体"/>
          <w:sz w:val="24"/>
          <w:szCs w:val="24"/>
        </w:rPr>
        <w:t xml:space="preserve">得 </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总分不大于6分</w:t>
      </w:r>
      <w:r>
        <w:rPr>
          <w:rFonts w:ascii="宋体" w:hAnsi="宋体" w:eastAsia="宋体"/>
          <w:sz w:val="24"/>
          <w:szCs w:val="24"/>
        </w:rPr>
        <w:t>；</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出入口通道与建筑、过街天桥、过街地道、地下街连通或合并设计，得</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通过地铁车站可以形成独立过街的加1分，得6分。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5.2.</w:t>
      </w:r>
      <w:r>
        <w:rPr>
          <w:rFonts w:hint="eastAsia" w:ascii="宋体" w:hAnsi="宋体" w:eastAsia="宋体"/>
          <w:b/>
          <w:bCs/>
          <w:sz w:val="24"/>
          <w:szCs w:val="24"/>
        </w:rPr>
        <w:t xml:space="preserve">10  </w:t>
      </w:r>
      <w:r>
        <w:rPr>
          <w:rFonts w:ascii="宋体" w:hAnsi="宋体" w:eastAsia="宋体"/>
          <w:sz w:val="24"/>
          <w:szCs w:val="24"/>
        </w:rPr>
        <w:t>车站周边步行系统安全、连续、环境舒适，评价总分值为</w:t>
      </w:r>
      <w:r>
        <w:rPr>
          <w:rFonts w:hint="eastAsia" w:ascii="宋体" w:hAnsi="宋体" w:eastAsia="宋体"/>
          <w:sz w:val="24"/>
          <w:szCs w:val="24"/>
        </w:rPr>
        <w:t>12</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各出入口均设置人流集散广场，集散广场的规模满足高峰小时客流集散需求，得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出入口与相邻500米的建筑物及周边道路人行道之间，有连续的步行系统连接，得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与其他交通方式的换乘流线全程有连续的遮阳防雨措施（不限地下连接、室外风雨连廊等形式），得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xml:space="preserve">  </w:t>
      </w:r>
      <w:r>
        <w:rPr>
          <w:rFonts w:ascii="宋体" w:hAnsi="宋体" w:eastAsia="宋体"/>
          <w:sz w:val="24"/>
          <w:szCs w:val="24"/>
        </w:rPr>
        <w:t>步行系统满足无障碍出行要求，并保证步行系统的连续和路面平整，得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5.2.</w:t>
      </w:r>
      <w:r>
        <w:rPr>
          <w:rFonts w:hint="eastAsia" w:ascii="宋体" w:hAnsi="宋体" w:eastAsia="宋体"/>
          <w:b/>
          <w:bCs/>
          <w:sz w:val="24"/>
          <w:szCs w:val="24"/>
        </w:rPr>
        <w:t xml:space="preserve">11  </w:t>
      </w:r>
      <w:r>
        <w:rPr>
          <w:rFonts w:ascii="宋体" w:hAnsi="宋体" w:eastAsia="宋体"/>
          <w:sz w:val="24"/>
          <w:szCs w:val="24"/>
        </w:rPr>
        <w:t>车站与常规公交设施建立便捷的换乘，评价总分值为</w:t>
      </w:r>
      <w:r>
        <w:rPr>
          <w:rFonts w:hint="eastAsia" w:ascii="宋体" w:hAnsi="宋体" w:eastAsia="宋体"/>
          <w:sz w:val="24"/>
          <w:szCs w:val="24"/>
        </w:rPr>
        <w:t>10</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车站出入口与公交停靠站的步行距离不大于100m,得</w:t>
      </w:r>
      <w:r>
        <w:rPr>
          <w:rFonts w:hint="eastAsia" w:ascii="宋体" w:hAnsi="宋体" w:eastAsia="宋体"/>
          <w:sz w:val="24"/>
          <w:szCs w:val="24"/>
        </w:rPr>
        <w:t>3</w:t>
      </w:r>
      <w:r>
        <w:rPr>
          <w:rFonts w:ascii="宋体" w:hAnsi="宋体" w:eastAsia="宋体"/>
          <w:sz w:val="24"/>
          <w:szCs w:val="24"/>
        </w:rPr>
        <w:t>分；不大于50m，得</w:t>
      </w:r>
      <w:r>
        <w:rPr>
          <w:rFonts w:hint="eastAsia" w:ascii="宋体" w:hAnsi="宋体" w:eastAsia="宋体"/>
          <w:sz w:val="24"/>
          <w:szCs w:val="24"/>
        </w:rPr>
        <w:t>6</w:t>
      </w:r>
      <w:r>
        <w:rPr>
          <w:rFonts w:ascii="宋体" w:hAnsi="宋体" w:eastAsia="宋体"/>
          <w:sz w:val="24"/>
          <w:szCs w:val="24"/>
        </w:rPr>
        <w:t xml:space="preserve">分； </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车站结合公交枢纽设置，且枢纽</w:t>
      </w:r>
      <w:r>
        <w:rPr>
          <w:rFonts w:hint="eastAsia" w:ascii="宋体" w:hAnsi="宋体" w:eastAsia="宋体"/>
          <w:sz w:val="24"/>
          <w:szCs w:val="24"/>
        </w:rPr>
        <w:t>一体化</w:t>
      </w:r>
      <w:r>
        <w:rPr>
          <w:rFonts w:ascii="宋体" w:hAnsi="宋体" w:eastAsia="宋体"/>
          <w:sz w:val="24"/>
          <w:szCs w:val="24"/>
        </w:rPr>
        <w:t>布局的，得</w:t>
      </w:r>
      <w:r>
        <w:rPr>
          <w:rFonts w:hint="eastAsia" w:ascii="宋体" w:hAnsi="宋体" w:eastAsia="宋体"/>
          <w:sz w:val="24"/>
          <w:szCs w:val="24"/>
        </w:rPr>
        <w:t>4</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5.2.12  </w:t>
      </w:r>
      <w:r>
        <w:rPr>
          <w:rFonts w:hint="eastAsia" w:ascii="宋体" w:hAnsi="宋体" w:eastAsia="宋体"/>
          <w:sz w:val="24"/>
          <w:szCs w:val="24"/>
        </w:rPr>
        <w:t>车站与铁路、机场、客运港结合，立体设置</w:t>
      </w:r>
      <w:r>
        <w:rPr>
          <w:rFonts w:ascii="宋体" w:hAnsi="宋体" w:eastAsia="宋体"/>
          <w:sz w:val="24"/>
          <w:szCs w:val="24"/>
        </w:rPr>
        <w:t>，评价总分值为</w:t>
      </w:r>
      <w:r>
        <w:rPr>
          <w:rFonts w:hint="eastAsia" w:ascii="宋体" w:hAnsi="宋体" w:eastAsia="宋体"/>
          <w:sz w:val="24"/>
          <w:szCs w:val="24"/>
        </w:rPr>
        <w:t>12</w:t>
      </w:r>
      <w:r>
        <w:rPr>
          <w:rFonts w:ascii="宋体" w:hAnsi="宋体" w:eastAsia="宋体"/>
          <w:sz w:val="24"/>
          <w:szCs w:val="24"/>
        </w:rPr>
        <w:t>分</w:t>
      </w:r>
      <w:r>
        <w:rPr>
          <w:rFonts w:hint="eastAsia" w:ascii="宋体" w:hAnsi="宋体" w:eastAsia="宋体"/>
          <w:sz w:val="24"/>
          <w:szCs w:val="24"/>
        </w:rPr>
        <w:t>。并按下列规则分别评分并累计：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车站与铁路客站、机场及客运港采用一体化布局</w:t>
      </w:r>
      <w:r>
        <w:rPr>
          <w:rFonts w:ascii="宋体" w:hAnsi="宋体" w:eastAsia="宋体"/>
          <w:sz w:val="24"/>
          <w:szCs w:val="24"/>
        </w:rPr>
        <w:t>，高效利用土地资源</w:t>
      </w:r>
      <w:r>
        <w:rPr>
          <w:rFonts w:hint="eastAsia" w:ascii="宋体" w:hAnsi="宋体" w:eastAsia="宋体"/>
          <w:sz w:val="24"/>
          <w:szCs w:val="24"/>
        </w:rPr>
        <w:t>，得2分</w:t>
      </w:r>
      <w:r>
        <w:rPr>
          <w:rFonts w:ascii="宋体" w:hAnsi="宋体" w:eastAsia="宋体"/>
          <w:sz w:val="24"/>
          <w:szCs w:val="24"/>
        </w:rPr>
        <w:t>；</w:t>
      </w:r>
    </w:p>
    <w:p>
      <w:pPr>
        <w:pStyle w:val="24"/>
        <w:adjustRightInd w:val="0"/>
        <w:snapToGrid w:val="0"/>
        <w:spacing w:line="360" w:lineRule="auto"/>
        <w:ind w:firstLine="482"/>
        <w:jc w:val="left"/>
        <w:rPr>
          <w:rFonts w:ascii="宋体" w:hAnsi="宋体" w:eastAsia="宋体"/>
          <w:sz w:val="24"/>
          <w:szCs w:val="24"/>
        </w:rPr>
      </w:pPr>
      <w:bookmarkStart w:id="30" w:name="OLE_LINK2"/>
      <w:r>
        <w:rPr>
          <w:rFonts w:hint="eastAsia" w:ascii="宋体" w:hAnsi="宋体" w:eastAsia="宋体"/>
          <w:b/>
          <w:sz w:val="24"/>
          <w:szCs w:val="24"/>
        </w:rPr>
        <w:t>2</w:t>
      </w:r>
      <w:r>
        <w:rPr>
          <w:rFonts w:hint="eastAsia" w:ascii="宋体" w:hAnsi="宋体" w:eastAsia="宋体"/>
          <w:sz w:val="24"/>
          <w:szCs w:val="24"/>
        </w:rPr>
        <w:t xml:space="preserve">  车站与铁路客站</w:t>
      </w:r>
      <w:r>
        <w:rPr>
          <w:rFonts w:ascii="宋体" w:hAnsi="宋体" w:eastAsia="宋体"/>
          <w:sz w:val="24"/>
          <w:szCs w:val="24"/>
        </w:rPr>
        <w:t>、</w:t>
      </w:r>
      <w:bookmarkEnd w:id="30"/>
      <w:r>
        <w:rPr>
          <w:rFonts w:hint="eastAsia" w:ascii="宋体" w:hAnsi="宋体" w:eastAsia="宋体"/>
          <w:sz w:val="24"/>
          <w:szCs w:val="24"/>
        </w:rPr>
        <w:t>机场及客运港间换乘时间</w:t>
      </w:r>
      <w:r>
        <w:rPr>
          <w:rFonts w:ascii="宋体" w:hAnsi="宋体" w:eastAsia="宋体"/>
          <w:sz w:val="24"/>
          <w:szCs w:val="24"/>
        </w:rPr>
        <w:t>少于</w:t>
      </w:r>
      <w:r>
        <w:rPr>
          <w:rFonts w:hint="eastAsia" w:ascii="宋体" w:hAnsi="宋体" w:eastAsia="宋体"/>
          <w:sz w:val="24"/>
          <w:szCs w:val="24"/>
        </w:rPr>
        <w:t>10分钟</w:t>
      </w:r>
      <w:r>
        <w:rPr>
          <w:rFonts w:ascii="宋体" w:hAnsi="宋体" w:eastAsia="宋体"/>
          <w:sz w:val="24"/>
          <w:szCs w:val="24"/>
        </w:rPr>
        <w:t>，得</w:t>
      </w:r>
      <w:r>
        <w:rPr>
          <w:rFonts w:hint="eastAsia" w:ascii="宋体" w:hAnsi="宋体" w:eastAsia="宋体"/>
          <w:sz w:val="24"/>
          <w:szCs w:val="24"/>
        </w:rPr>
        <w:t>3分</w:t>
      </w:r>
      <w:r>
        <w:rPr>
          <w:rFonts w:ascii="宋体" w:hAnsi="宋体" w:eastAsia="宋体"/>
          <w:sz w:val="24"/>
          <w:szCs w:val="24"/>
        </w:rPr>
        <w:t>；</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车站与铁路客站、机场及客运港间</w:t>
      </w:r>
      <w:bookmarkStart w:id="31" w:name="OLE_LINK5"/>
      <w:r>
        <w:rPr>
          <w:rFonts w:hint="eastAsia" w:ascii="宋体" w:hAnsi="宋体" w:eastAsia="宋体"/>
          <w:sz w:val="24"/>
          <w:szCs w:val="24"/>
        </w:rPr>
        <w:t>步行空间符合</w:t>
      </w:r>
      <w:bookmarkEnd w:id="31"/>
      <w:r>
        <w:rPr>
          <w:rFonts w:hint="eastAsia" w:ascii="宋体" w:hAnsi="宋体" w:eastAsia="宋体"/>
          <w:sz w:val="24"/>
          <w:szCs w:val="24"/>
        </w:rPr>
        <w:t>无障碍使用需求，得2分</w:t>
      </w:r>
      <w:r>
        <w:rPr>
          <w:rFonts w:ascii="宋体" w:hAnsi="宋体" w:eastAsia="宋体"/>
          <w:sz w:val="24"/>
          <w:szCs w:val="24"/>
        </w:rPr>
        <w:t>；</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铁路车站股道两侧均设置轨道交通车站或出入口，得2分</w:t>
      </w:r>
      <w:r>
        <w:rPr>
          <w:rFonts w:ascii="宋体" w:hAnsi="宋体" w:eastAsia="宋体"/>
          <w:sz w:val="24"/>
          <w:szCs w:val="24"/>
        </w:rPr>
        <w:t>；</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5</w:t>
      </w:r>
      <w:r>
        <w:rPr>
          <w:rFonts w:hint="eastAsia" w:ascii="宋体" w:hAnsi="宋体" w:eastAsia="宋体"/>
          <w:sz w:val="24"/>
          <w:szCs w:val="24"/>
        </w:rPr>
        <w:t xml:space="preserve">  车站与铁路、机场、客运港实现安检互认，提高安检通行效率，得3分。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5.2.</w:t>
      </w:r>
      <w:r>
        <w:rPr>
          <w:rFonts w:hint="eastAsia" w:ascii="宋体" w:hAnsi="宋体" w:eastAsia="宋体"/>
          <w:b/>
          <w:sz w:val="24"/>
          <w:szCs w:val="24"/>
        </w:rPr>
        <w:t xml:space="preserve">13  </w:t>
      </w:r>
      <w:r>
        <w:rPr>
          <w:rFonts w:ascii="宋体" w:hAnsi="宋体" w:eastAsia="宋体"/>
          <w:sz w:val="24"/>
          <w:szCs w:val="24"/>
        </w:rPr>
        <w:t>车辆基地与公共交通站点联系便捷，评价总分值为</w:t>
      </w:r>
      <w:r>
        <w:rPr>
          <w:rFonts w:hint="eastAsia" w:ascii="宋体" w:hAnsi="宋体" w:eastAsia="宋体"/>
          <w:sz w:val="24"/>
          <w:szCs w:val="24"/>
        </w:rPr>
        <w:t>4</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场地出入口到达公共交通站点的步行距离不超过500m，或到达轨道交通站的步行距离不大于800m，得2分；场地出入口到达公共交通站点的步行距离不超过300m，或到达轨道交通站的步行距离不大于500m，得3分；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场地出入口步行距离800m范围内设有不少于2条线路的公共交通站点，得1分。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5.2.</w:t>
      </w:r>
      <w:r>
        <w:rPr>
          <w:rFonts w:hint="eastAsia" w:ascii="宋体" w:hAnsi="宋体" w:eastAsia="宋体"/>
          <w:b/>
          <w:sz w:val="24"/>
          <w:szCs w:val="24"/>
        </w:rPr>
        <w:t xml:space="preserve">14  </w:t>
      </w:r>
      <w:r>
        <w:rPr>
          <w:rFonts w:ascii="宋体" w:hAnsi="宋体" w:eastAsia="宋体"/>
          <w:sz w:val="24"/>
          <w:szCs w:val="24"/>
        </w:rPr>
        <w:t>车辆基地为自动化车辆基地，评价总分值为</w:t>
      </w:r>
      <w:r>
        <w:rPr>
          <w:rFonts w:hint="eastAsia" w:ascii="宋体" w:hAnsi="宋体" w:eastAsia="宋体"/>
          <w:sz w:val="24"/>
          <w:szCs w:val="24"/>
        </w:rPr>
        <w:t>10</w:t>
      </w:r>
      <w:r>
        <w:rPr>
          <w:rFonts w:ascii="宋体" w:hAnsi="宋体" w:eastAsia="宋体"/>
          <w:sz w:val="24"/>
          <w:szCs w:val="24"/>
        </w:rPr>
        <w:t>分，并按下列规则评分：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自动化车辆基地的等级为GAO2</w:t>
      </w:r>
      <w:r>
        <w:rPr>
          <w:rFonts w:ascii="宋体" w:hAnsi="宋体" w:eastAsia="宋体"/>
          <w:sz w:val="24"/>
          <w:szCs w:val="24"/>
        </w:rPr>
        <w:t>，得</w:t>
      </w:r>
      <w:r>
        <w:rPr>
          <w:rFonts w:hint="eastAsia" w:ascii="宋体" w:hAnsi="宋体" w:eastAsia="宋体"/>
          <w:sz w:val="24"/>
          <w:szCs w:val="24"/>
        </w:rPr>
        <w:t>4</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自动化车辆基地的等级为GAO3</w:t>
      </w:r>
      <w:r>
        <w:rPr>
          <w:rFonts w:ascii="宋体" w:hAnsi="宋体" w:eastAsia="宋体"/>
          <w:sz w:val="24"/>
          <w:szCs w:val="24"/>
        </w:rPr>
        <w:t>，得</w:t>
      </w:r>
      <w:r>
        <w:rPr>
          <w:rFonts w:hint="eastAsia" w:ascii="宋体" w:hAnsi="宋体" w:eastAsia="宋体"/>
          <w:sz w:val="24"/>
          <w:szCs w:val="24"/>
        </w:rPr>
        <w:t>6</w:t>
      </w:r>
      <w:r>
        <w:rPr>
          <w:rFonts w:ascii="宋体" w:hAnsi="宋体" w:eastAsia="宋体"/>
          <w:sz w:val="24"/>
          <w:szCs w:val="24"/>
        </w:rPr>
        <w:t>分；</w:t>
      </w:r>
    </w:p>
    <w:p>
      <w:pPr>
        <w:pStyle w:val="24"/>
        <w:adjustRightInd w:val="0"/>
        <w:snapToGrid w:val="0"/>
        <w:spacing w:line="360" w:lineRule="auto"/>
        <w:ind w:firstLine="482"/>
        <w:jc w:val="left"/>
        <w:rPr>
          <w:rFonts w:hint="eastAsia" w:ascii="宋体" w:hAnsi="宋体" w:eastAsia="宋体"/>
          <w:sz w:val="24"/>
          <w:szCs w:val="24"/>
          <w:lang w:eastAsia="zh-CN"/>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3</w:t>
      </w:r>
      <w:r>
        <w:rPr>
          <w:rFonts w:hint="eastAsia" w:ascii="宋体" w:hAnsi="宋体" w:eastAsia="宋体"/>
          <w:sz w:val="24"/>
          <w:szCs w:val="24"/>
        </w:rPr>
        <w:t xml:space="preserve">  自动化车辆基地的等级为GAO4</w:t>
      </w:r>
      <w:r>
        <w:rPr>
          <w:rFonts w:ascii="宋体" w:hAnsi="宋体" w:eastAsia="宋体"/>
          <w:sz w:val="24"/>
          <w:szCs w:val="24"/>
        </w:rPr>
        <w:t>，得</w:t>
      </w:r>
      <w:r>
        <w:rPr>
          <w:rFonts w:hint="eastAsia" w:ascii="宋体" w:hAnsi="宋体" w:eastAsia="宋体"/>
          <w:sz w:val="24"/>
          <w:szCs w:val="24"/>
        </w:rPr>
        <w:t>9</w:t>
      </w:r>
      <w:r>
        <w:rPr>
          <w:rFonts w:ascii="宋体" w:hAnsi="宋体" w:eastAsia="宋体"/>
          <w:sz w:val="24"/>
          <w:szCs w:val="24"/>
        </w:rPr>
        <w:t>分</w:t>
      </w:r>
      <w:r>
        <w:rPr>
          <w:rFonts w:hint="eastAsia" w:ascii="宋体" w:hAnsi="宋体" w:eastAsia="宋体"/>
          <w:sz w:val="24"/>
          <w:szCs w:val="24"/>
          <w:lang w:eastAsia="zh-CN"/>
        </w:rPr>
        <w:t>。</w:t>
      </w:r>
    </w:p>
    <w:p>
      <w:pPr>
        <w:pStyle w:val="2"/>
        <w:spacing w:before="624" w:after="624"/>
      </w:pPr>
      <w:bookmarkStart w:id="32" w:name="_Toc60822238"/>
      <w:bookmarkStart w:id="33" w:name="_Toc77584229"/>
      <w:r>
        <w:t>6</w:t>
      </w:r>
      <w:r>
        <w:rPr>
          <w:rFonts w:hint="eastAsia"/>
        </w:rPr>
        <w:t xml:space="preserve">  </w:t>
      </w:r>
      <w:r>
        <w:t>健康舒适</w:t>
      </w:r>
      <w:bookmarkEnd w:id="32"/>
      <w:bookmarkEnd w:id="33"/>
    </w:p>
    <w:p>
      <w:pPr>
        <w:pStyle w:val="3"/>
        <w:spacing w:before="468" w:after="468"/>
      </w:pPr>
      <w:bookmarkStart w:id="34" w:name="_Toc77584230"/>
      <w:bookmarkStart w:id="35" w:name="_Toc60822239"/>
      <w:r>
        <w:rPr>
          <w:rFonts w:hint="eastAsia"/>
        </w:rPr>
        <w:t>6</w:t>
      </w:r>
      <w:r>
        <w:t>.1</w:t>
      </w:r>
      <w:r>
        <w:rPr>
          <w:rFonts w:hint="eastAsia"/>
        </w:rPr>
        <w:t xml:space="preserve">  </w:t>
      </w:r>
      <w:r>
        <w:t>控制项</w:t>
      </w:r>
      <w:bookmarkEnd w:id="34"/>
      <w:bookmarkEnd w:id="35"/>
    </w:p>
    <w:p>
      <w:pPr>
        <w:adjustRightInd w:val="0"/>
        <w:snapToGrid w:val="0"/>
        <w:spacing w:line="360" w:lineRule="auto"/>
        <w:jc w:val="left"/>
        <w:rPr>
          <w:rFonts w:ascii="宋体" w:hAnsi="宋体"/>
          <w:sz w:val="24"/>
          <w:szCs w:val="24"/>
        </w:rPr>
      </w:pPr>
      <w:r>
        <w:rPr>
          <w:rFonts w:ascii="宋体" w:hAnsi="宋体" w:eastAsia="宋体"/>
          <w:b/>
          <w:sz w:val="24"/>
          <w:szCs w:val="24"/>
        </w:rPr>
        <w:t>6.1.</w:t>
      </w:r>
      <w:r>
        <w:rPr>
          <w:rFonts w:hint="eastAsia" w:ascii="宋体" w:hAnsi="宋体" w:eastAsia="宋体"/>
          <w:b/>
          <w:sz w:val="24"/>
          <w:szCs w:val="24"/>
        </w:rPr>
        <w:t xml:space="preserve">1  </w:t>
      </w:r>
      <w:r>
        <w:rPr>
          <w:rFonts w:ascii="宋体" w:hAnsi="宋体"/>
          <w:sz w:val="24"/>
          <w:szCs w:val="24"/>
        </w:rPr>
        <w:t>车站应采取有效措施控制公共区及设备区室内噪声</w:t>
      </w:r>
      <w:r>
        <w:rPr>
          <w:rFonts w:hint="eastAsia" w:ascii="宋体" w:hAnsi="宋体"/>
          <w:sz w:val="24"/>
          <w:szCs w:val="24"/>
        </w:rPr>
        <w:t>。</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6.1.</w:t>
      </w:r>
      <w:r>
        <w:rPr>
          <w:rFonts w:hint="eastAsia" w:ascii="宋体" w:hAnsi="宋体" w:eastAsia="宋体"/>
          <w:b/>
          <w:sz w:val="24"/>
          <w:szCs w:val="24"/>
        </w:rPr>
        <w:t xml:space="preserve">2  </w:t>
      </w:r>
      <w:r>
        <w:rPr>
          <w:rFonts w:hint="eastAsia" w:ascii="宋体" w:hAnsi="宋体"/>
          <w:sz w:val="24"/>
          <w:szCs w:val="24"/>
        </w:rPr>
        <w:t>公共厕所</w:t>
      </w:r>
      <w:r>
        <w:rPr>
          <w:rFonts w:ascii="宋体" w:hAnsi="宋体"/>
          <w:sz w:val="24"/>
          <w:szCs w:val="24"/>
        </w:rPr>
        <w:t>及母婴室装修材料应选用环保</w:t>
      </w:r>
      <w:r>
        <w:rPr>
          <w:rFonts w:hint="eastAsia" w:ascii="宋体" w:hAnsi="宋体"/>
          <w:sz w:val="24"/>
          <w:szCs w:val="24"/>
        </w:rPr>
        <w:t>、</w:t>
      </w:r>
      <w:r>
        <w:rPr>
          <w:rFonts w:ascii="宋体" w:hAnsi="宋体"/>
          <w:sz w:val="24"/>
          <w:szCs w:val="24"/>
        </w:rPr>
        <w:t>绿色</w:t>
      </w:r>
      <w:r>
        <w:rPr>
          <w:rFonts w:hint="eastAsia" w:ascii="宋体" w:hAnsi="宋体"/>
          <w:sz w:val="24"/>
          <w:szCs w:val="24"/>
        </w:rPr>
        <w:t>、</w:t>
      </w:r>
      <w:r>
        <w:rPr>
          <w:rFonts w:ascii="宋体" w:hAnsi="宋体"/>
          <w:sz w:val="24"/>
          <w:szCs w:val="24"/>
        </w:rPr>
        <w:t>无污染的建筑材料</w:t>
      </w:r>
      <w:r>
        <w:rPr>
          <w:rFonts w:hint="eastAsia" w:ascii="宋体" w:hAnsi="宋体"/>
          <w:sz w:val="24"/>
          <w:szCs w:val="24"/>
        </w:rPr>
        <w:t>，</w:t>
      </w:r>
      <w:r>
        <w:rPr>
          <w:rFonts w:ascii="宋体" w:hAnsi="宋体"/>
          <w:sz w:val="24"/>
          <w:szCs w:val="24"/>
        </w:rPr>
        <w:t>室内所有水</w:t>
      </w:r>
      <w:r>
        <w:rPr>
          <w:rFonts w:hint="eastAsia" w:ascii="宋体" w:hAnsi="宋体"/>
          <w:sz w:val="24"/>
          <w:szCs w:val="24"/>
        </w:rPr>
        <w:t>、</w:t>
      </w:r>
      <w:r>
        <w:rPr>
          <w:rFonts w:ascii="宋体" w:hAnsi="宋体"/>
          <w:sz w:val="24"/>
          <w:szCs w:val="24"/>
        </w:rPr>
        <w:t>电</w:t>
      </w:r>
      <w:r>
        <w:rPr>
          <w:rFonts w:hint="eastAsia" w:ascii="宋体" w:hAnsi="宋体"/>
          <w:sz w:val="24"/>
          <w:szCs w:val="24"/>
        </w:rPr>
        <w:t>、</w:t>
      </w:r>
      <w:r>
        <w:rPr>
          <w:rFonts w:ascii="宋体" w:hAnsi="宋体"/>
          <w:sz w:val="24"/>
          <w:szCs w:val="24"/>
        </w:rPr>
        <w:t>暖通等管线</w:t>
      </w:r>
      <w:r>
        <w:rPr>
          <w:rFonts w:hint="eastAsia" w:ascii="宋体" w:hAnsi="宋体"/>
          <w:sz w:val="24"/>
          <w:szCs w:val="24"/>
        </w:rPr>
        <w:t>应</w:t>
      </w:r>
      <w:r>
        <w:rPr>
          <w:rFonts w:ascii="宋体" w:hAnsi="宋体"/>
          <w:sz w:val="24"/>
          <w:szCs w:val="24"/>
        </w:rPr>
        <w:t>暗装</w:t>
      </w:r>
      <w:r>
        <w:rPr>
          <w:rFonts w:hint="eastAsia" w:ascii="宋体" w:hAnsi="宋体"/>
          <w:sz w:val="24"/>
          <w:szCs w:val="24"/>
        </w:rPr>
        <w:t>。</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6.1.</w:t>
      </w:r>
      <w:r>
        <w:rPr>
          <w:rFonts w:hint="eastAsia" w:ascii="宋体" w:hAnsi="宋体" w:eastAsia="宋体"/>
          <w:b/>
          <w:sz w:val="24"/>
          <w:szCs w:val="24"/>
        </w:rPr>
        <w:t xml:space="preserve">3  </w:t>
      </w:r>
      <w:r>
        <w:rPr>
          <w:rFonts w:hint="eastAsia" w:ascii="宋体" w:hAnsi="宋体"/>
          <w:sz w:val="24"/>
          <w:szCs w:val="24"/>
        </w:rPr>
        <w:t>通风、空气调节系统的设计、运行管理和卫生检验应满足卫生防疫的要求。</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6.1.4  </w:t>
      </w:r>
      <w:r>
        <w:rPr>
          <w:rFonts w:hint="eastAsia" w:ascii="宋体" w:hAnsi="宋体" w:eastAsia="宋体"/>
          <w:sz w:val="24"/>
          <w:szCs w:val="24"/>
        </w:rPr>
        <w:t>车站公共区、区间隧道、人员管理用房环境空气中的</w:t>
      </w:r>
      <w:r>
        <w:rPr>
          <w:rFonts w:ascii="宋体" w:hAnsi="宋体" w:eastAsia="宋体"/>
          <w:sz w:val="24"/>
          <w:szCs w:val="24"/>
        </w:rPr>
        <w:t>CO</w:t>
      </w:r>
      <w:r>
        <w:rPr>
          <w:rFonts w:ascii="宋体" w:hAnsi="宋体" w:eastAsia="宋体"/>
          <w:sz w:val="24"/>
          <w:szCs w:val="24"/>
          <w:vertAlign w:val="subscript"/>
        </w:rPr>
        <w:t>2</w:t>
      </w:r>
      <w:r>
        <w:rPr>
          <w:rFonts w:ascii="宋体" w:hAnsi="宋体" w:eastAsia="宋体"/>
          <w:sz w:val="24"/>
          <w:szCs w:val="24"/>
        </w:rPr>
        <w:t>、PM10等污染物浓度应符合现行国家标准《城市轨道交通通风空气调节与供暖设计标准》GB/T 51357的有关规定。</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.1.</w:t>
      </w:r>
      <w:r>
        <w:rPr>
          <w:rFonts w:hint="eastAsia" w:ascii="宋体" w:hAnsi="宋体" w:eastAsia="宋体"/>
          <w:b/>
          <w:sz w:val="24"/>
          <w:szCs w:val="24"/>
        </w:rPr>
        <w:t xml:space="preserve">5  </w:t>
      </w:r>
      <w:r>
        <w:rPr>
          <w:rFonts w:hint="eastAsia" w:ascii="宋体" w:hAnsi="宋体"/>
          <w:sz w:val="24"/>
          <w:szCs w:val="24"/>
        </w:rPr>
        <w:t>地下车站公共区站厅和站台的乘客候车区正常工况下的瞬时最大风速应符合现行国家标准《城市轨道交通通风空气调节与供暖设计标准》GB</w:t>
      </w:r>
      <w:r>
        <w:rPr>
          <w:rFonts w:ascii="宋体" w:hAnsi="宋体"/>
          <w:sz w:val="24"/>
          <w:szCs w:val="24"/>
        </w:rPr>
        <w:t>/</w:t>
      </w:r>
      <w:r>
        <w:rPr>
          <w:rFonts w:hint="eastAsia" w:ascii="宋体" w:hAnsi="宋体"/>
          <w:sz w:val="24"/>
          <w:szCs w:val="24"/>
        </w:rPr>
        <w:t>T 51357的有关规定。</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.1.</w:t>
      </w:r>
      <w:r>
        <w:rPr>
          <w:rFonts w:hint="eastAsia" w:ascii="宋体" w:hAnsi="宋体" w:eastAsia="宋体"/>
          <w:b/>
          <w:sz w:val="24"/>
          <w:szCs w:val="24"/>
        </w:rPr>
        <w:t xml:space="preserve">6  </w:t>
      </w:r>
      <w:r>
        <w:rPr>
          <w:rFonts w:hint="eastAsia" w:ascii="宋体" w:hAnsi="宋体"/>
          <w:sz w:val="24"/>
          <w:szCs w:val="24"/>
        </w:rPr>
        <w:t>应采取措施保障车站公共区、区间隧道内的热环境，车站公共区及区间隧道内的温度、湿度、新风量等设计参数应符合现行国家标准《城市轨道交通通风空气调节与供暖设计标准》GB</w:t>
      </w:r>
      <w:r>
        <w:rPr>
          <w:rFonts w:ascii="宋体" w:hAnsi="宋体"/>
          <w:sz w:val="24"/>
          <w:szCs w:val="24"/>
        </w:rPr>
        <w:t>/</w:t>
      </w:r>
      <w:r>
        <w:rPr>
          <w:rFonts w:hint="eastAsia" w:ascii="宋体" w:hAnsi="宋体"/>
          <w:sz w:val="24"/>
          <w:szCs w:val="24"/>
        </w:rPr>
        <w:t>T 51357的有关规定。</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.1.</w:t>
      </w:r>
      <w:r>
        <w:rPr>
          <w:rFonts w:hint="eastAsia" w:ascii="宋体" w:hAnsi="宋体" w:eastAsia="宋体"/>
          <w:b/>
          <w:sz w:val="24"/>
          <w:szCs w:val="24"/>
        </w:rPr>
        <w:t xml:space="preserve">7  </w:t>
      </w:r>
      <w:r>
        <w:rPr>
          <w:rFonts w:hint="eastAsia" w:ascii="宋体" w:hAnsi="宋体"/>
          <w:sz w:val="24"/>
          <w:szCs w:val="24"/>
        </w:rPr>
        <w:t>车辆客室采用空调系统时，人均新风量符合现行国家标准《地铁车辆通用技术条件》GB／T 7928的有关规定。</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6.1.</w:t>
      </w:r>
      <w:r>
        <w:rPr>
          <w:rFonts w:hint="eastAsia" w:ascii="宋体" w:hAnsi="宋体" w:eastAsia="宋体"/>
          <w:b/>
          <w:sz w:val="24"/>
          <w:szCs w:val="24"/>
        </w:rPr>
        <w:t xml:space="preserve">8  </w:t>
      </w:r>
      <w:r>
        <w:rPr>
          <w:rFonts w:hint="eastAsia" w:ascii="宋体" w:hAnsi="宋体" w:eastAsia="宋体" w:cs="宋体"/>
          <w:bCs/>
          <w:sz w:val="24"/>
          <w:szCs w:val="24"/>
        </w:rPr>
        <w:t>卫生间</w:t>
      </w:r>
      <w:r>
        <w:rPr>
          <w:rFonts w:hint="eastAsia" w:ascii="宋体" w:hAnsi="宋体" w:eastAsia="宋体" w:cs="宋体"/>
          <w:sz w:val="24"/>
          <w:szCs w:val="24"/>
        </w:rPr>
        <w:t>应使用构造内自带水封的便器，且其水封深度不应小于</w:t>
      </w:r>
      <w:r>
        <w:rPr>
          <w:rFonts w:ascii="宋体" w:hAnsi="宋体" w:eastAsia="宋体" w:cs="宋体"/>
          <w:sz w:val="24"/>
          <w:szCs w:val="24"/>
        </w:rPr>
        <w:t>50mm</w:t>
      </w:r>
      <w:r>
        <w:rPr>
          <w:rFonts w:hint="eastAsia" w:ascii="宋体" w:hAnsi="宋体" w:eastAsia="宋体" w:cs="宋体"/>
          <w:sz w:val="24"/>
          <w:szCs w:val="24"/>
        </w:rPr>
        <w:t>。</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6.1.</w:t>
      </w:r>
      <w:r>
        <w:rPr>
          <w:rFonts w:hint="eastAsia" w:ascii="宋体" w:hAnsi="宋体" w:eastAsia="宋体"/>
          <w:b/>
          <w:sz w:val="24"/>
          <w:szCs w:val="24"/>
        </w:rPr>
        <w:t xml:space="preserve">9  </w:t>
      </w:r>
      <w:r>
        <w:rPr>
          <w:rFonts w:hint="eastAsia" w:ascii="宋体" w:hAnsi="宋体" w:eastAsia="宋体" w:cs="宋体"/>
          <w:sz w:val="24"/>
          <w:szCs w:val="24"/>
        </w:rPr>
        <w:t>水池、水箱等储水设施应采取措施满足卫生要求。</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6.1.</w:t>
      </w:r>
      <w:r>
        <w:rPr>
          <w:rFonts w:hint="eastAsia" w:ascii="宋体" w:hAnsi="宋体" w:eastAsia="宋体"/>
          <w:b/>
          <w:sz w:val="24"/>
          <w:szCs w:val="24"/>
        </w:rPr>
        <w:t xml:space="preserve">10  </w:t>
      </w:r>
      <w:r>
        <w:rPr>
          <w:rFonts w:hint="eastAsia" w:ascii="宋体" w:hAnsi="宋体" w:eastAsia="宋体" w:cs="宋体"/>
          <w:sz w:val="24"/>
          <w:szCs w:val="24"/>
        </w:rPr>
        <w:t>采用非传统水源时，应采取用水安全保障措施，且不应对人体健康与周围环境产生不良影响。</w:t>
      </w:r>
    </w:p>
    <w:p>
      <w:pPr>
        <w:adjustRightInd w:val="0"/>
        <w:snapToGrid w:val="0"/>
        <w:spacing w:line="360" w:lineRule="auto"/>
        <w:jc w:val="left"/>
        <w:rPr>
          <w:rFonts w:ascii="宋体" w:hAnsi="宋体" w:eastAsia="宋体"/>
          <w:bCs/>
          <w:sz w:val="24"/>
          <w:szCs w:val="24"/>
        </w:rPr>
      </w:pPr>
      <w:r>
        <w:rPr>
          <w:rFonts w:ascii="宋体" w:hAnsi="宋体" w:eastAsia="宋体"/>
          <w:b/>
          <w:sz w:val="24"/>
          <w:szCs w:val="24"/>
        </w:rPr>
        <w:t>6.1.1</w:t>
      </w:r>
      <w:r>
        <w:rPr>
          <w:rFonts w:hint="eastAsia" w:ascii="宋体" w:hAnsi="宋体" w:eastAsia="宋体"/>
          <w:b/>
          <w:sz w:val="24"/>
          <w:szCs w:val="24"/>
        </w:rPr>
        <w:t xml:space="preserve">1  </w:t>
      </w:r>
      <w:r>
        <w:rPr>
          <w:rFonts w:ascii="宋体" w:hAnsi="宋体" w:eastAsia="宋体"/>
          <w:bCs/>
          <w:sz w:val="24"/>
          <w:szCs w:val="24"/>
        </w:rPr>
        <w:t>站台门材料选型应符合低烟、无卤、阻燃要求。</w:t>
      </w:r>
    </w:p>
    <w:p>
      <w:pPr>
        <w:adjustRightInd w:val="0"/>
        <w:snapToGrid w:val="0"/>
        <w:spacing w:line="360" w:lineRule="auto"/>
        <w:jc w:val="left"/>
        <w:rPr>
          <w:rFonts w:ascii="宋体" w:hAnsi="宋体" w:eastAsia="宋体"/>
          <w:bCs/>
          <w:sz w:val="24"/>
          <w:szCs w:val="24"/>
        </w:rPr>
      </w:pPr>
      <w:r>
        <w:rPr>
          <w:rFonts w:ascii="宋体" w:hAnsi="宋体" w:eastAsia="宋体"/>
          <w:b/>
          <w:sz w:val="24"/>
          <w:szCs w:val="24"/>
        </w:rPr>
        <w:t>6.1.1</w:t>
      </w:r>
      <w:r>
        <w:rPr>
          <w:rFonts w:hint="eastAsia" w:ascii="宋体" w:hAnsi="宋体" w:eastAsia="宋体"/>
          <w:b/>
          <w:sz w:val="24"/>
          <w:szCs w:val="24"/>
        </w:rPr>
        <w:t xml:space="preserve">2  </w:t>
      </w:r>
      <w:r>
        <w:rPr>
          <w:rFonts w:ascii="宋体" w:hAnsi="宋体" w:eastAsia="宋体"/>
          <w:bCs/>
          <w:sz w:val="24"/>
          <w:szCs w:val="24"/>
        </w:rPr>
        <w:t>站台门不应因活塞风而引起气流束、哨声或怪声</w:t>
      </w:r>
      <w:r>
        <w:rPr>
          <w:rFonts w:hint="eastAsia" w:ascii="宋体" w:hAnsi="宋体" w:eastAsia="宋体"/>
          <w:bCs/>
          <w:sz w:val="24"/>
          <w:szCs w:val="24"/>
        </w:rPr>
        <w:t>。</w:t>
      </w:r>
    </w:p>
    <w:p>
      <w:pPr>
        <w:pStyle w:val="3"/>
        <w:spacing w:before="468" w:after="468"/>
      </w:pPr>
      <w:bookmarkStart w:id="36" w:name="_Toc60822240"/>
      <w:bookmarkStart w:id="37" w:name="_Toc77584231"/>
      <w:r>
        <w:rPr>
          <w:rFonts w:hint="eastAsia"/>
        </w:rPr>
        <w:t>6</w:t>
      </w:r>
      <w:r>
        <w:t>.2</w:t>
      </w:r>
      <w:r>
        <w:rPr>
          <w:rFonts w:hint="eastAsia"/>
        </w:rPr>
        <w:t xml:space="preserve">  </w:t>
      </w:r>
      <w:r>
        <w:t>评分项</w:t>
      </w:r>
      <w:bookmarkEnd w:id="36"/>
      <w:bookmarkEnd w:id="37"/>
    </w:p>
    <w:p>
      <w:pPr>
        <w:adjustRightInd w:val="0"/>
        <w:snapToGrid w:val="0"/>
        <w:spacing w:line="360" w:lineRule="auto"/>
        <w:jc w:val="left"/>
        <w:rPr>
          <w:rFonts w:ascii="宋体" w:hAnsi="宋体" w:eastAsia="宋体"/>
          <w:sz w:val="24"/>
          <w:szCs w:val="24"/>
        </w:rPr>
      </w:pPr>
      <w:r>
        <w:rPr>
          <w:rFonts w:ascii="宋体" w:hAnsi="宋体" w:eastAsia="宋体"/>
          <w:b/>
          <w:sz w:val="24"/>
          <w:szCs w:val="24"/>
        </w:rPr>
        <w:t>6.2.1</w:t>
      </w:r>
      <w:r>
        <w:rPr>
          <w:rFonts w:hint="eastAsia" w:ascii="宋体" w:hAnsi="宋体" w:eastAsia="宋体"/>
          <w:b/>
          <w:sz w:val="24"/>
          <w:szCs w:val="24"/>
        </w:rPr>
        <w:t xml:space="preserve">  </w:t>
      </w:r>
      <w:r>
        <w:rPr>
          <w:rFonts w:ascii="宋体" w:hAnsi="宋体" w:eastAsia="宋体"/>
          <w:sz w:val="24"/>
          <w:szCs w:val="24"/>
        </w:rPr>
        <w:t>车辆具备较好的舒适度和人性化设计，给乘客提供良好的乘车环境，评价总分值为</w:t>
      </w:r>
      <w:r>
        <w:rPr>
          <w:rFonts w:hint="eastAsia" w:ascii="宋体" w:hAnsi="宋体" w:eastAsia="宋体"/>
          <w:sz w:val="24"/>
          <w:szCs w:val="24"/>
        </w:rPr>
        <w:t>3</w:t>
      </w:r>
      <w:r>
        <w:rPr>
          <w:rFonts w:ascii="宋体" w:hAnsi="宋体" w:eastAsia="宋体"/>
          <w:sz w:val="24"/>
          <w:szCs w:val="24"/>
        </w:rPr>
        <w:t>0分，并按下列规则分别评分并累计：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具备灯光智能调节功能，实现模拟自然光照，根据车辆进出隧道状态，自动调节亮度，消除外部光线变化对旅客带来的视觉冲击和不适感，</w:t>
      </w:r>
      <w:r>
        <w:rPr>
          <w:rFonts w:ascii="宋体" w:hAnsi="宋体" w:eastAsia="宋体"/>
          <w:sz w:val="24"/>
          <w:szCs w:val="24"/>
        </w:rPr>
        <w:t>得</w:t>
      </w:r>
      <w:r>
        <w:rPr>
          <w:rFonts w:hint="eastAsia" w:ascii="宋体" w:hAnsi="宋体" w:eastAsia="宋体"/>
          <w:sz w:val="24"/>
          <w:szCs w:val="24"/>
        </w:rPr>
        <w:t>4</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rPr>
        <w:tab/>
      </w:r>
      <w:r>
        <w:rPr>
          <w:rFonts w:hint="eastAsia" w:ascii="宋体" w:hAnsi="宋体" w:eastAsia="宋体"/>
        </w:rPr>
        <w:t xml:space="preserve"> </w:t>
      </w: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设置“老幼病残孕”专座座椅并用单独的颜色区分，部分列车根据需要设置女性车厢的，得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rPr>
        <w:tab/>
      </w:r>
      <w:r>
        <w:rPr>
          <w:rFonts w:hint="eastAsia" w:ascii="宋体" w:hAnsi="宋体" w:eastAsia="宋体"/>
        </w:rPr>
        <w:t xml:space="preserve"> </w:t>
      </w: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采用变频空调器，根据车厢内的负荷需求调节冷量</w:t>
      </w:r>
      <w:r>
        <w:rPr>
          <w:rFonts w:hint="eastAsia" w:ascii="宋体" w:hAnsi="宋体" w:eastAsia="宋体"/>
          <w:sz w:val="24"/>
          <w:szCs w:val="24"/>
        </w:rPr>
        <w:t>，客室采用侧出风，且装有空气净化装置，具备在防疫模式下对车内空气进行过滤消杀的功能，</w:t>
      </w:r>
      <w:r>
        <w:rPr>
          <w:rFonts w:ascii="宋体" w:hAnsi="宋体" w:eastAsia="宋体"/>
          <w:sz w:val="24"/>
          <w:szCs w:val="24"/>
        </w:rPr>
        <w:t>得</w:t>
      </w:r>
      <w:r>
        <w:rPr>
          <w:rFonts w:hint="eastAsia" w:ascii="宋体" w:hAnsi="宋体" w:eastAsia="宋体"/>
          <w:sz w:val="24"/>
          <w:szCs w:val="24"/>
        </w:rPr>
        <w:t>5</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根据车厢位置需求，可安装多种规格双面屏</w:t>
      </w:r>
      <w:r>
        <w:rPr>
          <w:rFonts w:hint="eastAsia" w:ascii="宋体" w:hAnsi="宋体" w:eastAsia="宋体"/>
          <w:sz w:val="24"/>
          <w:szCs w:val="24"/>
        </w:rPr>
        <w:t>，</w:t>
      </w:r>
      <w:r>
        <w:rPr>
          <w:rFonts w:ascii="宋体" w:hAnsi="宋体" w:eastAsia="宋体"/>
          <w:sz w:val="24"/>
          <w:szCs w:val="24"/>
        </w:rPr>
        <w:t>如车窗玻璃透明双面屏，能更</w:t>
      </w:r>
      <w:r>
        <w:rPr>
          <w:rFonts w:hint="eastAsia" w:ascii="宋体" w:hAnsi="宋体" w:eastAsia="宋体"/>
          <w:sz w:val="24"/>
          <w:szCs w:val="24"/>
        </w:rPr>
        <w:t>加方便乘客的乘车，得3分</w:t>
      </w:r>
      <w:r>
        <w:rPr>
          <w:rFonts w:ascii="宋体" w:hAnsi="宋体" w:eastAsia="宋体"/>
          <w:sz w:val="24"/>
          <w:szCs w:val="24"/>
        </w:rPr>
        <w:t>；</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5</w:t>
      </w:r>
      <w:r>
        <w:rPr>
          <w:rFonts w:hint="eastAsia" w:ascii="宋体" w:hAnsi="宋体" w:eastAsia="宋体"/>
          <w:sz w:val="24"/>
          <w:szCs w:val="24"/>
        </w:rPr>
        <w:t xml:space="preserve">  具备乘客自动计数功能，采取相应措施对车厢内乘客进行实时计数，计数准确率不低于95%，据此判断列车乘客拥挤指数，引导站台乘客乘车，得4分;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6</w:t>
      </w:r>
      <w:r>
        <w:rPr>
          <w:rFonts w:hint="eastAsia" w:ascii="宋体" w:hAnsi="宋体" w:eastAsia="宋体"/>
          <w:sz w:val="24"/>
          <w:szCs w:val="24"/>
        </w:rPr>
        <w:t xml:space="preserve">  空调系统具备二氧化碳检测功能，并根据车厢内二氧化碳浓度调节新风门开度，提高列车的舒适度，得5分；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7</w:t>
      </w:r>
      <w:r>
        <w:rPr>
          <w:rFonts w:hint="eastAsia" w:ascii="宋体" w:hAnsi="宋体" w:eastAsia="宋体"/>
          <w:sz w:val="24"/>
          <w:szCs w:val="24"/>
        </w:rPr>
        <w:t xml:space="preserve">  具备车载</w:t>
      </w:r>
      <w:r>
        <w:rPr>
          <w:rFonts w:ascii="宋体" w:hAnsi="宋体" w:eastAsia="宋体"/>
          <w:sz w:val="24"/>
          <w:szCs w:val="24"/>
        </w:rPr>
        <w:t>WiFi和多媒体服务</w:t>
      </w:r>
      <w:r>
        <w:rPr>
          <w:rFonts w:hint="eastAsia" w:ascii="宋体" w:hAnsi="宋体" w:eastAsia="宋体"/>
          <w:sz w:val="24"/>
          <w:szCs w:val="24"/>
        </w:rPr>
        <w:t>功能，车厢内为乘客提供</w:t>
      </w:r>
      <w:r>
        <w:rPr>
          <w:rFonts w:ascii="宋体" w:hAnsi="宋体" w:eastAsia="宋体"/>
          <w:sz w:val="24"/>
          <w:szCs w:val="24"/>
        </w:rPr>
        <w:t>WiFi</w:t>
      </w:r>
      <w:r>
        <w:rPr>
          <w:rFonts w:hint="eastAsia" w:ascii="宋体" w:hAnsi="宋体" w:eastAsia="宋体"/>
          <w:sz w:val="24"/>
          <w:szCs w:val="24"/>
        </w:rPr>
        <w:t>服务，为乘客提供上网及周边经典推荐订餐和购物娱乐小游戏新闻资讯推送服务，得2分;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8</w:t>
      </w:r>
      <w:r>
        <w:rPr>
          <w:rFonts w:hint="eastAsia" w:ascii="宋体" w:hAnsi="宋体" w:eastAsia="宋体"/>
          <w:sz w:val="24"/>
          <w:szCs w:val="24"/>
        </w:rPr>
        <w:t xml:space="preserve">  </w:t>
      </w:r>
      <w:r>
        <w:rPr>
          <w:rFonts w:ascii="宋体" w:hAnsi="宋体" w:eastAsia="宋体"/>
          <w:sz w:val="24"/>
          <w:szCs w:val="24"/>
        </w:rPr>
        <w:t>采取多种措施，从轮轨关系、车辆外</w:t>
      </w:r>
      <w:r>
        <w:rPr>
          <w:rFonts w:hint="eastAsia" w:ascii="宋体" w:hAnsi="宋体" w:eastAsia="宋体"/>
          <w:sz w:val="24"/>
          <w:szCs w:val="24"/>
          <w:lang w:val="en-US" w:eastAsia="zh-CN"/>
        </w:rPr>
        <w:t>形</w:t>
      </w:r>
      <w:r>
        <w:rPr>
          <w:rFonts w:ascii="宋体" w:hAnsi="宋体" w:eastAsia="宋体"/>
          <w:sz w:val="24"/>
          <w:szCs w:val="24"/>
        </w:rPr>
        <w:t>与结构、机电设备等方面，设法控制和降低噪声</w:t>
      </w:r>
      <w:r>
        <w:rPr>
          <w:rFonts w:hint="eastAsia" w:ascii="宋体" w:hAnsi="宋体" w:eastAsia="宋体"/>
          <w:sz w:val="24"/>
          <w:szCs w:val="24"/>
        </w:rPr>
        <w:t>，速度</w:t>
      </w:r>
      <w:r>
        <w:rPr>
          <w:rFonts w:ascii="宋体" w:hAnsi="宋体" w:eastAsia="宋体"/>
          <w:sz w:val="24"/>
          <w:szCs w:val="24"/>
        </w:rPr>
        <w:t>120km/h</w:t>
      </w:r>
      <w:r>
        <w:rPr>
          <w:rFonts w:hint="eastAsia" w:ascii="宋体" w:hAnsi="宋体" w:eastAsia="宋体"/>
          <w:sz w:val="24"/>
          <w:szCs w:val="24"/>
        </w:rPr>
        <w:t>及以上的车辆采取气密性措施，</w:t>
      </w:r>
      <w:r>
        <w:rPr>
          <w:rFonts w:ascii="宋体" w:hAnsi="宋体" w:eastAsia="宋体"/>
          <w:sz w:val="24"/>
          <w:szCs w:val="24"/>
        </w:rPr>
        <w:t>满足列车在地下区间运行时司乘人员及乘客舒适度需求（800Pa/3s）</w:t>
      </w:r>
      <w:r>
        <w:rPr>
          <w:rFonts w:hint="eastAsia" w:ascii="宋体" w:hAnsi="宋体" w:eastAsia="宋体"/>
          <w:sz w:val="24"/>
          <w:szCs w:val="24"/>
        </w:rPr>
        <w:t>，得4分。</w:t>
      </w:r>
    </w:p>
    <w:p>
      <w:pPr>
        <w:pStyle w:val="24"/>
        <w:adjustRightInd w:val="0"/>
        <w:snapToGrid w:val="0"/>
        <w:spacing w:line="360" w:lineRule="auto"/>
        <w:ind w:firstLine="0" w:firstLineChars="0"/>
        <w:jc w:val="left"/>
        <w:rPr>
          <w:rFonts w:ascii="宋体" w:hAnsi="宋体" w:eastAsia="宋体"/>
          <w:sz w:val="24"/>
          <w:szCs w:val="24"/>
        </w:rPr>
      </w:pPr>
      <w:r>
        <w:rPr>
          <w:rFonts w:ascii="宋体" w:hAnsi="宋体" w:eastAsia="宋体"/>
          <w:b/>
          <w:sz w:val="24"/>
          <w:szCs w:val="24"/>
        </w:rPr>
        <w:t>6.2.</w:t>
      </w:r>
      <w:r>
        <w:rPr>
          <w:rFonts w:hint="eastAsia" w:ascii="宋体" w:hAnsi="宋体" w:eastAsia="宋体"/>
          <w:b/>
          <w:sz w:val="24"/>
          <w:szCs w:val="24"/>
        </w:rPr>
        <w:t xml:space="preserve">2  </w:t>
      </w:r>
      <w:r>
        <w:rPr>
          <w:rFonts w:ascii="宋体" w:hAnsi="宋体" w:eastAsia="宋体"/>
          <w:sz w:val="24"/>
          <w:szCs w:val="24"/>
        </w:rPr>
        <w:t>车站选址考虑潜在客流分布、土地开发等，合理确定车站与主要客源的服务距离，评价总分值为</w:t>
      </w:r>
      <w:r>
        <w:rPr>
          <w:rFonts w:hint="eastAsia" w:ascii="宋体" w:hAnsi="宋体" w:eastAsia="宋体"/>
          <w:sz w:val="24"/>
          <w:szCs w:val="24"/>
        </w:rPr>
        <w:t>3</w:t>
      </w:r>
      <w:r>
        <w:rPr>
          <w:rFonts w:ascii="宋体" w:hAnsi="宋体" w:eastAsia="宋体"/>
          <w:sz w:val="24"/>
          <w:szCs w:val="24"/>
        </w:rPr>
        <w:t>分，并按下列规则评分：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全市常住人口</w:t>
      </w:r>
      <w:r>
        <w:rPr>
          <w:rFonts w:hint="eastAsia" w:ascii="宋体" w:hAnsi="宋体" w:eastAsia="宋体"/>
          <w:sz w:val="24"/>
          <w:szCs w:val="24"/>
          <w:lang w:val="en-US" w:eastAsia="zh-CN"/>
        </w:rPr>
        <w:t>大于等于</w:t>
      </w:r>
      <w:r>
        <w:rPr>
          <w:rFonts w:hint="eastAsia" w:ascii="宋体" w:hAnsi="宋体" w:eastAsia="宋体"/>
          <w:sz w:val="24"/>
          <w:szCs w:val="24"/>
        </w:rPr>
        <w:t>1500万的城市：</w:t>
      </w:r>
    </w:p>
    <w:p>
      <w:pPr>
        <w:pStyle w:val="24"/>
        <w:adjustRightInd w:val="0"/>
        <w:snapToGrid w:val="0"/>
        <w:spacing w:line="360" w:lineRule="auto"/>
        <w:ind w:firstLine="48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0.7</w:t>
      </w:r>
      <w:r>
        <w:rPr>
          <w:rFonts w:ascii="宋体" w:hAnsi="宋体" w:eastAsia="宋体"/>
          <w:sz w:val="24"/>
          <w:szCs w:val="24"/>
        </w:rPr>
        <w:t>万人/日公里，得</w:t>
      </w:r>
      <w:r>
        <w:rPr>
          <w:rFonts w:hint="eastAsia" w:ascii="宋体" w:hAnsi="宋体" w:eastAsia="宋体"/>
          <w:sz w:val="24"/>
          <w:szCs w:val="24"/>
        </w:rPr>
        <w:t>1</w:t>
      </w:r>
      <w:r>
        <w:rPr>
          <w:rFonts w:ascii="宋体" w:hAnsi="宋体" w:eastAsia="宋体"/>
          <w:sz w:val="24"/>
          <w:szCs w:val="24"/>
        </w:rPr>
        <w:t xml:space="preserve">分； </w:t>
      </w:r>
    </w:p>
    <w:p>
      <w:pPr>
        <w:pStyle w:val="24"/>
        <w:adjustRightInd w:val="0"/>
        <w:snapToGrid w:val="0"/>
        <w:spacing w:line="360" w:lineRule="auto"/>
        <w:ind w:firstLine="48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1.3</w:t>
      </w:r>
      <w:r>
        <w:rPr>
          <w:rFonts w:ascii="宋体" w:hAnsi="宋体" w:eastAsia="宋体"/>
          <w:sz w:val="24"/>
          <w:szCs w:val="24"/>
        </w:rPr>
        <w:t>万人/日公里，得</w:t>
      </w:r>
      <w:r>
        <w:rPr>
          <w:rFonts w:hint="eastAsia" w:ascii="宋体" w:hAnsi="宋体" w:eastAsia="宋体"/>
          <w:sz w:val="24"/>
          <w:szCs w:val="24"/>
        </w:rPr>
        <w:t>2</w:t>
      </w:r>
      <w:r>
        <w:rPr>
          <w:rFonts w:ascii="宋体" w:hAnsi="宋体" w:eastAsia="宋体"/>
          <w:sz w:val="24"/>
          <w:szCs w:val="24"/>
        </w:rPr>
        <w:t>分；</w:t>
      </w:r>
    </w:p>
    <w:p>
      <w:pPr>
        <w:pStyle w:val="24"/>
        <w:adjustRightInd w:val="0"/>
        <w:snapToGrid w:val="0"/>
        <w:spacing w:line="360" w:lineRule="auto"/>
        <w:ind w:firstLine="48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1.8</w:t>
      </w:r>
      <w:r>
        <w:rPr>
          <w:rFonts w:ascii="宋体" w:hAnsi="宋体" w:eastAsia="宋体"/>
          <w:sz w:val="24"/>
          <w:szCs w:val="24"/>
        </w:rPr>
        <w:t>万人/日公里，得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全市常住人口</w:t>
      </w:r>
      <w:r>
        <w:rPr>
          <w:rFonts w:hint="eastAsia" w:ascii="宋体" w:hAnsi="宋体" w:eastAsia="宋体"/>
          <w:sz w:val="24"/>
          <w:szCs w:val="24"/>
          <w:lang w:val="en-US" w:eastAsia="zh-CN"/>
        </w:rPr>
        <w:t>大于等于</w:t>
      </w:r>
      <w:r>
        <w:rPr>
          <w:rFonts w:hint="eastAsia" w:ascii="宋体" w:hAnsi="宋体" w:eastAsia="宋体"/>
          <w:sz w:val="24"/>
          <w:szCs w:val="24"/>
        </w:rPr>
        <w:t>1000万且</w:t>
      </w:r>
      <w:r>
        <w:rPr>
          <w:rFonts w:hint="eastAsia" w:ascii="宋体" w:hAnsi="宋体" w:eastAsia="宋体"/>
          <w:sz w:val="24"/>
          <w:szCs w:val="24"/>
          <w:lang w:val="en-US" w:eastAsia="zh-CN"/>
        </w:rPr>
        <w:t>小于</w:t>
      </w:r>
      <w:r>
        <w:rPr>
          <w:rFonts w:hint="eastAsia" w:ascii="宋体" w:hAnsi="宋体" w:eastAsia="宋体"/>
          <w:sz w:val="24"/>
          <w:szCs w:val="24"/>
        </w:rPr>
        <w:t>1500万的城市：</w:t>
      </w:r>
    </w:p>
    <w:p>
      <w:pPr>
        <w:pStyle w:val="24"/>
        <w:adjustRightInd w:val="0"/>
        <w:snapToGrid w:val="0"/>
        <w:spacing w:line="360" w:lineRule="auto"/>
        <w:ind w:firstLine="48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0.7</w:t>
      </w:r>
      <w:r>
        <w:rPr>
          <w:rFonts w:ascii="宋体" w:hAnsi="宋体" w:eastAsia="宋体"/>
          <w:sz w:val="24"/>
          <w:szCs w:val="24"/>
        </w:rPr>
        <w:t>万人/日公里，得</w:t>
      </w:r>
      <w:r>
        <w:rPr>
          <w:rFonts w:hint="eastAsia" w:ascii="宋体" w:hAnsi="宋体" w:eastAsia="宋体"/>
          <w:sz w:val="24"/>
          <w:szCs w:val="24"/>
        </w:rPr>
        <w:t>1</w:t>
      </w:r>
      <w:r>
        <w:rPr>
          <w:rFonts w:ascii="宋体" w:hAnsi="宋体" w:eastAsia="宋体"/>
          <w:sz w:val="24"/>
          <w:szCs w:val="24"/>
        </w:rPr>
        <w:t xml:space="preserve">分； </w:t>
      </w:r>
    </w:p>
    <w:p>
      <w:pPr>
        <w:pStyle w:val="24"/>
        <w:adjustRightInd w:val="0"/>
        <w:snapToGrid w:val="0"/>
        <w:spacing w:line="360" w:lineRule="auto"/>
        <w:ind w:firstLine="48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1.1</w:t>
      </w:r>
      <w:r>
        <w:rPr>
          <w:rFonts w:ascii="宋体" w:hAnsi="宋体" w:eastAsia="宋体"/>
          <w:sz w:val="24"/>
          <w:szCs w:val="24"/>
        </w:rPr>
        <w:t>万人/日公里，得</w:t>
      </w:r>
      <w:r>
        <w:rPr>
          <w:rFonts w:hint="eastAsia" w:ascii="宋体" w:hAnsi="宋体" w:eastAsia="宋体"/>
          <w:sz w:val="24"/>
          <w:szCs w:val="24"/>
        </w:rPr>
        <w:t>2</w:t>
      </w:r>
      <w:r>
        <w:rPr>
          <w:rFonts w:ascii="宋体" w:hAnsi="宋体" w:eastAsia="宋体"/>
          <w:sz w:val="24"/>
          <w:szCs w:val="24"/>
        </w:rPr>
        <w:t>分；</w:t>
      </w:r>
    </w:p>
    <w:p>
      <w:pPr>
        <w:pStyle w:val="24"/>
        <w:adjustRightInd w:val="0"/>
        <w:snapToGrid w:val="0"/>
        <w:spacing w:line="360" w:lineRule="auto"/>
        <w:ind w:firstLine="48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1.7</w:t>
      </w:r>
      <w:r>
        <w:rPr>
          <w:rFonts w:ascii="宋体" w:hAnsi="宋体" w:eastAsia="宋体"/>
          <w:sz w:val="24"/>
          <w:szCs w:val="24"/>
        </w:rPr>
        <w:t>万人/日公里，得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hint="eastAsia" w:ascii="宋体" w:hAnsi="宋体" w:eastAsia="宋体"/>
          <w:sz w:val="24"/>
          <w:szCs w:val="24"/>
          <w:lang w:eastAsia="zh-CN"/>
        </w:rPr>
      </w:pPr>
      <w:r>
        <w:rPr>
          <w:rFonts w:hint="eastAsia"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全市常住人口</w:t>
      </w:r>
      <w:r>
        <w:rPr>
          <w:rFonts w:hint="eastAsia" w:ascii="宋体" w:hAnsi="宋体" w:eastAsia="宋体"/>
          <w:sz w:val="24"/>
          <w:szCs w:val="24"/>
          <w:lang w:val="en-US" w:eastAsia="zh-CN"/>
        </w:rPr>
        <w:t>大于等于</w:t>
      </w:r>
      <w:r>
        <w:rPr>
          <w:rFonts w:hint="eastAsia" w:ascii="宋体" w:hAnsi="宋体" w:eastAsia="宋体"/>
          <w:sz w:val="24"/>
          <w:szCs w:val="24"/>
        </w:rPr>
        <w:t>500万且</w:t>
      </w:r>
      <w:r>
        <w:rPr>
          <w:rFonts w:hint="eastAsia" w:ascii="宋体" w:hAnsi="宋体" w:eastAsia="宋体"/>
          <w:sz w:val="24"/>
          <w:szCs w:val="24"/>
          <w:lang w:val="en-US" w:eastAsia="zh-CN"/>
        </w:rPr>
        <w:t>小于</w:t>
      </w:r>
      <w:r>
        <w:rPr>
          <w:rFonts w:hint="eastAsia" w:ascii="宋体" w:hAnsi="宋体" w:eastAsia="宋体"/>
          <w:sz w:val="24"/>
          <w:szCs w:val="24"/>
        </w:rPr>
        <w:t>1000万的城市</w:t>
      </w:r>
      <w:r>
        <w:rPr>
          <w:rFonts w:hint="eastAsia" w:ascii="宋体" w:hAnsi="宋体" w:eastAsia="宋体"/>
          <w:sz w:val="24"/>
          <w:szCs w:val="24"/>
          <w:lang w:eastAsia="zh-CN"/>
        </w:rPr>
        <w:t>：</w:t>
      </w:r>
    </w:p>
    <w:p>
      <w:pPr>
        <w:pStyle w:val="24"/>
        <w:adjustRightInd w:val="0"/>
        <w:snapToGrid w:val="0"/>
        <w:spacing w:line="360" w:lineRule="auto"/>
        <w:ind w:firstLine="48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0.7</w:t>
      </w:r>
      <w:r>
        <w:rPr>
          <w:rFonts w:ascii="宋体" w:hAnsi="宋体" w:eastAsia="宋体"/>
          <w:sz w:val="24"/>
          <w:szCs w:val="24"/>
        </w:rPr>
        <w:t>万人/日公里，得</w:t>
      </w:r>
      <w:r>
        <w:rPr>
          <w:rFonts w:hint="eastAsia" w:ascii="宋体" w:hAnsi="宋体" w:eastAsia="宋体"/>
          <w:sz w:val="24"/>
          <w:szCs w:val="24"/>
        </w:rPr>
        <w:t>1</w:t>
      </w:r>
      <w:r>
        <w:rPr>
          <w:rFonts w:ascii="宋体" w:hAnsi="宋体" w:eastAsia="宋体"/>
          <w:sz w:val="24"/>
          <w:szCs w:val="24"/>
        </w:rPr>
        <w:t xml:space="preserve">分； </w:t>
      </w:r>
    </w:p>
    <w:p>
      <w:pPr>
        <w:pStyle w:val="24"/>
        <w:adjustRightInd w:val="0"/>
        <w:snapToGrid w:val="0"/>
        <w:spacing w:line="360" w:lineRule="auto"/>
        <w:ind w:firstLine="48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1.0</w:t>
      </w:r>
      <w:r>
        <w:rPr>
          <w:rFonts w:ascii="宋体" w:hAnsi="宋体" w:eastAsia="宋体"/>
          <w:sz w:val="24"/>
          <w:szCs w:val="24"/>
        </w:rPr>
        <w:t>万人/日公里，得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w:t>
      </w:r>
      <w:r>
        <w:rPr>
          <w:rFonts w:ascii="宋体" w:hAnsi="宋体" w:eastAsia="宋体"/>
          <w:sz w:val="24"/>
          <w:szCs w:val="24"/>
        </w:rPr>
        <w:t xml:space="preserve"> 全市常住人口</w:t>
      </w:r>
      <w:r>
        <w:rPr>
          <w:rFonts w:hint="eastAsia" w:ascii="宋体" w:hAnsi="宋体" w:eastAsia="宋体"/>
          <w:sz w:val="24"/>
          <w:szCs w:val="24"/>
          <w:lang w:val="en-US" w:eastAsia="zh-CN"/>
        </w:rPr>
        <w:t>大于等于</w:t>
      </w:r>
      <w:r>
        <w:rPr>
          <w:rFonts w:hint="eastAsia" w:ascii="宋体" w:hAnsi="宋体" w:eastAsia="宋体"/>
          <w:sz w:val="24"/>
          <w:szCs w:val="24"/>
        </w:rPr>
        <w:t>300万且</w:t>
      </w:r>
      <w:r>
        <w:rPr>
          <w:rFonts w:hint="eastAsia" w:ascii="宋体" w:hAnsi="宋体" w:eastAsia="宋体"/>
          <w:sz w:val="24"/>
          <w:szCs w:val="24"/>
          <w:lang w:val="en-US" w:eastAsia="zh-CN"/>
        </w:rPr>
        <w:t>小于</w:t>
      </w:r>
      <w:r>
        <w:rPr>
          <w:rFonts w:hint="eastAsia" w:ascii="宋体" w:hAnsi="宋体" w:eastAsia="宋体"/>
          <w:sz w:val="24"/>
          <w:szCs w:val="24"/>
        </w:rPr>
        <w:t>500万的城市：</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全线线路客运强度</w:t>
      </w:r>
      <w:r>
        <w:rPr>
          <w:rFonts w:hint="eastAsia" w:ascii="宋体" w:hAnsi="宋体" w:eastAsia="宋体"/>
          <w:sz w:val="24"/>
          <w:szCs w:val="24"/>
          <w:lang w:val="en-US" w:eastAsia="zh-CN"/>
        </w:rPr>
        <w:t>大于等于</w:t>
      </w:r>
      <w:r>
        <w:rPr>
          <w:rFonts w:hint="eastAsia" w:ascii="宋体" w:hAnsi="宋体" w:eastAsia="宋体"/>
          <w:sz w:val="24"/>
          <w:szCs w:val="24"/>
        </w:rPr>
        <w:t>0.7</w:t>
      </w:r>
      <w:r>
        <w:rPr>
          <w:rFonts w:ascii="宋体" w:hAnsi="宋体" w:eastAsia="宋体"/>
          <w:sz w:val="24"/>
          <w:szCs w:val="24"/>
        </w:rPr>
        <w:t>万人/日公里，得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6.2.3  </w:t>
      </w:r>
      <w:r>
        <w:rPr>
          <w:rFonts w:hint="eastAsia" w:ascii="宋体" w:hAnsi="宋体" w:eastAsia="宋体"/>
          <w:sz w:val="24"/>
          <w:szCs w:val="24"/>
        </w:rPr>
        <w:t>车站采光设计采取减小眩光的措施，营造舒适的站内光环境。评价总分值为4分，并按下列规则评分累计：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人员经常活动区域减少或避免直射阳光，得1分；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工作人员的工作视觉背景避开窗口，得1分；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采用室内外遮阳设施降低窗亮度或减少天空视域，得1分；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窗结构的内表面或窗周围的内墙面采用浅色饰面，得1分。</w:t>
      </w:r>
    </w:p>
    <w:p>
      <w:pPr>
        <w:spacing w:line="360" w:lineRule="auto"/>
        <w:jc w:val="left"/>
        <w:rPr>
          <w:rFonts w:ascii="宋体" w:hAnsi="宋体"/>
          <w:sz w:val="24"/>
          <w:szCs w:val="24"/>
        </w:rPr>
      </w:pPr>
      <w:r>
        <w:rPr>
          <w:rFonts w:ascii="宋体" w:hAnsi="宋体" w:eastAsia="宋体"/>
          <w:b/>
          <w:sz w:val="24"/>
          <w:szCs w:val="24"/>
        </w:rPr>
        <w:t>6.2.</w:t>
      </w:r>
      <w:r>
        <w:rPr>
          <w:rFonts w:hint="eastAsia" w:ascii="宋体" w:hAnsi="宋体" w:eastAsia="宋体"/>
          <w:b/>
          <w:sz w:val="24"/>
          <w:szCs w:val="24"/>
        </w:rPr>
        <w:t xml:space="preserve">4 </w:t>
      </w:r>
      <w:r>
        <w:rPr>
          <w:rFonts w:hint="eastAsia" w:ascii="宋体" w:hAnsi="宋体"/>
          <w:sz w:val="24"/>
          <w:szCs w:val="24"/>
        </w:rPr>
        <w:t>车站公共区域采用降噪措施，营造过渡性舒适的站内声环境，评价总分值为6分，并按下列规则评分：</w:t>
      </w:r>
    </w:p>
    <w:p>
      <w:pPr>
        <w:spacing w:line="360" w:lineRule="auto"/>
        <w:ind w:firstLine="48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低于表6.2.4规定最大容许限值 1</w:t>
      </w:r>
      <w:r>
        <w:rPr>
          <w:rFonts w:ascii="宋体" w:hAnsi="宋体"/>
          <w:sz w:val="24"/>
          <w:szCs w:val="24"/>
        </w:rPr>
        <w:t>dB(A)</w:t>
      </w:r>
      <w:r>
        <w:rPr>
          <w:rFonts w:hint="eastAsia" w:ascii="宋体" w:hAnsi="宋体"/>
          <w:sz w:val="24"/>
          <w:szCs w:val="24"/>
        </w:rPr>
        <w:t>，得2分；</w:t>
      </w:r>
    </w:p>
    <w:p>
      <w:pPr>
        <w:spacing w:line="360" w:lineRule="auto"/>
        <w:ind w:firstLine="480"/>
        <w:jc w:val="left"/>
        <w:rPr>
          <w:rFonts w:ascii="宋体" w:hAnsi="宋体"/>
          <w:sz w:val="24"/>
          <w:szCs w:val="24"/>
        </w:rPr>
      </w:pPr>
      <w:r>
        <w:rPr>
          <w:rFonts w:hint="eastAsia" w:ascii="宋体" w:hAnsi="宋体"/>
          <w:b/>
          <w:sz w:val="24"/>
          <w:szCs w:val="24"/>
        </w:rPr>
        <w:t>2</w:t>
      </w:r>
      <w:r>
        <w:rPr>
          <w:rFonts w:hint="eastAsia" w:ascii="宋体" w:hAnsi="宋体"/>
          <w:sz w:val="24"/>
          <w:szCs w:val="24"/>
        </w:rPr>
        <w:t xml:space="preserve">  低于表6.2.4规定最大容许限值 2</w:t>
      </w:r>
      <w:r>
        <w:rPr>
          <w:rFonts w:ascii="宋体" w:hAnsi="宋体"/>
          <w:sz w:val="24"/>
          <w:szCs w:val="24"/>
        </w:rPr>
        <w:t>dB(A)</w:t>
      </w:r>
      <w:r>
        <w:rPr>
          <w:rFonts w:hint="eastAsia" w:ascii="宋体" w:hAnsi="宋体"/>
          <w:sz w:val="24"/>
          <w:szCs w:val="24"/>
        </w:rPr>
        <w:t>，得4分；</w:t>
      </w:r>
    </w:p>
    <w:p>
      <w:pPr>
        <w:spacing w:line="360" w:lineRule="auto"/>
        <w:ind w:firstLine="480"/>
        <w:jc w:val="left"/>
        <w:rPr>
          <w:rFonts w:ascii="宋体" w:hAnsi="宋体"/>
          <w:sz w:val="24"/>
          <w:szCs w:val="24"/>
        </w:rPr>
      </w:pPr>
      <w:r>
        <w:rPr>
          <w:rFonts w:hint="eastAsia" w:ascii="宋体" w:hAnsi="宋体"/>
          <w:b/>
          <w:sz w:val="24"/>
          <w:szCs w:val="24"/>
        </w:rPr>
        <w:t>3</w:t>
      </w:r>
      <w:r>
        <w:rPr>
          <w:rFonts w:hint="eastAsia" w:ascii="宋体" w:hAnsi="宋体"/>
          <w:sz w:val="24"/>
          <w:szCs w:val="24"/>
        </w:rPr>
        <w:t xml:space="preserve">  低于表6.2.4规定最大容许限值 3</w:t>
      </w:r>
      <w:r>
        <w:rPr>
          <w:rFonts w:ascii="宋体" w:hAnsi="宋体"/>
          <w:sz w:val="24"/>
          <w:szCs w:val="24"/>
        </w:rPr>
        <w:t>dB(A)</w:t>
      </w:r>
      <w:r>
        <w:rPr>
          <w:rFonts w:hint="eastAsia" w:ascii="宋体" w:hAnsi="宋体"/>
          <w:sz w:val="24"/>
          <w:szCs w:val="24"/>
        </w:rPr>
        <w:t>及以上，得6分。</w:t>
      </w:r>
    </w:p>
    <w:p>
      <w:pPr>
        <w:spacing w:line="360" w:lineRule="auto"/>
        <w:ind w:firstLine="480"/>
        <w:jc w:val="center"/>
        <w:rPr>
          <w:rFonts w:ascii="宋体" w:hAnsi="宋体"/>
          <w:b/>
          <w:sz w:val="24"/>
          <w:szCs w:val="24"/>
        </w:rPr>
      </w:pPr>
      <w:r>
        <w:rPr>
          <w:rFonts w:hint="eastAsia" w:ascii="宋体" w:hAnsi="宋体"/>
          <w:b/>
          <w:sz w:val="21"/>
          <w:szCs w:val="21"/>
        </w:rPr>
        <w:t>表6.2.4 车站站台最大容许噪声限值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50" w:type="dxa"/>
            <w:shd w:val="clear" w:color="auto" w:fill="auto"/>
          </w:tcPr>
          <w:p>
            <w:pPr>
              <w:spacing w:line="360" w:lineRule="auto"/>
              <w:jc w:val="center"/>
              <w:rPr>
                <w:rFonts w:ascii="宋体" w:hAnsi="宋体"/>
                <w:sz w:val="21"/>
                <w:szCs w:val="21"/>
              </w:rPr>
            </w:pPr>
            <w:r>
              <w:rPr>
                <w:rFonts w:hint="eastAsia" w:ascii="宋体" w:hAnsi="宋体"/>
                <w:sz w:val="21"/>
                <w:szCs w:val="21"/>
              </w:rPr>
              <w:t>列车运行状态</w:t>
            </w:r>
          </w:p>
        </w:tc>
        <w:tc>
          <w:tcPr>
            <w:tcW w:w="3850" w:type="dxa"/>
            <w:shd w:val="clear" w:color="auto" w:fill="auto"/>
          </w:tcPr>
          <w:p>
            <w:pPr>
              <w:spacing w:line="360" w:lineRule="auto"/>
              <w:jc w:val="center"/>
              <w:rPr>
                <w:rFonts w:ascii="宋体" w:hAnsi="宋体"/>
                <w:sz w:val="21"/>
                <w:szCs w:val="21"/>
              </w:rPr>
            </w:pPr>
            <w:r>
              <w:rPr>
                <w:rFonts w:hint="eastAsia" w:ascii="宋体" w:hAnsi="宋体"/>
                <w:sz w:val="21"/>
                <w:szCs w:val="21"/>
              </w:rPr>
              <w:t>噪声限值（</w:t>
            </w:r>
            <w:r>
              <w:rPr>
                <w:rFonts w:ascii="宋体" w:hAnsi="宋体"/>
                <w:sz w:val="21"/>
                <w:szCs w:val="21"/>
              </w:rPr>
              <w:t>dB(A)</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50" w:type="dxa"/>
            <w:shd w:val="clear" w:color="auto" w:fill="auto"/>
          </w:tcPr>
          <w:p>
            <w:pPr>
              <w:spacing w:line="360" w:lineRule="auto"/>
              <w:jc w:val="center"/>
              <w:rPr>
                <w:rFonts w:ascii="宋体" w:hAnsi="宋体"/>
                <w:sz w:val="21"/>
                <w:szCs w:val="21"/>
              </w:rPr>
            </w:pPr>
            <w:r>
              <w:rPr>
                <w:rFonts w:hint="eastAsia" w:ascii="宋体" w:hAnsi="宋体"/>
                <w:sz w:val="21"/>
                <w:szCs w:val="21"/>
              </w:rPr>
              <w:t>列车进站</w:t>
            </w:r>
          </w:p>
        </w:tc>
        <w:tc>
          <w:tcPr>
            <w:tcW w:w="3850" w:type="dxa"/>
            <w:shd w:val="clear" w:color="auto" w:fill="auto"/>
          </w:tcPr>
          <w:p>
            <w:pPr>
              <w:spacing w:line="360" w:lineRule="auto"/>
              <w:jc w:val="center"/>
              <w:rPr>
                <w:rFonts w:ascii="宋体" w:hAnsi="宋体"/>
                <w:sz w:val="21"/>
                <w:szCs w:val="21"/>
              </w:rPr>
            </w:pPr>
            <w:r>
              <w:rPr>
                <w:rFonts w:hint="eastAsia" w:ascii="宋体" w:hAnsi="宋体"/>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50" w:type="dxa"/>
            <w:shd w:val="clear" w:color="auto" w:fill="auto"/>
          </w:tcPr>
          <w:p>
            <w:pPr>
              <w:spacing w:line="360" w:lineRule="auto"/>
              <w:jc w:val="center"/>
              <w:rPr>
                <w:rFonts w:ascii="宋体" w:hAnsi="宋体"/>
                <w:sz w:val="21"/>
                <w:szCs w:val="21"/>
              </w:rPr>
            </w:pPr>
            <w:r>
              <w:rPr>
                <w:rFonts w:hint="eastAsia" w:ascii="宋体" w:hAnsi="宋体"/>
                <w:sz w:val="21"/>
                <w:szCs w:val="21"/>
              </w:rPr>
              <w:t>列车出站</w:t>
            </w:r>
          </w:p>
        </w:tc>
        <w:tc>
          <w:tcPr>
            <w:tcW w:w="3850" w:type="dxa"/>
            <w:shd w:val="clear" w:color="auto" w:fill="auto"/>
          </w:tcPr>
          <w:p>
            <w:pPr>
              <w:spacing w:line="360" w:lineRule="auto"/>
              <w:jc w:val="center"/>
              <w:rPr>
                <w:rFonts w:ascii="宋体" w:hAnsi="宋体"/>
                <w:sz w:val="21"/>
                <w:szCs w:val="21"/>
              </w:rPr>
            </w:pPr>
            <w:r>
              <w:rPr>
                <w:rFonts w:hint="eastAsia" w:ascii="宋体" w:hAnsi="宋体"/>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50" w:type="dxa"/>
            <w:shd w:val="clear" w:color="auto" w:fill="auto"/>
          </w:tcPr>
          <w:p>
            <w:pPr>
              <w:spacing w:line="360" w:lineRule="auto"/>
              <w:jc w:val="center"/>
              <w:rPr>
                <w:rFonts w:ascii="宋体" w:hAnsi="宋体"/>
                <w:sz w:val="21"/>
                <w:szCs w:val="21"/>
              </w:rPr>
            </w:pPr>
            <w:r>
              <w:rPr>
                <w:rFonts w:hint="eastAsia" w:ascii="宋体" w:hAnsi="宋体"/>
                <w:sz w:val="21"/>
                <w:szCs w:val="21"/>
              </w:rPr>
              <w:t>无列车进出站</w:t>
            </w:r>
          </w:p>
        </w:tc>
        <w:tc>
          <w:tcPr>
            <w:tcW w:w="3850" w:type="dxa"/>
            <w:shd w:val="clear" w:color="auto" w:fill="auto"/>
          </w:tcPr>
          <w:p>
            <w:pPr>
              <w:spacing w:line="360" w:lineRule="auto"/>
              <w:jc w:val="center"/>
              <w:rPr>
                <w:rFonts w:ascii="宋体" w:hAnsi="宋体"/>
                <w:sz w:val="21"/>
                <w:szCs w:val="21"/>
              </w:rPr>
            </w:pPr>
            <w:r>
              <w:rPr>
                <w:rFonts w:hint="eastAsia" w:ascii="宋体" w:hAnsi="宋体"/>
                <w:sz w:val="21"/>
                <w:szCs w:val="21"/>
              </w:rPr>
              <w:t>70</w:t>
            </w:r>
          </w:p>
        </w:tc>
      </w:tr>
    </w:tbl>
    <w:p>
      <w:pPr>
        <w:spacing w:line="312" w:lineRule="auto"/>
        <w:jc w:val="left"/>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5  </w:t>
      </w:r>
      <w:r>
        <w:rPr>
          <w:rFonts w:hint="eastAsia" w:ascii="宋体" w:hAnsi="宋体" w:eastAsia="宋体"/>
          <w:sz w:val="24"/>
          <w:szCs w:val="24"/>
        </w:rPr>
        <w:t>车站配置医疗资源及药品，站务人员具备必要的使用技能，评价总分值为5分，并按下列规则评分累计：</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车站配置必要的医疗急救器械、设备及药品，得3分；</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车站配置AED，得2分。</w:t>
      </w:r>
    </w:p>
    <w:p>
      <w:pPr>
        <w:spacing w:line="360" w:lineRule="auto"/>
        <w:rPr>
          <w:rFonts w:ascii="宋体" w:hAnsi="宋体"/>
          <w:sz w:val="24"/>
          <w:szCs w:val="24"/>
        </w:rPr>
      </w:pPr>
      <w:r>
        <w:rPr>
          <w:rFonts w:ascii="宋体" w:hAnsi="宋体" w:eastAsia="宋体"/>
          <w:b/>
          <w:sz w:val="24"/>
          <w:szCs w:val="24"/>
        </w:rPr>
        <w:t>6.2.</w:t>
      </w:r>
      <w:r>
        <w:rPr>
          <w:rFonts w:hint="eastAsia" w:ascii="宋体" w:hAnsi="宋体" w:eastAsia="宋体"/>
          <w:b/>
          <w:sz w:val="24"/>
          <w:szCs w:val="24"/>
        </w:rPr>
        <w:t>6</w:t>
      </w:r>
      <w:r>
        <w:rPr>
          <w:rFonts w:ascii="宋体" w:hAnsi="宋体" w:eastAsia="宋体"/>
          <w:b/>
          <w:sz w:val="24"/>
          <w:szCs w:val="24"/>
        </w:rPr>
        <w:t xml:space="preserve"> </w:t>
      </w:r>
      <w:r>
        <w:rPr>
          <w:rFonts w:hint="eastAsia" w:ascii="宋体" w:hAnsi="宋体" w:eastAsia="宋体"/>
          <w:b/>
          <w:sz w:val="24"/>
          <w:szCs w:val="24"/>
        </w:rPr>
        <w:t xml:space="preserve"> </w:t>
      </w:r>
      <w:r>
        <w:rPr>
          <w:rFonts w:hint="eastAsia" w:ascii="宋体" w:hAnsi="宋体"/>
          <w:sz w:val="24"/>
          <w:szCs w:val="24"/>
        </w:rPr>
        <w:t>地上车站站台设置空调候车室，</w:t>
      </w:r>
      <w:r>
        <w:rPr>
          <w:rFonts w:hint="eastAsia" w:ascii="宋体" w:hAnsi="宋体" w:eastAsia="宋体"/>
          <w:sz w:val="24"/>
          <w:szCs w:val="24"/>
        </w:rPr>
        <w:t>评价分值为2分</w:t>
      </w:r>
      <w:r>
        <w:rPr>
          <w:rFonts w:hint="eastAsia" w:ascii="宋体" w:hAnsi="宋体"/>
          <w:sz w:val="24"/>
          <w:szCs w:val="24"/>
        </w:rPr>
        <w:t>，并按下列规则分别评分</w:t>
      </w:r>
      <w:r>
        <w:rPr>
          <w:rFonts w:hint="eastAsia" w:ascii="宋体" w:hAnsi="宋体" w:eastAsia="宋体"/>
          <w:sz w:val="24"/>
          <w:szCs w:val="24"/>
        </w:rPr>
        <w:t>：</w:t>
      </w:r>
    </w:p>
    <w:p>
      <w:pPr>
        <w:spacing w:line="360" w:lineRule="auto"/>
        <w:ind w:firstLine="482" w:firstLineChars="200"/>
        <w:rPr>
          <w:rFonts w:ascii="宋体" w:hAnsi="宋体"/>
          <w:sz w:val="24"/>
          <w:szCs w:val="24"/>
        </w:rPr>
      </w:pPr>
      <w:r>
        <w:rPr>
          <w:rFonts w:ascii="宋体" w:hAnsi="宋体"/>
          <w:b/>
          <w:sz w:val="24"/>
          <w:szCs w:val="24"/>
        </w:rPr>
        <w:t>1</w:t>
      </w:r>
      <w:r>
        <w:rPr>
          <w:rFonts w:hint="eastAsia" w:ascii="宋体" w:hAnsi="宋体"/>
          <w:sz w:val="24"/>
          <w:szCs w:val="24"/>
        </w:rPr>
        <w:t xml:space="preserve">  侧式车站有候车乘客的站台设一间，得2分；</w:t>
      </w:r>
    </w:p>
    <w:p>
      <w:pPr>
        <w:spacing w:line="360" w:lineRule="auto"/>
        <w:ind w:firstLine="482" w:firstLineChars="200"/>
      </w:pPr>
      <w:r>
        <w:rPr>
          <w:rFonts w:ascii="宋体" w:hAnsi="宋体"/>
          <w:b/>
          <w:sz w:val="24"/>
          <w:szCs w:val="24"/>
        </w:rPr>
        <w:t>2</w:t>
      </w:r>
      <w:r>
        <w:rPr>
          <w:rFonts w:hint="eastAsia" w:ascii="宋体" w:hAnsi="宋体"/>
          <w:sz w:val="24"/>
          <w:szCs w:val="24"/>
        </w:rPr>
        <w:t xml:space="preserve">  岛式车站在站台设置一间，得1分；设置2间，得2分。</w:t>
      </w:r>
    </w:p>
    <w:p>
      <w:pPr>
        <w:adjustRightInd w:val="0"/>
        <w:snapToGrid w:val="0"/>
        <w:spacing w:line="360" w:lineRule="auto"/>
        <w:jc w:val="left"/>
        <w:rPr>
          <w:rFonts w:ascii="宋体" w:hAnsi="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7 </w:t>
      </w:r>
      <w:r>
        <w:rPr>
          <w:rFonts w:hint="eastAsia" w:ascii="宋体" w:hAnsi="宋体"/>
          <w:sz w:val="24"/>
          <w:szCs w:val="24"/>
        </w:rPr>
        <w:t>空调系统设置净化消毒装置。评价总分值为5分，按以下规则分别评分并累计：</w:t>
      </w:r>
    </w:p>
    <w:p>
      <w:pPr>
        <w:adjustRightInd w:val="0"/>
        <w:snapToGrid w:val="0"/>
        <w:spacing w:line="360" w:lineRule="auto"/>
        <w:ind w:firstLine="482" w:firstLineChars="20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采用过滤级别不低于中效过滤的空气净化装置，得2分；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b/>
          <w:sz w:val="24"/>
          <w:szCs w:val="24"/>
        </w:rPr>
        <w:t>2</w:t>
      </w:r>
      <w:r>
        <w:rPr>
          <w:rFonts w:hint="eastAsia" w:ascii="宋体" w:hAnsi="宋体"/>
          <w:sz w:val="24"/>
          <w:szCs w:val="24"/>
        </w:rPr>
        <w:t xml:space="preserve">  采用紫外线杀菌、静电杀菌或纳米光子等消毒装置，得3分。</w:t>
      </w:r>
    </w:p>
    <w:p>
      <w:pPr>
        <w:spacing w:line="360" w:lineRule="auto"/>
        <w:jc w:val="left"/>
        <w:rPr>
          <w:rFonts w:ascii="宋体" w:hAnsi="宋体"/>
          <w:sz w:val="24"/>
          <w:szCs w:val="24"/>
        </w:rPr>
      </w:pPr>
      <w:r>
        <w:rPr>
          <w:rFonts w:ascii="宋体" w:hAnsi="宋体" w:eastAsia="宋体"/>
          <w:b/>
          <w:sz w:val="24"/>
          <w:szCs w:val="24"/>
        </w:rPr>
        <w:t>6.2.</w:t>
      </w:r>
      <w:r>
        <w:rPr>
          <w:rFonts w:hint="eastAsia" w:ascii="宋体" w:hAnsi="宋体" w:eastAsia="宋体"/>
          <w:b/>
          <w:sz w:val="24"/>
          <w:szCs w:val="24"/>
        </w:rPr>
        <w:t xml:space="preserve">8  </w:t>
      </w:r>
      <w:r>
        <w:rPr>
          <w:rFonts w:hint="eastAsia" w:ascii="宋体" w:hAnsi="宋体"/>
          <w:sz w:val="24"/>
          <w:szCs w:val="24"/>
        </w:rPr>
        <w:t>空调系统的新风井（道）的设置合理，评价总分值为</w:t>
      </w:r>
      <w:r>
        <w:rPr>
          <w:rFonts w:ascii="宋体" w:hAnsi="宋体"/>
          <w:sz w:val="24"/>
          <w:szCs w:val="24"/>
        </w:rPr>
        <w:t>6</w:t>
      </w:r>
      <w:r>
        <w:rPr>
          <w:rFonts w:hint="eastAsia" w:ascii="宋体" w:hAnsi="宋体"/>
          <w:sz w:val="24"/>
          <w:szCs w:val="24"/>
        </w:rPr>
        <w:t>分，并按下列规则分别评分并累计：</w:t>
      </w:r>
    </w:p>
    <w:p>
      <w:pPr>
        <w:spacing w:line="360" w:lineRule="auto"/>
        <w:ind w:firstLine="48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设置在室外空气清洁的地点，距离排风井、开放式冷却塔和其他污染源大于10m，且设置有防护网,得</w:t>
      </w:r>
      <w:r>
        <w:rPr>
          <w:rFonts w:ascii="宋体" w:hAnsi="宋体"/>
          <w:sz w:val="24"/>
          <w:szCs w:val="24"/>
        </w:rPr>
        <w:t>2</w:t>
      </w:r>
      <w:r>
        <w:rPr>
          <w:rFonts w:hint="eastAsia" w:ascii="宋体" w:hAnsi="宋体"/>
          <w:sz w:val="24"/>
          <w:szCs w:val="24"/>
        </w:rPr>
        <w:t>分；</w:t>
      </w:r>
    </w:p>
    <w:p>
      <w:pPr>
        <w:spacing w:line="360" w:lineRule="auto"/>
        <w:ind w:firstLine="480"/>
        <w:jc w:val="left"/>
        <w:rPr>
          <w:rFonts w:ascii="宋体" w:hAnsi="宋体"/>
          <w:sz w:val="24"/>
          <w:szCs w:val="24"/>
        </w:rPr>
      </w:pPr>
      <w:r>
        <w:rPr>
          <w:rFonts w:ascii="宋体" w:hAnsi="宋体"/>
          <w:b/>
          <w:sz w:val="24"/>
          <w:szCs w:val="24"/>
        </w:rPr>
        <w:t>2</w:t>
      </w:r>
      <w:r>
        <w:rPr>
          <w:rFonts w:hint="eastAsia" w:ascii="宋体" w:hAnsi="宋体"/>
          <w:sz w:val="24"/>
          <w:szCs w:val="24"/>
        </w:rPr>
        <w:t xml:space="preserve">  设置有初效过滤器，过滤效率达到5</w:t>
      </w:r>
      <w:r>
        <w:rPr>
          <w:rFonts w:ascii="宋体" w:hAnsi="宋体"/>
          <w:sz w:val="24"/>
          <w:szCs w:val="24"/>
        </w:rPr>
        <w:t>0</w:t>
      </w:r>
      <w:r>
        <w:rPr>
          <w:rFonts w:hint="eastAsia" w:ascii="宋体" w:hAnsi="宋体"/>
          <w:sz w:val="24"/>
          <w:szCs w:val="24"/>
        </w:rPr>
        <w:t>%以上得</w:t>
      </w:r>
      <w:r>
        <w:rPr>
          <w:rFonts w:ascii="宋体" w:hAnsi="宋体"/>
          <w:sz w:val="24"/>
          <w:szCs w:val="24"/>
        </w:rPr>
        <w:t>2</w:t>
      </w:r>
      <w:r>
        <w:rPr>
          <w:rFonts w:hint="eastAsia" w:ascii="宋体" w:hAnsi="宋体"/>
          <w:sz w:val="24"/>
          <w:szCs w:val="24"/>
        </w:rPr>
        <w:t>分；</w:t>
      </w:r>
    </w:p>
    <w:p>
      <w:pPr>
        <w:spacing w:line="360" w:lineRule="auto"/>
        <w:ind w:firstLine="480"/>
        <w:jc w:val="left"/>
        <w:rPr>
          <w:rFonts w:ascii="宋体" w:hAnsi="宋体"/>
          <w:sz w:val="24"/>
          <w:szCs w:val="24"/>
        </w:rPr>
      </w:pPr>
      <w:r>
        <w:rPr>
          <w:rFonts w:ascii="宋体" w:hAnsi="宋体"/>
          <w:b/>
          <w:sz w:val="24"/>
          <w:szCs w:val="24"/>
        </w:rPr>
        <w:t>3</w:t>
      </w:r>
      <w:r>
        <w:rPr>
          <w:rFonts w:hint="eastAsia" w:ascii="宋体" w:hAnsi="宋体"/>
          <w:sz w:val="24"/>
          <w:szCs w:val="24"/>
        </w:rPr>
        <w:t xml:space="preserve">  进风口的下缘距室外地坪大于2m,当设在绿化地带时,大于1m，得1分；</w:t>
      </w:r>
    </w:p>
    <w:p>
      <w:pPr>
        <w:adjustRightInd w:val="0"/>
        <w:snapToGrid w:val="0"/>
        <w:spacing w:line="360" w:lineRule="auto"/>
        <w:ind w:firstLine="482" w:firstLineChars="200"/>
        <w:jc w:val="left"/>
        <w:rPr>
          <w:rFonts w:ascii="宋体" w:hAnsi="宋体" w:eastAsia="宋体"/>
          <w:sz w:val="24"/>
          <w:szCs w:val="24"/>
        </w:rPr>
      </w:pPr>
      <w:r>
        <w:rPr>
          <w:rFonts w:ascii="宋体" w:hAnsi="宋体"/>
          <w:b/>
          <w:sz w:val="24"/>
          <w:szCs w:val="24"/>
        </w:rPr>
        <w:t>4</w:t>
      </w:r>
      <w:r>
        <w:rPr>
          <w:rFonts w:hint="eastAsia" w:ascii="宋体" w:hAnsi="宋体"/>
          <w:sz w:val="24"/>
          <w:szCs w:val="24"/>
        </w:rPr>
        <w:t xml:space="preserve">  新风口未设置在开放式冷却塔夏季最大频率风向的下风侧，得1分。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6.2.</w:t>
      </w:r>
      <w:r>
        <w:rPr>
          <w:rFonts w:hint="eastAsia" w:ascii="宋体" w:hAnsi="宋体" w:eastAsia="宋体"/>
          <w:b/>
          <w:sz w:val="24"/>
          <w:szCs w:val="24"/>
        </w:rPr>
        <w:t xml:space="preserve">9  </w:t>
      </w:r>
      <w:r>
        <w:rPr>
          <w:rFonts w:hint="eastAsia" w:ascii="宋体" w:hAnsi="宋体"/>
          <w:sz w:val="24"/>
          <w:szCs w:val="24"/>
        </w:rPr>
        <w:t>排放有毒有害物的排风系统不与集中空调通风系统相连通，</w:t>
      </w:r>
      <w:r>
        <w:rPr>
          <w:rFonts w:hint="eastAsia" w:ascii="宋体" w:hAnsi="宋体" w:eastAsia="宋体"/>
          <w:sz w:val="24"/>
          <w:szCs w:val="24"/>
        </w:rPr>
        <w:t>评价分值</w:t>
      </w:r>
      <w:r>
        <w:rPr>
          <w:rFonts w:ascii="宋体" w:hAnsi="宋体"/>
          <w:sz w:val="24"/>
          <w:szCs w:val="24"/>
        </w:rPr>
        <w:t>2</w:t>
      </w:r>
      <w:r>
        <w:rPr>
          <w:rFonts w:hint="eastAsia" w:ascii="宋体" w:hAnsi="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6.2.</w:t>
      </w:r>
      <w:r>
        <w:rPr>
          <w:rFonts w:hint="eastAsia" w:ascii="宋体" w:hAnsi="宋体" w:eastAsia="宋体"/>
          <w:b/>
          <w:sz w:val="24"/>
          <w:szCs w:val="24"/>
        </w:rPr>
        <w:t xml:space="preserve">10  </w:t>
      </w:r>
      <w:r>
        <w:rPr>
          <w:rFonts w:hint="eastAsia" w:ascii="宋体" w:hAnsi="宋体" w:eastAsia="宋体"/>
          <w:sz w:val="24"/>
          <w:szCs w:val="24"/>
        </w:rPr>
        <w:t>凝水管不与污水、废水系统直接连接，评价分值为2分。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11  </w:t>
      </w:r>
      <w:r>
        <w:rPr>
          <w:rFonts w:hint="eastAsia" w:ascii="宋体" w:hAnsi="宋体"/>
          <w:sz w:val="24"/>
          <w:szCs w:val="24"/>
        </w:rPr>
        <w:t>空调系统的送风质量、风管内表面卫生指标满足《公共场所集中空调通风系统卫生规范》WS</w:t>
      </w:r>
      <w:r>
        <w:rPr>
          <w:rFonts w:ascii="宋体" w:hAnsi="宋体"/>
          <w:sz w:val="24"/>
          <w:szCs w:val="24"/>
        </w:rPr>
        <w:t xml:space="preserve"> 394</w:t>
      </w:r>
      <w:r>
        <w:rPr>
          <w:rFonts w:hint="eastAsia" w:ascii="宋体" w:hAnsi="宋体"/>
          <w:sz w:val="24"/>
          <w:szCs w:val="24"/>
        </w:rPr>
        <w:t>的相关规定，</w:t>
      </w:r>
      <w:r>
        <w:rPr>
          <w:rFonts w:ascii="宋体" w:hAnsi="宋体" w:eastAsia="宋体"/>
          <w:sz w:val="24"/>
          <w:szCs w:val="24"/>
        </w:rPr>
        <w:t>空调通风系统的常规清洗消毒符合《公共场所集中空调通风系统清洗消毒规范》WS/T 396的</w:t>
      </w:r>
      <w:r>
        <w:rPr>
          <w:rFonts w:hint="eastAsia" w:ascii="宋体" w:hAnsi="宋体" w:eastAsia="宋体"/>
          <w:sz w:val="24"/>
          <w:szCs w:val="24"/>
        </w:rPr>
        <w:t>要求</w:t>
      </w:r>
      <w:r>
        <w:rPr>
          <w:rFonts w:ascii="宋体" w:hAnsi="宋体" w:eastAsia="宋体"/>
          <w:sz w:val="24"/>
          <w:szCs w:val="24"/>
        </w:rPr>
        <w:t>，</w:t>
      </w:r>
      <w:r>
        <w:rPr>
          <w:rFonts w:hint="eastAsia" w:ascii="宋体" w:hAnsi="宋体" w:eastAsia="宋体"/>
          <w:sz w:val="24"/>
          <w:szCs w:val="24"/>
        </w:rPr>
        <w:t>评价分值为</w:t>
      </w:r>
      <w:r>
        <w:rPr>
          <w:rFonts w:hint="eastAsia" w:ascii="宋体" w:hAnsi="宋体"/>
          <w:sz w:val="24"/>
          <w:szCs w:val="24"/>
        </w:rPr>
        <w:t>3分。</w:t>
      </w:r>
    </w:p>
    <w:p>
      <w:pPr>
        <w:adjustRightInd w:val="0"/>
        <w:snapToGrid w:val="0"/>
        <w:spacing w:line="360" w:lineRule="auto"/>
        <w:jc w:val="left"/>
        <w:rPr>
          <w:rFonts w:ascii="宋体" w:hAnsi="宋体" w:eastAsia="宋体"/>
          <w:bCs/>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12  </w:t>
      </w:r>
      <w:r>
        <w:rPr>
          <w:rFonts w:hint="eastAsia" w:ascii="宋体" w:hAnsi="宋体" w:eastAsia="宋体"/>
          <w:bCs/>
          <w:sz w:val="24"/>
          <w:szCs w:val="24"/>
        </w:rPr>
        <w:t>具有良好的室内热湿环境，评价总分值为</w:t>
      </w:r>
      <w:r>
        <w:rPr>
          <w:rFonts w:ascii="宋体" w:hAnsi="宋体" w:eastAsia="宋体"/>
          <w:bCs/>
          <w:sz w:val="24"/>
          <w:szCs w:val="24"/>
        </w:rPr>
        <w:t>3</w:t>
      </w:r>
      <w:r>
        <w:rPr>
          <w:rFonts w:hint="eastAsia" w:ascii="宋体" w:hAnsi="宋体" w:eastAsia="宋体"/>
          <w:bCs/>
          <w:sz w:val="24"/>
          <w:szCs w:val="24"/>
        </w:rPr>
        <w:t>分，按下列规则评分：</w:t>
      </w:r>
    </w:p>
    <w:p>
      <w:pPr>
        <w:adjustRightInd w:val="0"/>
        <w:snapToGrid w:val="0"/>
        <w:spacing w:line="360" w:lineRule="auto"/>
        <w:ind w:firstLine="482" w:firstLineChars="200"/>
        <w:jc w:val="left"/>
        <w:rPr>
          <w:rFonts w:ascii="宋体" w:hAnsi="宋体" w:eastAsia="宋体"/>
          <w:bCs/>
          <w:sz w:val="24"/>
          <w:szCs w:val="24"/>
        </w:rPr>
      </w:pPr>
      <w:r>
        <w:rPr>
          <w:rFonts w:hint="eastAsia" w:ascii="宋体" w:hAnsi="宋体" w:eastAsia="宋体"/>
          <w:b/>
          <w:bCs/>
          <w:sz w:val="24"/>
          <w:szCs w:val="24"/>
        </w:rPr>
        <w:t>1</w:t>
      </w:r>
      <w:r>
        <w:rPr>
          <w:rFonts w:hint="eastAsia" w:ascii="宋体" w:hAnsi="宋体" w:eastAsia="宋体"/>
          <w:bCs/>
          <w:sz w:val="24"/>
          <w:szCs w:val="24"/>
        </w:rPr>
        <w:t xml:space="preserve">  采用自然通风或复合通风，主要功能区室内热环境参数在适应性热舒适区域的时间比例，达到30%，得</w:t>
      </w:r>
      <w:r>
        <w:rPr>
          <w:rFonts w:ascii="宋体" w:hAnsi="宋体" w:eastAsia="宋体"/>
          <w:bCs/>
          <w:sz w:val="24"/>
          <w:szCs w:val="24"/>
        </w:rPr>
        <w:t>1</w:t>
      </w:r>
      <w:r>
        <w:rPr>
          <w:rFonts w:hint="eastAsia" w:ascii="宋体" w:hAnsi="宋体" w:eastAsia="宋体"/>
          <w:bCs/>
          <w:sz w:val="24"/>
          <w:szCs w:val="24"/>
        </w:rPr>
        <w:t>分；每再增加10%，再得1分，最高得</w:t>
      </w:r>
      <w:r>
        <w:rPr>
          <w:rFonts w:ascii="宋体" w:hAnsi="宋体" w:eastAsia="宋体"/>
          <w:bCs/>
          <w:sz w:val="24"/>
          <w:szCs w:val="24"/>
        </w:rPr>
        <w:t>3</w:t>
      </w:r>
      <w:r>
        <w:rPr>
          <w:rFonts w:hint="eastAsia" w:ascii="宋体" w:hAnsi="宋体" w:eastAsia="宋体"/>
          <w:bCs/>
          <w:sz w:val="24"/>
          <w:szCs w:val="24"/>
        </w:rPr>
        <w:t>分；</w:t>
      </w:r>
    </w:p>
    <w:p>
      <w:pPr>
        <w:adjustRightInd w:val="0"/>
        <w:snapToGrid w:val="0"/>
        <w:spacing w:line="360" w:lineRule="auto"/>
        <w:ind w:firstLine="482" w:firstLineChars="200"/>
        <w:jc w:val="left"/>
        <w:rPr>
          <w:rFonts w:ascii="宋体" w:hAnsi="宋体" w:eastAsia="宋体"/>
          <w:bCs/>
          <w:sz w:val="24"/>
          <w:szCs w:val="24"/>
        </w:rPr>
      </w:pPr>
      <w:r>
        <w:rPr>
          <w:rFonts w:hint="eastAsia" w:ascii="宋体" w:hAnsi="宋体" w:eastAsia="宋体"/>
          <w:b/>
          <w:bCs/>
          <w:sz w:val="24"/>
          <w:szCs w:val="24"/>
        </w:rPr>
        <w:t>2</w:t>
      </w:r>
      <w:r>
        <w:rPr>
          <w:rFonts w:hint="eastAsia" w:ascii="宋体" w:hAnsi="宋体" w:eastAsia="宋体"/>
          <w:bCs/>
          <w:sz w:val="24"/>
          <w:szCs w:val="24"/>
        </w:rPr>
        <w:t xml:space="preserve">  采用人工冷热源，主要功能区达到现行国家标准《民用建筑室内热湿环境评价标准》GB/T50785规定的室内人工冷热源热湿环境整体评价Ⅱ级的面积比例，达到60%，得</w:t>
      </w:r>
      <w:r>
        <w:rPr>
          <w:rFonts w:ascii="宋体" w:hAnsi="宋体" w:eastAsia="宋体"/>
          <w:bCs/>
          <w:sz w:val="24"/>
          <w:szCs w:val="24"/>
        </w:rPr>
        <w:t>1</w:t>
      </w:r>
      <w:r>
        <w:rPr>
          <w:rFonts w:hint="eastAsia" w:ascii="宋体" w:hAnsi="宋体" w:eastAsia="宋体"/>
          <w:bCs/>
          <w:sz w:val="24"/>
          <w:szCs w:val="24"/>
        </w:rPr>
        <w:t>分；每再增加10%，再得1分，最高得</w:t>
      </w:r>
      <w:r>
        <w:rPr>
          <w:rFonts w:ascii="宋体" w:hAnsi="宋体" w:eastAsia="宋体"/>
          <w:bCs/>
          <w:sz w:val="24"/>
          <w:szCs w:val="24"/>
        </w:rPr>
        <w:t>3</w:t>
      </w:r>
      <w:r>
        <w:rPr>
          <w:rFonts w:hint="eastAsia" w:ascii="宋体" w:hAnsi="宋体" w:eastAsia="宋体"/>
          <w:bCs/>
          <w:sz w:val="24"/>
          <w:szCs w:val="24"/>
        </w:rPr>
        <w:t>分。</w:t>
      </w:r>
    </w:p>
    <w:p>
      <w:pPr>
        <w:spacing w:line="360" w:lineRule="auto"/>
        <w:jc w:val="left"/>
        <w:rPr>
          <w:rFonts w:ascii="宋体" w:hAnsi="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13  </w:t>
      </w:r>
      <w:r>
        <w:rPr>
          <w:rFonts w:hint="eastAsia" w:ascii="宋体" w:hAnsi="宋体"/>
          <w:sz w:val="24"/>
          <w:szCs w:val="24"/>
        </w:rPr>
        <w:t>当空气传播性疾病暴发流行时，对通风空调系统采取有效措施保证的地铁乘客和运营人员的安全，评价总分值为6分，并按下列规则分别评分并累计：</w:t>
      </w:r>
    </w:p>
    <w:p>
      <w:pPr>
        <w:spacing w:line="360" w:lineRule="auto"/>
        <w:ind w:firstLine="48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集中空调系统设置有疫情期运行模式，可采用全新风模式，保证空气净化消毒装置有效运行，最大速度降低室内感染剂量浓度的，得</w:t>
      </w:r>
      <w:r>
        <w:rPr>
          <w:rFonts w:ascii="宋体" w:hAnsi="宋体"/>
          <w:sz w:val="24"/>
          <w:szCs w:val="24"/>
        </w:rPr>
        <w:t>2</w:t>
      </w:r>
      <w:r>
        <w:rPr>
          <w:rFonts w:hint="eastAsia" w:ascii="宋体" w:hAnsi="宋体"/>
          <w:sz w:val="24"/>
          <w:szCs w:val="24"/>
        </w:rPr>
        <w:t>分；</w:t>
      </w:r>
    </w:p>
    <w:p>
      <w:pPr>
        <w:spacing w:line="360" w:lineRule="auto"/>
        <w:ind w:firstLine="482" w:firstLineChars="200"/>
        <w:jc w:val="left"/>
        <w:rPr>
          <w:rFonts w:ascii="宋体" w:hAnsi="宋体"/>
          <w:sz w:val="24"/>
          <w:szCs w:val="24"/>
        </w:rPr>
      </w:pPr>
      <w:r>
        <w:rPr>
          <w:rFonts w:hint="eastAsia" w:ascii="宋体" w:hAnsi="宋体"/>
          <w:b/>
          <w:sz w:val="24"/>
          <w:szCs w:val="24"/>
        </w:rPr>
        <w:t>2</w:t>
      </w:r>
      <w:r>
        <w:rPr>
          <w:rFonts w:hint="eastAsia" w:ascii="宋体" w:hAnsi="宋体"/>
          <w:sz w:val="24"/>
          <w:szCs w:val="24"/>
        </w:rPr>
        <w:t xml:space="preserve">  集中空调系统设置有过滤、消毒、净化装置，可以有效去除或灭活空调通风系统空气中的病菌，得2分；</w:t>
      </w:r>
    </w:p>
    <w:p>
      <w:pPr>
        <w:adjustRightInd w:val="0"/>
        <w:snapToGrid w:val="0"/>
        <w:spacing w:line="360" w:lineRule="auto"/>
        <w:ind w:firstLine="482" w:firstLineChars="200"/>
        <w:jc w:val="left"/>
        <w:rPr>
          <w:rFonts w:ascii="宋体" w:hAnsi="宋体" w:eastAsia="宋体"/>
          <w:sz w:val="24"/>
          <w:szCs w:val="24"/>
        </w:rPr>
      </w:pPr>
      <w:r>
        <w:rPr>
          <w:rFonts w:ascii="宋体" w:hAnsi="宋体"/>
          <w:b/>
          <w:sz w:val="24"/>
          <w:szCs w:val="24"/>
        </w:rPr>
        <w:t>3</w:t>
      </w:r>
      <w:r>
        <w:rPr>
          <w:rFonts w:hint="eastAsia" w:ascii="宋体" w:hAnsi="宋体"/>
          <w:sz w:val="24"/>
          <w:szCs w:val="24"/>
        </w:rPr>
        <w:t xml:space="preserve">  定期对运行的集中空调系统的开放式冷却塔、过滤网、过滤器净化器、风口、空气处理机组、表冷器、加热(湿)器、冷凝水盘等设备或部件进行清洗、消毒或者更换的，得</w:t>
      </w:r>
      <w:r>
        <w:rPr>
          <w:rFonts w:ascii="宋体" w:hAnsi="宋体"/>
          <w:sz w:val="24"/>
          <w:szCs w:val="24"/>
        </w:rPr>
        <w:t>2</w:t>
      </w:r>
      <w:r>
        <w:rPr>
          <w:rFonts w:hint="eastAsia" w:ascii="宋体" w:hAnsi="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6.2.</w:t>
      </w:r>
      <w:r>
        <w:rPr>
          <w:rFonts w:hint="eastAsia" w:ascii="宋体" w:hAnsi="宋体" w:eastAsia="宋体"/>
          <w:b/>
          <w:sz w:val="24"/>
          <w:szCs w:val="24"/>
        </w:rPr>
        <w:t xml:space="preserve">14  </w:t>
      </w:r>
      <w:r>
        <w:rPr>
          <w:rFonts w:ascii="宋体" w:hAnsi="宋体"/>
          <w:sz w:val="24"/>
          <w:szCs w:val="24"/>
        </w:rPr>
        <w:t>车站设置环境温湿度自动监测与控制系统，不同功能区域的通风空调系统可独立调节，并根据区域使用功能特点设计有分时、分区独立控制的运行策略，评价分值为</w:t>
      </w:r>
      <w:r>
        <w:rPr>
          <w:rFonts w:hint="eastAsia" w:ascii="宋体" w:hAnsi="宋体"/>
          <w:sz w:val="24"/>
          <w:szCs w:val="24"/>
        </w:rPr>
        <w:t>3</w:t>
      </w:r>
      <w:r>
        <w:rPr>
          <w:rFonts w:ascii="宋体" w:hAnsi="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6.2.</w:t>
      </w:r>
      <w:r>
        <w:rPr>
          <w:rFonts w:hint="eastAsia" w:ascii="宋体" w:hAnsi="宋体" w:eastAsia="宋体"/>
          <w:b/>
          <w:sz w:val="24"/>
          <w:szCs w:val="24"/>
        </w:rPr>
        <w:t xml:space="preserve">15  </w:t>
      </w:r>
      <w:r>
        <w:rPr>
          <w:rFonts w:ascii="宋体" w:hAnsi="宋体"/>
          <w:sz w:val="24"/>
          <w:szCs w:val="24"/>
        </w:rPr>
        <w:t>车站空间平面布局</w:t>
      </w:r>
      <w:r>
        <w:rPr>
          <w:rFonts w:hint="eastAsia" w:ascii="宋体" w:hAnsi="宋体"/>
          <w:sz w:val="24"/>
          <w:szCs w:val="24"/>
        </w:rPr>
        <w:t>、</w:t>
      </w:r>
      <w:r>
        <w:rPr>
          <w:rFonts w:ascii="宋体" w:hAnsi="宋体"/>
          <w:sz w:val="24"/>
          <w:szCs w:val="24"/>
        </w:rPr>
        <w:t>构造设计</w:t>
      </w:r>
      <w:r>
        <w:rPr>
          <w:rFonts w:hint="eastAsia" w:ascii="宋体" w:hAnsi="宋体"/>
          <w:sz w:val="24"/>
          <w:szCs w:val="24"/>
        </w:rPr>
        <w:t>、风口的选型与布置有效</w:t>
      </w:r>
      <w:r>
        <w:rPr>
          <w:rFonts w:ascii="宋体" w:hAnsi="宋体"/>
          <w:sz w:val="24"/>
          <w:szCs w:val="24"/>
        </w:rPr>
        <w:t>改善室内风环境，气流组织合理，评价总分值为2分。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.2.1</w:t>
      </w:r>
      <w:r>
        <w:rPr>
          <w:rFonts w:hint="eastAsia" w:ascii="宋体" w:hAnsi="宋体" w:eastAsia="宋体"/>
          <w:b/>
          <w:sz w:val="24"/>
          <w:szCs w:val="24"/>
        </w:rPr>
        <w:t xml:space="preserve">6  </w:t>
      </w:r>
      <w:r>
        <w:rPr>
          <w:rFonts w:ascii="宋体" w:hAnsi="宋体"/>
          <w:sz w:val="24"/>
          <w:szCs w:val="24"/>
        </w:rPr>
        <w:t>卫生间</w:t>
      </w:r>
      <w:r>
        <w:rPr>
          <w:rFonts w:hint="eastAsia" w:ascii="宋体" w:hAnsi="宋体"/>
          <w:sz w:val="24"/>
          <w:szCs w:val="24"/>
        </w:rPr>
        <w:t>设置空调和除臭措施，</w:t>
      </w:r>
      <w:r>
        <w:rPr>
          <w:rFonts w:ascii="宋体" w:hAnsi="宋体"/>
          <w:sz w:val="24"/>
          <w:szCs w:val="24"/>
        </w:rPr>
        <w:t>评价分值为</w:t>
      </w:r>
      <w:r>
        <w:rPr>
          <w:rFonts w:hint="eastAsia" w:ascii="宋体" w:hAnsi="宋体"/>
          <w:sz w:val="24"/>
          <w:szCs w:val="24"/>
        </w:rPr>
        <w:t>2分。</w:t>
      </w:r>
    </w:p>
    <w:p>
      <w:pPr>
        <w:spacing w:line="360" w:lineRule="auto"/>
        <w:jc w:val="left"/>
        <w:rPr>
          <w:rFonts w:ascii="微软雅黑" w:hAnsi="微软雅黑" w:eastAsia="微软雅黑"/>
          <w:sz w:val="24"/>
          <w:szCs w:val="24"/>
        </w:rPr>
      </w:pPr>
      <w:r>
        <w:rPr>
          <w:rFonts w:ascii="宋体" w:hAnsi="宋体" w:eastAsia="宋体"/>
          <w:b/>
          <w:sz w:val="24"/>
          <w:szCs w:val="24"/>
        </w:rPr>
        <w:t>6.2.</w:t>
      </w:r>
      <w:r>
        <w:rPr>
          <w:rFonts w:hint="eastAsia" w:ascii="宋体" w:hAnsi="宋体" w:eastAsia="宋体"/>
          <w:b/>
          <w:sz w:val="24"/>
          <w:szCs w:val="24"/>
        </w:rPr>
        <w:t xml:space="preserve">17  </w:t>
      </w:r>
      <w:r>
        <w:rPr>
          <w:rFonts w:ascii="宋体" w:hAnsi="宋体"/>
          <w:sz w:val="24"/>
          <w:szCs w:val="24"/>
        </w:rPr>
        <w:t>车站内公共空间及主要管理用房设置空气质量监控系统，实现对空气质量自动监测和记录，根据需要对环境进行实时调节，评价总分值为5分，并按下列规则分别评分并累计：</w:t>
      </w:r>
    </w:p>
    <w:p>
      <w:pPr>
        <w:spacing w:line="360" w:lineRule="auto"/>
        <w:ind w:firstLine="482" w:firstLineChars="200"/>
        <w:jc w:val="left"/>
        <w:rPr>
          <w:rFonts w:ascii="微软雅黑" w:hAnsi="微软雅黑" w:eastAsia="微软雅黑"/>
          <w:sz w:val="24"/>
          <w:szCs w:val="24"/>
        </w:rPr>
      </w:pPr>
      <w:r>
        <w:rPr>
          <w:rFonts w:ascii="宋体" w:hAnsi="宋体"/>
          <w:b/>
          <w:sz w:val="24"/>
          <w:szCs w:val="24"/>
        </w:rPr>
        <w:t>1</w:t>
      </w:r>
      <w:r>
        <w:rPr>
          <w:rFonts w:ascii="宋体" w:hAnsi="宋体"/>
          <w:sz w:val="24"/>
          <w:szCs w:val="24"/>
        </w:rPr>
        <w:t>　对室内二氧化碳、可吸入颗粒物进行采集、分析及超标实时报警，得3分；</w:t>
      </w:r>
    </w:p>
    <w:p>
      <w:pPr>
        <w:adjustRightInd w:val="0"/>
        <w:snapToGrid w:val="0"/>
        <w:spacing w:line="360" w:lineRule="auto"/>
        <w:ind w:firstLine="482" w:firstLineChars="200"/>
        <w:jc w:val="left"/>
        <w:rPr>
          <w:rFonts w:ascii="宋体" w:hAnsi="宋体" w:eastAsia="宋体"/>
          <w:sz w:val="24"/>
          <w:szCs w:val="24"/>
        </w:rPr>
      </w:pPr>
      <w:r>
        <w:rPr>
          <w:rFonts w:ascii="宋体" w:hAnsi="宋体"/>
          <w:b/>
          <w:sz w:val="24"/>
          <w:szCs w:val="24"/>
        </w:rPr>
        <w:t>2</w:t>
      </w:r>
      <w:r>
        <w:rPr>
          <w:rFonts w:ascii="宋体" w:hAnsi="宋体"/>
          <w:sz w:val="24"/>
          <w:szCs w:val="24"/>
        </w:rPr>
        <w:t>　与通风系统联动，得2分。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6.2.</w:t>
      </w:r>
      <w:r>
        <w:rPr>
          <w:rFonts w:hint="eastAsia" w:ascii="宋体" w:hAnsi="宋体" w:eastAsia="宋体"/>
          <w:b/>
          <w:sz w:val="24"/>
          <w:szCs w:val="24"/>
        </w:rPr>
        <w:t xml:space="preserve">18  </w:t>
      </w:r>
      <w:r>
        <w:rPr>
          <w:rFonts w:ascii="宋体" w:hAnsi="宋体" w:eastAsia="宋体"/>
          <w:sz w:val="24"/>
          <w:szCs w:val="24"/>
        </w:rPr>
        <w:t>列车客室内设置二氧化碳浓度传感器，并将检测数据实时上传到线路控制中心，评价分值为</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6.2.19  </w:t>
      </w:r>
      <w:r>
        <w:rPr>
          <w:rFonts w:hint="eastAsia" w:ascii="宋体" w:hAnsi="宋体" w:eastAsia="宋体"/>
          <w:sz w:val="24"/>
          <w:szCs w:val="24"/>
        </w:rPr>
        <w:t>空气质量评价总分值为9</w:t>
      </w:r>
      <w:r>
        <w:rPr>
          <w:rFonts w:ascii="宋体" w:hAnsi="宋体" w:eastAsia="宋体"/>
          <w:sz w:val="24"/>
          <w:szCs w:val="24"/>
        </w:rPr>
        <w:t>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列车客室内温度、湿度满足</w:t>
      </w:r>
      <w:r>
        <w:rPr>
          <w:rFonts w:ascii="宋体" w:hAnsi="宋体" w:eastAsia="宋体"/>
          <w:sz w:val="24"/>
          <w:szCs w:val="24"/>
        </w:rPr>
        <w:t>40</w:t>
      </w:r>
      <w:r>
        <w:rPr>
          <w:rFonts w:hint="eastAsia" w:ascii="宋体" w:hAnsi="宋体" w:eastAsia="宋体"/>
          <w:sz w:val="24"/>
          <w:szCs w:val="24"/>
          <w:lang w:val="en-US" w:eastAsia="zh-CN"/>
        </w:rPr>
        <w:t>%</w:t>
      </w:r>
      <w:r>
        <w:rPr>
          <w:rFonts w:hint="eastAsia" w:ascii="仿宋_GB2312" w:hAnsi="Verdana,ˎ̥" w:eastAsia="仿宋_GB2312" w:cs="宋体"/>
          <w:b w:val="0"/>
          <w:bCs w:val="0"/>
          <w:color w:val="000000"/>
          <w:kern w:val="0"/>
          <w:sz w:val="30"/>
          <w:szCs w:val="30"/>
          <w:lang w:val="en-US" w:eastAsia="zh-CN" w:bidi="ar-SA"/>
        </w:rPr>
        <w:t>～</w:t>
      </w:r>
      <w:r>
        <w:rPr>
          <w:rFonts w:ascii="宋体" w:hAnsi="宋体" w:eastAsia="宋体"/>
          <w:sz w:val="24"/>
          <w:szCs w:val="24"/>
        </w:rPr>
        <w:t>70%范围，得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w:t>
      </w:r>
      <w:r>
        <w:rPr>
          <w:rFonts w:hint="eastAsia" w:ascii="宋体" w:hAnsi="宋体" w:eastAsia="宋体"/>
          <w:sz w:val="24"/>
          <w:szCs w:val="24"/>
        </w:rPr>
        <w:t>列车客室内二氧化碳浓度小于</w:t>
      </w:r>
      <w:r>
        <w:rPr>
          <w:rFonts w:ascii="宋体" w:hAnsi="宋体" w:eastAsia="宋体"/>
          <w:sz w:val="24"/>
          <w:szCs w:val="24"/>
        </w:rPr>
        <w:t>0.25%，可吸入颗粒物(PM10)小于0.15mg/</w:t>
      </w:r>
      <w:r>
        <w:rPr>
          <w:rFonts w:hint="eastAsia" w:ascii="宋体" w:hAnsi="宋体" w:eastAsia="宋体"/>
          <w:sz w:val="24"/>
          <w:szCs w:val="24"/>
        </w:rPr>
        <w:t>m³</w:t>
      </w:r>
      <w:r>
        <w:rPr>
          <w:rFonts w:ascii="宋体" w:hAnsi="宋体" w:eastAsia="宋体"/>
          <w:sz w:val="24"/>
          <w:szCs w:val="24"/>
        </w:rPr>
        <w:t>,空气细菌总数满足小于2500CFU/</w:t>
      </w:r>
      <w:r>
        <w:rPr>
          <w:rFonts w:hint="eastAsia" w:ascii="宋体" w:hAnsi="宋体" w:eastAsia="宋体"/>
          <w:sz w:val="24"/>
          <w:szCs w:val="24"/>
        </w:rPr>
        <w:t>m³</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地下车站公共区内二氧化碳浓度小于</w:t>
      </w:r>
      <w:r>
        <w:rPr>
          <w:rFonts w:ascii="宋体" w:hAnsi="宋体" w:eastAsia="宋体"/>
          <w:sz w:val="24"/>
          <w:szCs w:val="24"/>
        </w:rPr>
        <w:t>0.15%，可吸入颗粒物(PM10)小于0.25mg/</w:t>
      </w:r>
      <w:r>
        <w:rPr>
          <w:rFonts w:hint="eastAsia" w:ascii="宋体" w:hAnsi="宋体" w:eastAsia="宋体"/>
          <w:sz w:val="24"/>
          <w:szCs w:val="24"/>
        </w:rPr>
        <w:t>m³</w:t>
      </w:r>
      <w:r>
        <w:rPr>
          <w:rFonts w:ascii="宋体" w:hAnsi="宋体" w:eastAsia="宋体"/>
          <w:sz w:val="24"/>
          <w:szCs w:val="24"/>
        </w:rPr>
        <w:t>,空气细菌总数满足小于4000CFU/</w:t>
      </w:r>
      <w:r>
        <w:rPr>
          <w:rFonts w:hint="eastAsia" w:ascii="宋体" w:hAnsi="宋体" w:eastAsia="宋体"/>
          <w:sz w:val="24"/>
          <w:szCs w:val="24"/>
        </w:rPr>
        <w:t>m³</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6.2.</w:t>
      </w:r>
      <w:r>
        <w:rPr>
          <w:rFonts w:hint="eastAsia" w:ascii="宋体" w:hAnsi="宋体" w:eastAsia="宋体"/>
          <w:b/>
          <w:sz w:val="24"/>
          <w:szCs w:val="24"/>
        </w:rPr>
        <w:t xml:space="preserve">20  </w:t>
      </w:r>
      <w:r>
        <w:rPr>
          <w:rFonts w:hint="eastAsia" w:ascii="宋体" w:hAnsi="宋体" w:eastAsia="宋体" w:cs="宋体"/>
          <w:sz w:val="24"/>
          <w:szCs w:val="24"/>
        </w:rPr>
        <w:t>卫生间卫生器具采用非接触式给水器具，评价总分值为5分，并按下列规则评分：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公共卫生间卫生器具采用非接触式给水器具数量不低于</w:t>
      </w:r>
      <w:r>
        <w:rPr>
          <w:rFonts w:ascii="宋体" w:hAnsi="宋体" w:eastAsia="宋体"/>
          <w:sz w:val="24"/>
          <w:szCs w:val="24"/>
        </w:rPr>
        <w:t>60%</w:t>
      </w:r>
      <w:r>
        <w:rPr>
          <w:rFonts w:hint="eastAsia" w:ascii="宋体" w:hAnsi="宋体" w:eastAsia="宋体"/>
          <w:sz w:val="24"/>
          <w:szCs w:val="24"/>
        </w:rPr>
        <w:t>，得3分；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公共卫生间卫生器具采用非接触式给水器具数量不低于</w:t>
      </w:r>
      <w:r>
        <w:rPr>
          <w:rFonts w:ascii="宋体" w:hAnsi="宋体" w:eastAsia="宋体"/>
          <w:sz w:val="24"/>
          <w:szCs w:val="24"/>
        </w:rPr>
        <w:t>80%</w:t>
      </w:r>
      <w:r>
        <w:rPr>
          <w:rFonts w:hint="eastAsia" w:ascii="宋体" w:hAnsi="宋体" w:eastAsia="宋体"/>
          <w:sz w:val="24"/>
          <w:szCs w:val="24"/>
        </w:rPr>
        <w:t>，得5分。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6.2.21  </w:t>
      </w:r>
      <w:r>
        <w:rPr>
          <w:rFonts w:hint="eastAsia" w:ascii="宋体" w:hAnsi="宋体" w:eastAsia="宋体"/>
          <w:sz w:val="24"/>
          <w:szCs w:val="24"/>
        </w:rPr>
        <w:t>根据车站运营不同模式的需要，可对公共区灯具光源明暗、色温、颜色进行调节，</w:t>
      </w:r>
      <w:r>
        <w:rPr>
          <w:rFonts w:ascii="宋体" w:hAnsi="宋体" w:eastAsia="宋体"/>
          <w:sz w:val="24"/>
          <w:szCs w:val="24"/>
        </w:rPr>
        <w:t>提供可变氛围，结合装修风格</w:t>
      </w:r>
      <w:r>
        <w:rPr>
          <w:rFonts w:hint="eastAsia" w:ascii="宋体" w:hAnsi="宋体" w:eastAsia="宋体"/>
          <w:sz w:val="24"/>
          <w:szCs w:val="24"/>
        </w:rPr>
        <w:t>，</w:t>
      </w:r>
      <w:r>
        <w:rPr>
          <w:rFonts w:ascii="宋体" w:hAnsi="宋体" w:eastAsia="宋体"/>
          <w:sz w:val="24"/>
          <w:szCs w:val="24"/>
        </w:rPr>
        <w:t>适应多种氛围需求</w:t>
      </w:r>
      <w:r>
        <w:rPr>
          <w:rFonts w:hint="eastAsia" w:ascii="宋体" w:hAnsi="宋体" w:eastAsia="宋体"/>
          <w:sz w:val="24"/>
          <w:szCs w:val="24"/>
        </w:rPr>
        <w:t>，评价</w:t>
      </w:r>
      <w:r>
        <w:rPr>
          <w:rFonts w:ascii="宋体" w:hAnsi="宋体" w:eastAsia="宋体"/>
          <w:sz w:val="24"/>
          <w:szCs w:val="24"/>
        </w:rPr>
        <w:t>分值</w:t>
      </w:r>
      <w:r>
        <w:rPr>
          <w:rFonts w:hint="eastAsia" w:ascii="宋体" w:hAnsi="宋体" w:eastAsia="宋体"/>
          <w:sz w:val="24"/>
          <w:szCs w:val="24"/>
        </w:rPr>
        <w:t>为5</w:t>
      </w:r>
      <w:r>
        <w:rPr>
          <w:rFonts w:ascii="宋体" w:hAnsi="宋体" w:eastAsia="宋体"/>
          <w:sz w:val="24"/>
          <w:szCs w:val="24"/>
        </w:rPr>
        <w:t>分</w:t>
      </w:r>
      <w:r>
        <w:rPr>
          <w:rFonts w:hint="eastAsia" w:ascii="宋体" w:hAnsi="宋体" w:eastAsia="宋体"/>
          <w:sz w:val="24"/>
          <w:szCs w:val="24"/>
        </w:rPr>
        <w:t>。</w:t>
      </w:r>
    </w:p>
    <w:p>
      <w:pPr>
        <w:spacing w:line="360" w:lineRule="auto"/>
        <w:jc w:val="left"/>
        <w:rPr>
          <w:rFonts w:ascii="宋体" w:hAnsi="宋体" w:eastAsia="宋体"/>
          <w:b/>
          <w:sz w:val="24"/>
          <w:szCs w:val="24"/>
        </w:rPr>
      </w:pPr>
      <w:r>
        <w:rPr>
          <w:rFonts w:hint="eastAsia" w:ascii="宋体" w:hAnsi="宋体" w:eastAsia="宋体"/>
          <w:b/>
          <w:sz w:val="24"/>
          <w:szCs w:val="24"/>
        </w:rPr>
        <w:t xml:space="preserve">6.2.22  </w:t>
      </w:r>
      <w:r>
        <w:rPr>
          <w:rFonts w:hint="eastAsia" w:ascii="宋体" w:hAnsi="宋体" w:eastAsia="宋体"/>
          <w:sz w:val="24"/>
          <w:szCs w:val="24"/>
        </w:rPr>
        <w:t>根据车辆基地运营不同模式的需要，可对单体内、室外照明光源明暗、色温、颜色进行调节，</w:t>
      </w:r>
      <w:r>
        <w:rPr>
          <w:rFonts w:ascii="宋体" w:hAnsi="宋体" w:eastAsia="宋体"/>
          <w:sz w:val="24"/>
          <w:szCs w:val="24"/>
        </w:rPr>
        <w:t>提供可变氛围，结合</w:t>
      </w:r>
      <w:r>
        <w:rPr>
          <w:rFonts w:hint="eastAsia" w:ascii="宋体" w:hAnsi="宋体" w:eastAsia="宋体"/>
          <w:sz w:val="24"/>
          <w:szCs w:val="24"/>
        </w:rPr>
        <w:t>运营时段人员数量，</w:t>
      </w:r>
      <w:r>
        <w:rPr>
          <w:rFonts w:ascii="宋体" w:hAnsi="宋体" w:eastAsia="宋体"/>
          <w:sz w:val="24"/>
          <w:szCs w:val="24"/>
        </w:rPr>
        <w:t>适应多种</w:t>
      </w:r>
      <w:r>
        <w:rPr>
          <w:rFonts w:hint="eastAsia" w:ascii="宋体" w:hAnsi="宋体" w:eastAsia="宋体"/>
          <w:sz w:val="24"/>
          <w:szCs w:val="24"/>
        </w:rPr>
        <w:t>工作模式</w:t>
      </w:r>
      <w:r>
        <w:rPr>
          <w:rFonts w:ascii="宋体" w:hAnsi="宋体" w:eastAsia="宋体"/>
          <w:sz w:val="24"/>
          <w:szCs w:val="24"/>
        </w:rPr>
        <w:t>需求</w:t>
      </w:r>
      <w:r>
        <w:rPr>
          <w:rFonts w:hint="eastAsia" w:ascii="宋体" w:hAnsi="宋体" w:eastAsia="宋体"/>
          <w:sz w:val="24"/>
          <w:szCs w:val="24"/>
        </w:rPr>
        <w:t>，评价</w:t>
      </w:r>
      <w:r>
        <w:rPr>
          <w:rFonts w:ascii="宋体" w:hAnsi="宋体" w:eastAsia="宋体"/>
          <w:sz w:val="24"/>
          <w:szCs w:val="24"/>
        </w:rPr>
        <w:t>分值</w:t>
      </w:r>
      <w:r>
        <w:rPr>
          <w:rFonts w:hint="eastAsia" w:ascii="宋体" w:hAnsi="宋体" w:eastAsia="宋体"/>
          <w:sz w:val="24"/>
          <w:szCs w:val="24"/>
        </w:rPr>
        <w:t>为1</w:t>
      </w:r>
      <w:r>
        <w:rPr>
          <w:rFonts w:ascii="宋体" w:hAnsi="宋体" w:eastAsia="宋体"/>
          <w:sz w:val="24"/>
          <w:szCs w:val="24"/>
        </w:rPr>
        <w:t>分。</w:t>
      </w:r>
    </w:p>
    <w:p>
      <w:pPr>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23  </w:t>
      </w:r>
      <w:r>
        <w:rPr>
          <w:rFonts w:hint="eastAsia" w:ascii="宋体" w:hAnsi="宋体" w:eastAsia="宋体"/>
          <w:sz w:val="24"/>
          <w:szCs w:val="24"/>
          <w:shd w:val="clear" w:color="auto" w:fill="FFFFFF"/>
        </w:rPr>
        <w:t>正常</w:t>
      </w:r>
      <w:r>
        <w:rPr>
          <w:rFonts w:ascii="宋体" w:hAnsi="宋体" w:eastAsia="宋体"/>
          <w:sz w:val="24"/>
          <w:szCs w:val="24"/>
          <w:shd w:val="clear" w:color="auto" w:fill="FFFFFF"/>
        </w:rPr>
        <w:t>照明的显色指数符合或高于国家标准《城市轨道交通照明》GB/T 16275的要求，</w:t>
      </w:r>
      <w:r>
        <w:rPr>
          <w:rFonts w:hint="eastAsia" w:ascii="宋体" w:hAnsi="宋体" w:eastAsia="宋体"/>
          <w:sz w:val="24"/>
          <w:szCs w:val="24"/>
        </w:rPr>
        <w:t>评价总分值为4分，并按下列规则分别评分：</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1</w:t>
      </w:r>
      <w:r>
        <w:rPr>
          <w:rFonts w:hint="eastAsia" w:ascii="宋体" w:hAnsi="宋体" w:eastAsia="宋体"/>
          <w:sz w:val="24"/>
          <w:szCs w:val="24"/>
          <w:shd w:val="clear" w:color="auto" w:fill="FFFFFF"/>
        </w:rPr>
        <w:t>　</w:t>
      </w:r>
      <w:r>
        <w:rPr>
          <w:rFonts w:ascii="宋体" w:hAnsi="宋体" w:eastAsia="宋体"/>
          <w:sz w:val="24"/>
          <w:szCs w:val="24"/>
          <w:shd w:val="clear" w:color="auto" w:fill="FFFFFF"/>
        </w:rPr>
        <w:t>符合国家标准《城市轨道交通照明》GB/T 16275的要求</w:t>
      </w:r>
      <w:r>
        <w:rPr>
          <w:rFonts w:hint="eastAsia" w:ascii="宋体" w:hAnsi="宋体" w:eastAsia="宋体"/>
          <w:sz w:val="24"/>
          <w:szCs w:val="24"/>
          <w:shd w:val="clear" w:color="auto" w:fill="FFFFFF"/>
        </w:rPr>
        <w:t xml:space="preserve"> 得2分；</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2</w:t>
      </w:r>
      <w:r>
        <w:rPr>
          <w:rFonts w:hint="eastAsia" w:ascii="宋体" w:hAnsi="宋体" w:eastAsia="宋体"/>
          <w:sz w:val="24"/>
          <w:szCs w:val="24"/>
          <w:shd w:val="clear" w:color="auto" w:fill="FFFFFF"/>
        </w:rPr>
        <w:t>　</w:t>
      </w:r>
      <w:r>
        <w:rPr>
          <w:rFonts w:ascii="宋体" w:hAnsi="宋体" w:eastAsia="宋体"/>
          <w:sz w:val="24"/>
          <w:szCs w:val="24"/>
          <w:shd w:val="clear" w:color="auto" w:fill="FFFFFF"/>
        </w:rPr>
        <w:t>高于国家标准《城市轨道交通照明》GB/T 16275的要求</w:t>
      </w:r>
      <w:r>
        <w:rPr>
          <w:rFonts w:hint="eastAsia" w:ascii="宋体" w:hAnsi="宋体" w:eastAsia="宋体"/>
          <w:sz w:val="24"/>
          <w:szCs w:val="24"/>
          <w:shd w:val="clear" w:color="auto" w:fill="FFFFFF"/>
        </w:rPr>
        <w:t xml:space="preserve"> 得4分。</w:t>
      </w:r>
    </w:p>
    <w:p>
      <w:pPr>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24  </w:t>
      </w:r>
      <w:r>
        <w:rPr>
          <w:rFonts w:hint="eastAsia" w:ascii="宋体" w:hAnsi="宋体" w:eastAsia="宋体"/>
          <w:sz w:val="24"/>
          <w:szCs w:val="24"/>
          <w:shd w:val="clear" w:color="auto" w:fill="FFFFFF"/>
        </w:rPr>
        <w:t>正常</w:t>
      </w:r>
      <w:r>
        <w:rPr>
          <w:rFonts w:ascii="宋体" w:hAnsi="宋体" w:eastAsia="宋体"/>
          <w:sz w:val="24"/>
          <w:szCs w:val="24"/>
          <w:shd w:val="clear" w:color="auto" w:fill="FFFFFF"/>
        </w:rPr>
        <w:t>照明的</w:t>
      </w:r>
      <w:r>
        <w:rPr>
          <w:rFonts w:hint="eastAsia" w:ascii="宋体" w:hAnsi="宋体" w:eastAsia="宋体"/>
          <w:sz w:val="24"/>
          <w:szCs w:val="24"/>
          <w:shd w:val="clear" w:color="auto" w:fill="FFFFFF"/>
        </w:rPr>
        <w:t>统一眩光限值</w:t>
      </w:r>
      <w:r>
        <w:rPr>
          <w:rFonts w:ascii="宋体" w:hAnsi="宋体" w:eastAsia="宋体"/>
          <w:sz w:val="24"/>
          <w:szCs w:val="24"/>
          <w:shd w:val="clear" w:color="auto" w:fill="FFFFFF"/>
        </w:rPr>
        <w:t>符合或高于国家标准《城市轨道交通照明》GB/T 16275的要求，</w:t>
      </w:r>
      <w:r>
        <w:rPr>
          <w:rFonts w:hint="eastAsia" w:ascii="宋体" w:hAnsi="宋体" w:eastAsia="宋体"/>
          <w:sz w:val="24"/>
          <w:szCs w:val="24"/>
        </w:rPr>
        <w:t>评价总分值为6分，并按下列规则分别评分：</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1</w:t>
      </w:r>
      <w:r>
        <w:rPr>
          <w:rFonts w:hint="eastAsia" w:ascii="宋体" w:hAnsi="宋体" w:eastAsia="宋体"/>
          <w:sz w:val="24"/>
          <w:szCs w:val="24"/>
          <w:shd w:val="clear" w:color="auto" w:fill="FFFFFF"/>
        </w:rPr>
        <w:t xml:space="preserve">  统一眩光限值</w:t>
      </w:r>
      <w:r>
        <w:rPr>
          <w:rFonts w:ascii="宋体" w:hAnsi="宋体" w:eastAsia="宋体"/>
          <w:sz w:val="24"/>
          <w:szCs w:val="24"/>
          <w:shd w:val="clear" w:color="auto" w:fill="FFFFFF"/>
        </w:rPr>
        <w:t>符合国家标准《城市轨道交通照明》GB/T 16275的要求，</w:t>
      </w:r>
      <w:r>
        <w:rPr>
          <w:rFonts w:hint="eastAsia" w:ascii="宋体" w:hAnsi="宋体" w:eastAsia="宋体"/>
          <w:sz w:val="24"/>
          <w:szCs w:val="24"/>
          <w:shd w:val="clear" w:color="auto" w:fill="FFFFFF"/>
        </w:rPr>
        <w:t>得3分；</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2</w:t>
      </w:r>
      <w:r>
        <w:rPr>
          <w:rFonts w:hint="eastAsia" w:ascii="宋体" w:hAnsi="宋体" w:eastAsia="宋体"/>
          <w:sz w:val="24"/>
          <w:szCs w:val="24"/>
          <w:shd w:val="clear" w:color="auto" w:fill="FFFFFF"/>
        </w:rPr>
        <w:t xml:space="preserve">  统一眩光限值</w:t>
      </w:r>
      <w:r>
        <w:rPr>
          <w:rFonts w:ascii="宋体" w:hAnsi="宋体" w:eastAsia="宋体"/>
          <w:sz w:val="24"/>
          <w:szCs w:val="24"/>
          <w:shd w:val="clear" w:color="auto" w:fill="FFFFFF"/>
        </w:rPr>
        <w:t>高于国家标准《城市轨道交通照明》GB/T 16275的要求，</w:t>
      </w:r>
      <w:r>
        <w:rPr>
          <w:rFonts w:hint="eastAsia" w:ascii="宋体" w:hAnsi="宋体" w:eastAsia="宋体"/>
          <w:sz w:val="24"/>
          <w:szCs w:val="24"/>
          <w:shd w:val="clear" w:color="auto" w:fill="FFFFFF"/>
        </w:rPr>
        <w:t>得6分。</w:t>
      </w:r>
    </w:p>
    <w:p>
      <w:pPr>
        <w:spacing w:line="360" w:lineRule="auto"/>
        <w:jc w:val="left"/>
        <w:rPr>
          <w:rFonts w:ascii="宋体" w:hAnsi="宋体" w:eastAsia="宋体" w:cs="Times New Roman"/>
          <w:sz w:val="24"/>
          <w:szCs w:val="24"/>
          <w:shd w:val="clear" w:color="auto" w:fill="FFFFFF"/>
        </w:rPr>
      </w:pPr>
      <w:r>
        <w:rPr>
          <w:rFonts w:hint="eastAsia" w:ascii="宋体" w:hAnsi="宋体" w:eastAsia="宋体"/>
          <w:b/>
          <w:sz w:val="24"/>
          <w:szCs w:val="24"/>
        </w:rPr>
        <w:t xml:space="preserve">6.2.25  </w:t>
      </w:r>
      <w:r>
        <w:rPr>
          <w:rFonts w:hint="eastAsia" w:ascii="宋体" w:hAnsi="宋体" w:eastAsia="宋体" w:cs="Times New Roman"/>
          <w:sz w:val="24"/>
          <w:szCs w:val="24"/>
          <w:shd w:val="clear" w:color="auto" w:fill="FFFFFF"/>
        </w:rPr>
        <w:t>车站、车辆基地对照明实现智能控制，评价总分值为6分，</w:t>
      </w:r>
      <w:r>
        <w:rPr>
          <w:rFonts w:ascii="宋体" w:hAnsi="宋体" w:eastAsia="宋体" w:cs="Times New Roman"/>
          <w:sz w:val="24"/>
          <w:szCs w:val="24"/>
          <w:shd w:val="clear" w:color="auto" w:fill="FFFFFF"/>
        </w:rPr>
        <w:t>并按下列规则评分</w:t>
      </w:r>
      <w:r>
        <w:rPr>
          <w:rFonts w:hint="eastAsia" w:ascii="宋体" w:hAnsi="宋体" w:eastAsia="宋体" w:cs="Times New Roman"/>
          <w:sz w:val="24"/>
          <w:szCs w:val="24"/>
          <w:shd w:val="clear" w:color="auto" w:fill="FFFFFF"/>
        </w:rPr>
        <w:t>：</w:t>
      </w:r>
    </w:p>
    <w:p>
      <w:pPr>
        <w:spacing w:line="360" w:lineRule="auto"/>
        <w:ind w:firstLine="482" w:firstLineChars="200"/>
        <w:jc w:val="left"/>
        <w:rPr>
          <w:rFonts w:ascii="宋体" w:hAnsi="宋体" w:eastAsia="宋体" w:cs="Times New Roman"/>
          <w:sz w:val="24"/>
          <w:szCs w:val="24"/>
          <w:shd w:val="clear" w:color="auto" w:fill="FFFFFF"/>
        </w:rPr>
      </w:pPr>
      <w:r>
        <w:rPr>
          <w:rFonts w:hint="eastAsia" w:ascii="宋体" w:hAnsi="宋体" w:eastAsia="宋体" w:cs="Times New Roman"/>
          <w:b/>
          <w:sz w:val="24"/>
          <w:szCs w:val="24"/>
          <w:shd w:val="clear" w:color="auto" w:fill="FFFFFF"/>
        </w:rPr>
        <w:t>1</w:t>
      </w:r>
      <w:r>
        <w:rPr>
          <w:rFonts w:hint="eastAsia" w:ascii="宋体" w:hAnsi="宋体" w:eastAsia="宋体" w:cs="Times New Roman"/>
          <w:sz w:val="24"/>
          <w:szCs w:val="24"/>
          <w:shd w:val="clear" w:color="auto" w:fill="FFFFFF"/>
        </w:rPr>
        <w:t xml:space="preserve">  </w:t>
      </w:r>
      <w:r>
        <w:rPr>
          <w:rFonts w:hint="eastAsia" w:ascii="宋体" w:hAnsi="宋体" w:eastAsia="宋体"/>
          <w:sz w:val="24"/>
          <w:szCs w:val="24"/>
          <w:shd w:val="clear" w:color="auto" w:fill="FFFFFF"/>
        </w:rPr>
        <w:t>车站</w:t>
      </w:r>
      <w:r>
        <w:rPr>
          <w:rFonts w:hint="eastAsia" w:ascii="宋体" w:hAnsi="宋体" w:eastAsia="宋体" w:cs="Times New Roman"/>
          <w:sz w:val="24"/>
          <w:szCs w:val="24"/>
          <w:shd w:val="clear" w:color="auto" w:fill="FFFFFF"/>
        </w:rPr>
        <w:t>、车辆基地</w:t>
      </w:r>
      <w:r>
        <w:rPr>
          <w:rFonts w:hint="eastAsia" w:ascii="宋体" w:hAnsi="宋体" w:eastAsia="宋体"/>
          <w:sz w:val="24"/>
          <w:szCs w:val="24"/>
          <w:shd w:val="clear" w:color="auto" w:fill="FFFFFF"/>
        </w:rPr>
        <w:t>可实现</w:t>
      </w:r>
      <w:r>
        <w:rPr>
          <w:rFonts w:hint="eastAsia" w:ascii="宋体" w:hAnsi="宋体" w:eastAsia="宋体" w:cs="Times New Roman"/>
          <w:sz w:val="24"/>
          <w:szCs w:val="24"/>
          <w:shd w:val="clear" w:color="auto" w:fill="FFFFFF"/>
        </w:rPr>
        <w:t>采用开关控制时，得1分；</w:t>
      </w:r>
    </w:p>
    <w:p>
      <w:pPr>
        <w:spacing w:line="360" w:lineRule="auto"/>
        <w:ind w:firstLine="482" w:firstLineChars="200"/>
        <w:jc w:val="left"/>
        <w:rPr>
          <w:rFonts w:ascii="宋体" w:hAnsi="宋体" w:eastAsia="宋体" w:cs="Times New Roman"/>
          <w:sz w:val="24"/>
          <w:szCs w:val="24"/>
          <w:shd w:val="clear" w:color="auto" w:fill="FFFFFF"/>
        </w:rPr>
      </w:pPr>
      <w:r>
        <w:rPr>
          <w:rFonts w:hint="eastAsia" w:ascii="宋体" w:hAnsi="宋体" w:eastAsia="宋体" w:cs="Times New Roman"/>
          <w:b/>
          <w:sz w:val="24"/>
          <w:szCs w:val="24"/>
          <w:shd w:val="clear" w:color="auto" w:fill="FFFFFF"/>
        </w:rPr>
        <w:t>2</w:t>
      </w:r>
      <w:r>
        <w:rPr>
          <w:rFonts w:hint="eastAsia" w:ascii="宋体" w:hAnsi="宋体" w:eastAsia="宋体" w:cs="Times New Roman"/>
          <w:sz w:val="24"/>
          <w:szCs w:val="24"/>
          <w:shd w:val="clear" w:color="auto" w:fill="FFFFFF"/>
        </w:rPr>
        <w:t xml:space="preserve">  </w:t>
      </w:r>
      <w:r>
        <w:rPr>
          <w:rFonts w:hint="eastAsia" w:ascii="宋体" w:hAnsi="宋体" w:eastAsia="宋体"/>
          <w:sz w:val="24"/>
          <w:szCs w:val="24"/>
          <w:shd w:val="clear" w:color="auto" w:fill="FFFFFF"/>
        </w:rPr>
        <w:t>车站</w:t>
      </w:r>
      <w:r>
        <w:rPr>
          <w:rFonts w:hint="eastAsia" w:ascii="宋体" w:hAnsi="宋体" w:eastAsia="宋体" w:cs="Times New Roman"/>
          <w:sz w:val="24"/>
          <w:szCs w:val="24"/>
          <w:shd w:val="clear" w:color="auto" w:fill="FFFFFF"/>
        </w:rPr>
        <w:t>、车辆基地</w:t>
      </w:r>
      <w:r>
        <w:rPr>
          <w:rFonts w:hint="eastAsia" w:ascii="宋体" w:hAnsi="宋体" w:eastAsia="宋体"/>
          <w:sz w:val="24"/>
          <w:szCs w:val="24"/>
          <w:shd w:val="clear" w:color="auto" w:fill="FFFFFF"/>
        </w:rPr>
        <w:t>可实现</w:t>
      </w:r>
      <w:r>
        <w:rPr>
          <w:rFonts w:hint="eastAsia" w:ascii="宋体" w:hAnsi="宋体" w:eastAsia="宋体" w:cs="Times New Roman"/>
          <w:sz w:val="24"/>
          <w:szCs w:val="24"/>
          <w:shd w:val="clear" w:color="auto" w:fill="FFFFFF"/>
        </w:rPr>
        <w:t>采用调光控制时，得3分；</w:t>
      </w:r>
    </w:p>
    <w:p>
      <w:pPr>
        <w:spacing w:line="360" w:lineRule="auto"/>
        <w:ind w:firstLine="482" w:firstLineChars="200"/>
        <w:jc w:val="left"/>
        <w:rPr>
          <w:rFonts w:ascii="宋体" w:hAnsi="宋体" w:eastAsia="宋体" w:cs="Times New Roman"/>
          <w:sz w:val="24"/>
          <w:szCs w:val="24"/>
          <w:shd w:val="clear" w:color="auto" w:fill="FFFFFF"/>
        </w:rPr>
      </w:pPr>
      <w:r>
        <w:rPr>
          <w:rFonts w:hint="eastAsia" w:ascii="宋体" w:hAnsi="宋体" w:eastAsia="宋体" w:cs="Times New Roman"/>
          <w:b/>
          <w:sz w:val="24"/>
          <w:szCs w:val="24"/>
          <w:shd w:val="clear" w:color="auto" w:fill="FFFFFF"/>
        </w:rPr>
        <w:t>3</w:t>
      </w:r>
      <w:r>
        <w:rPr>
          <w:rFonts w:hint="eastAsia" w:ascii="宋体" w:hAnsi="宋体" w:eastAsia="宋体" w:cs="Times New Roman"/>
          <w:sz w:val="24"/>
          <w:szCs w:val="24"/>
          <w:shd w:val="clear" w:color="auto" w:fill="FFFFFF"/>
        </w:rPr>
        <w:t xml:space="preserve">  </w:t>
      </w:r>
      <w:r>
        <w:rPr>
          <w:rFonts w:hint="eastAsia" w:ascii="宋体" w:hAnsi="宋体" w:eastAsia="宋体"/>
          <w:sz w:val="24"/>
          <w:szCs w:val="24"/>
          <w:shd w:val="clear" w:color="auto" w:fill="FFFFFF"/>
        </w:rPr>
        <w:t>车站</w:t>
      </w:r>
      <w:r>
        <w:rPr>
          <w:rFonts w:hint="eastAsia" w:ascii="宋体" w:hAnsi="宋体" w:eastAsia="宋体" w:cs="Times New Roman"/>
          <w:sz w:val="24"/>
          <w:szCs w:val="24"/>
          <w:shd w:val="clear" w:color="auto" w:fill="FFFFFF"/>
        </w:rPr>
        <w:t>、车辆基地</w:t>
      </w:r>
      <w:r>
        <w:rPr>
          <w:rFonts w:hint="eastAsia" w:ascii="宋体" w:hAnsi="宋体" w:eastAsia="宋体"/>
          <w:sz w:val="24"/>
          <w:szCs w:val="24"/>
          <w:shd w:val="clear" w:color="auto" w:fill="FFFFFF"/>
        </w:rPr>
        <w:t>可实现</w:t>
      </w:r>
      <w:r>
        <w:rPr>
          <w:rFonts w:hint="eastAsia" w:ascii="宋体" w:hAnsi="宋体" w:eastAsia="宋体" w:cs="Times New Roman"/>
          <w:sz w:val="24"/>
          <w:szCs w:val="24"/>
          <w:shd w:val="clear" w:color="auto" w:fill="FFFFFF"/>
        </w:rPr>
        <w:t>分功能区域调光控制时，得6分。</w:t>
      </w:r>
    </w:p>
    <w:p>
      <w:pPr>
        <w:adjustRightInd w:val="0"/>
        <w:snapToGrid w:val="0"/>
        <w:spacing w:line="360" w:lineRule="auto"/>
        <w:rPr>
          <w:rFonts w:ascii="宋体" w:hAnsi="宋体" w:eastAsia="宋体"/>
          <w:sz w:val="24"/>
          <w:szCs w:val="28"/>
        </w:rPr>
      </w:pPr>
      <w:r>
        <w:rPr>
          <w:rFonts w:ascii="宋体" w:hAnsi="宋体" w:eastAsia="宋体"/>
          <w:b/>
          <w:sz w:val="24"/>
          <w:szCs w:val="24"/>
        </w:rPr>
        <w:t>6.2.</w:t>
      </w:r>
      <w:r>
        <w:rPr>
          <w:rFonts w:hint="eastAsia" w:ascii="宋体" w:hAnsi="宋体" w:eastAsia="宋体"/>
          <w:b/>
          <w:sz w:val="24"/>
          <w:szCs w:val="24"/>
        </w:rPr>
        <w:t xml:space="preserve">26  </w:t>
      </w:r>
      <w:r>
        <w:rPr>
          <w:rFonts w:hint="eastAsia" w:ascii="宋体" w:hAnsi="宋体" w:eastAsia="宋体"/>
          <w:sz w:val="24"/>
          <w:szCs w:val="28"/>
        </w:rPr>
        <w:t>对列车客室人员密度的实时统计分析</w:t>
      </w:r>
      <w:r>
        <w:rPr>
          <w:rFonts w:ascii="宋体" w:hAnsi="宋体" w:eastAsia="宋体"/>
          <w:sz w:val="24"/>
          <w:szCs w:val="28"/>
        </w:rPr>
        <w:t>,在车站站台设置电子显示设备实时显示到站列车客室人员密度分布情况，</w:t>
      </w:r>
      <w:r>
        <w:rPr>
          <w:rFonts w:ascii="宋体" w:hAnsi="宋体" w:eastAsia="宋体"/>
          <w:sz w:val="24"/>
          <w:szCs w:val="24"/>
        </w:rPr>
        <w:t>评价分值为</w:t>
      </w:r>
      <w:r>
        <w:rPr>
          <w:rFonts w:hint="eastAsia" w:ascii="宋体" w:hAnsi="宋体" w:eastAsia="宋体"/>
          <w:sz w:val="24"/>
          <w:szCs w:val="28"/>
        </w:rPr>
        <w:t>11分。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27  </w:t>
      </w:r>
      <w:r>
        <w:rPr>
          <w:rFonts w:ascii="宋体" w:hAnsi="宋体" w:eastAsia="宋体"/>
          <w:sz w:val="24"/>
          <w:szCs w:val="24"/>
        </w:rPr>
        <w:t>车辆基地内采取措施避免厨房</w:t>
      </w:r>
      <w:r>
        <w:rPr>
          <w:rFonts w:hint="eastAsia" w:ascii="宋体" w:hAnsi="宋体" w:eastAsia="宋体"/>
          <w:sz w:val="24"/>
          <w:szCs w:val="24"/>
        </w:rPr>
        <w:t>、</w:t>
      </w:r>
      <w:r>
        <w:rPr>
          <w:rFonts w:ascii="宋体" w:hAnsi="宋体" w:eastAsia="宋体"/>
          <w:sz w:val="24"/>
          <w:szCs w:val="24"/>
        </w:rPr>
        <w:t>餐厅</w:t>
      </w:r>
      <w:r>
        <w:rPr>
          <w:rFonts w:hint="eastAsia" w:ascii="宋体" w:hAnsi="宋体" w:eastAsia="宋体"/>
          <w:sz w:val="24"/>
          <w:szCs w:val="24"/>
        </w:rPr>
        <w:t>、</w:t>
      </w:r>
      <w:r>
        <w:rPr>
          <w:rFonts w:ascii="宋体" w:hAnsi="宋体" w:eastAsia="宋体"/>
          <w:sz w:val="24"/>
          <w:szCs w:val="24"/>
        </w:rPr>
        <w:t>打印复印室</w:t>
      </w:r>
      <w:r>
        <w:rPr>
          <w:rFonts w:hint="eastAsia" w:ascii="宋体" w:hAnsi="宋体" w:eastAsia="宋体"/>
          <w:sz w:val="24"/>
          <w:szCs w:val="24"/>
        </w:rPr>
        <w:t>、</w:t>
      </w:r>
      <w:r>
        <w:rPr>
          <w:rFonts w:ascii="宋体" w:hAnsi="宋体" w:eastAsia="宋体"/>
          <w:sz w:val="24"/>
          <w:szCs w:val="24"/>
        </w:rPr>
        <w:t>卫生间</w:t>
      </w:r>
      <w:r>
        <w:rPr>
          <w:rFonts w:hint="eastAsia" w:ascii="宋体" w:hAnsi="宋体" w:eastAsia="宋体"/>
          <w:sz w:val="24"/>
          <w:szCs w:val="24"/>
        </w:rPr>
        <w:t>、</w:t>
      </w:r>
      <w:r>
        <w:rPr>
          <w:rFonts w:ascii="宋体" w:hAnsi="宋体" w:eastAsia="宋体"/>
          <w:sz w:val="24"/>
          <w:szCs w:val="24"/>
        </w:rPr>
        <w:t>地下车库等区域的空气和污染物串通到其他空间，评价分值为</w:t>
      </w:r>
      <w:r>
        <w:rPr>
          <w:rFonts w:hint="eastAsia" w:ascii="宋体" w:hAnsi="宋体" w:eastAsia="宋体"/>
          <w:sz w:val="24"/>
          <w:szCs w:val="24"/>
        </w:rPr>
        <w:t>1分。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28  </w:t>
      </w:r>
      <w:r>
        <w:rPr>
          <w:rFonts w:ascii="宋体" w:hAnsi="宋体" w:eastAsia="宋体"/>
          <w:sz w:val="24"/>
          <w:szCs w:val="24"/>
        </w:rPr>
        <w:t>车辆基地的主要功能房间具有现场独立控制的热环境调节装置，评价分值为</w:t>
      </w:r>
      <w:r>
        <w:rPr>
          <w:rFonts w:hint="eastAsia" w:ascii="宋体" w:hAnsi="宋体" w:eastAsia="宋体"/>
          <w:sz w:val="24"/>
          <w:szCs w:val="24"/>
        </w:rPr>
        <w:t>1分。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.2.</w:t>
      </w:r>
      <w:r>
        <w:rPr>
          <w:rFonts w:hint="eastAsia" w:ascii="宋体" w:hAnsi="宋体" w:eastAsia="宋体"/>
          <w:b/>
          <w:sz w:val="24"/>
          <w:szCs w:val="24"/>
        </w:rPr>
        <w:t xml:space="preserve">29  </w:t>
      </w:r>
      <w:r>
        <w:rPr>
          <w:rFonts w:ascii="宋体" w:hAnsi="宋体" w:eastAsia="宋体"/>
          <w:sz w:val="24"/>
          <w:szCs w:val="24"/>
        </w:rPr>
        <w:t>车辆基地内主要功能房间中人员密度较高且随时间变化大的区域设置室内空气质量监控系统</w:t>
      </w:r>
      <w:r>
        <w:rPr>
          <w:rFonts w:hint="eastAsia" w:ascii="宋体" w:hAnsi="宋体" w:eastAsia="宋体"/>
          <w:sz w:val="24"/>
          <w:szCs w:val="24"/>
        </w:rPr>
        <w:t>，</w:t>
      </w:r>
      <w:r>
        <w:rPr>
          <w:rFonts w:ascii="宋体" w:hAnsi="宋体" w:eastAsia="宋体"/>
          <w:sz w:val="24"/>
          <w:szCs w:val="24"/>
        </w:rPr>
        <w:t>评价总分值为2</w:t>
      </w:r>
      <w:r>
        <w:rPr>
          <w:rFonts w:hint="eastAsia" w:ascii="宋体" w:hAnsi="宋体" w:eastAsia="宋体"/>
          <w:sz w:val="24"/>
          <w:szCs w:val="24"/>
        </w:rPr>
        <w:t>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对室内的二氧化碳浓度进行数据采集</w:t>
      </w:r>
      <w:r>
        <w:rPr>
          <w:rFonts w:hint="eastAsia" w:ascii="宋体" w:hAnsi="宋体" w:eastAsia="宋体"/>
          <w:sz w:val="24"/>
          <w:szCs w:val="24"/>
        </w:rPr>
        <w:t>、</w:t>
      </w:r>
      <w:r>
        <w:rPr>
          <w:rFonts w:ascii="宋体" w:hAnsi="宋体" w:eastAsia="宋体"/>
          <w:sz w:val="24"/>
          <w:szCs w:val="24"/>
        </w:rPr>
        <w:t>分析</w:t>
      </w:r>
      <w:r>
        <w:rPr>
          <w:rFonts w:hint="eastAsia" w:ascii="宋体" w:hAnsi="宋体" w:eastAsia="宋体"/>
          <w:sz w:val="24"/>
          <w:szCs w:val="24"/>
        </w:rPr>
        <w:t>，</w:t>
      </w:r>
      <w:r>
        <w:rPr>
          <w:rFonts w:ascii="宋体" w:hAnsi="宋体" w:eastAsia="宋体"/>
          <w:sz w:val="24"/>
          <w:szCs w:val="24"/>
        </w:rPr>
        <w:t>并与通风系统联动</w:t>
      </w:r>
      <w:r>
        <w:rPr>
          <w:rFonts w:hint="eastAsia" w:ascii="宋体" w:hAnsi="宋体" w:eastAsia="宋体"/>
          <w:sz w:val="24"/>
          <w:szCs w:val="24"/>
        </w:rPr>
        <w:t>，</w:t>
      </w:r>
      <w:r>
        <w:rPr>
          <w:rFonts w:ascii="宋体" w:hAnsi="宋体" w:eastAsia="宋体"/>
          <w:sz w:val="24"/>
          <w:szCs w:val="24"/>
        </w:rPr>
        <w:t>传感器位置合理设置</w:t>
      </w:r>
      <w:r>
        <w:rPr>
          <w:rFonts w:hint="eastAsia" w:ascii="宋体" w:hAnsi="宋体" w:eastAsia="宋体"/>
          <w:sz w:val="24"/>
          <w:szCs w:val="24"/>
        </w:rPr>
        <w:t>，</w:t>
      </w:r>
      <w:r>
        <w:rPr>
          <w:rFonts w:ascii="宋体" w:hAnsi="宋体" w:eastAsia="宋体"/>
          <w:sz w:val="24"/>
          <w:szCs w:val="24"/>
        </w:rPr>
        <w:t>得1</w:t>
      </w:r>
      <w:r>
        <w:rPr>
          <w:rFonts w:hint="eastAsia"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实现室内污染物浓度超标实时报警</w:t>
      </w:r>
      <w:r>
        <w:rPr>
          <w:rFonts w:hint="eastAsia" w:ascii="宋体" w:hAnsi="宋体" w:eastAsia="宋体"/>
          <w:sz w:val="24"/>
          <w:szCs w:val="24"/>
        </w:rPr>
        <w:t>，</w:t>
      </w:r>
      <w:r>
        <w:rPr>
          <w:rFonts w:ascii="宋体" w:hAnsi="宋体" w:eastAsia="宋体"/>
          <w:sz w:val="24"/>
          <w:szCs w:val="24"/>
        </w:rPr>
        <w:t>并与通风系统联动</w:t>
      </w:r>
      <w:r>
        <w:rPr>
          <w:rFonts w:hint="eastAsia" w:ascii="宋体" w:hAnsi="宋体" w:eastAsia="宋体"/>
          <w:sz w:val="24"/>
          <w:szCs w:val="24"/>
        </w:rPr>
        <w:t>，</w:t>
      </w:r>
      <w:r>
        <w:rPr>
          <w:rFonts w:ascii="宋体" w:hAnsi="宋体" w:eastAsia="宋体"/>
          <w:sz w:val="24"/>
          <w:szCs w:val="24"/>
        </w:rPr>
        <w:t>得1</w:t>
      </w:r>
      <w:r>
        <w:rPr>
          <w:rFonts w:hint="eastAsia"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6.</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30  </w:t>
      </w:r>
      <w:r>
        <w:rPr>
          <w:rFonts w:ascii="宋体" w:hAnsi="宋体" w:eastAsia="宋体"/>
          <w:sz w:val="24"/>
          <w:szCs w:val="24"/>
        </w:rPr>
        <w:t>车辆基地的地下车库设置与排风设备联动的一氧化碳浓度监测装置</w:t>
      </w:r>
      <w:r>
        <w:rPr>
          <w:rFonts w:hint="eastAsia" w:ascii="宋体" w:hAnsi="宋体" w:eastAsia="宋体"/>
          <w:sz w:val="24"/>
          <w:szCs w:val="24"/>
        </w:rPr>
        <w:t>，</w:t>
      </w:r>
      <w:r>
        <w:rPr>
          <w:rFonts w:ascii="宋体" w:hAnsi="宋体" w:eastAsia="宋体"/>
          <w:sz w:val="24"/>
          <w:szCs w:val="24"/>
        </w:rPr>
        <w:t>传感器位置设置合理，评价分值为1分</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31  </w:t>
      </w:r>
      <w:r>
        <w:rPr>
          <w:rFonts w:ascii="宋体" w:hAnsi="宋体" w:eastAsia="宋体"/>
          <w:sz w:val="24"/>
          <w:szCs w:val="24"/>
        </w:rPr>
        <w:t>车辆基地内</w:t>
      </w:r>
      <w:r>
        <w:rPr>
          <w:rFonts w:hint="eastAsia" w:ascii="宋体" w:hAnsi="宋体" w:eastAsia="宋体"/>
          <w:sz w:val="24"/>
          <w:szCs w:val="24"/>
        </w:rPr>
        <w:t>工业建筑噪声控制限值满足《工业企业噪声控制设计规范》</w:t>
      </w:r>
      <w:r>
        <w:rPr>
          <w:rFonts w:ascii="宋体" w:hAnsi="宋体" w:eastAsia="宋体"/>
          <w:sz w:val="24"/>
          <w:szCs w:val="24"/>
        </w:rPr>
        <w:t>GB/T 50087相关要求，评价分值为</w:t>
      </w:r>
      <w:r>
        <w:rPr>
          <w:rFonts w:hint="eastAsia" w:ascii="宋体" w:hAnsi="宋体" w:eastAsia="宋体"/>
          <w:sz w:val="24"/>
          <w:szCs w:val="24"/>
        </w:rPr>
        <w:t>1分</w:t>
      </w:r>
      <w:r>
        <w:rPr>
          <w:rFonts w:ascii="宋体" w:hAnsi="宋体" w:eastAsia="宋体"/>
          <w:sz w:val="24"/>
          <w:szCs w:val="24"/>
        </w:rPr>
        <w:t>。</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6.2.</w:t>
      </w:r>
      <w:r>
        <w:rPr>
          <w:rFonts w:hint="eastAsia" w:ascii="宋体" w:hAnsi="宋体" w:eastAsia="宋体"/>
          <w:b/>
          <w:sz w:val="24"/>
          <w:szCs w:val="24"/>
        </w:rPr>
        <w:t xml:space="preserve">32  </w:t>
      </w:r>
      <w:r>
        <w:rPr>
          <w:rFonts w:hint="eastAsia" w:ascii="宋体" w:hAnsi="宋体" w:eastAsia="宋体" w:cs="宋体"/>
          <w:sz w:val="24"/>
          <w:szCs w:val="24"/>
        </w:rPr>
        <w:t>基地合理规划场地雨水径流，采取措施控制场地年径流总量，减少径流污染，评价总分值为5分，并按下列规则分别评分并累计：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xml:space="preserve"> </w:t>
      </w:r>
      <w:r>
        <w:rPr>
          <w:rFonts w:hint="eastAsia" w:ascii="宋体" w:hAnsi="宋体" w:eastAsia="宋体"/>
          <w:sz w:val="24"/>
          <w:szCs w:val="24"/>
        </w:rPr>
        <w:t xml:space="preserve"> 场地年径流总量控制率达</w:t>
      </w:r>
      <w:r>
        <w:rPr>
          <w:rFonts w:ascii="宋体" w:hAnsi="宋体" w:eastAsia="宋体"/>
          <w:sz w:val="24"/>
          <w:szCs w:val="24"/>
        </w:rPr>
        <w:t>65%</w:t>
      </w:r>
      <w:r>
        <w:rPr>
          <w:rFonts w:hint="eastAsia" w:ascii="宋体" w:hAnsi="宋体" w:eastAsia="宋体"/>
          <w:sz w:val="24"/>
          <w:szCs w:val="24"/>
        </w:rPr>
        <w:t>，得0.5分；场地年径流总量控制率达</w:t>
      </w:r>
      <w:r>
        <w:rPr>
          <w:rFonts w:ascii="宋体" w:hAnsi="宋体" w:eastAsia="宋体"/>
          <w:sz w:val="24"/>
          <w:szCs w:val="24"/>
        </w:rPr>
        <w:t>80%</w:t>
      </w:r>
      <w:r>
        <w:rPr>
          <w:rFonts w:hint="eastAsia" w:ascii="宋体" w:hAnsi="宋体" w:eastAsia="宋体"/>
          <w:sz w:val="24"/>
          <w:szCs w:val="24"/>
        </w:rPr>
        <w:t>，得1分；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合理衔接和引导屋面雨水、场地雨水进入地面生态设施，并采取相应的径流污染控制措施，得1分；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设置具有调蓄雨水功能的绿地和水体，面积比例不低于</w:t>
      </w:r>
      <w:r>
        <w:rPr>
          <w:rFonts w:ascii="宋体" w:hAnsi="宋体" w:eastAsia="宋体"/>
          <w:sz w:val="24"/>
          <w:szCs w:val="24"/>
        </w:rPr>
        <w:t>30%</w:t>
      </w:r>
      <w:r>
        <w:rPr>
          <w:rFonts w:hint="eastAsia" w:ascii="宋体" w:hAnsi="宋体" w:eastAsia="宋体"/>
          <w:sz w:val="24"/>
          <w:szCs w:val="24"/>
        </w:rPr>
        <w:t>，得1分；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ascii="宋体" w:hAnsi="宋体" w:eastAsia="宋体"/>
          <w:sz w:val="24"/>
          <w:szCs w:val="24"/>
        </w:rPr>
        <w:t xml:space="preserve"> </w:t>
      </w:r>
      <w:r>
        <w:rPr>
          <w:rFonts w:hint="eastAsia" w:ascii="宋体" w:hAnsi="宋体" w:eastAsia="宋体"/>
          <w:sz w:val="24"/>
          <w:szCs w:val="24"/>
        </w:rPr>
        <w:t xml:space="preserve"> 硬质铺装地面中透水铺装面积的比例达到</w:t>
      </w:r>
      <w:r>
        <w:rPr>
          <w:rFonts w:ascii="宋体" w:hAnsi="宋体" w:eastAsia="宋体"/>
          <w:sz w:val="24"/>
          <w:szCs w:val="24"/>
        </w:rPr>
        <w:t>30%</w:t>
      </w:r>
      <w:r>
        <w:rPr>
          <w:rFonts w:hint="eastAsia" w:ascii="宋体" w:hAnsi="宋体" w:eastAsia="宋体"/>
          <w:sz w:val="24"/>
          <w:szCs w:val="24"/>
        </w:rPr>
        <w:t>，得1分；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5</w:t>
      </w:r>
      <w:r>
        <w:rPr>
          <w:rFonts w:ascii="宋体" w:hAnsi="宋体" w:eastAsia="宋体"/>
          <w:sz w:val="24"/>
          <w:szCs w:val="24"/>
        </w:rPr>
        <w:t xml:space="preserve"> </w:t>
      </w:r>
      <w:r>
        <w:rPr>
          <w:rFonts w:hint="eastAsia" w:ascii="宋体" w:hAnsi="宋体" w:eastAsia="宋体"/>
          <w:sz w:val="24"/>
          <w:szCs w:val="24"/>
        </w:rPr>
        <w:t xml:space="preserve"> 对进入景观水体的雨水利用生态设施消减径流污染，得1分。</w:t>
      </w:r>
    </w:p>
    <w:p>
      <w:pPr>
        <w:pStyle w:val="24"/>
        <w:adjustRightInd w:val="0"/>
        <w:snapToGrid w:val="0"/>
        <w:spacing w:line="360" w:lineRule="auto"/>
        <w:ind w:firstLine="0" w:firstLineChars="0"/>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 xml:space="preserve">6.2.33  </w:t>
      </w:r>
      <w:r>
        <w:rPr>
          <w:rFonts w:hint="eastAsia" w:ascii="宋体" w:hAnsi="宋体" w:eastAsia="宋体"/>
          <w:sz w:val="24"/>
          <w:szCs w:val="24"/>
        </w:rPr>
        <w:t>车辆基地场地内主要建筑之间由避雨防晒的走廊、雨棚连通，评价分值为1分。</w:t>
      </w:r>
    </w:p>
    <w:p>
      <w:pPr>
        <w:pStyle w:val="2"/>
        <w:spacing w:before="624" w:after="624"/>
      </w:pPr>
      <w:bookmarkStart w:id="38" w:name="_Toc77584232"/>
      <w:bookmarkStart w:id="39" w:name="_Toc60822241"/>
      <w:r>
        <w:t>7</w:t>
      </w:r>
      <w:r>
        <w:rPr>
          <w:rFonts w:hint="eastAsia"/>
        </w:rPr>
        <w:t xml:space="preserve">  </w:t>
      </w:r>
      <w:r>
        <w:t>资源节约</w:t>
      </w:r>
      <w:bookmarkEnd w:id="38"/>
      <w:bookmarkEnd w:id="39"/>
    </w:p>
    <w:p>
      <w:pPr>
        <w:pStyle w:val="3"/>
        <w:spacing w:before="468" w:after="468"/>
      </w:pPr>
      <w:bookmarkStart w:id="40" w:name="_Toc60822242"/>
      <w:bookmarkStart w:id="41" w:name="_Toc77584233"/>
      <w:r>
        <w:t>7.1</w:t>
      </w:r>
      <w:r>
        <w:rPr>
          <w:rFonts w:hint="eastAsia"/>
        </w:rPr>
        <w:t xml:space="preserve">  </w:t>
      </w:r>
      <w:r>
        <w:t>控制项</w:t>
      </w:r>
      <w:bookmarkEnd w:id="40"/>
      <w:bookmarkEnd w:id="41"/>
    </w:p>
    <w:p/>
    <w:p>
      <w:pPr>
        <w:adjustRightInd w:val="0"/>
        <w:snapToGrid w:val="0"/>
        <w:spacing w:line="360" w:lineRule="auto"/>
        <w:jc w:val="left"/>
        <w:rPr>
          <w:rFonts w:ascii="宋体" w:hAnsi="宋体" w:eastAsia="宋体"/>
          <w:sz w:val="24"/>
          <w:szCs w:val="24"/>
        </w:rPr>
      </w:pPr>
      <w:r>
        <w:rPr>
          <w:rFonts w:ascii="宋体" w:hAnsi="宋体" w:eastAsia="宋体"/>
          <w:b/>
          <w:sz w:val="24"/>
          <w:szCs w:val="24"/>
        </w:rPr>
        <w:t>7.1.</w:t>
      </w:r>
      <w:r>
        <w:rPr>
          <w:rFonts w:hint="eastAsia" w:ascii="宋体" w:hAnsi="宋体" w:eastAsia="宋体"/>
          <w:b/>
          <w:sz w:val="24"/>
          <w:szCs w:val="24"/>
        </w:rPr>
        <w:t xml:space="preserve">1  </w:t>
      </w:r>
      <w:r>
        <w:rPr>
          <w:rFonts w:ascii="宋体" w:hAnsi="宋体" w:eastAsia="宋体"/>
          <w:sz w:val="24"/>
          <w:szCs w:val="24"/>
        </w:rPr>
        <w:t>正线线路平面应遵循顺直，纵断面地下线</w:t>
      </w:r>
      <w:r>
        <w:rPr>
          <w:rFonts w:hint="eastAsia" w:ascii="宋体" w:hAnsi="宋体" w:eastAsia="宋体"/>
          <w:sz w:val="24"/>
          <w:szCs w:val="24"/>
        </w:rPr>
        <w:t>应</w:t>
      </w:r>
      <w:r>
        <w:rPr>
          <w:rFonts w:ascii="宋体" w:hAnsi="宋体" w:eastAsia="宋体"/>
          <w:sz w:val="24"/>
          <w:szCs w:val="24"/>
        </w:rPr>
        <w:t>遵循“高站位、低区间”的原则。</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7.1.2 </w:t>
      </w:r>
      <w:r>
        <w:rPr>
          <w:rFonts w:hint="eastAsia" w:ascii="宋体" w:hAnsi="宋体" w:eastAsia="宋体" w:cs="Times New Roman"/>
          <w:sz w:val="24"/>
          <w:szCs w:val="24"/>
        </w:rPr>
        <w:t xml:space="preserve"> 车站建筑及装修造型应简约，且无大量装饰性构件。</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7.1.</w:t>
      </w:r>
      <w:r>
        <w:rPr>
          <w:rFonts w:hint="eastAsia" w:ascii="宋体" w:hAnsi="宋体" w:eastAsia="宋体"/>
          <w:b/>
          <w:sz w:val="24"/>
          <w:szCs w:val="24"/>
        </w:rPr>
        <w:t xml:space="preserve">3  </w:t>
      </w:r>
      <w:r>
        <w:rPr>
          <w:rFonts w:ascii="宋体" w:hAnsi="宋体" w:eastAsia="宋体"/>
          <w:sz w:val="24"/>
          <w:szCs w:val="24"/>
        </w:rPr>
        <w:t>城市轨道交通工程选用的建筑、装修材料应符合下列要求：</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严禁使用高能耗、污染超标和国家、地方限制和禁止使用的建筑材料和制品，应选择对人体健康有益和环境友好的产品材料；</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结构材料应优先选用本地化材料；</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现浇混凝土应选用预拌混凝土，砂浆应全部选用预拌砂浆；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xml:space="preserve">  </w:t>
      </w:r>
      <w:r>
        <w:rPr>
          <w:rFonts w:ascii="宋体" w:hAnsi="宋体" w:eastAsia="宋体"/>
          <w:sz w:val="24"/>
          <w:szCs w:val="24"/>
        </w:rPr>
        <w:t>凝土结构中梁、柱纵向受力普通钢筋应采用不低于400MPa级的热轧带肋钢筋；</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5</w:t>
      </w:r>
      <w:r>
        <w:rPr>
          <w:rFonts w:hint="eastAsia" w:ascii="宋体" w:hAnsi="宋体" w:eastAsia="宋体"/>
          <w:sz w:val="24"/>
          <w:szCs w:val="24"/>
        </w:rPr>
        <w:t xml:space="preserve">  </w:t>
      </w:r>
      <w:r>
        <w:rPr>
          <w:rFonts w:ascii="宋体" w:hAnsi="宋体" w:eastAsia="宋体"/>
          <w:sz w:val="24"/>
          <w:szCs w:val="24"/>
        </w:rPr>
        <w:t>符合防火、防潮、防腐、隔声、减噪、耐久、易清洁等要求，应便于施工与维修；</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6</w:t>
      </w:r>
      <w:r>
        <w:rPr>
          <w:rFonts w:hint="eastAsia" w:ascii="宋体" w:hAnsi="宋体" w:eastAsia="宋体"/>
          <w:sz w:val="24"/>
          <w:szCs w:val="24"/>
        </w:rPr>
        <w:t xml:space="preserve">  </w:t>
      </w:r>
      <w:r>
        <w:rPr>
          <w:rFonts w:ascii="宋体" w:hAnsi="宋体" w:eastAsia="宋体"/>
          <w:sz w:val="24"/>
          <w:szCs w:val="24"/>
        </w:rPr>
        <w:t>满足环保要求，材料的放射性指标应符合国家相关规定；</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7</w:t>
      </w:r>
      <w:r>
        <w:rPr>
          <w:rFonts w:hint="eastAsia" w:ascii="宋体" w:hAnsi="宋体" w:eastAsia="宋体"/>
          <w:sz w:val="24"/>
          <w:szCs w:val="24"/>
        </w:rPr>
        <w:t xml:space="preserve">  </w:t>
      </w:r>
      <w:r>
        <w:rPr>
          <w:rFonts w:ascii="宋体" w:hAnsi="宋体" w:eastAsia="宋体"/>
          <w:sz w:val="24"/>
          <w:szCs w:val="24"/>
        </w:rPr>
        <w:t>建筑材料的选择与组合应满足地铁车站建筑特点和功能要求，考虑实用和可靠性，根据建筑装修标准和经济条件进行比选，优先采用本地化材料；</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8</w:t>
      </w:r>
      <w:r>
        <w:rPr>
          <w:rFonts w:hint="eastAsia" w:ascii="宋体" w:hAnsi="宋体" w:eastAsia="宋体"/>
          <w:sz w:val="24"/>
          <w:szCs w:val="24"/>
        </w:rPr>
        <w:t xml:space="preserve">  </w:t>
      </w:r>
      <w:r>
        <w:rPr>
          <w:rFonts w:ascii="宋体" w:hAnsi="宋体" w:eastAsia="宋体"/>
          <w:sz w:val="24"/>
          <w:szCs w:val="24"/>
        </w:rPr>
        <w:t>各种吊杆、吊件及与主体结构相连的构配件，必须满足施工工艺和强度要求；凡外露的金属、玻璃等切割、焊接加件，均须作倒角、磨光、抛光处理。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7.1.</w:t>
      </w:r>
      <w:r>
        <w:rPr>
          <w:rFonts w:hint="eastAsia" w:ascii="宋体" w:hAnsi="宋体" w:eastAsia="宋体"/>
          <w:b/>
          <w:sz w:val="24"/>
          <w:szCs w:val="24"/>
        </w:rPr>
        <w:t xml:space="preserve">4  </w:t>
      </w:r>
      <w:r>
        <w:rPr>
          <w:rFonts w:hint="eastAsia" w:ascii="宋体" w:hAnsi="宋体"/>
          <w:sz w:val="24"/>
          <w:szCs w:val="24"/>
        </w:rPr>
        <w:t>空调冷源的性能系数（COP）、综合部分负荷性能系数(IPLV)、电冷源综合制冷性能系数(SCOP)应符合现行国家标准《公共建筑节能设计标准》GB 50189和广东省标准《〈公共建筑节能设计标准〉广东省实施细则》DBJ15-51的规定。</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7</w:t>
      </w:r>
      <w:r>
        <w:rPr>
          <w:rFonts w:ascii="宋体" w:hAnsi="宋体" w:eastAsia="宋体"/>
          <w:b/>
          <w:sz w:val="24"/>
          <w:szCs w:val="24"/>
        </w:rPr>
        <w:t>.1.</w:t>
      </w:r>
      <w:r>
        <w:rPr>
          <w:rFonts w:hint="eastAsia" w:ascii="宋体" w:hAnsi="宋体" w:eastAsia="宋体"/>
          <w:b/>
          <w:sz w:val="24"/>
          <w:szCs w:val="24"/>
        </w:rPr>
        <w:t xml:space="preserve">5  </w:t>
      </w:r>
      <w:r>
        <w:rPr>
          <w:rFonts w:hint="eastAsia" w:ascii="宋体" w:hAnsi="宋体" w:eastAsia="宋体"/>
          <w:sz w:val="24"/>
          <w:szCs w:val="24"/>
        </w:rPr>
        <w:t>冷源、输配系统和照明等各部分能耗应进行独立分项计量。</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7.1.</w:t>
      </w:r>
      <w:r>
        <w:rPr>
          <w:rFonts w:hint="eastAsia" w:ascii="宋体" w:hAnsi="宋体" w:eastAsia="宋体"/>
          <w:b/>
          <w:sz w:val="24"/>
          <w:szCs w:val="24"/>
        </w:rPr>
        <w:t xml:space="preserve">6  </w:t>
      </w:r>
      <w:r>
        <w:rPr>
          <w:rFonts w:hint="eastAsia" w:ascii="宋体" w:hAnsi="宋体" w:eastAsia="宋体" w:cs="宋体"/>
          <w:sz w:val="24"/>
          <w:szCs w:val="24"/>
        </w:rPr>
        <w:t>给排水系统</w:t>
      </w:r>
      <w:r>
        <w:rPr>
          <w:rFonts w:hint="eastAsia" w:ascii="宋体" w:hAnsi="宋体" w:eastAsia="宋体" w:cs="宋体"/>
          <w:bCs/>
          <w:sz w:val="24"/>
          <w:szCs w:val="24"/>
        </w:rPr>
        <w:t>应</w:t>
      </w:r>
      <w:r>
        <w:rPr>
          <w:rFonts w:hint="eastAsia" w:ascii="宋体" w:hAnsi="宋体" w:eastAsia="宋体" w:cs="宋体"/>
          <w:sz w:val="24"/>
          <w:szCs w:val="24"/>
        </w:rPr>
        <w:t>制定水资源利用方案，统筹利用各种水资源。</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7.1.</w:t>
      </w:r>
      <w:r>
        <w:rPr>
          <w:rFonts w:hint="eastAsia" w:ascii="宋体" w:hAnsi="宋体" w:eastAsia="宋体"/>
          <w:b/>
          <w:sz w:val="24"/>
          <w:szCs w:val="24"/>
        </w:rPr>
        <w:t xml:space="preserve">7  </w:t>
      </w:r>
      <w:r>
        <w:rPr>
          <w:rFonts w:hint="eastAsia" w:ascii="宋体" w:hAnsi="宋体" w:eastAsia="宋体" w:cs="宋体"/>
          <w:sz w:val="24"/>
          <w:szCs w:val="24"/>
        </w:rPr>
        <w:t>给排水系统设置应合理、完善、安全。</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7.1.</w:t>
      </w:r>
      <w:r>
        <w:rPr>
          <w:rFonts w:hint="eastAsia" w:ascii="宋体" w:hAnsi="宋体" w:eastAsia="宋体"/>
          <w:b/>
          <w:sz w:val="24"/>
          <w:szCs w:val="24"/>
        </w:rPr>
        <w:t xml:space="preserve">8  </w:t>
      </w:r>
      <w:r>
        <w:rPr>
          <w:rFonts w:hint="eastAsia" w:ascii="宋体" w:hAnsi="宋体" w:eastAsia="宋体" w:cs="宋体"/>
          <w:sz w:val="24"/>
          <w:szCs w:val="24"/>
        </w:rPr>
        <w:t>给排水系统</w:t>
      </w:r>
      <w:r>
        <w:rPr>
          <w:rFonts w:hint="eastAsia" w:ascii="宋体" w:hAnsi="宋体" w:eastAsia="宋体" w:cs="宋体"/>
          <w:bCs/>
          <w:sz w:val="24"/>
          <w:szCs w:val="24"/>
        </w:rPr>
        <w:t>应</w:t>
      </w:r>
      <w:r>
        <w:rPr>
          <w:rFonts w:hint="eastAsia" w:ascii="宋体" w:hAnsi="宋体" w:eastAsia="宋体" w:cs="宋体"/>
          <w:sz w:val="24"/>
          <w:szCs w:val="24"/>
        </w:rPr>
        <w:t>采用节水节能型卫生器具及设备。</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7.1.9  </w:t>
      </w:r>
      <w:r>
        <w:rPr>
          <w:rFonts w:hint="eastAsia" w:ascii="宋体" w:hAnsi="宋体" w:eastAsia="宋体"/>
          <w:sz w:val="24"/>
          <w:szCs w:val="24"/>
        </w:rPr>
        <w:t>供电系统应根据线路的用电容量、供电距离、城市电网现状及规划等因素，并结合线网的资源共享，合理选择供电系统各级电压等级及牵引供电制式</w:t>
      </w:r>
      <w:r>
        <w:rPr>
          <w:rFonts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7.1.10  </w:t>
      </w:r>
      <w:r>
        <w:rPr>
          <w:rFonts w:ascii="宋体" w:hAnsi="宋体" w:eastAsia="宋体"/>
          <w:sz w:val="24"/>
          <w:szCs w:val="24"/>
        </w:rPr>
        <w:t>主变电所、牵引变电所</w:t>
      </w:r>
      <w:r>
        <w:rPr>
          <w:rFonts w:hint="eastAsia" w:ascii="宋体" w:hAnsi="宋体" w:eastAsia="宋体"/>
          <w:sz w:val="24"/>
          <w:szCs w:val="24"/>
        </w:rPr>
        <w:t>、</w:t>
      </w:r>
      <w:r>
        <w:rPr>
          <w:rFonts w:ascii="宋体" w:hAnsi="宋体" w:eastAsia="宋体"/>
          <w:sz w:val="24"/>
          <w:szCs w:val="24"/>
        </w:rPr>
        <w:t>降压变电所的设置及容量的配置应合理，系统运行方式宜灵活</w:t>
      </w:r>
      <w:r>
        <w:rPr>
          <w:rFonts w:hint="eastAsia" w:ascii="宋体" w:hAnsi="宋体" w:eastAsia="宋体"/>
          <w:sz w:val="24"/>
          <w:szCs w:val="24"/>
        </w:rPr>
        <w:t>。</w:t>
      </w:r>
    </w:p>
    <w:p>
      <w:pPr>
        <w:spacing w:line="360" w:lineRule="auto"/>
        <w:jc w:val="left"/>
        <w:rPr>
          <w:rFonts w:ascii="宋体" w:hAnsi="宋体" w:eastAsia="宋体"/>
          <w:b/>
          <w:sz w:val="24"/>
          <w:szCs w:val="24"/>
        </w:rPr>
      </w:pPr>
      <w:r>
        <w:rPr>
          <w:rFonts w:ascii="宋体" w:hAnsi="宋体" w:eastAsia="宋体"/>
          <w:b/>
          <w:sz w:val="24"/>
          <w:szCs w:val="24"/>
        </w:rPr>
        <w:t>7.1.1</w:t>
      </w:r>
      <w:r>
        <w:rPr>
          <w:rFonts w:hint="eastAsia" w:ascii="宋体" w:hAnsi="宋体" w:eastAsia="宋体"/>
          <w:b/>
          <w:sz w:val="24"/>
          <w:szCs w:val="24"/>
        </w:rPr>
        <w:t xml:space="preserve">1  </w:t>
      </w:r>
      <w:r>
        <w:rPr>
          <w:rFonts w:ascii="宋体" w:hAnsi="宋体" w:eastAsia="宋体"/>
          <w:sz w:val="24"/>
          <w:szCs w:val="24"/>
        </w:rPr>
        <w:t>照明功率密度值</w:t>
      </w:r>
      <w:r>
        <w:rPr>
          <w:rFonts w:hint="eastAsia" w:ascii="宋体" w:hAnsi="宋体" w:eastAsia="宋体"/>
          <w:sz w:val="24"/>
          <w:szCs w:val="24"/>
        </w:rPr>
        <w:t>应达到</w:t>
      </w:r>
      <w:r>
        <w:rPr>
          <w:rFonts w:ascii="宋体" w:hAnsi="宋体" w:eastAsia="宋体"/>
          <w:sz w:val="24"/>
          <w:szCs w:val="24"/>
        </w:rPr>
        <w:t>国家标准《建筑照明设计标准》GB50034规定的</w:t>
      </w:r>
      <w:r>
        <w:rPr>
          <w:rFonts w:hint="eastAsia" w:ascii="宋体" w:hAnsi="宋体" w:eastAsia="宋体"/>
          <w:sz w:val="24"/>
          <w:szCs w:val="24"/>
        </w:rPr>
        <w:t>目标</w:t>
      </w:r>
      <w:r>
        <w:rPr>
          <w:rFonts w:ascii="宋体" w:hAnsi="宋体" w:eastAsia="宋体"/>
          <w:sz w:val="24"/>
          <w:szCs w:val="24"/>
        </w:rPr>
        <w:t>值。</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7.1.1</w:t>
      </w:r>
      <w:r>
        <w:rPr>
          <w:rFonts w:hint="eastAsia" w:ascii="宋体" w:hAnsi="宋体" w:eastAsia="宋体"/>
          <w:b/>
          <w:sz w:val="24"/>
          <w:szCs w:val="24"/>
        </w:rPr>
        <w:t xml:space="preserve">2  </w:t>
      </w:r>
      <w:r>
        <w:rPr>
          <w:rFonts w:ascii="宋体" w:hAnsi="宋体" w:eastAsia="宋体"/>
          <w:sz w:val="24"/>
          <w:szCs w:val="24"/>
        </w:rPr>
        <w:t>应满足现行国家标准《用能单位能源计量器具配备和管理通则》GB 17167的有关规定，建立能源管理体系，提高能源利用效率。</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7.1.1</w:t>
      </w:r>
      <w:r>
        <w:rPr>
          <w:rFonts w:hint="eastAsia" w:ascii="宋体" w:hAnsi="宋体" w:eastAsia="宋体"/>
          <w:b/>
          <w:sz w:val="24"/>
          <w:szCs w:val="24"/>
        </w:rPr>
        <w:t xml:space="preserve">3  </w:t>
      </w:r>
      <w:r>
        <w:rPr>
          <w:rFonts w:ascii="宋体" w:hAnsi="宋体" w:eastAsia="宋体"/>
          <w:sz w:val="24"/>
          <w:szCs w:val="24"/>
        </w:rPr>
        <w:t>自动扶梯与电梯应</w:t>
      </w:r>
      <w:r>
        <w:rPr>
          <w:rFonts w:hint="eastAsia" w:ascii="宋体" w:hAnsi="宋体" w:eastAsia="宋体"/>
          <w:sz w:val="24"/>
          <w:szCs w:val="24"/>
        </w:rPr>
        <w:t>具</w:t>
      </w:r>
      <w:r>
        <w:rPr>
          <w:rFonts w:ascii="宋体" w:hAnsi="宋体" w:eastAsia="宋体"/>
          <w:sz w:val="24"/>
          <w:szCs w:val="24"/>
        </w:rPr>
        <w:t>有变频调速等功能。</w:t>
      </w:r>
    </w:p>
    <w:p>
      <w:pPr>
        <w:adjustRightInd w:val="0"/>
        <w:snapToGrid w:val="0"/>
        <w:spacing w:line="360" w:lineRule="auto"/>
        <w:ind w:firstLine="480" w:firstLineChars="200"/>
        <w:jc w:val="left"/>
        <w:rPr>
          <w:rFonts w:ascii="宋体" w:hAnsi="宋体" w:eastAsia="宋体"/>
          <w:sz w:val="24"/>
          <w:szCs w:val="24"/>
        </w:rPr>
      </w:pPr>
    </w:p>
    <w:p>
      <w:pPr>
        <w:pStyle w:val="3"/>
        <w:spacing w:before="468" w:after="468"/>
      </w:pPr>
      <w:bookmarkStart w:id="42" w:name="_Toc60822243"/>
      <w:bookmarkStart w:id="43" w:name="_Toc77584234"/>
      <w:r>
        <w:t>7.2</w:t>
      </w:r>
      <w:r>
        <w:rPr>
          <w:rFonts w:hint="eastAsia"/>
        </w:rPr>
        <w:t xml:space="preserve">  </w:t>
      </w:r>
      <w:r>
        <w:t>评分项</w:t>
      </w:r>
      <w:bookmarkEnd w:id="42"/>
      <w:bookmarkEnd w:id="43"/>
    </w:p>
    <w:p>
      <w:pPr>
        <w:adjustRightInd w:val="0"/>
        <w:snapToGrid w:val="0"/>
        <w:spacing w:line="360" w:lineRule="auto"/>
        <w:jc w:val="left"/>
        <w:rPr>
          <w:rFonts w:hint="eastAsia" w:ascii="宋体" w:hAnsi="宋体" w:eastAsia="宋体"/>
          <w:sz w:val="24"/>
          <w:szCs w:val="24"/>
          <w:lang w:eastAsia="zh-CN"/>
        </w:rPr>
      </w:pPr>
      <w:r>
        <w:rPr>
          <w:rFonts w:hint="eastAsia" w:ascii="宋体" w:hAnsi="宋体" w:eastAsia="宋体"/>
          <w:b/>
          <w:sz w:val="24"/>
          <w:szCs w:val="24"/>
        </w:rPr>
        <w:t xml:space="preserve">7.2.1 </w:t>
      </w:r>
      <w:r>
        <w:rPr>
          <w:rFonts w:hint="eastAsia" w:ascii="宋体" w:hAnsi="宋体" w:eastAsia="宋体"/>
          <w:sz w:val="24"/>
          <w:szCs w:val="24"/>
        </w:rPr>
        <w:t xml:space="preserve"> </w:t>
      </w:r>
      <w:r>
        <w:rPr>
          <w:rFonts w:ascii="宋体" w:hAnsi="宋体" w:eastAsia="宋体"/>
          <w:sz w:val="24"/>
          <w:szCs w:val="24"/>
        </w:rPr>
        <w:t>运营部门采用节能运行图，评分总分值为</w:t>
      </w:r>
      <w:r>
        <w:rPr>
          <w:rFonts w:hint="eastAsia" w:ascii="宋体" w:hAnsi="宋体" w:eastAsia="宋体"/>
          <w:sz w:val="24"/>
          <w:szCs w:val="24"/>
        </w:rPr>
        <w:t>10</w:t>
      </w:r>
      <w:r>
        <w:rPr>
          <w:rFonts w:ascii="宋体" w:hAnsi="宋体" w:eastAsia="宋体"/>
          <w:sz w:val="24"/>
          <w:szCs w:val="24"/>
        </w:rPr>
        <w:t>分，并按下列规则</w:t>
      </w:r>
      <w:r>
        <w:rPr>
          <w:rFonts w:hint="eastAsia" w:ascii="宋体" w:hAnsi="宋体" w:eastAsia="宋体"/>
          <w:sz w:val="24"/>
          <w:szCs w:val="24"/>
        </w:rPr>
        <w:t>分别</w:t>
      </w:r>
      <w:r>
        <w:rPr>
          <w:rFonts w:ascii="宋体" w:hAnsi="宋体" w:eastAsia="宋体"/>
          <w:sz w:val="24"/>
          <w:szCs w:val="24"/>
        </w:rPr>
        <w:t>评分并累计：</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    </w:t>
      </w: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针对不同时段制定合理开行计划，减少列车全日走行公里数，得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合理分配牵引力及制动力使用系数，适当增加惰行距离，降低列车运行能耗，得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针对给定线路条件及信号系统下，优化发车间隔，增加同一个牵引区间运行的相邻列车牵引和再生制动过程重叠时间，以提高系统再生制动能量的利用效率，得</w:t>
      </w:r>
      <w:r>
        <w:rPr>
          <w:rFonts w:hint="eastAsia" w:ascii="宋体" w:hAnsi="宋体" w:eastAsia="宋体"/>
          <w:sz w:val="24"/>
          <w:szCs w:val="24"/>
        </w:rPr>
        <w:t>4</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2  </w:t>
      </w:r>
      <w:r>
        <w:rPr>
          <w:rFonts w:hint="eastAsia" w:ascii="宋体" w:hAnsi="宋体" w:eastAsia="宋体"/>
          <w:sz w:val="24"/>
          <w:szCs w:val="24"/>
        </w:rPr>
        <w:t>车辆采用轻量化结构设计和轻量化内装材料，</w:t>
      </w:r>
      <w:r>
        <w:rPr>
          <w:rFonts w:ascii="宋体" w:hAnsi="宋体" w:eastAsia="宋体"/>
          <w:sz w:val="24"/>
          <w:szCs w:val="24"/>
        </w:rPr>
        <w:t>评分分值为</w:t>
      </w:r>
      <w:r>
        <w:rPr>
          <w:rFonts w:hint="eastAsia" w:ascii="宋体" w:hAnsi="宋体" w:eastAsia="宋体"/>
          <w:sz w:val="24"/>
          <w:szCs w:val="24"/>
        </w:rPr>
        <w:t>10分，</w:t>
      </w:r>
      <w:r>
        <w:rPr>
          <w:rFonts w:ascii="宋体" w:hAnsi="宋体" w:eastAsia="宋体"/>
          <w:sz w:val="24"/>
          <w:szCs w:val="24"/>
        </w:rPr>
        <w:t>并按下列规则分别评分并累计</w:t>
      </w:r>
      <w:r>
        <w:rPr>
          <w:rFonts w:hint="eastAsia" w:ascii="宋体" w:hAnsi="宋体" w:eastAsia="宋体"/>
          <w:sz w:val="24"/>
          <w:szCs w:val="24"/>
        </w:rPr>
        <w:t>：</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采用碳纤维复合材料高强度车体</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采用轻量化转向架，侧梁、横梁、附加气缸及制动吊座采用高模量碳纤维复合材料，得3分</w:t>
      </w:r>
      <w:r>
        <w:rPr>
          <w:rFonts w:ascii="宋体" w:hAnsi="宋体" w:eastAsia="宋体"/>
          <w:sz w:val="24"/>
          <w:szCs w:val="24"/>
        </w:rPr>
        <w:t>；</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内装中顶板、侧墙板、门立柱罩板采用</w:t>
      </w:r>
      <w:r>
        <w:rPr>
          <w:rFonts w:ascii="宋体" w:hAnsi="宋体" w:eastAsia="宋体"/>
          <w:sz w:val="24"/>
          <w:szCs w:val="24"/>
        </w:rPr>
        <w:t>玻璃纤维预浸料+酚醛发泡板、纤维增强阻燃复合发泡材料等，具有重量轻、较好的隔音效果和防火性能等优点，得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xml:space="preserve">  车门透明区域采用聚碳酸酯材料替代钢化玻璃，得2分。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3  </w:t>
      </w:r>
      <w:r>
        <w:rPr>
          <w:rFonts w:hint="eastAsia" w:ascii="宋体" w:hAnsi="宋体" w:eastAsia="宋体"/>
          <w:sz w:val="24"/>
          <w:szCs w:val="24"/>
        </w:rPr>
        <w:t>列车牵引节能，评价总分值为7分，按下列规则分别评分并累计: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车辆采用交流传动装置，牵引电机效率不小于0.93，得2分，不小于0.97，得4分。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列车拖动比采用3:1，得1分；采用2:1，得2分；采用1:1，得3分。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4  </w:t>
      </w:r>
      <w:r>
        <w:rPr>
          <w:rFonts w:ascii="宋体" w:hAnsi="宋体" w:eastAsia="宋体"/>
          <w:sz w:val="24"/>
          <w:szCs w:val="24"/>
        </w:rPr>
        <w:t>正线线路平面曲线长度占线路总长度比值，评价总分值为</w:t>
      </w:r>
      <w:r>
        <w:rPr>
          <w:rFonts w:hint="eastAsia" w:ascii="宋体" w:hAnsi="宋体" w:eastAsia="宋体"/>
          <w:sz w:val="24"/>
          <w:szCs w:val="24"/>
        </w:rPr>
        <w:t>6</w:t>
      </w:r>
      <w:r>
        <w:rPr>
          <w:rFonts w:ascii="宋体" w:hAnsi="宋体" w:eastAsia="宋体"/>
          <w:sz w:val="24"/>
          <w:szCs w:val="24"/>
        </w:rPr>
        <w:t>分，并按下列规则评分：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正线线路平面曲线长度占线路总长度比值i，45%至</w:t>
      </w:r>
      <w:r>
        <w:rPr>
          <w:rFonts w:hint="eastAsia" w:ascii="宋体" w:hAnsi="宋体" w:eastAsia="宋体"/>
          <w:sz w:val="24"/>
          <w:szCs w:val="24"/>
        </w:rPr>
        <w:t>6</w:t>
      </w:r>
      <w:r>
        <w:rPr>
          <w:rFonts w:ascii="宋体" w:hAnsi="宋体" w:eastAsia="宋体"/>
          <w:sz w:val="24"/>
          <w:szCs w:val="24"/>
        </w:rPr>
        <w:t>0%按照</w:t>
      </w:r>
      <w:r>
        <w:rPr>
          <w:rFonts w:hint="eastAsia" w:ascii="宋体" w:hAnsi="宋体" w:eastAsia="宋体"/>
          <w:sz w:val="24"/>
          <w:szCs w:val="24"/>
        </w:rPr>
        <w:t>24-40i计算</w:t>
      </w:r>
      <w:r>
        <w:rPr>
          <w:rFonts w:ascii="宋体" w:hAnsi="宋体" w:eastAsia="宋体"/>
          <w:sz w:val="24"/>
          <w:szCs w:val="24"/>
        </w:rPr>
        <w:t xml:space="preserve">得分； </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正线线路平面曲线长度占曲线总长度比值i，45%及以下，得</w:t>
      </w:r>
      <w:r>
        <w:rPr>
          <w:rFonts w:hint="eastAsia" w:ascii="宋体" w:hAnsi="宋体" w:eastAsia="宋体"/>
          <w:sz w:val="24"/>
          <w:szCs w:val="24"/>
        </w:rPr>
        <w:t>6</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5  </w:t>
      </w:r>
      <w:r>
        <w:rPr>
          <w:rFonts w:ascii="宋体" w:hAnsi="宋体" w:eastAsia="宋体"/>
          <w:sz w:val="24"/>
          <w:szCs w:val="24"/>
        </w:rPr>
        <w:t>正线线路平面限速曲线长度占曲线总长度比值，评价总分值为</w:t>
      </w:r>
      <w:r>
        <w:rPr>
          <w:rFonts w:hint="eastAsia" w:ascii="宋体" w:hAnsi="宋体" w:eastAsia="宋体"/>
          <w:sz w:val="24"/>
          <w:szCs w:val="24"/>
        </w:rPr>
        <w:t>6</w:t>
      </w:r>
      <w:r>
        <w:rPr>
          <w:rFonts w:ascii="宋体" w:hAnsi="宋体" w:eastAsia="宋体"/>
          <w:sz w:val="24"/>
          <w:szCs w:val="24"/>
        </w:rPr>
        <w:t>分，并按下列规则评分：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正线线路平面限速曲线长度占曲线总长度比值i限速比，10%至</w:t>
      </w:r>
      <w:r>
        <w:rPr>
          <w:rFonts w:hint="eastAsia" w:ascii="宋体" w:hAnsi="宋体" w:eastAsia="宋体"/>
          <w:sz w:val="24"/>
          <w:szCs w:val="24"/>
        </w:rPr>
        <w:t>6</w:t>
      </w:r>
      <w:r>
        <w:rPr>
          <w:rFonts w:ascii="宋体" w:hAnsi="宋体" w:eastAsia="宋体"/>
          <w:sz w:val="24"/>
          <w:szCs w:val="24"/>
        </w:rPr>
        <w:t>0%按照</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7.2-12i计算</w:t>
      </w:r>
      <w:r>
        <w:rPr>
          <w:rFonts w:ascii="宋体" w:hAnsi="宋体" w:eastAsia="宋体"/>
          <w:sz w:val="24"/>
          <w:szCs w:val="24"/>
        </w:rPr>
        <w:t xml:space="preserve">得分； </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正线线路平面限速曲线长度占曲线总长度比值i</w:t>
      </w:r>
      <w:r>
        <w:rPr>
          <w:rFonts w:ascii="宋体" w:hAnsi="宋体" w:eastAsia="宋体"/>
          <w:sz w:val="24"/>
          <w:szCs w:val="24"/>
          <w:vertAlign w:val="subscript"/>
        </w:rPr>
        <w:t>限速比</w:t>
      </w:r>
      <w:r>
        <w:rPr>
          <w:rFonts w:ascii="宋体" w:hAnsi="宋体" w:eastAsia="宋体"/>
          <w:sz w:val="24"/>
          <w:szCs w:val="24"/>
        </w:rPr>
        <w:t>为10%及以下，得</w:t>
      </w:r>
      <w:r>
        <w:rPr>
          <w:rFonts w:hint="eastAsia" w:ascii="宋体" w:hAnsi="宋体" w:eastAsia="宋体"/>
          <w:sz w:val="24"/>
          <w:szCs w:val="24"/>
        </w:rPr>
        <w:t>6</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6  </w:t>
      </w:r>
      <w:r>
        <w:rPr>
          <w:rFonts w:hint="eastAsia" w:ascii="宋体" w:hAnsi="宋体" w:eastAsia="宋体"/>
          <w:sz w:val="24"/>
          <w:szCs w:val="24"/>
        </w:rPr>
        <w:t>全线运行速度达到最高设计速度9</w:t>
      </w:r>
      <w:r>
        <w:rPr>
          <w:rFonts w:ascii="宋体" w:hAnsi="宋体" w:eastAsia="宋体"/>
          <w:sz w:val="24"/>
          <w:szCs w:val="24"/>
        </w:rPr>
        <w:t>0</w:t>
      </w:r>
      <w:r>
        <w:rPr>
          <w:rFonts w:hint="eastAsia" w:ascii="宋体" w:hAnsi="宋体" w:eastAsia="宋体"/>
          <w:sz w:val="24"/>
          <w:szCs w:val="24"/>
        </w:rPr>
        <w:t>%以上的线路长度占线路总长达</w:t>
      </w:r>
      <w:r>
        <w:rPr>
          <w:rFonts w:ascii="宋体" w:hAnsi="宋体" w:eastAsia="宋体"/>
          <w:sz w:val="24"/>
          <w:szCs w:val="24"/>
        </w:rPr>
        <w:t>50%及以上，</w:t>
      </w:r>
      <w:r>
        <w:rPr>
          <w:rFonts w:hint="eastAsia" w:ascii="宋体" w:hAnsi="宋体" w:eastAsia="宋体"/>
          <w:sz w:val="24"/>
          <w:szCs w:val="24"/>
        </w:rPr>
        <w:t>评价分值为3分。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7  </w:t>
      </w:r>
      <w:r>
        <w:rPr>
          <w:rFonts w:ascii="宋体" w:hAnsi="宋体" w:eastAsia="宋体"/>
          <w:sz w:val="24"/>
          <w:szCs w:val="24"/>
        </w:rPr>
        <w:t>正线线路平面市域车型无采用</w:t>
      </w:r>
      <w:r>
        <w:rPr>
          <w:rFonts w:hint="eastAsia" w:ascii="宋体" w:hAnsi="宋体" w:eastAsia="宋体"/>
          <w:sz w:val="24"/>
          <w:szCs w:val="24"/>
        </w:rPr>
        <w:t>500m以下曲线半径、A/B型车</w:t>
      </w:r>
      <w:r>
        <w:rPr>
          <w:rFonts w:ascii="宋体" w:hAnsi="宋体" w:eastAsia="宋体"/>
          <w:sz w:val="24"/>
          <w:szCs w:val="24"/>
        </w:rPr>
        <w:t>无采用4</w:t>
      </w:r>
      <w:r>
        <w:rPr>
          <w:rFonts w:hint="eastAsia" w:ascii="宋体" w:hAnsi="宋体" w:eastAsia="宋体"/>
          <w:sz w:val="24"/>
          <w:szCs w:val="24"/>
        </w:rPr>
        <w:t>0</w:t>
      </w:r>
      <w:r>
        <w:rPr>
          <w:rFonts w:ascii="宋体" w:hAnsi="宋体" w:eastAsia="宋体"/>
          <w:sz w:val="24"/>
          <w:szCs w:val="24"/>
        </w:rPr>
        <w:t>0m以下曲线半径</w:t>
      </w:r>
      <w:r>
        <w:rPr>
          <w:rFonts w:hint="eastAsia" w:ascii="宋体" w:hAnsi="宋体" w:eastAsia="宋体"/>
          <w:sz w:val="24"/>
          <w:szCs w:val="24"/>
        </w:rPr>
        <w:t>、L型车无采用350m以下</w:t>
      </w:r>
      <w:r>
        <w:rPr>
          <w:rFonts w:ascii="宋体" w:hAnsi="宋体" w:eastAsia="宋体"/>
          <w:sz w:val="24"/>
          <w:szCs w:val="24"/>
        </w:rPr>
        <w:t>曲线半径，</w:t>
      </w:r>
      <w:r>
        <w:rPr>
          <w:rFonts w:hint="eastAsia" w:ascii="宋体" w:hAnsi="宋体" w:eastAsia="宋体"/>
          <w:sz w:val="24"/>
          <w:szCs w:val="24"/>
        </w:rPr>
        <w:t>评价分值为3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8  </w:t>
      </w:r>
      <w:r>
        <w:rPr>
          <w:rFonts w:ascii="宋体" w:hAnsi="宋体" w:eastAsia="宋体"/>
          <w:sz w:val="24"/>
          <w:szCs w:val="24"/>
        </w:rPr>
        <w:t>地下敷设线路，纵断面设置为“高站位、低区间”节能坡的车站数占总车站数的比值，评价总分值为</w:t>
      </w:r>
      <w:r>
        <w:rPr>
          <w:rFonts w:hint="eastAsia" w:ascii="宋体" w:hAnsi="宋体" w:eastAsia="宋体"/>
          <w:sz w:val="24"/>
          <w:szCs w:val="24"/>
        </w:rPr>
        <w:t>10</w:t>
      </w:r>
      <w:r>
        <w:rPr>
          <w:rFonts w:ascii="宋体" w:hAnsi="宋体" w:eastAsia="宋体"/>
          <w:sz w:val="24"/>
          <w:szCs w:val="24"/>
        </w:rPr>
        <w:t>分，并按下列规则评分：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纵断面设置为“高站位、低区间”的设置节能坡车站数占总车站数的比值，</w:t>
      </w:r>
      <w:r>
        <w:rPr>
          <w:rFonts w:hint="eastAsia" w:ascii="宋体" w:hAnsi="宋体" w:eastAsia="宋体"/>
          <w:sz w:val="24"/>
          <w:szCs w:val="24"/>
        </w:rPr>
        <w:t>5</w:t>
      </w:r>
      <w:r>
        <w:rPr>
          <w:rFonts w:ascii="宋体" w:hAnsi="宋体" w:eastAsia="宋体"/>
          <w:sz w:val="24"/>
          <w:szCs w:val="24"/>
        </w:rPr>
        <w:t>0%至</w:t>
      </w:r>
      <w:r>
        <w:rPr>
          <w:rFonts w:hint="eastAsia" w:ascii="宋体" w:hAnsi="宋体" w:eastAsia="宋体"/>
          <w:sz w:val="24"/>
          <w:szCs w:val="24"/>
        </w:rPr>
        <w:t>6</w:t>
      </w:r>
      <w:r>
        <w:rPr>
          <w:rFonts w:ascii="宋体" w:hAnsi="宋体" w:eastAsia="宋体"/>
          <w:sz w:val="24"/>
          <w:szCs w:val="24"/>
        </w:rPr>
        <w:t>0%（含</w:t>
      </w:r>
      <w:r>
        <w:rPr>
          <w:rFonts w:hint="eastAsia" w:ascii="宋体" w:hAnsi="宋体" w:eastAsia="宋体"/>
          <w:sz w:val="24"/>
          <w:szCs w:val="24"/>
        </w:rPr>
        <w:t>5</w:t>
      </w:r>
      <w:r>
        <w:rPr>
          <w:rFonts w:ascii="宋体" w:hAnsi="宋体" w:eastAsia="宋体"/>
          <w:sz w:val="24"/>
          <w:szCs w:val="24"/>
        </w:rPr>
        <w:t>0%）得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纵断面设置为“高站位、低区间”的设置节能坡车站数占总车站数的比值，</w:t>
      </w:r>
      <w:r>
        <w:rPr>
          <w:rFonts w:hint="eastAsia" w:ascii="宋体" w:hAnsi="宋体" w:eastAsia="宋体"/>
          <w:sz w:val="24"/>
          <w:szCs w:val="24"/>
        </w:rPr>
        <w:t>6</w:t>
      </w:r>
      <w:r>
        <w:rPr>
          <w:rFonts w:ascii="宋体" w:hAnsi="宋体" w:eastAsia="宋体"/>
          <w:sz w:val="24"/>
          <w:szCs w:val="24"/>
        </w:rPr>
        <w:t>0%至</w:t>
      </w:r>
      <w:r>
        <w:rPr>
          <w:rFonts w:hint="eastAsia" w:ascii="宋体" w:hAnsi="宋体" w:eastAsia="宋体"/>
          <w:sz w:val="24"/>
          <w:szCs w:val="24"/>
        </w:rPr>
        <w:t>7</w:t>
      </w:r>
      <w:r>
        <w:rPr>
          <w:rFonts w:ascii="宋体" w:hAnsi="宋体" w:eastAsia="宋体"/>
          <w:sz w:val="24"/>
          <w:szCs w:val="24"/>
        </w:rPr>
        <w:t>0%（含</w:t>
      </w:r>
      <w:r>
        <w:rPr>
          <w:rFonts w:hint="eastAsia" w:ascii="宋体" w:hAnsi="宋体" w:eastAsia="宋体"/>
          <w:sz w:val="24"/>
          <w:szCs w:val="24"/>
        </w:rPr>
        <w:t>6</w:t>
      </w:r>
      <w:r>
        <w:rPr>
          <w:rFonts w:ascii="宋体" w:hAnsi="宋体" w:eastAsia="宋体"/>
          <w:sz w:val="24"/>
          <w:szCs w:val="24"/>
        </w:rPr>
        <w:t>0%）得</w:t>
      </w:r>
      <w:r>
        <w:rPr>
          <w:rFonts w:hint="eastAsia" w:ascii="宋体" w:hAnsi="宋体" w:eastAsia="宋体"/>
          <w:sz w:val="24"/>
          <w:szCs w:val="24"/>
        </w:rPr>
        <w:t>4</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纵断面设置为“高站位、低区间”的设置节能坡车站数占总车站数的比值，</w:t>
      </w:r>
      <w:r>
        <w:rPr>
          <w:rFonts w:hint="eastAsia" w:ascii="宋体" w:hAnsi="宋体" w:eastAsia="宋体"/>
          <w:sz w:val="24"/>
          <w:szCs w:val="24"/>
        </w:rPr>
        <w:t>7</w:t>
      </w:r>
      <w:r>
        <w:rPr>
          <w:rFonts w:ascii="宋体" w:hAnsi="宋体" w:eastAsia="宋体"/>
          <w:sz w:val="24"/>
          <w:szCs w:val="24"/>
        </w:rPr>
        <w:t>0%至</w:t>
      </w:r>
      <w:r>
        <w:rPr>
          <w:rFonts w:hint="eastAsia" w:ascii="宋体" w:hAnsi="宋体" w:eastAsia="宋体"/>
          <w:sz w:val="24"/>
          <w:szCs w:val="24"/>
        </w:rPr>
        <w:t>8</w:t>
      </w:r>
      <w:r>
        <w:rPr>
          <w:rFonts w:ascii="宋体" w:hAnsi="宋体" w:eastAsia="宋体"/>
          <w:sz w:val="24"/>
          <w:szCs w:val="24"/>
        </w:rPr>
        <w:t>0%（含</w:t>
      </w:r>
      <w:r>
        <w:rPr>
          <w:rFonts w:hint="eastAsia" w:ascii="宋体" w:hAnsi="宋体" w:eastAsia="宋体"/>
          <w:sz w:val="24"/>
          <w:szCs w:val="24"/>
        </w:rPr>
        <w:t>7</w:t>
      </w:r>
      <w:r>
        <w:rPr>
          <w:rFonts w:ascii="宋体" w:hAnsi="宋体" w:eastAsia="宋体"/>
          <w:sz w:val="24"/>
          <w:szCs w:val="24"/>
        </w:rPr>
        <w:t>0%）得</w:t>
      </w:r>
      <w:r>
        <w:rPr>
          <w:rFonts w:hint="eastAsia" w:ascii="宋体" w:hAnsi="宋体" w:eastAsia="宋体"/>
          <w:sz w:val="24"/>
          <w:szCs w:val="24"/>
        </w:rPr>
        <w:t>6</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w:t>
      </w:r>
      <w:r>
        <w:rPr>
          <w:rFonts w:ascii="宋体" w:hAnsi="宋体" w:eastAsia="宋体"/>
          <w:sz w:val="24"/>
          <w:szCs w:val="24"/>
        </w:rPr>
        <w:t xml:space="preserve"> 纵断面设置为“高站位、低区间”的设置节能坡车站数占总车站数的比值，</w:t>
      </w:r>
      <w:r>
        <w:rPr>
          <w:rFonts w:hint="eastAsia" w:ascii="宋体" w:hAnsi="宋体" w:eastAsia="宋体"/>
          <w:sz w:val="24"/>
          <w:szCs w:val="24"/>
        </w:rPr>
        <w:t>8</w:t>
      </w:r>
      <w:r>
        <w:rPr>
          <w:rFonts w:ascii="宋体" w:hAnsi="宋体" w:eastAsia="宋体"/>
          <w:sz w:val="24"/>
          <w:szCs w:val="24"/>
        </w:rPr>
        <w:t>0%至</w:t>
      </w:r>
      <w:r>
        <w:rPr>
          <w:rFonts w:hint="eastAsia" w:ascii="宋体" w:hAnsi="宋体" w:eastAsia="宋体"/>
          <w:sz w:val="24"/>
          <w:szCs w:val="24"/>
        </w:rPr>
        <w:t>9</w:t>
      </w:r>
      <w:r>
        <w:rPr>
          <w:rFonts w:ascii="宋体" w:hAnsi="宋体" w:eastAsia="宋体"/>
          <w:sz w:val="24"/>
          <w:szCs w:val="24"/>
        </w:rPr>
        <w:t>0%（含</w:t>
      </w:r>
      <w:r>
        <w:rPr>
          <w:rFonts w:hint="eastAsia" w:ascii="宋体" w:hAnsi="宋体" w:eastAsia="宋体"/>
          <w:sz w:val="24"/>
          <w:szCs w:val="24"/>
        </w:rPr>
        <w:t>8</w:t>
      </w:r>
      <w:r>
        <w:rPr>
          <w:rFonts w:ascii="宋体" w:hAnsi="宋体" w:eastAsia="宋体"/>
          <w:sz w:val="24"/>
          <w:szCs w:val="24"/>
        </w:rPr>
        <w:t>0%）得</w:t>
      </w:r>
      <w:r>
        <w:rPr>
          <w:rFonts w:hint="eastAsia" w:ascii="宋体" w:hAnsi="宋体" w:eastAsia="宋体"/>
          <w:sz w:val="24"/>
          <w:szCs w:val="24"/>
        </w:rPr>
        <w:t>8</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5</w:t>
      </w:r>
      <w:r>
        <w:rPr>
          <w:rFonts w:hint="eastAsia" w:ascii="宋体" w:hAnsi="宋体" w:eastAsia="宋体"/>
          <w:sz w:val="24"/>
          <w:szCs w:val="24"/>
        </w:rPr>
        <w:t xml:space="preserve"> </w:t>
      </w:r>
      <w:r>
        <w:rPr>
          <w:rFonts w:ascii="宋体" w:hAnsi="宋体" w:eastAsia="宋体"/>
          <w:sz w:val="24"/>
          <w:szCs w:val="24"/>
        </w:rPr>
        <w:t xml:space="preserve"> 纵断面设置为“高站位、</w:t>
      </w:r>
      <w:r>
        <w:rPr>
          <w:rFonts w:hint="eastAsia" w:ascii="宋体" w:hAnsi="宋体" w:eastAsia="宋体"/>
          <w:sz w:val="24"/>
          <w:szCs w:val="24"/>
        </w:rPr>
        <w:t>低</w:t>
      </w:r>
      <w:r>
        <w:rPr>
          <w:rFonts w:ascii="宋体" w:hAnsi="宋体" w:eastAsia="宋体"/>
          <w:sz w:val="24"/>
          <w:szCs w:val="24"/>
        </w:rPr>
        <w:t>区间”的设置节能坡车站数占总车站数的比值，90%及以上，得</w:t>
      </w:r>
      <w:r>
        <w:rPr>
          <w:rFonts w:hint="eastAsia" w:ascii="宋体" w:hAnsi="宋体" w:eastAsia="宋体"/>
          <w:sz w:val="24"/>
          <w:szCs w:val="24"/>
        </w:rPr>
        <w:t>10</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9  </w:t>
      </w:r>
      <w:r>
        <w:rPr>
          <w:rFonts w:hint="eastAsia" w:ascii="宋体" w:hAnsi="宋体" w:eastAsia="宋体"/>
          <w:sz w:val="24"/>
          <w:szCs w:val="24"/>
        </w:rPr>
        <w:t>扣件、道岔</w:t>
      </w:r>
      <w:r>
        <w:rPr>
          <w:rFonts w:ascii="宋体" w:hAnsi="宋体" w:eastAsia="宋体"/>
          <w:sz w:val="24"/>
          <w:szCs w:val="24"/>
        </w:rPr>
        <w:t>采用线网标准件，以减少备品备件种类、节约运营维护成本</w:t>
      </w:r>
      <w:r>
        <w:rPr>
          <w:rFonts w:hint="eastAsia" w:ascii="宋体" w:hAnsi="宋体" w:eastAsia="宋体"/>
          <w:sz w:val="24"/>
          <w:szCs w:val="24"/>
        </w:rPr>
        <w:t>，评价分值为2</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10  </w:t>
      </w:r>
      <w:r>
        <w:rPr>
          <w:rFonts w:ascii="宋体" w:hAnsi="宋体" w:eastAsia="宋体"/>
          <w:sz w:val="24"/>
          <w:szCs w:val="24"/>
        </w:rPr>
        <w:t>车站出入口及风亭、装修与相邻地块内的建筑物或景观</w:t>
      </w:r>
      <w:r>
        <w:rPr>
          <w:rFonts w:hint="eastAsia" w:ascii="宋体" w:hAnsi="宋体" w:eastAsia="宋体"/>
          <w:sz w:val="24"/>
          <w:szCs w:val="24"/>
        </w:rPr>
        <w:t>一体化设计</w:t>
      </w:r>
      <w:r>
        <w:rPr>
          <w:rFonts w:ascii="宋体" w:hAnsi="宋体" w:eastAsia="宋体"/>
          <w:sz w:val="24"/>
          <w:szCs w:val="24"/>
        </w:rPr>
        <w:t>，实现土地整合利用，减少城市空间影响，评价总分值为</w:t>
      </w:r>
      <w:r>
        <w:rPr>
          <w:rFonts w:hint="eastAsia" w:ascii="宋体" w:hAnsi="宋体" w:eastAsia="宋体"/>
          <w:sz w:val="24"/>
          <w:szCs w:val="24"/>
        </w:rPr>
        <w:t>5</w:t>
      </w:r>
      <w:r>
        <w:rPr>
          <w:rFonts w:ascii="宋体" w:hAnsi="宋体" w:eastAsia="宋体"/>
          <w:sz w:val="24"/>
          <w:szCs w:val="24"/>
        </w:rPr>
        <w:t xml:space="preserve">分，并按下列规则评分： </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有1组</w:t>
      </w:r>
      <w:r>
        <w:rPr>
          <w:rFonts w:ascii="宋体" w:hAnsi="宋体" w:eastAsia="宋体"/>
          <w:sz w:val="24"/>
          <w:szCs w:val="24"/>
        </w:rPr>
        <w:t>出入口或风亭</w:t>
      </w:r>
      <w:r>
        <w:rPr>
          <w:rFonts w:hint="eastAsia" w:ascii="宋体" w:hAnsi="宋体" w:eastAsia="宋体"/>
          <w:sz w:val="24"/>
          <w:szCs w:val="24"/>
        </w:rPr>
        <w:t>等地面附属设施与</w:t>
      </w:r>
      <w:r>
        <w:rPr>
          <w:rFonts w:ascii="宋体" w:hAnsi="宋体" w:eastAsia="宋体"/>
          <w:sz w:val="24"/>
          <w:szCs w:val="24"/>
        </w:rPr>
        <w:t>地块内建筑物</w:t>
      </w:r>
      <w:r>
        <w:rPr>
          <w:rFonts w:hint="eastAsia" w:ascii="宋体" w:hAnsi="宋体" w:eastAsia="宋体"/>
          <w:sz w:val="24"/>
          <w:szCs w:val="24"/>
        </w:rPr>
        <w:t>或景观一体化设计</w:t>
      </w:r>
      <w:r>
        <w:rPr>
          <w:rFonts w:ascii="宋体" w:hAnsi="宋体" w:eastAsia="宋体"/>
          <w:sz w:val="24"/>
          <w:szCs w:val="24"/>
        </w:rPr>
        <w:t>，</w:t>
      </w:r>
      <w:r>
        <w:rPr>
          <w:rFonts w:hint="eastAsia" w:ascii="宋体" w:hAnsi="宋体" w:eastAsia="宋体"/>
          <w:sz w:val="24"/>
          <w:szCs w:val="24"/>
        </w:rPr>
        <w:t>得3</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有2组</w:t>
      </w:r>
      <w:r>
        <w:rPr>
          <w:rFonts w:ascii="宋体" w:hAnsi="宋体" w:eastAsia="宋体"/>
          <w:sz w:val="24"/>
          <w:szCs w:val="24"/>
        </w:rPr>
        <w:t>出入口或风亭</w:t>
      </w:r>
      <w:r>
        <w:rPr>
          <w:rFonts w:hint="eastAsia" w:ascii="宋体" w:hAnsi="宋体" w:eastAsia="宋体"/>
          <w:sz w:val="24"/>
          <w:szCs w:val="24"/>
        </w:rPr>
        <w:t>等地面附属设施与</w:t>
      </w:r>
      <w:r>
        <w:rPr>
          <w:rFonts w:ascii="宋体" w:hAnsi="宋体" w:eastAsia="宋体"/>
          <w:sz w:val="24"/>
          <w:szCs w:val="24"/>
        </w:rPr>
        <w:t>地块内建筑物</w:t>
      </w:r>
      <w:r>
        <w:rPr>
          <w:rFonts w:hint="eastAsia" w:ascii="宋体" w:hAnsi="宋体" w:eastAsia="宋体"/>
          <w:sz w:val="24"/>
          <w:szCs w:val="24"/>
        </w:rPr>
        <w:t>或景观一体化设计</w:t>
      </w:r>
      <w:r>
        <w:rPr>
          <w:rFonts w:ascii="宋体" w:hAnsi="宋体" w:eastAsia="宋体"/>
          <w:sz w:val="24"/>
          <w:szCs w:val="24"/>
        </w:rPr>
        <w:t>，</w:t>
      </w:r>
      <w:r>
        <w:rPr>
          <w:rFonts w:hint="eastAsia" w:ascii="宋体" w:hAnsi="宋体" w:eastAsia="宋体"/>
          <w:sz w:val="24"/>
          <w:szCs w:val="24"/>
        </w:rPr>
        <w:t>得4</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全部</w:t>
      </w:r>
      <w:r>
        <w:rPr>
          <w:rFonts w:ascii="宋体" w:hAnsi="宋体" w:eastAsia="宋体"/>
          <w:sz w:val="24"/>
          <w:szCs w:val="24"/>
        </w:rPr>
        <w:t>出入口或风亭</w:t>
      </w:r>
      <w:r>
        <w:rPr>
          <w:rFonts w:hint="eastAsia" w:ascii="宋体" w:hAnsi="宋体" w:eastAsia="宋体"/>
          <w:sz w:val="24"/>
          <w:szCs w:val="24"/>
        </w:rPr>
        <w:t>等地面附属设施与</w:t>
      </w:r>
      <w:r>
        <w:rPr>
          <w:rFonts w:ascii="宋体" w:hAnsi="宋体" w:eastAsia="宋体"/>
          <w:sz w:val="24"/>
          <w:szCs w:val="24"/>
        </w:rPr>
        <w:t>地块内建筑物</w:t>
      </w:r>
      <w:r>
        <w:rPr>
          <w:rFonts w:hint="eastAsia" w:ascii="宋体" w:hAnsi="宋体" w:eastAsia="宋体"/>
          <w:sz w:val="24"/>
          <w:szCs w:val="24"/>
        </w:rPr>
        <w:t>或景观一体化设计</w:t>
      </w:r>
      <w:r>
        <w:rPr>
          <w:rFonts w:ascii="宋体" w:hAnsi="宋体" w:eastAsia="宋体"/>
          <w:sz w:val="24"/>
          <w:szCs w:val="24"/>
        </w:rPr>
        <w:t>，</w:t>
      </w:r>
      <w:r>
        <w:rPr>
          <w:rFonts w:hint="eastAsia" w:ascii="宋体" w:hAnsi="宋体" w:eastAsia="宋体"/>
          <w:sz w:val="24"/>
          <w:szCs w:val="24"/>
        </w:rPr>
        <w:t>得5</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11 </w:t>
      </w:r>
      <w:r>
        <w:rPr>
          <w:rFonts w:ascii="宋体" w:hAnsi="宋体" w:eastAsia="宋体"/>
          <w:b/>
          <w:sz w:val="24"/>
          <w:szCs w:val="24"/>
        </w:rPr>
        <w:t xml:space="preserve"> </w:t>
      </w:r>
      <w:r>
        <w:rPr>
          <w:rFonts w:hint="eastAsia" w:ascii="宋体" w:hAnsi="宋体" w:eastAsia="宋体"/>
          <w:sz w:val="24"/>
          <w:szCs w:val="24"/>
        </w:rPr>
        <w:t>地上车站站台天窗及侧窗设置合理的窗墙比，评价总分值为3分，并按下列规则分别评分并累计：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地面车站站台设置天窗车站：天窗面积8%（含）~10%（含），得1.5分；</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b/>
          <w:sz w:val="24"/>
          <w:szCs w:val="24"/>
        </w:rPr>
        <w:t>2</w:t>
      </w:r>
      <w:r>
        <w:rPr>
          <w:rFonts w:hint="eastAsia" w:ascii="宋体" w:hAnsi="宋体" w:eastAsia="宋体"/>
          <w:sz w:val="24"/>
          <w:szCs w:val="24"/>
        </w:rPr>
        <w:t xml:space="preserve">  地面车站站台应设置侧窗，开窗面积为45%（含）~55%（含），得1.5分。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12  </w:t>
      </w:r>
      <w:r>
        <w:rPr>
          <w:rFonts w:ascii="宋体" w:hAnsi="宋体" w:eastAsia="宋体"/>
          <w:sz w:val="24"/>
          <w:szCs w:val="24"/>
        </w:rPr>
        <w:t>土建工程与装修工程一体化设计，评价总分值为</w:t>
      </w:r>
      <w:r>
        <w:rPr>
          <w:rFonts w:hint="eastAsia" w:ascii="宋体" w:hAnsi="宋体" w:eastAsia="宋体"/>
          <w:sz w:val="24"/>
          <w:szCs w:val="24"/>
        </w:rPr>
        <w:t>6</w:t>
      </w:r>
      <w:r>
        <w:rPr>
          <w:rFonts w:ascii="宋体" w:hAnsi="宋体" w:eastAsia="宋体"/>
          <w:sz w:val="24"/>
          <w:szCs w:val="24"/>
        </w:rPr>
        <w:t>分，并按下列规则评分：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车站公共区一体化设计，得</w:t>
      </w:r>
      <w:r>
        <w:rPr>
          <w:rFonts w:hint="eastAsia" w:ascii="宋体" w:hAnsi="宋体" w:eastAsia="宋体"/>
          <w:sz w:val="24"/>
          <w:szCs w:val="24"/>
        </w:rPr>
        <w:t>4</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车站所有部位一体化设计，得</w:t>
      </w:r>
      <w:r>
        <w:rPr>
          <w:rFonts w:hint="eastAsia" w:ascii="宋体" w:hAnsi="宋体" w:eastAsia="宋体"/>
          <w:sz w:val="24"/>
          <w:szCs w:val="24"/>
        </w:rPr>
        <w:t>5</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轨道交通工程所有部位一体化设计，得</w:t>
      </w:r>
      <w:r>
        <w:rPr>
          <w:rFonts w:hint="eastAsia" w:ascii="宋体" w:hAnsi="宋体" w:eastAsia="宋体"/>
          <w:sz w:val="24"/>
          <w:szCs w:val="24"/>
        </w:rPr>
        <w:t>6</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13  </w:t>
      </w:r>
      <w:r>
        <w:rPr>
          <w:rFonts w:ascii="宋体" w:hAnsi="宋体" w:eastAsia="宋体"/>
          <w:sz w:val="24"/>
          <w:szCs w:val="24"/>
        </w:rPr>
        <w:t>选用可再利用材料、可再循环材料和利废建材，评价总分值</w:t>
      </w:r>
      <w:r>
        <w:rPr>
          <w:rFonts w:hint="eastAsia" w:ascii="宋体" w:hAnsi="宋体" w:eastAsia="宋体"/>
          <w:sz w:val="24"/>
          <w:szCs w:val="24"/>
        </w:rPr>
        <w:t>5</w:t>
      </w:r>
      <w:r>
        <w:rPr>
          <w:rFonts w:ascii="宋体" w:hAnsi="宋体" w:eastAsia="宋体"/>
          <w:sz w:val="24"/>
          <w:szCs w:val="24"/>
        </w:rPr>
        <w:t>分，并按下列规则分别评分并累计：</w:t>
      </w:r>
    </w:p>
    <w:p>
      <w:pPr>
        <w:adjustRightInd w:val="0"/>
        <w:snapToGrid w:val="0"/>
        <w:spacing w:line="360" w:lineRule="auto"/>
        <w:ind w:firstLine="482" w:firstLineChars="200"/>
        <w:rPr>
          <w:rFonts w:ascii="宋体" w:hAnsi="宋体" w:eastAsia="宋体"/>
          <w:sz w:val="24"/>
          <w:szCs w:val="24"/>
        </w:rPr>
      </w:pPr>
      <w:r>
        <w:rPr>
          <w:rFonts w:ascii="宋体" w:hAnsi="宋体" w:eastAsia="宋体"/>
          <w:b/>
          <w:sz w:val="24"/>
          <w:szCs w:val="24"/>
        </w:rPr>
        <w:t>1</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可再利用材料和可再循环材料用量比例，达到10%，得1分；达到</w:t>
      </w:r>
      <w:r>
        <w:rPr>
          <w:rFonts w:hint="eastAsia" w:ascii="宋体" w:hAnsi="宋体" w:eastAsia="宋体"/>
          <w:sz w:val="24"/>
          <w:szCs w:val="24"/>
        </w:rPr>
        <w:t>1</w:t>
      </w:r>
      <w:r>
        <w:rPr>
          <w:rFonts w:ascii="宋体" w:hAnsi="宋体" w:eastAsia="宋体"/>
          <w:sz w:val="24"/>
          <w:szCs w:val="24"/>
        </w:rPr>
        <w:t>5%，得</w:t>
      </w:r>
      <w:r>
        <w:rPr>
          <w:rFonts w:hint="eastAsia" w:ascii="宋体" w:hAnsi="宋体" w:eastAsia="宋体"/>
          <w:sz w:val="24"/>
          <w:szCs w:val="24"/>
        </w:rPr>
        <w:t>1</w:t>
      </w:r>
      <w:r>
        <w:rPr>
          <w:rFonts w:ascii="宋体" w:hAnsi="宋体" w:eastAsia="宋体"/>
          <w:sz w:val="24"/>
          <w:szCs w:val="24"/>
        </w:rPr>
        <w:t xml:space="preserve">分； </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选用至少一种利废建材，且其用量占同类建材的用量比例不低于50%，得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 xml:space="preserve"> 选用两种以上利废建材，且其用量占同类建材的用量比例不低于30%，得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14  </w:t>
      </w:r>
      <w:r>
        <w:rPr>
          <w:rFonts w:ascii="宋体" w:hAnsi="宋体" w:eastAsia="宋体"/>
          <w:sz w:val="24"/>
          <w:szCs w:val="24"/>
        </w:rPr>
        <w:t>合理选用建筑结构材料及构件，评价总分值为</w:t>
      </w:r>
      <w:r>
        <w:rPr>
          <w:rFonts w:hint="eastAsia" w:ascii="宋体" w:hAnsi="宋体" w:eastAsia="宋体"/>
          <w:sz w:val="24"/>
          <w:szCs w:val="24"/>
        </w:rPr>
        <w:t>6</w:t>
      </w:r>
      <w:r>
        <w:rPr>
          <w:rFonts w:ascii="宋体" w:hAnsi="宋体" w:eastAsia="宋体"/>
          <w:sz w:val="24"/>
          <w:szCs w:val="24"/>
        </w:rPr>
        <w:t>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混凝土结构：</w:t>
      </w:r>
    </w:p>
    <w:p>
      <w:pPr>
        <w:adjustRightInd w:val="0"/>
        <w:snapToGrid w:val="0"/>
        <w:spacing w:line="360" w:lineRule="auto"/>
        <w:ind w:firstLine="723" w:firstLineChars="3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400MPa级及以上强度等级钢筋应用比例达到85%，得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left="899" w:leftChars="371" w:hanging="120" w:hangingChars="5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混凝土竖向承重结构采用强度等级不小于C50混凝土用量占竖向承重结构中混凝土总量的比例达到50%，得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left="779" w:leftChars="371"/>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地面以上部分预制构件应用混凝土体积比占地面以上部分的混凝土总体积比达到30%，得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rPr>
        <w:tab/>
      </w:r>
      <w:r>
        <w:rPr>
          <w:rFonts w:hint="eastAsia" w:ascii="宋体" w:hAnsi="宋体" w:eastAsia="宋体"/>
        </w:rPr>
        <w:t xml:space="preserve"> </w:t>
      </w: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钢结构</w:t>
      </w:r>
    </w:p>
    <w:p>
      <w:pPr>
        <w:adjustRightInd w:val="0"/>
        <w:snapToGrid w:val="0"/>
        <w:spacing w:line="360" w:lineRule="auto"/>
        <w:ind w:left="659" w:leftChars="314" w:firstLine="120" w:firstLineChars="5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Q345及以上高强度钢材用量占钢材总量比例达到50%，得3分，达到70%，得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left="659" w:leftChars="314" w:firstLine="120" w:firstLineChars="5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螺栓连接等非现场焊接节点占现场全部连接、拼接节点的数量比例达到50%，得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rPr>
        <w:tab/>
      </w:r>
      <w:r>
        <w:rPr>
          <w:rFonts w:hint="eastAsia" w:ascii="宋体" w:hAnsi="宋体" w:eastAsia="宋体"/>
        </w:rPr>
        <w:t xml:space="preserve">   </w:t>
      </w:r>
      <w:r>
        <w:rPr>
          <w:rFonts w:ascii="宋体" w:hAnsi="宋体" w:eastAsia="宋体"/>
          <w:b/>
          <w:sz w:val="24"/>
          <w:szCs w:val="24"/>
        </w:rPr>
        <w:t>3）</w:t>
      </w:r>
      <w:r>
        <w:rPr>
          <w:rFonts w:ascii="宋体" w:hAnsi="宋体" w:eastAsia="宋体"/>
          <w:sz w:val="24"/>
          <w:szCs w:val="24"/>
        </w:rPr>
        <w:t>采用施工无支撑楼板，得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w:t>
      </w:r>
      <w:r>
        <w:rPr>
          <w:rFonts w:ascii="宋体" w:hAnsi="宋体" w:eastAsia="宋体"/>
          <w:sz w:val="24"/>
          <w:szCs w:val="24"/>
        </w:rPr>
        <w:t>混合结构：对其混凝土结构部分和钢结构部分，分别按本条第1款和第2款进行评价，得分两项得分的加权平均值。</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15  </w:t>
      </w:r>
      <w:r>
        <w:rPr>
          <w:rFonts w:ascii="宋体" w:hAnsi="宋体" w:eastAsia="宋体"/>
          <w:sz w:val="24"/>
          <w:szCs w:val="24"/>
        </w:rPr>
        <w:t>合理使用绿色建筑材料，评价总分值为</w:t>
      </w:r>
      <w:r>
        <w:rPr>
          <w:rFonts w:hint="eastAsia" w:ascii="宋体" w:hAnsi="宋体" w:eastAsia="宋体"/>
          <w:sz w:val="24"/>
          <w:szCs w:val="24"/>
        </w:rPr>
        <w:t>6</w:t>
      </w:r>
      <w:r>
        <w:rPr>
          <w:rFonts w:ascii="宋体" w:hAnsi="宋体" w:eastAsia="宋体"/>
          <w:sz w:val="24"/>
          <w:szCs w:val="24"/>
        </w:rPr>
        <w:t>分，并按下列规则评分：</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ab/>
      </w: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绿色建筑材料使用比例不低于30%，得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绿色建筑材料使用比例不低于50%，得</w:t>
      </w:r>
      <w:r>
        <w:rPr>
          <w:rFonts w:hint="eastAsia" w:ascii="宋体" w:hAnsi="宋体" w:eastAsia="宋体"/>
          <w:sz w:val="24"/>
          <w:szCs w:val="24"/>
        </w:rPr>
        <w:t>6</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16  </w:t>
      </w:r>
      <w:r>
        <w:rPr>
          <w:rFonts w:hint="eastAsia" w:ascii="宋体" w:hAnsi="宋体"/>
          <w:sz w:val="24"/>
          <w:szCs w:val="24"/>
        </w:rPr>
        <w:t>相比现行国家标准《公共建筑节能设计标准》CB50189的规定值，电机驱动的蒸气压缩循环冷水(热泵)机组,单元式空气调节机、风管送风式和屋顶式空调机组其能效指标比的提高幅度大于6%，多联式空调(热泵)机组能效指标比的提高幅度大于8%，</w:t>
      </w:r>
      <w:r>
        <w:rPr>
          <w:rFonts w:ascii="宋体" w:hAnsi="宋体" w:eastAsia="宋体"/>
          <w:sz w:val="24"/>
          <w:szCs w:val="24"/>
        </w:rPr>
        <w:t>评价分值为</w:t>
      </w:r>
      <w:r>
        <w:rPr>
          <w:rFonts w:hint="eastAsia" w:ascii="宋体" w:hAnsi="宋体"/>
          <w:sz w:val="24"/>
          <w:szCs w:val="24"/>
        </w:rPr>
        <w:t>5分。</w:t>
      </w:r>
    </w:p>
    <w:p>
      <w:pPr>
        <w:spacing w:line="360" w:lineRule="auto"/>
        <w:jc w:val="left"/>
        <w:rPr>
          <w:rFonts w:ascii="微软雅黑" w:hAnsi="微软雅黑" w:eastAsia="微软雅黑"/>
          <w:sz w:val="24"/>
          <w:szCs w:val="24"/>
        </w:rPr>
      </w:pPr>
      <w:r>
        <w:rPr>
          <w:rFonts w:ascii="宋体" w:hAnsi="宋体" w:eastAsia="宋体"/>
          <w:b/>
          <w:sz w:val="24"/>
          <w:szCs w:val="24"/>
        </w:rPr>
        <w:t>7.2.1</w:t>
      </w:r>
      <w:r>
        <w:rPr>
          <w:rFonts w:hint="eastAsia" w:ascii="宋体" w:hAnsi="宋体" w:eastAsia="宋体"/>
          <w:b/>
          <w:sz w:val="24"/>
          <w:szCs w:val="24"/>
        </w:rPr>
        <w:t xml:space="preserve">7  </w:t>
      </w:r>
      <w:r>
        <w:rPr>
          <w:rFonts w:ascii="宋体" w:hAnsi="宋体"/>
          <w:sz w:val="24"/>
          <w:szCs w:val="24"/>
        </w:rPr>
        <w:t>通风空调系统的风机、冷水机组、水泵、多联式空调机组的能效均不低于现行国家标准《公共建筑节能设计标准》GB 50189的规定以及现行有关国家标准的2级能效标准或节能评价值要求，评价</w:t>
      </w:r>
      <w:r>
        <w:rPr>
          <w:rFonts w:hint="eastAsia" w:ascii="宋体" w:hAnsi="宋体"/>
          <w:sz w:val="24"/>
          <w:szCs w:val="24"/>
        </w:rPr>
        <w:t>总</w:t>
      </w:r>
      <w:r>
        <w:rPr>
          <w:rFonts w:ascii="宋体" w:hAnsi="宋体"/>
          <w:sz w:val="24"/>
          <w:szCs w:val="24"/>
        </w:rPr>
        <w:t>分值为</w:t>
      </w:r>
      <w:r>
        <w:rPr>
          <w:rFonts w:hint="eastAsia" w:ascii="宋体" w:hAnsi="宋体"/>
          <w:sz w:val="24"/>
          <w:szCs w:val="24"/>
        </w:rPr>
        <w:t>5</w:t>
      </w:r>
      <w:r>
        <w:rPr>
          <w:rFonts w:ascii="宋体" w:hAnsi="宋体"/>
          <w:sz w:val="24"/>
          <w:szCs w:val="24"/>
        </w:rPr>
        <w:t>分，并按下列规则评分：</w:t>
      </w:r>
    </w:p>
    <w:p>
      <w:pPr>
        <w:spacing w:line="360" w:lineRule="auto"/>
        <w:jc w:val="left"/>
        <w:rPr>
          <w:rFonts w:ascii="微软雅黑" w:hAnsi="微软雅黑" w:eastAsia="微软雅黑"/>
          <w:sz w:val="24"/>
          <w:szCs w:val="24"/>
        </w:rPr>
      </w:pPr>
      <w:r>
        <w:tab/>
      </w:r>
      <w:r>
        <w:rPr>
          <w:rFonts w:ascii="宋体" w:hAnsi="宋体"/>
          <w:b/>
          <w:sz w:val="24"/>
          <w:szCs w:val="24"/>
        </w:rPr>
        <w:t>1</w:t>
      </w:r>
      <w:r>
        <w:rPr>
          <w:rFonts w:hint="eastAsia" w:ascii="宋体" w:hAnsi="宋体"/>
          <w:sz w:val="24"/>
          <w:szCs w:val="24"/>
        </w:rPr>
        <w:t xml:space="preserve">  风机、冷水机组、水泵、多联式空调机组每一类设备</w:t>
      </w:r>
      <w:r>
        <w:rPr>
          <w:rFonts w:ascii="宋体" w:hAnsi="宋体"/>
          <w:sz w:val="24"/>
          <w:szCs w:val="24"/>
        </w:rPr>
        <w:t>能效等级达到2级或节能评价值，得1分</w:t>
      </w:r>
      <w:r>
        <w:rPr>
          <w:rFonts w:hint="eastAsia" w:ascii="宋体" w:hAnsi="宋体"/>
          <w:sz w:val="24"/>
          <w:szCs w:val="24"/>
        </w:rPr>
        <w:t>，最多得3分</w:t>
      </w:r>
      <w:r>
        <w:rPr>
          <w:rFonts w:ascii="宋体" w:hAnsi="宋体"/>
          <w:sz w:val="24"/>
          <w:szCs w:val="24"/>
        </w:rPr>
        <w:t>；</w:t>
      </w:r>
    </w:p>
    <w:p>
      <w:pPr>
        <w:adjustRightInd w:val="0"/>
        <w:snapToGrid w:val="0"/>
        <w:spacing w:line="360" w:lineRule="auto"/>
        <w:jc w:val="left"/>
        <w:rPr>
          <w:rFonts w:ascii="宋体" w:hAnsi="宋体" w:eastAsia="宋体"/>
          <w:sz w:val="24"/>
          <w:szCs w:val="24"/>
        </w:rPr>
      </w:pPr>
      <w:r>
        <w:tab/>
      </w:r>
      <w:r>
        <w:rPr>
          <w:rFonts w:ascii="宋体" w:hAnsi="宋体"/>
          <w:b/>
          <w:sz w:val="24"/>
          <w:szCs w:val="24"/>
        </w:rPr>
        <w:t>2</w:t>
      </w:r>
      <w:r>
        <w:rPr>
          <w:rFonts w:hint="eastAsia" w:ascii="宋体" w:hAnsi="宋体"/>
          <w:sz w:val="24"/>
          <w:szCs w:val="24"/>
        </w:rPr>
        <w:t xml:space="preserve">  </w:t>
      </w:r>
      <w:r>
        <w:rPr>
          <w:rFonts w:ascii="宋体" w:hAnsi="宋体"/>
          <w:sz w:val="24"/>
          <w:szCs w:val="24"/>
        </w:rPr>
        <w:t>能效等级达到1级，得</w:t>
      </w:r>
      <w:r>
        <w:rPr>
          <w:rFonts w:hint="eastAsia" w:ascii="宋体" w:hAnsi="宋体"/>
          <w:sz w:val="24"/>
          <w:szCs w:val="24"/>
        </w:rPr>
        <w:t>5</w:t>
      </w:r>
      <w:r>
        <w:rPr>
          <w:rFonts w:ascii="宋体" w:hAnsi="宋体"/>
          <w:sz w:val="24"/>
          <w:szCs w:val="24"/>
        </w:rPr>
        <w:t>分。</w:t>
      </w:r>
    </w:p>
    <w:p>
      <w:pPr>
        <w:spacing w:line="360" w:lineRule="auto"/>
        <w:jc w:val="left"/>
        <w:rPr>
          <w:rFonts w:ascii="微软雅黑" w:hAnsi="微软雅黑" w:eastAsia="微软雅黑"/>
          <w:sz w:val="24"/>
          <w:szCs w:val="24"/>
        </w:rPr>
      </w:pPr>
      <w:r>
        <w:rPr>
          <w:rFonts w:ascii="宋体" w:hAnsi="宋体" w:eastAsia="宋体"/>
          <w:b/>
          <w:sz w:val="24"/>
          <w:szCs w:val="24"/>
        </w:rPr>
        <w:t>7.2.</w:t>
      </w:r>
      <w:r>
        <w:rPr>
          <w:rFonts w:hint="eastAsia" w:ascii="宋体" w:hAnsi="宋体" w:eastAsia="宋体"/>
          <w:b/>
          <w:sz w:val="24"/>
          <w:szCs w:val="24"/>
        </w:rPr>
        <w:t xml:space="preserve">18  </w:t>
      </w:r>
      <w:r>
        <w:rPr>
          <w:rFonts w:ascii="宋体" w:hAnsi="宋体"/>
          <w:sz w:val="24"/>
          <w:szCs w:val="24"/>
        </w:rPr>
        <w:t>优化通风空调的输配系统，减少输配系统的运行能耗，评价总分值为</w:t>
      </w:r>
      <w:r>
        <w:rPr>
          <w:rFonts w:hint="eastAsia" w:ascii="宋体" w:hAnsi="宋体"/>
          <w:sz w:val="24"/>
          <w:szCs w:val="24"/>
        </w:rPr>
        <w:t>5</w:t>
      </w:r>
      <w:r>
        <w:rPr>
          <w:rFonts w:ascii="宋体" w:hAnsi="宋体"/>
          <w:sz w:val="24"/>
          <w:szCs w:val="24"/>
        </w:rPr>
        <w:t>分，并按下列规则分别评分并累计：</w:t>
      </w:r>
    </w:p>
    <w:p>
      <w:pPr>
        <w:spacing w:line="360" w:lineRule="auto"/>
        <w:ind w:firstLine="482" w:firstLineChars="200"/>
        <w:jc w:val="left"/>
        <w:rPr>
          <w:rFonts w:ascii="微软雅黑" w:hAnsi="微软雅黑" w:eastAsia="微软雅黑"/>
          <w:sz w:val="24"/>
          <w:szCs w:val="24"/>
        </w:rPr>
      </w:pPr>
      <w:r>
        <w:rPr>
          <w:rFonts w:ascii="宋体" w:hAnsi="宋体"/>
          <w:b/>
          <w:sz w:val="24"/>
          <w:szCs w:val="24"/>
        </w:rPr>
        <w:t>1</w:t>
      </w:r>
      <w:r>
        <w:rPr>
          <w:rFonts w:hint="eastAsia" w:ascii="宋体" w:hAnsi="宋体"/>
          <w:sz w:val="24"/>
          <w:szCs w:val="24"/>
        </w:rPr>
        <w:t xml:space="preserve">  </w:t>
      </w:r>
      <w:r>
        <w:rPr>
          <w:rFonts w:ascii="宋体" w:hAnsi="宋体"/>
          <w:sz w:val="24"/>
          <w:szCs w:val="24"/>
        </w:rPr>
        <w:t>通风空调风道系统的单位风量耗功率</w:t>
      </w:r>
      <w:r>
        <w:rPr>
          <w:rFonts w:hint="eastAsia" w:ascii="宋体" w:hAnsi="宋体"/>
          <w:sz w:val="24"/>
          <w:szCs w:val="24"/>
        </w:rPr>
        <w:t>比</w:t>
      </w:r>
      <w:r>
        <w:rPr>
          <w:rFonts w:ascii="宋体" w:hAnsi="宋体"/>
          <w:sz w:val="24"/>
          <w:szCs w:val="24"/>
        </w:rPr>
        <w:t>现行国家标准《公共建筑节能设计标准》GB 50189的规定低20%，得</w:t>
      </w:r>
      <w:r>
        <w:rPr>
          <w:rFonts w:hint="eastAsia" w:ascii="宋体" w:hAnsi="宋体"/>
          <w:sz w:val="24"/>
          <w:szCs w:val="24"/>
        </w:rPr>
        <w:t>2</w:t>
      </w:r>
      <w:r>
        <w:rPr>
          <w:rFonts w:ascii="宋体" w:hAnsi="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b/>
          <w:sz w:val="24"/>
          <w:szCs w:val="24"/>
        </w:rPr>
        <w:t>2</w:t>
      </w:r>
      <w:r>
        <w:rPr>
          <w:rFonts w:hint="eastAsia" w:ascii="宋体" w:hAnsi="宋体"/>
          <w:sz w:val="24"/>
          <w:szCs w:val="24"/>
        </w:rPr>
        <w:t xml:space="preserve">  </w:t>
      </w:r>
      <w:r>
        <w:rPr>
          <w:rFonts w:ascii="宋体" w:hAnsi="宋体"/>
          <w:sz w:val="24"/>
          <w:szCs w:val="24"/>
        </w:rPr>
        <w:t>空调冷水系统循环水泵的耗电输冷比比现行国家标准《公共建筑节能设计标准》GB 50189规定值低20%，得</w:t>
      </w:r>
      <w:r>
        <w:rPr>
          <w:rFonts w:hint="eastAsia" w:ascii="宋体" w:hAnsi="宋体"/>
          <w:sz w:val="24"/>
          <w:szCs w:val="24"/>
        </w:rPr>
        <w:t>3</w:t>
      </w:r>
      <w:r>
        <w:rPr>
          <w:rFonts w:ascii="宋体" w:hAnsi="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19</w:t>
      </w:r>
      <w:r>
        <w:rPr>
          <w:rFonts w:hint="eastAsia" w:ascii="宋体" w:hAnsi="宋体" w:eastAsia="宋体"/>
          <w:b/>
          <w:sz w:val="24"/>
          <w:szCs w:val="24"/>
        </w:rPr>
        <w:tab/>
      </w:r>
      <w:r>
        <w:rPr>
          <w:rFonts w:hint="eastAsia" w:ascii="宋体" w:hAnsi="宋体" w:eastAsia="宋体"/>
          <w:b/>
          <w:sz w:val="24"/>
          <w:szCs w:val="24"/>
        </w:rPr>
        <w:t xml:space="preserve">  </w:t>
      </w:r>
      <w:r>
        <w:rPr>
          <w:rFonts w:hint="eastAsia" w:ascii="宋体" w:hAnsi="宋体"/>
          <w:sz w:val="24"/>
          <w:szCs w:val="24"/>
        </w:rPr>
        <w:t>轨道交通车站高效空调制冷系统全年制冷系统运行能效比达到《轨道交通车站高效空调系统技术标准》相应等级，评价总分值为6分；达到二级能效，得3分，达到一级能效，得6分。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7.2.20  </w:t>
      </w:r>
      <w:r>
        <w:rPr>
          <w:rFonts w:hint="eastAsia" w:ascii="宋体" w:hAnsi="宋体" w:eastAsia="宋体"/>
          <w:sz w:val="24"/>
          <w:szCs w:val="24"/>
        </w:rPr>
        <w:t>采取措施降低部分负荷、部分空间使用下的通风与空调系统能耗，评价总分值为9</w:t>
      </w:r>
      <w:r>
        <w:rPr>
          <w:rFonts w:ascii="宋体" w:hAnsi="宋体" w:eastAsia="宋体"/>
          <w:sz w:val="24"/>
          <w:szCs w:val="24"/>
        </w:rPr>
        <w:t>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采取全空气系统等措施降低过渡季节通风与空调系统能耗，得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车站公共区与设备及管理用房通风空调系统合理分区设置，运行时间不同的设备及管理用房通风空调系统合理分区设置，并对系统进行分区控制，</w:t>
      </w:r>
      <w:r>
        <w:rPr>
          <w:rFonts w:hint="eastAsia" w:ascii="宋体" w:hAnsi="宋体" w:eastAsia="宋体"/>
          <w:sz w:val="24"/>
          <w:szCs w:val="24"/>
        </w:rPr>
        <w:t>2</w:t>
      </w:r>
      <w:r>
        <w:rPr>
          <w:rFonts w:ascii="宋体" w:hAnsi="宋体" w:eastAsia="宋体"/>
          <w:sz w:val="24"/>
          <w:szCs w:val="24"/>
        </w:rPr>
        <w:t xml:space="preserve">分； </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合理选配空调冷源机组台数与容量，制定实施根据负荷变化调节制冷量的</w:t>
      </w:r>
      <w:r>
        <w:rPr>
          <w:rFonts w:hint="eastAsia" w:ascii="宋体" w:hAnsi="宋体" w:eastAsia="宋体"/>
          <w:sz w:val="24"/>
          <w:szCs w:val="24"/>
        </w:rPr>
        <w:t>控制策略，且冷水机组的综合部分负荷性能达到现行国家标准《冷水机组能效限定值及能效等级》</w:t>
      </w:r>
      <w:r>
        <w:rPr>
          <w:rFonts w:ascii="宋体" w:hAnsi="宋体" w:eastAsia="宋体"/>
          <w:sz w:val="24"/>
          <w:szCs w:val="24"/>
        </w:rPr>
        <w:t>GB 19577规定的2级，得1分；达到1级，得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b/>
          <w:sz w:val="24"/>
          <w:szCs w:val="24"/>
        </w:rPr>
      </w:pPr>
      <w:r>
        <w:rPr>
          <w:rFonts w:ascii="宋体" w:hAnsi="宋体" w:eastAsia="宋体"/>
          <w:b/>
          <w:sz w:val="24"/>
          <w:szCs w:val="24"/>
        </w:rPr>
        <w:t>4</w:t>
      </w:r>
      <w:r>
        <w:rPr>
          <w:rFonts w:ascii="宋体" w:hAnsi="宋体" w:eastAsia="宋体"/>
          <w:sz w:val="24"/>
          <w:szCs w:val="24"/>
        </w:rPr>
        <w:t xml:space="preserve"> </w:t>
      </w:r>
      <w:r>
        <w:rPr>
          <w:rFonts w:hint="eastAsia" w:ascii="宋体" w:hAnsi="宋体" w:eastAsia="宋体"/>
          <w:sz w:val="24"/>
          <w:szCs w:val="24"/>
        </w:rPr>
        <w:t xml:space="preserve"> 水系统、风系统采用变频技术，且采取合理的控制措施，得3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7.2.21  </w:t>
      </w:r>
      <w:r>
        <w:rPr>
          <w:rFonts w:hint="eastAsia" w:ascii="宋体" w:hAnsi="宋体" w:eastAsia="宋体"/>
          <w:sz w:val="24"/>
          <w:szCs w:val="24"/>
        </w:rPr>
        <w:t>对于采用集中通风空调系统的车站，环境与设备监控系统结合节能控制模式在节能控制相关用能点设置能耗计量装置，并与相关设备自控系统关联，实现对集中通风空调系统的节能自动控制，评价分值为3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7.2.22</w:t>
      </w:r>
      <w:r>
        <w:rPr>
          <w:rFonts w:hint="eastAsia" w:ascii="宋体" w:hAnsi="宋体" w:eastAsia="宋体"/>
          <w:b/>
          <w:sz w:val="24"/>
          <w:szCs w:val="24"/>
        </w:rPr>
        <w:t xml:space="preserve">  </w:t>
      </w:r>
      <w:r>
        <w:rPr>
          <w:rFonts w:hint="eastAsia" w:ascii="宋体" w:hAnsi="宋体" w:eastAsia="宋体"/>
          <w:sz w:val="24"/>
          <w:szCs w:val="24"/>
        </w:rPr>
        <w:t>轨道交通车站高效空调制冷系统全年制冷系统运行能效比达到或高于《轨道交通车站高效空调系统技术标准》T/CABEE008—2020（T/CAMMET02003—2020）规定的1级能效指标，评价总分值为4分，按下列规则分级评分：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制冷系统全年制冷系统运行能效比</w:t>
      </w:r>
      <w:r>
        <w:rPr>
          <w:rFonts w:hint="eastAsia" w:ascii="宋体" w:hAnsi="宋体" w:eastAsia="宋体"/>
          <w:sz w:val="24"/>
          <w:szCs w:val="24"/>
          <w:lang w:eastAsia="zh-CN"/>
        </w:rPr>
        <w:t>大于等于</w:t>
      </w:r>
      <w:r>
        <w:rPr>
          <w:rFonts w:hint="eastAsia" w:ascii="宋体" w:hAnsi="宋体" w:eastAsia="宋体"/>
          <w:sz w:val="24"/>
          <w:szCs w:val="24"/>
        </w:rPr>
        <w:t>5.0，得2分</w:t>
      </w:r>
      <w:r>
        <w:rPr>
          <w:rFonts w:hint="eastAsia" w:ascii="宋体" w:hAnsi="宋体" w:eastAsia="宋体" w:cs="宋体"/>
          <w:sz w:val="24"/>
          <w:szCs w:val="24"/>
        </w:rPr>
        <w:t>；</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制冷系统全年制冷系统运行能效比</w:t>
      </w:r>
      <w:r>
        <w:rPr>
          <w:rFonts w:hint="eastAsia" w:ascii="宋体" w:hAnsi="宋体" w:eastAsia="宋体"/>
          <w:sz w:val="24"/>
          <w:szCs w:val="24"/>
          <w:lang w:eastAsia="zh-CN"/>
        </w:rPr>
        <w:t>大于等于</w:t>
      </w:r>
      <w:r>
        <w:rPr>
          <w:rFonts w:hint="eastAsia" w:ascii="宋体" w:hAnsi="宋体" w:eastAsia="宋体"/>
          <w:sz w:val="24"/>
          <w:szCs w:val="24"/>
        </w:rPr>
        <w:t>5.2，得4分。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23  </w:t>
      </w:r>
      <w:r>
        <w:rPr>
          <w:rFonts w:hint="eastAsia" w:ascii="宋体" w:hAnsi="宋体" w:eastAsia="宋体"/>
          <w:sz w:val="24"/>
          <w:szCs w:val="24"/>
        </w:rPr>
        <w:t>轨道交通建筑平均日用水量满足现行国家标准《地铁设计规范》</w:t>
      </w:r>
      <w:r>
        <w:rPr>
          <w:rFonts w:ascii="宋体" w:hAnsi="宋体" w:eastAsia="宋体"/>
          <w:sz w:val="24"/>
          <w:szCs w:val="24"/>
        </w:rPr>
        <w:t>GB50157</w:t>
      </w:r>
      <w:r>
        <w:rPr>
          <w:rFonts w:hint="eastAsia" w:ascii="宋体" w:hAnsi="宋体" w:eastAsia="宋体"/>
          <w:sz w:val="24"/>
          <w:szCs w:val="24"/>
        </w:rPr>
        <w:t>和《民用建筑节水设计标准》</w:t>
      </w:r>
      <w:r>
        <w:rPr>
          <w:rFonts w:ascii="宋体" w:hAnsi="宋体" w:eastAsia="宋体"/>
          <w:sz w:val="24"/>
          <w:szCs w:val="24"/>
        </w:rPr>
        <w:t>GB50555</w:t>
      </w:r>
      <w:r>
        <w:rPr>
          <w:rFonts w:hint="eastAsia" w:ascii="宋体" w:hAnsi="宋体" w:eastAsia="宋体"/>
          <w:sz w:val="24"/>
          <w:szCs w:val="24"/>
        </w:rPr>
        <w:t>中的节水用水定额的要求，评价总分值为3分，并按下列规则评分：</w:t>
      </w:r>
    </w:p>
    <w:p>
      <w:pPr>
        <w:adjustRightInd w:val="0"/>
        <w:snapToGrid w:val="0"/>
        <w:spacing w:line="360" w:lineRule="auto"/>
        <w:ind w:firstLine="480"/>
        <w:jc w:val="left"/>
        <w:rPr>
          <w:rFonts w:ascii="宋体" w:hAnsi="宋体" w:eastAsia="宋体" w:cs="Times New Roman"/>
          <w:sz w:val="24"/>
          <w:szCs w:val="24"/>
        </w:rPr>
      </w:pPr>
      <w:r>
        <w:rPr>
          <w:rFonts w:ascii="宋体" w:hAnsi="宋体" w:eastAsia="宋体" w:cs="宋体"/>
          <w:b/>
          <w:sz w:val="24"/>
          <w:szCs w:val="24"/>
        </w:rPr>
        <w:t>1</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建筑平均日用水量小于等于节水用水定额的上限值、大于等于中间值要求，得1分；</w:t>
      </w:r>
    </w:p>
    <w:p>
      <w:pPr>
        <w:adjustRightInd w:val="0"/>
        <w:snapToGrid w:val="0"/>
        <w:spacing w:line="360" w:lineRule="auto"/>
        <w:ind w:firstLine="480"/>
        <w:jc w:val="left"/>
        <w:rPr>
          <w:rFonts w:ascii="宋体" w:hAnsi="宋体" w:eastAsia="宋体" w:cs="Times New Roman"/>
          <w:sz w:val="24"/>
          <w:szCs w:val="24"/>
        </w:rPr>
      </w:pPr>
      <w:r>
        <w:rPr>
          <w:rFonts w:ascii="宋体" w:hAnsi="宋体" w:eastAsia="宋体" w:cs="宋体"/>
          <w:b/>
          <w:sz w:val="24"/>
          <w:szCs w:val="24"/>
        </w:rPr>
        <w:t>2</w:t>
      </w:r>
      <w:r>
        <w:rPr>
          <w:rFonts w:ascii="宋体" w:hAnsi="宋体" w:eastAsia="宋体" w:cs="宋体"/>
          <w:sz w:val="24"/>
          <w:szCs w:val="24"/>
        </w:rPr>
        <w:t xml:space="preserve"> </w:t>
      </w:r>
      <w:r>
        <w:rPr>
          <w:rFonts w:hint="eastAsia" w:ascii="宋体" w:hAnsi="宋体" w:eastAsia="宋体" w:cs="宋体"/>
          <w:sz w:val="24"/>
          <w:szCs w:val="24"/>
        </w:rPr>
        <w:t xml:space="preserve"> 建筑平均日用水量小于等于节水用水定额的中间限值、大于等于下限值要求，得2分；</w:t>
      </w:r>
    </w:p>
    <w:p>
      <w:pPr>
        <w:adjustRightInd w:val="0"/>
        <w:snapToGrid w:val="0"/>
        <w:spacing w:line="360" w:lineRule="auto"/>
        <w:ind w:firstLine="480"/>
        <w:jc w:val="left"/>
        <w:rPr>
          <w:rFonts w:ascii="宋体" w:hAnsi="宋体" w:eastAsia="宋体" w:cs="Times New Roman"/>
          <w:sz w:val="24"/>
          <w:szCs w:val="24"/>
        </w:rPr>
      </w:pPr>
      <w:r>
        <w:rPr>
          <w:rFonts w:ascii="宋体" w:hAnsi="宋体" w:eastAsia="宋体" w:cs="宋体"/>
          <w:b/>
          <w:sz w:val="24"/>
          <w:szCs w:val="24"/>
        </w:rPr>
        <w:t>3</w:t>
      </w:r>
      <w:r>
        <w:rPr>
          <w:rFonts w:ascii="宋体" w:hAnsi="宋体" w:eastAsia="宋体" w:cs="宋体"/>
          <w:sz w:val="24"/>
          <w:szCs w:val="24"/>
        </w:rPr>
        <w:t xml:space="preserve"> </w:t>
      </w:r>
      <w:r>
        <w:rPr>
          <w:rFonts w:hint="eastAsia" w:ascii="宋体" w:hAnsi="宋体" w:eastAsia="宋体" w:cs="宋体"/>
          <w:sz w:val="24"/>
          <w:szCs w:val="24"/>
        </w:rPr>
        <w:t xml:space="preserve"> 建筑平均日用水量小于等于节水用水定额的上下限值要求，得3分。</w:t>
      </w:r>
    </w:p>
    <w:p>
      <w:pPr>
        <w:adjustRightInd w:val="0"/>
        <w:snapToGrid w:val="0"/>
        <w:spacing w:line="360" w:lineRule="auto"/>
        <w:jc w:val="left"/>
        <w:rPr>
          <w:rFonts w:ascii="宋体" w:hAnsi="宋体" w:eastAsia="宋体" w:cs="Times New Roman"/>
          <w:sz w:val="24"/>
          <w:szCs w:val="24"/>
        </w:rPr>
      </w:pPr>
      <w:r>
        <w:rPr>
          <w:rFonts w:ascii="宋体" w:hAnsi="宋体" w:eastAsia="宋体" w:cs="宋体"/>
          <w:b/>
          <w:bCs/>
          <w:sz w:val="24"/>
          <w:szCs w:val="24"/>
        </w:rPr>
        <w:t>7.2.</w:t>
      </w:r>
      <w:r>
        <w:rPr>
          <w:rFonts w:hint="eastAsia" w:ascii="宋体" w:hAnsi="宋体" w:eastAsia="宋体" w:cs="宋体"/>
          <w:b/>
          <w:bCs/>
          <w:sz w:val="24"/>
          <w:szCs w:val="24"/>
        </w:rPr>
        <w:t xml:space="preserve">24  </w:t>
      </w:r>
      <w:r>
        <w:rPr>
          <w:rFonts w:hint="eastAsia" w:ascii="宋体" w:hAnsi="宋体" w:eastAsia="宋体"/>
          <w:sz w:val="24"/>
          <w:szCs w:val="24"/>
        </w:rPr>
        <w:t>使用较</w:t>
      </w:r>
      <w:r>
        <w:rPr>
          <w:rFonts w:hint="eastAsia" w:ascii="宋体" w:hAnsi="宋体" w:eastAsia="宋体" w:cs="宋体"/>
          <w:sz w:val="24"/>
          <w:szCs w:val="24"/>
        </w:rPr>
        <w:t>高用水效率等级的卫生器具，评价总分值3分，并按下列规则分别评分并累计：</w:t>
      </w:r>
    </w:p>
    <w:p>
      <w:pPr>
        <w:adjustRightInd w:val="0"/>
        <w:snapToGrid w:val="0"/>
        <w:spacing w:line="360" w:lineRule="auto"/>
        <w:ind w:firstLine="482" w:firstLineChars="200"/>
        <w:jc w:val="left"/>
        <w:rPr>
          <w:rFonts w:ascii="宋体" w:hAnsi="宋体" w:eastAsia="宋体" w:cs="Times New Roman"/>
          <w:sz w:val="24"/>
          <w:szCs w:val="24"/>
        </w:rPr>
      </w:pPr>
      <w:r>
        <w:rPr>
          <w:rFonts w:ascii="宋体" w:hAnsi="宋体" w:eastAsia="宋体" w:cs="宋体"/>
          <w:b/>
          <w:sz w:val="24"/>
          <w:szCs w:val="24"/>
        </w:rPr>
        <w:t>1</w:t>
      </w:r>
      <w:r>
        <w:rPr>
          <w:rFonts w:hint="eastAsia" w:ascii="宋体" w:hAnsi="宋体" w:eastAsia="宋体" w:cs="宋体"/>
          <w:sz w:val="24"/>
          <w:szCs w:val="24"/>
        </w:rPr>
        <w:t xml:space="preserve">  采用</w:t>
      </w:r>
      <w:r>
        <w:rPr>
          <w:rFonts w:ascii="宋体" w:hAnsi="宋体" w:eastAsia="宋体" w:cs="宋体"/>
          <w:sz w:val="24"/>
          <w:szCs w:val="24"/>
        </w:rPr>
        <w:t>2</w:t>
      </w:r>
      <w:r>
        <w:rPr>
          <w:rFonts w:hint="eastAsia" w:ascii="宋体" w:hAnsi="宋体" w:eastAsia="宋体" w:cs="宋体"/>
          <w:sz w:val="24"/>
          <w:szCs w:val="24"/>
        </w:rPr>
        <w:t>级节水器具，得1分，采用</w:t>
      </w:r>
      <w:r>
        <w:rPr>
          <w:rFonts w:ascii="宋体" w:hAnsi="宋体" w:eastAsia="宋体" w:cs="宋体"/>
          <w:sz w:val="24"/>
          <w:szCs w:val="24"/>
        </w:rPr>
        <w:t>1</w:t>
      </w:r>
      <w:r>
        <w:rPr>
          <w:rFonts w:hint="eastAsia" w:ascii="宋体" w:hAnsi="宋体" w:eastAsia="宋体" w:cs="宋体"/>
          <w:sz w:val="24"/>
          <w:szCs w:val="24"/>
        </w:rPr>
        <w:t>级节水器具，得1分；</w:t>
      </w:r>
    </w:p>
    <w:p>
      <w:pPr>
        <w:adjustRightInd w:val="0"/>
        <w:snapToGrid w:val="0"/>
        <w:spacing w:line="360" w:lineRule="auto"/>
        <w:ind w:firstLine="482" w:firstLineChars="200"/>
        <w:jc w:val="left"/>
        <w:rPr>
          <w:rFonts w:ascii="宋体" w:hAnsi="宋体" w:eastAsia="宋体" w:cs="Times New Roman"/>
          <w:sz w:val="24"/>
          <w:szCs w:val="24"/>
        </w:rPr>
      </w:pPr>
      <w:r>
        <w:rPr>
          <w:rFonts w:ascii="宋体" w:hAnsi="宋体" w:eastAsia="宋体" w:cs="宋体"/>
          <w:b/>
          <w:sz w:val="24"/>
          <w:szCs w:val="24"/>
        </w:rPr>
        <w:t>2</w:t>
      </w:r>
      <w:r>
        <w:rPr>
          <w:rFonts w:hint="eastAsia" w:ascii="宋体" w:hAnsi="宋体" w:eastAsia="宋体" w:cs="宋体"/>
          <w:sz w:val="24"/>
          <w:szCs w:val="24"/>
        </w:rPr>
        <w:t xml:space="preserve">  车辆清洗、冲洗工具和设备等采用节水技术，得2分。</w:t>
      </w:r>
    </w:p>
    <w:p>
      <w:pPr>
        <w:adjustRightInd w:val="0"/>
        <w:snapToGrid w:val="0"/>
        <w:spacing w:line="360" w:lineRule="auto"/>
        <w:jc w:val="left"/>
        <w:rPr>
          <w:rFonts w:ascii="宋体" w:hAnsi="宋体" w:eastAsia="宋体" w:cs="Times New Roman"/>
          <w:sz w:val="24"/>
          <w:szCs w:val="24"/>
        </w:rPr>
      </w:pPr>
      <w:r>
        <w:rPr>
          <w:rFonts w:ascii="宋体" w:hAnsi="宋体" w:eastAsia="宋体"/>
          <w:b/>
          <w:bCs/>
          <w:sz w:val="24"/>
          <w:szCs w:val="24"/>
        </w:rPr>
        <w:t>7.2.2</w:t>
      </w:r>
      <w:r>
        <w:rPr>
          <w:rFonts w:hint="eastAsia" w:ascii="宋体" w:hAnsi="宋体" w:eastAsia="宋体"/>
          <w:b/>
          <w:bCs/>
          <w:sz w:val="24"/>
          <w:szCs w:val="24"/>
        </w:rPr>
        <w:t xml:space="preserve">5  </w:t>
      </w:r>
      <w:r>
        <w:rPr>
          <w:rFonts w:hint="eastAsia" w:ascii="宋体" w:hAnsi="宋体" w:eastAsia="宋体"/>
          <w:sz w:val="24"/>
          <w:szCs w:val="24"/>
        </w:rPr>
        <w:t>采取有效措</w:t>
      </w:r>
      <w:r>
        <w:rPr>
          <w:rFonts w:hint="eastAsia" w:ascii="宋体" w:hAnsi="宋体" w:eastAsia="宋体" w:cs="宋体"/>
          <w:sz w:val="24"/>
          <w:szCs w:val="24"/>
        </w:rPr>
        <w:t>施避免管网漏损，评价总分值3分，并按下列规则分别评分并累计：</w:t>
      </w:r>
    </w:p>
    <w:p>
      <w:pPr>
        <w:adjustRightInd w:val="0"/>
        <w:snapToGrid w:val="0"/>
        <w:spacing w:line="360" w:lineRule="auto"/>
        <w:ind w:firstLine="482" w:firstLineChars="200"/>
        <w:jc w:val="left"/>
        <w:rPr>
          <w:rFonts w:ascii="宋体" w:hAnsi="宋体" w:eastAsia="宋体" w:cs="Times New Roman"/>
          <w:sz w:val="24"/>
          <w:szCs w:val="24"/>
        </w:rPr>
      </w:pPr>
      <w:r>
        <w:rPr>
          <w:rFonts w:ascii="宋体" w:hAnsi="宋体" w:eastAsia="宋体" w:cs="宋体"/>
          <w:b/>
          <w:sz w:val="24"/>
          <w:szCs w:val="24"/>
        </w:rPr>
        <w:t>1</w:t>
      </w:r>
      <w:r>
        <w:rPr>
          <w:rFonts w:hint="eastAsia" w:ascii="宋体" w:hAnsi="宋体" w:eastAsia="宋体" w:cs="宋体"/>
          <w:sz w:val="24"/>
          <w:szCs w:val="24"/>
        </w:rPr>
        <w:t xml:space="preserve">  选用密闭性能好的阀门、设备，使用耐腐蚀、耐久性能好的管材、管件，得1分；</w:t>
      </w:r>
    </w:p>
    <w:p>
      <w:pPr>
        <w:adjustRightInd w:val="0"/>
        <w:snapToGrid w:val="0"/>
        <w:spacing w:line="360" w:lineRule="auto"/>
        <w:ind w:firstLine="482" w:firstLineChars="200"/>
        <w:jc w:val="left"/>
        <w:rPr>
          <w:rFonts w:ascii="宋体" w:hAnsi="宋体" w:eastAsia="宋体" w:cs="Times New Roman"/>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设计阶段安装分级计量水表，运行阶段提供用水量计量情况和管网漏损检测、整改报告，得2分。</w:t>
      </w:r>
    </w:p>
    <w:p>
      <w:pPr>
        <w:adjustRightInd w:val="0"/>
        <w:snapToGrid w:val="0"/>
        <w:spacing w:line="360" w:lineRule="auto"/>
        <w:jc w:val="left"/>
        <w:rPr>
          <w:rFonts w:ascii="宋体" w:hAnsi="宋体" w:eastAsia="宋体" w:cs="Times New Roman"/>
          <w:sz w:val="24"/>
          <w:szCs w:val="24"/>
        </w:rPr>
      </w:pPr>
      <w:r>
        <w:rPr>
          <w:rFonts w:ascii="宋体" w:hAnsi="宋体" w:eastAsia="宋体" w:cs="宋体"/>
          <w:b/>
          <w:bCs/>
          <w:sz w:val="24"/>
          <w:szCs w:val="24"/>
        </w:rPr>
        <w:t>7.2.2</w:t>
      </w:r>
      <w:r>
        <w:rPr>
          <w:rFonts w:hint="eastAsia" w:ascii="宋体" w:hAnsi="宋体" w:eastAsia="宋体" w:cs="宋体"/>
          <w:b/>
          <w:bCs/>
          <w:sz w:val="24"/>
          <w:szCs w:val="24"/>
        </w:rPr>
        <w:t xml:space="preserve">6  </w:t>
      </w:r>
      <w:r>
        <w:rPr>
          <w:rFonts w:hint="eastAsia" w:ascii="宋体" w:hAnsi="宋体" w:eastAsia="宋体" w:cs="宋体"/>
          <w:sz w:val="24"/>
          <w:szCs w:val="24"/>
        </w:rPr>
        <w:t>给水加压设备采用变频调速或叠压供水装置，评价分值为2分。</w:t>
      </w:r>
    </w:p>
    <w:p>
      <w:pPr>
        <w:adjustRightInd w:val="0"/>
        <w:snapToGrid w:val="0"/>
        <w:spacing w:line="360" w:lineRule="auto"/>
        <w:jc w:val="left"/>
        <w:rPr>
          <w:rFonts w:ascii="宋体" w:hAnsi="宋体" w:eastAsia="宋体" w:cs="Times New Roman"/>
          <w:sz w:val="24"/>
          <w:szCs w:val="24"/>
        </w:rPr>
      </w:pPr>
      <w:r>
        <w:rPr>
          <w:rFonts w:ascii="宋体" w:hAnsi="宋体" w:eastAsia="宋体" w:cs="宋体"/>
          <w:b/>
          <w:bCs/>
          <w:sz w:val="24"/>
          <w:szCs w:val="24"/>
        </w:rPr>
        <w:t>7.2.</w:t>
      </w:r>
      <w:r>
        <w:rPr>
          <w:rFonts w:hint="eastAsia" w:ascii="宋体" w:hAnsi="宋体" w:eastAsia="宋体" w:cs="宋体"/>
          <w:b/>
          <w:bCs/>
          <w:sz w:val="24"/>
          <w:szCs w:val="24"/>
        </w:rPr>
        <w:t xml:space="preserve">27  </w:t>
      </w:r>
      <w:r>
        <w:rPr>
          <w:rFonts w:hint="eastAsia" w:ascii="宋体" w:hAnsi="宋体" w:eastAsia="宋体" w:cs="宋体"/>
          <w:sz w:val="24"/>
          <w:szCs w:val="24"/>
        </w:rPr>
        <w:t>给水系统无超压出流现象，用水点供水压力不大于</w:t>
      </w:r>
      <w:r>
        <w:rPr>
          <w:rFonts w:ascii="宋体" w:hAnsi="宋体" w:eastAsia="宋体" w:cs="宋体"/>
          <w:sz w:val="24"/>
          <w:szCs w:val="24"/>
        </w:rPr>
        <w:t>0.2MPa</w:t>
      </w:r>
      <w:r>
        <w:rPr>
          <w:rFonts w:hint="eastAsia" w:ascii="宋体" w:hAnsi="宋体" w:eastAsia="宋体" w:cs="宋体"/>
          <w:sz w:val="24"/>
          <w:szCs w:val="24"/>
        </w:rPr>
        <w:t>，且不小于用水器具要求的最低工作压力，评价分值为2分。</w:t>
      </w:r>
    </w:p>
    <w:p>
      <w:pPr>
        <w:adjustRightInd w:val="0"/>
        <w:snapToGrid w:val="0"/>
        <w:spacing w:line="360" w:lineRule="auto"/>
        <w:jc w:val="left"/>
        <w:rPr>
          <w:rFonts w:ascii="宋体" w:hAnsi="宋体" w:eastAsia="宋体" w:cs="Times New Roman"/>
          <w:sz w:val="24"/>
          <w:szCs w:val="24"/>
        </w:rPr>
      </w:pPr>
      <w:r>
        <w:rPr>
          <w:rFonts w:ascii="宋体" w:hAnsi="宋体" w:eastAsia="宋体" w:cs="宋体"/>
          <w:b/>
          <w:bCs/>
          <w:sz w:val="24"/>
          <w:szCs w:val="24"/>
        </w:rPr>
        <w:t>7.2.</w:t>
      </w:r>
      <w:r>
        <w:rPr>
          <w:rFonts w:hint="eastAsia" w:ascii="宋体" w:hAnsi="宋体" w:eastAsia="宋体" w:cs="宋体"/>
          <w:b/>
          <w:bCs/>
          <w:sz w:val="24"/>
          <w:szCs w:val="24"/>
        </w:rPr>
        <w:t xml:space="preserve">28  </w:t>
      </w:r>
      <w:r>
        <w:rPr>
          <w:rFonts w:hint="eastAsia" w:ascii="宋体" w:hAnsi="宋体" w:eastAsia="宋体" w:cs="宋体"/>
          <w:sz w:val="24"/>
          <w:szCs w:val="24"/>
        </w:rPr>
        <w:t>车辆基地采用节水灌溉方式，评价总分值为3分，并按下列规则评分：</w:t>
      </w:r>
    </w:p>
    <w:p>
      <w:pPr>
        <w:adjustRightInd w:val="0"/>
        <w:snapToGrid w:val="0"/>
        <w:spacing w:line="360" w:lineRule="auto"/>
        <w:ind w:firstLine="482" w:firstLineChars="200"/>
        <w:jc w:val="left"/>
        <w:rPr>
          <w:rFonts w:ascii="宋体" w:hAnsi="宋体" w:eastAsia="宋体" w:cs="Times New Roman"/>
          <w:sz w:val="24"/>
          <w:szCs w:val="24"/>
        </w:rPr>
      </w:pPr>
      <w:r>
        <w:rPr>
          <w:rFonts w:ascii="宋体" w:hAnsi="宋体" w:eastAsia="宋体" w:cs="宋体"/>
          <w:b/>
          <w:sz w:val="24"/>
          <w:szCs w:val="24"/>
        </w:rPr>
        <w:t>1</w:t>
      </w:r>
      <w:r>
        <w:rPr>
          <w:rFonts w:hint="eastAsia" w:ascii="宋体" w:hAnsi="宋体" w:eastAsia="宋体" w:cs="宋体"/>
          <w:sz w:val="24"/>
          <w:szCs w:val="24"/>
        </w:rPr>
        <w:t xml:space="preserve">  采用节水灌溉系统，得2分；</w:t>
      </w:r>
    </w:p>
    <w:p>
      <w:pPr>
        <w:adjustRightInd w:val="0"/>
        <w:snapToGrid w:val="0"/>
        <w:spacing w:line="360" w:lineRule="auto"/>
        <w:ind w:firstLine="482" w:firstLineChars="200"/>
        <w:jc w:val="left"/>
        <w:rPr>
          <w:rFonts w:ascii="宋体" w:hAnsi="宋体" w:eastAsia="宋体" w:cs="Times New Roman"/>
          <w:sz w:val="24"/>
          <w:szCs w:val="24"/>
        </w:rPr>
      </w:pPr>
      <w:r>
        <w:rPr>
          <w:rFonts w:ascii="宋体" w:hAnsi="宋体" w:eastAsia="宋体" w:cs="宋体"/>
          <w:b/>
          <w:sz w:val="24"/>
          <w:szCs w:val="24"/>
        </w:rPr>
        <w:t>2</w:t>
      </w:r>
      <w:r>
        <w:rPr>
          <w:rFonts w:hint="eastAsia" w:ascii="宋体" w:hAnsi="宋体" w:eastAsia="宋体" w:cs="宋体"/>
          <w:sz w:val="24"/>
          <w:szCs w:val="24"/>
        </w:rPr>
        <w:t xml:space="preserve">  在采用节水灌溉系统基础上采用自动控制灌溉系统，或种植无需永久灌溉植物，得3分。</w:t>
      </w:r>
    </w:p>
    <w:p>
      <w:pPr>
        <w:adjustRightInd w:val="0"/>
        <w:snapToGrid w:val="0"/>
        <w:spacing w:line="360" w:lineRule="auto"/>
        <w:jc w:val="left"/>
        <w:rPr>
          <w:rFonts w:ascii="宋体" w:hAnsi="宋体" w:eastAsia="宋体" w:cs="宋体"/>
          <w:sz w:val="24"/>
          <w:szCs w:val="24"/>
        </w:rPr>
      </w:pPr>
      <w:r>
        <w:rPr>
          <w:rFonts w:ascii="宋体" w:hAnsi="宋体" w:eastAsia="宋体"/>
          <w:b/>
          <w:sz w:val="24"/>
          <w:szCs w:val="24"/>
        </w:rPr>
        <w:t>7.2.</w:t>
      </w:r>
      <w:r>
        <w:rPr>
          <w:rFonts w:hint="eastAsia" w:ascii="宋体" w:hAnsi="宋体" w:eastAsia="宋体"/>
          <w:b/>
          <w:sz w:val="24"/>
          <w:szCs w:val="24"/>
        </w:rPr>
        <w:t xml:space="preserve">29  </w:t>
      </w:r>
      <w:r>
        <w:rPr>
          <w:rFonts w:hint="eastAsia" w:ascii="宋体" w:hAnsi="宋体" w:eastAsia="宋体" w:cs="宋体"/>
          <w:sz w:val="24"/>
          <w:szCs w:val="24"/>
        </w:rPr>
        <w:t>洗车废水经处理后回用，评价总分值为3分，并按下列规则评分：</w:t>
      </w:r>
    </w:p>
    <w:p>
      <w:pPr>
        <w:adjustRightInd w:val="0"/>
        <w:snapToGrid w:val="0"/>
        <w:spacing w:line="360" w:lineRule="auto"/>
        <w:ind w:firstLine="482" w:firstLineChars="200"/>
        <w:jc w:val="left"/>
        <w:rPr>
          <w:rFonts w:ascii="宋体" w:hAnsi="宋体" w:eastAsia="宋体" w:cs="宋体"/>
          <w:sz w:val="24"/>
          <w:szCs w:val="24"/>
        </w:rPr>
      </w:pPr>
      <w:r>
        <w:rPr>
          <w:rFonts w:ascii="宋体" w:hAnsi="宋体" w:eastAsia="宋体" w:cs="宋体"/>
          <w:b/>
          <w:sz w:val="24"/>
          <w:szCs w:val="24"/>
        </w:rPr>
        <w:t>1</w:t>
      </w:r>
      <w:r>
        <w:rPr>
          <w:rFonts w:ascii="宋体" w:hAnsi="宋体" w:eastAsia="宋体" w:cs="宋体"/>
          <w:sz w:val="24"/>
          <w:szCs w:val="24"/>
        </w:rPr>
        <w:t>　</w:t>
      </w:r>
      <w:r>
        <w:rPr>
          <w:rFonts w:hint="eastAsia" w:ascii="宋体" w:hAnsi="宋体" w:eastAsia="宋体" w:cs="宋体"/>
          <w:sz w:val="24"/>
          <w:szCs w:val="24"/>
        </w:rPr>
        <w:t>洗车废水回用率不低于</w:t>
      </w:r>
      <w:r>
        <w:rPr>
          <w:rFonts w:ascii="宋体" w:hAnsi="宋体" w:eastAsia="宋体" w:cs="宋体"/>
          <w:sz w:val="24"/>
          <w:szCs w:val="24"/>
        </w:rPr>
        <w:t>70%</w:t>
      </w:r>
      <w:r>
        <w:rPr>
          <w:rFonts w:hint="eastAsia" w:ascii="宋体" w:hAnsi="宋体" w:eastAsia="宋体" w:cs="宋体"/>
          <w:sz w:val="24"/>
          <w:szCs w:val="24"/>
        </w:rPr>
        <w:t>，得1分；</w:t>
      </w:r>
    </w:p>
    <w:p>
      <w:pPr>
        <w:adjustRightInd w:val="0"/>
        <w:snapToGrid w:val="0"/>
        <w:spacing w:line="360" w:lineRule="auto"/>
        <w:ind w:firstLine="482" w:firstLineChars="200"/>
        <w:jc w:val="left"/>
        <w:rPr>
          <w:rFonts w:ascii="宋体" w:hAnsi="宋体" w:eastAsia="宋体" w:cs="宋体"/>
          <w:sz w:val="24"/>
          <w:szCs w:val="24"/>
        </w:rPr>
      </w:pPr>
      <w:r>
        <w:rPr>
          <w:rFonts w:ascii="宋体" w:hAnsi="宋体" w:eastAsia="宋体" w:cs="宋体"/>
          <w:b/>
          <w:sz w:val="24"/>
          <w:szCs w:val="24"/>
        </w:rPr>
        <w:t>2</w:t>
      </w:r>
      <w:r>
        <w:rPr>
          <w:rFonts w:ascii="宋体" w:hAnsi="宋体" w:eastAsia="宋体" w:cs="宋体"/>
          <w:sz w:val="24"/>
          <w:szCs w:val="24"/>
        </w:rPr>
        <w:t>　</w:t>
      </w:r>
      <w:r>
        <w:rPr>
          <w:rFonts w:hint="eastAsia" w:ascii="宋体" w:hAnsi="宋体" w:eastAsia="宋体" w:cs="宋体"/>
          <w:sz w:val="24"/>
          <w:szCs w:val="24"/>
        </w:rPr>
        <w:t>洗车废水回用率不低于</w:t>
      </w:r>
      <w:r>
        <w:rPr>
          <w:rFonts w:ascii="宋体" w:hAnsi="宋体" w:eastAsia="宋体" w:cs="宋体"/>
          <w:sz w:val="24"/>
          <w:szCs w:val="24"/>
        </w:rPr>
        <w:t>80%</w:t>
      </w:r>
      <w:r>
        <w:rPr>
          <w:rFonts w:hint="eastAsia" w:ascii="宋体" w:hAnsi="宋体" w:eastAsia="宋体" w:cs="宋体"/>
          <w:sz w:val="24"/>
          <w:szCs w:val="24"/>
        </w:rPr>
        <w:t>，得2分；</w:t>
      </w:r>
    </w:p>
    <w:p>
      <w:pPr>
        <w:adjustRightInd w:val="0"/>
        <w:snapToGrid w:val="0"/>
        <w:spacing w:line="360" w:lineRule="auto"/>
        <w:ind w:firstLine="482" w:firstLineChars="200"/>
        <w:jc w:val="left"/>
        <w:rPr>
          <w:rFonts w:ascii="宋体" w:hAnsi="宋体" w:eastAsia="宋体" w:cs="宋体"/>
          <w:sz w:val="24"/>
          <w:szCs w:val="24"/>
        </w:rPr>
      </w:pPr>
      <w:r>
        <w:rPr>
          <w:rFonts w:ascii="宋体" w:hAnsi="宋体" w:eastAsia="宋体" w:cs="宋体"/>
          <w:b/>
          <w:sz w:val="24"/>
          <w:szCs w:val="24"/>
        </w:rPr>
        <w:t>3</w:t>
      </w:r>
      <w:r>
        <w:rPr>
          <w:rFonts w:ascii="宋体" w:hAnsi="宋体" w:eastAsia="宋体" w:cs="宋体"/>
          <w:sz w:val="24"/>
          <w:szCs w:val="24"/>
        </w:rPr>
        <w:t>　</w:t>
      </w:r>
      <w:r>
        <w:rPr>
          <w:rFonts w:hint="eastAsia" w:ascii="宋体" w:hAnsi="宋体" w:eastAsia="宋体" w:cs="宋体"/>
          <w:sz w:val="24"/>
          <w:szCs w:val="24"/>
        </w:rPr>
        <w:t>洗车废水回用率不低于</w:t>
      </w:r>
      <w:r>
        <w:rPr>
          <w:rFonts w:ascii="宋体" w:hAnsi="宋体" w:eastAsia="宋体" w:cs="宋体"/>
          <w:sz w:val="24"/>
          <w:szCs w:val="24"/>
        </w:rPr>
        <w:t>90%</w:t>
      </w:r>
      <w:r>
        <w:rPr>
          <w:rFonts w:hint="eastAsia" w:ascii="宋体" w:hAnsi="宋体" w:eastAsia="宋体" w:cs="宋体"/>
          <w:sz w:val="24"/>
          <w:szCs w:val="24"/>
        </w:rPr>
        <w:t>，得3分。</w:t>
      </w:r>
    </w:p>
    <w:p>
      <w:pPr>
        <w:adjustRightInd w:val="0"/>
        <w:snapToGrid w:val="0"/>
        <w:spacing w:line="360" w:lineRule="auto"/>
        <w:jc w:val="left"/>
        <w:rPr>
          <w:rFonts w:ascii="宋体" w:hAnsi="宋体" w:eastAsia="宋体" w:cs="Times New Roman"/>
          <w:sz w:val="24"/>
          <w:szCs w:val="24"/>
        </w:rPr>
      </w:pPr>
      <w:r>
        <w:rPr>
          <w:rFonts w:ascii="宋体" w:hAnsi="宋体" w:eastAsia="宋体" w:cs="宋体"/>
          <w:b/>
          <w:bCs/>
          <w:sz w:val="24"/>
          <w:szCs w:val="24"/>
        </w:rPr>
        <w:t>7.2.</w:t>
      </w:r>
      <w:r>
        <w:rPr>
          <w:rFonts w:hint="eastAsia" w:ascii="宋体" w:hAnsi="宋体" w:eastAsia="宋体" w:cs="宋体"/>
          <w:b/>
          <w:bCs/>
          <w:sz w:val="24"/>
          <w:szCs w:val="24"/>
        </w:rPr>
        <w:t xml:space="preserve">30  </w:t>
      </w:r>
      <w:r>
        <w:rPr>
          <w:rFonts w:hint="eastAsia" w:ascii="宋体" w:hAnsi="宋体" w:eastAsia="宋体" w:cs="宋体"/>
          <w:sz w:val="24"/>
          <w:szCs w:val="24"/>
        </w:rPr>
        <w:t>热水系统热源选用太阳能</w:t>
      </w:r>
      <w:r>
        <w:rPr>
          <w:rFonts w:hint="eastAsia" w:ascii="宋体" w:hAnsi="宋体" w:eastAsia="宋体"/>
          <w:sz w:val="24"/>
          <w:szCs w:val="24"/>
        </w:rPr>
        <w:t>、空气源等</w:t>
      </w:r>
      <w:r>
        <w:rPr>
          <w:rFonts w:hint="eastAsia" w:ascii="宋体" w:hAnsi="宋体" w:eastAsia="宋体" w:cs="宋体"/>
          <w:sz w:val="24"/>
          <w:szCs w:val="24"/>
        </w:rPr>
        <w:t>等可再生能源，评价分值为2分。</w:t>
      </w:r>
    </w:p>
    <w:p>
      <w:pPr>
        <w:adjustRightInd w:val="0"/>
        <w:snapToGrid w:val="0"/>
        <w:spacing w:line="360" w:lineRule="auto"/>
        <w:rPr>
          <w:rFonts w:ascii="宋体" w:hAnsi="宋体" w:eastAsia="宋体" w:cs="Times New Roman"/>
          <w:sz w:val="24"/>
          <w:szCs w:val="24"/>
        </w:rPr>
      </w:pPr>
      <w:r>
        <w:rPr>
          <w:rFonts w:ascii="宋体" w:hAnsi="宋体" w:eastAsia="宋体" w:cs="宋体"/>
          <w:b/>
          <w:bCs/>
          <w:sz w:val="24"/>
          <w:szCs w:val="24"/>
        </w:rPr>
        <w:t>7.2.</w:t>
      </w:r>
      <w:r>
        <w:rPr>
          <w:rFonts w:hint="eastAsia" w:ascii="宋体" w:hAnsi="宋体" w:eastAsia="宋体" w:cs="宋体"/>
          <w:b/>
          <w:bCs/>
          <w:sz w:val="24"/>
          <w:szCs w:val="24"/>
        </w:rPr>
        <w:t xml:space="preserve">31  </w:t>
      </w:r>
      <w:r>
        <w:rPr>
          <w:rFonts w:hint="eastAsia" w:ascii="宋体" w:hAnsi="宋体" w:eastAsia="宋体" w:cs="宋体"/>
          <w:sz w:val="24"/>
          <w:szCs w:val="24"/>
        </w:rPr>
        <w:t>车辆段绿化用水、生产用水、洗车用水等合理采用再生水、雨水等非传统水源，评价总分值3分，并按下列规则分别评分并累计：</w:t>
      </w:r>
    </w:p>
    <w:p>
      <w:pPr>
        <w:adjustRightInd w:val="0"/>
        <w:snapToGrid w:val="0"/>
        <w:spacing w:line="360" w:lineRule="auto"/>
        <w:ind w:firstLine="482" w:firstLineChars="200"/>
        <w:jc w:val="left"/>
        <w:rPr>
          <w:rFonts w:ascii="宋体" w:hAnsi="宋体" w:eastAsia="宋体" w:cs="Times New Roman"/>
          <w:sz w:val="24"/>
          <w:szCs w:val="24"/>
        </w:rPr>
      </w:pPr>
      <w:bookmarkStart w:id="44" w:name="_Toc278437065"/>
      <w:bookmarkStart w:id="45" w:name="_Toc275452438"/>
      <w:bookmarkStart w:id="46" w:name="_Toc278753534"/>
      <w:bookmarkStart w:id="47" w:name="_Toc275502242"/>
      <w:r>
        <w:rPr>
          <w:rFonts w:hint="eastAsia" w:ascii="宋体" w:hAnsi="宋体" w:eastAsia="宋体" w:cs="宋体"/>
          <w:b/>
          <w:sz w:val="24"/>
          <w:szCs w:val="24"/>
        </w:rPr>
        <w:t>1</w:t>
      </w:r>
      <w:r>
        <w:rPr>
          <w:rFonts w:hint="eastAsia" w:ascii="宋体" w:hAnsi="宋体" w:eastAsia="宋体" w:cs="宋体"/>
          <w:sz w:val="24"/>
          <w:szCs w:val="24"/>
        </w:rPr>
        <w:t xml:space="preserve">  在方案设计阶段制定建设项目的水资源规划方案，统筹、综合利用各种水资源。水资源规划方案包括中水、雨水等非传统水源综合利用的内容，得1分；</w:t>
      </w:r>
    </w:p>
    <w:p>
      <w:pPr>
        <w:adjustRightInd w:val="0"/>
        <w:snapToGrid w:val="0"/>
        <w:spacing w:line="360" w:lineRule="auto"/>
        <w:ind w:firstLine="482" w:firstLineChars="200"/>
        <w:jc w:val="left"/>
        <w:rPr>
          <w:rFonts w:ascii="宋体" w:hAnsi="宋体" w:eastAsia="宋体" w:cs="Times New Roman"/>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车辆段的非传统水源利用率不低于</w:t>
      </w:r>
      <w:r>
        <w:rPr>
          <w:rFonts w:ascii="宋体" w:hAnsi="宋体" w:eastAsia="宋体" w:cs="宋体"/>
          <w:sz w:val="24"/>
          <w:szCs w:val="24"/>
        </w:rPr>
        <w:t>5</w:t>
      </w:r>
      <w:r>
        <w:rPr>
          <w:rFonts w:hint="eastAsia" w:ascii="宋体" w:hAnsi="宋体" w:eastAsia="宋体" w:cs="宋体"/>
          <w:sz w:val="24"/>
          <w:szCs w:val="24"/>
        </w:rPr>
        <w:t>％，得1分；不低于</w:t>
      </w:r>
      <w:r>
        <w:rPr>
          <w:rFonts w:ascii="宋体" w:hAnsi="宋体" w:eastAsia="宋体" w:cs="宋体"/>
          <w:sz w:val="24"/>
          <w:szCs w:val="24"/>
        </w:rPr>
        <w:t>10</w:t>
      </w:r>
      <w:r>
        <w:rPr>
          <w:rFonts w:hint="eastAsia" w:ascii="宋体" w:hAnsi="宋体" w:eastAsia="宋体" w:cs="宋体"/>
          <w:sz w:val="24"/>
          <w:szCs w:val="24"/>
        </w:rPr>
        <w:t>％，得2分。</w:t>
      </w:r>
    </w:p>
    <w:bookmarkEnd w:id="44"/>
    <w:bookmarkEnd w:id="45"/>
    <w:bookmarkEnd w:id="46"/>
    <w:bookmarkEnd w:id="47"/>
    <w:p>
      <w:pPr>
        <w:adjustRightInd w:val="0"/>
        <w:snapToGrid w:val="0"/>
        <w:spacing w:line="360" w:lineRule="auto"/>
        <w:jc w:val="left"/>
        <w:rPr>
          <w:rFonts w:ascii="宋体" w:hAnsi="宋体" w:eastAsia="宋体"/>
          <w:sz w:val="24"/>
          <w:szCs w:val="24"/>
        </w:rPr>
      </w:pPr>
      <w:r>
        <w:rPr>
          <w:rFonts w:ascii="宋体" w:hAnsi="宋体" w:eastAsia="宋体"/>
          <w:b/>
          <w:sz w:val="24"/>
          <w:szCs w:val="24"/>
        </w:rPr>
        <w:t>7.2.</w:t>
      </w:r>
      <w:r>
        <w:rPr>
          <w:rFonts w:hint="eastAsia" w:ascii="宋体" w:hAnsi="宋体" w:eastAsia="宋体"/>
          <w:b/>
          <w:sz w:val="24"/>
          <w:szCs w:val="24"/>
        </w:rPr>
        <w:t xml:space="preserve">32  </w:t>
      </w:r>
      <w:r>
        <w:rPr>
          <w:rFonts w:hint="eastAsia" w:ascii="宋体" w:hAnsi="宋体" w:eastAsia="宋体"/>
          <w:sz w:val="24"/>
          <w:szCs w:val="24"/>
        </w:rPr>
        <w:t>能源管理系统实现用能设备的物联及科学规范管理，节约能源，评价总分值为12分，并按下列规则分别评分并累计：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按以下要求实现分类、分级、分项管理：</w:t>
      </w:r>
    </w:p>
    <w:p>
      <w:pPr>
        <w:adjustRightInd w:val="0"/>
        <w:snapToGrid w:val="0"/>
        <w:spacing w:line="360" w:lineRule="auto"/>
        <w:ind w:firstLine="723" w:firstLineChars="3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实现分类能耗管理，得1分；</w:t>
      </w:r>
    </w:p>
    <w:p>
      <w:pPr>
        <w:adjustRightInd w:val="0"/>
        <w:snapToGrid w:val="0"/>
        <w:spacing w:line="360" w:lineRule="auto"/>
        <w:ind w:firstLine="723" w:firstLineChars="3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实现分项、分级能耗管理，得2分。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建立全网、各线路、各站点的能耗评价指标体系，依据各类能耗标准及定额对全网、各线路、各站点用能系统考核，得3分。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网络采用无线方式，得2分。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对车站用电设备能量流进行有效控制，实现精细化节能，得3分。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5</w:t>
      </w:r>
      <w:r>
        <w:rPr>
          <w:rFonts w:hint="eastAsia" w:ascii="宋体" w:hAnsi="宋体" w:eastAsia="宋体"/>
          <w:sz w:val="24"/>
          <w:szCs w:val="24"/>
        </w:rPr>
        <w:t xml:space="preserve">  利用计量数据进行水管网漏损自动检测、分析和整改，管道漏损率低于2%，得1分。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7.2.3</w:t>
      </w:r>
      <w:r>
        <w:rPr>
          <w:rFonts w:hint="eastAsia" w:ascii="宋体" w:hAnsi="宋体" w:eastAsia="宋体"/>
          <w:b/>
          <w:sz w:val="24"/>
          <w:szCs w:val="24"/>
        </w:rPr>
        <w:t xml:space="preserve">3  </w:t>
      </w:r>
      <w:r>
        <w:rPr>
          <w:rFonts w:hint="eastAsia" w:ascii="宋体" w:hAnsi="宋体" w:eastAsia="宋体"/>
          <w:sz w:val="24"/>
          <w:szCs w:val="24"/>
        </w:rPr>
        <w:t>采用低损耗、低噪声的110kV节能电力变压器及交流牵引变压器。评分总值为4分，并按下列规则分别评分：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110kV 油浸式电力变压器或交流牵变压器的能效均满足GB 20052-2020《电力变压器能效限定值及能效等级》中相应110kV油浸电力变压器的2级能效标准，得2分；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110kV 油浸式电力变压器的能效均满足GB 20052-2020《电力变压器能效限定值及能效等级》中相应110kV油浸电力变压器的1级能效标准，得4分。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7.2.3</w:t>
      </w:r>
      <w:r>
        <w:rPr>
          <w:rFonts w:hint="eastAsia" w:ascii="宋体" w:hAnsi="宋体" w:eastAsia="宋体"/>
          <w:b/>
          <w:sz w:val="24"/>
          <w:szCs w:val="24"/>
        </w:rPr>
        <w:t xml:space="preserve">4  </w:t>
      </w:r>
      <w:r>
        <w:rPr>
          <w:rFonts w:hint="eastAsia" w:ascii="宋体" w:hAnsi="宋体" w:eastAsia="宋体"/>
          <w:sz w:val="24"/>
          <w:szCs w:val="24"/>
        </w:rPr>
        <w:t>采用低损耗、低噪声的节能33/35kV配电变压器及牵引整流变压器。评价总分值为5分，按下列规则评分：</w:t>
      </w:r>
    </w:p>
    <w:p>
      <w:pPr>
        <w:adjustRightInd w:val="0"/>
        <w:snapToGrid w:val="0"/>
        <w:spacing w:line="360" w:lineRule="auto"/>
        <w:ind w:firstLine="472" w:firstLineChars="196"/>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xml:space="preserve">  </w:t>
      </w:r>
      <w:r>
        <w:rPr>
          <w:rFonts w:hint="eastAsia" w:ascii="宋体" w:hAnsi="宋体" w:eastAsia="宋体"/>
          <w:sz w:val="24"/>
          <w:szCs w:val="24"/>
        </w:rPr>
        <w:t>三相无励磁调压干式配电变压器及牵引整流变压器的空载损耗和负载损耗值均满足表7.2.34-1的要求，得5分；</w:t>
      </w:r>
    </w:p>
    <w:p>
      <w:pPr>
        <w:spacing w:line="360" w:lineRule="auto"/>
        <w:ind w:firstLine="422" w:firstLineChars="200"/>
        <w:contextualSpacing/>
        <w:jc w:val="left"/>
        <w:rPr>
          <w:rFonts w:ascii="宋体" w:hAnsi="宋体" w:eastAsia="宋体"/>
          <w:b/>
        </w:rPr>
      </w:pPr>
      <w:r>
        <w:rPr>
          <w:rFonts w:hint="eastAsia" w:ascii="宋体" w:hAnsi="宋体" w:eastAsia="宋体"/>
          <w:b/>
        </w:rPr>
        <w:t>表7.2.34-1  33/35kV 级无励磁调压干式变压器空载损耗和负载损耗值（一）</w:t>
      </w:r>
    </w:p>
    <w:tbl>
      <w:tblPr>
        <w:tblStyle w:val="13"/>
        <w:tblW w:w="7371" w:type="dxa"/>
        <w:jc w:val="center"/>
        <w:tblLayout w:type="autofit"/>
        <w:tblCellMar>
          <w:top w:w="0" w:type="dxa"/>
          <w:left w:w="108" w:type="dxa"/>
          <w:bottom w:w="0" w:type="dxa"/>
          <w:right w:w="108" w:type="dxa"/>
        </w:tblCellMar>
      </w:tblPr>
      <w:tblGrid>
        <w:gridCol w:w="1275"/>
        <w:gridCol w:w="1276"/>
        <w:gridCol w:w="1559"/>
        <w:gridCol w:w="1701"/>
        <w:gridCol w:w="1560"/>
      </w:tblGrid>
      <w:tr>
        <w:tblPrEx>
          <w:tblCellMar>
            <w:top w:w="0" w:type="dxa"/>
            <w:left w:w="108" w:type="dxa"/>
            <w:bottom w:w="0" w:type="dxa"/>
            <w:right w:w="108" w:type="dxa"/>
          </w:tblCellMar>
        </w:tblPrEx>
        <w:trPr>
          <w:trHeight w:val="540" w:hRule="atLeast"/>
          <w:tblHeader/>
          <w:jc w:val="center"/>
        </w:trPr>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额定容量</w:t>
            </w:r>
          </w:p>
          <w:p>
            <w:pPr>
              <w:widowControl/>
              <w:jc w:val="center"/>
              <w:rPr>
                <w:rFonts w:ascii="宋体" w:hAnsi="宋体" w:eastAsia="宋体"/>
              </w:rPr>
            </w:pPr>
            <w:r>
              <w:rPr>
                <w:rFonts w:hint="eastAsia" w:ascii="宋体" w:hAnsi="宋体" w:eastAsia="宋体"/>
              </w:rPr>
              <w:t>kVA</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 xml:space="preserve">空载损耗 </w:t>
            </w:r>
          </w:p>
          <w:p>
            <w:pPr>
              <w:widowControl/>
              <w:jc w:val="center"/>
              <w:rPr>
                <w:rFonts w:ascii="宋体" w:hAnsi="宋体" w:eastAsia="宋体"/>
              </w:rPr>
            </w:pPr>
            <w:r>
              <w:rPr>
                <w:rFonts w:hint="eastAsia" w:ascii="宋体" w:hAnsi="宋体" w:eastAsia="宋体"/>
              </w:rPr>
              <w:t>kW</w:t>
            </w:r>
          </w:p>
        </w:tc>
        <w:tc>
          <w:tcPr>
            <w:tcW w:w="4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rPr>
              <w:t>不同绝缘系统温度下的负载损耗   kW</w:t>
            </w:r>
          </w:p>
        </w:tc>
      </w:tr>
      <w:tr>
        <w:tblPrEx>
          <w:tblCellMar>
            <w:top w:w="0" w:type="dxa"/>
            <w:left w:w="108" w:type="dxa"/>
            <w:bottom w:w="0" w:type="dxa"/>
            <w:right w:w="108" w:type="dxa"/>
          </w:tblCellMar>
        </w:tblPrEx>
        <w:trPr>
          <w:trHeight w:val="810" w:hRule="atLeast"/>
          <w:tblHeader/>
          <w:jc w:val="cent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130</w:t>
            </w:r>
            <w:r>
              <w:rPr>
                <w:rFonts w:hint="eastAsia" w:ascii="宋体" w:hAnsi="宋体" w:eastAsia="宋体"/>
                <w:lang w:eastAsia="zh-CN"/>
              </w:rPr>
              <w:t>℃</w:t>
            </w:r>
            <w:r>
              <w:rPr>
                <w:rFonts w:hint="eastAsia" w:ascii="宋体" w:hAnsi="宋体" w:eastAsia="宋体"/>
              </w:rPr>
              <w:t>(B)</w:t>
            </w:r>
          </w:p>
          <w:p>
            <w:pPr>
              <w:widowControl/>
              <w:jc w:val="center"/>
              <w:rPr>
                <w:rFonts w:ascii="宋体" w:hAnsi="宋体" w:eastAsia="宋体"/>
              </w:rPr>
            </w:pPr>
            <w:r>
              <w:rPr>
                <w:rFonts w:hint="eastAsia" w:ascii="宋体" w:hAnsi="宋体" w:eastAsia="宋体"/>
              </w:rPr>
              <w:t>(100</w:t>
            </w:r>
            <w:r>
              <w:rPr>
                <w:rFonts w:hint="eastAsia" w:ascii="宋体" w:hAnsi="宋体" w:eastAsia="宋体"/>
                <w:lang w:eastAsia="zh-CN"/>
              </w:rPr>
              <w:t>℃</w:t>
            </w:r>
            <w:r>
              <w:rPr>
                <w:rFonts w:hint="eastAsia" w:ascii="宋体" w:hAnsi="宋体" w:eastAsia="宋体"/>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155</w:t>
            </w:r>
            <w:r>
              <w:rPr>
                <w:rFonts w:hint="eastAsia" w:ascii="宋体" w:hAnsi="宋体" w:eastAsia="宋体"/>
                <w:lang w:eastAsia="zh-CN"/>
              </w:rPr>
              <w:t>℃</w:t>
            </w:r>
            <w:r>
              <w:rPr>
                <w:rFonts w:hint="eastAsia" w:ascii="宋体" w:hAnsi="宋体" w:eastAsia="宋体"/>
              </w:rPr>
              <w:t>(F)</w:t>
            </w:r>
          </w:p>
          <w:p>
            <w:pPr>
              <w:widowControl/>
              <w:jc w:val="center"/>
              <w:rPr>
                <w:rFonts w:ascii="宋体" w:hAnsi="宋体" w:eastAsia="宋体"/>
              </w:rPr>
            </w:pPr>
            <w:r>
              <w:rPr>
                <w:rFonts w:hint="eastAsia" w:ascii="宋体" w:hAnsi="宋体" w:eastAsia="宋体"/>
              </w:rPr>
              <w:t>(120</w:t>
            </w:r>
            <w:r>
              <w:rPr>
                <w:rFonts w:hint="eastAsia" w:ascii="宋体" w:hAnsi="宋体" w:eastAsia="宋体"/>
                <w:lang w:eastAsia="zh-CN"/>
              </w:rPr>
              <w:t>℃</w:t>
            </w:r>
            <w:r>
              <w:rPr>
                <w:rFonts w:hint="eastAsia" w:ascii="宋体" w:hAnsi="宋体" w:eastAsia="宋体"/>
              </w:rPr>
              <w:t>)</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180</w:t>
            </w:r>
            <w:r>
              <w:rPr>
                <w:rFonts w:hint="eastAsia" w:ascii="宋体" w:hAnsi="宋体" w:eastAsia="宋体"/>
                <w:lang w:eastAsia="zh-CN"/>
              </w:rPr>
              <w:t>℃</w:t>
            </w:r>
            <w:r>
              <w:rPr>
                <w:rFonts w:hint="eastAsia" w:ascii="宋体" w:hAnsi="宋体" w:eastAsia="宋体"/>
              </w:rPr>
              <w:t>(H)</w:t>
            </w:r>
          </w:p>
          <w:p>
            <w:pPr>
              <w:widowControl/>
              <w:jc w:val="center"/>
              <w:rPr>
                <w:rFonts w:ascii="宋体" w:hAnsi="宋体" w:eastAsia="宋体"/>
              </w:rPr>
            </w:pPr>
            <w:r>
              <w:rPr>
                <w:rFonts w:hint="eastAsia" w:ascii="宋体" w:hAnsi="宋体" w:eastAsia="宋体"/>
              </w:rPr>
              <w:t>(145</w:t>
            </w:r>
            <w:r>
              <w:rPr>
                <w:rFonts w:hint="eastAsia" w:ascii="宋体" w:hAnsi="宋体" w:eastAsia="宋体"/>
                <w:lang w:eastAsia="zh-CN"/>
              </w:rPr>
              <w:t>℃</w:t>
            </w:r>
            <w:r>
              <w:rPr>
                <w:rFonts w:hint="eastAsia" w:ascii="宋体" w:hAnsi="宋体" w:eastAsia="宋体"/>
              </w:rPr>
              <w:t>)</w:t>
            </w:r>
          </w:p>
        </w:tc>
      </w:tr>
      <w:tr>
        <w:tblPrEx>
          <w:tblCellMar>
            <w:top w:w="0" w:type="dxa"/>
            <w:left w:w="108" w:type="dxa"/>
            <w:bottom w:w="0" w:type="dxa"/>
            <w:right w:w="108" w:type="dxa"/>
          </w:tblCellMar>
        </w:tblPrEx>
        <w:trPr>
          <w:trHeight w:val="24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0.15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1.35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1.44</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0.20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1.87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1.97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2.12</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160kVA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0.24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2.52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2.67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2.85</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0.28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2.97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3.15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3.37</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0.31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3.40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3.61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3.86</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315kVA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0.37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4.04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4.29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4.58</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0.43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4.85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5.14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5.50</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5.96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6.32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6.76</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630kVA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0.58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6.89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7.31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7.82</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0.68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8.17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8.66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9.27</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9.37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9.88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10.55</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0.88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11.40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12.07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12.92</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1600kVA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13.87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14.63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15.68</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16.34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17.29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18.53</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1.48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19.57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20.71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22.14</w:t>
            </w:r>
          </w:p>
        </w:tc>
      </w:tr>
    </w:tbl>
    <w:p>
      <w:pPr>
        <w:adjustRightInd w:val="0"/>
        <w:snapToGrid w:val="0"/>
        <w:spacing w:line="360" w:lineRule="auto"/>
        <w:jc w:val="left"/>
        <w:rPr>
          <w:rFonts w:ascii="宋体" w:hAnsi="宋体" w:eastAsia="宋体"/>
          <w:sz w:val="24"/>
          <w:szCs w:val="24"/>
        </w:rPr>
      </w:pPr>
    </w:p>
    <w:p>
      <w:pPr>
        <w:adjustRightInd w:val="0"/>
        <w:snapToGrid w:val="0"/>
        <w:spacing w:line="360" w:lineRule="auto"/>
        <w:ind w:firstLine="472" w:firstLineChars="196"/>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三相无励磁调压干式配电变压器及牵引整流变压器的空载损耗和负载损耗值均满足表7.2.34-2</w:t>
      </w:r>
      <w:r>
        <w:rPr>
          <w:rFonts w:ascii="宋体" w:hAnsi="宋体" w:eastAsia="宋体"/>
          <w:sz w:val="24"/>
          <w:szCs w:val="24"/>
        </w:rPr>
        <w:t>的要求，得</w:t>
      </w:r>
      <w:r>
        <w:rPr>
          <w:rFonts w:hint="eastAsia" w:ascii="宋体" w:hAnsi="宋体" w:eastAsia="宋体"/>
          <w:sz w:val="24"/>
          <w:szCs w:val="24"/>
        </w:rPr>
        <w:t>3</w:t>
      </w:r>
      <w:r>
        <w:rPr>
          <w:rFonts w:ascii="宋体" w:hAnsi="宋体" w:eastAsia="宋体"/>
          <w:sz w:val="24"/>
          <w:szCs w:val="24"/>
        </w:rPr>
        <w:t>分；</w:t>
      </w:r>
    </w:p>
    <w:p>
      <w:pPr>
        <w:spacing w:line="360" w:lineRule="auto"/>
        <w:ind w:firstLine="422" w:firstLineChars="200"/>
        <w:contextualSpacing/>
        <w:jc w:val="left"/>
        <w:rPr>
          <w:rFonts w:ascii="宋体" w:hAnsi="宋体" w:eastAsia="宋体"/>
          <w:b/>
        </w:rPr>
      </w:pPr>
      <w:r>
        <w:rPr>
          <w:rFonts w:hint="eastAsia" w:ascii="宋体" w:hAnsi="宋体" w:eastAsia="宋体"/>
          <w:b/>
        </w:rPr>
        <w:t>表7.2.34-2　33/35kV 级无励磁调压干式变压器空载损耗和负载损耗值（二）</w:t>
      </w:r>
    </w:p>
    <w:tbl>
      <w:tblPr>
        <w:tblStyle w:val="13"/>
        <w:tblW w:w="7371" w:type="dxa"/>
        <w:tblInd w:w="534" w:type="dxa"/>
        <w:tblLayout w:type="autofit"/>
        <w:tblCellMar>
          <w:top w:w="0" w:type="dxa"/>
          <w:left w:w="108" w:type="dxa"/>
          <w:bottom w:w="0" w:type="dxa"/>
          <w:right w:w="108" w:type="dxa"/>
        </w:tblCellMar>
      </w:tblPr>
      <w:tblGrid>
        <w:gridCol w:w="1275"/>
        <w:gridCol w:w="1276"/>
        <w:gridCol w:w="1559"/>
        <w:gridCol w:w="1701"/>
        <w:gridCol w:w="1560"/>
      </w:tblGrid>
      <w:tr>
        <w:tblPrEx>
          <w:tblCellMar>
            <w:top w:w="0" w:type="dxa"/>
            <w:left w:w="108" w:type="dxa"/>
            <w:bottom w:w="0" w:type="dxa"/>
            <w:right w:w="108" w:type="dxa"/>
          </w:tblCellMar>
        </w:tblPrEx>
        <w:trPr>
          <w:trHeight w:val="540" w:hRule="atLeast"/>
          <w:tblHeader/>
        </w:trPr>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额定容量</w:t>
            </w:r>
          </w:p>
          <w:p>
            <w:pPr>
              <w:widowControl/>
              <w:jc w:val="center"/>
              <w:rPr>
                <w:rFonts w:ascii="宋体" w:hAnsi="宋体" w:eastAsia="宋体"/>
              </w:rPr>
            </w:pPr>
            <w:r>
              <w:rPr>
                <w:rFonts w:hint="eastAsia" w:ascii="宋体" w:hAnsi="宋体" w:eastAsia="宋体"/>
              </w:rPr>
              <w:t>kVA</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 xml:space="preserve">空载损耗 </w:t>
            </w:r>
          </w:p>
          <w:p>
            <w:pPr>
              <w:widowControl/>
              <w:jc w:val="center"/>
              <w:rPr>
                <w:rFonts w:ascii="宋体" w:hAnsi="宋体" w:eastAsia="宋体"/>
              </w:rPr>
            </w:pPr>
            <w:r>
              <w:rPr>
                <w:rFonts w:hint="eastAsia" w:ascii="宋体" w:hAnsi="宋体" w:eastAsia="宋体"/>
              </w:rPr>
              <w:t>kW</w:t>
            </w:r>
          </w:p>
        </w:tc>
        <w:tc>
          <w:tcPr>
            <w:tcW w:w="4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rPr>
              <w:t>不同绝缘系统温度下的负载损耗   kW</w:t>
            </w:r>
          </w:p>
        </w:tc>
      </w:tr>
      <w:tr>
        <w:tblPrEx>
          <w:tblCellMar>
            <w:top w:w="0" w:type="dxa"/>
            <w:left w:w="108" w:type="dxa"/>
            <w:bottom w:w="0" w:type="dxa"/>
            <w:right w:w="108" w:type="dxa"/>
          </w:tblCellMar>
        </w:tblPrEx>
        <w:trPr>
          <w:trHeight w:val="810" w:hRule="atLeast"/>
          <w:tblHead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130</w:t>
            </w:r>
            <w:r>
              <w:rPr>
                <w:rFonts w:hint="eastAsia" w:ascii="宋体" w:hAnsi="宋体" w:eastAsia="宋体"/>
                <w:lang w:eastAsia="zh-CN"/>
              </w:rPr>
              <w:t>℃</w:t>
            </w:r>
            <w:r>
              <w:rPr>
                <w:rFonts w:hint="eastAsia" w:ascii="宋体" w:hAnsi="宋体" w:eastAsia="宋体"/>
              </w:rPr>
              <w:t>(B)</w:t>
            </w:r>
          </w:p>
          <w:p>
            <w:pPr>
              <w:widowControl/>
              <w:jc w:val="center"/>
              <w:rPr>
                <w:rFonts w:ascii="宋体" w:hAnsi="宋体" w:eastAsia="宋体"/>
              </w:rPr>
            </w:pPr>
            <w:r>
              <w:rPr>
                <w:rFonts w:hint="eastAsia" w:ascii="宋体" w:hAnsi="宋体" w:eastAsia="宋体"/>
              </w:rPr>
              <w:t>(100</w:t>
            </w:r>
            <w:r>
              <w:rPr>
                <w:rFonts w:hint="eastAsia" w:ascii="宋体" w:hAnsi="宋体" w:eastAsia="宋体"/>
                <w:lang w:eastAsia="zh-CN"/>
              </w:rPr>
              <w:t>℃</w:t>
            </w:r>
            <w:r>
              <w:rPr>
                <w:rFonts w:hint="eastAsia" w:ascii="宋体" w:hAnsi="宋体" w:eastAsia="宋体"/>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155</w:t>
            </w:r>
            <w:r>
              <w:rPr>
                <w:rFonts w:hint="eastAsia" w:ascii="宋体" w:hAnsi="宋体" w:eastAsia="宋体"/>
                <w:lang w:eastAsia="zh-CN"/>
              </w:rPr>
              <w:t>℃</w:t>
            </w:r>
            <w:r>
              <w:rPr>
                <w:rFonts w:hint="eastAsia" w:ascii="宋体" w:hAnsi="宋体" w:eastAsia="宋体"/>
              </w:rPr>
              <w:t>(F)</w:t>
            </w:r>
          </w:p>
          <w:p>
            <w:pPr>
              <w:widowControl/>
              <w:jc w:val="center"/>
              <w:rPr>
                <w:rFonts w:ascii="宋体" w:hAnsi="宋体" w:eastAsia="宋体"/>
              </w:rPr>
            </w:pPr>
            <w:r>
              <w:rPr>
                <w:rFonts w:hint="eastAsia" w:ascii="宋体" w:hAnsi="宋体" w:eastAsia="宋体"/>
              </w:rPr>
              <w:t>(120</w:t>
            </w:r>
            <w:r>
              <w:rPr>
                <w:rFonts w:hint="eastAsia" w:ascii="宋体" w:hAnsi="宋体" w:eastAsia="宋体"/>
                <w:lang w:eastAsia="zh-CN"/>
              </w:rPr>
              <w:t>℃</w:t>
            </w:r>
            <w:r>
              <w:rPr>
                <w:rFonts w:hint="eastAsia" w:ascii="宋体" w:hAnsi="宋体" w:eastAsia="宋体"/>
              </w:rPr>
              <w:t>)</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lang w:eastAsia="zh-CN"/>
              </w:rPr>
            </w:pPr>
            <w:r>
              <w:rPr>
                <w:rFonts w:hint="eastAsia" w:ascii="宋体" w:hAnsi="宋体" w:eastAsia="宋体"/>
              </w:rPr>
              <w:t>180</w:t>
            </w:r>
            <w:r>
              <w:rPr>
                <w:rFonts w:hint="eastAsia" w:ascii="宋体" w:hAnsi="宋体" w:eastAsia="宋体"/>
                <w:lang w:eastAsia="zh-CN"/>
              </w:rPr>
              <w:t>℃</w:t>
            </w:r>
            <w:r>
              <w:rPr>
                <w:rFonts w:hint="eastAsia" w:ascii="宋体" w:hAnsi="宋体" w:eastAsia="宋体"/>
              </w:rPr>
              <w:t>(H)</w:t>
            </w:r>
          </w:p>
          <w:p>
            <w:pPr>
              <w:widowControl/>
              <w:jc w:val="center"/>
              <w:rPr>
                <w:rFonts w:ascii="宋体" w:hAnsi="宋体" w:eastAsia="宋体"/>
              </w:rPr>
            </w:pPr>
            <w:r>
              <w:rPr>
                <w:rFonts w:hint="eastAsia" w:ascii="宋体" w:hAnsi="宋体" w:eastAsia="宋体"/>
              </w:rPr>
              <w:t>(145</w:t>
            </w:r>
            <w:r>
              <w:rPr>
                <w:rFonts w:hint="eastAsia" w:ascii="宋体" w:hAnsi="宋体" w:eastAsia="宋体"/>
                <w:lang w:eastAsia="zh-CN"/>
              </w:rPr>
              <w:t>℃</w:t>
            </w:r>
            <w:r>
              <w:rPr>
                <w:rFonts w:hint="eastAsia" w:ascii="宋体" w:hAnsi="宋体" w:eastAsia="宋体"/>
              </w:rPr>
              <w:t>)</w:t>
            </w:r>
          </w:p>
        </w:tc>
      </w:tr>
      <w:tr>
        <w:tblPrEx>
          <w:tblCellMar>
            <w:top w:w="0" w:type="dxa"/>
            <w:left w:w="108" w:type="dxa"/>
            <w:bottom w:w="0" w:type="dxa"/>
            <w:right w:w="108" w:type="dxa"/>
          </w:tblCellMar>
        </w:tblPrEx>
        <w:trPr>
          <w:trHeight w:val="24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0.15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1.34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1.42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1.52</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0.20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1.97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2.23</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160kVA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0.24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2.65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2.81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3.00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0.28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3.13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3.32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3.55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0.31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3.58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3.80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4.06</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315kVA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0.37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4.51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4.82</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0.43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5.41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5.79</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6.27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6.65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7.11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630kVA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0.58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7.25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7.69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8.23</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0.68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8.60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9.12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9.76</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9.86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10.40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11.10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0.88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12.70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13.60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1600kVA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14.60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15.40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16.50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17.20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18.20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19.50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1.48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20.60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21.80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23.30</w:t>
            </w:r>
          </w:p>
        </w:tc>
      </w:tr>
    </w:tbl>
    <w:p>
      <w:pPr>
        <w:adjustRightInd w:val="0"/>
        <w:snapToGrid w:val="0"/>
        <w:spacing w:line="360" w:lineRule="auto"/>
        <w:jc w:val="left"/>
        <w:rPr>
          <w:rFonts w:ascii="宋体" w:hAnsi="宋体" w:eastAsia="宋体"/>
          <w:sz w:val="24"/>
          <w:szCs w:val="24"/>
        </w:rPr>
      </w:pPr>
    </w:p>
    <w:p>
      <w:pPr>
        <w:adjustRightInd w:val="0"/>
        <w:snapToGrid w:val="0"/>
        <w:spacing w:line="360" w:lineRule="auto"/>
        <w:ind w:firstLine="472" w:firstLineChars="196"/>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三相无励磁调压干式配电变压器及牵引整流变压器的空载损耗和负载损耗值均满足7.2.34-3</w:t>
      </w:r>
      <w:r>
        <w:rPr>
          <w:rFonts w:ascii="宋体" w:hAnsi="宋体" w:eastAsia="宋体"/>
          <w:sz w:val="24"/>
          <w:szCs w:val="24"/>
        </w:rPr>
        <w:t>的要求，得</w:t>
      </w:r>
      <w:r>
        <w:rPr>
          <w:rFonts w:hint="eastAsia" w:ascii="宋体" w:hAnsi="宋体" w:eastAsia="宋体"/>
          <w:sz w:val="24"/>
          <w:szCs w:val="24"/>
        </w:rPr>
        <w:t>1</w:t>
      </w:r>
      <w:r>
        <w:rPr>
          <w:rFonts w:ascii="宋体" w:hAnsi="宋体" w:eastAsia="宋体"/>
          <w:sz w:val="24"/>
          <w:szCs w:val="24"/>
        </w:rPr>
        <w:t>分。</w:t>
      </w:r>
    </w:p>
    <w:p>
      <w:pPr>
        <w:spacing w:line="360" w:lineRule="auto"/>
        <w:ind w:firstLine="422" w:firstLineChars="200"/>
        <w:contextualSpacing/>
        <w:jc w:val="left"/>
        <w:rPr>
          <w:rFonts w:ascii="宋体" w:hAnsi="宋体" w:eastAsia="宋体"/>
          <w:b/>
        </w:rPr>
      </w:pPr>
      <w:r>
        <w:rPr>
          <w:rFonts w:hint="eastAsia" w:ascii="宋体" w:hAnsi="宋体" w:eastAsia="宋体"/>
          <w:b/>
        </w:rPr>
        <w:t>表7.2.34-3　33/35kV 级无励磁调压干式变压器空载损耗和负载损耗值（三）</w:t>
      </w:r>
    </w:p>
    <w:tbl>
      <w:tblPr>
        <w:tblStyle w:val="13"/>
        <w:tblW w:w="7371" w:type="dxa"/>
        <w:tblInd w:w="534" w:type="dxa"/>
        <w:tblLayout w:type="autofit"/>
        <w:tblCellMar>
          <w:top w:w="0" w:type="dxa"/>
          <w:left w:w="108" w:type="dxa"/>
          <w:bottom w:w="0" w:type="dxa"/>
          <w:right w:w="108" w:type="dxa"/>
        </w:tblCellMar>
      </w:tblPr>
      <w:tblGrid>
        <w:gridCol w:w="1275"/>
        <w:gridCol w:w="1276"/>
        <w:gridCol w:w="1559"/>
        <w:gridCol w:w="1701"/>
        <w:gridCol w:w="1560"/>
      </w:tblGrid>
      <w:tr>
        <w:tblPrEx>
          <w:tblCellMar>
            <w:top w:w="0" w:type="dxa"/>
            <w:left w:w="108" w:type="dxa"/>
            <w:bottom w:w="0" w:type="dxa"/>
            <w:right w:w="108" w:type="dxa"/>
          </w:tblCellMar>
        </w:tblPrEx>
        <w:trPr>
          <w:trHeight w:val="540" w:hRule="atLeast"/>
          <w:tblHeader/>
        </w:trPr>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lang w:eastAsia="zh-CN"/>
              </w:rPr>
            </w:pPr>
            <w:r>
              <w:rPr>
                <w:rFonts w:hint="eastAsia" w:ascii="宋体" w:hAnsi="宋体" w:eastAsia="宋体"/>
              </w:rPr>
              <w:t>额定容量</w:t>
            </w:r>
          </w:p>
          <w:p>
            <w:pPr>
              <w:widowControl/>
              <w:jc w:val="left"/>
              <w:rPr>
                <w:rFonts w:ascii="宋体" w:hAnsi="宋体" w:eastAsia="宋体"/>
              </w:rPr>
            </w:pPr>
            <w:r>
              <w:rPr>
                <w:rFonts w:hint="eastAsia" w:ascii="宋体" w:hAnsi="宋体" w:eastAsia="宋体"/>
              </w:rPr>
              <w:t>kVA</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lang w:eastAsia="zh-CN"/>
              </w:rPr>
            </w:pPr>
            <w:r>
              <w:rPr>
                <w:rFonts w:hint="eastAsia" w:ascii="宋体" w:hAnsi="宋体" w:eastAsia="宋体"/>
              </w:rPr>
              <w:t xml:space="preserve">空载损耗 </w:t>
            </w:r>
          </w:p>
          <w:p>
            <w:pPr>
              <w:widowControl/>
              <w:jc w:val="left"/>
              <w:rPr>
                <w:rFonts w:ascii="宋体" w:hAnsi="宋体" w:eastAsia="宋体"/>
              </w:rPr>
            </w:pPr>
            <w:r>
              <w:rPr>
                <w:rFonts w:hint="eastAsia" w:ascii="宋体" w:hAnsi="宋体" w:eastAsia="宋体"/>
              </w:rPr>
              <w:t>kW</w:t>
            </w:r>
          </w:p>
        </w:tc>
        <w:tc>
          <w:tcPr>
            <w:tcW w:w="4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rPr>
            </w:pPr>
            <w:r>
              <w:rPr>
                <w:rFonts w:hint="eastAsia" w:ascii="宋体" w:hAnsi="宋体" w:eastAsia="宋体"/>
              </w:rPr>
              <w:t>不同绝缘系统温度下的负载损耗   kW</w:t>
            </w:r>
          </w:p>
        </w:tc>
      </w:tr>
      <w:tr>
        <w:tblPrEx>
          <w:tblCellMar>
            <w:top w:w="0" w:type="dxa"/>
            <w:left w:w="108" w:type="dxa"/>
            <w:bottom w:w="0" w:type="dxa"/>
            <w:right w:w="108" w:type="dxa"/>
          </w:tblCellMar>
        </w:tblPrEx>
        <w:trPr>
          <w:trHeight w:val="810" w:hRule="atLeast"/>
          <w:tblHead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lang w:eastAsia="zh-CN"/>
              </w:rPr>
            </w:pPr>
            <w:r>
              <w:rPr>
                <w:rFonts w:hint="eastAsia" w:ascii="宋体" w:hAnsi="宋体" w:eastAsia="宋体"/>
              </w:rPr>
              <w:t>130</w:t>
            </w:r>
            <w:r>
              <w:rPr>
                <w:rFonts w:hint="eastAsia" w:ascii="宋体" w:hAnsi="宋体" w:eastAsia="宋体"/>
                <w:lang w:eastAsia="zh-CN"/>
              </w:rPr>
              <w:t>℃</w:t>
            </w:r>
            <w:r>
              <w:rPr>
                <w:rFonts w:hint="eastAsia" w:ascii="宋体" w:hAnsi="宋体" w:eastAsia="宋体"/>
              </w:rPr>
              <w:t>(B)</w:t>
            </w:r>
          </w:p>
          <w:p>
            <w:pPr>
              <w:widowControl/>
              <w:jc w:val="left"/>
              <w:rPr>
                <w:rFonts w:ascii="宋体" w:hAnsi="宋体" w:eastAsia="宋体"/>
              </w:rPr>
            </w:pPr>
            <w:r>
              <w:rPr>
                <w:rFonts w:hint="eastAsia" w:ascii="宋体" w:hAnsi="宋体" w:eastAsia="宋体"/>
              </w:rPr>
              <w:t>(100</w:t>
            </w:r>
            <w:r>
              <w:rPr>
                <w:rFonts w:hint="eastAsia" w:ascii="宋体" w:hAnsi="宋体" w:eastAsia="宋体"/>
                <w:lang w:eastAsia="zh-CN"/>
              </w:rPr>
              <w:t>℃</w:t>
            </w:r>
            <w:r>
              <w:rPr>
                <w:rFonts w:hint="eastAsia" w:ascii="宋体" w:hAnsi="宋体" w:eastAsia="宋体"/>
              </w:rPr>
              <w:t>)</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lang w:eastAsia="zh-CN"/>
              </w:rPr>
            </w:pPr>
            <w:r>
              <w:rPr>
                <w:rFonts w:hint="eastAsia" w:ascii="宋体" w:hAnsi="宋体" w:eastAsia="宋体"/>
              </w:rPr>
              <w:t>155</w:t>
            </w:r>
            <w:r>
              <w:rPr>
                <w:rFonts w:hint="eastAsia" w:ascii="宋体" w:hAnsi="宋体" w:eastAsia="宋体"/>
                <w:lang w:eastAsia="zh-CN"/>
              </w:rPr>
              <w:t>℃</w:t>
            </w:r>
            <w:r>
              <w:rPr>
                <w:rFonts w:hint="eastAsia" w:ascii="宋体" w:hAnsi="宋体" w:eastAsia="宋体"/>
              </w:rPr>
              <w:t>(F)</w:t>
            </w:r>
          </w:p>
          <w:p>
            <w:pPr>
              <w:widowControl/>
              <w:jc w:val="left"/>
              <w:rPr>
                <w:rFonts w:ascii="宋体" w:hAnsi="宋体" w:eastAsia="宋体"/>
              </w:rPr>
            </w:pPr>
            <w:r>
              <w:rPr>
                <w:rFonts w:hint="eastAsia" w:ascii="宋体" w:hAnsi="宋体" w:eastAsia="宋体"/>
              </w:rPr>
              <w:t>(120</w:t>
            </w:r>
            <w:r>
              <w:rPr>
                <w:rFonts w:hint="eastAsia" w:ascii="宋体" w:hAnsi="宋体" w:eastAsia="宋体"/>
                <w:lang w:eastAsia="zh-CN"/>
              </w:rPr>
              <w:t>℃</w:t>
            </w:r>
            <w:r>
              <w:rPr>
                <w:rFonts w:hint="eastAsia" w:ascii="宋体" w:hAnsi="宋体" w:eastAsia="宋体"/>
              </w:rPr>
              <w:t>)</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lang w:eastAsia="zh-CN"/>
              </w:rPr>
            </w:pPr>
            <w:r>
              <w:rPr>
                <w:rFonts w:hint="eastAsia" w:ascii="宋体" w:hAnsi="宋体" w:eastAsia="宋体"/>
              </w:rPr>
              <w:t>180</w:t>
            </w:r>
            <w:r>
              <w:rPr>
                <w:rFonts w:hint="eastAsia" w:ascii="宋体" w:hAnsi="宋体" w:eastAsia="宋体"/>
                <w:lang w:eastAsia="zh-CN"/>
              </w:rPr>
              <w:t>℃</w:t>
            </w:r>
            <w:r>
              <w:rPr>
                <w:rFonts w:hint="eastAsia" w:ascii="宋体" w:hAnsi="宋体" w:eastAsia="宋体"/>
              </w:rPr>
              <w:t>(H)</w:t>
            </w:r>
          </w:p>
          <w:p>
            <w:pPr>
              <w:widowControl/>
              <w:jc w:val="left"/>
              <w:rPr>
                <w:rFonts w:ascii="宋体" w:hAnsi="宋体" w:eastAsia="宋体"/>
              </w:rPr>
            </w:pPr>
            <w:r>
              <w:rPr>
                <w:rFonts w:hint="eastAsia" w:ascii="宋体" w:hAnsi="宋体" w:eastAsia="宋体"/>
              </w:rPr>
              <w:t>(145</w:t>
            </w:r>
            <w:r>
              <w:rPr>
                <w:rFonts w:hint="eastAsia" w:ascii="宋体" w:hAnsi="宋体" w:eastAsia="宋体"/>
                <w:lang w:eastAsia="zh-CN"/>
              </w:rPr>
              <w:t>℃</w:t>
            </w:r>
            <w:r>
              <w:rPr>
                <w:rFonts w:hint="eastAsia" w:ascii="宋体" w:hAnsi="宋体" w:eastAsia="宋体"/>
              </w:rPr>
              <w:t>)</w:t>
            </w:r>
          </w:p>
        </w:tc>
      </w:tr>
      <w:tr>
        <w:tblPrEx>
          <w:tblCellMar>
            <w:top w:w="0" w:type="dxa"/>
            <w:left w:w="108" w:type="dxa"/>
            <w:bottom w:w="0" w:type="dxa"/>
            <w:right w:w="108" w:type="dxa"/>
          </w:tblCellMar>
        </w:tblPrEx>
        <w:trPr>
          <w:trHeight w:val="24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0.32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1.37</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100kVA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0.46</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1.77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1.88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160kVA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0.57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2.39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2.53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2.70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200kVA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0.63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2.82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2.99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3.20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0.71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3.22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3.42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3.65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315kVA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0.84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3.83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4.06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4.34</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400kVA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0.99</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4.59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4.87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5.21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1.17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5.64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5.99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6.40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630kVA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1.34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6.53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6.92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7.41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800kVA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1.56</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7.74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8.21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8.78</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1000kVA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8.87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9.36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9.99</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1250kVA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10.80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11.43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12.24</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1600kVA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2.33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13.14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13.86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14.85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2000kVA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15.48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16.38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17.55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rPr>
            </w:pPr>
            <w:r>
              <w:rPr>
                <w:rFonts w:hint="eastAsia" w:ascii="宋体" w:hAnsi="宋体" w:eastAsia="宋体"/>
              </w:rPr>
              <w:t>2500kVA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3.13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18.54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19.62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rPr>
            </w:pPr>
            <w:r>
              <w:rPr>
                <w:rFonts w:hint="eastAsia" w:ascii="宋体" w:hAnsi="宋体" w:eastAsia="宋体"/>
              </w:rPr>
              <w:t>20.97</w:t>
            </w:r>
          </w:p>
        </w:tc>
      </w:tr>
    </w:tbl>
    <w:p>
      <w:pPr>
        <w:adjustRightInd w:val="0"/>
        <w:snapToGrid w:val="0"/>
        <w:spacing w:line="360" w:lineRule="auto"/>
        <w:ind w:firstLine="470" w:firstLineChars="196"/>
        <w:jc w:val="left"/>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7.2.35  </w:t>
      </w:r>
      <w:r>
        <w:rPr>
          <w:rFonts w:hint="eastAsia" w:ascii="宋体" w:hAnsi="宋体" w:eastAsia="宋体"/>
          <w:sz w:val="24"/>
          <w:szCs w:val="24"/>
        </w:rPr>
        <w:t>城市轨道交通供电系统线网应进行充分资源共享，并能通过线网层面的中压网络互联，提高系统运行可靠性、进一步改善供电系统运行的供电质量、提高系统中供变电设备的利用率。评价总分值为3分，按下列规则分别评分，第1条可分别与第2、3条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主变电所为共享主变电所，可为不同线路供电的，得1分；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实施线间中压网络互联，当本线1座主变电所退出运行时，通过网络间互联可提高本线系统供电可靠性和改善供电质量，得1分；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实施线间中压网络互联，当本线1座主变电所退出运行时，通过网络间互联可确保本线系统供电能力和供电质量，得2分。</w:t>
      </w:r>
    </w:p>
    <w:p>
      <w:pPr>
        <w:spacing w:line="360" w:lineRule="auto"/>
        <w:jc w:val="left"/>
        <w:rPr>
          <w:rFonts w:ascii="宋体" w:hAnsi="宋体" w:eastAsia="宋体"/>
          <w:sz w:val="24"/>
          <w:szCs w:val="24"/>
        </w:rPr>
      </w:pPr>
      <w:r>
        <w:rPr>
          <w:rFonts w:hint="eastAsia" w:ascii="宋体" w:hAnsi="宋体" w:eastAsia="宋体"/>
          <w:b/>
          <w:sz w:val="24"/>
          <w:szCs w:val="24"/>
        </w:rPr>
        <w:t xml:space="preserve">7.2.36  </w:t>
      </w:r>
      <w:r>
        <w:rPr>
          <w:rFonts w:hint="eastAsia" w:ascii="宋体" w:hAnsi="宋体" w:eastAsia="宋体"/>
          <w:sz w:val="24"/>
          <w:szCs w:val="24"/>
        </w:rPr>
        <w:t>设置变电所车辆再生制动能量利用装置。评价总分值为7分，按下列规则分别评分并累计：</w:t>
      </w:r>
    </w:p>
    <w:p>
      <w:pPr>
        <w:adjustRightInd w:val="0"/>
        <w:snapToGrid w:val="0"/>
        <w:spacing w:line="360" w:lineRule="auto"/>
        <w:ind w:firstLine="472" w:firstLineChars="196"/>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可有效再利用车辆再生制动能量，并有效稳定接触网运行电压，得2分；</w:t>
      </w:r>
    </w:p>
    <w:p>
      <w:pPr>
        <w:adjustRightInd w:val="0"/>
        <w:snapToGrid w:val="0"/>
        <w:spacing w:line="360" w:lineRule="auto"/>
        <w:ind w:firstLine="472" w:firstLineChars="196"/>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变电所车辆再生制动能量吸收装置可实现车辆再生制动能量的充分吸收，车辆取消车载制动电阻的设置，且再生制动装置的容量选型及沿线布点经济合理，得2分；</w:t>
      </w:r>
    </w:p>
    <w:p>
      <w:pPr>
        <w:adjustRightInd w:val="0"/>
        <w:snapToGrid w:val="0"/>
        <w:spacing w:line="360" w:lineRule="auto"/>
        <w:ind w:firstLine="472" w:firstLineChars="196"/>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地面再生制动能量吸收装置采用双向变流装置，具备整流、逆变、无功补偿功能，并可根据系统实际运行情况切换变流装置功能，得3分。</w:t>
      </w:r>
    </w:p>
    <w:p>
      <w:pPr>
        <w:spacing w:line="360" w:lineRule="auto"/>
        <w:jc w:val="left"/>
        <w:rPr>
          <w:rFonts w:ascii="微软雅黑" w:hAnsi="微软雅黑" w:eastAsia="微软雅黑"/>
          <w:sz w:val="24"/>
          <w:szCs w:val="24"/>
          <w:shd w:val="clear" w:color="auto" w:fill="FFFFFF"/>
        </w:rPr>
      </w:pPr>
      <w:r>
        <w:rPr>
          <w:rFonts w:ascii="宋体" w:hAnsi="宋体" w:eastAsia="宋体"/>
          <w:b/>
          <w:sz w:val="24"/>
          <w:szCs w:val="24"/>
        </w:rPr>
        <w:t>7.2.</w:t>
      </w:r>
      <w:r>
        <w:rPr>
          <w:rFonts w:hint="eastAsia" w:ascii="宋体" w:hAnsi="宋体" w:eastAsia="宋体"/>
          <w:b/>
          <w:sz w:val="24"/>
          <w:szCs w:val="24"/>
        </w:rPr>
        <w:t xml:space="preserve">37  </w:t>
      </w:r>
      <w:r>
        <w:rPr>
          <w:rFonts w:hint="eastAsia" w:ascii="宋体" w:hAnsi="宋体" w:eastAsia="宋体"/>
          <w:sz w:val="24"/>
          <w:szCs w:val="24"/>
          <w:shd w:val="clear" w:color="auto" w:fill="FFFFFF"/>
        </w:rPr>
        <w:t>公共区</w:t>
      </w:r>
      <w:r>
        <w:rPr>
          <w:rFonts w:ascii="宋体" w:hAnsi="宋体" w:eastAsia="宋体"/>
          <w:sz w:val="24"/>
          <w:szCs w:val="24"/>
          <w:shd w:val="clear" w:color="auto" w:fill="FFFFFF"/>
        </w:rPr>
        <w:t>照明功率密度值达到或优于现行国家标准《建筑照明设计标准》GB 50034的照明功率密度限值目标值规定，评价总分值为</w:t>
      </w:r>
      <w:r>
        <w:rPr>
          <w:rFonts w:hint="eastAsia" w:ascii="宋体" w:hAnsi="宋体" w:eastAsia="宋体"/>
          <w:sz w:val="24"/>
          <w:szCs w:val="24"/>
          <w:shd w:val="clear" w:color="auto" w:fill="FFFFFF"/>
        </w:rPr>
        <w:t>6</w:t>
      </w:r>
      <w:r>
        <w:rPr>
          <w:rFonts w:ascii="宋体" w:hAnsi="宋体" w:eastAsia="宋体"/>
          <w:sz w:val="24"/>
          <w:szCs w:val="24"/>
          <w:shd w:val="clear" w:color="auto" w:fill="FFFFFF"/>
        </w:rPr>
        <w:t>分，并按下列规则评分：</w:t>
      </w:r>
    </w:p>
    <w:p>
      <w:pPr>
        <w:spacing w:line="360" w:lineRule="auto"/>
        <w:ind w:firstLine="482" w:firstLineChars="200"/>
        <w:jc w:val="left"/>
        <w:rPr>
          <w:rFonts w:ascii="微软雅黑" w:hAnsi="微软雅黑" w:eastAsia="微软雅黑"/>
          <w:sz w:val="24"/>
          <w:szCs w:val="24"/>
          <w:shd w:val="clear" w:color="auto" w:fill="FFFFFF"/>
        </w:rPr>
      </w:pPr>
      <w:r>
        <w:rPr>
          <w:rFonts w:ascii="宋体" w:hAnsi="宋体" w:eastAsia="宋体"/>
          <w:b/>
          <w:bCs/>
          <w:sz w:val="24"/>
          <w:szCs w:val="24"/>
          <w:shd w:val="clear" w:color="auto" w:fill="FFFFFF"/>
        </w:rPr>
        <w:t>1</w:t>
      </w:r>
      <w:r>
        <w:rPr>
          <w:rFonts w:ascii="宋体" w:hAnsi="宋体" w:eastAsia="宋体"/>
          <w:sz w:val="24"/>
          <w:szCs w:val="24"/>
          <w:shd w:val="clear" w:color="auto" w:fill="FFFFFF"/>
        </w:rPr>
        <w:t> 达到目标值，得</w:t>
      </w:r>
      <w:r>
        <w:rPr>
          <w:rFonts w:hint="eastAsia" w:ascii="宋体" w:hAnsi="宋体" w:eastAsia="宋体"/>
          <w:sz w:val="24"/>
          <w:szCs w:val="24"/>
          <w:shd w:val="clear" w:color="auto" w:fill="FFFFFF"/>
        </w:rPr>
        <w:t>3</w:t>
      </w:r>
      <w:r>
        <w:rPr>
          <w:rFonts w:ascii="宋体" w:hAnsi="宋体" w:eastAsia="宋体"/>
          <w:sz w:val="24"/>
          <w:szCs w:val="24"/>
          <w:shd w:val="clear" w:color="auto" w:fill="FFFFFF"/>
        </w:rPr>
        <w:t>分；</w:t>
      </w:r>
    </w:p>
    <w:p>
      <w:pPr>
        <w:spacing w:line="360" w:lineRule="auto"/>
        <w:ind w:firstLine="482" w:firstLineChars="200"/>
        <w:jc w:val="left"/>
        <w:rPr>
          <w:rFonts w:ascii="微软雅黑" w:hAnsi="微软雅黑" w:eastAsia="微软雅黑"/>
          <w:sz w:val="24"/>
          <w:szCs w:val="24"/>
          <w:shd w:val="clear" w:color="auto" w:fill="FFFFFF"/>
        </w:rPr>
      </w:pPr>
      <w:r>
        <w:rPr>
          <w:rFonts w:ascii="宋体" w:hAnsi="宋体" w:eastAsia="宋体"/>
          <w:b/>
          <w:bCs/>
          <w:sz w:val="24"/>
          <w:szCs w:val="24"/>
          <w:shd w:val="clear" w:color="auto" w:fill="FFFFFF"/>
        </w:rPr>
        <w:t>2</w:t>
      </w:r>
      <w:r>
        <w:rPr>
          <w:rFonts w:ascii="宋体" w:hAnsi="宋体" w:eastAsia="宋体"/>
          <w:sz w:val="24"/>
          <w:szCs w:val="24"/>
          <w:shd w:val="clear" w:color="auto" w:fill="FFFFFF"/>
        </w:rPr>
        <w:t> 较目标值下降10%（含）以内，得</w:t>
      </w:r>
      <w:r>
        <w:rPr>
          <w:rFonts w:hint="eastAsia" w:ascii="宋体" w:hAnsi="宋体" w:eastAsia="宋体"/>
          <w:sz w:val="24"/>
          <w:szCs w:val="24"/>
          <w:shd w:val="clear" w:color="auto" w:fill="FFFFFF"/>
        </w:rPr>
        <w:t>4</w:t>
      </w:r>
      <w:r>
        <w:rPr>
          <w:rFonts w:ascii="宋体" w:hAnsi="宋体" w:eastAsia="宋体"/>
          <w:sz w:val="24"/>
          <w:szCs w:val="24"/>
          <w:shd w:val="clear" w:color="auto" w:fill="FFFFFF"/>
        </w:rPr>
        <w:t>分；</w:t>
      </w:r>
    </w:p>
    <w:p>
      <w:pPr>
        <w:spacing w:line="360" w:lineRule="auto"/>
        <w:ind w:firstLine="482" w:firstLineChars="200"/>
        <w:jc w:val="left"/>
        <w:rPr>
          <w:rFonts w:ascii="微软雅黑" w:hAnsi="微软雅黑" w:eastAsia="微软雅黑"/>
          <w:sz w:val="24"/>
          <w:szCs w:val="24"/>
          <w:shd w:val="clear" w:color="auto" w:fill="FFFFFF"/>
        </w:rPr>
      </w:pPr>
      <w:r>
        <w:rPr>
          <w:rFonts w:ascii="宋体" w:hAnsi="宋体" w:eastAsia="宋体"/>
          <w:b/>
          <w:bCs/>
          <w:sz w:val="24"/>
          <w:szCs w:val="24"/>
          <w:shd w:val="clear" w:color="auto" w:fill="FFFFFF"/>
        </w:rPr>
        <w:t>3</w:t>
      </w:r>
      <w:r>
        <w:rPr>
          <w:rFonts w:ascii="宋体" w:hAnsi="宋体" w:eastAsia="宋体"/>
          <w:sz w:val="24"/>
          <w:szCs w:val="24"/>
          <w:shd w:val="clear" w:color="auto" w:fill="FFFFFF"/>
        </w:rPr>
        <w:t> 较目标值下降</w:t>
      </w:r>
      <w:r>
        <w:rPr>
          <w:rFonts w:hint="eastAsia" w:ascii="宋体" w:hAnsi="宋体" w:eastAsia="宋体"/>
          <w:sz w:val="24"/>
          <w:szCs w:val="24"/>
          <w:shd w:val="clear" w:color="auto" w:fill="FFFFFF"/>
        </w:rPr>
        <w:t>10%</w:t>
      </w:r>
      <w:r>
        <w:rPr>
          <w:rFonts w:hint="eastAsia" w:ascii="仿宋_GB2312" w:hAnsi="Verdana,ˎ̥" w:eastAsia="仿宋_GB2312" w:cs="宋体"/>
          <w:b w:val="0"/>
          <w:bCs w:val="0"/>
          <w:color w:val="000000"/>
          <w:kern w:val="0"/>
          <w:sz w:val="30"/>
          <w:szCs w:val="30"/>
          <w:lang w:val="en-US" w:eastAsia="zh-CN" w:bidi="ar-SA"/>
        </w:rPr>
        <w:t>～</w:t>
      </w:r>
      <w:r>
        <w:rPr>
          <w:rFonts w:ascii="宋体" w:hAnsi="宋体" w:eastAsia="宋体"/>
          <w:sz w:val="24"/>
          <w:szCs w:val="24"/>
          <w:shd w:val="clear" w:color="auto" w:fill="FFFFFF"/>
        </w:rPr>
        <w:t>20%（含），得</w:t>
      </w:r>
      <w:r>
        <w:rPr>
          <w:rFonts w:hint="eastAsia" w:ascii="宋体" w:hAnsi="宋体" w:eastAsia="宋体"/>
          <w:sz w:val="24"/>
          <w:szCs w:val="24"/>
          <w:shd w:val="clear" w:color="auto" w:fill="FFFFFF"/>
        </w:rPr>
        <w:t>5</w:t>
      </w:r>
      <w:r>
        <w:rPr>
          <w:rFonts w:ascii="宋体" w:hAnsi="宋体" w:eastAsia="宋体"/>
          <w:sz w:val="24"/>
          <w:szCs w:val="24"/>
          <w:shd w:val="clear" w:color="auto" w:fill="FFFFFF"/>
        </w:rPr>
        <w:t>分；</w:t>
      </w:r>
    </w:p>
    <w:p>
      <w:pPr>
        <w:tabs>
          <w:tab w:val="left" w:pos="360"/>
        </w:tabs>
        <w:adjustRightInd w:val="0"/>
        <w:snapToGrid w:val="0"/>
        <w:spacing w:line="360" w:lineRule="auto"/>
        <w:ind w:firstLine="482" w:firstLineChars="200"/>
        <w:jc w:val="left"/>
        <w:rPr>
          <w:rFonts w:ascii="宋体" w:hAnsi="宋体" w:eastAsia="宋体"/>
          <w:sz w:val="24"/>
          <w:szCs w:val="24"/>
          <w:shd w:val="clear" w:color="auto" w:fill="FFFFFF"/>
        </w:rPr>
      </w:pPr>
      <w:r>
        <w:rPr>
          <w:rFonts w:ascii="宋体" w:hAnsi="宋体" w:eastAsia="宋体"/>
          <w:b/>
          <w:bCs/>
          <w:sz w:val="24"/>
          <w:szCs w:val="24"/>
          <w:shd w:val="clear" w:color="auto" w:fill="FFFFFF"/>
        </w:rPr>
        <w:t>4</w:t>
      </w:r>
      <w:r>
        <w:rPr>
          <w:rFonts w:ascii="宋体" w:hAnsi="宋体" w:eastAsia="宋体"/>
          <w:sz w:val="24"/>
          <w:szCs w:val="24"/>
          <w:shd w:val="clear" w:color="auto" w:fill="FFFFFF"/>
        </w:rPr>
        <w:t> 较目标值下降</w:t>
      </w:r>
      <w:r>
        <w:rPr>
          <w:rFonts w:hint="eastAsia" w:ascii="宋体" w:hAnsi="宋体" w:eastAsia="宋体"/>
          <w:sz w:val="24"/>
          <w:szCs w:val="24"/>
          <w:shd w:val="clear" w:color="auto" w:fill="FFFFFF"/>
        </w:rPr>
        <w:t>2</w:t>
      </w:r>
      <w:r>
        <w:rPr>
          <w:rFonts w:ascii="宋体" w:hAnsi="宋体" w:eastAsia="宋体"/>
          <w:sz w:val="24"/>
          <w:szCs w:val="24"/>
          <w:shd w:val="clear" w:color="auto" w:fill="FFFFFF"/>
        </w:rPr>
        <w:t>0%及以上，得</w:t>
      </w:r>
      <w:r>
        <w:rPr>
          <w:rFonts w:hint="eastAsia" w:ascii="宋体" w:hAnsi="宋体" w:eastAsia="宋体"/>
          <w:sz w:val="24"/>
          <w:szCs w:val="24"/>
          <w:shd w:val="clear" w:color="auto" w:fill="FFFFFF"/>
        </w:rPr>
        <w:t>6</w:t>
      </w:r>
      <w:r>
        <w:rPr>
          <w:rFonts w:ascii="宋体" w:hAnsi="宋体" w:eastAsia="宋体"/>
          <w:sz w:val="24"/>
          <w:szCs w:val="24"/>
          <w:shd w:val="clear" w:color="auto" w:fill="FFFFFF"/>
        </w:rPr>
        <w:t>分。</w:t>
      </w:r>
    </w:p>
    <w:p>
      <w:pPr>
        <w:tabs>
          <w:tab w:val="left" w:pos="360"/>
        </w:tabs>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7.2.38  </w:t>
      </w:r>
      <w:r>
        <w:rPr>
          <w:rFonts w:hint="eastAsia" w:ascii="宋体" w:hAnsi="宋体" w:eastAsia="宋体"/>
          <w:sz w:val="24"/>
          <w:szCs w:val="24"/>
        </w:rPr>
        <w:t>区间照明具有节能模式，评价总分值为2分，并按下列规则分别评分并累计：</w:t>
      </w:r>
    </w:p>
    <w:p>
      <w:pPr>
        <w:tabs>
          <w:tab w:val="left" w:pos="360"/>
        </w:tabs>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系统设计设置可根据运营需要选择使用的节能模式，得1分；</w:t>
      </w:r>
    </w:p>
    <w:p>
      <w:pPr>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2</w:t>
      </w:r>
      <w:r>
        <w:rPr>
          <w:rFonts w:hint="eastAsia" w:ascii="宋体" w:hAnsi="宋体" w:eastAsia="宋体"/>
          <w:sz w:val="24"/>
          <w:szCs w:val="24"/>
        </w:rPr>
        <w:t xml:space="preserve">  正常运营时段启用区间照明节能模式，得1分。</w:t>
      </w:r>
    </w:p>
    <w:p>
      <w:pPr>
        <w:spacing w:line="360" w:lineRule="auto"/>
        <w:jc w:val="left"/>
        <w:rPr>
          <w:rFonts w:ascii="宋体" w:hAnsi="宋体" w:eastAsia="宋体"/>
          <w:sz w:val="24"/>
          <w:szCs w:val="24"/>
          <w:shd w:val="clear" w:color="auto" w:fill="FFFFFF"/>
        </w:rPr>
      </w:pPr>
      <w:r>
        <w:rPr>
          <w:rFonts w:hint="eastAsia" w:ascii="宋体" w:hAnsi="宋体" w:eastAsia="宋体"/>
          <w:b/>
          <w:sz w:val="24"/>
          <w:szCs w:val="24"/>
        </w:rPr>
        <w:t>7.2.39</w:t>
      </w:r>
      <w:r>
        <w:rPr>
          <w:rFonts w:hint="eastAsia" w:ascii="宋体" w:hAnsi="宋体" w:eastAsia="宋体"/>
          <w:sz w:val="24"/>
          <w:szCs w:val="24"/>
          <w:shd w:val="clear" w:color="auto" w:fill="FFFFFF"/>
        </w:rPr>
        <w:t xml:space="preserve">   高架或地面车站、车辆基地利用自然光资源，采用光伏发电系统作为补充能源，</w:t>
      </w:r>
      <w:r>
        <w:rPr>
          <w:rFonts w:ascii="宋体" w:hAnsi="宋体" w:eastAsia="宋体"/>
          <w:sz w:val="24"/>
          <w:szCs w:val="24"/>
          <w:shd w:val="clear" w:color="auto" w:fill="FFFFFF"/>
        </w:rPr>
        <w:t>评价总分值为</w:t>
      </w:r>
      <w:r>
        <w:rPr>
          <w:rFonts w:hint="eastAsia" w:ascii="宋体" w:hAnsi="宋体" w:eastAsia="宋体"/>
          <w:sz w:val="24"/>
          <w:szCs w:val="24"/>
          <w:shd w:val="clear" w:color="auto" w:fill="FFFFFF"/>
        </w:rPr>
        <w:t>5</w:t>
      </w:r>
      <w:r>
        <w:rPr>
          <w:rFonts w:ascii="宋体" w:hAnsi="宋体" w:eastAsia="宋体"/>
          <w:sz w:val="24"/>
          <w:szCs w:val="24"/>
          <w:shd w:val="clear" w:color="auto" w:fill="FFFFFF"/>
        </w:rPr>
        <w:t>分，并按下列规则分别评分并累计：</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1</w:t>
      </w:r>
      <w:r>
        <w:rPr>
          <w:rFonts w:hint="eastAsia" w:ascii="宋体" w:hAnsi="宋体" w:eastAsia="宋体"/>
          <w:sz w:val="24"/>
          <w:szCs w:val="24"/>
          <w:shd w:val="clear" w:color="auto" w:fill="FFFFFF"/>
        </w:rPr>
        <w:t xml:space="preserve">  充分利用光资源，</w:t>
      </w:r>
      <w:r>
        <w:rPr>
          <w:rFonts w:ascii="宋体" w:hAnsi="宋体" w:eastAsia="宋体"/>
          <w:sz w:val="24"/>
          <w:szCs w:val="24"/>
          <w:shd w:val="clear" w:color="auto" w:fill="FFFFFF"/>
        </w:rPr>
        <w:t>得</w:t>
      </w:r>
      <w:r>
        <w:rPr>
          <w:rFonts w:hint="eastAsia" w:ascii="宋体" w:hAnsi="宋体" w:eastAsia="宋体"/>
          <w:sz w:val="24"/>
          <w:szCs w:val="24"/>
          <w:shd w:val="clear" w:color="auto" w:fill="FFFFFF"/>
        </w:rPr>
        <w:t>2分；</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2</w:t>
      </w:r>
      <w:r>
        <w:rPr>
          <w:rFonts w:hint="eastAsia" w:ascii="宋体" w:hAnsi="宋体" w:eastAsia="宋体"/>
          <w:sz w:val="24"/>
          <w:szCs w:val="24"/>
          <w:shd w:val="clear" w:color="auto" w:fill="FFFFFF"/>
        </w:rPr>
        <w:t xml:space="preserve">  设置光伏发电系统，</w:t>
      </w:r>
      <w:r>
        <w:rPr>
          <w:rFonts w:ascii="宋体" w:hAnsi="宋体" w:eastAsia="宋体"/>
          <w:sz w:val="24"/>
          <w:szCs w:val="24"/>
          <w:shd w:val="clear" w:color="auto" w:fill="FFFFFF"/>
        </w:rPr>
        <w:t>得</w:t>
      </w:r>
      <w:r>
        <w:rPr>
          <w:rFonts w:hint="eastAsia" w:ascii="宋体" w:hAnsi="宋体" w:eastAsia="宋体"/>
          <w:sz w:val="24"/>
          <w:szCs w:val="24"/>
          <w:shd w:val="clear" w:color="auto" w:fill="FFFFFF"/>
        </w:rPr>
        <w:t>3</w:t>
      </w:r>
      <w:r>
        <w:rPr>
          <w:rFonts w:ascii="宋体" w:hAnsi="宋体" w:eastAsia="宋体"/>
          <w:sz w:val="24"/>
          <w:szCs w:val="24"/>
          <w:shd w:val="clear" w:color="auto" w:fill="FFFFFF"/>
        </w:rPr>
        <w:t>分。</w:t>
      </w:r>
    </w:p>
    <w:p>
      <w:pPr>
        <w:spacing w:line="360" w:lineRule="auto"/>
        <w:jc w:val="left"/>
        <w:rPr>
          <w:sz w:val="24"/>
        </w:rPr>
      </w:pPr>
      <w:r>
        <w:rPr>
          <w:rFonts w:hint="eastAsia" w:ascii="宋体" w:hAnsi="宋体" w:eastAsia="宋体"/>
          <w:b/>
          <w:sz w:val="24"/>
          <w:szCs w:val="24"/>
        </w:rPr>
        <w:t xml:space="preserve">7.2.40  </w:t>
      </w:r>
      <w:r>
        <w:rPr>
          <w:rFonts w:hint="eastAsia"/>
          <w:sz w:val="24"/>
        </w:rPr>
        <w:t>各单体建筑物内通道、楼梯间采用节能自熄性控制开关/智能照明控制/调光控制/时钟控制，</w:t>
      </w:r>
      <w:r>
        <w:rPr>
          <w:rFonts w:ascii="宋体" w:hAnsi="宋体" w:eastAsia="宋体"/>
          <w:sz w:val="24"/>
          <w:szCs w:val="24"/>
          <w:shd w:val="clear" w:color="auto" w:fill="FFFFFF"/>
        </w:rPr>
        <w:t>评价分值为</w:t>
      </w:r>
      <w:r>
        <w:rPr>
          <w:rFonts w:hint="eastAsia" w:ascii="宋体" w:hAnsi="宋体" w:eastAsia="宋体"/>
          <w:sz w:val="24"/>
          <w:szCs w:val="24"/>
          <w:shd w:val="clear" w:color="auto" w:fill="FFFFFF"/>
        </w:rPr>
        <w:t>1分。</w:t>
      </w:r>
    </w:p>
    <w:p>
      <w:pPr>
        <w:spacing w:line="360" w:lineRule="auto"/>
        <w:jc w:val="left"/>
        <w:rPr>
          <w:rFonts w:ascii="宋体" w:hAnsi="宋体" w:eastAsia="宋体"/>
          <w:sz w:val="24"/>
          <w:szCs w:val="24"/>
          <w:shd w:val="clear" w:color="auto" w:fill="FFFFFF"/>
        </w:rPr>
      </w:pPr>
      <w:r>
        <w:rPr>
          <w:rFonts w:hint="eastAsia" w:ascii="宋体" w:hAnsi="宋体" w:eastAsia="宋体"/>
          <w:b/>
          <w:sz w:val="24"/>
          <w:szCs w:val="24"/>
        </w:rPr>
        <w:t xml:space="preserve">7.2.41  </w:t>
      </w:r>
      <w:r>
        <w:rPr>
          <w:rFonts w:hint="eastAsia"/>
          <w:sz w:val="24"/>
        </w:rPr>
        <w:t>变电所设置在负荷中心、与大型用电设备用房邻近布置、或者设置在主要用电量最大的单体建筑物内，</w:t>
      </w:r>
      <w:r>
        <w:rPr>
          <w:rFonts w:ascii="宋体" w:hAnsi="宋体" w:eastAsia="宋体"/>
          <w:sz w:val="24"/>
          <w:szCs w:val="24"/>
          <w:shd w:val="clear" w:color="auto" w:fill="FFFFFF"/>
        </w:rPr>
        <w:t>评价分值为</w:t>
      </w:r>
      <w:r>
        <w:rPr>
          <w:rFonts w:hint="eastAsia" w:ascii="宋体" w:hAnsi="宋体" w:eastAsia="宋体"/>
          <w:sz w:val="24"/>
          <w:szCs w:val="24"/>
          <w:shd w:val="clear" w:color="auto" w:fill="FFFFFF"/>
        </w:rPr>
        <w:t>2分。</w:t>
      </w:r>
    </w:p>
    <w:p>
      <w:pPr>
        <w:spacing w:line="360" w:lineRule="auto"/>
        <w:jc w:val="left"/>
        <w:rPr>
          <w:rFonts w:ascii="宋体" w:hAnsi="宋体" w:eastAsia="宋体"/>
          <w:sz w:val="24"/>
          <w:szCs w:val="24"/>
          <w:shd w:val="clear" w:color="auto" w:fill="FFFFFF"/>
        </w:rPr>
      </w:pPr>
      <w:r>
        <w:rPr>
          <w:rFonts w:hint="eastAsia" w:ascii="宋体" w:hAnsi="宋体" w:eastAsia="宋体"/>
          <w:b/>
          <w:sz w:val="24"/>
          <w:szCs w:val="24"/>
        </w:rPr>
        <w:t xml:space="preserve">7.2.42  </w:t>
      </w:r>
      <w:r>
        <w:rPr>
          <w:rFonts w:hint="eastAsia" w:ascii="宋体" w:hAnsi="宋体" w:eastAsia="宋体"/>
          <w:sz w:val="24"/>
          <w:szCs w:val="28"/>
        </w:rPr>
        <w:t>采用多线共建线路控制中心的方式实现土建、设备、人力资源共享，</w:t>
      </w:r>
    </w:p>
    <w:p>
      <w:pPr>
        <w:spacing w:line="360" w:lineRule="auto"/>
        <w:jc w:val="left"/>
        <w:rPr>
          <w:rFonts w:ascii="宋体" w:hAnsi="宋体" w:eastAsia="宋体"/>
          <w:sz w:val="24"/>
          <w:szCs w:val="28"/>
        </w:rPr>
      </w:pPr>
      <w:r>
        <w:rPr>
          <w:rFonts w:hint="eastAsia" w:ascii="宋体" w:hAnsi="宋体" w:eastAsia="宋体"/>
          <w:sz w:val="24"/>
          <w:szCs w:val="24"/>
          <w:shd w:val="clear" w:color="auto" w:fill="FFFFFF"/>
        </w:rPr>
        <w:t>根据</w:t>
      </w:r>
      <w:r>
        <w:rPr>
          <w:rFonts w:hint="eastAsia" w:ascii="宋体" w:hAnsi="宋体" w:eastAsia="宋体"/>
          <w:sz w:val="24"/>
          <w:szCs w:val="28"/>
        </w:rPr>
        <w:t>多线共建</w:t>
      </w:r>
      <w:r>
        <w:rPr>
          <w:rFonts w:hint="eastAsia" w:ascii="宋体" w:hAnsi="宋体" w:eastAsia="宋体"/>
          <w:sz w:val="24"/>
          <w:szCs w:val="24"/>
          <w:shd w:val="clear" w:color="auto" w:fill="FFFFFF"/>
        </w:rPr>
        <w:t>控制中心（3条及以上线路</w:t>
      </w:r>
      <w:r>
        <w:rPr>
          <w:rFonts w:hint="eastAsia" w:ascii="宋体" w:hAnsi="宋体" w:eastAsia="宋体"/>
          <w:sz w:val="24"/>
          <w:szCs w:val="28"/>
        </w:rPr>
        <w:t>共建控制中心</w:t>
      </w:r>
      <w:r>
        <w:rPr>
          <w:rFonts w:hint="eastAsia" w:ascii="宋体" w:hAnsi="宋体" w:eastAsia="宋体"/>
          <w:sz w:val="24"/>
          <w:szCs w:val="24"/>
          <w:shd w:val="clear" w:color="auto" w:fill="FFFFFF"/>
        </w:rPr>
        <w:t>）</w:t>
      </w:r>
      <w:r>
        <w:rPr>
          <w:rFonts w:hint="eastAsia" w:ascii="宋体" w:hAnsi="宋体" w:eastAsia="宋体"/>
          <w:sz w:val="24"/>
          <w:szCs w:val="28"/>
        </w:rPr>
        <w:t>数量占城市总控制中心数量的比重大小进行评分，</w:t>
      </w:r>
      <w:r>
        <w:rPr>
          <w:rFonts w:ascii="宋体" w:hAnsi="宋体" w:eastAsia="宋体"/>
          <w:sz w:val="24"/>
          <w:szCs w:val="24"/>
          <w:shd w:val="clear" w:color="auto" w:fill="FFFFFF"/>
        </w:rPr>
        <w:t>评价总分值为</w:t>
      </w:r>
      <w:r>
        <w:rPr>
          <w:rFonts w:hint="eastAsia" w:ascii="宋体" w:hAnsi="宋体" w:eastAsia="宋体"/>
          <w:sz w:val="24"/>
          <w:szCs w:val="24"/>
          <w:shd w:val="clear" w:color="auto" w:fill="FFFFFF"/>
        </w:rPr>
        <w:t>4</w:t>
      </w:r>
      <w:r>
        <w:rPr>
          <w:rFonts w:ascii="宋体" w:hAnsi="宋体" w:eastAsia="宋体"/>
          <w:sz w:val="24"/>
          <w:szCs w:val="24"/>
          <w:shd w:val="clear" w:color="auto" w:fill="FFFFFF"/>
        </w:rPr>
        <w:t>分，并按下列规则评分：</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1</w:t>
      </w:r>
      <w:r>
        <w:rPr>
          <w:rFonts w:hint="eastAsia" w:ascii="宋体" w:hAnsi="宋体" w:eastAsia="宋体"/>
          <w:sz w:val="24"/>
          <w:szCs w:val="24"/>
          <w:shd w:val="clear" w:color="auto" w:fill="FFFFFF"/>
        </w:rPr>
        <w:t xml:space="preserve">  0.7&gt;</w:t>
      </w:r>
      <w:r>
        <w:rPr>
          <w:rFonts w:hint="eastAsia" w:ascii="宋体" w:hAnsi="宋体" w:eastAsia="宋体"/>
          <w:sz w:val="24"/>
          <w:szCs w:val="28"/>
        </w:rPr>
        <w:t>多线共建</w:t>
      </w:r>
      <w:r>
        <w:rPr>
          <w:rFonts w:hint="eastAsia" w:ascii="宋体" w:hAnsi="宋体" w:eastAsia="宋体"/>
          <w:sz w:val="24"/>
          <w:szCs w:val="24"/>
          <w:shd w:val="clear" w:color="auto" w:fill="FFFFFF"/>
        </w:rPr>
        <w:t>控制中心占比</w:t>
      </w:r>
      <w:r>
        <w:rPr>
          <w:rFonts w:hint="eastAsia" w:ascii="Arial" w:hAnsi="Arial" w:eastAsia="宋体" w:cs="Arial"/>
          <w:sz w:val="24"/>
          <w:szCs w:val="24"/>
          <w:shd w:val="clear" w:color="auto" w:fill="FFFFFF"/>
          <w:lang w:eastAsia="zh-CN"/>
        </w:rPr>
        <w:t>大于等于</w:t>
      </w:r>
      <w:r>
        <w:rPr>
          <w:rFonts w:hint="eastAsia" w:ascii="宋体" w:hAnsi="宋体" w:eastAsia="宋体"/>
          <w:sz w:val="24"/>
          <w:szCs w:val="28"/>
        </w:rPr>
        <w:t>0.6</w:t>
      </w:r>
      <w:r>
        <w:rPr>
          <w:rFonts w:hint="eastAsia" w:ascii="宋体" w:hAnsi="宋体" w:eastAsia="宋体"/>
          <w:sz w:val="24"/>
          <w:szCs w:val="24"/>
          <w:shd w:val="clear" w:color="auto" w:fill="FFFFFF"/>
        </w:rPr>
        <w:t>，</w:t>
      </w:r>
      <w:r>
        <w:rPr>
          <w:rFonts w:ascii="宋体" w:hAnsi="宋体" w:eastAsia="宋体"/>
          <w:sz w:val="24"/>
          <w:szCs w:val="24"/>
          <w:shd w:val="clear" w:color="auto" w:fill="FFFFFF"/>
        </w:rPr>
        <w:t>得</w:t>
      </w:r>
      <w:r>
        <w:rPr>
          <w:rFonts w:hint="eastAsia" w:ascii="宋体" w:hAnsi="宋体" w:eastAsia="宋体"/>
          <w:sz w:val="24"/>
          <w:szCs w:val="24"/>
          <w:shd w:val="clear" w:color="auto" w:fill="FFFFFF"/>
        </w:rPr>
        <w:t>1分；</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2</w:t>
      </w:r>
      <w:r>
        <w:rPr>
          <w:rFonts w:hint="eastAsia" w:ascii="宋体" w:hAnsi="宋体" w:eastAsia="宋体"/>
          <w:sz w:val="24"/>
          <w:szCs w:val="24"/>
          <w:shd w:val="clear" w:color="auto" w:fill="FFFFFF"/>
        </w:rPr>
        <w:t xml:space="preserve">  0.8&gt;</w:t>
      </w:r>
      <w:r>
        <w:rPr>
          <w:rFonts w:hint="eastAsia" w:ascii="宋体" w:hAnsi="宋体" w:eastAsia="宋体"/>
          <w:sz w:val="24"/>
          <w:szCs w:val="28"/>
        </w:rPr>
        <w:t>多线共建</w:t>
      </w:r>
      <w:r>
        <w:rPr>
          <w:rFonts w:hint="eastAsia" w:ascii="宋体" w:hAnsi="宋体" w:eastAsia="宋体"/>
          <w:sz w:val="24"/>
          <w:szCs w:val="24"/>
          <w:shd w:val="clear" w:color="auto" w:fill="FFFFFF"/>
        </w:rPr>
        <w:t>控制中心占比</w:t>
      </w:r>
      <w:r>
        <w:rPr>
          <w:rFonts w:hint="eastAsia" w:ascii="Arial" w:hAnsi="Arial" w:eastAsia="宋体" w:cs="Arial"/>
          <w:sz w:val="24"/>
          <w:szCs w:val="24"/>
          <w:shd w:val="clear" w:color="auto" w:fill="FFFFFF"/>
          <w:lang w:eastAsia="zh-CN"/>
        </w:rPr>
        <w:t>大于等于</w:t>
      </w:r>
      <w:r>
        <w:rPr>
          <w:rFonts w:hint="eastAsia" w:ascii="宋体" w:hAnsi="宋体" w:eastAsia="宋体"/>
          <w:sz w:val="24"/>
          <w:szCs w:val="28"/>
        </w:rPr>
        <w:t>0.7</w:t>
      </w:r>
      <w:r>
        <w:rPr>
          <w:rFonts w:hint="eastAsia" w:ascii="宋体" w:hAnsi="宋体" w:eastAsia="宋体"/>
          <w:sz w:val="24"/>
          <w:szCs w:val="24"/>
          <w:shd w:val="clear" w:color="auto" w:fill="FFFFFF"/>
        </w:rPr>
        <w:t>，</w:t>
      </w:r>
      <w:r>
        <w:rPr>
          <w:rFonts w:ascii="宋体" w:hAnsi="宋体" w:eastAsia="宋体"/>
          <w:sz w:val="24"/>
          <w:szCs w:val="24"/>
          <w:shd w:val="clear" w:color="auto" w:fill="FFFFFF"/>
        </w:rPr>
        <w:t>得</w:t>
      </w:r>
      <w:r>
        <w:rPr>
          <w:rFonts w:hint="eastAsia" w:ascii="宋体" w:hAnsi="宋体" w:eastAsia="宋体"/>
          <w:sz w:val="24"/>
          <w:szCs w:val="24"/>
          <w:shd w:val="clear" w:color="auto" w:fill="FFFFFF"/>
        </w:rPr>
        <w:t>2分；</w:t>
      </w:r>
    </w:p>
    <w:p>
      <w:pPr>
        <w:spacing w:line="360" w:lineRule="auto"/>
        <w:ind w:firstLine="482" w:firstLineChars="200"/>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3</w:t>
      </w:r>
      <w:r>
        <w:rPr>
          <w:rFonts w:hint="eastAsia" w:ascii="宋体" w:hAnsi="宋体" w:eastAsia="宋体"/>
          <w:sz w:val="24"/>
          <w:szCs w:val="24"/>
          <w:shd w:val="clear" w:color="auto" w:fill="FFFFFF"/>
        </w:rPr>
        <w:t xml:space="preserve">  0.9&gt;</w:t>
      </w:r>
      <w:r>
        <w:rPr>
          <w:rFonts w:hint="eastAsia" w:ascii="宋体" w:hAnsi="宋体" w:eastAsia="宋体"/>
          <w:sz w:val="24"/>
          <w:szCs w:val="28"/>
        </w:rPr>
        <w:t>多线共建</w:t>
      </w:r>
      <w:r>
        <w:rPr>
          <w:rFonts w:hint="eastAsia" w:ascii="宋体" w:hAnsi="宋体" w:eastAsia="宋体"/>
          <w:sz w:val="24"/>
          <w:szCs w:val="24"/>
          <w:shd w:val="clear" w:color="auto" w:fill="FFFFFF"/>
        </w:rPr>
        <w:t>控制中心占比</w:t>
      </w:r>
      <w:r>
        <w:rPr>
          <w:rFonts w:hint="eastAsia" w:ascii="Arial" w:hAnsi="Arial" w:eastAsia="宋体" w:cs="Arial"/>
          <w:sz w:val="24"/>
          <w:szCs w:val="24"/>
          <w:shd w:val="clear" w:color="auto" w:fill="FFFFFF"/>
          <w:lang w:eastAsia="zh-CN"/>
        </w:rPr>
        <w:t>大于等于</w:t>
      </w:r>
      <w:r>
        <w:rPr>
          <w:rFonts w:hint="eastAsia" w:ascii="宋体" w:hAnsi="宋体" w:eastAsia="宋体"/>
          <w:sz w:val="24"/>
          <w:szCs w:val="28"/>
        </w:rPr>
        <w:t>0.8</w:t>
      </w:r>
      <w:r>
        <w:rPr>
          <w:rFonts w:hint="eastAsia" w:ascii="宋体" w:hAnsi="宋体" w:eastAsia="宋体"/>
          <w:sz w:val="24"/>
          <w:szCs w:val="24"/>
          <w:shd w:val="clear" w:color="auto" w:fill="FFFFFF"/>
        </w:rPr>
        <w:t>，</w:t>
      </w:r>
      <w:r>
        <w:rPr>
          <w:rFonts w:ascii="宋体" w:hAnsi="宋体" w:eastAsia="宋体"/>
          <w:sz w:val="24"/>
          <w:szCs w:val="24"/>
          <w:shd w:val="clear" w:color="auto" w:fill="FFFFFF"/>
        </w:rPr>
        <w:t>得</w:t>
      </w:r>
      <w:r>
        <w:rPr>
          <w:rFonts w:hint="eastAsia" w:ascii="宋体" w:hAnsi="宋体" w:eastAsia="宋体"/>
          <w:sz w:val="24"/>
          <w:szCs w:val="24"/>
          <w:shd w:val="clear" w:color="auto" w:fill="FFFFFF"/>
        </w:rPr>
        <w:t>3分；</w:t>
      </w:r>
    </w:p>
    <w:p>
      <w:pPr>
        <w:adjustRightInd w:val="0"/>
        <w:snapToGrid w:val="0"/>
        <w:spacing w:line="360" w:lineRule="auto"/>
        <w:ind w:firstLine="482" w:firstLineChars="200"/>
        <w:rPr>
          <w:rFonts w:ascii="宋体" w:hAnsi="宋体" w:eastAsia="宋体"/>
        </w:rPr>
      </w:pPr>
      <w:r>
        <w:rPr>
          <w:rFonts w:hint="eastAsia" w:ascii="宋体" w:hAnsi="宋体" w:eastAsia="宋体"/>
          <w:b/>
          <w:sz w:val="24"/>
          <w:szCs w:val="24"/>
          <w:shd w:val="clear" w:color="auto" w:fill="FFFFFF"/>
        </w:rPr>
        <w:t>4</w:t>
      </w:r>
      <w:r>
        <w:rPr>
          <w:rFonts w:hint="eastAsia" w:ascii="宋体" w:hAnsi="宋体" w:eastAsia="宋体"/>
          <w:sz w:val="24"/>
          <w:szCs w:val="28"/>
        </w:rPr>
        <w:t>　多线共建</w:t>
      </w:r>
      <w:r>
        <w:rPr>
          <w:rFonts w:hint="eastAsia" w:ascii="宋体" w:hAnsi="宋体" w:eastAsia="宋体"/>
          <w:sz w:val="24"/>
          <w:szCs w:val="24"/>
          <w:shd w:val="clear" w:color="auto" w:fill="FFFFFF"/>
        </w:rPr>
        <w:t>控制中心占比</w:t>
      </w:r>
      <w:r>
        <w:rPr>
          <w:rFonts w:hint="eastAsia" w:ascii="Arial" w:hAnsi="Arial" w:eastAsia="宋体" w:cs="Arial"/>
          <w:sz w:val="24"/>
          <w:szCs w:val="24"/>
          <w:shd w:val="clear" w:color="auto" w:fill="FFFFFF"/>
          <w:lang w:eastAsia="zh-CN"/>
        </w:rPr>
        <w:t>大于等于</w:t>
      </w:r>
      <w:r>
        <w:rPr>
          <w:rFonts w:hint="eastAsia" w:ascii="宋体" w:hAnsi="宋体" w:eastAsia="宋体"/>
          <w:sz w:val="24"/>
          <w:szCs w:val="28"/>
        </w:rPr>
        <w:t>0.9</w:t>
      </w:r>
      <w:r>
        <w:rPr>
          <w:rFonts w:hint="eastAsia" w:ascii="宋体" w:hAnsi="宋体" w:eastAsia="宋体"/>
          <w:sz w:val="24"/>
          <w:szCs w:val="24"/>
          <w:shd w:val="clear" w:color="auto" w:fill="FFFFFF"/>
        </w:rPr>
        <w:t>，</w:t>
      </w:r>
      <w:r>
        <w:rPr>
          <w:rFonts w:ascii="宋体" w:hAnsi="宋体" w:eastAsia="宋体"/>
          <w:sz w:val="24"/>
          <w:szCs w:val="24"/>
          <w:shd w:val="clear" w:color="auto" w:fill="FFFFFF"/>
        </w:rPr>
        <w:t>得</w:t>
      </w:r>
      <w:r>
        <w:rPr>
          <w:rFonts w:hint="eastAsia" w:ascii="宋体" w:hAnsi="宋体" w:eastAsia="宋体"/>
          <w:sz w:val="24"/>
          <w:szCs w:val="24"/>
          <w:shd w:val="clear" w:color="auto" w:fill="FFFFFF"/>
        </w:rPr>
        <w:t>4分</w:t>
      </w:r>
      <w:r>
        <w:rPr>
          <w:rFonts w:hint="eastAsia" w:ascii="宋体" w:hAnsi="宋体" w:eastAsia="宋体"/>
          <w:sz w:val="24"/>
          <w:szCs w:val="28"/>
        </w:rPr>
        <w:t>。</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7.2.43  </w:t>
      </w:r>
      <w:r>
        <w:rPr>
          <w:rFonts w:hint="eastAsia" w:ascii="宋体" w:hAnsi="宋体" w:eastAsia="宋体"/>
          <w:sz w:val="24"/>
          <w:szCs w:val="24"/>
        </w:rPr>
        <w:t>车辆基地考虑线网资源共享方案</w:t>
      </w:r>
      <w:r>
        <w:rPr>
          <w:rFonts w:ascii="宋体" w:hAnsi="宋体" w:eastAsia="宋体"/>
          <w:sz w:val="24"/>
          <w:szCs w:val="24"/>
        </w:rPr>
        <w:t>，评价总分值为</w:t>
      </w:r>
      <w:r>
        <w:rPr>
          <w:rFonts w:hint="eastAsia" w:ascii="宋体" w:hAnsi="宋体" w:eastAsia="宋体"/>
          <w:sz w:val="24"/>
          <w:szCs w:val="24"/>
        </w:rPr>
        <w:t>4</w:t>
      </w:r>
      <w:r>
        <w:rPr>
          <w:rFonts w:ascii="宋体" w:hAnsi="宋体" w:eastAsia="宋体"/>
          <w:sz w:val="24"/>
          <w:szCs w:val="24"/>
        </w:rPr>
        <w:t>分，并按下列规则分别评分并累计：</w:t>
      </w:r>
    </w:p>
    <w:p>
      <w:pPr>
        <w:tabs>
          <w:tab w:val="left" w:pos="360"/>
        </w:tabs>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车辆大架修采用多线共用</w:t>
      </w:r>
      <w:r>
        <w:rPr>
          <w:rFonts w:ascii="宋体" w:hAnsi="宋体" w:eastAsia="宋体"/>
          <w:sz w:val="24"/>
          <w:szCs w:val="24"/>
        </w:rPr>
        <w:t>，得</w:t>
      </w:r>
      <w:r>
        <w:rPr>
          <w:rFonts w:hint="eastAsia" w:ascii="宋体" w:hAnsi="宋体" w:eastAsia="宋体"/>
          <w:sz w:val="24"/>
          <w:szCs w:val="24"/>
        </w:rPr>
        <w:t>1</w:t>
      </w:r>
      <w:r>
        <w:rPr>
          <w:rFonts w:ascii="宋体" w:hAnsi="宋体" w:eastAsia="宋体"/>
          <w:sz w:val="24"/>
          <w:szCs w:val="24"/>
        </w:rPr>
        <w:t>分；</w:t>
      </w:r>
    </w:p>
    <w:p>
      <w:pPr>
        <w:tabs>
          <w:tab w:val="left" w:pos="360"/>
        </w:tabs>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线网集中设置线网综合维修基地</w:t>
      </w:r>
      <w:r>
        <w:rPr>
          <w:rFonts w:ascii="宋体" w:hAnsi="宋体" w:eastAsia="宋体"/>
          <w:sz w:val="24"/>
          <w:szCs w:val="24"/>
        </w:rPr>
        <w:t>，得</w:t>
      </w:r>
      <w:r>
        <w:rPr>
          <w:rFonts w:hint="eastAsia" w:ascii="宋体" w:hAnsi="宋体" w:eastAsia="宋体"/>
          <w:sz w:val="24"/>
          <w:szCs w:val="24"/>
        </w:rPr>
        <w:t>1</w:t>
      </w:r>
      <w:r>
        <w:rPr>
          <w:rFonts w:ascii="宋体" w:hAnsi="宋体" w:eastAsia="宋体"/>
          <w:sz w:val="24"/>
          <w:szCs w:val="24"/>
        </w:rPr>
        <w:t>分；</w:t>
      </w:r>
    </w:p>
    <w:p>
      <w:pPr>
        <w:tabs>
          <w:tab w:val="left" w:pos="360"/>
        </w:tabs>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线网集中设置车辆部件维修基地，得1分；</w:t>
      </w:r>
    </w:p>
    <w:p>
      <w:pPr>
        <w:tabs>
          <w:tab w:val="left" w:pos="360"/>
        </w:tabs>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大型工程车采用多线共用，得1分。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7.2.44  </w:t>
      </w:r>
      <w:r>
        <w:rPr>
          <w:rFonts w:hint="eastAsia" w:ascii="宋体" w:hAnsi="宋体" w:eastAsia="宋体"/>
          <w:sz w:val="24"/>
          <w:szCs w:val="24"/>
        </w:rPr>
        <w:t>站内客运设备采用节能措施，</w:t>
      </w:r>
      <w:r>
        <w:rPr>
          <w:rFonts w:ascii="宋体" w:hAnsi="宋体" w:eastAsia="宋体"/>
          <w:sz w:val="24"/>
          <w:szCs w:val="24"/>
        </w:rPr>
        <w:t>评价总分值为</w:t>
      </w:r>
      <w:r>
        <w:rPr>
          <w:rFonts w:hint="eastAsia" w:ascii="宋体" w:hAnsi="宋体" w:eastAsia="宋体"/>
          <w:sz w:val="24"/>
          <w:szCs w:val="24"/>
        </w:rPr>
        <w:t>6</w:t>
      </w:r>
      <w:r>
        <w:rPr>
          <w:rFonts w:ascii="宋体" w:hAnsi="宋体" w:eastAsia="宋体"/>
          <w:sz w:val="24"/>
          <w:szCs w:val="24"/>
        </w:rPr>
        <w:t>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自动扶梯电机</w:t>
      </w:r>
      <w:r>
        <w:rPr>
          <w:rFonts w:ascii="宋体" w:hAnsi="宋体" w:eastAsia="宋体" w:cs="Times New Roman"/>
          <w:sz w:val="24"/>
          <w:szCs w:val="24"/>
        </w:rPr>
        <w:t>能效等级不低于2级（按照《中小型三相异步电动机能效限定值及能效等级》GB18613规定）</w:t>
      </w:r>
      <w:r>
        <w:rPr>
          <w:rFonts w:ascii="宋体" w:hAnsi="宋体" w:eastAsia="宋体"/>
          <w:sz w:val="24"/>
          <w:szCs w:val="24"/>
        </w:rPr>
        <w:t>，</w:t>
      </w:r>
      <w:r>
        <w:rPr>
          <w:rFonts w:hint="eastAsia" w:ascii="宋体" w:hAnsi="宋体" w:eastAsia="宋体"/>
          <w:sz w:val="24"/>
          <w:szCs w:val="24"/>
        </w:rPr>
        <w:t>得2分；</w:t>
      </w:r>
    </w:p>
    <w:p>
      <w:pPr>
        <w:adjustRightInd w:val="0"/>
        <w:snapToGrid w:val="0"/>
        <w:spacing w:line="360" w:lineRule="auto"/>
        <w:ind w:firstLine="472" w:firstLineChars="196"/>
        <w:jc w:val="left"/>
        <w:rPr>
          <w:rFonts w:ascii="宋体" w:hAnsi="宋体" w:eastAsia="宋体"/>
          <w:sz w:val="24"/>
          <w:szCs w:val="24"/>
        </w:rPr>
      </w:pPr>
      <w:r>
        <w:rPr>
          <w:rFonts w:hint="eastAsia" w:ascii="宋体" w:hAnsi="宋体" w:eastAsia="宋体"/>
          <w:b/>
          <w:sz w:val="24"/>
          <w:szCs w:val="24"/>
        </w:rPr>
        <w:t xml:space="preserve">2  </w:t>
      </w:r>
      <w:r>
        <w:rPr>
          <w:rFonts w:hint="eastAsia" w:ascii="宋体" w:hAnsi="宋体" w:eastAsia="宋体"/>
          <w:sz w:val="24"/>
          <w:szCs w:val="24"/>
        </w:rPr>
        <w:t>自动扶梯具备</w:t>
      </w:r>
      <w:r>
        <w:rPr>
          <w:rFonts w:ascii="宋体" w:hAnsi="宋体" w:eastAsia="宋体" w:cs="Times New Roman"/>
          <w:sz w:val="24"/>
          <w:szCs w:val="24"/>
        </w:rPr>
        <w:t>能源反馈节能</w:t>
      </w:r>
      <w:r>
        <w:rPr>
          <w:rFonts w:hint="eastAsia" w:ascii="宋体" w:hAnsi="宋体" w:eastAsia="宋体"/>
          <w:sz w:val="24"/>
          <w:szCs w:val="24"/>
        </w:rPr>
        <w:t>功能</w:t>
      </w:r>
      <w:r>
        <w:rPr>
          <w:rFonts w:ascii="宋体" w:hAnsi="宋体" w:eastAsia="宋体"/>
          <w:sz w:val="24"/>
          <w:szCs w:val="24"/>
        </w:rPr>
        <w:t>，</w:t>
      </w:r>
      <w:r>
        <w:rPr>
          <w:rFonts w:hint="eastAsia" w:ascii="宋体" w:hAnsi="宋体" w:eastAsia="宋体"/>
          <w:sz w:val="24"/>
          <w:szCs w:val="24"/>
        </w:rPr>
        <w:t>得2分；</w:t>
      </w:r>
    </w:p>
    <w:p>
      <w:pPr>
        <w:tabs>
          <w:tab w:val="left" w:pos="360"/>
        </w:tabs>
        <w:adjustRightInd w:val="0"/>
        <w:snapToGrid w:val="0"/>
        <w:spacing w:line="360" w:lineRule="auto"/>
        <w:ind w:firstLine="472" w:firstLineChars="196"/>
        <w:jc w:val="left"/>
        <w:rPr>
          <w:rFonts w:ascii="宋体" w:hAnsi="宋体" w:eastAsia="宋体"/>
          <w:sz w:val="24"/>
          <w:szCs w:val="24"/>
        </w:rPr>
      </w:pPr>
      <w:r>
        <w:rPr>
          <w:rFonts w:hint="eastAsia" w:ascii="宋体" w:hAnsi="宋体" w:eastAsia="宋体"/>
          <w:b/>
          <w:sz w:val="24"/>
          <w:szCs w:val="24"/>
        </w:rPr>
        <w:t xml:space="preserve">3  </w:t>
      </w:r>
      <w:r>
        <w:rPr>
          <w:rFonts w:hint="eastAsia" w:ascii="宋体" w:hAnsi="宋体" w:eastAsia="宋体"/>
          <w:sz w:val="24"/>
          <w:szCs w:val="24"/>
        </w:rPr>
        <w:t>垂直电梯曳引机采用永磁同步无齿曳引机</w:t>
      </w:r>
      <w:r>
        <w:rPr>
          <w:rFonts w:ascii="宋体" w:hAnsi="宋体" w:eastAsia="宋体"/>
          <w:sz w:val="24"/>
          <w:szCs w:val="24"/>
        </w:rPr>
        <w:t>，</w:t>
      </w:r>
      <w:r>
        <w:rPr>
          <w:rFonts w:hint="eastAsia" w:ascii="宋体" w:hAnsi="宋体" w:eastAsia="宋体"/>
          <w:sz w:val="24"/>
          <w:szCs w:val="24"/>
        </w:rPr>
        <w:t>得2分。</w:t>
      </w:r>
    </w:p>
    <w:p>
      <w:pPr>
        <w:widowControl/>
        <w:spacing w:line="360" w:lineRule="auto"/>
        <w:jc w:val="left"/>
        <w:rPr>
          <w:rFonts w:ascii="宋体" w:hAnsi="宋体" w:eastAsia="宋体"/>
          <w:sz w:val="24"/>
          <w:szCs w:val="24"/>
        </w:rPr>
      </w:pPr>
      <w:r>
        <w:rPr>
          <w:rFonts w:hint="eastAsia" w:ascii="仿宋" w:hAnsi="仿宋" w:eastAsia="仿宋"/>
          <w:b/>
          <w:sz w:val="24"/>
          <w:szCs w:val="24"/>
        </w:rPr>
        <w:t xml:space="preserve">7.2.45  </w:t>
      </w:r>
      <w:r>
        <w:rPr>
          <w:rFonts w:hint="eastAsia" w:ascii="宋体" w:hAnsi="宋体" w:eastAsia="宋体"/>
          <w:sz w:val="24"/>
          <w:szCs w:val="24"/>
        </w:rPr>
        <w:t>根据车型及速度分类评价牵引能耗指标，评价总分值为20分，</w:t>
      </w:r>
      <w:r>
        <w:rPr>
          <w:rFonts w:ascii="宋体" w:hAnsi="宋体" w:eastAsia="宋体"/>
          <w:sz w:val="24"/>
          <w:szCs w:val="24"/>
        </w:rPr>
        <w:t>并按下列规则分别评分并累计：</w:t>
      </w:r>
    </w:p>
    <w:p>
      <w:pPr>
        <w:widowControl/>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车公里牵引能耗指标符合附录A.1~附录 A.6的一、二、三、四级，分别得10、8、6、4分；</w:t>
      </w:r>
    </w:p>
    <w:p>
      <w:pPr>
        <w:widowControl/>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人公里牵引能耗指标符合附录A.7~附录 A.9的一、二、三、四级，分别得10、8、6、4分。</w:t>
      </w:r>
    </w:p>
    <w:p>
      <w:pPr>
        <w:widowControl/>
        <w:spacing w:line="360" w:lineRule="auto"/>
        <w:jc w:val="left"/>
        <w:rPr>
          <w:rFonts w:ascii="宋体" w:hAnsi="宋体" w:eastAsia="宋体"/>
          <w:sz w:val="24"/>
          <w:szCs w:val="24"/>
        </w:rPr>
      </w:pPr>
      <w:r>
        <w:rPr>
          <w:rFonts w:hint="eastAsia" w:ascii="宋体" w:hAnsi="宋体" w:eastAsia="宋体"/>
          <w:b/>
          <w:sz w:val="24"/>
          <w:szCs w:val="24"/>
        </w:rPr>
        <w:t xml:space="preserve">7.2.46  </w:t>
      </w:r>
      <w:r>
        <w:rPr>
          <w:rFonts w:hint="eastAsia" w:ascii="宋体" w:hAnsi="宋体" w:eastAsia="宋体"/>
          <w:sz w:val="24"/>
          <w:szCs w:val="24"/>
        </w:rPr>
        <w:t>车站能耗指标评价总分值为20分，根据车站的分类，按条文说明表格的规则评分。</w:t>
      </w:r>
    </w:p>
    <w:p>
      <w:pPr>
        <w:widowControl/>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车站站均运营能耗指标符合附录A.10~附录 A.11的一、二、三、四级，分别得10、8、6、4分；</w:t>
      </w:r>
    </w:p>
    <w:p>
      <w:pPr>
        <w:widowControl/>
        <w:spacing w:line="360" w:lineRule="auto"/>
        <w:ind w:firstLine="482" w:firstLineChars="200"/>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2</w:t>
      </w:r>
      <w:r>
        <w:rPr>
          <w:rFonts w:hint="eastAsia" w:ascii="宋体" w:hAnsi="宋体" w:eastAsia="宋体"/>
          <w:sz w:val="24"/>
          <w:szCs w:val="24"/>
        </w:rPr>
        <w:t xml:space="preserve">  单位面积车站运营能耗指标符合附录A.12的一、二、三、四级，分别得10、8、6、4分。</w:t>
      </w:r>
    </w:p>
    <w:p>
      <w:pPr>
        <w:pStyle w:val="2"/>
        <w:spacing w:before="624" w:after="624"/>
      </w:pPr>
      <w:bookmarkStart w:id="48" w:name="_Toc77584235"/>
      <w:bookmarkStart w:id="49" w:name="_Toc60822244"/>
      <w:r>
        <w:t>8</w:t>
      </w:r>
      <w:r>
        <w:rPr>
          <w:rFonts w:hint="eastAsia"/>
        </w:rPr>
        <w:t xml:space="preserve"> </w:t>
      </w:r>
      <w:r>
        <w:t xml:space="preserve"> 环境友好</w:t>
      </w:r>
      <w:bookmarkEnd w:id="48"/>
    </w:p>
    <w:p>
      <w:pPr>
        <w:pStyle w:val="3"/>
        <w:spacing w:before="468" w:after="468"/>
      </w:pPr>
      <w:bookmarkStart w:id="50" w:name="_Toc77584236"/>
      <w:r>
        <w:t>8.1</w:t>
      </w:r>
      <w:r>
        <w:rPr>
          <w:rFonts w:hint="eastAsia"/>
        </w:rPr>
        <w:t xml:space="preserve">  </w:t>
      </w:r>
      <w:r>
        <w:t>控制项</w:t>
      </w:r>
      <w:bookmarkEnd w:id="50"/>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8.1.1  </w:t>
      </w:r>
      <w:r>
        <w:rPr>
          <w:rFonts w:ascii="宋体" w:hAnsi="宋体" w:eastAsia="宋体"/>
          <w:sz w:val="24"/>
          <w:szCs w:val="24"/>
        </w:rPr>
        <w:t>根据环境影响评估报告书的要求，环境敏感点的振动及噪声</w:t>
      </w:r>
      <w:r>
        <w:rPr>
          <w:rFonts w:hint="eastAsia" w:ascii="宋体" w:hAnsi="宋体" w:eastAsia="宋体"/>
          <w:sz w:val="24"/>
          <w:szCs w:val="24"/>
        </w:rPr>
        <w:t>应通过建设项目竣工环境保护验收</w:t>
      </w:r>
      <w:r>
        <w:rPr>
          <w:rFonts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8.1.2  </w:t>
      </w:r>
      <w:r>
        <w:rPr>
          <w:rFonts w:hint="eastAsia" w:ascii="宋体" w:hAnsi="宋体" w:eastAsia="宋体"/>
          <w:sz w:val="24"/>
          <w:szCs w:val="24"/>
        </w:rPr>
        <w:t>车站及基地不应有排放超标的废气、废水。</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8.1.3  </w:t>
      </w:r>
      <w:r>
        <w:rPr>
          <w:rFonts w:hint="eastAsia" w:ascii="宋体" w:hAnsi="宋体" w:eastAsia="宋体"/>
          <w:sz w:val="24"/>
          <w:szCs w:val="24"/>
        </w:rPr>
        <w:t>车站应设置垃圾分类收集点，将其中可再利用或可再生的材料进行有效回收处理，收集和处理过程中无二次污染。</w:t>
      </w:r>
    </w:p>
    <w:p>
      <w:pPr>
        <w:spacing w:line="360" w:lineRule="auto"/>
        <w:jc w:val="left"/>
        <w:rPr>
          <w:rFonts w:ascii="宋体" w:hAnsi="宋体" w:eastAsia="宋体"/>
          <w:sz w:val="24"/>
          <w:szCs w:val="24"/>
        </w:rPr>
      </w:pPr>
      <w:r>
        <w:rPr>
          <w:rFonts w:hint="eastAsia" w:ascii="宋体" w:hAnsi="宋体" w:eastAsia="宋体"/>
          <w:b/>
          <w:sz w:val="24"/>
          <w:szCs w:val="24"/>
        </w:rPr>
        <w:t xml:space="preserve">8.1.4  </w:t>
      </w:r>
      <w:r>
        <w:rPr>
          <w:rFonts w:hint="eastAsia" w:ascii="宋体" w:hAnsi="宋体" w:eastAsia="宋体"/>
          <w:sz w:val="24"/>
          <w:szCs w:val="24"/>
        </w:rPr>
        <w:t>根据《广东省环境保护条例》（2015）的要求，应建立相应的规章制度，对轨道交通运营产生的废弃物应进行分类处理，对可回收利用的产品包装物、容器、废油和废旧电池等资源应进行回收利用，对不能回收利用的应按规定流程应做无害处理。</w:t>
      </w:r>
    </w:p>
    <w:p>
      <w:pPr>
        <w:spacing w:line="360" w:lineRule="auto"/>
        <w:jc w:val="left"/>
        <w:rPr>
          <w:rFonts w:ascii="宋体" w:hAnsi="宋体" w:eastAsia="宋体"/>
          <w:sz w:val="24"/>
          <w:szCs w:val="24"/>
        </w:rPr>
      </w:pPr>
      <w:r>
        <w:rPr>
          <w:rFonts w:hint="eastAsia" w:ascii="宋体" w:hAnsi="宋体" w:eastAsia="宋体"/>
          <w:b/>
          <w:sz w:val="24"/>
          <w:szCs w:val="24"/>
        </w:rPr>
        <w:t xml:space="preserve">8.1.5   </w:t>
      </w:r>
      <w:r>
        <w:rPr>
          <w:rFonts w:hint="eastAsia" w:ascii="宋体" w:hAnsi="宋体" w:eastAsia="宋体"/>
          <w:sz w:val="24"/>
          <w:szCs w:val="24"/>
        </w:rPr>
        <w:t>轨道交通供电系统在公共电网公共连接点的电能质量应符合国家标准要求。</w:t>
      </w:r>
    </w:p>
    <w:p>
      <w:pPr>
        <w:spacing w:line="360" w:lineRule="auto"/>
        <w:jc w:val="left"/>
        <w:rPr>
          <w:rFonts w:ascii="宋体" w:hAnsi="宋体" w:eastAsia="宋体" w:cs="宋体"/>
          <w:sz w:val="24"/>
          <w:szCs w:val="24"/>
        </w:rPr>
      </w:pPr>
      <w:r>
        <w:rPr>
          <w:rFonts w:hint="eastAsia" w:ascii="宋体" w:hAnsi="宋体" w:eastAsia="宋体"/>
          <w:b/>
          <w:sz w:val="24"/>
          <w:szCs w:val="24"/>
        </w:rPr>
        <w:t xml:space="preserve">8.1.6  </w:t>
      </w:r>
      <w:r>
        <w:rPr>
          <w:rFonts w:hint="eastAsia" w:ascii="宋体" w:hAnsi="宋体" w:eastAsia="宋体" w:cs="宋体"/>
          <w:sz w:val="24"/>
          <w:szCs w:val="24"/>
        </w:rPr>
        <w:t>110kV以上的主变电所，应满足《电磁环境控制限制》GB 8702的要求。</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8</w:t>
      </w:r>
      <w:r>
        <w:rPr>
          <w:rFonts w:ascii="宋体" w:hAnsi="宋体" w:eastAsia="宋体"/>
          <w:b/>
          <w:bCs/>
          <w:sz w:val="24"/>
          <w:szCs w:val="24"/>
        </w:rPr>
        <w:t>.1.</w:t>
      </w:r>
      <w:r>
        <w:rPr>
          <w:rFonts w:hint="eastAsia" w:ascii="宋体" w:hAnsi="宋体" w:eastAsia="宋体"/>
          <w:b/>
          <w:bCs/>
          <w:sz w:val="24"/>
          <w:szCs w:val="24"/>
        </w:rPr>
        <w:t xml:space="preserve">7  </w:t>
      </w:r>
      <w:r>
        <w:rPr>
          <w:rFonts w:hint="eastAsia" w:ascii="宋体" w:hAnsi="宋体" w:eastAsia="宋体"/>
          <w:bCs/>
          <w:sz w:val="24"/>
          <w:szCs w:val="24"/>
        </w:rPr>
        <w:t>高架站、</w:t>
      </w:r>
      <w:r>
        <w:rPr>
          <w:rFonts w:ascii="宋体" w:hAnsi="宋体" w:eastAsia="宋体"/>
          <w:sz w:val="24"/>
          <w:szCs w:val="24"/>
        </w:rPr>
        <w:t>地面站及地下站的地面附属设施的规划布局不</w:t>
      </w:r>
      <w:r>
        <w:rPr>
          <w:rFonts w:hint="eastAsia" w:ascii="宋体" w:hAnsi="宋体" w:eastAsia="宋体"/>
          <w:sz w:val="24"/>
          <w:szCs w:val="24"/>
        </w:rPr>
        <w:t>应</w:t>
      </w:r>
      <w:r>
        <w:rPr>
          <w:rFonts w:ascii="宋体" w:hAnsi="宋体" w:eastAsia="宋体"/>
          <w:sz w:val="24"/>
          <w:szCs w:val="24"/>
        </w:rPr>
        <w:t>使周边建筑及场地的日照条件低于原日照条件或日照标准要求。</w:t>
      </w:r>
    </w:p>
    <w:p>
      <w:pPr>
        <w:spacing w:line="360" w:lineRule="auto"/>
        <w:jc w:val="left"/>
        <w:rPr>
          <w:rFonts w:ascii="宋体" w:hAnsi="宋体" w:eastAsia="宋体" w:cs="宋体"/>
          <w:sz w:val="24"/>
          <w:szCs w:val="24"/>
        </w:rPr>
      </w:pPr>
    </w:p>
    <w:p>
      <w:pPr>
        <w:pStyle w:val="3"/>
        <w:spacing w:before="468" w:after="468"/>
      </w:pPr>
      <w:bookmarkStart w:id="51" w:name="_Toc77584237"/>
      <w:r>
        <w:rPr>
          <w:rFonts w:hint="eastAsia"/>
        </w:rPr>
        <w:t>8</w:t>
      </w:r>
      <w:r>
        <w:t>.2</w:t>
      </w:r>
      <w:r>
        <w:rPr>
          <w:rFonts w:hint="eastAsia"/>
        </w:rPr>
        <w:t xml:space="preserve">  </w:t>
      </w:r>
      <w:r>
        <w:t>评分项</w:t>
      </w:r>
      <w:bookmarkEnd w:id="51"/>
    </w:p>
    <w:p>
      <w:pPr>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1  </w:t>
      </w:r>
      <w:r>
        <w:rPr>
          <w:rFonts w:ascii="宋体" w:hAnsi="宋体" w:eastAsia="宋体"/>
          <w:sz w:val="24"/>
          <w:szCs w:val="24"/>
        </w:rPr>
        <w:t>采取有效、可靠的轨道减振措施避免环境敏感点振动超标，评价总分值为</w:t>
      </w:r>
      <w:r>
        <w:rPr>
          <w:rFonts w:hint="eastAsia" w:ascii="宋体" w:hAnsi="宋体" w:eastAsia="宋体"/>
          <w:sz w:val="24"/>
          <w:szCs w:val="24"/>
        </w:rPr>
        <w:t>12</w:t>
      </w:r>
      <w:r>
        <w:rPr>
          <w:rFonts w:ascii="宋体" w:hAnsi="宋体" w:eastAsia="宋体"/>
          <w:sz w:val="24"/>
          <w:szCs w:val="24"/>
        </w:rPr>
        <w:t>分，并按下列规则分别评分并累计：</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正线减振轨道类型不超过4种，得</w:t>
      </w:r>
      <w:r>
        <w:rPr>
          <w:rFonts w:hint="eastAsia" w:ascii="宋体" w:hAnsi="宋体" w:eastAsia="宋体"/>
          <w:sz w:val="24"/>
          <w:szCs w:val="24"/>
        </w:rPr>
        <w:t>3</w:t>
      </w:r>
      <w:r>
        <w:rPr>
          <w:rFonts w:ascii="宋体" w:hAnsi="宋体" w:eastAsia="宋体"/>
          <w:sz w:val="24"/>
          <w:szCs w:val="24"/>
        </w:rPr>
        <w:t>分；</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减振性能预留不少于2dB的富裕量，得</w:t>
      </w:r>
      <w:r>
        <w:rPr>
          <w:rFonts w:hint="eastAsia" w:ascii="宋体" w:hAnsi="宋体" w:eastAsia="宋体"/>
          <w:sz w:val="24"/>
          <w:szCs w:val="24"/>
        </w:rPr>
        <w:t>6</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高架桥梁设置声屏障地段采用了</w:t>
      </w:r>
      <w:r>
        <w:rPr>
          <w:rFonts w:hint="eastAsia" w:asciiTheme="minorEastAsia" w:hAnsiTheme="minorEastAsia"/>
          <w:sz w:val="24"/>
          <w:szCs w:val="24"/>
        </w:rPr>
        <w:t>轨道道床减振或轨枕</w:t>
      </w:r>
      <w:r>
        <w:rPr>
          <w:rFonts w:ascii="宋体" w:hAnsi="宋体" w:eastAsia="宋体"/>
          <w:sz w:val="24"/>
          <w:szCs w:val="24"/>
        </w:rPr>
        <w:t>减振措施，得</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2  </w:t>
      </w:r>
      <w:r>
        <w:rPr>
          <w:rFonts w:hint="eastAsia" w:ascii="宋体" w:hAnsi="宋体" w:eastAsia="宋体"/>
          <w:sz w:val="24"/>
          <w:szCs w:val="24"/>
        </w:rPr>
        <w:t>地面及高架线路采取措施减少对周围的影响，评分总分值为10分，按下列规则分别评分并累计：</w:t>
      </w:r>
    </w:p>
    <w:p>
      <w:pPr>
        <w:adjustRightInd w:val="0"/>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1  高架线路平面位于道路红线内长度大于高架段长度的60％，得2分，大于80%，得4分；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地面及高架线列车沿线存在声环境保护目标，采取了声屏障措施降噪后优于《声环境质量标准》GB3096规定的，每降低1dB得1分，最高不超过6分。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3  </w:t>
      </w:r>
      <w:r>
        <w:rPr>
          <w:rFonts w:hint="eastAsia" w:ascii="宋体" w:hAnsi="宋体" w:eastAsia="宋体"/>
          <w:sz w:val="24"/>
          <w:szCs w:val="24"/>
        </w:rPr>
        <w:t>地面车站、车辆基地采取措施降低热岛强度，评分总分值为8分，按下列规则分别评分并累计：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场地中处于建筑阴影区外的步道、游憩场、庭院、广场等室外活动场地设有乔木、花架等遮阴措施的面积比例达到10%，得2分；达到20%，得2分；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场地中处于建筑阴影区外的机动车道，路面太阳辐射反射系数不小于0.4或设有遮阴面积较大的行道树的路段长度超过70%，得3分；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屋顶的绿化面积、太阳能板水平投影面积以及太阳辐射反射系数不小于0.4的屋面面积合计达到75%，得3分。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4  </w:t>
      </w:r>
      <w:r>
        <w:rPr>
          <w:rFonts w:hint="eastAsia" w:ascii="宋体" w:hAnsi="宋体" w:eastAsia="宋体"/>
          <w:sz w:val="24"/>
          <w:szCs w:val="24"/>
        </w:rPr>
        <w:t>车站地面附属建筑通过合理布局，与周边环境协调统一目的，提升地面附属景观，评价总分值为10分，按下列规则分别评分并累计：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地铁出入口建筑及设施布局综合考虑车站周边既有建筑和规划条件，合理布置出入口、风亭、冷却塔等设施的布局，与周边环境协调统一，有序布置，得3分；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地面建筑的风格、色彩相互统一，与城市景观相协调，造型简洁、明快，体量小，减少对城市景观的影响，得2分；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地铁出入口建筑及设施布局满足乘客步行流线的通畅，合理布置非机动车位置，得2分；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车站周边设置便民休闲绿化设施，得3分。</w:t>
      </w:r>
    </w:p>
    <w:p>
      <w:pPr>
        <w:adjustRightInd w:val="0"/>
        <w:snapToGrid w:val="0"/>
        <w:spacing w:line="360" w:lineRule="auto"/>
        <w:jc w:val="left"/>
        <w:rPr>
          <w:rFonts w:ascii="宋体" w:hAnsi="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5  </w:t>
      </w:r>
      <w:r>
        <w:rPr>
          <w:rFonts w:hint="eastAsia" w:ascii="宋体" w:hAnsi="宋体"/>
          <w:sz w:val="24"/>
          <w:szCs w:val="24"/>
        </w:rPr>
        <w:t>地面车站及基地采用适宜地区特色的建筑风貌设计，因地制宜传承地域建筑文化，评价总分值为7分，并按下列规则分别评分并累计：</w:t>
      </w:r>
    </w:p>
    <w:p>
      <w:pPr>
        <w:spacing w:line="360" w:lineRule="auto"/>
        <w:ind w:firstLine="482" w:firstLineChars="20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采用具有地区特色的建筑设计原则和手法，得2分；</w:t>
      </w:r>
    </w:p>
    <w:p>
      <w:pPr>
        <w:spacing w:line="360" w:lineRule="auto"/>
        <w:ind w:firstLine="482" w:firstLineChars="200"/>
        <w:jc w:val="left"/>
        <w:rPr>
          <w:rFonts w:ascii="宋体" w:hAnsi="宋体"/>
          <w:sz w:val="24"/>
          <w:szCs w:val="24"/>
        </w:rPr>
      </w:pPr>
      <w:r>
        <w:rPr>
          <w:rFonts w:hint="eastAsia" w:ascii="宋体" w:hAnsi="宋体"/>
          <w:b/>
          <w:sz w:val="24"/>
          <w:szCs w:val="24"/>
        </w:rPr>
        <w:t>2</w:t>
      </w:r>
      <w:r>
        <w:rPr>
          <w:rFonts w:hint="eastAsia" w:ascii="宋体" w:hAnsi="宋体"/>
          <w:sz w:val="24"/>
          <w:szCs w:val="24"/>
        </w:rPr>
        <w:t xml:space="preserve">  为传承传统建筑风貌，让建筑能更好地体现地域传统建筑特色，得2分；</w:t>
      </w:r>
    </w:p>
    <w:p>
      <w:pPr>
        <w:adjustRightInd w:val="0"/>
        <w:snapToGrid w:val="0"/>
        <w:spacing w:line="360" w:lineRule="auto"/>
        <w:ind w:firstLine="482" w:firstLineChars="200"/>
        <w:jc w:val="left"/>
        <w:rPr>
          <w:rFonts w:ascii="宋体" w:hAnsi="宋体"/>
          <w:sz w:val="24"/>
          <w:szCs w:val="24"/>
        </w:rPr>
      </w:pPr>
      <w:r>
        <w:rPr>
          <w:rFonts w:hint="eastAsia" w:ascii="宋体" w:hAnsi="宋体"/>
          <w:b/>
          <w:sz w:val="24"/>
          <w:szCs w:val="24"/>
        </w:rPr>
        <w:t>3</w:t>
      </w:r>
      <w:r>
        <w:rPr>
          <w:rFonts w:hint="eastAsia" w:ascii="宋体" w:hAnsi="宋体"/>
          <w:sz w:val="24"/>
          <w:szCs w:val="24"/>
        </w:rPr>
        <w:t xml:space="preserve">  采用适度的保护利用措施，避免对历史建筑价值和特征要素的损伤和改变，得3分。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6  </w:t>
      </w:r>
      <w:r>
        <w:rPr>
          <w:rFonts w:hint="eastAsia" w:ascii="宋体" w:hAnsi="宋体" w:eastAsia="宋体"/>
          <w:sz w:val="24"/>
          <w:szCs w:val="24"/>
        </w:rPr>
        <w:t>车辆基地建筑及照明设计避免产生光污染，评价总分值为8分，并按下列规则分别评分并累计：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玻璃幕墙可见光反射比不大于0.2，得2分；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室外夜景照明光污染的限制符合现行行业标准《城市夜景照明设计规范》JGJ/T163的规定，得6分。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7  </w:t>
      </w:r>
      <w:r>
        <w:rPr>
          <w:rFonts w:hint="eastAsia" w:ascii="宋体" w:hAnsi="宋体" w:eastAsia="宋体"/>
          <w:sz w:val="24"/>
          <w:szCs w:val="24"/>
        </w:rPr>
        <w:t>车站制冷系统制冷剂无毒、不燃，环境友好，评价分值为7分。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8  </w:t>
      </w:r>
      <w:r>
        <w:rPr>
          <w:rFonts w:hint="eastAsia" w:ascii="宋体" w:hAnsi="宋体" w:eastAsia="宋体"/>
          <w:sz w:val="24"/>
          <w:szCs w:val="24"/>
        </w:rPr>
        <w:t>地面的通风空调设备避免环境污染、提高绿化、降低噪声、减小振动，评价总分值为10分，并按下列规则分别评分并累计：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冷却塔、风亭噪声优于国家现行标准《声环境质量标准》GB3096中噪声限值规定，对应标准每降低3dB，得1分，最多得2分；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冷却塔、风亭距离敏感建筑物的噪声防护距离优于国家现行标准《地铁设计规范》GB 50117中的规定，对应距离每大于10m的，得1分，最多得2分；</w:t>
      </w:r>
      <w:r>
        <w:rPr>
          <w:rFonts w:ascii="宋体" w:hAnsi="宋体" w:eastAsia="宋体"/>
          <w:sz w:val="24"/>
          <w:szCs w:val="24"/>
        </w:rPr>
        <w:t xml:space="preserve"> </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冷却塔噪声达到现行国家标准《机械通风冷却塔 第1部分:中小型开式冷却塔》GB/T7190的I级标准，</w:t>
      </w:r>
      <w:r>
        <w:rPr>
          <w:rFonts w:hint="eastAsia" w:ascii="宋体" w:hAnsi="宋体" w:eastAsia="宋体"/>
          <w:sz w:val="24"/>
          <w:szCs w:val="24"/>
        </w:rPr>
        <w:t>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风机、水泵、冷水机组及冷却塔等设备的振动优于国家现行标准《隔振设计规范》GB 50463的要求，得2分;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5</w:t>
      </w:r>
      <w:r>
        <w:rPr>
          <w:rFonts w:hint="eastAsia" w:ascii="宋体" w:hAnsi="宋体" w:eastAsia="宋体"/>
          <w:sz w:val="24"/>
          <w:szCs w:val="24"/>
        </w:rPr>
        <w:t xml:space="preserve">  当采用高风亭时，设置于路边风亭口部高度满足大于2.5m，当采用敞口风亭时，四周布置有不小于3m宽度的绿篱，得2分。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9  </w:t>
      </w:r>
      <w:r>
        <w:rPr>
          <w:rFonts w:hint="eastAsia" w:ascii="宋体" w:hAnsi="宋体" w:eastAsia="宋体"/>
          <w:sz w:val="24"/>
          <w:szCs w:val="24"/>
        </w:rPr>
        <w:t>直流牵引供电系统的回流系统采取整体杂散电流腐蚀防护措施，减少对轨道交通外部设备设施的影响。线路运行后，对管道直流干扰实测，当管道任意点管地电位较自然电位正向偏移小于100mV，或管道附近（管道拟经路由两侧各20m范围内）的土壤电位梯度小于2.5mV/m，评分值为3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8.2.10  </w:t>
      </w:r>
      <w:r>
        <w:rPr>
          <w:rFonts w:hint="eastAsia" w:ascii="宋体" w:hAnsi="宋体" w:eastAsia="宋体"/>
          <w:sz w:val="24"/>
          <w:szCs w:val="24"/>
        </w:rPr>
        <w:t>交流牵引供电制式线路对沿线管线的交流干扰进行仿真和实测以论证和判定对管线的交流干扰程度。管道涂层电压仿真计算值或实测值小于4V,或者大于4V,但交流电流密度</w:t>
      </w:r>
      <w:r>
        <w:rPr>
          <w:rFonts w:hint="eastAsia" w:ascii="宋体" w:hAnsi="宋体" w:eastAsia="宋体"/>
          <w:sz w:val="24"/>
          <w:szCs w:val="24"/>
          <w:lang w:eastAsia="zh-CN"/>
        </w:rPr>
        <w:t>小于</w:t>
      </w:r>
      <w:r>
        <w:rPr>
          <w:rFonts w:hint="eastAsia" w:ascii="宋体" w:hAnsi="宋体" w:eastAsia="宋体"/>
          <w:sz w:val="24"/>
          <w:szCs w:val="24"/>
        </w:rPr>
        <w:t>30A/m2时，认为对管线交流干扰程度弱，评价分值为2分。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8.2.11  </w:t>
      </w:r>
      <w:r>
        <w:rPr>
          <w:rFonts w:hint="eastAsia" w:ascii="宋体" w:hAnsi="宋体" w:eastAsia="宋体"/>
          <w:sz w:val="24"/>
          <w:szCs w:val="24"/>
        </w:rPr>
        <w:t>车</w:t>
      </w:r>
      <w:r>
        <w:rPr>
          <w:rFonts w:ascii="宋体" w:hAnsi="宋体" w:eastAsia="宋体"/>
          <w:sz w:val="24"/>
          <w:szCs w:val="24"/>
        </w:rPr>
        <w:t>辆基地工艺设备动力采用</w:t>
      </w:r>
      <w:r>
        <w:rPr>
          <w:rFonts w:hint="eastAsia" w:ascii="宋体" w:hAnsi="宋体" w:eastAsia="宋体"/>
          <w:sz w:val="24"/>
          <w:szCs w:val="24"/>
        </w:rPr>
        <w:t>清洁能源</w:t>
      </w:r>
      <w:r>
        <w:rPr>
          <w:rFonts w:ascii="宋体" w:hAnsi="宋体" w:eastAsia="宋体"/>
          <w:sz w:val="24"/>
          <w:szCs w:val="24"/>
        </w:rPr>
        <w:t>，减少污染，评价总分值为</w:t>
      </w:r>
      <w:r>
        <w:rPr>
          <w:rFonts w:hint="eastAsia" w:ascii="宋体" w:hAnsi="宋体" w:eastAsia="宋体"/>
          <w:sz w:val="24"/>
          <w:szCs w:val="24"/>
        </w:rPr>
        <w:t>4</w:t>
      </w:r>
      <w:r>
        <w:rPr>
          <w:rFonts w:ascii="宋体" w:hAnsi="宋体" w:eastAsia="宋体"/>
          <w:sz w:val="24"/>
          <w:szCs w:val="24"/>
        </w:rPr>
        <w:t>分，并按下列规则评分：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采用内燃机为动力的工程车不大于2列</w:t>
      </w:r>
      <w:r>
        <w:rPr>
          <w:rFonts w:ascii="宋体" w:hAnsi="宋体" w:eastAsia="宋体"/>
          <w:sz w:val="24"/>
          <w:szCs w:val="24"/>
        </w:rPr>
        <w:t>，其余车辆基地内使用的工艺设备均采用</w:t>
      </w:r>
      <w:r>
        <w:rPr>
          <w:rFonts w:hint="eastAsia" w:ascii="宋体" w:hAnsi="宋体" w:eastAsia="宋体"/>
          <w:sz w:val="24"/>
          <w:szCs w:val="24"/>
        </w:rPr>
        <w:t>清洁能源</w:t>
      </w:r>
      <w:r>
        <w:rPr>
          <w:rFonts w:ascii="宋体" w:hAnsi="宋体" w:eastAsia="宋体"/>
          <w:sz w:val="24"/>
          <w:szCs w:val="24"/>
        </w:rPr>
        <w:t>为动力，得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所有车辆基地内工艺设备均采用清洁能源为动力</w:t>
      </w:r>
      <w:r>
        <w:rPr>
          <w:rFonts w:ascii="宋体" w:hAnsi="宋体" w:eastAsia="宋体"/>
          <w:sz w:val="24"/>
          <w:szCs w:val="24"/>
        </w:rPr>
        <w:t>，得</w:t>
      </w:r>
      <w:r>
        <w:rPr>
          <w:rFonts w:hint="eastAsia" w:ascii="宋体" w:hAnsi="宋体" w:eastAsia="宋体"/>
          <w:sz w:val="24"/>
          <w:szCs w:val="24"/>
        </w:rPr>
        <w:t>4</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12  </w:t>
      </w:r>
      <w:r>
        <w:rPr>
          <w:rFonts w:hint="eastAsia" w:ascii="宋体" w:hAnsi="宋体" w:eastAsia="宋体"/>
          <w:sz w:val="24"/>
          <w:szCs w:val="24"/>
        </w:rPr>
        <w:t>车</w:t>
      </w:r>
      <w:r>
        <w:rPr>
          <w:rFonts w:ascii="宋体" w:hAnsi="宋体" w:eastAsia="宋体"/>
          <w:sz w:val="24"/>
          <w:szCs w:val="24"/>
        </w:rPr>
        <w:t>辆基地车辆检修所用涂装方式，评价总分值为</w:t>
      </w:r>
      <w:r>
        <w:rPr>
          <w:rFonts w:hint="eastAsia" w:ascii="宋体" w:hAnsi="宋体" w:eastAsia="宋体"/>
          <w:sz w:val="24"/>
          <w:szCs w:val="24"/>
        </w:rPr>
        <w:t>3</w:t>
      </w:r>
      <w:r>
        <w:rPr>
          <w:rFonts w:ascii="宋体" w:hAnsi="宋体" w:eastAsia="宋体"/>
          <w:sz w:val="24"/>
          <w:szCs w:val="24"/>
        </w:rPr>
        <w:t>分，并按下列规则评分：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转向架和车体涂装采用水性漆或贴膜的方式</w:t>
      </w:r>
      <w:r>
        <w:rPr>
          <w:rFonts w:ascii="宋体" w:hAnsi="宋体" w:eastAsia="宋体"/>
          <w:sz w:val="24"/>
          <w:szCs w:val="24"/>
        </w:rPr>
        <w:t>，得</w:t>
      </w:r>
      <w:r>
        <w:rPr>
          <w:rFonts w:hint="eastAsia" w:ascii="宋体" w:hAnsi="宋体" w:eastAsia="宋体"/>
          <w:sz w:val="24"/>
          <w:szCs w:val="24"/>
        </w:rPr>
        <w:t>1</w:t>
      </w:r>
      <w:r>
        <w:rPr>
          <w:rFonts w:ascii="宋体" w:hAnsi="宋体" w:eastAsia="宋体"/>
          <w:sz w:val="24"/>
          <w:szCs w:val="24"/>
        </w:rPr>
        <w:t>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无油性漆涂装区域</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8</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13  </w:t>
      </w:r>
      <w:r>
        <w:rPr>
          <w:rFonts w:ascii="宋体" w:hAnsi="宋体" w:eastAsia="宋体"/>
          <w:sz w:val="24"/>
          <w:szCs w:val="24"/>
        </w:rPr>
        <w:t>车辆基地内</w:t>
      </w:r>
      <w:r>
        <w:rPr>
          <w:rFonts w:hint="eastAsia" w:ascii="宋体" w:hAnsi="宋体" w:eastAsia="宋体"/>
          <w:sz w:val="24"/>
          <w:szCs w:val="24"/>
        </w:rPr>
        <w:t>工业建筑噪声控制限值满足《工业企业噪声控制设计规范》</w:t>
      </w:r>
      <w:r>
        <w:rPr>
          <w:rFonts w:ascii="宋体" w:hAnsi="宋体" w:eastAsia="宋体"/>
          <w:sz w:val="24"/>
          <w:szCs w:val="24"/>
        </w:rPr>
        <w:t>GB/T 50087相关要求，评价分值为</w:t>
      </w:r>
      <w:r>
        <w:rPr>
          <w:rFonts w:hint="eastAsia" w:ascii="宋体" w:hAnsi="宋体" w:eastAsia="宋体"/>
          <w:sz w:val="24"/>
          <w:szCs w:val="24"/>
        </w:rPr>
        <w:t>3分</w:t>
      </w:r>
      <w:r>
        <w:rPr>
          <w:rFonts w:ascii="宋体" w:hAnsi="宋体" w:eastAsia="宋体"/>
          <w:sz w:val="24"/>
          <w:szCs w:val="24"/>
        </w:rPr>
        <w:t>。</w:t>
      </w:r>
    </w:p>
    <w:p>
      <w:pPr>
        <w:adjustRightInd w:val="0"/>
        <w:snapToGrid w:val="0"/>
        <w:spacing w:line="360" w:lineRule="auto"/>
        <w:jc w:val="left"/>
        <w:rPr>
          <w:rFonts w:ascii="宋体" w:hAnsi="宋体" w:eastAsia="宋体" w:cs="Times New Roman"/>
          <w:sz w:val="24"/>
          <w:szCs w:val="24"/>
        </w:rPr>
      </w:pPr>
      <w:r>
        <w:rPr>
          <w:rFonts w:hint="eastAsia" w:ascii="宋体" w:hAnsi="宋体" w:eastAsia="宋体"/>
          <w:b/>
          <w:sz w:val="24"/>
          <w:szCs w:val="24"/>
        </w:rPr>
        <w:t>8</w:t>
      </w:r>
      <w:r>
        <w:rPr>
          <w:rFonts w:ascii="宋体" w:hAnsi="宋体" w:eastAsia="宋体"/>
          <w:b/>
          <w:sz w:val="24"/>
          <w:szCs w:val="24"/>
        </w:rPr>
        <w:t>.2.</w:t>
      </w:r>
      <w:r>
        <w:rPr>
          <w:rFonts w:hint="eastAsia" w:ascii="宋体" w:hAnsi="宋体" w:eastAsia="宋体"/>
          <w:b/>
          <w:sz w:val="24"/>
          <w:szCs w:val="24"/>
        </w:rPr>
        <w:t xml:space="preserve">14  </w:t>
      </w:r>
      <w:r>
        <w:rPr>
          <w:rFonts w:hint="eastAsia" w:ascii="宋体" w:hAnsi="宋体" w:eastAsia="宋体" w:cs="宋体"/>
          <w:sz w:val="24"/>
          <w:szCs w:val="24"/>
        </w:rPr>
        <w:t>基地合理规划场地雨水径流，采取措施控制场地年径流总量，减少径流污染，评价总分值为8分，并按下列规则分别评分并累计：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场地年径流总量控制率达</w:t>
      </w:r>
      <w:r>
        <w:rPr>
          <w:rFonts w:ascii="宋体" w:hAnsi="宋体" w:eastAsia="宋体"/>
          <w:sz w:val="24"/>
          <w:szCs w:val="24"/>
        </w:rPr>
        <w:t>65%</w:t>
      </w:r>
      <w:r>
        <w:rPr>
          <w:rFonts w:hint="eastAsia" w:ascii="宋体" w:hAnsi="宋体" w:eastAsia="宋体"/>
          <w:sz w:val="24"/>
          <w:szCs w:val="24"/>
        </w:rPr>
        <w:t>，得1分；场地年径流总量控制率达</w:t>
      </w:r>
      <w:r>
        <w:rPr>
          <w:rFonts w:ascii="宋体" w:hAnsi="宋体" w:eastAsia="宋体"/>
          <w:sz w:val="24"/>
          <w:szCs w:val="24"/>
        </w:rPr>
        <w:t>80%</w:t>
      </w:r>
      <w:r>
        <w:rPr>
          <w:rFonts w:hint="eastAsia" w:ascii="宋体" w:hAnsi="宋体" w:eastAsia="宋体"/>
          <w:sz w:val="24"/>
          <w:szCs w:val="24"/>
        </w:rPr>
        <w:t>，得2分；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xml:space="preserve"> </w:t>
      </w:r>
      <w:r>
        <w:rPr>
          <w:rFonts w:hint="eastAsia" w:ascii="宋体" w:hAnsi="宋体" w:eastAsia="宋体"/>
          <w:sz w:val="24"/>
          <w:szCs w:val="24"/>
        </w:rPr>
        <w:t xml:space="preserve"> 合理衔接和引导屋面雨水、场地雨水进入地面生态设施，并采取相应的径流污染控制措施，得2分；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设置具有调蓄雨水功能的绿地和水体，面积比例不低于</w:t>
      </w:r>
      <w:r>
        <w:rPr>
          <w:rFonts w:ascii="宋体" w:hAnsi="宋体" w:eastAsia="宋体"/>
          <w:sz w:val="24"/>
          <w:szCs w:val="24"/>
        </w:rPr>
        <w:t>30%</w:t>
      </w:r>
      <w:r>
        <w:rPr>
          <w:rFonts w:hint="eastAsia" w:ascii="宋体" w:hAnsi="宋体" w:eastAsia="宋体"/>
          <w:sz w:val="24"/>
          <w:szCs w:val="24"/>
        </w:rPr>
        <w:t>，得2分；</w:t>
      </w:r>
    </w:p>
    <w:p>
      <w:pPr>
        <w:adjustRightInd w:val="0"/>
        <w:snapToGrid w:val="0"/>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硬质铺装地面中透水铺装面积的比例达到</w:t>
      </w:r>
      <w:r>
        <w:rPr>
          <w:rFonts w:ascii="宋体" w:hAnsi="宋体" w:eastAsia="宋体"/>
          <w:sz w:val="24"/>
          <w:szCs w:val="24"/>
        </w:rPr>
        <w:t>30%</w:t>
      </w:r>
      <w:r>
        <w:rPr>
          <w:rFonts w:hint="eastAsia" w:ascii="宋体" w:hAnsi="宋体" w:eastAsia="宋体"/>
          <w:sz w:val="24"/>
          <w:szCs w:val="24"/>
        </w:rPr>
        <w:t>，得1分；</w:t>
      </w:r>
    </w:p>
    <w:p>
      <w:pPr>
        <w:adjustRightInd w:val="0"/>
        <w:snapToGrid w:val="0"/>
        <w:spacing w:line="360" w:lineRule="auto"/>
        <w:ind w:firstLine="482" w:firstLineChars="200"/>
        <w:jc w:val="left"/>
        <w:rPr>
          <w:rFonts w:hint="eastAsia" w:ascii="宋体" w:hAnsi="宋体" w:eastAsia="宋体"/>
          <w:sz w:val="24"/>
          <w:szCs w:val="24"/>
          <w:lang w:eastAsia="zh-CN"/>
        </w:rPr>
        <w:sectPr>
          <w:pgSz w:w="11906" w:h="16838"/>
          <w:pgMar w:top="1440" w:right="1797" w:bottom="1440" w:left="1797" w:header="851" w:footer="992" w:gutter="0"/>
          <w:cols w:space="425" w:num="1"/>
          <w:titlePg/>
          <w:docGrid w:type="lines" w:linePitch="312" w:charSpace="0"/>
        </w:sectPr>
      </w:pPr>
      <w:r>
        <w:rPr>
          <w:rFonts w:ascii="宋体" w:hAnsi="宋体" w:eastAsia="宋体"/>
          <w:b/>
          <w:sz w:val="24"/>
          <w:szCs w:val="24"/>
        </w:rPr>
        <w:t>5</w:t>
      </w:r>
      <w:r>
        <w:rPr>
          <w:rFonts w:ascii="宋体" w:hAnsi="宋体" w:eastAsia="宋体"/>
          <w:sz w:val="24"/>
          <w:szCs w:val="24"/>
        </w:rPr>
        <w:t xml:space="preserve"> </w:t>
      </w:r>
      <w:r>
        <w:rPr>
          <w:rFonts w:hint="eastAsia" w:ascii="宋体" w:hAnsi="宋体" w:eastAsia="宋体"/>
          <w:sz w:val="24"/>
          <w:szCs w:val="24"/>
        </w:rPr>
        <w:t xml:space="preserve"> 对进入景观水体的雨水利用生态设施消减径流污染，得1</w:t>
      </w:r>
      <w:bookmarkStart w:id="52" w:name="_Toc77584238"/>
      <w:r>
        <w:rPr>
          <w:rFonts w:hint="eastAsia" w:ascii="宋体" w:hAnsi="宋体" w:eastAsia="宋体"/>
          <w:sz w:val="24"/>
          <w:szCs w:val="24"/>
        </w:rPr>
        <w:t>分</w:t>
      </w:r>
      <w:r>
        <w:rPr>
          <w:rFonts w:hint="eastAsia" w:ascii="宋体" w:hAnsi="宋体" w:eastAsia="宋体"/>
          <w:sz w:val="24"/>
          <w:szCs w:val="24"/>
          <w:lang w:eastAsia="zh-CN"/>
        </w:rPr>
        <w:t>。</w:t>
      </w:r>
    </w:p>
    <w:p>
      <w:pPr>
        <w:pStyle w:val="2"/>
        <w:spacing w:before="624" w:after="624"/>
      </w:pPr>
      <w:r>
        <w:rPr>
          <w:rFonts w:hint="eastAsia"/>
        </w:rPr>
        <w:t xml:space="preserve">9 </w:t>
      </w:r>
      <w:r>
        <w:t xml:space="preserve"> 运营服务</w:t>
      </w:r>
    </w:p>
    <w:p>
      <w:pPr>
        <w:pStyle w:val="3"/>
        <w:spacing w:before="468" w:after="468"/>
      </w:pPr>
      <w:r>
        <w:rPr>
          <w:rFonts w:hint="eastAsia"/>
        </w:rPr>
        <w:t>9</w:t>
      </w:r>
      <w:r>
        <w:t>.1</w:t>
      </w:r>
      <w:r>
        <w:rPr>
          <w:rFonts w:hint="eastAsia"/>
        </w:rPr>
        <w:t xml:space="preserve">  </w:t>
      </w:r>
      <w:r>
        <w:t>控制项</w:t>
      </w:r>
    </w:p>
    <w:p>
      <w:pPr>
        <w:adjustRightInd w:val="0"/>
        <w:snapToGrid w:val="0"/>
        <w:spacing w:line="360" w:lineRule="auto"/>
        <w:jc w:val="left"/>
        <w:rPr>
          <w:rFonts w:ascii="宋体" w:hAnsi="宋体" w:eastAsia="宋体"/>
          <w:b/>
          <w:bCs/>
          <w:sz w:val="24"/>
          <w:szCs w:val="24"/>
        </w:rPr>
      </w:pPr>
      <w:r>
        <w:rPr>
          <w:rFonts w:hint="eastAsia" w:ascii="宋体" w:hAnsi="宋体" w:eastAsia="宋体"/>
          <w:b/>
          <w:bCs/>
          <w:sz w:val="24"/>
          <w:szCs w:val="24"/>
        </w:rPr>
        <w:t>9</w:t>
      </w:r>
      <w:r>
        <w:rPr>
          <w:rFonts w:ascii="宋体" w:hAnsi="宋体" w:eastAsia="宋体"/>
          <w:b/>
          <w:bCs/>
          <w:sz w:val="24"/>
          <w:szCs w:val="24"/>
        </w:rPr>
        <w:t>.1.</w:t>
      </w:r>
      <w:r>
        <w:rPr>
          <w:rFonts w:hint="eastAsia" w:ascii="宋体" w:hAnsi="宋体" w:eastAsia="宋体"/>
          <w:b/>
          <w:bCs/>
          <w:sz w:val="24"/>
          <w:szCs w:val="24"/>
        </w:rPr>
        <w:t xml:space="preserve">1  </w:t>
      </w:r>
      <w:r>
        <w:rPr>
          <w:rFonts w:hint="eastAsia" w:ascii="宋体" w:hAnsi="宋体" w:eastAsia="宋体"/>
          <w:sz w:val="24"/>
          <w:szCs w:val="24"/>
        </w:rPr>
        <w:t>运营管理单位应满足《城市轨道交通客运组织与服务管理办法》。</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 xml:space="preserve">9.1.2  </w:t>
      </w:r>
      <w:r>
        <w:rPr>
          <w:rFonts w:ascii="宋体" w:hAnsi="宋体" w:eastAsia="宋体"/>
          <w:sz w:val="24"/>
          <w:szCs w:val="24"/>
        </w:rPr>
        <w:t>车站应与周边地块做好空间一体化设计，明确对接要求和规划控制条件。</w:t>
      </w:r>
    </w:p>
    <w:p>
      <w:pPr>
        <w:adjustRightInd w:val="0"/>
        <w:snapToGrid w:val="0"/>
        <w:spacing w:line="360" w:lineRule="auto"/>
        <w:jc w:val="left"/>
        <w:rPr>
          <w:rFonts w:ascii="宋体" w:hAnsi="宋体" w:eastAsia="宋体" w:cs="Times New Roman"/>
          <w:b/>
          <w:bCs/>
          <w:sz w:val="24"/>
          <w:szCs w:val="24"/>
        </w:rPr>
      </w:pPr>
      <w:r>
        <w:rPr>
          <w:rFonts w:hint="eastAsia" w:ascii="宋体" w:hAnsi="宋体" w:eastAsia="宋体"/>
          <w:b/>
          <w:bCs/>
          <w:sz w:val="24"/>
          <w:szCs w:val="24"/>
        </w:rPr>
        <w:t xml:space="preserve">9.1.3  </w:t>
      </w:r>
      <w:r>
        <w:rPr>
          <w:rFonts w:hint="eastAsia" w:ascii="宋体" w:hAnsi="宋体" w:eastAsia="宋体" w:cs="Times New Roman"/>
          <w:sz w:val="24"/>
          <w:szCs w:val="24"/>
        </w:rPr>
        <w:t>车站内应设有完整的无障碍路线和无障碍设备设施，并应与站外其他交通系统相连接。</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9</w:t>
      </w:r>
      <w:r>
        <w:rPr>
          <w:rFonts w:ascii="宋体" w:hAnsi="宋体" w:eastAsia="宋体"/>
          <w:b/>
          <w:bCs/>
          <w:sz w:val="24"/>
          <w:szCs w:val="24"/>
        </w:rPr>
        <w:t>.1.</w:t>
      </w:r>
      <w:r>
        <w:rPr>
          <w:rFonts w:hint="eastAsia" w:ascii="宋体" w:hAnsi="宋体" w:eastAsia="宋体"/>
          <w:b/>
          <w:bCs/>
          <w:sz w:val="24"/>
          <w:szCs w:val="24"/>
        </w:rPr>
        <w:t xml:space="preserve">4  </w:t>
      </w:r>
      <w:r>
        <w:rPr>
          <w:rFonts w:hint="eastAsia" w:ascii="宋体" w:hAnsi="宋体" w:eastAsia="宋体"/>
          <w:sz w:val="24"/>
          <w:szCs w:val="24"/>
        </w:rPr>
        <w:t>车站</w:t>
      </w:r>
      <w:r>
        <w:rPr>
          <w:rFonts w:hint="eastAsia" w:ascii="宋体" w:hAnsi="宋体" w:eastAsia="宋体"/>
          <w:sz w:val="24"/>
          <w:szCs w:val="28"/>
        </w:rPr>
        <w:t>每个独立的付费区应至少设置一个无障碍通道，并采用双向宽通道自动检票机。</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9</w:t>
      </w:r>
      <w:r>
        <w:rPr>
          <w:rFonts w:ascii="宋体" w:hAnsi="宋体" w:eastAsia="宋体"/>
          <w:b/>
          <w:bCs/>
          <w:sz w:val="24"/>
          <w:szCs w:val="24"/>
        </w:rPr>
        <w:t>.1.</w:t>
      </w:r>
      <w:r>
        <w:rPr>
          <w:rFonts w:hint="eastAsia" w:ascii="宋体" w:hAnsi="宋体" w:eastAsia="宋体"/>
          <w:b/>
          <w:bCs/>
          <w:sz w:val="24"/>
          <w:szCs w:val="24"/>
        </w:rPr>
        <w:t xml:space="preserve">5  </w:t>
      </w:r>
      <w:r>
        <w:rPr>
          <w:rFonts w:ascii="宋体" w:hAnsi="宋体" w:eastAsia="宋体"/>
          <w:sz w:val="24"/>
          <w:szCs w:val="24"/>
        </w:rPr>
        <w:t>站台门滑动门的开度应满足不小于客室门净宽度+2倍停车精度。</w:t>
      </w:r>
    </w:p>
    <w:p/>
    <w:p>
      <w:pPr>
        <w:pStyle w:val="3"/>
        <w:spacing w:before="468" w:after="468"/>
      </w:pPr>
      <w:r>
        <w:rPr>
          <w:rFonts w:hint="eastAsia"/>
        </w:rPr>
        <w:t>9</w:t>
      </w:r>
      <w:r>
        <w:t>.2</w:t>
      </w:r>
      <w:r>
        <w:rPr>
          <w:rFonts w:hint="eastAsia"/>
        </w:rPr>
        <w:t xml:space="preserve"> </w:t>
      </w:r>
      <w:r>
        <w:t>评分项</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9</w:t>
      </w:r>
      <w:r>
        <w:rPr>
          <w:rFonts w:ascii="宋体" w:hAnsi="宋体" w:eastAsia="宋体"/>
          <w:b/>
          <w:bCs/>
          <w:sz w:val="24"/>
          <w:szCs w:val="24"/>
        </w:rPr>
        <w:t>.2.</w:t>
      </w:r>
      <w:r>
        <w:rPr>
          <w:rFonts w:hint="eastAsia" w:ascii="宋体" w:hAnsi="宋体" w:eastAsia="宋体"/>
          <w:b/>
          <w:bCs/>
          <w:sz w:val="24"/>
          <w:szCs w:val="24"/>
        </w:rPr>
        <w:t xml:space="preserve">1  </w:t>
      </w:r>
      <w:r>
        <w:rPr>
          <w:rFonts w:ascii="宋体" w:hAnsi="宋体" w:eastAsia="宋体"/>
          <w:sz w:val="24"/>
          <w:szCs w:val="24"/>
        </w:rPr>
        <w:t>车站客流流线、乘车环境舒适，评价总分值为</w:t>
      </w:r>
      <w:r>
        <w:rPr>
          <w:rFonts w:hint="eastAsia" w:ascii="宋体" w:hAnsi="宋体" w:eastAsia="宋体"/>
          <w:sz w:val="24"/>
          <w:szCs w:val="24"/>
        </w:rPr>
        <w:t>18</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在城市中心区</w:t>
      </w:r>
      <w:r>
        <w:rPr>
          <w:rFonts w:hint="eastAsia" w:ascii="宋体" w:hAnsi="宋体" w:eastAsia="宋体"/>
          <w:sz w:val="24"/>
          <w:szCs w:val="24"/>
        </w:rPr>
        <w:t>车站</w:t>
      </w:r>
      <w:r>
        <w:rPr>
          <w:rFonts w:ascii="宋体" w:hAnsi="宋体" w:eastAsia="宋体"/>
          <w:sz w:val="24"/>
          <w:szCs w:val="24"/>
        </w:rPr>
        <w:t>，</w:t>
      </w:r>
      <w:r>
        <w:rPr>
          <w:rFonts w:hint="eastAsia" w:ascii="宋体" w:hAnsi="宋体" w:eastAsia="宋体"/>
          <w:sz w:val="24"/>
          <w:szCs w:val="24"/>
        </w:rPr>
        <w:t>所有独立</w:t>
      </w:r>
      <w:r>
        <w:rPr>
          <w:rFonts w:ascii="宋体" w:hAnsi="宋体" w:eastAsia="宋体"/>
          <w:sz w:val="24"/>
          <w:szCs w:val="24"/>
        </w:rPr>
        <w:t>出入口均设置上下行自动扶梯，得</w:t>
      </w:r>
      <w:r>
        <w:rPr>
          <w:rFonts w:hint="eastAsia" w:ascii="宋体" w:hAnsi="宋体" w:eastAsia="宋体"/>
          <w:sz w:val="24"/>
          <w:szCs w:val="24"/>
        </w:rPr>
        <w:t>6</w:t>
      </w:r>
      <w:r>
        <w:rPr>
          <w:rFonts w:ascii="宋体" w:hAnsi="宋体" w:eastAsia="宋体"/>
          <w:sz w:val="24"/>
          <w:szCs w:val="24"/>
        </w:rPr>
        <w:t>分；在城市外围</w:t>
      </w:r>
      <w:r>
        <w:rPr>
          <w:rFonts w:hint="eastAsia" w:ascii="宋体" w:hAnsi="宋体" w:eastAsia="宋体"/>
          <w:sz w:val="24"/>
          <w:szCs w:val="24"/>
        </w:rPr>
        <w:t>车站</w:t>
      </w:r>
      <w:r>
        <w:rPr>
          <w:rFonts w:ascii="宋体" w:hAnsi="宋体" w:eastAsia="宋体"/>
          <w:sz w:val="24"/>
          <w:szCs w:val="24"/>
        </w:rPr>
        <w:t>，两处</w:t>
      </w:r>
      <w:r>
        <w:rPr>
          <w:rFonts w:hint="eastAsia" w:ascii="宋体" w:hAnsi="宋体" w:eastAsia="宋体"/>
          <w:sz w:val="24"/>
          <w:szCs w:val="24"/>
        </w:rPr>
        <w:t>及以上独立</w:t>
      </w:r>
      <w:r>
        <w:rPr>
          <w:rFonts w:ascii="宋体" w:hAnsi="宋体" w:eastAsia="宋体"/>
          <w:sz w:val="24"/>
          <w:szCs w:val="24"/>
        </w:rPr>
        <w:t>出入口设置上下行自动扶梯，得</w:t>
      </w:r>
      <w:r>
        <w:rPr>
          <w:rFonts w:hint="eastAsia" w:ascii="宋体" w:hAnsi="宋体" w:eastAsia="宋体"/>
          <w:sz w:val="24"/>
          <w:szCs w:val="24"/>
        </w:rPr>
        <w:t>6</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站厅至站台</w:t>
      </w:r>
      <w:r>
        <w:rPr>
          <w:rFonts w:hint="eastAsia" w:ascii="宋体" w:hAnsi="宋体" w:eastAsia="宋体"/>
          <w:sz w:val="24"/>
          <w:szCs w:val="24"/>
        </w:rPr>
        <w:t>有高差时，</w:t>
      </w:r>
      <w:r>
        <w:rPr>
          <w:rFonts w:ascii="宋体" w:hAnsi="宋体" w:eastAsia="宋体"/>
          <w:sz w:val="24"/>
          <w:szCs w:val="24"/>
        </w:rPr>
        <w:t>设置</w:t>
      </w:r>
      <w:r>
        <w:rPr>
          <w:rFonts w:hint="eastAsia" w:ascii="宋体" w:hAnsi="宋体" w:eastAsia="宋体"/>
          <w:sz w:val="24"/>
          <w:szCs w:val="24"/>
        </w:rPr>
        <w:t>一组上下行</w:t>
      </w:r>
      <w:r>
        <w:rPr>
          <w:rFonts w:ascii="宋体" w:hAnsi="宋体" w:eastAsia="宋体"/>
          <w:sz w:val="24"/>
          <w:szCs w:val="24"/>
        </w:rPr>
        <w:t>自动扶梯</w:t>
      </w:r>
      <w:r>
        <w:rPr>
          <w:rFonts w:hint="eastAsia" w:ascii="宋体" w:hAnsi="宋体" w:eastAsia="宋体"/>
          <w:sz w:val="24"/>
          <w:szCs w:val="24"/>
        </w:rPr>
        <w:t>得3分，设置</w:t>
      </w:r>
      <w:r>
        <w:rPr>
          <w:rFonts w:ascii="宋体" w:hAnsi="宋体" w:eastAsia="宋体"/>
          <w:sz w:val="24"/>
          <w:szCs w:val="24"/>
        </w:rPr>
        <w:t>两组</w:t>
      </w:r>
      <w:r>
        <w:rPr>
          <w:rFonts w:hint="eastAsia" w:ascii="宋体" w:hAnsi="宋体" w:eastAsia="宋体"/>
          <w:sz w:val="24"/>
          <w:szCs w:val="24"/>
        </w:rPr>
        <w:t>及以上上下</w:t>
      </w:r>
      <w:r>
        <w:rPr>
          <w:rFonts w:ascii="宋体" w:hAnsi="宋体" w:eastAsia="宋体"/>
          <w:sz w:val="24"/>
          <w:szCs w:val="24"/>
        </w:rPr>
        <w:t>行自动扶梯，得</w:t>
      </w:r>
      <w:r>
        <w:rPr>
          <w:rFonts w:hint="eastAsia" w:ascii="宋体" w:hAnsi="宋体" w:eastAsia="宋体"/>
          <w:sz w:val="24"/>
          <w:szCs w:val="24"/>
        </w:rPr>
        <w:t>4</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车站出入口满足无障碍过街需求，</w:t>
      </w:r>
      <w:r>
        <w:rPr>
          <w:rFonts w:ascii="宋体" w:hAnsi="宋体" w:eastAsia="宋体"/>
          <w:sz w:val="24"/>
          <w:szCs w:val="24"/>
        </w:rPr>
        <w:t>得</w:t>
      </w:r>
      <w:r>
        <w:rPr>
          <w:rFonts w:hint="eastAsia" w:ascii="宋体" w:hAnsi="宋体" w:eastAsia="宋体"/>
          <w:sz w:val="24"/>
          <w:szCs w:val="24"/>
        </w:rPr>
        <w:t>4</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xml:space="preserve">  </w:t>
      </w:r>
      <w:r>
        <w:rPr>
          <w:rFonts w:ascii="宋体" w:hAnsi="宋体" w:eastAsia="宋体"/>
          <w:sz w:val="24"/>
          <w:szCs w:val="24"/>
        </w:rPr>
        <w:t>进站安检客流与出站客流流线清晰，</w:t>
      </w:r>
      <w:r>
        <w:rPr>
          <w:rFonts w:hint="eastAsia" w:ascii="宋体" w:hAnsi="宋体" w:eastAsia="宋体"/>
          <w:sz w:val="24"/>
          <w:szCs w:val="24"/>
        </w:rPr>
        <w:t>无明显干扰</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留有单独的安检空间加1分得4分。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9</w:t>
      </w:r>
      <w:r>
        <w:rPr>
          <w:rFonts w:ascii="宋体" w:hAnsi="宋体" w:eastAsia="宋体"/>
          <w:b/>
          <w:bCs/>
          <w:sz w:val="24"/>
          <w:szCs w:val="24"/>
        </w:rPr>
        <w:t>.2.</w:t>
      </w:r>
      <w:r>
        <w:rPr>
          <w:rFonts w:hint="eastAsia" w:ascii="宋体" w:hAnsi="宋体" w:eastAsia="宋体"/>
          <w:b/>
          <w:bCs/>
          <w:sz w:val="24"/>
          <w:szCs w:val="24"/>
        </w:rPr>
        <w:t xml:space="preserve">2  </w:t>
      </w:r>
      <w:r>
        <w:rPr>
          <w:rFonts w:ascii="宋体" w:hAnsi="宋体" w:eastAsia="宋体"/>
          <w:sz w:val="24"/>
          <w:szCs w:val="24"/>
        </w:rPr>
        <w:t>车站内卫生间、第三卫生间及母婴室的设置标准，评分总分值为</w:t>
      </w:r>
      <w:r>
        <w:rPr>
          <w:rFonts w:hint="eastAsia" w:ascii="宋体" w:hAnsi="宋体" w:eastAsia="宋体"/>
          <w:sz w:val="24"/>
          <w:szCs w:val="24"/>
        </w:rPr>
        <w:t>18</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车站设置独立的乘客使用卫生间得5分。如果</w:t>
      </w:r>
      <w:r>
        <w:rPr>
          <w:rFonts w:ascii="宋体" w:hAnsi="宋体" w:eastAsia="宋体"/>
          <w:sz w:val="24"/>
          <w:szCs w:val="24"/>
        </w:rPr>
        <w:t>女厕位与男厕位（含小便站位）的比例不小于 1.5：1，</w:t>
      </w:r>
      <w:r>
        <w:rPr>
          <w:rFonts w:hint="eastAsia" w:ascii="宋体" w:hAnsi="宋体" w:eastAsia="宋体"/>
          <w:sz w:val="24"/>
          <w:szCs w:val="24"/>
        </w:rPr>
        <w:t>可加1分</w:t>
      </w:r>
      <w:r>
        <w:rPr>
          <w:rFonts w:ascii="宋体" w:hAnsi="宋体" w:eastAsia="宋体"/>
          <w:sz w:val="24"/>
          <w:szCs w:val="24"/>
        </w:rPr>
        <w:t>得</w:t>
      </w:r>
      <w:r>
        <w:rPr>
          <w:rFonts w:hint="eastAsia" w:ascii="宋体" w:hAnsi="宋体" w:eastAsia="宋体"/>
          <w:sz w:val="24"/>
          <w:szCs w:val="24"/>
        </w:rPr>
        <w:t>6</w:t>
      </w:r>
      <w:r>
        <w:rPr>
          <w:rFonts w:ascii="宋体" w:hAnsi="宋体" w:eastAsia="宋体"/>
          <w:sz w:val="24"/>
          <w:szCs w:val="24"/>
        </w:rPr>
        <w:t>分，</w:t>
      </w:r>
      <w:r>
        <w:rPr>
          <w:rFonts w:hint="eastAsia" w:ascii="宋体" w:hAnsi="宋体" w:eastAsia="宋体"/>
          <w:sz w:val="24"/>
          <w:szCs w:val="24"/>
        </w:rPr>
        <w:t>如果厕位比例不小于2：1，可加1分得7分</w:t>
      </w:r>
      <w:r>
        <w:rPr>
          <w:rFonts w:ascii="宋体" w:hAnsi="宋体" w:eastAsia="宋体"/>
          <w:sz w:val="24"/>
          <w:szCs w:val="24"/>
        </w:rPr>
        <w:t>。</w:t>
      </w:r>
      <w:r>
        <w:rPr>
          <w:rFonts w:hint="eastAsia" w:ascii="宋体" w:hAnsi="宋体" w:eastAsia="宋体"/>
          <w:sz w:val="24"/>
          <w:szCs w:val="24"/>
        </w:rPr>
        <w:t>卫生间达到</w:t>
      </w:r>
      <w:r>
        <w:rPr>
          <w:rFonts w:hint="eastAsia" w:ascii="宋体" w:hAnsi="宋体"/>
          <w:sz w:val="24"/>
        </w:rPr>
        <w:t>附属式公共厕所</w:t>
      </w:r>
      <w:r>
        <w:rPr>
          <w:rFonts w:hint="eastAsia" w:ascii="宋体" w:hAnsi="宋体" w:eastAsia="宋体"/>
          <w:sz w:val="24"/>
          <w:szCs w:val="24"/>
        </w:rPr>
        <w:t>一类标准加2分得9分</w:t>
      </w:r>
      <w:r>
        <w:rPr>
          <w:rFonts w:ascii="宋体" w:hAnsi="宋体" w:eastAsia="宋体"/>
          <w:sz w:val="24"/>
          <w:szCs w:val="24"/>
        </w:rPr>
        <w:t>；</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 xml:space="preserve"> 与未设公共卫生间既有线换乘车站，在新建线站厅及站台均设置公共卫生间，得 </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xml:space="preserve"> </w:t>
      </w:r>
      <w:r>
        <w:rPr>
          <w:rFonts w:hint="eastAsia" w:ascii="宋体" w:hAnsi="宋体" w:eastAsia="宋体"/>
          <w:sz w:val="24"/>
          <w:szCs w:val="24"/>
        </w:rPr>
        <w:t xml:space="preserve"> 车站设置有</w:t>
      </w:r>
      <w:r>
        <w:rPr>
          <w:rFonts w:ascii="宋体" w:hAnsi="宋体" w:eastAsia="宋体"/>
          <w:sz w:val="24"/>
          <w:szCs w:val="24"/>
        </w:rPr>
        <w:t>第三卫生间，得</w:t>
      </w:r>
      <w:r>
        <w:rPr>
          <w:rFonts w:hint="eastAsia" w:ascii="宋体" w:hAnsi="宋体" w:eastAsia="宋体"/>
          <w:sz w:val="24"/>
          <w:szCs w:val="24"/>
        </w:rPr>
        <w:t>3</w:t>
      </w:r>
      <w:r>
        <w:rPr>
          <w:rFonts w:ascii="宋体" w:hAnsi="宋体" w:eastAsia="宋体"/>
          <w:sz w:val="24"/>
          <w:szCs w:val="24"/>
        </w:rPr>
        <w:t>分；</w:t>
      </w:r>
    </w:p>
    <w:p>
      <w:pPr>
        <w:pStyle w:val="24"/>
        <w:tabs>
          <w:tab w:val="left" w:pos="6545"/>
        </w:tabs>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xml:space="preserve">  </w:t>
      </w:r>
      <w:r>
        <w:rPr>
          <w:rFonts w:ascii="宋体" w:hAnsi="宋体" w:eastAsia="宋体"/>
          <w:sz w:val="24"/>
          <w:szCs w:val="24"/>
        </w:rPr>
        <w:t>车站设置</w:t>
      </w:r>
      <w:r>
        <w:rPr>
          <w:rFonts w:hint="eastAsia" w:ascii="宋体" w:hAnsi="宋体" w:eastAsia="宋体"/>
          <w:sz w:val="24"/>
          <w:szCs w:val="24"/>
        </w:rPr>
        <w:t>有</w:t>
      </w:r>
      <w:r>
        <w:rPr>
          <w:rFonts w:ascii="宋体" w:hAnsi="宋体" w:eastAsia="宋体"/>
          <w:sz w:val="24"/>
          <w:szCs w:val="24"/>
        </w:rPr>
        <w:t>独立母婴室，得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hint="eastAsia" w:ascii="宋体" w:hAnsi="宋体" w:eastAsia="宋体"/>
          <w:b/>
          <w:bCs/>
          <w:sz w:val="24"/>
          <w:szCs w:val="24"/>
        </w:rPr>
        <w:t>9</w:t>
      </w:r>
      <w:r>
        <w:rPr>
          <w:rFonts w:ascii="宋体" w:hAnsi="宋体" w:eastAsia="宋体"/>
          <w:b/>
          <w:bCs/>
          <w:sz w:val="24"/>
          <w:szCs w:val="24"/>
        </w:rPr>
        <w:t>.2.</w:t>
      </w:r>
      <w:r>
        <w:rPr>
          <w:rFonts w:hint="eastAsia" w:ascii="宋体" w:hAnsi="宋体" w:eastAsia="宋体"/>
          <w:b/>
          <w:bCs/>
          <w:sz w:val="24"/>
          <w:szCs w:val="24"/>
        </w:rPr>
        <w:t xml:space="preserve">3  </w:t>
      </w:r>
      <w:r>
        <w:rPr>
          <w:rFonts w:ascii="宋体" w:hAnsi="宋体" w:eastAsia="宋体"/>
          <w:sz w:val="24"/>
          <w:szCs w:val="24"/>
        </w:rPr>
        <w:t>车站进行合理的开发利用，评价总分值为</w:t>
      </w:r>
      <w:r>
        <w:rPr>
          <w:rFonts w:hint="eastAsia" w:ascii="宋体" w:hAnsi="宋体" w:eastAsia="宋体"/>
          <w:sz w:val="24"/>
          <w:szCs w:val="24"/>
        </w:rPr>
        <w:t>5</w:t>
      </w:r>
      <w:r>
        <w:rPr>
          <w:rFonts w:ascii="宋体" w:hAnsi="宋体" w:eastAsia="宋体"/>
          <w:sz w:val="24"/>
          <w:szCs w:val="24"/>
        </w:rPr>
        <w:t>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车站站内提供服务乘客的小型便民服务空间</w:t>
      </w:r>
      <w:r>
        <w:rPr>
          <w:rFonts w:hint="eastAsia" w:ascii="宋体" w:hAnsi="宋体" w:eastAsia="宋体"/>
          <w:sz w:val="24"/>
          <w:szCs w:val="24"/>
        </w:rPr>
        <w:t>得2分，提供</w:t>
      </w:r>
      <w:r>
        <w:rPr>
          <w:rFonts w:ascii="宋体" w:hAnsi="宋体" w:eastAsia="宋体"/>
          <w:sz w:val="24"/>
          <w:szCs w:val="24"/>
        </w:rPr>
        <w:t>必要急救设施，</w:t>
      </w:r>
      <w:r>
        <w:rPr>
          <w:rFonts w:hint="eastAsia" w:ascii="宋体" w:hAnsi="宋体" w:eastAsia="宋体"/>
          <w:sz w:val="24"/>
          <w:szCs w:val="24"/>
        </w:rPr>
        <w:t>加1分，</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p>
    <w:p>
      <w:pPr>
        <w:pStyle w:val="24"/>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利用车站配线区、附属外挂区、</w:t>
      </w:r>
      <w:r>
        <w:rPr>
          <w:rFonts w:hint="eastAsia" w:ascii="宋体" w:hAnsi="宋体" w:eastAsia="宋体"/>
          <w:sz w:val="24"/>
          <w:szCs w:val="24"/>
        </w:rPr>
        <w:t>结构预留层、高架线路桥下区域等空间，提供</w:t>
      </w:r>
      <w:r>
        <w:rPr>
          <w:rFonts w:ascii="宋体" w:hAnsi="宋体" w:eastAsia="宋体"/>
          <w:sz w:val="24"/>
          <w:szCs w:val="24"/>
        </w:rPr>
        <w:t>非</w:t>
      </w:r>
      <w:r>
        <w:rPr>
          <w:rFonts w:hint="eastAsia" w:ascii="宋体" w:hAnsi="宋体" w:eastAsia="宋体"/>
          <w:sz w:val="24"/>
          <w:szCs w:val="24"/>
        </w:rPr>
        <w:t>轨道交通基本服务</w:t>
      </w:r>
      <w:r>
        <w:rPr>
          <w:rFonts w:ascii="宋体" w:hAnsi="宋体" w:eastAsia="宋体"/>
          <w:sz w:val="24"/>
          <w:szCs w:val="24"/>
        </w:rPr>
        <w:t>功能区，得</w:t>
      </w:r>
      <w:r>
        <w:rPr>
          <w:rFonts w:hint="eastAsia" w:ascii="宋体" w:hAnsi="宋体" w:eastAsia="宋体"/>
          <w:sz w:val="24"/>
          <w:szCs w:val="24"/>
        </w:rPr>
        <w:t>2</w:t>
      </w:r>
      <w:r>
        <w:rPr>
          <w:rFonts w:ascii="宋体" w:hAnsi="宋体" w:eastAsia="宋体"/>
          <w:sz w:val="24"/>
          <w:szCs w:val="24"/>
        </w:rPr>
        <w:t>分。</w:t>
      </w:r>
    </w:p>
    <w:p>
      <w:pPr>
        <w:spacing w:line="360" w:lineRule="auto"/>
        <w:jc w:val="left"/>
        <w:rPr>
          <w:rFonts w:ascii="宋体" w:hAnsi="宋体"/>
          <w:sz w:val="24"/>
          <w:szCs w:val="24"/>
        </w:rPr>
      </w:pPr>
      <w:r>
        <w:rPr>
          <w:rFonts w:hint="eastAsia" w:ascii="宋体" w:hAnsi="宋体" w:eastAsia="宋体"/>
          <w:b/>
          <w:bCs/>
          <w:sz w:val="24"/>
          <w:szCs w:val="24"/>
        </w:rPr>
        <w:t xml:space="preserve">9.2.4  </w:t>
      </w:r>
      <w:r>
        <w:rPr>
          <w:rFonts w:hint="eastAsia" w:ascii="宋体" w:hAnsi="宋体"/>
          <w:sz w:val="24"/>
          <w:szCs w:val="24"/>
        </w:rPr>
        <w:t>站内设置完善的导向系统，评价总分值为18分，并按下列规则分别评分并累计：</w:t>
      </w:r>
    </w:p>
    <w:p>
      <w:pPr>
        <w:spacing w:line="360" w:lineRule="auto"/>
        <w:ind w:firstLine="480"/>
        <w:jc w:val="left"/>
        <w:rPr>
          <w:rFonts w:ascii="宋体" w:hAnsi="宋体"/>
          <w:sz w:val="24"/>
          <w:szCs w:val="24"/>
        </w:rPr>
      </w:pPr>
      <w:r>
        <w:rPr>
          <w:rFonts w:hint="eastAsia" w:ascii="宋体" w:hAnsi="宋体"/>
          <w:b/>
          <w:sz w:val="24"/>
          <w:szCs w:val="24"/>
        </w:rPr>
        <w:t>1</w:t>
      </w:r>
      <w:r>
        <w:rPr>
          <w:rFonts w:hint="eastAsia" w:ascii="宋体" w:hAnsi="宋体"/>
          <w:sz w:val="24"/>
          <w:szCs w:val="24"/>
        </w:rPr>
        <w:t xml:space="preserve">  车站内设有清晰显示周边综合信息地图、电子图等输入的指示牌，得4分；</w:t>
      </w:r>
    </w:p>
    <w:p>
      <w:pPr>
        <w:spacing w:line="360" w:lineRule="auto"/>
        <w:ind w:firstLine="480"/>
        <w:jc w:val="left"/>
        <w:rPr>
          <w:rFonts w:ascii="宋体" w:hAnsi="宋体"/>
          <w:sz w:val="24"/>
          <w:szCs w:val="24"/>
        </w:rPr>
      </w:pPr>
      <w:r>
        <w:rPr>
          <w:rFonts w:hint="eastAsia" w:ascii="宋体" w:hAnsi="宋体"/>
          <w:b/>
          <w:sz w:val="24"/>
          <w:szCs w:val="24"/>
        </w:rPr>
        <w:t>2</w:t>
      </w:r>
      <w:r>
        <w:rPr>
          <w:rFonts w:hint="eastAsia" w:ascii="宋体" w:hAnsi="宋体"/>
          <w:sz w:val="24"/>
          <w:szCs w:val="24"/>
        </w:rPr>
        <w:t xml:space="preserve">  车站内设有关于步行、非机动车、公共交通等绿色交通方式的导向系统，得5分；</w:t>
      </w:r>
    </w:p>
    <w:p>
      <w:pPr>
        <w:spacing w:line="360" w:lineRule="auto"/>
        <w:ind w:firstLine="480"/>
        <w:jc w:val="left"/>
        <w:rPr>
          <w:rFonts w:ascii="宋体" w:hAnsi="宋体"/>
          <w:sz w:val="24"/>
          <w:szCs w:val="24"/>
        </w:rPr>
      </w:pPr>
      <w:r>
        <w:rPr>
          <w:rFonts w:hint="eastAsia" w:ascii="宋体" w:hAnsi="宋体"/>
          <w:b/>
          <w:sz w:val="24"/>
          <w:szCs w:val="24"/>
        </w:rPr>
        <w:t>3</w:t>
      </w:r>
      <w:r>
        <w:rPr>
          <w:rFonts w:hint="eastAsia" w:ascii="宋体" w:hAnsi="宋体"/>
          <w:sz w:val="24"/>
          <w:szCs w:val="24"/>
        </w:rPr>
        <w:t xml:space="preserve">  站内导向标志清晰、连续，达到引导乘客的目的，得4分；</w:t>
      </w:r>
    </w:p>
    <w:p>
      <w:pPr>
        <w:spacing w:line="360" w:lineRule="auto"/>
        <w:ind w:firstLine="480"/>
        <w:jc w:val="left"/>
        <w:rPr>
          <w:rFonts w:ascii="宋体" w:hAnsi="宋体"/>
          <w:sz w:val="24"/>
          <w:szCs w:val="24"/>
        </w:rPr>
      </w:pPr>
      <w:r>
        <w:rPr>
          <w:rFonts w:hint="eastAsia" w:ascii="宋体" w:hAnsi="宋体"/>
          <w:b/>
          <w:sz w:val="24"/>
          <w:szCs w:val="24"/>
        </w:rPr>
        <w:t xml:space="preserve">4 </w:t>
      </w:r>
      <w:r>
        <w:rPr>
          <w:rFonts w:hint="eastAsia" w:ascii="宋体" w:hAnsi="宋体"/>
          <w:sz w:val="24"/>
          <w:szCs w:val="24"/>
        </w:rPr>
        <w:t xml:space="preserve"> 车站内设有与站外其他交通系统接驳的实时更新数字化信息系统，得5分。</w:t>
      </w:r>
    </w:p>
    <w:p>
      <w:pPr>
        <w:spacing w:line="312" w:lineRule="auto"/>
        <w:jc w:val="left"/>
        <w:rPr>
          <w:rFonts w:ascii="宋体" w:hAnsi="宋体"/>
          <w:sz w:val="24"/>
          <w:szCs w:val="24"/>
        </w:rPr>
      </w:pPr>
      <w:r>
        <w:rPr>
          <w:rFonts w:hint="eastAsia" w:ascii="宋体" w:hAnsi="宋体" w:eastAsia="宋体"/>
          <w:b/>
          <w:bCs/>
          <w:sz w:val="24"/>
          <w:szCs w:val="24"/>
        </w:rPr>
        <w:t xml:space="preserve">9.2.5  </w:t>
      </w:r>
      <w:r>
        <w:rPr>
          <w:rFonts w:hint="eastAsia" w:ascii="宋体" w:hAnsi="宋体"/>
          <w:sz w:val="24"/>
          <w:szCs w:val="24"/>
        </w:rPr>
        <w:t>车站提供导乘、问询、特殊、应急等便民服务，评价总分值为20分，并按下列规则分别评分并累计：</w:t>
      </w:r>
    </w:p>
    <w:p>
      <w:pPr>
        <w:spacing w:line="312" w:lineRule="auto"/>
        <w:jc w:val="left"/>
        <w:rPr>
          <w:rFonts w:ascii="宋体" w:hAnsi="宋体"/>
          <w:sz w:val="24"/>
          <w:szCs w:val="24"/>
        </w:rPr>
      </w:pPr>
      <w:r>
        <w:rPr>
          <w:rFonts w:hint="eastAsia" w:ascii="宋体" w:hAnsi="宋体"/>
          <w:sz w:val="24"/>
          <w:szCs w:val="24"/>
        </w:rPr>
        <w:t xml:space="preserve">     </w:t>
      </w:r>
      <w:r>
        <w:rPr>
          <w:rFonts w:hint="eastAsia" w:ascii="宋体" w:hAnsi="宋体"/>
          <w:b/>
          <w:sz w:val="24"/>
          <w:szCs w:val="24"/>
        </w:rPr>
        <w:t>1</w:t>
      </w:r>
      <w:r>
        <w:rPr>
          <w:rFonts w:hint="eastAsia" w:ascii="宋体" w:hAnsi="宋体"/>
          <w:sz w:val="24"/>
          <w:szCs w:val="24"/>
        </w:rPr>
        <w:t xml:space="preserve">  站务人员为乘客及时提供导乘、问询等帮助，得5分；</w:t>
      </w:r>
    </w:p>
    <w:p>
      <w:pPr>
        <w:spacing w:line="312" w:lineRule="auto"/>
        <w:jc w:val="left"/>
        <w:rPr>
          <w:rFonts w:ascii="宋体" w:hAnsi="宋体"/>
          <w:sz w:val="24"/>
          <w:szCs w:val="24"/>
        </w:rPr>
      </w:pPr>
      <w:r>
        <w:rPr>
          <w:rFonts w:hint="eastAsia" w:ascii="宋体" w:hAnsi="宋体"/>
          <w:sz w:val="24"/>
          <w:szCs w:val="24"/>
        </w:rPr>
        <w:t xml:space="preserve">     </w:t>
      </w:r>
      <w:r>
        <w:rPr>
          <w:rFonts w:hint="eastAsia" w:ascii="宋体" w:hAnsi="宋体"/>
          <w:b/>
          <w:sz w:val="24"/>
          <w:szCs w:val="24"/>
        </w:rPr>
        <w:t>2</w:t>
      </w:r>
      <w:r>
        <w:rPr>
          <w:rFonts w:hint="eastAsia" w:ascii="宋体" w:hAnsi="宋体"/>
          <w:sz w:val="24"/>
          <w:szCs w:val="24"/>
        </w:rPr>
        <w:t xml:space="preserve">  车站提供便民服务设施，得5分；</w:t>
      </w:r>
    </w:p>
    <w:p>
      <w:pPr>
        <w:spacing w:line="312" w:lineRule="auto"/>
        <w:jc w:val="left"/>
        <w:rPr>
          <w:rFonts w:ascii="宋体" w:hAnsi="宋体"/>
          <w:sz w:val="24"/>
          <w:szCs w:val="24"/>
        </w:rPr>
      </w:pPr>
      <w:r>
        <w:rPr>
          <w:rFonts w:hint="eastAsia" w:ascii="宋体" w:hAnsi="宋体"/>
          <w:sz w:val="24"/>
          <w:szCs w:val="24"/>
        </w:rPr>
        <w:t xml:space="preserve">     </w:t>
      </w:r>
      <w:r>
        <w:rPr>
          <w:rFonts w:hint="eastAsia" w:ascii="宋体" w:hAnsi="宋体"/>
          <w:b/>
          <w:sz w:val="24"/>
          <w:szCs w:val="24"/>
        </w:rPr>
        <w:t>3</w:t>
      </w:r>
      <w:r>
        <w:rPr>
          <w:rFonts w:hint="eastAsia" w:ascii="宋体" w:hAnsi="宋体"/>
          <w:sz w:val="24"/>
          <w:szCs w:val="24"/>
        </w:rPr>
        <w:t xml:space="preserve">  车站设置应急服务预案准备，得5分；</w:t>
      </w:r>
    </w:p>
    <w:p>
      <w:pPr>
        <w:spacing w:line="360" w:lineRule="auto"/>
        <w:ind w:firstLine="480"/>
        <w:jc w:val="left"/>
        <w:rPr>
          <w:rFonts w:ascii="宋体" w:hAnsi="宋体"/>
          <w:sz w:val="24"/>
          <w:szCs w:val="24"/>
        </w:rPr>
      </w:pPr>
      <w:r>
        <w:rPr>
          <w:rFonts w:hint="eastAsia" w:ascii="宋体" w:hAnsi="宋体"/>
          <w:sz w:val="24"/>
          <w:szCs w:val="24"/>
        </w:rPr>
        <w:t xml:space="preserve"> </w:t>
      </w:r>
      <w:r>
        <w:rPr>
          <w:rFonts w:hint="eastAsia" w:ascii="宋体" w:hAnsi="宋体"/>
          <w:b/>
          <w:sz w:val="24"/>
          <w:szCs w:val="24"/>
        </w:rPr>
        <w:t>4</w:t>
      </w:r>
      <w:r>
        <w:rPr>
          <w:rFonts w:hint="eastAsia" w:ascii="宋体" w:hAnsi="宋体"/>
          <w:sz w:val="24"/>
          <w:szCs w:val="24"/>
        </w:rPr>
        <w:t xml:space="preserve">  为残障等乘客提供必要服务，协助其顺利乘车，得5分。</w:t>
      </w:r>
    </w:p>
    <w:p>
      <w:pPr>
        <w:adjustRightInd w:val="0"/>
        <w:snapToGrid w:val="0"/>
        <w:spacing w:line="360" w:lineRule="auto"/>
        <w:jc w:val="left"/>
        <w:rPr>
          <w:rFonts w:ascii="宋体" w:hAnsi="宋体" w:eastAsia="宋体"/>
          <w:sz w:val="24"/>
          <w:szCs w:val="28"/>
        </w:rPr>
      </w:pPr>
      <w:r>
        <w:rPr>
          <w:rFonts w:hint="eastAsia" w:ascii="宋体" w:hAnsi="宋体" w:eastAsia="宋体"/>
          <w:b/>
          <w:bCs/>
          <w:sz w:val="24"/>
          <w:szCs w:val="24"/>
        </w:rPr>
        <w:t>9</w:t>
      </w:r>
      <w:r>
        <w:rPr>
          <w:rFonts w:ascii="宋体" w:hAnsi="宋体" w:eastAsia="宋体"/>
          <w:b/>
          <w:bCs/>
          <w:sz w:val="24"/>
          <w:szCs w:val="24"/>
        </w:rPr>
        <w:t>.2.</w:t>
      </w:r>
      <w:r>
        <w:rPr>
          <w:rFonts w:hint="eastAsia" w:ascii="宋体" w:hAnsi="宋体" w:eastAsia="宋体"/>
          <w:b/>
          <w:bCs/>
          <w:sz w:val="24"/>
          <w:szCs w:val="24"/>
        </w:rPr>
        <w:t xml:space="preserve">6  </w:t>
      </w:r>
      <w:r>
        <w:rPr>
          <w:rFonts w:ascii="宋体" w:hAnsi="宋体" w:eastAsia="宋体"/>
          <w:sz w:val="24"/>
          <w:szCs w:val="28"/>
        </w:rPr>
        <w:t>车站内残疾人卫生间等无障碍设施处设置</w:t>
      </w:r>
      <w:r>
        <w:rPr>
          <w:rFonts w:hint="eastAsia" w:ascii="宋体" w:hAnsi="宋体" w:eastAsia="宋体"/>
          <w:sz w:val="24"/>
          <w:szCs w:val="28"/>
        </w:rPr>
        <w:t>求助电话，</w:t>
      </w:r>
      <w:r>
        <w:rPr>
          <w:rFonts w:ascii="宋体" w:hAnsi="宋体" w:eastAsia="宋体"/>
          <w:sz w:val="24"/>
          <w:szCs w:val="24"/>
        </w:rPr>
        <w:t>评价分值为</w:t>
      </w:r>
      <w:r>
        <w:rPr>
          <w:rFonts w:hint="eastAsia" w:ascii="宋体" w:hAnsi="宋体" w:eastAsia="宋体"/>
          <w:sz w:val="24"/>
          <w:szCs w:val="28"/>
        </w:rPr>
        <w:t>5</w:t>
      </w:r>
      <w:r>
        <w:rPr>
          <w:rFonts w:ascii="宋体" w:hAnsi="宋体" w:eastAsia="宋体"/>
          <w:sz w:val="24"/>
          <w:szCs w:val="28"/>
        </w:rPr>
        <w:t>分。</w:t>
      </w:r>
    </w:p>
    <w:p>
      <w:pPr>
        <w:adjustRightInd w:val="0"/>
        <w:snapToGrid w:val="0"/>
        <w:spacing w:line="360" w:lineRule="auto"/>
        <w:rPr>
          <w:rFonts w:ascii="宋体" w:hAnsi="宋体" w:eastAsia="宋体"/>
          <w:sz w:val="24"/>
          <w:szCs w:val="28"/>
        </w:rPr>
      </w:pPr>
      <w:r>
        <w:rPr>
          <w:rFonts w:hint="eastAsia" w:ascii="宋体" w:hAnsi="宋体" w:eastAsia="宋体"/>
          <w:b/>
          <w:bCs/>
          <w:sz w:val="24"/>
          <w:szCs w:val="24"/>
        </w:rPr>
        <w:t xml:space="preserve">9.2.7  </w:t>
      </w:r>
      <w:r>
        <w:rPr>
          <w:rFonts w:ascii="宋体" w:hAnsi="宋体" w:eastAsia="宋体"/>
          <w:sz w:val="24"/>
          <w:szCs w:val="28"/>
        </w:rPr>
        <w:t>车站站厅站台均设置紧急求助按钮</w:t>
      </w:r>
      <w:r>
        <w:rPr>
          <w:rFonts w:hint="eastAsia" w:ascii="宋体" w:hAnsi="宋体" w:eastAsia="宋体"/>
          <w:sz w:val="24"/>
          <w:szCs w:val="28"/>
        </w:rPr>
        <w:t>及对讲设备或具备</w:t>
      </w:r>
      <w:r>
        <w:rPr>
          <w:rFonts w:ascii="宋体" w:hAnsi="宋体" w:eastAsia="宋体"/>
          <w:sz w:val="24"/>
          <w:szCs w:val="28"/>
        </w:rPr>
        <w:t>紧急求助按钮</w:t>
      </w:r>
      <w:r>
        <w:rPr>
          <w:rFonts w:hint="eastAsia" w:ascii="宋体" w:hAnsi="宋体" w:eastAsia="宋体"/>
          <w:sz w:val="24"/>
          <w:szCs w:val="28"/>
        </w:rPr>
        <w:t>及对讲功能的多媒体自助查询终端，</w:t>
      </w:r>
      <w:r>
        <w:rPr>
          <w:rFonts w:ascii="宋体" w:hAnsi="宋体" w:eastAsia="宋体"/>
          <w:sz w:val="24"/>
          <w:szCs w:val="24"/>
        </w:rPr>
        <w:t>评价分值为</w:t>
      </w:r>
      <w:r>
        <w:rPr>
          <w:rFonts w:hint="eastAsia" w:ascii="宋体" w:hAnsi="宋体" w:eastAsia="宋体"/>
          <w:sz w:val="24"/>
          <w:szCs w:val="28"/>
        </w:rPr>
        <w:t>6分</w:t>
      </w:r>
      <w:r>
        <w:rPr>
          <w:rFonts w:ascii="宋体" w:hAnsi="宋体" w:eastAsia="宋体"/>
          <w:sz w:val="24"/>
          <w:szCs w:val="24"/>
        </w:rPr>
        <w:t>。</w:t>
      </w:r>
    </w:p>
    <w:p>
      <w:pPr>
        <w:adjustRightInd w:val="0"/>
        <w:snapToGrid w:val="0"/>
        <w:spacing w:line="360" w:lineRule="auto"/>
        <w:rPr>
          <w:rFonts w:ascii="宋体" w:hAnsi="宋体" w:eastAsia="宋体"/>
          <w:sz w:val="24"/>
          <w:szCs w:val="28"/>
        </w:rPr>
      </w:pPr>
      <w:r>
        <w:rPr>
          <w:rFonts w:hint="eastAsia" w:ascii="宋体" w:hAnsi="宋体" w:eastAsia="宋体"/>
          <w:b/>
          <w:bCs/>
          <w:sz w:val="24"/>
          <w:szCs w:val="24"/>
        </w:rPr>
        <w:t>9</w:t>
      </w:r>
      <w:r>
        <w:rPr>
          <w:rFonts w:ascii="宋体" w:hAnsi="宋体" w:eastAsia="宋体"/>
          <w:b/>
          <w:bCs/>
          <w:sz w:val="24"/>
          <w:szCs w:val="24"/>
        </w:rPr>
        <w:t>.2.</w:t>
      </w:r>
      <w:r>
        <w:rPr>
          <w:rFonts w:hint="eastAsia" w:ascii="宋体" w:hAnsi="宋体" w:eastAsia="宋体"/>
          <w:b/>
          <w:bCs/>
          <w:sz w:val="24"/>
          <w:szCs w:val="24"/>
        </w:rPr>
        <w:t xml:space="preserve">8  </w:t>
      </w:r>
      <w:r>
        <w:rPr>
          <w:rFonts w:ascii="宋体" w:hAnsi="宋体" w:eastAsia="宋体"/>
          <w:sz w:val="24"/>
          <w:szCs w:val="28"/>
        </w:rPr>
        <w:t>车站自动检票设备除支持传统单程票、储值票进出站外，</w:t>
      </w:r>
      <w:r>
        <w:rPr>
          <w:rFonts w:hint="eastAsia" w:ascii="宋体" w:hAnsi="宋体" w:eastAsia="宋体"/>
          <w:sz w:val="24"/>
          <w:szCs w:val="28"/>
        </w:rPr>
        <w:t>还采用较为先进的技术提高检票过闸效率及体验，评价总分值为20分，</w:t>
      </w:r>
      <w:r>
        <w:rPr>
          <w:rFonts w:ascii="宋体" w:hAnsi="宋体" w:eastAsia="宋体"/>
          <w:sz w:val="24"/>
          <w:szCs w:val="24"/>
        </w:rPr>
        <w:t>并按下列规则分别评分并累计</w:t>
      </w:r>
      <w:r>
        <w:rPr>
          <w:rFonts w:hint="eastAsia" w:ascii="宋体" w:hAnsi="宋体" w:eastAsia="宋体"/>
          <w:sz w:val="24"/>
          <w:szCs w:val="28"/>
        </w:rPr>
        <w:t>：</w:t>
      </w:r>
    </w:p>
    <w:p>
      <w:pPr>
        <w:adjustRightInd w:val="0"/>
        <w:snapToGrid w:val="0"/>
        <w:spacing w:line="360" w:lineRule="auto"/>
        <w:ind w:firstLine="482" w:firstLineChars="200"/>
        <w:rPr>
          <w:rFonts w:ascii="宋体" w:hAnsi="宋体" w:eastAsia="宋体"/>
          <w:sz w:val="24"/>
          <w:szCs w:val="28"/>
        </w:rPr>
      </w:pPr>
      <w:r>
        <w:rPr>
          <w:rFonts w:hint="eastAsia" w:ascii="宋体" w:hAnsi="宋体" w:eastAsia="宋体"/>
          <w:b/>
          <w:sz w:val="24"/>
          <w:szCs w:val="28"/>
        </w:rPr>
        <w:t>1</w:t>
      </w:r>
      <w:r>
        <w:rPr>
          <w:rFonts w:hint="eastAsia" w:ascii="宋体" w:hAnsi="宋体" w:eastAsia="宋体"/>
          <w:sz w:val="24"/>
          <w:szCs w:val="28"/>
        </w:rPr>
        <w:t xml:space="preserve">  支持二维码</w:t>
      </w:r>
      <w:r>
        <w:rPr>
          <w:rFonts w:ascii="宋体" w:hAnsi="宋体" w:eastAsia="宋体"/>
          <w:sz w:val="24"/>
          <w:szCs w:val="28"/>
        </w:rPr>
        <w:t>支付</w:t>
      </w:r>
      <w:r>
        <w:rPr>
          <w:rFonts w:hint="eastAsia" w:ascii="宋体" w:hAnsi="宋体" w:eastAsia="宋体"/>
          <w:sz w:val="24"/>
          <w:szCs w:val="28"/>
        </w:rPr>
        <w:t>，</w:t>
      </w:r>
      <w:r>
        <w:rPr>
          <w:rFonts w:hint="eastAsia" w:ascii="宋体" w:hAnsi="宋体" w:eastAsia="宋体"/>
          <w:sz w:val="24"/>
          <w:szCs w:val="24"/>
        </w:rPr>
        <w:t>得</w:t>
      </w:r>
      <w:r>
        <w:rPr>
          <w:rFonts w:hint="eastAsia" w:ascii="宋体" w:hAnsi="宋体" w:eastAsia="宋体"/>
          <w:sz w:val="24"/>
          <w:szCs w:val="28"/>
        </w:rPr>
        <w:t>10分；</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2</w:t>
      </w:r>
      <w:r>
        <w:rPr>
          <w:rFonts w:ascii="宋体" w:hAnsi="宋体" w:eastAsia="宋体"/>
          <w:sz w:val="24"/>
          <w:szCs w:val="28"/>
        </w:rPr>
        <w:t xml:space="preserve"> </w:t>
      </w:r>
      <w:r>
        <w:rPr>
          <w:rFonts w:hint="eastAsia" w:ascii="宋体" w:hAnsi="宋体" w:eastAsia="宋体"/>
          <w:sz w:val="24"/>
          <w:szCs w:val="28"/>
        </w:rPr>
        <w:t xml:space="preserve"> </w:t>
      </w:r>
      <w:r>
        <w:rPr>
          <w:rFonts w:ascii="宋体" w:hAnsi="宋体" w:eastAsia="宋体"/>
          <w:sz w:val="24"/>
          <w:szCs w:val="28"/>
        </w:rPr>
        <w:t>支持</w:t>
      </w:r>
      <w:r>
        <w:rPr>
          <w:rFonts w:hint="eastAsia" w:ascii="宋体" w:hAnsi="宋体" w:eastAsia="宋体"/>
          <w:sz w:val="24"/>
          <w:szCs w:val="28"/>
        </w:rPr>
        <w:t>人脸识别支付</w:t>
      </w:r>
      <w:r>
        <w:rPr>
          <w:rFonts w:ascii="宋体" w:hAnsi="宋体" w:eastAsia="宋体"/>
          <w:sz w:val="24"/>
          <w:szCs w:val="28"/>
        </w:rPr>
        <w:t>过闸</w:t>
      </w:r>
      <w:r>
        <w:rPr>
          <w:rFonts w:hint="eastAsia" w:ascii="宋体" w:hAnsi="宋体" w:eastAsia="宋体"/>
          <w:sz w:val="24"/>
          <w:szCs w:val="28"/>
        </w:rPr>
        <w:t>方式</w:t>
      </w:r>
      <w:r>
        <w:rPr>
          <w:rFonts w:ascii="宋体" w:hAnsi="宋体" w:eastAsia="宋体"/>
          <w:sz w:val="24"/>
          <w:szCs w:val="28"/>
        </w:rPr>
        <w:t>,</w:t>
      </w:r>
      <w:r>
        <w:rPr>
          <w:rFonts w:ascii="宋体" w:hAnsi="宋体" w:eastAsia="宋体"/>
          <w:sz w:val="24"/>
          <w:szCs w:val="24"/>
        </w:rPr>
        <w:t xml:space="preserve"> 评价分值为</w:t>
      </w:r>
      <w:r>
        <w:rPr>
          <w:rFonts w:hint="eastAsia" w:ascii="宋体" w:hAnsi="宋体" w:eastAsia="宋体"/>
          <w:sz w:val="24"/>
          <w:szCs w:val="28"/>
        </w:rPr>
        <w:t>10分。</w:t>
      </w:r>
    </w:p>
    <w:p>
      <w:pPr>
        <w:adjustRightInd w:val="0"/>
        <w:snapToGrid w:val="0"/>
        <w:spacing w:line="360" w:lineRule="auto"/>
        <w:rPr>
          <w:rFonts w:ascii="宋体" w:hAnsi="宋体" w:eastAsia="宋体"/>
          <w:sz w:val="24"/>
          <w:szCs w:val="28"/>
        </w:rPr>
      </w:pPr>
      <w:r>
        <w:rPr>
          <w:rFonts w:hint="eastAsia" w:ascii="宋体" w:hAnsi="宋体" w:eastAsia="宋体"/>
          <w:b/>
          <w:bCs/>
          <w:sz w:val="24"/>
          <w:szCs w:val="24"/>
        </w:rPr>
        <w:t>9</w:t>
      </w:r>
      <w:r>
        <w:rPr>
          <w:rFonts w:ascii="宋体" w:hAnsi="宋体" w:eastAsia="宋体"/>
          <w:b/>
          <w:bCs/>
          <w:sz w:val="24"/>
          <w:szCs w:val="24"/>
        </w:rPr>
        <w:t>.2.</w:t>
      </w:r>
      <w:r>
        <w:rPr>
          <w:rFonts w:hint="eastAsia" w:ascii="宋体" w:hAnsi="宋体" w:eastAsia="宋体"/>
          <w:b/>
          <w:bCs/>
          <w:sz w:val="24"/>
          <w:szCs w:val="24"/>
        </w:rPr>
        <w:t xml:space="preserve">9  </w:t>
      </w:r>
      <w:r>
        <w:rPr>
          <w:rFonts w:hint="eastAsia" w:ascii="宋体" w:hAnsi="宋体" w:eastAsia="宋体"/>
          <w:sz w:val="24"/>
          <w:szCs w:val="28"/>
        </w:rPr>
        <w:t>车站公共区设置触摸屏式多媒体自助票务终端，乘客可通过该终端购票、补票、获取电子发票，</w:t>
      </w:r>
      <w:r>
        <w:rPr>
          <w:rFonts w:ascii="宋体" w:hAnsi="宋体" w:eastAsia="宋体"/>
          <w:sz w:val="24"/>
          <w:szCs w:val="24"/>
        </w:rPr>
        <w:t>评价分值为</w:t>
      </w:r>
      <w:r>
        <w:rPr>
          <w:rFonts w:hint="eastAsia" w:ascii="宋体" w:hAnsi="宋体" w:eastAsia="宋体"/>
          <w:sz w:val="24"/>
          <w:szCs w:val="28"/>
        </w:rPr>
        <w:t>10分。</w:t>
      </w:r>
    </w:p>
    <w:p>
      <w:pPr>
        <w:adjustRightInd w:val="0"/>
        <w:snapToGrid w:val="0"/>
        <w:spacing w:line="360" w:lineRule="auto"/>
        <w:rPr>
          <w:rFonts w:ascii="宋体" w:hAnsi="宋体" w:eastAsia="宋体"/>
          <w:sz w:val="24"/>
          <w:szCs w:val="28"/>
        </w:rPr>
      </w:pPr>
      <w:r>
        <w:rPr>
          <w:rFonts w:hint="eastAsia" w:ascii="宋体" w:hAnsi="宋体" w:eastAsia="宋体"/>
          <w:b/>
          <w:bCs/>
          <w:sz w:val="24"/>
          <w:szCs w:val="24"/>
        </w:rPr>
        <w:t>9</w:t>
      </w:r>
      <w:r>
        <w:rPr>
          <w:rFonts w:ascii="宋体" w:hAnsi="宋体" w:eastAsia="宋体"/>
          <w:b/>
          <w:bCs/>
          <w:sz w:val="24"/>
          <w:szCs w:val="24"/>
        </w:rPr>
        <w:t>.2.</w:t>
      </w:r>
      <w:r>
        <w:rPr>
          <w:rFonts w:hint="eastAsia" w:ascii="宋体" w:hAnsi="宋体" w:eastAsia="宋体"/>
          <w:b/>
          <w:bCs/>
          <w:sz w:val="24"/>
          <w:szCs w:val="24"/>
        </w:rPr>
        <w:t xml:space="preserve">10  </w:t>
      </w:r>
      <w:r>
        <w:rPr>
          <w:rFonts w:hint="eastAsia" w:ascii="宋体" w:hAnsi="宋体" w:eastAsia="宋体"/>
          <w:sz w:val="24"/>
          <w:szCs w:val="24"/>
        </w:rPr>
        <w:t>运营企业提供基于移动互联网和手机应用程序的线上自助信息查询服务</w:t>
      </w:r>
      <w:r>
        <w:rPr>
          <w:rFonts w:ascii="宋体" w:hAnsi="宋体" w:eastAsia="宋体"/>
          <w:sz w:val="24"/>
          <w:szCs w:val="24"/>
        </w:rPr>
        <w:t>,乘客可通过其个人移动通</w:t>
      </w:r>
      <w:r>
        <w:rPr>
          <w:rFonts w:hint="eastAsia" w:ascii="宋体" w:hAnsi="宋体" w:eastAsia="宋体"/>
          <w:sz w:val="24"/>
          <w:szCs w:val="24"/>
        </w:rPr>
        <w:t>信终端查询运营相关信息</w:t>
      </w:r>
      <w:r>
        <w:rPr>
          <w:rFonts w:hint="eastAsia" w:ascii="宋体" w:hAnsi="宋体" w:eastAsia="宋体"/>
          <w:sz w:val="24"/>
          <w:szCs w:val="28"/>
        </w:rPr>
        <w:t>，</w:t>
      </w:r>
      <w:r>
        <w:rPr>
          <w:rFonts w:ascii="宋体" w:hAnsi="宋体" w:eastAsia="宋体"/>
          <w:sz w:val="24"/>
          <w:szCs w:val="24"/>
        </w:rPr>
        <w:t>评价总分值为</w:t>
      </w:r>
      <w:r>
        <w:rPr>
          <w:rFonts w:hint="eastAsia" w:ascii="宋体" w:hAnsi="宋体" w:eastAsia="宋体"/>
          <w:sz w:val="24"/>
          <w:szCs w:val="24"/>
        </w:rPr>
        <w:t>15分，</w:t>
      </w:r>
      <w:r>
        <w:rPr>
          <w:rFonts w:ascii="宋体" w:hAnsi="宋体" w:eastAsia="宋体"/>
          <w:sz w:val="24"/>
          <w:szCs w:val="24"/>
        </w:rPr>
        <w:t>并按下列规则分别评分并累计：</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1</w:t>
      </w: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提供的信息服务内容包括计划</w:t>
      </w:r>
      <w:r>
        <w:rPr>
          <w:rFonts w:ascii="宋体" w:hAnsi="宋体" w:eastAsia="宋体"/>
          <w:sz w:val="24"/>
          <w:szCs w:val="28"/>
        </w:rPr>
        <w:t>时刻表、线路图、厕所、电扶梯、出入口位置指示、车站附近地理信息、标识标志，</w:t>
      </w:r>
      <w:r>
        <w:rPr>
          <w:rFonts w:hint="eastAsia" w:ascii="宋体" w:hAnsi="宋体" w:eastAsia="宋体"/>
          <w:sz w:val="24"/>
          <w:szCs w:val="28"/>
        </w:rPr>
        <w:t>得2分</w:t>
      </w:r>
      <w:r>
        <w:rPr>
          <w:rFonts w:ascii="宋体" w:hAnsi="宋体" w:eastAsia="宋体"/>
          <w:sz w:val="24"/>
          <w:szCs w:val="28"/>
        </w:rPr>
        <w:t>；</w:t>
      </w:r>
    </w:p>
    <w:p>
      <w:pPr>
        <w:adjustRightInd w:val="0"/>
        <w:snapToGrid w:val="0"/>
        <w:spacing w:line="360" w:lineRule="auto"/>
        <w:ind w:firstLine="482" w:firstLineChars="200"/>
        <w:rPr>
          <w:rFonts w:ascii="宋体" w:hAnsi="宋体" w:eastAsia="宋体"/>
          <w:sz w:val="24"/>
          <w:szCs w:val="28"/>
        </w:rPr>
      </w:pPr>
      <w:r>
        <w:rPr>
          <w:rFonts w:hint="eastAsia" w:ascii="宋体" w:hAnsi="宋体" w:eastAsia="宋体"/>
          <w:b/>
          <w:sz w:val="24"/>
          <w:szCs w:val="28"/>
        </w:rPr>
        <w:t>2</w:t>
      </w:r>
      <w:r>
        <w:rPr>
          <w:rFonts w:hint="eastAsia" w:ascii="宋体" w:hAnsi="宋体" w:eastAsia="宋体"/>
          <w:sz w:val="24"/>
          <w:szCs w:val="28"/>
        </w:rPr>
        <w:t xml:space="preserve">  提供的信息服务内容包括</w:t>
      </w:r>
      <w:r>
        <w:rPr>
          <w:rFonts w:ascii="宋体" w:hAnsi="宋体" w:eastAsia="宋体"/>
          <w:sz w:val="24"/>
          <w:szCs w:val="28"/>
        </w:rPr>
        <w:t>地铁换乘指引信息、其他公交换乘信息，</w:t>
      </w:r>
      <w:r>
        <w:rPr>
          <w:rFonts w:hint="eastAsia" w:ascii="宋体" w:hAnsi="宋体" w:eastAsia="宋体"/>
          <w:sz w:val="24"/>
          <w:szCs w:val="28"/>
        </w:rPr>
        <w:t>得2分</w:t>
      </w:r>
      <w:r>
        <w:rPr>
          <w:rFonts w:ascii="宋体" w:hAnsi="宋体" w:eastAsia="宋体"/>
          <w:sz w:val="24"/>
          <w:szCs w:val="28"/>
        </w:rPr>
        <w:t>；</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3</w:t>
      </w:r>
      <w:r>
        <w:rPr>
          <w:rFonts w:ascii="宋体" w:hAnsi="宋体" w:eastAsia="宋体"/>
          <w:sz w:val="24"/>
          <w:szCs w:val="28"/>
        </w:rPr>
        <w:t xml:space="preserve"> </w:t>
      </w:r>
      <w:r>
        <w:rPr>
          <w:rFonts w:hint="eastAsia" w:ascii="宋体" w:hAnsi="宋体" w:eastAsia="宋体"/>
          <w:sz w:val="24"/>
          <w:szCs w:val="28"/>
        </w:rPr>
        <w:t xml:space="preserve"> 提供的信息服务内容包括</w:t>
      </w:r>
      <w:r>
        <w:rPr>
          <w:rFonts w:ascii="宋体" w:hAnsi="宋体" w:eastAsia="宋体"/>
          <w:sz w:val="24"/>
          <w:szCs w:val="28"/>
        </w:rPr>
        <w:t>周边路网实时交通状况运行时间，</w:t>
      </w:r>
      <w:r>
        <w:rPr>
          <w:rFonts w:hint="eastAsia" w:ascii="宋体" w:hAnsi="宋体" w:eastAsia="宋体"/>
          <w:sz w:val="24"/>
          <w:szCs w:val="28"/>
        </w:rPr>
        <w:t>得1分</w:t>
      </w:r>
      <w:r>
        <w:rPr>
          <w:rFonts w:ascii="宋体" w:hAnsi="宋体" w:eastAsia="宋体"/>
          <w:sz w:val="24"/>
          <w:szCs w:val="28"/>
        </w:rPr>
        <w:t>；</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4</w:t>
      </w:r>
      <w:r>
        <w:rPr>
          <w:rFonts w:ascii="宋体" w:hAnsi="宋体" w:eastAsia="宋体"/>
          <w:sz w:val="24"/>
          <w:szCs w:val="28"/>
        </w:rPr>
        <w:t xml:space="preserve"> </w:t>
      </w:r>
      <w:r>
        <w:rPr>
          <w:rFonts w:hint="eastAsia" w:ascii="宋体" w:hAnsi="宋体" w:eastAsia="宋体"/>
          <w:sz w:val="24"/>
          <w:szCs w:val="28"/>
        </w:rPr>
        <w:t xml:space="preserve"> 提供的信息服务内容包括</w:t>
      </w:r>
      <w:r>
        <w:rPr>
          <w:rFonts w:ascii="宋体" w:hAnsi="宋体" w:eastAsia="宋体"/>
          <w:sz w:val="24"/>
          <w:szCs w:val="28"/>
        </w:rPr>
        <w:t>可达性、</w:t>
      </w:r>
      <w:r>
        <w:rPr>
          <w:rFonts w:hint="eastAsia" w:ascii="宋体" w:hAnsi="宋体" w:eastAsia="宋体"/>
          <w:sz w:val="24"/>
          <w:szCs w:val="28"/>
        </w:rPr>
        <w:t>线网</w:t>
      </w:r>
      <w:r>
        <w:rPr>
          <w:rFonts w:ascii="宋体" w:hAnsi="宋体" w:eastAsia="宋体"/>
          <w:sz w:val="24"/>
          <w:szCs w:val="28"/>
        </w:rPr>
        <w:t>实时</w:t>
      </w:r>
      <w:r>
        <w:rPr>
          <w:rFonts w:hint="eastAsia" w:ascii="宋体" w:hAnsi="宋体" w:eastAsia="宋体"/>
          <w:sz w:val="24"/>
          <w:szCs w:val="28"/>
        </w:rPr>
        <w:t>断面拥挤度</w:t>
      </w:r>
      <w:r>
        <w:rPr>
          <w:rFonts w:ascii="宋体" w:hAnsi="宋体" w:eastAsia="宋体"/>
          <w:sz w:val="24"/>
          <w:szCs w:val="28"/>
        </w:rPr>
        <w:t>信息、票务信息，得</w:t>
      </w:r>
      <w:r>
        <w:rPr>
          <w:rFonts w:hint="eastAsia" w:ascii="宋体" w:hAnsi="宋体" w:eastAsia="宋体"/>
          <w:sz w:val="24"/>
          <w:szCs w:val="28"/>
        </w:rPr>
        <w:t>2分</w:t>
      </w:r>
      <w:r>
        <w:rPr>
          <w:rFonts w:ascii="宋体" w:hAnsi="宋体" w:eastAsia="宋体"/>
          <w:sz w:val="24"/>
          <w:szCs w:val="28"/>
        </w:rPr>
        <w:t>；</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5</w:t>
      </w: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提供的信息服务内容包括</w:t>
      </w:r>
      <w:r>
        <w:rPr>
          <w:rFonts w:ascii="宋体" w:hAnsi="宋体" w:eastAsia="宋体"/>
          <w:sz w:val="24"/>
          <w:szCs w:val="28"/>
        </w:rPr>
        <w:t>车站公共区温度、湿度、二氧化碳浓度，得</w:t>
      </w:r>
      <w:r>
        <w:rPr>
          <w:rFonts w:hint="eastAsia" w:ascii="宋体" w:hAnsi="宋体" w:eastAsia="宋体"/>
          <w:sz w:val="24"/>
          <w:szCs w:val="28"/>
        </w:rPr>
        <w:t>1分</w:t>
      </w:r>
      <w:r>
        <w:rPr>
          <w:rFonts w:ascii="宋体" w:hAnsi="宋体" w:eastAsia="宋体"/>
          <w:sz w:val="24"/>
          <w:szCs w:val="28"/>
        </w:rPr>
        <w:t>；</w:t>
      </w:r>
    </w:p>
    <w:p>
      <w:pPr>
        <w:adjustRightInd w:val="0"/>
        <w:snapToGrid w:val="0"/>
        <w:spacing w:line="360" w:lineRule="auto"/>
        <w:ind w:left="479" w:leftChars="228"/>
        <w:rPr>
          <w:rFonts w:ascii="宋体" w:hAnsi="宋体" w:eastAsia="宋体"/>
          <w:sz w:val="24"/>
          <w:szCs w:val="28"/>
        </w:rPr>
      </w:pPr>
      <w:r>
        <w:rPr>
          <w:rFonts w:ascii="宋体" w:hAnsi="宋体" w:eastAsia="宋体"/>
          <w:b/>
          <w:sz w:val="24"/>
          <w:szCs w:val="28"/>
        </w:rPr>
        <w:t>6</w:t>
      </w:r>
      <w:r>
        <w:rPr>
          <w:rFonts w:hint="eastAsia" w:ascii="宋体" w:hAnsi="宋体" w:eastAsia="宋体"/>
          <w:sz w:val="24"/>
          <w:szCs w:val="28"/>
        </w:rPr>
        <w:t xml:space="preserve">  提供的信息服务内容包括本站列车即将到站时间信息，</w:t>
      </w:r>
      <w:r>
        <w:rPr>
          <w:rFonts w:ascii="宋体" w:hAnsi="宋体" w:eastAsia="宋体"/>
          <w:sz w:val="24"/>
          <w:szCs w:val="28"/>
        </w:rPr>
        <w:t>得</w:t>
      </w:r>
      <w:r>
        <w:rPr>
          <w:rFonts w:hint="eastAsia" w:ascii="宋体" w:hAnsi="宋体" w:eastAsia="宋体"/>
          <w:sz w:val="24"/>
          <w:szCs w:val="28"/>
        </w:rPr>
        <w:t>2分</w:t>
      </w:r>
      <w:r>
        <w:rPr>
          <w:rFonts w:ascii="宋体" w:hAnsi="宋体" w:eastAsia="宋体"/>
          <w:sz w:val="24"/>
          <w:szCs w:val="28"/>
        </w:rPr>
        <w:t>；</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7</w:t>
      </w:r>
      <w:r>
        <w:rPr>
          <w:rFonts w:ascii="宋体" w:hAnsi="宋体" w:eastAsia="宋体"/>
          <w:sz w:val="24"/>
          <w:szCs w:val="28"/>
        </w:rPr>
        <w:t xml:space="preserve"> </w:t>
      </w:r>
      <w:r>
        <w:rPr>
          <w:rFonts w:hint="eastAsia" w:ascii="宋体" w:hAnsi="宋体" w:eastAsia="宋体"/>
          <w:sz w:val="24"/>
          <w:szCs w:val="28"/>
        </w:rPr>
        <w:t xml:space="preserve"> 提供的信息服务内容包括</w:t>
      </w:r>
      <w:r>
        <w:rPr>
          <w:rFonts w:ascii="宋体" w:hAnsi="宋体" w:eastAsia="宋体"/>
          <w:sz w:val="24"/>
          <w:szCs w:val="28"/>
        </w:rPr>
        <w:t>非正常状态信息(事故、故障、事件信息)，得</w:t>
      </w:r>
      <w:r>
        <w:rPr>
          <w:rFonts w:hint="eastAsia" w:ascii="宋体" w:hAnsi="宋体" w:eastAsia="宋体"/>
          <w:sz w:val="24"/>
          <w:szCs w:val="28"/>
        </w:rPr>
        <w:t>2分</w:t>
      </w:r>
      <w:r>
        <w:rPr>
          <w:rFonts w:ascii="宋体" w:hAnsi="宋体" w:eastAsia="宋体"/>
          <w:sz w:val="24"/>
          <w:szCs w:val="28"/>
        </w:rPr>
        <w:t>；</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8</w:t>
      </w: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提供</w:t>
      </w:r>
      <w:r>
        <w:rPr>
          <w:rFonts w:ascii="宋体" w:hAnsi="宋体" w:eastAsia="宋体"/>
          <w:sz w:val="24"/>
          <w:szCs w:val="28"/>
        </w:rPr>
        <w:t>投诉和建议功能</w:t>
      </w:r>
      <w:r>
        <w:rPr>
          <w:rFonts w:hint="eastAsia" w:ascii="宋体" w:hAnsi="宋体" w:eastAsia="宋体"/>
          <w:sz w:val="24"/>
          <w:szCs w:val="28"/>
        </w:rPr>
        <w:t>，得1分；</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9</w:t>
      </w:r>
      <w:r>
        <w:rPr>
          <w:rFonts w:ascii="宋体" w:hAnsi="宋体" w:eastAsia="宋体"/>
          <w:sz w:val="24"/>
          <w:szCs w:val="28"/>
        </w:rPr>
        <w:t xml:space="preserve"> </w:t>
      </w:r>
      <w:r>
        <w:rPr>
          <w:rFonts w:hint="eastAsia" w:ascii="宋体" w:hAnsi="宋体" w:eastAsia="宋体"/>
          <w:sz w:val="24"/>
          <w:szCs w:val="28"/>
        </w:rPr>
        <w:t xml:space="preserve"> 该自助查询终端具备基于人工智能的人机语音交互功能</w:t>
      </w:r>
      <w:r>
        <w:rPr>
          <w:rFonts w:ascii="宋体" w:hAnsi="宋体" w:eastAsia="宋体"/>
          <w:sz w:val="24"/>
          <w:szCs w:val="28"/>
        </w:rPr>
        <w:t>, 得</w:t>
      </w:r>
      <w:r>
        <w:rPr>
          <w:rFonts w:hint="eastAsia" w:ascii="宋体" w:hAnsi="宋体" w:eastAsia="宋体"/>
          <w:sz w:val="24"/>
          <w:szCs w:val="28"/>
        </w:rPr>
        <w:t>2</w:t>
      </w:r>
      <w:r>
        <w:rPr>
          <w:rFonts w:ascii="宋体" w:hAnsi="宋体" w:eastAsia="宋体"/>
          <w:sz w:val="24"/>
          <w:szCs w:val="28"/>
        </w:rPr>
        <w:t>分</w:t>
      </w:r>
      <w:r>
        <w:rPr>
          <w:rFonts w:hint="eastAsia" w:ascii="宋体" w:hAnsi="宋体" w:eastAsia="宋体"/>
          <w:sz w:val="24"/>
          <w:szCs w:val="24"/>
        </w:rPr>
        <w:t>。</w:t>
      </w:r>
      <w:r>
        <w:rPr>
          <w:rFonts w:ascii="宋体" w:hAnsi="宋体" w:eastAsia="宋体"/>
          <w:sz w:val="24"/>
          <w:szCs w:val="28"/>
        </w:rPr>
        <w:t xml:space="preserve"> </w:t>
      </w:r>
    </w:p>
    <w:p>
      <w:pPr>
        <w:adjustRightInd w:val="0"/>
        <w:snapToGrid w:val="0"/>
        <w:spacing w:line="360" w:lineRule="auto"/>
        <w:rPr>
          <w:rFonts w:ascii="宋体" w:hAnsi="宋体" w:eastAsia="宋体"/>
          <w:sz w:val="24"/>
          <w:szCs w:val="24"/>
        </w:rPr>
      </w:pPr>
      <w:r>
        <w:rPr>
          <w:rFonts w:hint="eastAsia" w:ascii="宋体" w:hAnsi="宋体" w:eastAsia="宋体"/>
          <w:b/>
          <w:bCs/>
          <w:sz w:val="24"/>
          <w:szCs w:val="24"/>
        </w:rPr>
        <w:t xml:space="preserve">9.2.11  </w:t>
      </w:r>
      <w:r>
        <w:rPr>
          <w:rFonts w:ascii="宋体" w:hAnsi="宋体" w:eastAsia="宋体"/>
          <w:sz w:val="24"/>
          <w:szCs w:val="24"/>
        </w:rPr>
        <w:t>具备客流预测功能,并能根据预测结果对</w:t>
      </w:r>
      <w:r>
        <w:rPr>
          <w:rFonts w:hint="eastAsia" w:ascii="宋体" w:hAnsi="宋体" w:eastAsia="宋体"/>
          <w:sz w:val="24"/>
          <w:szCs w:val="24"/>
        </w:rPr>
        <w:t>线路基本运行图与需求进行耦合匹配</w:t>
      </w:r>
      <w:r>
        <w:rPr>
          <w:rFonts w:ascii="宋体" w:hAnsi="宋体" w:eastAsia="宋体"/>
          <w:sz w:val="24"/>
          <w:szCs w:val="24"/>
        </w:rPr>
        <w:t>进行</w:t>
      </w:r>
      <w:r>
        <w:rPr>
          <w:rFonts w:hint="eastAsia" w:ascii="宋体" w:hAnsi="宋体" w:eastAsia="宋体"/>
          <w:sz w:val="24"/>
          <w:szCs w:val="24"/>
        </w:rPr>
        <w:t>分析</w:t>
      </w:r>
      <w:r>
        <w:rPr>
          <w:rFonts w:ascii="宋体" w:hAnsi="宋体" w:eastAsia="宋体"/>
          <w:sz w:val="24"/>
          <w:szCs w:val="24"/>
        </w:rPr>
        <w:t>，并</w:t>
      </w:r>
      <w:r>
        <w:rPr>
          <w:rFonts w:hint="eastAsia" w:ascii="宋体" w:hAnsi="宋体" w:eastAsia="宋体"/>
          <w:sz w:val="24"/>
          <w:szCs w:val="24"/>
        </w:rPr>
        <w:t>基于分析结果给出运行图调整建议、车站动态管控建议等方案。</w:t>
      </w:r>
      <w:r>
        <w:rPr>
          <w:rFonts w:ascii="宋体" w:hAnsi="宋体" w:eastAsia="宋体"/>
          <w:sz w:val="24"/>
          <w:szCs w:val="24"/>
        </w:rPr>
        <w:t>评价总分值为</w:t>
      </w:r>
      <w:r>
        <w:rPr>
          <w:rFonts w:hint="eastAsia" w:ascii="宋体" w:hAnsi="宋体" w:eastAsia="宋体"/>
          <w:sz w:val="24"/>
          <w:szCs w:val="24"/>
        </w:rPr>
        <w:t>5分，</w:t>
      </w:r>
      <w:r>
        <w:rPr>
          <w:rFonts w:ascii="宋体" w:hAnsi="宋体" w:eastAsia="宋体"/>
          <w:sz w:val="24"/>
          <w:szCs w:val="24"/>
        </w:rPr>
        <w:t>并按下列规则分别评分并累计：</w:t>
      </w:r>
    </w:p>
    <w:p>
      <w:pPr>
        <w:widowControl/>
        <w:numPr>
          <w:ilvl w:val="255"/>
          <w:numId w:val="0"/>
        </w:num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能对次日客流进行时间粒度不大于15分钟的预测能力，并根据预测结果</w:t>
      </w:r>
      <w:r>
        <w:rPr>
          <w:rFonts w:ascii="宋体" w:hAnsi="宋体" w:eastAsia="宋体"/>
          <w:sz w:val="24"/>
          <w:szCs w:val="24"/>
        </w:rPr>
        <w:t>提出次日</w:t>
      </w:r>
      <w:r>
        <w:rPr>
          <w:rFonts w:hint="eastAsia" w:ascii="宋体" w:hAnsi="宋体" w:eastAsia="宋体"/>
          <w:sz w:val="24"/>
          <w:szCs w:val="24"/>
        </w:rPr>
        <w:t>运行图调整建议、车站动态管控建议，评价总分值为2分。仅能针对单线提出运行图调整建议、车站动态管控建议，得1分，能针对单线、多线及线网提出运行图调整建议、车站动态管控建议，</w:t>
      </w:r>
      <w:r>
        <w:rPr>
          <w:rFonts w:ascii="宋体" w:hAnsi="宋体" w:eastAsia="宋体"/>
          <w:sz w:val="24"/>
          <w:szCs w:val="24"/>
        </w:rPr>
        <w:t>得</w:t>
      </w:r>
      <w:r>
        <w:rPr>
          <w:rFonts w:hint="eastAsia" w:ascii="宋体" w:hAnsi="宋体" w:eastAsia="宋体"/>
          <w:sz w:val="24"/>
          <w:szCs w:val="24"/>
        </w:rPr>
        <w:t>2</w:t>
      </w:r>
      <w:r>
        <w:rPr>
          <w:rFonts w:ascii="宋体" w:hAnsi="宋体" w:eastAsia="宋体"/>
          <w:sz w:val="24"/>
          <w:szCs w:val="24"/>
        </w:rPr>
        <w:t>分。</w:t>
      </w:r>
    </w:p>
    <w:p>
      <w:pPr>
        <w:adjustRightInd w:val="0"/>
        <w:snapToGrid w:val="0"/>
        <w:spacing w:line="360" w:lineRule="auto"/>
        <w:ind w:firstLine="482" w:firstLineChars="200"/>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具备对当日客流进行时间粒度不大于15分钟的短时客流预测能力，并能根据预测结果，进行线路运能运量实时匹配，</w:t>
      </w:r>
      <w:r>
        <w:rPr>
          <w:rFonts w:ascii="宋体" w:hAnsi="宋体" w:eastAsia="宋体"/>
          <w:sz w:val="24"/>
          <w:szCs w:val="24"/>
        </w:rPr>
        <w:t>提出</w:t>
      </w:r>
      <w:r>
        <w:rPr>
          <w:rFonts w:hint="eastAsia" w:ascii="宋体" w:hAnsi="宋体" w:eastAsia="宋体"/>
          <w:sz w:val="24"/>
          <w:szCs w:val="24"/>
        </w:rPr>
        <w:t>运行图动态调整建议、临时突发大客流告警预警及管控建议，评价总分值为3分。仅能针对单线进行短时客流预测，并提出运行图动态调整建议、临时突发大客流告警预警及管控建议，得2分，能针对单线、多线及线网进行短时客流预测，并提出运行图动态调整建议、临时突发大客流告警预警及管控建议，</w:t>
      </w:r>
      <w:r>
        <w:rPr>
          <w:rFonts w:ascii="宋体" w:hAnsi="宋体" w:eastAsia="宋体"/>
          <w:sz w:val="24"/>
          <w:szCs w:val="24"/>
        </w:rPr>
        <w:t>得</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pPr>
      <w:r>
        <w:rPr>
          <w:rFonts w:hint="eastAsia" w:ascii="宋体" w:hAnsi="宋体" w:eastAsia="宋体"/>
          <w:b/>
          <w:bCs/>
          <w:sz w:val="24"/>
          <w:szCs w:val="24"/>
        </w:rPr>
        <w:t>9</w:t>
      </w:r>
      <w:r>
        <w:rPr>
          <w:rFonts w:ascii="宋体" w:hAnsi="宋体" w:eastAsia="宋体"/>
          <w:b/>
          <w:bCs/>
          <w:sz w:val="24"/>
          <w:szCs w:val="24"/>
        </w:rPr>
        <w:t>.2.</w:t>
      </w:r>
      <w:r>
        <w:rPr>
          <w:rFonts w:hint="eastAsia" w:ascii="宋体" w:hAnsi="宋体" w:eastAsia="宋体"/>
          <w:b/>
          <w:bCs/>
          <w:sz w:val="24"/>
          <w:szCs w:val="24"/>
        </w:rPr>
        <w:t xml:space="preserve">12  </w:t>
      </w:r>
      <w:r>
        <w:rPr>
          <w:rFonts w:ascii="宋体" w:hAnsi="宋体" w:eastAsia="宋体"/>
          <w:sz w:val="24"/>
          <w:szCs w:val="24"/>
        </w:rPr>
        <w:t>站台门具备或设置以下功能，</w:t>
      </w:r>
      <w:r>
        <w:rPr>
          <w:rFonts w:hint="eastAsia" w:ascii="宋体" w:hAnsi="宋体" w:eastAsia="宋体"/>
          <w:sz w:val="24"/>
          <w:szCs w:val="24"/>
        </w:rPr>
        <w:t>评价总分值为4分，并按下列规则分别评分并累计：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在公共区能显示每个滑动门的故障码和状态信息，得1分； </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具备与列车对位隔离功能，得1分； </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能在站台门上显示导向及乘客信息，得2分。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9.2.13  </w:t>
      </w:r>
      <w:r>
        <w:rPr>
          <w:rFonts w:hint="eastAsia" w:ascii="宋体" w:hAnsi="宋体" w:eastAsia="宋体"/>
          <w:sz w:val="24"/>
          <w:szCs w:val="24"/>
        </w:rPr>
        <w:t>电梯实现轿厢与车站控制室可视对讲</w:t>
      </w:r>
      <w:r>
        <w:rPr>
          <w:rFonts w:ascii="宋体" w:hAnsi="宋体" w:eastAsia="宋体"/>
          <w:sz w:val="24"/>
          <w:szCs w:val="24"/>
        </w:rPr>
        <w:t>，评价分值为</w:t>
      </w:r>
      <w:r>
        <w:rPr>
          <w:rFonts w:hint="eastAsia" w:ascii="宋体" w:hAnsi="宋体" w:eastAsia="宋体"/>
          <w:sz w:val="24"/>
          <w:szCs w:val="24"/>
        </w:rPr>
        <w:t>5</w:t>
      </w:r>
      <w:r>
        <w:rPr>
          <w:rFonts w:ascii="宋体" w:hAnsi="宋体" w:eastAsia="宋体"/>
          <w:sz w:val="24"/>
          <w:szCs w:val="24"/>
        </w:rPr>
        <w:t>分。</w:t>
      </w:r>
    </w:p>
    <w:p>
      <w:pPr>
        <w:pStyle w:val="24"/>
        <w:adjustRightInd w:val="0"/>
        <w:snapToGrid w:val="0"/>
        <w:spacing w:line="360" w:lineRule="auto"/>
        <w:ind w:firstLine="0" w:firstLineChars="0"/>
        <w:jc w:val="left"/>
        <w:rPr>
          <w:rFonts w:ascii="宋体" w:hAnsi="宋体" w:eastAsia="宋体"/>
          <w:sz w:val="24"/>
          <w:szCs w:val="24"/>
        </w:rPr>
      </w:pPr>
      <w:r>
        <w:rPr>
          <w:rFonts w:hint="eastAsia" w:ascii="宋体" w:hAnsi="宋体" w:eastAsia="宋体"/>
          <w:b/>
          <w:sz w:val="24"/>
          <w:szCs w:val="24"/>
        </w:rPr>
        <w:t xml:space="preserve">9.2.14  </w:t>
      </w:r>
      <w:r>
        <w:rPr>
          <w:rFonts w:hint="eastAsia" w:ascii="宋体" w:hAnsi="宋体" w:eastAsia="宋体"/>
          <w:sz w:val="24"/>
          <w:szCs w:val="24"/>
        </w:rPr>
        <w:t>车辆基地场地内合理设置停车场所，评价总分值为4分，并按下列规则分别评分并累计：</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自行车停车设施位置合理、方便出入，且有遮阳防雨措施，得2分；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合理采用机械式停车库、地下停车库或停车楼等方式节约集约用地，得2分。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 xml:space="preserve">15  </w:t>
      </w:r>
      <w:r>
        <w:rPr>
          <w:rFonts w:ascii="宋体" w:hAnsi="宋体" w:eastAsia="宋体"/>
          <w:sz w:val="24"/>
          <w:szCs w:val="24"/>
        </w:rPr>
        <w:t>车辆基地具有电动汽车充电设施或具备充电设施的安装条件，并应合理设置电动汽车和无障碍汽车停车位，评价总分值为</w:t>
      </w:r>
      <w:r>
        <w:rPr>
          <w:rFonts w:hint="eastAsia" w:ascii="宋体" w:hAnsi="宋体" w:eastAsia="宋体"/>
          <w:sz w:val="24"/>
          <w:szCs w:val="24"/>
        </w:rPr>
        <w:t>4</w:t>
      </w:r>
      <w:r>
        <w:rPr>
          <w:rFonts w:ascii="宋体" w:hAnsi="宋体" w:eastAsia="宋体"/>
          <w:sz w:val="24"/>
          <w:szCs w:val="24"/>
        </w:rPr>
        <w:t>分，并按下列规则评分：</w:t>
      </w:r>
    </w:p>
    <w:p>
      <w:pPr>
        <w:pStyle w:val="24"/>
        <w:adjustRightInd w:val="0"/>
        <w:snapToGrid w:val="0"/>
        <w:spacing w:line="360" w:lineRule="auto"/>
        <w:ind w:firstLine="482"/>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电动汽车充电设施或具备充电设施</w:t>
      </w:r>
      <w:r>
        <w:rPr>
          <w:rFonts w:hint="eastAsia" w:ascii="宋体" w:hAnsi="宋体" w:eastAsia="宋体"/>
          <w:sz w:val="24"/>
          <w:szCs w:val="24"/>
        </w:rPr>
        <w:t>达到当地相关规定要求</w:t>
      </w:r>
      <w:r>
        <w:rPr>
          <w:rFonts w:ascii="宋体" w:hAnsi="宋体" w:eastAsia="宋体"/>
          <w:sz w:val="24"/>
          <w:szCs w:val="24"/>
        </w:rPr>
        <w:t>，得</w:t>
      </w:r>
      <w:r>
        <w:rPr>
          <w:rFonts w:hint="eastAsia" w:ascii="宋体" w:hAnsi="宋体" w:eastAsia="宋体"/>
          <w:sz w:val="24"/>
          <w:szCs w:val="24"/>
        </w:rPr>
        <w:t>2</w:t>
      </w:r>
      <w:r>
        <w:rPr>
          <w:rFonts w:ascii="宋体" w:hAnsi="宋体" w:eastAsia="宋体"/>
          <w:sz w:val="24"/>
          <w:szCs w:val="24"/>
        </w:rPr>
        <w:t>分；</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电动汽车充电设施或具备充电设施</w:t>
      </w:r>
      <w:r>
        <w:rPr>
          <w:rFonts w:hint="eastAsia" w:ascii="宋体" w:hAnsi="宋体" w:eastAsia="宋体"/>
          <w:sz w:val="24"/>
          <w:szCs w:val="24"/>
        </w:rPr>
        <w:t>比当地相关规定要求提高幅度达到10%及以上</w:t>
      </w:r>
      <w:r>
        <w:rPr>
          <w:rFonts w:ascii="宋体" w:hAnsi="宋体" w:eastAsia="宋体"/>
          <w:sz w:val="24"/>
          <w:szCs w:val="24"/>
        </w:rPr>
        <w:t>，得</w:t>
      </w:r>
      <w:r>
        <w:rPr>
          <w:rFonts w:hint="eastAsia" w:ascii="宋体" w:hAnsi="宋体" w:eastAsia="宋体"/>
          <w:sz w:val="24"/>
          <w:szCs w:val="24"/>
        </w:rPr>
        <w:t>4</w:t>
      </w:r>
      <w:r>
        <w:rPr>
          <w:rFonts w:ascii="宋体" w:hAnsi="宋体" w:eastAsia="宋体"/>
          <w:sz w:val="24"/>
          <w:szCs w:val="24"/>
        </w:rPr>
        <w:t>分。</w:t>
      </w:r>
    </w:p>
    <w:p>
      <w:pPr>
        <w:spacing w:line="360" w:lineRule="auto"/>
        <w:rPr>
          <w:rFonts w:ascii="宋体" w:hAnsi="宋体" w:eastAsia="宋体"/>
          <w:sz w:val="24"/>
          <w:szCs w:val="24"/>
        </w:rPr>
      </w:pPr>
      <w:r>
        <w:rPr>
          <w:rFonts w:hint="eastAsia" w:ascii="宋体" w:hAnsi="宋体" w:eastAsia="宋体"/>
          <w:b/>
          <w:sz w:val="24"/>
          <w:szCs w:val="24"/>
        </w:rPr>
        <w:t>9.2.16</w:t>
      </w:r>
      <w:r>
        <w:rPr>
          <w:rFonts w:hint="eastAsia" w:ascii="宋体" w:hAnsi="宋体" w:eastAsia="宋体"/>
          <w:sz w:val="24"/>
          <w:szCs w:val="24"/>
        </w:rPr>
        <w:t xml:space="preserve">  运营管理单位根据《城市轨道交通服务质量评价规范》开展服务质量评价，满足《城市轨道交通服务质量评价管理办法》的要求，对管理措施和评估机制不断完善及改进，评价分值为5分。</w:t>
      </w:r>
    </w:p>
    <w:p>
      <w:pPr>
        <w:spacing w:line="360" w:lineRule="auto"/>
        <w:rPr>
          <w:rFonts w:ascii="宋体" w:hAnsi="宋体" w:eastAsia="宋体"/>
          <w:sz w:val="24"/>
          <w:szCs w:val="24"/>
        </w:rPr>
      </w:pPr>
      <w:r>
        <w:rPr>
          <w:rFonts w:hint="eastAsia" w:ascii="宋体" w:hAnsi="宋体" w:eastAsia="宋体"/>
          <w:b/>
          <w:sz w:val="24"/>
          <w:szCs w:val="24"/>
        </w:rPr>
        <w:t>9.2.17</w:t>
      </w:r>
      <w:r>
        <w:rPr>
          <w:rFonts w:hint="eastAsia" w:ascii="宋体" w:hAnsi="宋体" w:eastAsia="宋体"/>
          <w:sz w:val="24"/>
          <w:szCs w:val="24"/>
        </w:rPr>
        <w:t xml:space="preserve">  制定完善的节能、节水、节材、绿化、危险易燃品及垃圾管理制度和操作规程、应急预案，实施能源资源管理激励机制，且有效实施，评价总分值为6分，按下列规则分别评分并累计：</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设备设施具有完善的操作规程和应急预案，得3分；</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物业管理机构的工作考核体系中设置节能和节水绩效考核激励机制，得3分。</w:t>
      </w:r>
    </w:p>
    <w:p>
      <w:pPr>
        <w:spacing w:line="360" w:lineRule="auto"/>
        <w:rPr>
          <w:rFonts w:ascii="宋体" w:hAnsi="宋体" w:eastAsia="宋体"/>
          <w:sz w:val="24"/>
          <w:szCs w:val="24"/>
        </w:rPr>
      </w:pPr>
      <w:r>
        <w:rPr>
          <w:rFonts w:hint="eastAsia" w:ascii="宋体" w:hAnsi="宋体" w:eastAsia="宋体"/>
          <w:b/>
          <w:sz w:val="24"/>
          <w:szCs w:val="24"/>
        </w:rPr>
        <w:t xml:space="preserve">9.2.18  </w:t>
      </w:r>
      <w:r>
        <w:rPr>
          <w:rFonts w:hint="eastAsia" w:ascii="宋体" w:hAnsi="宋体" w:eastAsia="宋体"/>
          <w:sz w:val="24"/>
          <w:szCs w:val="24"/>
        </w:rPr>
        <w:t>定期对建筑运营效果进行评估，并根据结果进行运行优化，评价总分值为7分，按下列规则分别评分并累计：</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定期检查、调适公共设施设备，具有检查、调试、运行、标定的记录，且记录完整，得3分；</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定期开展节能诊断评估，并根据评估结果制定优化方案并实施，得2分；</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定期对各类用水水质进行检测、公示，得2分。</w:t>
      </w:r>
    </w:p>
    <w:p>
      <w:pPr>
        <w:spacing w:line="360" w:lineRule="auto"/>
        <w:rPr>
          <w:rFonts w:ascii="宋体" w:hAnsi="宋体" w:eastAsia="宋体"/>
          <w:sz w:val="24"/>
          <w:szCs w:val="24"/>
        </w:rPr>
      </w:pPr>
      <w:r>
        <w:rPr>
          <w:rFonts w:hint="eastAsia" w:ascii="宋体" w:hAnsi="宋体" w:eastAsia="宋体"/>
          <w:b/>
          <w:sz w:val="24"/>
          <w:szCs w:val="24"/>
        </w:rPr>
        <w:t>9.2.19</w:t>
      </w:r>
      <w:r>
        <w:rPr>
          <w:rFonts w:hint="eastAsia" w:ascii="宋体" w:hAnsi="宋体" w:eastAsia="宋体"/>
          <w:sz w:val="24"/>
          <w:szCs w:val="24"/>
        </w:rPr>
        <w:t xml:space="preserve"> 建立绿色教育宣传和实践机制，每年组织不少于 2 次的绿色建筑技术宣传、灾害应急演练等绿色教育宣传和实践活动，并有活动记录，评价总分值为5分。</w:t>
      </w:r>
    </w:p>
    <w:p>
      <w:pPr>
        <w:spacing w:line="360" w:lineRule="auto"/>
        <w:rPr>
          <w:rFonts w:ascii="宋体" w:hAnsi="宋体" w:eastAsia="宋体"/>
          <w:sz w:val="24"/>
          <w:szCs w:val="24"/>
        </w:rPr>
      </w:pPr>
      <w:r>
        <w:rPr>
          <w:rFonts w:hint="eastAsia" w:ascii="宋体" w:hAnsi="宋体" w:eastAsia="宋体"/>
          <w:b/>
          <w:sz w:val="24"/>
          <w:szCs w:val="24"/>
        </w:rPr>
        <w:t>9.2.20</w:t>
      </w:r>
      <w:r>
        <w:rPr>
          <w:rFonts w:hint="eastAsia" w:ascii="宋体" w:hAnsi="宋体" w:eastAsia="宋体"/>
          <w:sz w:val="24"/>
          <w:szCs w:val="24"/>
        </w:rPr>
        <w:t xml:space="preserve"> </w:t>
      </w:r>
      <w:r>
        <w:rPr>
          <w:rFonts w:hint="eastAsia" w:ascii="宋体" w:hAnsi="宋体" w:eastAsia="宋体"/>
          <w:b/>
          <w:sz w:val="24"/>
          <w:szCs w:val="24"/>
        </w:rPr>
        <w:t xml:space="preserve"> </w:t>
      </w:r>
      <w:r>
        <w:rPr>
          <w:rFonts w:hint="eastAsia" w:ascii="宋体" w:hAnsi="宋体" w:eastAsia="宋体"/>
          <w:sz w:val="24"/>
          <w:szCs w:val="24"/>
        </w:rPr>
        <w:t>从网络化运营角度，推广和实现规模化、专业化、区域化维修，评价分值为5分。</w:t>
      </w:r>
    </w:p>
    <w:p>
      <w:pPr>
        <w:spacing w:line="360" w:lineRule="auto"/>
        <w:rPr>
          <w:rFonts w:ascii="宋体" w:hAnsi="宋体" w:eastAsia="宋体"/>
          <w:sz w:val="24"/>
          <w:szCs w:val="24"/>
        </w:rPr>
      </w:pPr>
      <w:r>
        <w:rPr>
          <w:rFonts w:hint="eastAsia" w:ascii="宋体" w:hAnsi="宋体" w:eastAsia="宋体"/>
          <w:b/>
          <w:sz w:val="24"/>
          <w:szCs w:val="24"/>
        </w:rPr>
        <w:t>9.2.21</w:t>
      </w:r>
      <w:r>
        <w:rPr>
          <w:rFonts w:hint="eastAsia" w:ascii="宋体" w:hAnsi="宋体" w:eastAsia="宋体"/>
          <w:sz w:val="24"/>
          <w:szCs w:val="24"/>
        </w:rPr>
        <w:t xml:space="preserve"> </w:t>
      </w:r>
      <w:r>
        <w:rPr>
          <w:rFonts w:hint="eastAsia" w:ascii="宋体" w:hAnsi="宋体" w:eastAsia="宋体"/>
          <w:b/>
          <w:sz w:val="24"/>
          <w:szCs w:val="24"/>
        </w:rPr>
        <w:t xml:space="preserve"> </w:t>
      </w:r>
      <w:r>
        <w:rPr>
          <w:rFonts w:hint="eastAsia" w:ascii="宋体" w:hAnsi="宋体" w:eastAsia="宋体"/>
          <w:sz w:val="24"/>
          <w:szCs w:val="24"/>
        </w:rPr>
        <w:t>当采用基于5G、物联网技术的智慧管理系统时，依托数据实现精细化高效运行维护，评价分值为5分。</w:t>
      </w:r>
    </w:p>
    <w:p>
      <w:pPr>
        <w:spacing w:line="360" w:lineRule="auto"/>
        <w:rPr>
          <w:rFonts w:ascii="宋体" w:hAnsi="宋体" w:eastAsia="宋体"/>
          <w:sz w:val="24"/>
          <w:szCs w:val="24"/>
        </w:rPr>
      </w:pPr>
      <w:r>
        <w:rPr>
          <w:rFonts w:hint="eastAsia" w:ascii="宋体" w:hAnsi="宋体" w:eastAsia="宋体"/>
          <w:b/>
          <w:sz w:val="24"/>
          <w:szCs w:val="24"/>
        </w:rPr>
        <w:t xml:space="preserve">9.2.22  </w:t>
      </w:r>
      <w:r>
        <w:rPr>
          <w:rFonts w:hint="eastAsia" w:ascii="宋体" w:hAnsi="宋体" w:eastAsia="宋体"/>
          <w:sz w:val="24"/>
          <w:szCs w:val="24"/>
        </w:rPr>
        <w:t>当线路采用全自动运行系统时，充分发挥系统运输效率的运营管理模式，降低运营成本，评价分值为5分。</w:t>
      </w:r>
    </w:p>
    <w:p>
      <w:pPr>
        <w:spacing w:line="360" w:lineRule="auto"/>
        <w:rPr>
          <w:rFonts w:ascii="宋体" w:hAnsi="宋体" w:eastAsia="宋体"/>
          <w:sz w:val="24"/>
          <w:szCs w:val="24"/>
        </w:rPr>
        <w:sectPr>
          <w:pgSz w:w="11906" w:h="16838"/>
          <w:pgMar w:top="1440" w:right="1797" w:bottom="1440" w:left="1797" w:header="851" w:footer="992" w:gutter="0"/>
          <w:cols w:space="425" w:num="1"/>
          <w:titlePg/>
          <w:docGrid w:type="lines" w:linePitch="312" w:charSpace="0"/>
        </w:sectPr>
      </w:pPr>
      <w:r>
        <w:rPr>
          <w:rFonts w:hint="eastAsia" w:ascii="宋体" w:hAnsi="宋体" w:eastAsia="宋体"/>
          <w:b/>
          <w:sz w:val="24"/>
          <w:szCs w:val="24"/>
        </w:rPr>
        <w:t xml:space="preserve">9.2.23  </w:t>
      </w:r>
      <w:r>
        <w:rPr>
          <w:rFonts w:hint="eastAsia" w:ascii="宋体" w:hAnsi="宋体" w:eastAsia="宋体"/>
          <w:sz w:val="24"/>
          <w:szCs w:val="24"/>
        </w:rPr>
        <w:t>建立完整的轨道交通能耗指标体系，定期对能耗情况及指标进行分析，提出节能改进措施和建议，评价分值为5分。</w:t>
      </w:r>
    </w:p>
    <w:p>
      <w:pPr>
        <w:pStyle w:val="2"/>
        <w:spacing w:before="624" w:after="624"/>
      </w:pPr>
      <w:r>
        <w:rPr>
          <w:rFonts w:hint="eastAsia"/>
        </w:rPr>
        <w:t xml:space="preserve">10 </w:t>
      </w:r>
      <w:r>
        <w:t xml:space="preserve"> 提高创新</w:t>
      </w:r>
      <w:bookmarkEnd w:id="49"/>
      <w:bookmarkEnd w:id="52"/>
    </w:p>
    <w:p>
      <w:pPr>
        <w:pStyle w:val="3"/>
        <w:spacing w:before="468" w:after="468"/>
      </w:pPr>
      <w:bookmarkStart w:id="53" w:name="_Toc60822245"/>
      <w:bookmarkStart w:id="54" w:name="_Toc77584239"/>
      <w:r>
        <w:rPr>
          <w:rFonts w:hint="eastAsia"/>
        </w:rPr>
        <w:t>10</w:t>
      </w:r>
      <w:r>
        <w:t>.1</w:t>
      </w:r>
      <w:bookmarkEnd w:id="53"/>
      <w:r>
        <w:rPr>
          <w:rFonts w:hint="eastAsia"/>
        </w:rPr>
        <w:t xml:space="preserve">  </w:t>
      </w:r>
      <w:r>
        <w:t>一般规定</w:t>
      </w:r>
      <w:bookmarkEnd w:id="54"/>
    </w:p>
    <w:p>
      <w:pPr>
        <w:spacing w:line="360" w:lineRule="auto"/>
        <w:rPr>
          <w:rFonts w:ascii="宋体" w:hAnsi="宋体" w:eastAsia="宋体"/>
          <w:sz w:val="24"/>
          <w:szCs w:val="24"/>
        </w:rPr>
      </w:pPr>
      <w:r>
        <w:rPr>
          <w:rFonts w:hint="eastAsia" w:ascii="宋体" w:hAnsi="宋体" w:eastAsia="宋体"/>
          <w:b/>
          <w:sz w:val="24"/>
          <w:szCs w:val="24"/>
        </w:rPr>
        <w:t xml:space="preserve">10.1.1  </w:t>
      </w:r>
      <w:r>
        <w:rPr>
          <w:rFonts w:hint="eastAsia" w:ascii="宋体" w:hAnsi="宋体" w:eastAsia="宋体"/>
          <w:sz w:val="24"/>
          <w:szCs w:val="24"/>
        </w:rPr>
        <w:t>绿色轨道交通评价时，应按本章规定对提高创新进行评价。</w:t>
      </w:r>
    </w:p>
    <w:p>
      <w:pPr>
        <w:spacing w:line="360" w:lineRule="auto"/>
        <w:rPr>
          <w:rFonts w:ascii="宋体" w:hAnsi="宋体" w:eastAsia="宋体"/>
        </w:rPr>
      </w:pPr>
      <w:r>
        <w:rPr>
          <w:rFonts w:hint="eastAsia" w:ascii="宋体" w:hAnsi="宋体" w:eastAsia="宋体"/>
          <w:b/>
          <w:sz w:val="24"/>
          <w:szCs w:val="24"/>
        </w:rPr>
        <w:t xml:space="preserve">10.1.2  </w:t>
      </w:r>
      <w:r>
        <w:rPr>
          <w:rFonts w:hint="eastAsia" w:ascii="宋体" w:hAnsi="宋体" w:eastAsia="宋体"/>
          <w:sz w:val="24"/>
          <w:szCs w:val="24"/>
        </w:rPr>
        <w:t>提高创新项得分为加分项之和,当得分大于100分时，应取为100分。</w:t>
      </w:r>
    </w:p>
    <w:p>
      <w:pPr>
        <w:pStyle w:val="3"/>
        <w:spacing w:before="468" w:after="468"/>
      </w:pPr>
      <w:bookmarkStart w:id="55" w:name="_Toc77584240"/>
      <w:bookmarkStart w:id="56" w:name="_Toc60822246"/>
      <w:r>
        <w:t>10.2</w:t>
      </w:r>
      <w:r>
        <w:rPr>
          <w:rFonts w:hint="eastAsia"/>
        </w:rPr>
        <w:t xml:space="preserve">  </w:t>
      </w:r>
      <w:r>
        <w:t>加分项</w:t>
      </w:r>
      <w:bookmarkEnd w:id="55"/>
      <w:bookmarkEnd w:id="56"/>
    </w:p>
    <w:p>
      <w:pPr>
        <w:spacing w:line="360" w:lineRule="auto"/>
        <w:jc w:val="left"/>
        <w:rPr>
          <w:rFonts w:ascii="宋体" w:hAnsi="宋体" w:eastAsia="宋体"/>
          <w:sz w:val="24"/>
          <w:szCs w:val="24"/>
        </w:rPr>
      </w:pPr>
      <w:r>
        <w:rPr>
          <w:rFonts w:hint="eastAsia" w:ascii="宋体" w:hAnsi="宋体" w:eastAsia="宋体"/>
          <w:b/>
          <w:sz w:val="24"/>
          <w:szCs w:val="24"/>
        </w:rPr>
        <w:t xml:space="preserve">10.2.1  </w:t>
      </w:r>
      <w:r>
        <w:rPr>
          <w:rFonts w:ascii="宋体" w:hAnsi="宋体" w:eastAsia="宋体"/>
          <w:sz w:val="24"/>
          <w:szCs w:val="24"/>
        </w:rPr>
        <w:t>采用在线智能设备实时监测轨道动态几何尺寸、关键轨道设备服役状态等，提高轨道设备系统的可靠性，评价分值为</w:t>
      </w:r>
      <w:r>
        <w:rPr>
          <w:rFonts w:hint="eastAsia" w:ascii="宋体" w:hAnsi="宋体" w:eastAsia="宋体"/>
          <w:sz w:val="24"/>
          <w:szCs w:val="24"/>
        </w:rPr>
        <w:t>4</w:t>
      </w:r>
      <w:r>
        <w:rPr>
          <w:rFonts w:ascii="宋体" w:hAnsi="宋体" w:eastAsia="宋体"/>
          <w:sz w:val="24"/>
          <w:szCs w:val="24"/>
        </w:rPr>
        <w:t>分。</w:t>
      </w:r>
    </w:p>
    <w:p>
      <w:pPr>
        <w:spacing w:line="360" w:lineRule="auto"/>
        <w:jc w:val="left"/>
        <w:rPr>
          <w:rFonts w:ascii="宋体" w:hAnsi="宋体" w:eastAsia="宋体"/>
          <w:sz w:val="24"/>
          <w:szCs w:val="24"/>
        </w:rPr>
      </w:pPr>
      <w:r>
        <w:rPr>
          <w:rFonts w:hint="eastAsia" w:ascii="宋体" w:hAnsi="宋体" w:eastAsia="宋体"/>
          <w:b/>
          <w:sz w:val="24"/>
          <w:szCs w:val="24"/>
        </w:rPr>
        <w:t xml:space="preserve">10.2.2  </w:t>
      </w:r>
      <w:r>
        <w:rPr>
          <w:rFonts w:ascii="宋体" w:hAnsi="宋体" w:eastAsia="宋体"/>
          <w:sz w:val="24"/>
          <w:szCs w:val="24"/>
        </w:rPr>
        <w:t>采用预制装配式轨道，评价总分值为</w:t>
      </w:r>
      <w:r>
        <w:rPr>
          <w:rFonts w:hint="eastAsia" w:ascii="宋体" w:hAnsi="宋体" w:eastAsia="宋体"/>
          <w:sz w:val="24"/>
          <w:szCs w:val="24"/>
        </w:rPr>
        <w:t>4</w:t>
      </w:r>
      <w:r>
        <w:rPr>
          <w:rFonts w:ascii="宋体" w:hAnsi="宋体" w:eastAsia="宋体"/>
          <w:sz w:val="24"/>
          <w:szCs w:val="24"/>
        </w:rPr>
        <w:t>分，并按下列规则分别评分并累计：</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w:t>
      </w:r>
      <w:r>
        <w:rPr>
          <w:rFonts w:ascii="宋体" w:hAnsi="宋体" w:eastAsia="宋体"/>
          <w:sz w:val="24"/>
          <w:szCs w:val="24"/>
        </w:rPr>
        <w:t>正线</w:t>
      </w:r>
      <w:r>
        <w:rPr>
          <w:rFonts w:hint="eastAsia" w:ascii="宋体" w:hAnsi="宋体" w:eastAsia="宋体"/>
          <w:sz w:val="24"/>
          <w:szCs w:val="24"/>
        </w:rPr>
        <w:t>减振浮置板道床采用</w:t>
      </w:r>
      <w:r>
        <w:rPr>
          <w:rFonts w:ascii="宋体" w:hAnsi="宋体" w:eastAsia="宋体"/>
          <w:sz w:val="24"/>
          <w:szCs w:val="24"/>
        </w:rPr>
        <w:t>预制轨道</w:t>
      </w:r>
      <w:r>
        <w:rPr>
          <w:rFonts w:hint="eastAsia" w:ascii="宋体" w:hAnsi="宋体" w:eastAsia="宋体"/>
          <w:sz w:val="24"/>
          <w:szCs w:val="24"/>
        </w:rPr>
        <w:t>板，</w:t>
      </w:r>
      <w:r>
        <w:rPr>
          <w:rFonts w:ascii="宋体" w:hAnsi="宋体" w:eastAsia="宋体"/>
          <w:sz w:val="24"/>
          <w:szCs w:val="24"/>
        </w:rPr>
        <w:t>得</w:t>
      </w:r>
      <w:r>
        <w:rPr>
          <w:rFonts w:hint="eastAsia" w:ascii="宋体" w:hAnsi="宋体" w:eastAsia="宋体"/>
          <w:sz w:val="24"/>
          <w:szCs w:val="24"/>
        </w:rPr>
        <w:t>2</w:t>
      </w:r>
      <w:r>
        <w:rPr>
          <w:rFonts w:ascii="宋体" w:hAnsi="宋体" w:eastAsia="宋体"/>
          <w:sz w:val="24"/>
          <w:szCs w:val="24"/>
        </w:rPr>
        <w:t>分；</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w:t>
      </w:r>
      <w:r>
        <w:rPr>
          <w:rFonts w:ascii="宋体" w:hAnsi="宋体" w:eastAsia="宋体"/>
          <w:sz w:val="24"/>
          <w:szCs w:val="24"/>
        </w:rPr>
        <w:t>正线预制轨道使用率达到</w:t>
      </w:r>
      <w:r>
        <w:rPr>
          <w:rFonts w:hint="eastAsia" w:ascii="宋体" w:hAnsi="宋体" w:eastAsia="宋体"/>
          <w:sz w:val="24"/>
          <w:szCs w:val="24"/>
        </w:rPr>
        <w:t>8</w:t>
      </w:r>
      <w:r>
        <w:rPr>
          <w:rFonts w:ascii="宋体" w:hAnsi="宋体" w:eastAsia="宋体"/>
          <w:sz w:val="24"/>
          <w:szCs w:val="24"/>
        </w:rPr>
        <w:t>0%，得</w:t>
      </w:r>
      <w:r>
        <w:rPr>
          <w:rFonts w:hint="eastAsia" w:ascii="宋体" w:hAnsi="宋体" w:eastAsia="宋体"/>
          <w:sz w:val="24"/>
          <w:szCs w:val="24"/>
        </w:rPr>
        <w:t>2</w:t>
      </w:r>
      <w:r>
        <w:rPr>
          <w:rFonts w:ascii="宋体" w:hAnsi="宋体" w:eastAsia="宋体"/>
          <w:sz w:val="24"/>
          <w:szCs w:val="24"/>
        </w:rPr>
        <w:t>分。</w:t>
      </w:r>
    </w:p>
    <w:p>
      <w:pPr>
        <w:spacing w:line="360" w:lineRule="auto"/>
        <w:jc w:val="left"/>
        <w:rPr>
          <w:rFonts w:ascii="宋体" w:hAnsi="宋体" w:eastAsia="宋体"/>
          <w:sz w:val="24"/>
          <w:szCs w:val="24"/>
        </w:rPr>
      </w:pPr>
      <w:r>
        <w:rPr>
          <w:rFonts w:hint="eastAsia" w:ascii="宋体" w:hAnsi="宋体" w:eastAsia="宋体"/>
          <w:b/>
          <w:sz w:val="24"/>
          <w:szCs w:val="24"/>
        </w:rPr>
        <w:t xml:space="preserve">10.2.3  </w:t>
      </w:r>
      <w:r>
        <w:rPr>
          <w:rFonts w:hint="eastAsia" w:ascii="宋体" w:hAnsi="宋体" w:eastAsia="宋体"/>
          <w:sz w:val="24"/>
          <w:szCs w:val="24"/>
        </w:rPr>
        <w:t>走行轨作为回流导体时，受杂散电流影响大的敏感地段，在轨枕、道床或扣件上采取加强绝缘的防护措施，</w:t>
      </w:r>
      <w:r>
        <w:rPr>
          <w:rFonts w:ascii="宋体" w:hAnsi="宋体" w:eastAsia="宋体"/>
          <w:sz w:val="24"/>
          <w:szCs w:val="24"/>
        </w:rPr>
        <w:t>评价分值为</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10.2.4  </w:t>
      </w:r>
      <w:r>
        <w:rPr>
          <w:rFonts w:hint="eastAsia" w:ascii="宋体" w:hAnsi="宋体" w:eastAsia="宋体" w:cs="Times New Roman"/>
          <w:sz w:val="24"/>
          <w:szCs w:val="24"/>
        </w:rPr>
        <w:t>轨道交通车站内部公共空间的场所营造，车站外部在出入口设置口袋公园，</w:t>
      </w:r>
      <w:r>
        <w:rPr>
          <w:rFonts w:hint="eastAsia" w:ascii="宋体" w:hAnsi="宋体" w:eastAsia="宋体"/>
          <w:sz w:val="24"/>
          <w:szCs w:val="24"/>
        </w:rPr>
        <w:t>评价分值为8</w:t>
      </w:r>
      <w:r>
        <w:rPr>
          <w:rFonts w:hint="eastAsia" w:ascii="宋体" w:hAnsi="宋体" w:eastAsia="宋体" w:cs="Times New Roman"/>
          <w:sz w:val="24"/>
          <w:szCs w:val="24"/>
        </w:rPr>
        <w:t>分</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10.2.5  </w:t>
      </w:r>
      <w:r>
        <w:rPr>
          <w:rFonts w:hint="eastAsia" w:ascii="宋体" w:hAnsi="宋体" w:eastAsia="宋体"/>
          <w:sz w:val="24"/>
          <w:szCs w:val="24"/>
        </w:rPr>
        <w:t>车站与城市历史文化展示、公益事业结合，体现城市文化特质和公益属性，评价分值为5分。</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10.2.</w:t>
      </w:r>
      <w:r>
        <w:rPr>
          <w:rFonts w:hint="eastAsia" w:ascii="宋体" w:hAnsi="宋体" w:eastAsia="宋体"/>
          <w:b/>
          <w:sz w:val="24"/>
          <w:szCs w:val="24"/>
        </w:rPr>
        <w:t xml:space="preserve">6  </w:t>
      </w:r>
      <w:r>
        <w:rPr>
          <w:rFonts w:hint="eastAsia" w:ascii="宋体" w:hAnsi="宋体" w:eastAsia="宋体" w:cs="宋体"/>
          <w:sz w:val="24"/>
          <w:szCs w:val="24"/>
        </w:rPr>
        <w:t>冷却水补水使用非传统水源，评价总分值为3分，并按下列规则评分：</w:t>
      </w:r>
    </w:p>
    <w:p>
      <w:pPr>
        <w:adjustRightInd w:val="0"/>
        <w:snapToGrid w:val="0"/>
        <w:spacing w:line="360" w:lineRule="auto"/>
        <w:ind w:firstLine="482" w:firstLineChars="200"/>
        <w:jc w:val="left"/>
        <w:rPr>
          <w:rFonts w:ascii="宋体" w:hAnsi="宋体" w:eastAsia="宋体" w:cs="Times New Roman"/>
          <w:sz w:val="24"/>
          <w:szCs w:val="24"/>
        </w:rPr>
      </w:pPr>
      <w:r>
        <w:rPr>
          <w:rFonts w:ascii="宋体" w:hAnsi="宋体" w:eastAsia="宋体" w:cs="Times New Roman"/>
          <w:b/>
          <w:sz w:val="24"/>
          <w:szCs w:val="24"/>
        </w:rPr>
        <w:t>1</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宋体"/>
          <w:sz w:val="24"/>
          <w:szCs w:val="24"/>
        </w:rPr>
        <w:t>冷却水补水使用非传统水源的量占冷却水补水总用水量的比例大于等于</w:t>
      </w:r>
      <w:r>
        <w:rPr>
          <w:rFonts w:ascii="宋体" w:hAnsi="宋体" w:eastAsia="宋体" w:cs="Times New Roman"/>
          <w:sz w:val="24"/>
          <w:szCs w:val="24"/>
        </w:rPr>
        <w:t>10%</w:t>
      </w:r>
      <w:r>
        <w:rPr>
          <w:rFonts w:hint="eastAsia" w:ascii="宋体" w:hAnsi="宋体" w:eastAsia="宋体" w:cs="宋体"/>
          <w:sz w:val="24"/>
          <w:szCs w:val="24"/>
        </w:rPr>
        <w:t>、小于</w:t>
      </w:r>
      <w:r>
        <w:rPr>
          <w:rFonts w:ascii="宋体" w:hAnsi="宋体" w:eastAsia="宋体" w:cs="Times New Roman"/>
          <w:sz w:val="24"/>
          <w:szCs w:val="24"/>
        </w:rPr>
        <w:t>30%</w:t>
      </w:r>
      <w:r>
        <w:rPr>
          <w:rFonts w:hint="eastAsia" w:ascii="宋体" w:hAnsi="宋体" w:eastAsia="宋体" w:cs="宋体"/>
          <w:sz w:val="24"/>
          <w:szCs w:val="24"/>
        </w:rPr>
        <w:t>，得</w:t>
      </w:r>
      <w:r>
        <w:rPr>
          <w:rFonts w:hint="eastAsia" w:ascii="宋体" w:hAnsi="宋体" w:eastAsia="宋体" w:cs="Times New Roman"/>
          <w:sz w:val="24"/>
          <w:szCs w:val="24"/>
        </w:rPr>
        <w:t>1</w:t>
      </w:r>
      <w:r>
        <w:rPr>
          <w:rFonts w:hint="eastAsia" w:ascii="宋体" w:hAnsi="宋体" w:eastAsia="宋体" w:cs="宋体"/>
          <w:sz w:val="24"/>
          <w:szCs w:val="24"/>
        </w:rPr>
        <w:t>分；</w:t>
      </w:r>
    </w:p>
    <w:p>
      <w:pPr>
        <w:adjustRightInd w:val="0"/>
        <w:snapToGrid w:val="0"/>
        <w:spacing w:line="360" w:lineRule="auto"/>
        <w:ind w:firstLine="482" w:firstLineChars="200"/>
        <w:jc w:val="left"/>
        <w:rPr>
          <w:rFonts w:ascii="宋体" w:hAnsi="宋体" w:eastAsia="宋体" w:cs="Times New Roman"/>
          <w:sz w:val="24"/>
          <w:szCs w:val="24"/>
        </w:rPr>
      </w:pPr>
      <w:r>
        <w:rPr>
          <w:rFonts w:ascii="宋体" w:hAnsi="宋体" w:eastAsia="宋体" w:cs="Times New Roman"/>
          <w:b/>
          <w:sz w:val="24"/>
          <w:szCs w:val="24"/>
        </w:rPr>
        <w:t>2</w:t>
      </w:r>
      <w:r>
        <w:rPr>
          <w:rFonts w:hint="eastAsia" w:ascii="宋体" w:hAnsi="宋体" w:eastAsia="宋体" w:cs="Times New Roman"/>
          <w:sz w:val="24"/>
          <w:szCs w:val="24"/>
        </w:rPr>
        <w:t xml:space="preserve">  </w:t>
      </w:r>
      <w:r>
        <w:rPr>
          <w:rFonts w:hint="eastAsia" w:ascii="宋体" w:hAnsi="宋体" w:eastAsia="宋体" w:cs="宋体"/>
          <w:sz w:val="24"/>
          <w:szCs w:val="24"/>
        </w:rPr>
        <w:t>冷却水补水使用非传统水源的量占冷却水补水总用水量的比例大于等于</w:t>
      </w:r>
      <w:r>
        <w:rPr>
          <w:rFonts w:ascii="宋体" w:hAnsi="宋体" w:eastAsia="宋体" w:cs="Times New Roman"/>
          <w:sz w:val="24"/>
          <w:szCs w:val="24"/>
        </w:rPr>
        <w:t>30%</w:t>
      </w:r>
      <w:r>
        <w:rPr>
          <w:rFonts w:hint="eastAsia" w:ascii="宋体" w:hAnsi="宋体" w:eastAsia="宋体" w:cs="宋体"/>
          <w:sz w:val="24"/>
          <w:szCs w:val="24"/>
        </w:rPr>
        <w:t>、小于</w:t>
      </w:r>
      <w:r>
        <w:rPr>
          <w:rFonts w:ascii="宋体" w:hAnsi="宋体" w:eastAsia="宋体" w:cs="Times New Roman"/>
          <w:sz w:val="24"/>
          <w:szCs w:val="24"/>
        </w:rPr>
        <w:t>50%</w:t>
      </w:r>
      <w:r>
        <w:rPr>
          <w:rFonts w:hint="eastAsia" w:ascii="宋体" w:hAnsi="宋体" w:eastAsia="宋体" w:cs="宋体"/>
          <w:sz w:val="24"/>
          <w:szCs w:val="24"/>
        </w:rPr>
        <w:t>，得</w:t>
      </w:r>
      <w:r>
        <w:rPr>
          <w:rFonts w:hint="eastAsia" w:ascii="宋体" w:hAnsi="宋体" w:eastAsia="宋体" w:cs="Times New Roman"/>
          <w:sz w:val="24"/>
          <w:szCs w:val="24"/>
        </w:rPr>
        <w:t>2</w:t>
      </w:r>
      <w:r>
        <w:rPr>
          <w:rFonts w:hint="eastAsia" w:ascii="宋体" w:hAnsi="宋体" w:eastAsia="宋体" w:cs="宋体"/>
          <w:sz w:val="24"/>
          <w:szCs w:val="24"/>
        </w:rPr>
        <w:t>分；</w:t>
      </w:r>
    </w:p>
    <w:p>
      <w:pPr>
        <w:adjustRightInd w:val="0"/>
        <w:snapToGrid w:val="0"/>
        <w:spacing w:line="360" w:lineRule="auto"/>
        <w:ind w:firstLine="482" w:firstLineChars="200"/>
        <w:jc w:val="left"/>
        <w:rPr>
          <w:rFonts w:ascii="宋体" w:hAnsi="宋体" w:eastAsia="宋体" w:cs="宋体"/>
          <w:sz w:val="24"/>
          <w:szCs w:val="24"/>
        </w:rPr>
      </w:pPr>
      <w:r>
        <w:rPr>
          <w:rFonts w:ascii="宋体" w:hAnsi="宋体" w:eastAsia="宋体" w:cs="Times New Roman"/>
          <w:b/>
          <w:sz w:val="24"/>
          <w:szCs w:val="24"/>
        </w:rPr>
        <w:t>3</w:t>
      </w:r>
      <w:r>
        <w:rPr>
          <w:rFonts w:hint="eastAsia" w:ascii="宋体" w:hAnsi="宋体" w:eastAsia="宋体" w:cs="Times New Roman"/>
          <w:sz w:val="24"/>
          <w:szCs w:val="24"/>
        </w:rPr>
        <w:t xml:space="preserve">  </w:t>
      </w:r>
      <w:r>
        <w:rPr>
          <w:rFonts w:hint="eastAsia" w:ascii="宋体" w:hAnsi="宋体" w:eastAsia="宋体" w:cs="宋体"/>
          <w:sz w:val="24"/>
          <w:szCs w:val="24"/>
        </w:rPr>
        <w:t>冷却水补水使用非传统水源的量占冷却水补水总用水量的比例大于等于</w:t>
      </w:r>
      <w:r>
        <w:rPr>
          <w:rFonts w:ascii="宋体" w:hAnsi="宋体" w:eastAsia="宋体" w:cs="Times New Roman"/>
          <w:sz w:val="24"/>
          <w:szCs w:val="24"/>
        </w:rPr>
        <w:t>50%</w:t>
      </w:r>
      <w:r>
        <w:rPr>
          <w:rFonts w:hint="eastAsia" w:ascii="宋体" w:hAnsi="宋体" w:eastAsia="宋体" w:cs="宋体"/>
          <w:sz w:val="24"/>
          <w:szCs w:val="24"/>
        </w:rPr>
        <w:t>，得</w:t>
      </w:r>
      <w:r>
        <w:rPr>
          <w:rFonts w:hint="eastAsia" w:ascii="宋体" w:hAnsi="宋体" w:eastAsia="宋体" w:cs="Times New Roman"/>
          <w:sz w:val="24"/>
          <w:szCs w:val="24"/>
        </w:rPr>
        <w:t>3</w:t>
      </w:r>
      <w:r>
        <w:rPr>
          <w:rFonts w:hint="eastAsia" w:ascii="宋体" w:hAnsi="宋体" w:eastAsia="宋体" w:cs="宋体"/>
          <w:sz w:val="24"/>
          <w:szCs w:val="24"/>
        </w:rPr>
        <w:t>分。</w:t>
      </w:r>
    </w:p>
    <w:p>
      <w:pPr>
        <w:spacing w:line="360" w:lineRule="auto"/>
        <w:jc w:val="left"/>
        <w:rPr>
          <w:rFonts w:ascii="宋体" w:hAnsi="宋体" w:eastAsia="宋体"/>
          <w:b/>
          <w:sz w:val="24"/>
          <w:szCs w:val="24"/>
        </w:rPr>
      </w:pPr>
      <w:r>
        <w:rPr>
          <w:rFonts w:hint="eastAsia" w:ascii="宋体" w:hAnsi="宋体" w:eastAsia="宋体"/>
          <w:b/>
          <w:sz w:val="24"/>
          <w:szCs w:val="24"/>
        </w:rPr>
        <w:t xml:space="preserve">10.2.7  </w:t>
      </w:r>
      <w:r>
        <w:rPr>
          <w:rFonts w:hint="eastAsia" w:ascii="宋体" w:hAnsi="宋体" w:eastAsia="宋体"/>
          <w:sz w:val="24"/>
          <w:szCs w:val="24"/>
        </w:rPr>
        <w:t>城市轨道交通供电系统线网进行充分资源共享，实施线间中压网络互联，并能通过线网智能调控，从线网层面实现系统的自动趋优运行和系统自愈，评价分值为5分</w:t>
      </w:r>
      <w:r>
        <w:rPr>
          <w:rFonts w:hint="eastAsia" w:ascii="宋体" w:hAnsi="宋体" w:eastAsia="宋体"/>
          <w:b/>
          <w:sz w:val="24"/>
          <w:szCs w:val="24"/>
        </w:rPr>
        <w:t>。</w:t>
      </w:r>
    </w:p>
    <w:p>
      <w:pPr>
        <w:spacing w:line="360" w:lineRule="auto"/>
        <w:jc w:val="left"/>
        <w:rPr>
          <w:rFonts w:ascii="宋体" w:hAnsi="宋体" w:eastAsia="宋体"/>
          <w:sz w:val="24"/>
          <w:szCs w:val="24"/>
        </w:rPr>
      </w:pPr>
      <w:r>
        <w:rPr>
          <w:rFonts w:hint="eastAsia" w:ascii="宋体" w:hAnsi="宋体" w:eastAsia="宋体"/>
          <w:b/>
          <w:sz w:val="24"/>
          <w:szCs w:val="24"/>
        </w:rPr>
        <w:t xml:space="preserve">10.2.8  </w:t>
      </w:r>
      <w:r>
        <w:rPr>
          <w:rFonts w:hint="eastAsia" w:ascii="宋体" w:hAnsi="宋体" w:eastAsia="宋体"/>
          <w:sz w:val="24"/>
          <w:szCs w:val="24"/>
        </w:rPr>
        <w:t>选用绿色、环保的供电设备，评价总分值为3分，按下列规则分别评分并累计：</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采用环保绝缘开关设备，得1分；</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110kV主变压器采用植物油绝缘油浸式电力变压器或干式电力变压器等环保产品，得1分；</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采用其他绿色、环保设备，每增加一类产品得1分。</w:t>
      </w:r>
    </w:p>
    <w:p>
      <w:pPr>
        <w:adjustRightInd w:val="0"/>
        <w:snapToGrid w:val="0"/>
        <w:spacing w:line="360" w:lineRule="auto"/>
        <w:rPr>
          <w:rFonts w:ascii="宋体" w:hAnsi="宋体" w:eastAsia="宋体"/>
          <w:sz w:val="24"/>
          <w:szCs w:val="28"/>
        </w:rPr>
      </w:pPr>
      <w:r>
        <w:rPr>
          <w:rFonts w:ascii="宋体" w:hAnsi="宋体" w:eastAsia="宋体"/>
          <w:b/>
          <w:sz w:val="24"/>
          <w:szCs w:val="24"/>
        </w:rPr>
        <w:t>10.2.</w:t>
      </w:r>
      <w:r>
        <w:rPr>
          <w:rFonts w:hint="eastAsia" w:ascii="宋体" w:hAnsi="宋体" w:eastAsia="宋体"/>
          <w:b/>
          <w:sz w:val="24"/>
          <w:szCs w:val="24"/>
        </w:rPr>
        <w:t xml:space="preserve">9  </w:t>
      </w:r>
      <w:r>
        <w:rPr>
          <w:rFonts w:hint="eastAsia" w:ascii="宋体" w:hAnsi="宋体" w:eastAsia="宋体"/>
          <w:sz w:val="24"/>
          <w:szCs w:val="28"/>
        </w:rPr>
        <w:t>行车调度指挥的相关设备系统可根据全线网、车站客流预测结果及相关数据，实现列车运行计划动态调整</w:t>
      </w:r>
      <w:r>
        <w:rPr>
          <w:rFonts w:ascii="宋体" w:hAnsi="宋体" w:eastAsia="宋体"/>
          <w:sz w:val="24"/>
          <w:szCs w:val="28"/>
        </w:rPr>
        <w:t>,</w:t>
      </w:r>
      <w:r>
        <w:rPr>
          <w:rFonts w:ascii="宋体" w:hAnsi="宋体" w:eastAsia="宋体"/>
          <w:sz w:val="24"/>
          <w:szCs w:val="24"/>
        </w:rPr>
        <w:t xml:space="preserve"> 评价分值为</w:t>
      </w:r>
      <w:r>
        <w:rPr>
          <w:rFonts w:hint="eastAsia" w:ascii="宋体" w:hAnsi="宋体" w:eastAsia="宋体"/>
          <w:sz w:val="24"/>
          <w:szCs w:val="28"/>
        </w:rPr>
        <w:t>6</w:t>
      </w:r>
      <w:r>
        <w:rPr>
          <w:rFonts w:ascii="宋体" w:hAnsi="宋体" w:eastAsia="宋体"/>
          <w:sz w:val="24"/>
          <w:szCs w:val="28"/>
        </w:rPr>
        <w:t>分</w:t>
      </w:r>
      <w:r>
        <w:rPr>
          <w:rFonts w:hint="eastAsia" w:ascii="宋体" w:hAnsi="宋体" w:eastAsia="宋体"/>
          <w:sz w:val="24"/>
          <w:szCs w:val="28"/>
        </w:rPr>
        <w:t>。</w:t>
      </w:r>
    </w:p>
    <w:p>
      <w:pPr>
        <w:adjustRightInd w:val="0"/>
        <w:snapToGrid w:val="0"/>
        <w:spacing w:line="360" w:lineRule="auto"/>
        <w:rPr>
          <w:rFonts w:ascii="宋体" w:hAnsi="宋体" w:eastAsia="宋体"/>
          <w:sz w:val="24"/>
          <w:szCs w:val="28"/>
        </w:rPr>
      </w:pPr>
      <w:r>
        <w:rPr>
          <w:rFonts w:ascii="宋体" w:hAnsi="宋体" w:eastAsia="宋体"/>
          <w:b/>
          <w:sz w:val="24"/>
          <w:szCs w:val="24"/>
        </w:rPr>
        <w:t>10.2.1</w:t>
      </w:r>
      <w:r>
        <w:rPr>
          <w:rFonts w:hint="eastAsia" w:ascii="宋体" w:hAnsi="宋体" w:eastAsia="宋体"/>
          <w:b/>
          <w:sz w:val="24"/>
          <w:szCs w:val="24"/>
        </w:rPr>
        <w:t xml:space="preserve">0  </w:t>
      </w:r>
      <w:r>
        <w:rPr>
          <w:rFonts w:hint="eastAsia" w:ascii="宋体" w:hAnsi="宋体" w:eastAsia="宋体"/>
          <w:sz w:val="24"/>
          <w:szCs w:val="24"/>
        </w:rPr>
        <w:t>在基于通信的列车自动控制系统的基础上，结合智能视频分析技术、雷达通信技术等多种主动传感探测方式实现融合式轨道环境感知及精准探测障碍物的功能，以保障列车在复杂运营环境下的安全运行</w:t>
      </w:r>
      <w:r>
        <w:rPr>
          <w:rFonts w:hint="eastAsia" w:ascii="宋体" w:hAnsi="宋体" w:eastAsia="宋体"/>
          <w:sz w:val="24"/>
          <w:szCs w:val="28"/>
        </w:rPr>
        <w:t>，</w:t>
      </w:r>
      <w:r>
        <w:rPr>
          <w:rFonts w:ascii="宋体" w:hAnsi="宋体" w:eastAsia="宋体"/>
          <w:sz w:val="24"/>
          <w:szCs w:val="24"/>
        </w:rPr>
        <w:t>评价分值为</w:t>
      </w:r>
      <w:r>
        <w:rPr>
          <w:rFonts w:hint="eastAsia" w:ascii="宋体" w:hAnsi="宋体" w:eastAsia="宋体"/>
          <w:sz w:val="24"/>
          <w:szCs w:val="28"/>
        </w:rPr>
        <w:t>4分。</w:t>
      </w:r>
    </w:p>
    <w:p>
      <w:pPr>
        <w:adjustRightInd w:val="0"/>
        <w:snapToGrid w:val="0"/>
        <w:spacing w:line="360" w:lineRule="auto"/>
        <w:rPr>
          <w:rFonts w:ascii="宋体" w:hAnsi="宋体" w:eastAsia="宋体" w:cs="Times New Roman"/>
          <w:bCs/>
          <w:sz w:val="24"/>
          <w:szCs w:val="24"/>
        </w:rPr>
      </w:pPr>
      <w:r>
        <w:rPr>
          <w:rFonts w:ascii="宋体" w:hAnsi="宋体" w:eastAsia="宋体"/>
          <w:b/>
          <w:sz w:val="24"/>
          <w:szCs w:val="24"/>
        </w:rPr>
        <w:t>10.2.1</w:t>
      </w:r>
      <w:r>
        <w:rPr>
          <w:rFonts w:hint="eastAsia" w:ascii="宋体" w:hAnsi="宋体" w:eastAsia="宋体"/>
          <w:b/>
          <w:sz w:val="24"/>
          <w:szCs w:val="24"/>
        </w:rPr>
        <w:t xml:space="preserve">1  </w:t>
      </w:r>
      <w:r>
        <w:rPr>
          <w:rFonts w:hint="eastAsia" w:ascii="宋体" w:hAnsi="宋体" w:eastAsia="宋体" w:cs="Times New Roman"/>
          <w:bCs/>
          <w:sz w:val="24"/>
          <w:szCs w:val="24"/>
        </w:rPr>
        <w:t>采用智能视频、网络等前沿技术，提高消防救援能力，评价总分值为4分，并按下列规则分别评分并累计；</w:t>
      </w:r>
    </w:p>
    <w:p>
      <w:pPr>
        <w:adjustRightInd w:val="0"/>
        <w:snapToGrid w:val="0"/>
        <w:spacing w:line="360" w:lineRule="auto"/>
        <w:ind w:firstLine="482" w:firstLineChars="200"/>
        <w:rPr>
          <w:rFonts w:ascii="宋体" w:hAnsi="宋体" w:eastAsia="宋体"/>
          <w:sz w:val="24"/>
          <w:szCs w:val="28"/>
        </w:rPr>
      </w:pPr>
      <w:r>
        <w:rPr>
          <w:rFonts w:ascii="宋体" w:hAnsi="宋体" w:eastAsia="宋体" w:cs="Times New Roman"/>
          <w:b/>
          <w:bCs/>
          <w:sz w:val="24"/>
          <w:szCs w:val="24"/>
        </w:rPr>
        <w:t>1</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hint="eastAsia" w:ascii="宋体" w:hAnsi="宋体" w:eastAsia="宋体"/>
          <w:sz w:val="24"/>
          <w:szCs w:val="28"/>
        </w:rPr>
        <w:t>利用视频智能分析作为判断火情的辅助决策手段，</w:t>
      </w:r>
      <w:r>
        <w:rPr>
          <w:rFonts w:hint="eastAsia" w:ascii="宋体" w:hAnsi="宋体" w:eastAsia="宋体"/>
          <w:sz w:val="24"/>
          <w:szCs w:val="24"/>
        </w:rPr>
        <w:t>得2</w:t>
      </w:r>
      <w:r>
        <w:rPr>
          <w:rFonts w:ascii="宋体" w:hAnsi="宋体" w:eastAsia="宋体"/>
          <w:sz w:val="24"/>
          <w:szCs w:val="28"/>
        </w:rPr>
        <w:t>分；</w:t>
      </w:r>
    </w:p>
    <w:p>
      <w:pPr>
        <w:adjustRightInd w:val="0"/>
        <w:snapToGrid w:val="0"/>
        <w:spacing w:line="360" w:lineRule="auto"/>
        <w:ind w:firstLine="482" w:firstLineChars="200"/>
        <w:rPr>
          <w:rFonts w:ascii="宋体" w:hAnsi="宋体" w:eastAsia="宋体"/>
          <w:sz w:val="24"/>
          <w:szCs w:val="28"/>
        </w:rPr>
      </w:pPr>
      <w:r>
        <w:rPr>
          <w:rFonts w:ascii="宋体" w:hAnsi="宋体" w:eastAsia="宋体"/>
          <w:b/>
          <w:sz w:val="24"/>
          <w:szCs w:val="28"/>
        </w:rPr>
        <w:t>2</w:t>
      </w:r>
      <w:r>
        <w:rPr>
          <w:rFonts w:ascii="宋体" w:hAnsi="宋体" w:eastAsia="宋体"/>
          <w:sz w:val="24"/>
          <w:szCs w:val="28"/>
        </w:rPr>
        <w:t xml:space="preserve"> </w:t>
      </w:r>
      <w:r>
        <w:rPr>
          <w:rFonts w:hint="eastAsia" w:ascii="宋体" w:hAnsi="宋体" w:eastAsia="宋体"/>
          <w:sz w:val="24"/>
          <w:szCs w:val="28"/>
        </w:rPr>
        <w:t xml:space="preserve"> 利用物联网、</w:t>
      </w:r>
      <w:r>
        <w:rPr>
          <w:rFonts w:ascii="宋体" w:hAnsi="宋体" w:eastAsia="宋体"/>
          <w:sz w:val="24"/>
          <w:szCs w:val="28"/>
        </w:rPr>
        <w:t>移动互联网+</w:t>
      </w:r>
      <w:r>
        <w:rPr>
          <w:rFonts w:hint="eastAsia" w:ascii="宋体" w:hAnsi="宋体" w:eastAsia="宋体"/>
          <w:sz w:val="24"/>
          <w:szCs w:val="28"/>
        </w:rPr>
        <w:t>等技术</w:t>
      </w:r>
      <w:r>
        <w:rPr>
          <w:rFonts w:ascii="宋体" w:hAnsi="宋体" w:eastAsia="宋体"/>
          <w:sz w:val="24"/>
          <w:szCs w:val="28"/>
        </w:rPr>
        <w:t>，实现火灾报警设备位置及状态</w:t>
      </w:r>
      <w:r>
        <w:rPr>
          <w:rFonts w:hint="eastAsia" w:ascii="宋体" w:hAnsi="宋体" w:eastAsia="宋体"/>
          <w:sz w:val="24"/>
          <w:szCs w:val="28"/>
        </w:rPr>
        <w:t>、相关现场视频、</w:t>
      </w:r>
      <w:r>
        <w:rPr>
          <w:rFonts w:ascii="宋体" w:hAnsi="宋体" w:eastAsia="宋体"/>
          <w:sz w:val="24"/>
          <w:szCs w:val="28"/>
        </w:rPr>
        <w:t>消防联动相关设备位置及状态、现场人员实时位置及其他设备设施位置</w:t>
      </w:r>
      <w:r>
        <w:rPr>
          <w:rFonts w:hint="eastAsia" w:ascii="宋体" w:hAnsi="宋体" w:eastAsia="宋体"/>
          <w:sz w:val="24"/>
          <w:szCs w:val="28"/>
        </w:rPr>
        <w:t>信息</w:t>
      </w:r>
      <w:r>
        <w:rPr>
          <w:rFonts w:ascii="宋体" w:hAnsi="宋体" w:eastAsia="宋体"/>
          <w:sz w:val="24"/>
          <w:szCs w:val="28"/>
        </w:rPr>
        <w:t>在同一画面显示</w:t>
      </w:r>
      <w:r>
        <w:rPr>
          <w:rFonts w:hint="eastAsia" w:ascii="宋体" w:hAnsi="宋体" w:eastAsia="宋体"/>
          <w:sz w:val="24"/>
          <w:szCs w:val="28"/>
        </w:rPr>
        <w:t>，为消防值班人员及消防救援人员提供及时有效的信息支持，得2</w:t>
      </w:r>
      <w:r>
        <w:rPr>
          <w:rFonts w:ascii="宋体" w:hAnsi="宋体" w:eastAsia="宋体"/>
          <w:sz w:val="24"/>
          <w:szCs w:val="28"/>
        </w:rPr>
        <w:t>分</w:t>
      </w:r>
      <w:r>
        <w:rPr>
          <w:rFonts w:hint="eastAsia" w:ascii="宋体" w:hAnsi="宋体" w:eastAsia="宋体"/>
          <w:sz w:val="24"/>
          <w:szCs w:val="28"/>
        </w:rPr>
        <w:t>。</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10.2.</w:t>
      </w:r>
      <w:r>
        <w:rPr>
          <w:rFonts w:hint="eastAsia" w:ascii="宋体" w:hAnsi="宋体" w:eastAsia="宋体"/>
          <w:b/>
          <w:sz w:val="24"/>
          <w:szCs w:val="24"/>
        </w:rPr>
        <w:t xml:space="preserve">12  </w:t>
      </w:r>
      <w:r>
        <w:rPr>
          <w:rFonts w:ascii="宋体" w:hAnsi="宋体" w:eastAsia="宋体"/>
          <w:sz w:val="24"/>
          <w:szCs w:val="24"/>
        </w:rPr>
        <w:t>综合利用各类环境参数、行车间隔时间、车站客流数据等信息，预测空调负荷，实现对通风空调系统的节能控制, 评价分值为</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10.2.</w:t>
      </w:r>
      <w:r>
        <w:rPr>
          <w:rFonts w:hint="eastAsia" w:ascii="宋体" w:hAnsi="宋体" w:eastAsia="宋体"/>
          <w:b/>
          <w:sz w:val="24"/>
          <w:szCs w:val="24"/>
        </w:rPr>
        <w:t xml:space="preserve">13  </w:t>
      </w:r>
      <w:r>
        <w:rPr>
          <w:rFonts w:ascii="宋体" w:hAnsi="宋体" w:eastAsia="宋体"/>
          <w:sz w:val="24"/>
          <w:szCs w:val="24"/>
        </w:rPr>
        <w:t>根据车站运营时间启停公共区空调系统，根据室外气象参数自动优化空调系统公共区温度设定值，并可在控制中心</w:t>
      </w:r>
      <w:r>
        <w:rPr>
          <w:rFonts w:hint="eastAsia" w:ascii="宋体" w:hAnsi="宋体" w:eastAsia="宋体"/>
          <w:sz w:val="24"/>
          <w:szCs w:val="24"/>
        </w:rPr>
        <w:t>及车控室</w:t>
      </w:r>
      <w:r>
        <w:rPr>
          <w:rFonts w:ascii="宋体" w:hAnsi="宋体" w:eastAsia="宋体"/>
          <w:sz w:val="24"/>
          <w:szCs w:val="24"/>
        </w:rPr>
        <w:t>预设公共区温度值, 评价分值为</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10.2.</w:t>
      </w:r>
      <w:r>
        <w:rPr>
          <w:rFonts w:hint="eastAsia" w:ascii="宋体" w:hAnsi="宋体" w:eastAsia="宋体"/>
          <w:b/>
          <w:sz w:val="24"/>
          <w:szCs w:val="24"/>
        </w:rPr>
        <w:t xml:space="preserve">14  </w:t>
      </w:r>
      <w:r>
        <w:rPr>
          <w:rFonts w:ascii="宋体" w:hAnsi="宋体" w:eastAsia="宋体"/>
          <w:sz w:val="24"/>
          <w:szCs w:val="24"/>
        </w:rPr>
        <w:t>根据不同时段、不同场景预置不同的通风空调设备节能控制模式；控制系统能自动选择最优节能控制模式，根据能耗统计分析结果，在控制中心</w:t>
      </w:r>
      <w:r>
        <w:rPr>
          <w:rFonts w:hint="eastAsia" w:ascii="宋体" w:hAnsi="宋体" w:eastAsia="宋体"/>
          <w:sz w:val="24"/>
          <w:szCs w:val="24"/>
        </w:rPr>
        <w:t>及车控室</w:t>
      </w:r>
      <w:r>
        <w:rPr>
          <w:rFonts w:ascii="宋体" w:hAnsi="宋体" w:eastAsia="宋体"/>
          <w:sz w:val="24"/>
          <w:szCs w:val="24"/>
        </w:rPr>
        <w:t>提供手动切换节能控制模式的人机界面, 评价分值为</w:t>
      </w:r>
      <w:r>
        <w:rPr>
          <w:rFonts w:hint="eastAsia" w:ascii="宋体" w:hAnsi="宋体" w:eastAsia="宋体"/>
          <w:sz w:val="24"/>
          <w:szCs w:val="24"/>
        </w:rPr>
        <w:t>3</w:t>
      </w:r>
      <w:r>
        <w:rPr>
          <w:rFonts w:ascii="宋体" w:hAnsi="宋体" w:eastAsia="宋体"/>
          <w:sz w:val="24"/>
          <w:szCs w:val="24"/>
        </w:rPr>
        <w:t>分。</w:t>
      </w:r>
    </w:p>
    <w:p>
      <w:pPr>
        <w:adjustRightInd w:val="0"/>
        <w:snapToGrid w:val="0"/>
        <w:spacing w:line="360" w:lineRule="auto"/>
        <w:jc w:val="left"/>
        <w:rPr>
          <w:rFonts w:ascii="宋体" w:hAnsi="宋体" w:eastAsia="宋体" w:cs="Times New Roman"/>
          <w:sz w:val="24"/>
          <w:szCs w:val="24"/>
        </w:rPr>
      </w:pPr>
      <w:r>
        <w:rPr>
          <w:rFonts w:hint="eastAsia" w:ascii="宋体" w:hAnsi="宋体" w:eastAsia="宋体"/>
          <w:b/>
          <w:bCs/>
          <w:sz w:val="24"/>
          <w:szCs w:val="24"/>
        </w:rPr>
        <w:t>10</w:t>
      </w:r>
      <w:r>
        <w:rPr>
          <w:rFonts w:ascii="宋体" w:hAnsi="宋体" w:eastAsia="宋体"/>
          <w:b/>
          <w:bCs/>
          <w:sz w:val="24"/>
          <w:szCs w:val="24"/>
        </w:rPr>
        <w:t>.2.</w:t>
      </w:r>
      <w:r>
        <w:rPr>
          <w:rFonts w:hint="eastAsia" w:ascii="宋体" w:hAnsi="宋体" w:eastAsia="宋体"/>
          <w:b/>
          <w:bCs/>
          <w:sz w:val="24"/>
          <w:szCs w:val="24"/>
        </w:rPr>
        <w:t xml:space="preserve">15  </w:t>
      </w:r>
      <w:r>
        <w:rPr>
          <w:rFonts w:hint="eastAsia" w:ascii="宋体" w:hAnsi="宋体" w:eastAsia="宋体"/>
          <w:sz w:val="24"/>
          <w:szCs w:val="24"/>
        </w:rPr>
        <w:t>自动扶梯</w:t>
      </w:r>
      <w:r>
        <w:rPr>
          <w:rFonts w:hint="eastAsia" w:ascii="宋体" w:hAnsi="宋体" w:eastAsia="宋体" w:cs="Times New Roman"/>
          <w:sz w:val="24"/>
          <w:szCs w:val="24"/>
        </w:rPr>
        <w:t>设置电压突降穿越及保护装置</w:t>
      </w:r>
      <w:r>
        <w:rPr>
          <w:rFonts w:hint="eastAsia" w:ascii="宋体" w:hAnsi="宋体" w:eastAsia="宋体"/>
          <w:sz w:val="24"/>
          <w:szCs w:val="24"/>
        </w:rPr>
        <w:t>，</w:t>
      </w:r>
      <w:r>
        <w:rPr>
          <w:rFonts w:ascii="宋体" w:hAnsi="宋体" w:eastAsia="宋体" w:cs="Times New Roman"/>
          <w:sz w:val="24"/>
          <w:szCs w:val="24"/>
        </w:rPr>
        <w:t>在</w:t>
      </w:r>
      <w:r>
        <w:rPr>
          <w:rFonts w:hint="eastAsia" w:ascii="宋体" w:hAnsi="宋体" w:eastAsia="宋体"/>
          <w:sz w:val="24"/>
          <w:szCs w:val="24"/>
        </w:rPr>
        <w:t>以下任何一种工况下自动扶梯制动系统能立即自动工作，</w:t>
      </w:r>
      <w:r>
        <w:rPr>
          <w:rFonts w:ascii="宋体" w:hAnsi="宋体" w:eastAsia="宋体"/>
          <w:sz w:val="24"/>
          <w:szCs w:val="24"/>
        </w:rPr>
        <w:t>评价总分值为</w:t>
      </w:r>
      <w:r>
        <w:rPr>
          <w:rFonts w:hint="eastAsia" w:ascii="宋体" w:hAnsi="宋体" w:eastAsia="宋体"/>
          <w:sz w:val="24"/>
          <w:szCs w:val="24"/>
        </w:rPr>
        <w:t>2</w:t>
      </w:r>
      <w:r>
        <w:rPr>
          <w:rFonts w:ascii="宋体" w:hAnsi="宋体" w:eastAsia="宋体"/>
          <w:sz w:val="24"/>
          <w:szCs w:val="24"/>
        </w:rPr>
        <w:t>分</w:t>
      </w:r>
      <w:r>
        <w:rPr>
          <w:rFonts w:hint="eastAsia" w:ascii="宋体" w:hAnsi="宋体" w:eastAsia="宋体"/>
          <w:sz w:val="24"/>
          <w:szCs w:val="24"/>
        </w:rPr>
        <w:t>，按下列规则评分并累计</w:t>
      </w:r>
      <w:r>
        <w:rPr>
          <w:rFonts w:ascii="宋体" w:hAnsi="宋体" w:eastAsia="宋体" w:cs="Times New Roman"/>
          <w:sz w:val="24"/>
          <w:szCs w:val="24"/>
        </w:rPr>
        <w:t>：</w:t>
      </w:r>
    </w:p>
    <w:p>
      <w:pPr>
        <w:pStyle w:val="24"/>
        <w:adjustRightInd w:val="0"/>
        <w:snapToGrid w:val="0"/>
        <w:spacing w:line="360" w:lineRule="auto"/>
        <w:ind w:firstLine="482"/>
        <w:jc w:val="left"/>
        <w:rPr>
          <w:rFonts w:ascii="宋体" w:hAnsi="宋体" w:eastAsia="宋体" w:cs="Times New Roman"/>
          <w:sz w:val="24"/>
          <w:szCs w:val="24"/>
        </w:rPr>
      </w:pPr>
      <w:r>
        <w:rPr>
          <w:rFonts w:ascii="宋体" w:hAnsi="宋体" w:eastAsia="宋体"/>
          <w:b/>
          <w:sz w:val="24"/>
          <w:szCs w:val="24"/>
        </w:rPr>
        <w:t>1</w:t>
      </w:r>
      <w:r>
        <w:rPr>
          <w:rFonts w:hint="eastAsia" w:ascii="宋体" w:hAnsi="宋体" w:eastAsia="宋体"/>
          <w:sz w:val="24"/>
          <w:szCs w:val="24"/>
        </w:rPr>
        <w:t xml:space="preserve">  </w:t>
      </w:r>
      <w:r>
        <w:rPr>
          <w:rFonts w:ascii="宋体" w:hAnsi="宋体" w:eastAsia="宋体" w:cs="Times New Roman"/>
          <w:sz w:val="24"/>
          <w:szCs w:val="24"/>
        </w:rPr>
        <w:t>电压连续突降200ms，并突降超过电压的10%</w:t>
      </w:r>
      <w:r>
        <w:rPr>
          <w:rFonts w:hint="eastAsia" w:ascii="宋体" w:hAnsi="宋体" w:eastAsia="宋体" w:cs="Times New Roman"/>
          <w:bCs/>
          <w:sz w:val="24"/>
          <w:szCs w:val="24"/>
        </w:rPr>
        <w:t>，得1</w:t>
      </w:r>
      <w:r>
        <w:rPr>
          <w:rFonts w:ascii="宋体" w:hAnsi="宋体" w:eastAsia="宋体" w:cs="Times New Roman"/>
          <w:bCs/>
          <w:sz w:val="24"/>
          <w:szCs w:val="24"/>
        </w:rPr>
        <w:t>分</w:t>
      </w:r>
      <w:r>
        <w:rPr>
          <w:rFonts w:ascii="宋体" w:hAnsi="宋体" w:eastAsia="宋体" w:cs="Times New Roman"/>
          <w:sz w:val="24"/>
          <w:szCs w:val="24"/>
        </w:rPr>
        <w:t>；</w:t>
      </w:r>
    </w:p>
    <w:p>
      <w:pPr>
        <w:pStyle w:val="24"/>
        <w:adjustRightInd w:val="0"/>
        <w:snapToGrid w:val="0"/>
        <w:spacing w:line="360" w:lineRule="auto"/>
        <w:ind w:firstLine="482"/>
        <w:jc w:val="left"/>
        <w:rPr>
          <w:rFonts w:ascii="宋体" w:hAnsi="宋体" w:eastAsia="宋体" w:cs="Times New Roman"/>
          <w:sz w:val="24"/>
          <w:szCs w:val="24"/>
        </w:rPr>
      </w:pPr>
      <w:r>
        <w:rPr>
          <w:rFonts w:ascii="宋体" w:hAnsi="宋体" w:eastAsia="宋体"/>
          <w:b/>
          <w:sz w:val="24"/>
          <w:szCs w:val="24"/>
        </w:rPr>
        <w:t>2</w:t>
      </w:r>
      <w:r>
        <w:rPr>
          <w:rFonts w:hint="eastAsia" w:ascii="宋体" w:hAnsi="宋体" w:eastAsia="宋体"/>
          <w:sz w:val="24"/>
          <w:szCs w:val="24"/>
        </w:rPr>
        <w:t xml:space="preserve">  </w:t>
      </w:r>
      <w:r>
        <w:rPr>
          <w:rFonts w:ascii="宋体" w:hAnsi="宋体" w:eastAsia="宋体" w:cs="Times New Roman"/>
          <w:sz w:val="24"/>
          <w:szCs w:val="24"/>
        </w:rPr>
        <w:t>电压突降超过电压的60%</w:t>
      </w:r>
      <w:r>
        <w:rPr>
          <w:rFonts w:hint="eastAsia" w:ascii="宋体" w:hAnsi="宋体" w:eastAsia="宋体" w:cs="Times New Roman"/>
          <w:bCs/>
          <w:sz w:val="24"/>
          <w:szCs w:val="24"/>
        </w:rPr>
        <w:t>，得0.5</w:t>
      </w:r>
      <w:r>
        <w:rPr>
          <w:rFonts w:ascii="宋体" w:hAnsi="宋体" w:eastAsia="宋体" w:cs="Times New Roman"/>
          <w:bCs/>
          <w:sz w:val="24"/>
          <w:szCs w:val="24"/>
        </w:rPr>
        <w:t>分</w:t>
      </w:r>
      <w:r>
        <w:rPr>
          <w:rFonts w:ascii="宋体" w:hAnsi="宋体" w:eastAsia="宋体" w:cs="Times New Roman"/>
          <w:sz w:val="24"/>
          <w:szCs w:val="24"/>
        </w:rPr>
        <w:t>；</w:t>
      </w:r>
    </w:p>
    <w:p>
      <w:pPr>
        <w:pStyle w:val="24"/>
        <w:adjustRightInd w:val="0"/>
        <w:snapToGrid w:val="0"/>
        <w:spacing w:line="360" w:lineRule="auto"/>
        <w:ind w:firstLine="482"/>
        <w:jc w:val="left"/>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cs="Times New Roman"/>
          <w:sz w:val="24"/>
          <w:szCs w:val="24"/>
        </w:rPr>
        <w:t>保护装置发生故障</w:t>
      </w:r>
      <w:r>
        <w:rPr>
          <w:rFonts w:hint="eastAsia" w:ascii="宋体" w:hAnsi="宋体" w:eastAsia="宋体" w:cs="Times New Roman"/>
          <w:bCs/>
          <w:sz w:val="24"/>
          <w:szCs w:val="24"/>
        </w:rPr>
        <w:t>，得0.5</w:t>
      </w:r>
      <w:r>
        <w:rPr>
          <w:rFonts w:ascii="宋体" w:hAnsi="宋体" w:eastAsia="宋体" w:cs="Times New Roman"/>
          <w:bCs/>
          <w:sz w:val="24"/>
          <w:szCs w:val="24"/>
        </w:rPr>
        <w:t>分</w:t>
      </w:r>
      <w:r>
        <w:rPr>
          <w:rFonts w:ascii="宋体" w:hAnsi="宋体" w:eastAsia="宋体" w:cs="Times New Roman"/>
          <w:sz w:val="24"/>
          <w:szCs w:val="24"/>
        </w:rPr>
        <w:t>。</w:t>
      </w:r>
    </w:p>
    <w:p>
      <w:pPr>
        <w:adjustRightInd w:val="0"/>
        <w:snapToGrid w:val="0"/>
        <w:spacing w:line="360" w:lineRule="auto"/>
        <w:jc w:val="left"/>
        <w:rPr>
          <w:rFonts w:ascii="宋体" w:hAnsi="宋体" w:eastAsia="宋体" w:cs="Times New Roman"/>
          <w:sz w:val="24"/>
          <w:szCs w:val="24"/>
        </w:rPr>
      </w:pPr>
      <w:r>
        <w:rPr>
          <w:rFonts w:ascii="宋体" w:hAnsi="宋体" w:eastAsia="宋体"/>
          <w:b/>
          <w:sz w:val="24"/>
          <w:szCs w:val="24"/>
        </w:rPr>
        <w:t>10.2.</w:t>
      </w:r>
      <w:r>
        <w:rPr>
          <w:rFonts w:hint="eastAsia" w:ascii="宋体" w:hAnsi="宋体" w:eastAsia="宋体"/>
          <w:b/>
          <w:sz w:val="24"/>
          <w:szCs w:val="24"/>
        </w:rPr>
        <w:t xml:space="preserve">16  </w:t>
      </w:r>
      <w:r>
        <w:rPr>
          <w:rFonts w:ascii="宋体" w:hAnsi="宋体" w:eastAsia="宋体" w:cs="Times New Roman"/>
          <w:bCs/>
          <w:sz w:val="24"/>
          <w:szCs w:val="24"/>
        </w:rPr>
        <w:t>实现站台门在线监测及部件预警功能，</w:t>
      </w:r>
      <w:r>
        <w:rPr>
          <w:rFonts w:ascii="宋体" w:hAnsi="宋体" w:eastAsia="宋体"/>
          <w:sz w:val="24"/>
          <w:szCs w:val="24"/>
        </w:rPr>
        <w:t>评价</w:t>
      </w:r>
      <w:r>
        <w:rPr>
          <w:rFonts w:hint="eastAsia" w:ascii="宋体" w:hAnsi="宋体" w:eastAsia="宋体"/>
          <w:sz w:val="24"/>
          <w:szCs w:val="24"/>
        </w:rPr>
        <w:t>总</w:t>
      </w:r>
      <w:r>
        <w:rPr>
          <w:rFonts w:ascii="宋体" w:hAnsi="宋体" w:eastAsia="宋体"/>
          <w:sz w:val="24"/>
          <w:szCs w:val="24"/>
        </w:rPr>
        <w:t>分值为</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，按下列规则评分</w:t>
      </w:r>
      <w:r>
        <w:rPr>
          <w:rFonts w:ascii="宋体" w:hAnsi="宋体" w:eastAsia="宋体" w:cs="Times New Roman"/>
          <w:sz w:val="24"/>
          <w:szCs w:val="24"/>
        </w:rPr>
        <w:t>：</w:t>
      </w:r>
    </w:p>
    <w:p>
      <w:pPr>
        <w:adjustRightInd w:val="0"/>
        <w:snapToGrid w:val="0"/>
        <w:spacing w:line="360" w:lineRule="auto"/>
        <w:ind w:firstLine="482" w:firstLineChars="200"/>
        <w:jc w:val="left"/>
        <w:rPr>
          <w:rFonts w:ascii="宋体" w:hAnsi="宋体" w:eastAsia="宋体" w:cs="Times New Roman"/>
          <w:bCs/>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 xml:space="preserve">  </w:t>
      </w:r>
      <w:r>
        <w:rPr>
          <w:rFonts w:hint="eastAsia" w:ascii="宋体" w:hAnsi="宋体" w:eastAsia="宋体" w:cs="Times New Roman"/>
          <w:bCs/>
          <w:sz w:val="24"/>
          <w:szCs w:val="24"/>
        </w:rPr>
        <w:t>单个</w:t>
      </w:r>
      <w:r>
        <w:rPr>
          <w:rFonts w:ascii="宋体" w:hAnsi="宋体" w:eastAsia="宋体" w:cs="Times New Roman"/>
          <w:bCs/>
          <w:sz w:val="24"/>
          <w:szCs w:val="24"/>
        </w:rPr>
        <w:t>车站</w:t>
      </w:r>
      <w:r>
        <w:rPr>
          <w:rFonts w:hint="eastAsia" w:ascii="宋体" w:hAnsi="宋体" w:eastAsia="宋体" w:cs="Times New Roman"/>
          <w:bCs/>
          <w:sz w:val="24"/>
          <w:szCs w:val="24"/>
        </w:rPr>
        <w:t>实现，得1</w:t>
      </w:r>
      <w:r>
        <w:rPr>
          <w:rFonts w:ascii="宋体" w:hAnsi="宋体" w:eastAsia="宋体" w:cs="Times New Roman"/>
          <w:bCs/>
          <w:sz w:val="24"/>
          <w:szCs w:val="24"/>
        </w:rPr>
        <w:t>分</w:t>
      </w:r>
      <w:r>
        <w:rPr>
          <w:rFonts w:hint="eastAsia" w:ascii="宋体" w:hAnsi="宋体" w:eastAsia="宋体" w:cs="Times New Roman"/>
          <w:bCs/>
          <w:sz w:val="24"/>
          <w:szCs w:val="24"/>
        </w:rPr>
        <w:t>；</w:t>
      </w:r>
    </w:p>
    <w:p>
      <w:pPr>
        <w:adjustRightInd w:val="0"/>
        <w:snapToGrid w:val="0"/>
        <w:spacing w:line="360" w:lineRule="auto"/>
        <w:ind w:firstLine="482" w:firstLineChars="200"/>
        <w:jc w:val="left"/>
        <w:rPr>
          <w:rFonts w:ascii="宋体" w:hAnsi="宋体" w:eastAsia="宋体" w:cs="Times New Roman"/>
          <w:bCs/>
          <w:sz w:val="24"/>
          <w:szCs w:val="24"/>
        </w:rPr>
      </w:pPr>
      <w:r>
        <w:rPr>
          <w:rFonts w:hint="eastAsia" w:ascii="宋体" w:hAnsi="宋体" w:eastAsia="宋体" w:cs="Times New Roman"/>
          <w:b/>
          <w:bCs/>
          <w:sz w:val="24"/>
          <w:szCs w:val="24"/>
        </w:rPr>
        <w:t>2</w:t>
      </w:r>
      <w:r>
        <w:rPr>
          <w:rFonts w:hint="eastAsia" w:ascii="宋体" w:hAnsi="宋体" w:eastAsia="宋体" w:cs="Times New Roman"/>
          <w:bCs/>
          <w:sz w:val="24"/>
          <w:szCs w:val="24"/>
        </w:rPr>
        <w:t xml:space="preserve">  全线车站实现，得3</w:t>
      </w:r>
      <w:r>
        <w:rPr>
          <w:rFonts w:ascii="宋体" w:hAnsi="宋体" w:eastAsia="宋体" w:cs="Times New Roman"/>
          <w:bCs/>
          <w:sz w:val="24"/>
          <w:szCs w:val="24"/>
        </w:rPr>
        <w:t>分</w:t>
      </w:r>
      <w:r>
        <w:rPr>
          <w:rFonts w:hint="eastAsia" w:ascii="宋体" w:hAnsi="宋体" w:eastAsia="宋体" w:cs="Times New Roman"/>
          <w:bCs/>
          <w:sz w:val="24"/>
          <w:szCs w:val="24"/>
        </w:rPr>
        <w:t>。</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10.2.</w:t>
      </w:r>
      <w:r>
        <w:rPr>
          <w:rFonts w:hint="eastAsia" w:ascii="宋体" w:hAnsi="宋体" w:eastAsia="宋体"/>
          <w:b/>
          <w:sz w:val="24"/>
          <w:szCs w:val="24"/>
        </w:rPr>
        <w:t xml:space="preserve">17  </w:t>
      </w:r>
      <w:r>
        <w:rPr>
          <w:rFonts w:hint="eastAsia" w:ascii="宋体" w:hAnsi="宋体" w:eastAsia="宋体"/>
          <w:sz w:val="24"/>
          <w:szCs w:val="24"/>
        </w:rPr>
        <w:t>车辆检修工艺设备采用自动化检修设备，提高检修效率。评价总分值为6分，按下列规则评分并累计：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采用了机器人代替人工检修，得2分；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采用了检修流水线，得2分；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采用了自动材料运输设备，得2分。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10.2.</w:t>
      </w:r>
      <w:r>
        <w:rPr>
          <w:rFonts w:hint="eastAsia" w:ascii="宋体" w:hAnsi="宋体" w:eastAsia="宋体"/>
          <w:b/>
          <w:sz w:val="24"/>
          <w:szCs w:val="24"/>
        </w:rPr>
        <w:t xml:space="preserve">18  </w:t>
      </w:r>
      <w:r>
        <w:rPr>
          <w:rFonts w:hint="eastAsia" w:ascii="宋体" w:hAnsi="宋体" w:eastAsia="宋体"/>
          <w:sz w:val="24"/>
          <w:szCs w:val="24"/>
        </w:rPr>
        <w:t>采用装配式结构等技术。评价总分值为8分，并按下列规则分别评分并累计；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地下车站主体结构采用装配式技术，得3分；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盾构区间隧道采用预埋滑槽技术，得3分；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其他装配式技术，得2分。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10.2.</w:t>
      </w:r>
      <w:r>
        <w:rPr>
          <w:rFonts w:hint="eastAsia" w:ascii="宋体" w:hAnsi="宋体" w:eastAsia="宋体"/>
          <w:b/>
          <w:sz w:val="24"/>
          <w:szCs w:val="24"/>
        </w:rPr>
        <w:t xml:space="preserve">19  </w:t>
      </w:r>
      <w:r>
        <w:rPr>
          <w:rFonts w:hint="eastAsia" w:ascii="宋体" w:hAnsi="宋体" w:eastAsia="宋体"/>
          <w:sz w:val="24"/>
          <w:szCs w:val="24"/>
        </w:rPr>
        <w:t>应用建筑数字化技术，评价总分值为8分，并按下列规则分别评分并累计；</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规划设计、施工建造、运营维护任意一个阶段有使用BIM技术，得2分；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xml:space="preserve">  规划设计、施工建造任意一个阶段全线（指车站、区间、场段等全部工程）使用BIM技术，得4分；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xml:space="preserve">  规划设计、施工建造任意一个阶段全线使用BIM技术，并结合其他数字化技术应用于实际业务场景中（例如基于BIM的设计方案比选、基于BIM的施工方案模拟等），得5分；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xml:space="preserve">  规划设计、施工建造两个阶段全线使用BIM技术，并结合其他数字化技术应用于实际业务场景中，得6分；</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sz w:val="24"/>
          <w:szCs w:val="24"/>
        </w:rPr>
        <w:t>5</w:t>
      </w:r>
      <w:r>
        <w:rPr>
          <w:rFonts w:hint="eastAsia" w:ascii="宋体" w:hAnsi="宋体" w:eastAsia="宋体"/>
          <w:sz w:val="24"/>
          <w:szCs w:val="24"/>
        </w:rPr>
        <w:t xml:space="preserve">  规划设计、施工建造两个阶段全线使用BIM技术、运营维护阶段有使用BIM技术，并结合其他数字化技术应用于实际业务场景中，得8分；</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10.2.2</w:t>
      </w:r>
      <w:r>
        <w:rPr>
          <w:rFonts w:hint="eastAsia" w:ascii="宋体" w:hAnsi="宋体" w:eastAsia="宋体"/>
          <w:b/>
          <w:sz w:val="24"/>
          <w:szCs w:val="24"/>
        </w:rPr>
        <w:t xml:space="preserve">0  </w:t>
      </w:r>
      <w:r>
        <w:rPr>
          <w:rFonts w:hint="eastAsia" w:ascii="宋体" w:hAnsi="宋体" w:eastAsia="宋体"/>
          <w:sz w:val="24"/>
          <w:szCs w:val="24"/>
        </w:rPr>
        <w:t>采取其他创新技术措施，达到安全耐久、便捷高效、健康舒适、资源节约、环境友好及提高运营服务水平的效果，评分总分值为15分，每采取1项创新技术措施得1分并累加，最多得15分。</w:t>
      </w:r>
    </w:p>
    <w:p>
      <w:pPr>
        <w:adjustRightInd w:val="0"/>
        <w:snapToGrid w:val="0"/>
        <w:spacing w:line="360" w:lineRule="auto"/>
        <w:jc w:val="left"/>
        <w:rPr>
          <w:rFonts w:ascii="宋体" w:hAnsi="宋体" w:eastAsia="宋体"/>
          <w:sz w:val="24"/>
          <w:szCs w:val="24"/>
        </w:rPr>
      </w:pPr>
    </w:p>
    <w:p>
      <w:pPr>
        <w:adjustRightInd w:val="0"/>
        <w:snapToGrid w:val="0"/>
        <w:spacing w:line="360" w:lineRule="auto"/>
        <w:jc w:val="left"/>
        <w:rPr>
          <w:rFonts w:ascii="宋体" w:hAnsi="宋体" w:eastAsia="宋体"/>
          <w:sz w:val="24"/>
          <w:szCs w:val="24"/>
        </w:rPr>
        <w:sectPr>
          <w:pgSz w:w="11906" w:h="16838"/>
          <w:pgMar w:top="1440" w:right="1797" w:bottom="1440" w:left="1797" w:header="851" w:footer="992" w:gutter="0"/>
          <w:cols w:space="425" w:num="1"/>
          <w:titlePg/>
          <w:docGrid w:type="lines" w:linePitch="312" w:charSpace="0"/>
        </w:sectPr>
      </w:pPr>
    </w:p>
    <w:p>
      <w:pPr>
        <w:pStyle w:val="2"/>
        <w:spacing w:before="624" w:after="624"/>
      </w:pPr>
      <w:r>
        <w:t>附</w:t>
      </w:r>
      <w:r>
        <w:rPr>
          <w:rFonts w:hint="eastAsia"/>
        </w:rPr>
        <w:t xml:space="preserve">  </w:t>
      </w:r>
      <w:r>
        <w:t>录</w:t>
      </w:r>
      <w:r>
        <w:rPr>
          <w:rFonts w:hint="eastAsia"/>
        </w:rPr>
        <w:t xml:space="preserve">  A</w:t>
      </w:r>
    </w:p>
    <w:p>
      <w:pPr>
        <w:pStyle w:val="2"/>
        <w:spacing w:before="624" w:after="624"/>
      </w:pPr>
      <w:r>
        <w:rPr>
          <w:rFonts w:hint="eastAsia"/>
        </w:rPr>
        <w:t>能耗指标分级</w:t>
      </w:r>
    </w:p>
    <w:p>
      <w:pPr>
        <w:jc w:val="center"/>
        <w:rPr>
          <w:rFonts w:ascii="宋体" w:hAnsi="宋体" w:eastAsia="宋体"/>
          <w:b/>
          <w:color w:val="000000" w:themeColor="text1"/>
        </w:rPr>
      </w:pPr>
      <w:r>
        <w:rPr>
          <w:rFonts w:hint="eastAsia" w:ascii="宋体" w:hAnsi="宋体" w:eastAsia="宋体"/>
          <w:b/>
          <w:color w:val="000000" w:themeColor="text1"/>
        </w:rPr>
        <w:t xml:space="preserve">表A.1  </w:t>
      </w:r>
      <w:r>
        <w:rPr>
          <w:rFonts w:ascii="宋体" w:hAnsi="宋体" w:eastAsia="宋体"/>
          <w:b/>
          <w:color w:val="000000" w:themeColor="text1"/>
        </w:rPr>
        <w:t>A-80</w:t>
      </w:r>
      <w:r>
        <w:rPr>
          <w:rFonts w:hint="eastAsia" w:ascii="宋体" w:hAnsi="宋体" w:eastAsia="宋体"/>
          <w:b/>
          <w:color w:val="000000" w:themeColor="text1"/>
        </w:rPr>
        <w:t>车公里牵引能耗分级指标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单位：千瓦时/车公里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rFonts w:asciiTheme="minorEastAsia" w:hAnsiTheme="minorEastAsia"/>
                <w:color w:val="000000" w:themeColor="text1"/>
              </w:rPr>
            </w:pPr>
            <w:r>
              <w:rPr>
                <w:rFonts w:asciiTheme="minorEastAsia" w:hAnsiTheme="minorEastAsia"/>
                <w:color w:val="000000" w:themeColor="text1"/>
              </w:rPr>
              <w:t>A型车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速度</w:t>
            </w:r>
          </w:p>
        </w:tc>
        <w:tc>
          <w:tcPr>
            <w:tcW w:w="4483" w:type="pct"/>
            <w:gridSpan w:val="4"/>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80千米/小时（设计</w:t>
            </w:r>
            <w:r>
              <w:rPr>
                <w:rFonts w:asciiTheme="minorEastAsia" w:hAnsiTheme="minorEastAsia"/>
                <w:color w:val="000000" w:themeColor="text1"/>
              </w:rPr>
              <w:t>最高速度</w:t>
            </w:r>
            <w:r>
              <w:rPr>
                <w:rFonts w:hint="eastAsia" w:asciiTheme="minorEastAsia" w:hAnsi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2.75</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2.45</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2.15</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1.80</w:t>
            </w:r>
          </w:p>
        </w:tc>
      </w:tr>
    </w:tbl>
    <w:p>
      <w:pPr>
        <w:spacing w:line="360" w:lineRule="auto"/>
        <w:ind w:left="1" w:firstLine="495" w:firstLineChars="236"/>
        <w:rPr>
          <w:color w:val="000000" w:themeColor="text1"/>
        </w:rPr>
      </w:pPr>
    </w:p>
    <w:p>
      <w:pPr>
        <w:jc w:val="center"/>
        <w:rPr>
          <w:rFonts w:ascii="黑体" w:hAnsi="黑体" w:eastAsia="黑体"/>
          <w:color w:val="000000" w:themeColor="text1"/>
        </w:rPr>
      </w:pPr>
      <w:r>
        <w:rPr>
          <w:rFonts w:hint="eastAsia" w:ascii="宋体" w:hAnsi="宋体" w:eastAsia="宋体"/>
          <w:b/>
          <w:color w:val="000000" w:themeColor="text1"/>
        </w:rPr>
        <w:t xml:space="preserve">表A.2  </w:t>
      </w:r>
      <w:r>
        <w:rPr>
          <w:rFonts w:ascii="宋体" w:hAnsi="宋体" w:eastAsia="宋体"/>
          <w:b/>
          <w:color w:val="000000" w:themeColor="text1"/>
        </w:rPr>
        <w:t>A-100</w:t>
      </w:r>
      <w:r>
        <w:rPr>
          <w:rFonts w:hint="eastAsia" w:ascii="宋体" w:hAnsi="宋体" w:eastAsia="宋体"/>
          <w:b/>
          <w:color w:val="000000" w:themeColor="text1"/>
        </w:rPr>
        <w:t>车公里牵引能耗分级指标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单位：千瓦时/车公里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rFonts w:asciiTheme="minorEastAsia" w:hAnsiTheme="minorEastAsia"/>
                <w:color w:val="000000" w:themeColor="text1"/>
              </w:rPr>
            </w:pPr>
            <w:r>
              <w:rPr>
                <w:rFonts w:asciiTheme="minorEastAsia" w:hAnsiTheme="minorEastAsia"/>
                <w:color w:val="000000" w:themeColor="text1"/>
              </w:rPr>
              <w:t>A型车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速度</w:t>
            </w:r>
          </w:p>
        </w:tc>
        <w:tc>
          <w:tcPr>
            <w:tcW w:w="4483" w:type="pct"/>
            <w:gridSpan w:val="4"/>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100千米/小时（设计</w:t>
            </w:r>
            <w:r>
              <w:rPr>
                <w:rFonts w:asciiTheme="minorEastAsia" w:hAnsiTheme="minorEastAsia"/>
                <w:color w:val="000000" w:themeColor="text1"/>
              </w:rPr>
              <w:t>最高速度</w:t>
            </w:r>
            <w:r>
              <w:rPr>
                <w:rFonts w:hint="eastAsia" w:asciiTheme="minorEastAsia" w:hAnsi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2.5</w:t>
            </w:r>
            <w:r>
              <w:rPr>
                <w:rFonts w:asciiTheme="minorEastAsia" w:hAnsiTheme="minorEastAsia"/>
                <w:color w:val="000000" w:themeColor="text1"/>
              </w:rPr>
              <w:t>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2.15</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1.90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1.</w:t>
            </w:r>
            <w:r>
              <w:rPr>
                <w:rFonts w:hint="eastAsia" w:asciiTheme="minorEastAsia" w:hAnsiTheme="minorEastAsia"/>
                <w:color w:val="000000" w:themeColor="text1"/>
              </w:rPr>
              <w:t>7</w:t>
            </w:r>
            <w:r>
              <w:rPr>
                <w:rFonts w:asciiTheme="minorEastAsia" w:hAnsiTheme="minorEastAsia"/>
                <w:color w:val="000000" w:themeColor="text1"/>
              </w:rPr>
              <w:t>0</w:t>
            </w:r>
          </w:p>
        </w:tc>
      </w:tr>
    </w:tbl>
    <w:p>
      <w:pPr>
        <w:jc w:val="center"/>
        <w:rPr>
          <w:rFonts w:ascii="黑体" w:hAnsi="黑体" w:eastAsia="黑体"/>
          <w:color w:val="000000" w:themeColor="text1"/>
        </w:rPr>
      </w:pPr>
    </w:p>
    <w:p>
      <w:pPr>
        <w:jc w:val="center"/>
        <w:rPr>
          <w:rFonts w:ascii="黑体" w:hAnsi="黑体" w:eastAsia="黑体"/>
          <w:color w:val="000000" w:themeColor="text1"/>
        </w:rPr>
      </w:pPr>
      <w:r>
        <w:rPr>
          <w:rFonts w:hint="eastAsia" w:ascii="宋体" w:hAnsi="宋体" w:eastAsia="宋体"/>
          <w:b/>
          <w:color w:val="000000" w:themeColor="text1"/>
        </w:rPr>
        <w:t xml:space="preserve">表A.3  </w:t>
      </w:r>
      <w:r>
        <w:rPr>
          <w:rFonts w:ascii="宋体" w:hAnsi="宋体" w:eastAsia="宋体"/>
          <w:b/>
          <w:color w:val="000000" w:themeColor="text1"/>
        </w:rPr>
        <w:t>B-80</w:t>
      </w:r>
      <w:r>
        <w:rPr>
          <w:rFonts w:hint="eastAsia" w:ascii="宋体" w:hAnsi="宋体" w:eastAsia="宋体"/>
          <w:b/>
          <w:color w:val="000000" w:themeColor="text1"/>
        </w:rPr>
        <w:t>车公里牵引能耗分级指标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单位：千瓦时/车公里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rFonts w:asciiTheme="minorEastAsia" w:hAnsiTheme="minorEastAsia"/>
                <w:color w:val="000000" w:themeColor="text1"/>
              </w:rPr>
            </w:pPr>
            <w:r>
              <w:rPr>
                <w:rFonts w:asciiTheme="minorEastAsia" w:hAnsiTheme="minorEastAsia"/>
                <w:color w:val="000000" w:themeColor="text1"/>
              </w:rPr>
              <w:t>B型车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速度</w:t>
            </w:r>
          </w:p>
        </w:tc>
        <w:tc>
          <w:tcPr>
            <w:tcW w:w="4483" w:type="pct"/>
            <w:gridSpan w:val="4"/>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80千米/小时（设计</w:t>
            </w:r>
            <w:r>
              <w:rPr>
                <w:rFonts w:asciiTheme="minorEastAsia" w:hAnsiTheme="minorEastAsia"/>
                <w:color w:val="000000" w:themeColor="text1"/>
              </w:rPr>
              <w:t>最高速度</w:t>
            </w:r>
            <w:r>
              <w:rPr>
                <w:rFonts w:hint="eastAsia" w:asciiTheme="minorEastAsia" w:hAnsi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2.55</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2.20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1.85</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1.50</w:t>
            </w:r>
          </w:p>
        </w:tc>
      </w:tr>
    </w:tbl>
    <w:p>
      <w:pPr>
        <w:jc w:val="right"/>
        <w:rPr>
          <w:rFonts w:ascii="黑体" w:hAnsi="黑体" w:eastAsia="黑体"/>
          <w:color w:val="000000" w:themeColor="text1"/>
        </w:rPr>
      </w:pPr>
    </w:p>
    <w:p>
      <w:pPr>
        <w:jc w:val="center"/>
        <w:rPr>
          <w:rFonts w:ascii="宋体" w:hAnsi="宋体" w:eastAsia="宋体"/>
          <w:b/>
          <w:color w:val="000000" w:themeColor="text1"/>
        </w:rPr>
      </w:pPr>
      <w:r>
        <w:rPr>
          <w:rFonts w:hint="eastAsia" w:ascii="宋体" w:hAnsi="宋体" w:eastAsia="宋体"/>
          <w:b/>
          <w:color w:val="000000" w:themeColor="text1"/>
        </w:rPr>
        <w:t xml:space="preserve">表A.4  </w:t>
      </w:r>
      <w:r>
        <w:rPr>
          <w:rFonts w:ascii="宋体" w:hAnsi="宋体" w:eastAsia="宋体"/>
          <w:b/>
          <w:color w:val="000000" w:themeColor="text1"/>
        </w:rPr>
        <w:t>B-120</w:t>
      </w:r>
      <w:r>
        <w:rPr>
          <w:rFonts w:hint="eastAsia" w:ascii="宋体" w:hAnsi="宋体" w:eastAsia="宋体"/>
          <w:b/>
          <w:color w:val="000000" w:themeColor="text1"/>
        </w:rPr>
        <w:t>车公里牵引能耗分级指标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单位：千瓦时/车公里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rFonts w:asciiTheme="minorEastAsia" w:hAnsiTheme="minorEastAsia"/>
                <w:color w:val="000000" w:themeColor="text1"/>
              </w:rPr>
            </w:pPr>
            <w:r>
              <w:rPr>
                <w:rFonts w:asciiTheme="minorEastAsia" w:hAnsiTheme="minorEastAsia"/>
                <w:color w:val="000000" w:themeColor="text1"/>
              </w:rPr>
              <w:t>B型车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速度</w:t>
            </w:r>
          </w:p>
        </w:tc>
        <w:tc>
          <w:tcPr>
            <w:tcW w:w="4483" w:type="pct"/>
            <w:gridSpan w:val="4"/>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120千米/小时（设计</w:t>
            </w:r>
            <w:r>
              <w:rPr>
                <w:rFonts w:asciiTheme="minorEastAsia" w:hAnsiTheme="minorEastAsia"/>
                <w:color w:val="000000" w:themeColor="text1"/>
              </w:rPr>
              <w:t>最高速度</w:t>
            </w:r>
            <w:r>
              <w:rPr>
                <w:rFonts w:hint="eastAsia" w:asciiTheme="minorEastAsia" w:hAnsi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2.50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2.20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1.90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1.</w:t>
            </w:r>
            <w:r>
              <w:rPr>
                <w:rFonts w:hint="eastAsia" w:asciiTheme="minorEastAsia" w:hAnsiTheme="minorEastAsia"/>
                <w:color w:val="000000" w:themeColor="text1"/>
              </w:rPr>
              <w:t>6</w:t>
            </w:r>
            <w:r>
              <w:rPr>
                <w:rFonts w:asciiTheme="minorEastAsia" w:hAnsiTheme="minorEastAsia"/>
                <w:color w:val="000000" w:themeColor="text1"/>
              </w:rPr>
              <w:t>0</w:t>
            </w:r>
          </w:p>
        </w:tc>
      </w:tr>
    </w:tbl>
    <w:p>
      <w:pPr>
        <w:jc w:val="right"/>
        <w:rPr>
          <w:rFonts w:ascii="黑体" w:hAnsi="黑体" w:eastAsia="黑体"/>
          <w:color w:val="000000" w:themeColor="text1"/>
        </w:rPr>
      </w:pPr>
    </w:p>
    <w:p>
      <w:pPr>
        <w:spacing w:line="360" w:lineRule="auto"/>
        <w:rPr>
          <w:color w:val="000000" w:themeColor="text1"/>
        </w:rPr>
      </w:pPr>
    </w:p>
    <w:p>
      <w:pPr>
        <w:jc w:val="center"/>
        <w:rPr>
          <w:rFonts w:ascii="黑体" w:hAnsi="黑体" w:eastAsia="黑体"/>
          <w:color w:val="000000" w:themeColor="text1"/>
        </w:rPr>
      </w:pPr>
      <w:r>
        <w:rPr>
          <w:rFonts w:hint="eastAsia" w:ascii="宋体" w:hAnsi="宋体" w:eastAsia="宋体"/>
          <w:b/>
          <w:color w:val="000000" w:themeColor="text1"/>
        </w:rPr>
        <w:t xml:space="preserve">表A.5  </w:t>
      </w:r>
      <w:r>
        <w:rPr>
          <w:rFonts w:ascii="宋体" w:hAnsi="宋体" w:eastAsia="宋体"/>
          <w:b/>
          <w:color w:val="000000" w:themeColor="text1"/>
        </w:rPr>
        <w:t>L-90</w:t>
      </w:r>
      <w:r>
        <w:rPr>
          <w:rFonts w:hint="eastAsia" w:ascii="宋体" w:hAnsi="宋体" w:eastAsia="宋体"/>
          <w:b/>
          <w:color w:val="000000" w:themeColor="text1"/>
        </w:rPr>
        <w:t>车公里牵引能耗分级指标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单位：千瓦时/车公里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color w:val="000000" w:themeColor="text1"/>
                <w:kern w:val="0"/>
              </w:rPr>
            </w:pPr>
            <w:r>
              <w:rPr>
                <w:color w:val="000000" w:themeColor="text1"/>
              </w:rPr>
              <w:t>L型车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速度</w:t>
            </w:r>
          </w:p>
        </w:tc>
        <w:tc>
          <w:tcPr>
            <w:tcW w:w="4483" w:type="pct"/>
            <w:gridSpan w:val="4"/>
            <w:shd w:val="clear" w:color="auto" w:fill="FFFFFF" w:themeFill="background1"/>
            <w:vAlign w:val="center"/>
          </w:tcPr>
          <w:p>
            <w:pPr>
              <w:jc w:val="center"/>
              <w:rPr>
                <w:color w:val="000000" w:themeColor="text1"/>
              </w:rPr>
            </w:pPr>
            <w:r>
              <w:rPr>
                <w:color w:val="000000" w:themeColor="text1"/>
              </w:rPr>
              <w:t>9</w:t>
            </w:r>
            <w:r>
              <w:rPr>
                <w:rFonts w:hint="eastAsia"/>
                <w:color w:val="000000" w:themeColor="text1"/>
              </w:rPr>
              <w:t>0千米/小时（设计</w:t>
            </w:r>
            <w:r>
              <w:rPr>
                <w:color w:val="000000" w:themeColor="text1"/>
              </w:rPr>
              <w:t>最高速度</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3.50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2.90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2.40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2.00</w:t>
            </w:r>
          </w:p>
        </w:tc>
      </w:tr>
    </w:tbl>
    <w:p>
      <w:pPr>
        <w:jc w:val="right"/>
        <w:rPr>
          <w:rFonts w:ascii="黑体" w:hAnsi="黑体" w:eastAsia="黑体"/>
          <w:color w:val="000000" w:themeColor="text1"/>
        </w:rPr>
      </w:pPr>
    </w:p>
    <w:p>
      <w:pPr>
        <w:jc w:val="center"/>
        <w:rPr>
          <w:rFonts w:ascii="黑体" w:hAnsi="黑体" w:eastAsia="黑体"/>
          <w:color w:val="000000" w:themeColor="text1"/>
        </w:rPr>
      </w:pPr>
      <w:r>
        <w:rPr>
          <w:rFonts w:hint="eastAsia" w:ascii="宋体" w:hAnsi="宋体" w:eastAsia="宋体"/>
          <w:b/>
          <w:color w:val="000000" w:themeColor="text1"/>
        </w:rPr>
        <w:t xml:space="preserve">表A.6  </w:t>
      </w:r>
      <w:r>
        <w:rPr>
          <w:rFonts w:ascii="宋体" w:hAnsi="宋体" w:eastAsia="宋体"/>
          <w:b/>
          <w:color w:val="000000" w:themeColor="text1"/>
        </w:rPr>
        <w:t>APM</w:t>
      </w:r>
      <w:r>
        <w:rPr>
          <w:rFonts w:hint="eastAsia" w:ascii="宋体" w:hAnsi="宋体" w:eastAsia="宋体"/>
          <w:b/>
          <w:color w:val="000000" w:themeColor="text1"/>
        </w:rPr>
        <w:t>车公里牵引能耗分级指标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单位：千瓦时/车公里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color w:val="000000" w:themeColor="text1"/>
                <w:kern w:val="0"/>
              </w:rPr>
            </w:pPr>
            <w:r>
              <w:rPr>
                <w:color w:val="000000" w:themeColor="text1"/>
              </w:rPr>
              <w:t>APM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速度</w:t>
            </w:r>
          </w:p>
        </w:tc>
        <w:tc>
          <w:tcPr>
            <w:tcW w:w="4483" w:type="pct"/>
            <w:gridSpan w:val="4"/>
            <w:shd w:val="clear" w:color="auto" w:fill="FFFFFF" w:themeFill="background1"/>
            <w:vAlign w:val="center"/>
          </w:tcPr>
          <w:p>
            <w:pPr>
              <w:jc w:val="center"/>
              <w:rPr>
                <w:color w:val="000000" w:themeColor="text1"/>
              </w:rPr>
            </w:pPr>
            <w:r>
              <w:rPr>
                <w:rFonts w:hint="eastAsia" w:asciiTheme="minorEastAsia" w:hAnsiTheme="minorEastAsia"/>
                <w:color w:val="000000" w:themeColor="text1"/>
              </w:rPr>
              <w:t>60千米/小时（设计</w:t>
            </w:r>
            <w:r>
              <w:rPr>
                <w:rFonts w:asciiTheme="minorEastAsia" w:hAnsiTheme="minorEastAsia"/>
                <w:color w:val="000000" w:themeColor="text1"/>
              </w:rPr>
              <w:t>最高速度</w:t>
            </w:r>
            <w:r>
              <w:rPr>
                <w:rFonts w:hint="eastAsia" w:asciiTheme="minorEastAsia" w:hAnsi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3.</w:t>
            </w:r>
            <w:r>
              <w:rPr>
                <w:rFonts w:asciiTheme="minorEastAsia" w:hAnsiTheme="minorEastAsia"/>
                <w:color w:val="000000" w:themeColor="text1"/>
              </w:rPr>
              <w:t>2</w:t>
            </w:r>
            <w:r>
              <w:rPr>
                <w:rFonts w:hint="eastAsia" w:asciiTheme="minorEastAsia" w:hAnsiTheme="minorEastAsia"/>
                <w:color w:val="000000" w:themeColor="text1"/>
              </w:rPr>
              <w:t>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2.</w:t>
            </w:r>
            <w:r>
              <w:rPr>
                <w:rFonts w:asciiTheme="minorEastAsia" w:hAnsiTheme="minorEastAsia"/>
                <w:color w:val="000000" w:themeColor="text1"/>
              </w:rPr>
              <w:t>8</w:t>
            </w:r>
            <w:r>
              <w:rPr>
                <w:rFonts w:hint="eastAsia" w:asciiTheme="minorEastAsia" w:hAnsiTheme="minorEastAsia"/>
                <w:color w:val="000000" w:themeColor="text1"/>
              </w:rPr>
              <w:t>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2.50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2.20</w:t>
            </w:r>
          </w:p>
        </w:tc>
      </w:tr>
    </w:tbl>
    <w:p>
      <w:pPr>
        <w:jc w:val="right"/>
        <w:rPr>
          <w:rFonts w:ascii="黑体" w:hAnsi="黑体" w:eastAsia="黑体"/>
          <w:color w:val="000000" w:themeColor="text1"/>
        </w:rPr>
      </w:pPr>
    </w:p>
    <w:p>
      <w:pPr>
        <w:jc w:val="center"/>
        <w:rPr>
          <w:rFonts w:ascii="黑体" w:hAnsi="黑体" w:eastAsia="黑体"/>
          <w:color w:val="000000" w:themeColor="text1"/>
        </w:rPr>
      </w:pPr>
      <w:r>
        <w:rPr>
          <w:rFonts w:hint="eastAsia" w:ascii="宋体" w:hAnsi="宋体" w:eastAsia="宋体"/>
          <w:b/>
          <w:color w:val="000000" w:themeColor="text1"/>
        </w:rPr>
        <w:t xml:space="preserve">表A.7   </w:t>
      </w:r>
      <w:r>
        <w:rPr>
          <w:rFonts w:ascii="宋体" w:hAnsi="宋体" w:eastAsia="宋体"/>
          <w:b/>
          <w:color w:val="000000" w:themeColor="text1"/>
        </w:rPr>
        <w:t>A-80</w:t>
      </w:r>
      <w:r>
        <w:rPr>
          <w:rFonts w:hint="eastAsia" w:ascii="宋体" w:hAnsi="宋体" w:eastAsia="宋体"/>
          <w:b/>
          <w:color w:val="000000" w:themeColor="text1"/>
        </w:rPr>
        <w:t>/100人公里牵引能耗分级指标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单位：千瓦时/万人公里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color w:val="000000" w:themeColor="text1"/>
                <w:kern w:val="0"/>
              </w:rPr>
            </w:pPr>
            <w:r>
              <w:rPr>
                <w:rFonts w:asciiTheme="minorEastAsia" w:hAnsiTheme="minorEastAsia"/>
                <w:color w:val="000000" w:themeColor="text1"/>
              </w:rPr>
              <w:t>A型车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600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450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320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230</w:t>
            </w:r>
          </w:p>
        </w:tc>
      </w:tr>
    </w:tbl>
    <w:p>
      <w:pPr>
        <w:jc w:val="right"/>
        <w:rPr>
          <w:rFonts w:ascii="黑体" w:hAnsi="黑体" w:eastAsia="黑体"/>
          <w:color w:val="000000" w:themeColor="text1"/>
        </w:rPr>
      </w:pPr>
    </w:p>
    <w:p>
      <w:pPr>
        <w:jc w:val="center"/>
        <w:rPr>
          <w:rFonts w:ascii="黑体" w:hAnsi="黑体" w:eastAsia="黑体"/>
          <w:color w:val="000000" w:themeColor="text1"/>
        </w:rPr>
      </w:pPr>
      <w:r>
        <w:rPr>
          <w:rFonts w:hint="eastAsia" w:ascii="宋体" w:hAnsi="宋体" w:eastAsia="宋体"/>
          <w:b/>
          <w:color w:val="000000" w:themeColor="text1"/>
        </w:rPr>
        <w:t xml:space="preserve">表A.8   </w:t>
      </w:r>
      <w:r>
        <w:rPr>
          <w:rFonts w:ascii="宋体" w:hAnsi="宋体" w:eastAsia="宋体"/>
          <w:b/>
          <w:color w:val="000000" w:themeColor="text1"/>
        </w:rPr>
        <w:t>B-80</w:t>
      </w:r>
      <w:r>
        <w:rPr>
          <w:rFonts w:hint="eastAsia" w:ascii="宋体" w:hAnsi="宋体" w:eastAsia="宋体"/>
          <w:b/>
          <w:color w:val="000000" w:themeColor="text1"/>
        </w:rPr>
        <w:t>/120人公里牵引能耗分级指标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单位：千瓦时/万人公里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color w:val="000000" w:themeColor="text1"/>
                <w:kern w:val="0"/>
              </w:rPr>
            </w:pPr>
            <w:r>
              <w:rPr>
                <w:rFonts w:asciiTheme="minorEastAsia" w:hAnsiTheme="minorEastAsia"/>
                <w:color w:val="000000" w:themeColor="text1"/>
              </w:rPr>
              <w:t>B型车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630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480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350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250</w:t>
            </w:r>
          </w:p>
        </w:tc>
      </w:tr>
    </w:tbl>
    <w:p>
      <w:pPr>
        <w:jc w:val="right"/>
        <w:rPr>
          <w:rFonts w:ascii="黑体" w:hAnsi="黑体" w:eastAsia="黑体"/>
          <w:color w:val="000000" w:themeColor="text1"/>
        </w:rPr>
      </w:pPr>
    </w:p>
    <w:p>
      <w:pPr>
        <w:jc w:val="center"/>
        <w:rPr>
          <w:rFonts w:ascii="黑体" w:hAnsi="黑体" w:eastAsia="黑体"/>
          <w:color w:val="000000" w:themeColor="text1"/>
        </w:rPr>
      </w:pPr>
      <w:r>
        <w:rPr>
          <w:rFonts w:hint="eastAsia" w:ascii="宋体" w:hAnsi="宋体" w:eastAsia="宋体"/>
          <w:b/>
          <w:color w:val="000000" w:themeColor="text1"/>
        </w:rPr>
        <w:t xml:space="preserve">表A.9   </w:t>
      </w:r>
      <w:r>
        <w:rPr>
          <w:rFonts w:ascii="宋体" w:hAnsi="宋体" w:eastAsia="宋体"/>
          <w:b/>
          <w:color w:val="000000" w:themeColor="text1"/>
        </w:rPr>
        <w:t>L-90</w:t>
      </w:r>
      <w:r>
        <w:rPr>
          <w:rFonts w:hint="eastAsia" w:ascii="宋体" w:hAnsi="宋体" w:eastAsia="宋体"/>
          <w:b/>
          <w:color w:val="000000" w:themeColor="text1"/>
        </w:rPr>
        <w:t>人公里牵引能耗分级指标</w:t>
      </w:r>
    </w:p>
    <w:p>
      <w:pPr>
        <w:jc w:val="right"/>
        <w:rPr>
          <w:rFonts w:ascii="黑体" w:hAnsi="黑体" w:eastAsia="黑体"/>
          <w:color w:val="000000" w:themeColor="text1"/>
        </w:rPr>
      </w:pPr>
      <w:r>
        <w:rPr>
          <w:rFonts w:hint="eastAsia" w:ascii="黑体" w:hAnsi="黑体" w:eastAsia="黑体"/>
          <w:color w:val="000000" w:themeColor="text1"/>
        </w:rPr>
        <w:t>单位：千瓦时/万人公里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车</w:t>
            </w:r>
            <w:r>
              <w:rPr>
                <w:rFonts w:asciiTheme="minorEastAsia" w:hAnsiTheme="minorEastAsia"/>
                <w:b/>
                <w:color w:val="000000" w:themeColor="text1"/>
              </w:rPr>
              <w:t>型</w:t>
            </w:r>
          </w:p>
        </w:tc>
        <w:tc>
          <w:tcPr>
            <w:tcW w:w="4483" w:type="pct"/>
            <w:gridSpan w:val="4"/>
            <w:shd w:val="clear" w:color="auto" w:fill="FFFFFF" w:themeFill="background1"/>
            <w:vAlign w:val="center"/>
          </w:tcPr>
          <w:p>
            <w:pPr>
              <w:jc w:val="center"/>
              <w:rPr>
                <w:color w:val="000000" w:themeColor="text1"/>
                <w:kern w:val="0"/>
              </w:rPr>
            </w:pPr>
            <w:r>
              <w:rPr>
                <w:rFonts w:asciiTheme="minorEastAsia" w:hAnsiTheme="minorEastAsia"/>
                <w:color w:val="000000" w:themeColor="text1"/>
              </w:rPr>
              <w:t>L型车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650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5</w:t>
            </w:r>
            <w:r>
              <w:rPr>
                <w:rFonts w:asciiTheme="minorEastAsia" w:hAnsiTheme="minorEastAsia"/>
                <w:color w:val="000000" w:themeColor="text1"/>
              </w:rPr>
              <w:t>00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380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300</w:t>
            </w:r>
          </w:p>
        </w:tc>
      </w:tr>
    </w:tbl>
    <w:p/>
    <w:p>
      <w:pPr>
        <w:jc w:val="center"/>
        <w:rPr>
          <w:rFonts w:ascii="黑体" w:hAnsi="黑体" w:eastAsia="黑体"/>
          <w:color w:val="000000" w:themeColor="text1"/>
        </w:rPr>
      </w:pPr>
      <w:r>
        <w:rPr>
          <w:rFonts w:hint="eastAsia" w:ascii="宋体" w:hAnsi="宋体" w:eastAsia="宋体"/>
          <w:b/>
          <w:color w:val="000000" w:themeColor="text1"/>
        </w:rPr>
        <w:t>表A.10   地下车站站均运营能耗分级指标</w:t>
      </w:r>
    </w:p>
    <w:p>
      <w:pPr>
        <w:jc w:val="right"/>
        <w:rPr>
          <w:rFonts w:ascii="黑体" w:hAnsi="黑体" w:eastAsia="黑体"/>
          <w:color w:val="000000" w:themeColor="text1"/>
        </w:rPr>
      </w:pPr>
      <w:r>
        <w:rPr>
          <w:rFonts w:hint="eastAsia" w:ascii="黑体" w:hAnsi="黑体" w:eastAsia="黑体"/>
          <w:color w:val="000000" w:themeColor="text1"/>
        </w:rPr>
        <w:t>单位</w:t>
      </w:r>
      <w:r>
        <w:rPr>
          <w:rFonts w:ascii="黑体" w:hAnsi="黑体" w:eastAsia="黑体"/>
          <w:color w:val="000000" w:themeColor="text1"/>
        </w:rPr>
        <w:t>：</w:t>
      </w:r>
      <w:r>
        <w:rPr>
          <w:rFonts w:hint="eastAsia" w:ascii="黑体" w:hAnsi="黑体" w:eastAsia="黑体"/>
          <w:color w:val="000000" w:themeColor="text1"/>
        </w:rPr>
        <w:t>千瓦时/站•天</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9580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8430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6930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5900</w:t>
            </w:r>
          </w:p>
        </w:tc>
      </w:tr>
    </w:tbl>
    <w:p>
      <w:pPr>
        <w:spacing w:line="360" w:lineRule="auto"/>
        <w:rPr>
          <w:rFonts w:ascii="黑体" w:hAnsi="黑体" w:eastAsia="黑体"/>
          <w:b/>
          <w:color w:val="000000" w:themeColor="text1"/>
        </w:rPr>
      </w:pPr>
    </w:p>
    <w:p>
      <w:pPr>
        <w:jc w:val="center"/>
        <w:rPr>
          <w:rFonts w:ascii="黑体" w:hAnsi="黑体" w:eastAsia="黑体"/>
          <w:color w:val="000000" w:themeColor="text1"/>
        </w:rPr>
      </w:pPr>
      <w:r>
        <w:rPr>
          <w:rFonts w:hint="eastAsia" w:ascii="宋体" w:hAnsi="宋体" w:eastAsia="宋体"/>
          <w:b/>
          <w:color w:val="000000" w:themeColor="text1"/>
        </w:rPr>
        <w:t>表A.11  地面及高架车站站均运营能耗分级指标</w:t>
      </w:r>
    </w:p>
    <w:p>
      <w:pPr>
        <w:jc w:val="right"/>
        <w:rPr>
          <w:rFonts w:ascii="黑体" w:hAnsi="黑体" w:eastAsia="黑体"/>
          <w:color w:val="000000" w:themeColor="text1"/>
        </w:rPr>
      </w:pPr>
      <w:r>
        <w:rPr>
          <w:rFonts w:hint="eastAsia" w:ascii="黑体" w:hAnsi="黑体" w:eastAsia="黑体"/>
          <w:color w:val="000000" w:themeColor="text1"/>
        </w:rPr>
        <w:t>单位</w:t>
      </w:r>
      <w:r>
        <w:rPr>
          <w:rFonts w:ascii="黑体" w:hAnsi="黑体" w:eastAsia="黑体"/>
          <w:color w:val="000000" w:themeColor="text1"/>
        </w:rPr>
        <w:t>：</w:t>
      </w:r>
      <w:r>
        <w:rPr>
          <w:rFonts w:hint="eastAsia" w:ascii="黑体" w:hAnsi="黑体" w:eastAsia="黑体"/>
          <w:color w:val="000000" w:themeColor="text1"/>
        </w:rPr>
        <w:t>千瓦时/站•天</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4820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4160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3500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asciiTheme="minorEastAsia" w:hAnsiTheme="minorEastAsia"/>
                <w:color w:val="000000" w:themeColor="text1"/>
              </w:rPr>
              <w:t>2950</w:t>
            </w:r>
          </w:p>
        </w:tc>
      </w:tr>
    </w:tbl>
    <w:p>
      <w:pPr>
        <w:jc w:val="right"/>
        <w:rPr>
          <w:rFonts w:ascii="黑体" w:hAnsi="黑体" w:eastAsia="黑体"/>
          <w:color w:val="000000" w:themeColor="text1"/>
        </w:rPr>
      </w:pPr>
    </w:p>
    <w:p>
      <w:pPr>
        <w:jc w:val="center"/>
        <w:rPr>
          <w:rFonts w:ascii="黑体" w:hAnsi="黑体" w:eastAsia="黑体"/>
          <w:color w:val="000000" w:themeColor="text1"/>
        </w:rPr>
      </w:pPr>
      <w:r>
        <w:rPr>
          <w:color w:val="000000" w:themeColor="text1"/>
        </w:rPr>
        <w:tab/>
      </w:r>
      <w:r>
        <w:rPr>
          <w:rFonts w:hint="eastAsia" w:ascii="宋体" w:hAnsi="宋体" w:eastAsia="宋体"/>
          <w:b/>
          <w:color w:val="000000" w:themeColor="text1"/>
        </w:rPr>
        <w:t>表A.12   车站单位面积运营能耗分级指标</w:t>
      </w:r>
    </w:p>
    <w:p>
      <w:pPr>
        <w:jc w:val="right"/>
        <w:rPr>
          <w:rFonts w:ascii="黑体" w:hAnsi="黑体" w:eastAsia="黑体"/>
          <w:color w:val="000000" w:themeColor="text1"/>
        </w:rPr>
      </w:pPr>
      <w:r>
        <w:rPr>
          <w:rFonts w:hint="eastAsia" w:ascii="黑体" w:hAnsi="黑体" w:eastAsia="黑体"/>
          <w:color w:val="000000" w:themeColor="text1"/>
        </w:rPr>
        <w:t>单位</w:t>
      </w:r>
      <w:r>
        <w:rPr>
          <w:rFonts w:ascii="黑体" w:hAnsi="黑体" w:eastAsia="黑体"/>
          <w:color w:val="000000" w:themeColor="text1"/>
        </w:rPr>
        <w:t>：</w:t>
      </w:r>
      <w:r>
        <w:rPr>
          <w:rFonts w:hint="eastAsia" w:ascii="黑体" w:hAnsi="黑体" w:eastAsia="黑体"/>
          <w:color w:val="000000" w:themeColor="text1"/>
        </w:rPr>
        <w:t>千瓦时</w:t>
      </w:r>
      <w:r>
        <w:rPr>
          <w:rFonts w:ascii="黑体" w:hAnsi="黑体" w:eastAsia="黑体"/>
          <w:color w:val="000000" w:themeColor="text1"/>
        </w:rPr>
        <w:t>/平方米</w:t>
      </w:r>
      <w:r>
        <w:rPr>
          <w:rFonts w:hint="eastAsia" w:ascii="黑体" w:hAnsi="黑体" w:eastAsia="黑体"/>
          <w:color w:val="000000" w:themeColor="text1"/>
        </w:rPr>
        <w:t>·年</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82"/>
        <w:gridCol w:w="1910"/>
        <w:gridCol w:w="1912"/>
        <w:gridCol w:w="191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四级</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三级</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二级</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7" w:type="pct"/>
            <w:shd w:val="clear" w:color="auto" w:fill="FFFFFF" w:themeFill="background1"/>
            <w:vAlign w:val="center"/>
          </w:tcPr>
          <w:p>
            <w:pPr>
              <w:jc w:val="center"/>
              <w:rPr>
                <w:rFonts w:asciiTheme="minorEastAsia" w:hAnsiTheme="minorEastAsia"/>
                <w:b/>
                <w:color w:val="000000" w:themeColor="text1"/>
              </w:rPr>
            </w:pPr>
            <w:r>
              <w:rPr>
                <w:rFonts w:hint="eastAsia" w:asciiTheme="minorEastAsia" w:hAnsiTheme="minorEastAsia"/>
                <w:b/>
                <w:color w:val="000000" w:themeColor="text1"/>
              </w:rPr>
              <w:t>指标</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220</w:t>
            </w:r>
          </w:p>
        </w:tc>
        <w:tc>
          <w:tcPr>
            <w:tcW w:w="1121"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190</w:t>
            </w:r>
          </w:p>
        </w:tc>
        <w:tc>
          <w:tcPr>
            <w:tcW w:w="1120"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160</w:t>
            </w:r>
          </w:p>
        </w:tc>
        <w:tc>
          <w:tcPr>
            <w:tcW w:w="1122" w:type="pct"/>
            <w:shd w:val="clear" w:color="auto" w:fill="FFFFFF" w:themeFill="background1"/>
            <w:vAlign w:val="center"/>
          </w:tcPr>
          <w:p>
            <w:pPr>
              <w:jc w:val="center"/>
              <w:rPr>
                <w:rFonts w:asciiTheme="minorEastAsia" w:hAnsiTheme="minorEastAsia"/>
                <w:color w:val="000000" w:themeColor="text1"/>
              </w:rPr>
            </w:pPr>
            <w:r>
              <w:rPr>
                <w:rFonts w:hint="eastAsia" w:asciiTheme="minorEastAsia" w:hAnsiTheme="minorEastAsia"/>
                <w:color w:val="000000" w:themeColor="text1"/>
                <w:lang w:eastAsia="zh-CN"/>
              </w:rPr>
              <w:t>小于等于</w:t>
            </w:r>
            <w:r>
              <w:rPr>
                <w:rFonts w:hint="eastAsia" w:asciiTheme="minorEastAsia" w:hAnsiTheme="minorEastAsia"/>
                <w:color w:val="000000" w:themeColor="text1"/>
              </w:rPr>
              <w:t>135</w:t>
            </w:r>
          </w:p>
        </w:tc>
      </w:tr>
    </w:tbl>
    <w:p>
      <w:pPr>
        <w:widowControl/>
        <w:spacing w:line="360" w:lineRule="auto"/>
        <w:ind w:firstLine="480" w:firstLineChars="200"/>
        <w:jc w:val="left"/>
        <w:rPr>
          <w:rFonts w:ascii="宋体" w:hAnsi="宋体" w:eastAsia="宋体"/>
          <w:sz w:val="24"/>
          <w:szCs w:val="24"/>
        </w:rPr>
      </w:pPr>
    </w:p>
    <w:p>
      <w:pPr>
        <w:adjustRightInd w:val="0"/>
        <w:snapToGrid w:val="0"/>
        <w:spacing w:line="360" w:lineRule="auto"/>
        <w:jc w:val="left"/>
        <w:rPr>
          <w:rFonts w:ascii="宋体" w:hAnsi="宋体" w:eastAsia="宋体"/>
          <w:sz w:val="24"/>
          <w:szCs w:val="24"/>
        </w:rPr>
        <w:sectPr>
          <w:pgSz w:w="11906" w:h="16838"/>
          <w:pgMar w:top="1440" w:right="1797" w:bottom="1440" w:left="1797" w:header="851" w:footer="992" w:gutter="0"/>
          <w:cols w:space="425" w:num="1"/>
          <w:titlePg/>
          <w:docGrid w:type="lines" w:linePitch="312" w:charSpace="0"/>
        </w:sectPr>
      </w:pPr>
    </w:p>
    <w:p>
      <w:pPr>
        <w:adjustRightInd w:val="0"/>
        <w:snapToGrid w:val="0"/>
        <w:spacing w:line="360" w:lineRule="auto"/>
        <w:jc w:val="left"/>
        <w:rPr>
          <w:rFonts w:ascii="宋体" w:hAnsi="宋体" w:eastAsia="宋体"/>
          <w:sz w:val="24"/>
          <w:szCs w:val="24"/>
        </w:rPr>
      </w:pPr>
    </w:p>
    <w:p>
      <w:pPr>
        <w:pStyle w:val="2"/>
        <w:spacing w:before="624" w:after="624"/>
        <w:rPr>
          <w:sz w:val="24"/>
          <w:szCs w:val="24"/>
        </w:rPr>
      </w:pPr>
      <w:bookmarkStart w:id="57" w:name="_Toc60822247"/>
      <w:bookmarkStart w:id="58" w:name="_Toc77584241"/>
      <w:r>
        <w:t>本标准用词说明</w:t>
      </w:r>
      <w:bookmarkEnd w:id="57"/>
      <w:bookmarkEnd w:id="58"/>
      <w:r>
        <w:t> </w:t>
      </w:r>
    </w:p>
    <w:p>
      <w:pPr>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　</w:t>
      </w:r>
      <w:r>
        <w:rPr>
          <w:rFonts w:ascii="宋体" w:hAnsi="宋体" w:eastAsia="宋体"/>
          <w:sz w:val="24"/>
          <w:szCs w:val="24"/>
        </w:rPr>
        <w:t>为便于在执行本标准条文时区别对待，对要求严格程度不同的用词说明如下：</w:t>
      </w:r>
    </w:p>
    <w:p>
      <w:pPr>
        <w:spacing w:line="360" w:lineRule="auto"/>
        <w:jc w:val="left"/>
        <w:rPr>
          <w:rFonts w:ascii="宋体" w:hAnsi="宋体" w:eastAsia="宋体"/>
          <w:sz w:val="24"/>
          <w:szCs w:val="24"/>
        </w:rPr>
      </w:pPr>
      <w:r>
        <w:rPr>
          <w:rFonts w:ascii="宋体" w:hAnsi="宋体" w:eastAsia="宋体"/>
        </w:rPr>
        <w:tab/>
      </w:r>
      <w:r>
        <w:rPr>
          <w:rFonts w:ascii="宋体" w:hAnsi="宋体" w:eastAsia="宋体"/>
          <w:b/>
          <w:sz w:val="24"/>
          <w:szCs w:val="24"/>
        </w:rPr>
        <w:t>1)</w:t>
      </w:r>
      <w:r>
        <w:rPr>
          <w:rFonts w:ascii="宋体" w:hAnsi="宋体" w:eastAsia="宋体"/>
          <w:sz w:val="24"/>
          <w:szCs w:val="24"/>
        </w:rPr>
        <w:t>表示很严格，非这样做不可的用词：正面词采用“必须”，反面词采用“严禁”；</w:t>
      </w:r>
    </w:p>
    <w:p>
      <w:pPr>
        <w:spacing w:line="360" w:lineRule="auto"/>
        <w:jc w:val="left"/>
        <w:rPr>
          <w:rFonts w:ascii="宋体" w:hAnsi="宋体" w:eastAsia="宋体"/>
          <w:sz w:val="24"/>
          <w:szCs w:val="24"/>
        </w:rPr>
      </w:pPr>
      <w:r>
        <w:rPr>
          <w:rFonts w:ascii="宋体" w:hAnsi="宋体" w:eastAsia="宋体"/>
        </w:rPr>
        <w:tab/>
      </w:r>
      <w:r>
        <w:rPr>
          <w:rFonts w:ascii="宋体" w:hAnsi="宋体" w:eastAsia="宋体"/>
          <w:b/>
          <w:sz w:val="24"/>
          <w:szCs w:val="24"/>
        </w:rPr>
        <w:t>2)</w:t>
      </w:r>
      <w:r>
        <w:rPr>
          <w:rFonts w:ascii="宋体" w:hAnsi="宋体" w:eastAsia="宋体"/>
          <w:sz w:val="24"/>
          <w:szCs w:val="24"/>
        </w:rPr>
        <w:t>表示严格，在正常情况下均应这样做的用词：正面词采用“应”，反面词采用“不应”或“不得”；</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2　</w:t>
      </w:r>
      <w:r>
        <w:rPr>
          <w:rFonts w:ascii="宋体" w:hAnsi="宋体" w:eastAsia="宋体"/>
          <w:sz w:val="24"/>
          <w:szCs w:val="24"/>
        </w:rPr>
        <w:t>本标准中指明应按其他有关标准、规范执行的写法为“应符合……的规定”或“应按……执行”。</w:t>
      </w:r>
    </w:p>
    <w:p>
      <w:pPr>
        <w:widowControl/>
        <w:jc w:val="left"/>
        <w:rPr>
          <w:rFonts w:ascii="宋体" w:hAnsi="宋体" w:eastAsia="宋体"/>
          <w:sz w:val="24"/>
          <w:szCs w:val="24"/>
        </w:rPr>
      </w:pPr>
      <w:r>
        <w:rPr>
          <w:rFonts w:ascii="宋体" w:hAnsi="宋体" w:eastAsia="宋体"/>
          <w:sz w:val="24"/>
          <w:szCs w:val="24"/>
        </w:rPr>
        <w:br w:type="page"/>
      </w:r>
    </w:p>
    <w:p>
      <w:pPr>
        <w:adjustRightInd w:val="0"/>
        <w:snapToGrid w:val="0"/>
        <w:spacing w:line="360" w:lineRule="auto"/>
        <w:jc w:val="left"/>
        <w:rPr>
          <w:rFonts w:ascii="宋体" w:hAnsi="宋体" w:eastAsia="宋体"/>
          <w:sz w:val="24"/>
          <w:szCs w:val="24"/>
        </w:rPr>
      </w:pPr>
    </w:p>
    <w:p>
      <w:pPr>
        <w:pStyle w:val="2"/>
        <w:spacing w:before="624" w:after="624"/>
      </w:pPr>
      <w:bookmarkStart w:id="59" w:name="_Toc60822248"/>
      <w:bookmarkStart w:id="60" w:name="_Toc77584242"/>
      <w:r>
        <w:t>引用标准名录</w:t>
      </w:r>
      <w:bookmarkEnd w:id="59"/>
      <w:bookmarkEnd w:id="60"/>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w:t>
      </w:r>
      <w:r>
        <w:rPr>
          <w:rFonts w:ascii="宋体" w:hAnsi="宋体" w:eastAsia="宋体"/>
          <w:sz w:val="24"/>
          <w:szCs w:val="24"/>
        </w:rPr>
        <w:t>　《地铁设计规范》GB 50157</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2</w:t>
      </w:r>
      <w:r>
        <w:rPr>
          <w:rFonts w:hint="eastAsia" w:ascii="宋体" w:hAnsi="宋体" w:eastAsia="宋体"/>
          <w:sz w:val="24"/>
          <w:szCs w:val="24"/>
        </w:rPr>
        <w:t xml:space="preserve">　《绿色建筑评价标准》GB/T 50378 </w:t>
      </w:r>
    </w:p>
    <w:p>
      <w:pPr>
        <w:snapToGrid w:val="0"/>
        <w:spacing w:line="360" w:lineRule="auto"/>
        <w:jc w:val="left"/>
        <w:rPr>
          <w:rFonts w:ascii="宋体" w:hAnsi="宋体" w:eastAsia="宋体"/>
          <w:sz w:val="24"/>
          <w:szCs w:val="24"/>
        </w:rPr>
      </w:pPr>
      <w:r>
        <w:rPr>
          <w:rFonts w:hint="eastAsia" w:ascii="宋体" w:hAnsi="宋体"/>
          <w:sz w:val="24"/>
          <w:szCs w:val="24"/>
        </w:rPr>
        <w:t>　　</w:t>
      </w:r>
      <w:r>
        <w:rPr>
          <w:rFonts w:hint="eastAsia" w:ascii="宋体" w:hAnsi="宋体"/>
          <w:b/>
          <w:sz w:val="24"/>
          <w:szCs w:val="24"/>
        </w:rPr>
        <w:t>3</w:t>
      </w:r>
      <w:r>
        <w:rPr>
          <w:rFonts w:hint="eastAsia" w:ascii="宋体" w:hAnsi="宋体"/>
          <w:sz w:val="24"/>
          <w:szCs w:val="24"/>
        </w:rPr>
        <w:t>　《公共建筑节能设计标准》GB 50189</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4</w:t>
      </w:r>
      <w:r>
        <w:rPr>
          <w:rFonts w:hint="eastAsia" w:ascii="宋体" w:hAnsi="宋体" w:eastAsia="宋体"/>
          <w:sz w:val="24"/>
          <w:szCs w:val="24"/>
        </w:rPr>
        <w:t>　《地铁车辆通用技术条件》GB/T7928</w:t>
      </w:r>
    </w:p>
    <w:p>
      <w:pPr>
        <w:snapToGrid w:val="0"/>
        <w:spacing w:line="360" w:lineRule="auto"/>
        <w:jc w:val="left"/>
        <w:rPr>
          <w:rFonts w:ascii="宋体" w:hAnsi="宋体" w:eastAsia="宋体"/>
          <w:sz w:val="24"/>
          <w:szCs w:val="24"/>
        </w:rPr>
      </w:pPr>
      <w:r>
        <w:rPr>
          <w:rFonts w:hint="eastAsia" w:ascii="宋体" w:hAnsi="宋体"/>
          <w:sz w:val="24"/>
          <w:szCs w:val="24"/>
        </w:rPr>
        <w:t>　　</w:t>
      </w:r>
      <w:r>
        <w:rPr>
          <w:rFonts w:hint="eastAsia" w:ascii="宋体" w:hAnsi="宋体"/>
          <w:b/>
          <w:sz w:val="24"/>
          <w:szCs w:val="24"/>
        </w:rPr>
        <w:t>5</w:t>
      </w:r>
      <w:r>
        <w:rPr>
          <w:rFonts w:hint="eastAsia" w:ascii="宋体" w:hAnsi="宋体"/>
          <w:sz w:val="24"/>
          <w:szCs w:val="24"/>
        </w:rPr>
        <w:t>　《城市轨道交通通风空气调节与供暖设计标准》GB</w:t>
      </w:r>
      <w:r>
        <w:rPr>
          <w:rFonts w:ascii="宋体" w:hAnsi="宋体"/>
          <w:sz w:val="24"/>
          <w:szCs w:val="24"/>
        </w:rPr>
        <w:t>/</w:t>
      </w:r>
      <w:r>
        <w:rPr>
          <w:rFonts w:hint="eastAsia" w:ascii="宋体" w:hAnsi="宋体"/>
          <w:sz w:val="24"/>
          <w:szCs w:val="24"/>
        </w:rPr>
        <w:t>T 51357</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6</w:t>
      </w:r>
      <w:r>
        <w:rPr>
          <w:rFonts w:hint="eastAsia" w:ascii="宋体" w:hAnsi="宋体" w:eastAsia="宋体"/>
          <w:sz w:val="24"/>
          <w:szCs w:val="24"/>
        </w:rPr>
        <w:t>　</w:t>
      </w:r>
      <w:r>
        <w:rPr>
          <w:rFonts w:ascii="宋体" w:hAnsi="宋体"/>
          <w:sz w:val="24"/>
          <w:szCs w:val="24"/>
        </w:rPr>
        <w:t>《冷水机组能效限定值及能效等级》GB 19577</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7</w:t>
      </w:r>
      <w:r>
        <w:rPr>
          <w:rFonts w:hint="eastAsia" w:ascii="宋体" w:hAnsi="宋体" w:eastAsia="宋体"/>
          <w:sz w:val="24"/>
          <w:szCs w:val="24"/>
        </w:rPr>
        <w:t>　</w:t>
      </w:r>
      <w:r>
        <w:rPr>
          <w:rFonts w:hint="eastAsia" w:ascii="宋体" w:hAnsi="宋体"/>
          <w:sz w:val="24"/>
          <w:szCs w:val="24"/>
        </w:rPr>
        <w:t>《民用建筑室内热湿环境评价标准》GB/T 50785</w:t>
      </w:r>
    </w:p>
    <w:p>
      <w:pPr>
        <w:snapToGrid w:val="0"/>
        <w:spacing w:line="360" w:lineRule="auto"/>
        <w:jc w:val="left"/>
        <w:rPr>
          <w:rFonts w:ascii="宋体" w:hAnsi="宋体"/>
          <w:sz w:val="24"/>
          <w:szCs w:val="24"/>
        </w:rPr>
      </w:pPr>
      <w:r>
        <w:rPr>
          <w:rFonts w:hint="eastAsia" w:ascii="宋体" w:hAnsi="宋体"/>
          <w:sz w:val="24"/>
          <w:szCs w:val="24"/>
        </w:rPr>
        <w:t>　　</w:t>
      </w:r>
      <w:r>
        <w:rPr>
          <w:rFonts w:hint="eastAsia" w:ascii="宋体" w:hAnsi="宋体"/>
          <w:b/>
          <w:sz w:val="24"/>
          <w:szCs w:val="24"/>
        </w:rPr>
        <w:t>8</w:t>
      </w:r>
      <w:r>
        <w:rPr>
          <w:rFonts w:hint="eastAsia" w:ascii="宋体" w:hAnsi="宋体"/>
          <w:sz w:val="24"/>
          <w:szCs w:val="24"/>
        </w:rPr>
        <w:t>　</w:t>
      </w:r>
      <w:r>
        <w:rPr>
          <w:rFonts w:hint="eastAsia" w:ascii="宋体" w:hAnsi="宋体" w:eastAsia="宋体"/>
          <w:sz w:val="24"/>
          <w:szCs w:val="24"/>
        </w:rPr>
        <w:t>《工业企业噪声控制设计规范》</w:t>
      </w:r>
      <w:r>
        <w:rPr>
          <w:rFonts w:ascii="宋体" w:hAnsi="宋体" w:eastAsia="宋体"/>
          <w:sz w:val="24"/>
          <w:szCs w:val="24"/>
        </w:rPr>
        <w:t>GB/T 50087</w:t>
      </w:r>
    </w:p>
    <w:p>
      <w:pPr>
        <w:spacing w:line="360" w:lineRule="auto"/>
        <w:rPr>
          <w:rFonts w:ascii="宋体" w:hAnsi="宋体"/>
          <w:sz w:val="24"/>
          <w:szCs w:val="24"/>
        </w:rPr>
      </w:pPr>
      <w:r>
        <w:rPr>
          <w:rFonts w:ascii="宋体" w:hAnsi="宋体"/>
          <w:sz w:val="24"/>
          <w:szCs w:val="24"/>
        </w:rPr>
        <w:t>　　</w:t>
      </w:r>
      <w:r>
        <w:rPr>
          <w:rFonts w:ascii="宋体" w:hAnsi="宋体"/>
          <w:b/>
          <w:sz w:val="24"/>
          <w:szCs w:val="24"/>
        </w:rPr>
        <w:t>9</w:t>
      </w:r>
      <w:r>
        <w:rPr>
          <w:rFonts w:ascii="宋体" w:hAnsi="宋体"/>
          <w:sz w:val="24"/>
          <w:szCs w:val="24"/>
        </w:rPr>
        <w:t>　</w:t>
      </w:r>
      <w:r>
        <w:rPr>
          <w:rFonts w:ascii="宋体" w:hAnsi="宋体" w:eastAsia="宋体"/>
          <w:sz w:val="24"/>
          <w:szCs w:val="24"/>
        </w:rPr>
        <w:t>《用能单位能源计量器具配备和管理通则》GB 17167</w:t>
      </w:r>
    </w:p>
    <w:p>
      <w:pPr>
        <w:spacing w:line="360" w:lineRule="auto"/>
        <w:rPr>
          <w:rFonts w:ascii="宋体" w:hAnsi="宋体"/>
          <w:sz w:val="24"/>
          <w:szCs w:val="24"/>
        </w:rPr>
      </w:pPr>
      <w:r>
        <w:rPr>
          <w:rFonts w:hint="eastAsia" w:ascii="宋体" w:hAnsi="宋体"/>
          <w:sz w:val="24"/>
          <w:szCs w:val="24"/>
        </w:rPr>
        <w:t>　　</w:t>
      </w:r>
      <w:r>
        <w:rPr>
          <w:rFonts w:hint="eastAsia" w:ascii="宋体" w:hAnsi="宋体"/>
          <w:b/>
          <w:sz w:val="24"/>
          <w:szCs w:val="24"/>
        </w:rPr>
        <w:t>10</w:t>
      </w:r>
      <w:r>
        <w:rPr>
          <w:rFonts w:hint="eastAsia" w:ascii="宋体" w:hAnsi="宋体"/>
          <w:sz w:val="24"/>
          <w:szCs w:val="24"/>
        </w:rPr>
        <w:t>　</w:t>
      </w:r>
      <w:r>
        <w:rPr>
          <w:rFonts w:hint="eastAsia" w:ascii="宋体" w:hAnsi="宋体" w:eastAsia="宋体"/>
          <w:sz w:val="24"/>
          <w:szCs w:val="24"/>
        </w:rPr>
        <w:t>《民用建筑节水设计标准》</w:t>
      </w:r>
      <w:r>
        <w:rPr>
          <w:rFonts w:ascii="宋体" w:hAnsi="宋体" w:eastAsia="宋体"/>
          <w:sz w:val="24"/>
          <w:szCs w:val="24"/>
        </w:rPr>
        <w:t>GB50555</w:t>
      </w:r>
    </w:p>
    <w:p>
      <w:pPr>
        <w:spacing w:line="360" w:lineRule="auto"/>
        <w:rPr>
          <w:rFonts w:ascii="宋体" w:hAnsi="宋体"/>
          <w:sz w:val="24"/>
          <w:szCs w:val="24"/>
        </w:rPr>
      </w:pPr>
      <w:r>
        <w:rPr>
          <w:rFonts w:hint="eastAsia" w:ascii="宋体" w:hAnsi="宋体"/>
          <w:sz w:val="24"/>
          <w:szCs w:val="24"/>
        </w:rPr>
        <w:t>　　</w:t>
      </w:r>
      <w:r>
        <w:rPr>
          <w:rFonts w:hint="eastAsia" w:ascii="宋体" w:hAnsi="宋体"/>
          <w:b/>
          <w:sz w:val="24"/>
          <w:szCs w:val="24"/>
        </w:rPr>
        <w:t>11</w:t>
      </w:r>
      <w:r>
        <w:rPr>
          <w:rFonts w:hint="eastAsia" w:ascii="宋体" w:hAnsi="宋体"/>
          <w:sz w:val="24"/>
          <w:szCs w:val="24"/>
        </w:rPr>
        <w:t>　</w:t>
      </w:r>
      <w:r>
        <w:rPr>
          <w:rFonts w:ascii="宋体" w:hAnsi="宋体" w:eastAsia="宋体"/>
          <w:sz w:val="24"/>
          <w:szCs w:val="24"/>
        </w:rPr>
        <w:t>《剩余电流动作保护装置安装和运行》 GB/T 13955</w:t>
      </w:r>
    </w:p>
    <w:p>
      <w:pPr>
        <w:spacing w:line="360" w:lineRule="auto"/>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12</w:t>
      </w:r>
      <w:r>
        <w:rPr>
          <w:rFonts w:hint="eastAsia" w:ascii="宋体" w:hAnsi="宋体" w:eastAsia="宋体"/>
          <w:sz w:val="24"/>
          <w:szCs w:val="24"/>
        </w:rPr>
        <w:t>　《电缆及光缆燃烧性能分级》GB 31247</w:t>
      </w:r>
    </w:p>
    <w:p>
      <w:pPr>
        <w:spacing w:line="360" w:lineRule="auto"/>
        <w:rPr>
          <w:rFonts w:ascii="宋体" w:hAnsi="宋体" w:eastAsia="宋体"/>
          <w:sz w:val="24"/>
          <w:szCs w:val="24"/>
        </w:rPr>
      </w:pPr>
      <w:r>
        <w:rPr>
          <w:rFonts w:ascii="宋体" w:hAnsi="宋体" w:eastAsia="宋体"/>
          <w:sz w:val="24"/>
          <w:szCs w:val="24"/>
        </w:rPr>
        <w:t>　　</w:t>
      </w:r>
      <w:r>
        <w:rPr>
          <w:rFonts w:ascii="宋体" w:hAnsi="宋体" w:eastAsia="宋体"/>
          <w:b/>
          <w:sz w:val="24"/>
          <w:szCs w:val="24"/>
        </w:rPr>
        <w:t>13</w:t>
      </w:r>
      <w:r>
        <w:rPr>
          <w:rFonts w:ascii="宋体" w:hAnsi="宋体" w:eastAsia="宋体"/>
          <w:sz w:val="24"/>
          <w:szCs w:val="24"/>
        </w:rPr>
        <w:t>　</w:t>
      </w:r>
      <w:r>
        <w:rPr>
          <w:rFonts w:hint="eastAsia" w:ascii="宋体" w:hAnsi="宋体" w:eastAsia="宋体"/>
          <w:sz w:val="24"/>
          <w:szCs w:val="24"/>
        </w:rPr>
        <w:t>《电磁环境控制限制》GB 8702</w:t>
      </w:r>
    </w:p>
    <w:p>
      <w:pPr>
        <w:spacing w:line="360" w:lineRule="auto"/>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14</w:t>
      </w:r>
      <w:r>
        <w:rPr>
          <w:rFonts w:hint="eastAsia" w:ascii="宋体" w:hAnsi="宋体" w:eastAsia="宋体"/>
          <w:sz w:val="24"/>
          <w:szCs w:val="24"/>
        </w:rPr>
        <w:t>　</w:t>
      </w:r>
      <w:r>
        <w:rPr>
          <w:rFonts w:ascii="宋体" w:hAnsi="宋体" w:eastAsia="宋体"/>
          <w:sz w:val="24"/>
          <w:szCs w:val="24"/>
          <w:shd w:val="clear" w:color="auto" w:fill="FFFFFF"/>
        </w:rPr>
        <w:t>《城市轨道交通照明》GB/T 16275</w:t>
      </w:r>
    </w:p>
    <w:p>
      <w:pPr>
        <w:spacing w:line="360" w:lineRule="auto"/>
        <w:rPr>
          <w:rFonts w:ascii="宋体" w:hAnsi="宋体" w:eastAsia="宋体"/>
          <w:sz w:val="24"/>
          <w:szCs w:val="24"/>
          <w:shd w:val="clear" w:color="auto" w:fill="FFFFFF"/>
        </w:rPr>
      </w:pPr>
      <w:r>
        <w:rPr>
          <w:rFonts w:ascii="宋体" w:hAnsi="宋体" w:eastAsia="宋体"/>
          <w:sz w:val="24"/>
          <w:szCs w:val="24"/>
        </w:rPr>
        <w:t>　　</w:t>
      </w:r>
      <w:r>
        <w:rPr>
          <w:rFonts w:ascii="宋体" w:hAnsi="宋体" w:eastAsia="宋体"/>
          <w:b/>
          <w:sz w:val="24"/>
          <w:szCs w:val="24"/>
        </w:rPr>
        <w:t>15</w:t>
      </w:r>
      <w:r>
        <w:rPr>
          <w:rFonts w:ascii="宋体" w:hAnsi="宋体" w:eastAsia="宋体"/>
          <w:sz w:val="24"/>
          <w:szCs w:val="24"/>
        </w:rPr>
        <w:t>　《建筑照明设计标准》GB50034</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16</w:t>
      </w:r>
      <w:r>
        <w:rPr>
          <w:rFonts w:hint="eastAsia" w:ascii="宋体" w:hAnsi="宋体" w:eastAsia="宋体"/>
          <w:sz w:val="24"/>
          <w:szCs w:val="24"/>
        </w:rPr>
        <w:t>　</w:t>
      </w:r>
      <w:r>
        <w:rPr>
          <w:rFonts w:ascii="宋体" w:hAnsi="宋体" w:eastAsia="宋体" w:cs="Times New Roman"/>
          <w:sz w:val="24"/>
          <w:szCs w:val="24"/>
        </w:rPr>
        <w:t>《中小型三相异步电动机能效限定值及能效等级》GB18613</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17</w:t>
      </w:r>
      <w:r>
        <w:rPr>
          <w:rFonts w:hint="eastAsia" w:ascii="宋体" w:hAnsi="宋体" w:eastAsia="宋体"/>
          <w:sz w:val="24"/>
          <w:szCs w:val="24"/>
        </w:rPr>
        <w:t>　《铁路机车车辆涂料及涂装涂料》TB/T2879</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18</w:t>
      </w:r>
      <w:r>
        <w:rPr>
          <w:rFonts w:hint="eastAsia" w:ascii="宋体" w:hAnsi="宋体" w:eastAsia="宋体"/>
          <w:sz w:val="24"/>
          <w:szCs w:val="24"/>
        </w:rPr>
        <w:t>　</w:t>
      </w:r>
      <w:r>
        <w:rPr>
          <w:rFonts w:hint="eastAsia" w:ascii="宋体" w:hAnsi="宋体"/>
          <w:sz w:val="24"/>
          <w:szCs w:val="24"/>
        </w:rPr>
        <w:t>《轨道交通车站高效空调系统技术标准》</w:t>
      </w:r>
      <w:r>
        <w:rPr>
          <w:rFonts w:ascii="宋体" w:hAnsi="宋体"/>
          <w:sz w:val="24"/>
          <w:szCs w:val="24"/>
        </w:rPr>
        <w:t>T/CABEE-JH2018026</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19</w:t>
      </w:r>
      <w:r>
        <w:rPr>
          <w:rFonts w:ascii="宋体" w:hAnsi="宋体" w:eastAsia="宋体"/>
          <w:sz w:val="24"/>
          <w:szCs w:val="24"/>
        </w:rPr>
        <w:t>　</w:t>
      </w:r>
      <w:r>
        <w:rPr>
          <w:rFonts w:ascii="宋体" w:hAnsi="宋体" w:eastAsia="宋体"/>
          <w:sz w:val="24"/>
          <w:szCs w:val="24"/>
          <w:shd w:val="clear" w:color="auto" w:fill="FFFFFF"/>
        </w:rPr>
        <w:t>《公共场所集中空调通风系统清洗消毒规范》WS/T 396</w:t>
      </w:r>
    </w:p>
    <w:p>
      <w:pPr>
        <w:snapToGrid w:val="0"/>
        <w:spacing w:line="360" w:lineRule="auto"/>
        <w:jc w:val="left"/>
        <w:rPr>
          <w:rFonts w:ascii="宋体" w:hAnsi="宋体" w:eastAsia="宋体"/>
          <w:sz w:val="24"/>
          <w:szCs w:val="24"/>
          <w:shd w:val="clear" w:color="auto" w:fill="FFFFFF"/>
        </w:rPr>
      </w:pPr>
      <w:r>
        <w:rPr>
          <w:rFonts w:hint="eastAsia" w:ascii="宋体" w:hAnsi="宋体" w:eastAsia="宋体"/>
          <w:sz w:val="24"/>
          <w:szCs w:val="24"/>
          <w:shd w:val="clear" w:color="auto" w:fill="FFFFFF"/>
        </w:rPr>
        <w:t>　　</w:t>
      </w:r>
      <w:r>
        <w:rPr>
          <w:rFonts w:hint="eastAsia" w:ascii="宋体" w:hAnsi="宋体" w:eastAsia="宋体"/>
          <w:b/>
          <w:sz w:val="24"/>
          <w:szCs w:val="24"/>
          <w:shd w:val="clear" w:color="auto" w:fill="FFFFFF"/>
        </w:rPr>
        <w:t>20</w:t>
      </w:r>
      <w:r>
        <w:rPr>
          <w:rFonts w:hint="eastAsia" w:ascii="宋体" w:hAnsi="宋体" w:eastAsia="宋体"/>
          <w:sz w:val="24"/>
          <w:szCs w:val="24"/>
          <w:shd w:val="clear" w:color="auto" w:fill="FFFFFF"/>
        </w:rPr>
        <w:t>　</w:t>
      </w:r>
      <w:r>
        <w:rPr>
          <w:rFonts w:hint="eastAsia" w:ascii="宋体" w:hAnsi="宋体" w:eastAsia="宋体"/>
          <w:sz w:val="24"/>
          <w:szCs w:val="24"/>
        </w:rPr>
        <w:t>《变电站监控系统防止电气误操作技术规范》DL/T 1404</w:t>
      </w:r>
    </w:p>
    <w:p>
      <w:pPr>
        <w:spacing w:line="360" w:lineRule="auto"/>
        <w:rPr>
          <w:rFonts w:ascii="宋体" w:hAnsi="宋体" w:eastAsia="宋体"/>
          <w:sz w:val="24"/>
          <w:szCs w:val="24"/>
          <w:shd w:val="clear" w:color="auto" w:fill="FFFFFF"/>
        </w:rPr>
      </w:pPr>
      <w:r>
        <w:rPr>
          <w:rFonts w:ascii="宋体" w:hAnsi="宋体" w:eastAsia="宋体"/>
          <w:sz w:val="24"/>
          <w:szCs w:val="24"/>
          <w:shd w:val="clear" w:color="auto" w:fill="FFFFFF"/>
        </w:rPr>
        <w:t>　　</w:t>
      </w:r>
      <w:r>
        <w:rPr>
          <w:rFonts w:ascii="宋体" w:hAnsi="宋体" w:eastAsia="宋体"/>
          <w:b/>
          <w:sz w:val="24"/>
          <w:szCs w:val="24"/>
          <w:shd w:val="clear" w:color="auto" w:fill="FFFFFF"/>
        </w:rPr>
        <w:t>21</w:t>
      </w:r>
      <w:r>
        <w:rPr>
          <w:rFonts w:hint="eastAsia" w:ascii="宋体" w:hAnsi="宋体" w:eastAsia="宋体"/>
          <w:sz w:val="24"/>
          <w:szCs w:val="24"/>
        </w:rPr>
        <w:t>《广东省绿色建筑评价标准》DBJ∕T 15-83</w:t>
      </w:r>
    </w:p>
    <w:p>
      <w:pPr>
        <w:spacing w:line="360" w:lineRule="auto"/>
        <w:rPr>
          <w:rFonts w:ascii="宋体" w:hAnsi="宋体" w:eastAsia="宋体"/>
          <w:sz w:val="24"/>
          <w:szCs w:val="24"/>
        </w:rPr>
      </w:pPr>
      <w:r>
        <w:rPr>
          <w:rFonts w:ascii="宋体" w:hAnsi="宋体" w:eastAsia="宋体" w:cs="Times New Roman"/>
          <w:sz w:val="24"/>
          <w:szCs w:val="24"/>
        </w:rPr>
        <w:t>　　</w:t>
      </w:r>
      <w:r>
        <w:rPr>
          <w:rFonts w:ascii="宋体" w:hAnsi="宋体" w:eastAsia="宋体" w:cs="Times New Roman"/>
          <w:b/>
          <w:sz w:val="24"/>
          <w:szCs w:val="24"/>
        </w:rPr>
        <w:t>22</w:t>
      </w:r>
      <w:r>
        <w:rPr>
          <w:rFonts w:hint="eastAsia" w:ascii="宋体" w:hAnsi="宋体"/>
          <w:sz w:val="24"/>
          <w:szCs w:val="24"/>
        </w:rPr>
        <w:t>《〈公共建筑节能设计标准〉广东省实施细则》DBJ15-51</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widowControl/>
        <w:jc w:val="left"/>
        <w:rPr>
          <w:rFonts w:ascii="宋体" w:hAnsi="宋体" w:eastAsia="宋体" w:cs="Times New Roman"/>
          <w:sz w:val="24"/>
          <w:szCs w:val="24"/>
        </w:rPr>
      </w:pPr>
      <w:r>
        <w:rPr>
          <w:rFonts w:ascii="宋体" w:hAnsi="宋体" w:eastAsia="宋体" w:cs="Times New Roman"/>
          <w:sz w:val="24"/>
          <w:szCs w:val="24"/>
        </w:rPr>
        <w:br w:type="page"/>
      </w:r>
    </w:p>
    <w:p>
      <w:pPr>
        <w:spacing w:line="360" w:lineRule="auto"/>
        <w:rPr>
          <w:rFonts w:ascii="宋体" w:hAnsi="宋体" w:eastAsia="宋体" w:cs="Times New Roman"/>
          <w:sz w:val="24"/>
          <w:szCs w:val="24"/>
        </w:rPr>
      </w:pPr>
    </w:p>
    <w:p>
      <w:pPr>
        <w:jc w:val="center"/>
        <w:rPr>
          <w:rFonts w:ascii="Calibri" w:hAnsi="Calibri"/>
          <w:b/>
          <w:sz w:val="32"/>
          <w:szCs w:val="32"/>
        </w:rPr>
      </w:pPr>
      <w:r>
        <w:rPr>
          <w:rFonts w:ascii="Calibri" w:hAnsi="Calibri"/>
          <w:b/>
          <w:sz w:val="32"/>
          <w:szCs w:val="32"/>
        </w:rPr>
        <w:t>广东省标准</w:t>
      </w:r>
    </w:p>
    <w:p>
      <w:pPr>
        <w:snapToGrid w:val="0"/>
        <w:spacing w:line="380" w:lineRule="atLeast"/>
        <w:jc w:val="center"/>
        <w:rPr>
          <w:rFonts w:eastAsia="黑体"/>
          <w:sz w:val="28"/>
        </w:rPr>
      </w:pPr>
    </w:p>
    <w:p>
      <w:pPr>
        <w:jc w:val="center"/>
        <w:rPr>
          <w:rFonts w:ascii="Calibri" w:hAnsi="Calibri"/>
          <w:b/>
          <w:sz w:val="32"/>
          <w:szCs w:val="32"/>
        </w:rPr>
      </w:pPr>
    </w:p>
    <w:p>
      <w:pPr>
        <w:jc w:val="center"/>
        <w:rPr>
          <w:rFonts w:ascii="Calibri" w:hAnsi="Calibri"/>
          <w:b/>
          <w:sz w:val="32"/>
          <w:szCs w:val="32"/>
        </w:rPr>
      </w:pPr>
      <w:r>
        <w:rPr>
          <w:rFonts w:hint="eastAsia" w:ascii="Calibri" w:hAnsi="Calibri"/>
          <w:b/>
          <w:sz w:val="32"/>
          <w:szCs w:val="32"/>
        </w:rPr>
        <w:t>广东省绿色轨道交通评价标准</w:t>
      </w:r>
    </w:p>
    <w:p>
      <w:pPr>
        <w:snapToGrid w:val="0"/>
        <w:spacing w:line="380" w:lineRule="atLeast"/>
        <w:jc w:val="center"/>
        <w:rPr>
          <w:b/>
          <w:sz w:val="32"/>
        </w:rPr>
      </w:pPr>
    </w:p>
    <w:p>
      <w:pPr>
        <w:jc w:val="center"/>
        <w:rPr>
          <w:b/>
          <w:bCs/>
          <w:sz w:val="32"/>
          <w:szCs w:val="32"/>
        </w:rPr>
      </w:pPr>
      <w:bookmarkStart w:id="61" w:name="_Toc515960711"/>
      <w:bookmarkStart w:id="62" w:name="_Toc489360747"/>
      <w:bookmarkStart w:id="63" w:name="_Toc34555054"/>
      <w:bookmarkStart w:id="64" w:name="_Toc490080102"/>
      <w:bookmarkStart w:id="65" w:name="_Toc489363961"/>
      <w:r>
        <w:rPr>
          <w:b/>
          <w:bCs/>
          <w:sz w:val="32"/>
          <w:szCs w:val="32"/>
        </w:rPr>
        <w:t>Assessment standard for green rail transit</w:t>
      </w:r>
    </w:p>
    <w:p>
      <w:pPr>
        <w:jc w:val="center"/>
        <w:rPr>
          <w:b/>
          <w:bCs/>
          <w:sz w:val="32"/>
          <w:szCs w:val="32"/>
        </w:rPr>
      </w:pPr>
      <w:r>
        <w:rPr>
          <w:b/>
          <w:bCs/>
          <w:sz w:val="32"/>
          <w:szCs w:val="32"/>
        </w:rPr>
        <w:t>in Guangdong Province</w:t>
      </w:r>
      <w:bookmarkEnd w:id="61"/>
      <w:bookmarkEnd w:id="62"/>
      <w:bookmarkEnd w:id="63"/>
      <w:bookmarkEnd w:id="64"/>
      <w:bookmarkEnd w:id="65"/>
    </w:p>
    <w:p>
      <w:pPr>
        <w:snapToGrid w:val="0"/>
        <w:spacing w:line="380" w:lineRule="atLeast"/>
        <w:jc w:val="center"/>
        <w:rPr>
          <w:rFonts w:eastAsia="黑体"/>
          <w:sz w:val="28"/>
        </w:rPr>
      </w:pPr>
    </w:p>
    <w:p>
      <w:pPr>
        <w:jc w:val="center"/>
        <w:rPr>
          <w:b/>
          <w:sz w:val="32"/>
          <w:szCs w:val="32"/>
        </w:rPr>
      </w:pPr>
      <w:r>
        <w:rPr>
          <w:b/>
          <w:sz w:val="32"/>
          <w:szCs w:val="32"/>
        </w:rPr>
        <w:t>DBJ15-××-202×</w:t>
      </w:r>
    </w:p>
    <w:p>
      <w:pPr>
        <w:jc w:val="center"/>
        <w:rPr>
          <w:b/>
          <w:sz w:val="32"/>
          <w:szCs w:val="32"/>
        </w:rPr>
      </w:pPr>
    </w:p>
    <w:p>
      <w:pPr>
        <w:pStyle w:val="2"/>
        <w:spacing w:before="624" w:after="624"/>
        <w:sectPr>
          <w:pgSz w:w="11906" w:h="16838"/>
          <w:pgMar w:top="1440" w:right="1797" w:bottom="1440" w:left="1797" w:header="851" w:footer="992" w:gutter="0"/>
          <w:cols w:space="425" w:num="1"/>
          <w:titlePg/>
          <w:docGrid w:type="lines" w:linePitch="312" w:charSpace="0"/>
        </w:sectPr>
      </w:pPr>
      <w:bookmarkStart w:id="66" w:name="_Toc60819389"/>
      <w:bookmarkStart w:id="67" w:name="_Toc60777127"/>
      <w:bookmarkStart w:id="68" w:name="_Toc60822249"/>
      <w:bookmarkStart w:id="69" w:name="_Toc77584243"/>
      <w:r>
        <w:t>条 文 说 明</w:t>
      </w:r>
      <w:bookmarkEnd w:id="66"/>
      <w:bookmarkEnd w:id="67"/>
      <w:bookmarkEnd w:id="68"/>
      <w:bookmarkEnd w:id="69"/>
    </w:p>
    <w:p>
      <w:pPr>
        <w:jc w:val="center"/>
        <w:rPr>
          <w:rFonts w:ascii="Calibri" w:hAnsi="Calibri"/>
          <w:b/>
          <w:sz w:val="32"/>
          <w:szCs w:val="32"/>
        </w:rPr>
      </w:pPr>
      <w:r>
        <w:rPr>
          <w:rFonts w:hint="eastAsia" w:ascii="Calibri" w:hAnsi="Calibri"/>
          <w:b/>
          <w:sz w:val="32"/>
          <w:szCs w:val="32"/>
        </w:rPr>
        <w:t>制定说明</w:t>
      </w:r>
    </w:p>
    <w:p>
      <w:pPr>
        <w:jc w:val="center"/>
        <w:rPr>
          <w:rFonts w:ascii="Calibri" w:hAnsi="Calibri"/>
          <w:b/>
          <w:sz w:val="32"/>
          <w:szCs w:val="32"/>
        </w:rPr>
      </w:pPr>
    </w:p>
    <w:p>
      <w:pPr>
        <w:jc w:val="center"/>
        <w:rPr>
          <w:rStyle w:val="39"/>
          <w:rFonts w:hint="default"/>
        </w:rPr>
      </w:pPr>
    </w:p>
    <w:p>
      <w:pPr>
        <w:spacing w:line="360" w:lineRule="auto"/>
        <w:ind w:firstLine="360" w:firstLineChars="150"/>
        <w:jc w:val="left"/>
        <w:rPr>
          <w:rFonts w:hint="eastAsia" w:asciiTheme="minorEastAsia" w:hAnsiTheme="minorEastAsia" w:eastAsiaTheme="minorEastAsia"/>
          <w:sz w:val="24"/>
          <w:szCs w:val="24"/>
          <w:lang w:eastAsia="zh-CN"/>
        </w:rPr>
      </w:pPr>
      <w:r>
        <w:rPr>
          <w:rFonts w:asciiTheme="minorEastAsia" w:hAnsiTheme="minorEastAsia"/>
          <w:sz w:val="24"/>
          <w:szCs w:val="24"/>
        </w:rPr>
        <w:t xml:space="preserve">《广东省绿色轨道交通评价标准》 DBJ/T </w:t>
      </w:r>
      <w:r>
        <w:rPr>
          <w:rFonts w:hint="eastAsia" w:asciiTheme="minorEastAsia" w:hAnsiTheme="minorEastAsia"/>
          <w:sz w:val="24"/>
          <w:szCs w:val="24"/>
        </w:rPr>
        <w:t>xx</w:t>
      </w:r>
      <w:r>
        <w:rPr>
          <w:rFonts w:asciiTheme="minorEastAsia" w:hAnsiTheme="minorEastAsia"/>
          <w:sz w:val="24"/>
          <w:szCs w:val="24"/>
        </w:rPr>
        <w:t>-</w:t>
      </w:r>
      <w:r>
        <w:rPr>
          <w:rFonts w:hint="eastAsia" w:asciiTheme="minorEastAsia" w:hAnsiTheme="minorEastAsia"/>
          <w:sz w:val="24"/>
          <w:szCs w:val="24"/>
        </w:rPr>
        <w:t>xxx</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，经广东省住房和城乡建设厅 202</w:t>
      </w:r>
      <w:r>
        <w:rPr>
          <w:rFonts w:hint="eastAsia" w:asciiTheme="minorEastAsia" w:hAnsiTheme="minorEastAsia"/>
          <w:sz w:val="24"/>
          <w:szCs w:val="24"/>
        </w:rPr>
        <w:t>1</w:t>
      </w:r>
      <w:r>
        <w:rPr>
          <w:rFonts w:asciiTheme="minorEastAsia" w:hAnsiTheme="minorEastAsia"/>
          <w:sz w:val="24"/>
          <w:szCs w:val="24"/>
        </w:rPr>
        <w:t xml:space="preserve"> 年 </w:t>
      </w:r>
      <w:r>
        <w:rPr>
          <w:rFonts w:hint="eastAsia" w:asciiTheme="minorEastAsia" w:hAnsiTheme="minorEastAsia"/>
          <w:sz w:val="24"/>
          <w:szCs w:val="24"/>
        </w:rPr>
        <w:t>xx</w:t>
      </w:r>
      <w:r>
        <w:rPr>
          <w:rFonts w:asciiTheme="minorEastAsia" w:hAnsiTheme="minorEastAsia"/>
          <w:sz w:val="24"/>
          <w:szCs w:val="24"/>
        </w:rPr>
        <w:t xml:space="preserve">月 </w:t>
      </w:r>
      <w:r>
        <w:rPr>
          <w:rFonts w:hint="eastAsia" w:asciiTheme="minorEastAsia" w:hAnsiTheme="minorEastAsia"/>
          <w:sz w:val="24"/>
          <w:szCs w:val="24"/>
        </w:rPr>
        <w:t>xx</w:t>
      </w:r>
      <w:r>
        <w:rPr>
          <w:rFonts w:asciiTheme="minorEastAsia" w:hAnsiTheme="minorEastAsia"/>
          <w:sz w:val="24"/>
          <w:szCs w:val="24"/>
        </w:rPr>
        <w:t xml:space="preserve"> 日以粤建公告〔 202</w:t>
      </w: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xx</w:t>
      </w:r>
      <w:r>
        <w:rPr>
          <w:rFonts w:asciiTheme="minorEastAsia" w:hAnsiTheme="minorEastAsia"/>
          <w:sz w:val="24"/>
          <w:szCs w:val="24"/>
        </w:rPr>
        <w:t xml:space="preserve"> 号发布。</w:t>
      </w:r>
    </w:p>
    <w:p>
      <w:pPr>
        <w:spacing w:line="360" w:lineRule="auto"/>
        <w:ind w:firstLine="360" w:firstLineChars="150"/>
        <w:jc w:val="left"/>
        <w:rPr>
          <w:rFonts w:hint="eastAsia" w:asciiTheme="minorEastAsia" w:hAnsiTheme="minorEastAsia" w:eastAsiaTheme="minorEastAsia"/>
          <w:sz w:val="24"/>
          <w:szCs w:val="24"/>
          <w:lang w:eastAsia="zh-CN"/>
        </w:rPr>
      </w:pPr>
      <w:r>
        <w:rPr>
          <w:rFonts w:asciiTheme="minorEastAsia" w:hAnsiTheme="minorEastAsia"/>
          <w:sz w:val="24"/>
          <w:szCs w:val="24"/>
        </w:rPr>
        <w:t xml:space="preserve">    规范编制组以国家标准《地铁设计规范》GB 50157</w:t>
      </w:r>
      <w:r>
        <w:rPr>
          <w:rFonts w:hint="eastAsia" w:asciiTheme="minorEastAsia" w:hAnsiTheme="minorEastAsia"/>
          <w:sz w:val="24"/>
          <w:szCs w:val="24"/>
        </w:rPr>
        <w:t>-2013</w:t>
      </w:r>
      <w:r>
        <w:rPr>
          <w:rFonts w:asciiTheme="minorEastAsia" w:hAnsiTheme="minorEastAsia"/>
          <w:sz w:val="24"/>
          <w:szCs w:val="24"/>
        </w:rPr>
        <w:t>、</w:t>
      </w:r>
      <w:r>
        <w:rPr>
          <w:rFonts w:hint="eastAsia" w:ascii="宋体" w:hAnsi="宋体" w:eastAsia="宋体"/>
          <w:sz w:val="24"/>
          <w:szCs w:val="24"/>
        </w:rPr>
        <w:t>《绿色建筑评价标准》GB/T 50378</w:t>
      </w:r>
      <w:r>
        <w:rPr>
          <w:rFonts w:hint="eastAsia" w:asciiTheme="minorEastAsia" w:hAnsiTheme="minorEastAsia"/>
          <w:sz w:val="24"/>
          <w:szCs w:val="24"/>
        </w:rPr>
        <w:t>-2019等等标准</w:t>
      </w:r>
      <w:r>
        <w:rPr>
          <w:rFonts w:asciiTheme="minorEastAsia" w:hAnsiTheme="minorEastAsia"/>
          <w:sz w:val="24"/>
          <w:szCs w:val="24"/>
        </w:rPr>
        <w:t>为基础，认真总结近年来广东省绿色轨道交通的实践和研究成果，借鉴国内、国际先进经验，并在广泛征求意见的基础上对具体内容进行了反复讨论、协调和修改，最后经审查定稿。</w:t>
      </w:r>
    </w:p>
    <w:p>
      <w:pPr>
        <w:spacing w:line="360" w:lineRule="auto"/>
        <w:ind w:firstLine="360" w:firstLineChars="150"/>
        <w:jc w:val="left"/>
        <w:rPr>
          <w:rFonts w:hint="eastAsia" w:asciiTheme="minorEastAsia" w:hAnsiTheme="minorEastAsia" w:eastAsiaTheme="minorEastAsia"/>
          <w:sz w:val="24"/>
          <w:szCs w:val="24"/>
          <w:lang w:eastAsia="zh-CN"/>
        </w:rPr>
      </w:pPr>
      <w:r>
        <w:rPr>
          <w:rFonts w:asciiTheme="minorEastAsia" w:hAnsiTheme="minorEastAsia"/>
          <w:sz w:val="24"/>
          <w:szCs w:val="24"/>
        </w:rPr>
        <w:t xml:space="preserve">    为便于广大设计、科研、建设等单位有关人员在使用本规范时能正确理解和</w:t>
      </w:r>
    </w:p>
    <w:p>
      <w:pPr>
        <w:spacing w:line="360" w:lineRule="auto"/>
        <w:ind w:firstLine="360" w:firstLineChars="150"/>
        <w:jc w:val="left"/>
        <w:rPr>
          <w:rFonts w:hint="eastAsia" w:asciiTheme="minorEastAsia" w:hAnsiTheme="minorEastAsia" w:eastAsiaTheme="minorEastAsia"/>
          <w:sz w:val="24"/>
          <w:szCs w:val="24"/>
          <w:lang w:eastAsia="zh-CN"/>
        </w:rPr>
      </w:pPr>
      <w:r>
        <w:rPr>
          <w:rFonts w:asciiTheme="minorEastAsia" w:hAnsiTheme="minorEastAsia"/>
          <w:sz w:val="24"/>
          <w:szCs w:val="24"/>
        </w:rPr>
        <w:t>执行条文规定，规范编制组按章、节、条顺序编制了本规范的条文说明，对条文</w:t>
      </w:r>
    </w:p>
    <w:p>
      <w:pPr>
        <w:spacing w:line="360" w:lineRule="auto"/>
        <w:ind w:firstLine="360" w:firstLineChars="150"/>
        <w:jc w:val="left"/>
        <w:rPr>
          <w:rFonts w:hint="eastAsia" w:asciiTheme="minorEastAsia" w:hAnsiTheme="minorEastAsia" w:eastAsiaTheme="minorEastAsia"/>
          <w:sz w:val="24"/>
          <w:szCs w:val="24"/>
          <w:lang w:eastAsia="zh-CN"/>
        </w:rPr>
      </w:pPr>
      <w:r>
        <w:rPr>
          <w:rFonts w:asciiTheme="minorEastAsia" w:hAnsiTheme="minorEastAsia"/>
          <w:sz w:val="24"/>
          <w:szCs w:val="24"/>
        </w:rPr>
        <w:t>规定的目的、依据以及执行中需要注意的有关事项进行了说明。但是，本条文说</w:t>
      </w:r>
    </w:p>
    <w:p>
      <w:pPr>
        <w:spacing w:line="360" w:lineRule="auto"/>
        <w:ind w:firstLine="360" w:firstLineChars="150"/>
        <w:jc w:val="left"/>
        <w:rPr>
          <w:rFonts w:hint="eastAsia" w:asciiTheme="minorEastAsia" w:hAnsiTheme="minorEastAsia" w:eastAsiaTheme="minorEastAsia"/>
          <w:sz w:val="24"/>
          <w:szCs w:val="24"/>
          <w:lang w:eastAsia="zh-CN"/>
        </w:rPr>
      </w:pPr>
      <w:r>
        <w:rPr>
          <w:rFonts w:asciiTheme="minorEastAsia" w:hAnsiTheme="minorEastAsia"/>
          <w:sz w:val="24"/>
          <w:szCs w:val="24"/>
        </w:rPr>
        <w:t>明不具备与规范正文同等的法律效力，仅供使用者作为理解和把握规范规定的参</w:t>
      </w:r>
    </w:p>
    <w:p>
      <w:pPr>
        <w:spacing w:line="360" w:lineRule="auto"/>
        <w:ind w:firstLine="360" w:firstLineChars="150"/>
        <w:jc w:val="left"/>
        <w:rPr>
          <w:rFonts w:asciiTheme="minorEastAsia" w:hAnsiTheme="minorEastAsia"/>
          <w:sz w:val="24"/>
          <w:szCs w:val="24"/>
        </w:rPr>
        <w:sectPr>
          <w:pgSz w:w="11906" w:h="16838"/>
          <w:pgMar w:top="1440" w:right="1797" w:bottom="1440" w:left="1797" w:header="851" w:footer="992" w:gutter="0"/>
          <w:cols w:space="425" w:num="1"/>
          <w:titlePg/>
          <w:docGrid w:type="lines" w:linePitch="312" w:charSpace="0"/>
        </w:sectPr>
      </w:pPr>
      <w:r>
        <w:rPr>
          <w:rFonts w:asciiTheme="minorEastAsia" w:hAnsiTheme="minorEastAsia"/>
          <w:sz w:val="24"/>
          <w:szCs w:val="24"/>
        </w:rPr>
        <w:t>考。</w:t>
      </w:r>
    </w:p>
    <w:p>
      <w:pPr>
        <w:pStyle w:val="2"/>
        <w:spacing w:before="624" w:after="624"/>
      </w:pPr>
      <w:bookmarkStart w:id="70" w:name="_Toc60822424"/>
      <w:bookmarkStart w:id="71" w:name="_Toc77584244"/>
      <w:r>
        <w:rPr>
          <w:rFonts w:hint="eastAsia"/>
        </w:rPr>
        <w:t>目次</w:t>
      </w:r>
      <w:bookmarkEnd w:id="70"/>
      <w:bookmarkEnd w:id="71"/>
      <w:r>
        <w:fldChar w:fldCharType="begin"/>
      </w:r>
      <w:r>
        <w:rPr>
          <w:rFonts w:hint="eastAsia"/>
        </w:rPr>
        <w:instrText xml:space="preserve">TOC \o "1-2" \u</w:instrText>
      </w:r>
      <w:r>
        <w:fldChar w:fldCharType="separate"/>
      </w:r>
    </w:p>
    <w:p>
      <w:pPr>
        <w:pStyle w:val="11"/>
        <w:tabs>
          <w:tab w:val="right" w:leader="dot" w:pos="8302"/>
        </w:tabs>
        <w:spacing w:line="400" w:lineRule="exact"/>
        <w:rPr>
          <w:sz w:val="24"/>
          <w:szCs w:val="24"/>
        </w:rPr>
      </w:pPr>
      <w:r>
        <w:rPr>
          <w:rFonts w:ascii="宋体" w:hAnsi="宋体" w:eastAsia="宋体"/>
          <w:b/>
          <w:sz w:val="24"/>
          <w:szCs w:val="24"/>
        </w:rPr>
        <w:t>1</w:t>
      </w:r>
      <w:r>
        <w:rPr>
          <w:rFonts w:ascii="宋体" w:hAnsi="宋体" w:eastAsia="宋体"/>
          <w:sz w:val="24"/>
          <w:szCs w:val="24"/>
        </w:rPr>
        <w:t>　</w:t>
      </w:r>
      <w:r>
        <w:rPr>
          <w:rFonts w:hint="eastAsia" w:ascii="宋体" w:hAnsi="宋体" w:eastAsia="宋体" w:cs="宋体"/>
          <w:sz w:val="24"/>
          <w:szCs w:val="24"/>
        </w:rPr>
        <w:t>总则</w:t>
      </w:r>
      <w:r>
        <w:rPr>
          <w:sz w:val="24"/>
          <w:szCs w:val="24"/>
        </w:rPr>
        <w:tab/>
      </w:r>
      <w:r>
        <w:rPr>
          <w:rFonts w:hint="eastAsia"/>
          <w:sz w:val="24"/>
          <w:szCs w:val="24"/>
        </w:rPr>
        <w:t>57</w:t>
      </w:r>
    </w:p>
    <w:p>
      <w:pPr>
        <w:pStyle w:val="11"/>
        <w:tabs>
          <w:tab w:val="right" w:leader="dot" w:pos="8302"/>
        </w:tabs>
        <w:spacing w:line="400" w:lineRule="exact"/>
        <w:rPr>
          <w:sz w:val="24"/>
          <w:szCs w:val="24"/>
        </w:rPr>
      </w:pPr>
      <w:r>
        <w:rPr>
          <w:rFonts w:ascii="宋体" w:hAnsi="宋体" w:eastAsia="宋体"/>
          <w:b/>
          <w:sz w:val="24"/>
          <w:szCs w:val="24"/>
        </w:rPr>
        <w:t>3</w:t>
      </w:r>
      <w:r>
        <w:rPr>
          <w:rFonts w:ascii="宋体" w:hAnsi="宋体" w:eastAsia="宋体"/>
          <w:sz w:val="24"/>
          <w:szCs w:val="24"/>
        </w:rPr>
        <w:t>　</w:t>
      </w:r>
      <w:r>
        <w:rPr>
          <w:rFonts w:hint="eastAsia" w:ascii="宋体" w:hAnsi="宋体" w:eastAsia="宋体" w:cs="宋体"/>
          <w:sz w:val="24"/>
          <w:szCs w:val="24"/>
        </w:rPr>
        <w:t>基本规定</w:t>
      </w:r>
      <w:r>
        <w:rPr>
          <w:sz w:val="24"/>
          <w:szCs w:val="24"/>
        </w:rPr>
        <w:tab/>
      </w:r>
      <w:r>
        <w:rPr>
          <w:rFonts w:hint="eastAsia"/>
          <w:sz w:val="24"/>
          <w:szCs w:val="24"/>
        </w:rPr>
        <w:t>58</w:t>
      </w:r>
    </w:p>
    <w:p>
      <w:pPr>
        <w:pStyle w:val="12"/>
        <w:spacing w:line="400" w:lineRule="exact"/>
        <w:ind w:left="0" w:leftChars="0" w:firstLine="241" w:firstLineChars="100"/>
        <w:rPr>
          <w:szCs w:val="24"/>
        </w:rPr>
      </w:pPr>
      <w:r>
        <w:rPr>
          <w:rFonts w:ascii="宋体" w:hAnsi="宋体" w:eastAsia="宋体"/>
          <w:b/>
          <w:szCs w:val="24"/>
        </w:rPr>
        <w:t>3.1</w:t>
      </w:r>
      <w:r>
        <w:rPr>
          <w:rFonts w:ascii="宋体" w:hAnsi="宋体" w:eastAsia="宋体"/>
          <w:szCs w:val="24"/>
        </w:rPr>
        <w:t>　</w:t>
      </w:r>
      <w:r>
        <w:rPr>
          <w:rFonts w:hint="eastAsia" w:ascii="宋体" w:hAnsi="宋体" w:eastAsia="宋体"/>
          <w:szCs w:val="24"/>
        </w:rPr>
        <w:t>一般规定</w:t>
      </w:r>
      <w:r>
        <w:rPr>
          <w:szCs w:val="24"/>
        </w:rPr>
        <w:tab/>
      </w:r>
      <w:r>
        <w:rPr>
          <w:szCs w:val="24"/>
        </w:rPr>
        <w:fldChar w:fldCharType="begin"/>
      </w:r>
      <w:r>
        <w:rPr>
          <w:szCs w:val="24"/>
        </w:rPr>
        <w:instrText xml:space="preserve"> PAGEREF _Toc60822252 \h </w:instrText>
      </w:r>
      <w:r>
        <w:rPr>
          <w:szCs w:val="24"/>
        </w:rPr>
        <w:fldChar w:fldCharType="separate"/>
      </w:r>
      <w:r>
        <w:rPr>
          <w:szCs w:val="24"/>
        </w:rPr>
        <w:t>5</w:t>
      </w:r>
      <w:r>
        <w:rPr>
          <w:rFonts w:hint="eastAsia"/>
          <w:szCs w:val="24"/>
        </w:rPr>
        <w:t>8</w:t>
      </w:r>
      <w:r>
        <w:rPr>
          <w:szCs w:val="24"/>
        </w:rPr>
        <w:fldChar w:fldCharType="end"/>
      </w:r>
    </w:p>
    <w:p>
      <w:pPr>
        <w:pStyle w:val="12"/>
        <w:spacing w:line="400" w:lineRule="exact"/>
        <w:ind w:left="0" w:leftChars="0" w:firstLine="241" w:firstLineChars="100"/>
        <w:rPr>
          <w:szCs w:val="24"/>
        </w:rPr>
      </w:pPr>
      <w:r>
        <w:rPr>
          <w:rFonts w:ascii="宋体" w:hAnsi="宋体" w:eastAsia="宋体"/>
          <w:b/>
          <w:szCs w:val="24"/>
        </w:rPr>
        <w:t>3.2</w:t>
      </w:r>
      <w:r>
        <w:rPr>
          <w:rFonts w:ascii="宋体" w:hAnsi="宋体" w:eastAsia="宋体"/>
          <w:szCs w:val="24"/>
        </w:rPr>
        <w:t>　</w:t>
      </w:r>
      <w:r>
        <w:rPr>
          <w:rFonts w:hint="eastAsia" w:ascii="宋体" w:hAnsi="宋体" w:eastAsia="宋体"/>
          <w:szCs w:val="24"/>
        </w:rPr>
        <w:t>评价方法与等级划分</w:t>
      </w:r>
      <w:r>
        <w:rPr>
          <w:szCs w:val="24"/>
        </w:rPr>
        <w:tab/>
      </w:r>
      <w:r>
        <w:rPr>
          <w:szCs w:val="24"/>
        </w:rPr>
        <w:fldChar w:fldCharType="begin"/>
      </w:r>
      <w:r>
        <w:rPr>
          <w:szCs w:val="24"/>
        </w:rPr>
        <w:instrText xml:space="preserve"> PAGEREF _Toc60822253 \h </w:instrText>
      </w:r>
      <w:r>
        <w:rPr>
          <w:szCs w:val="24"/>
        </w:rPr>
        <w:fldChar w:fldCharType="separate"/>
      </w:r>
      <w:r>
        <w:rPr>
          <w:szCs w:val="24"/>
        </w:rPr>
        <w:t>5</w:t>
      </w:r>
      <w:r>
        <w:rPr>
          <w:rFonts w:hint="eastAsia"/>
          <w:szCs w:val="24"/>
        </w:rPr>
        <w:t>9</w:t>
      </w:r>
      <w:r>
        <w:rPr>
          <w:szCs w:val="24"/>
        </w:rPr>
        <w:fldChar w:fldCharType="end"/>
      </w:r>
    </w:p>
    <w:p>
      <w:pPr>
        <w:pStyle w:val="11"/>
        <w:tabs>
          <w:tab w:val="right" w:leader="dot" w:pos="8302"/>
        </w:tabs>
        <w:spacing w:line="400" w:lineRule="exact"/>
        <w:rPr>
          <w:sz w:val="24"/>
          <w:szCs w:val="24"/>
        </w:rPr>
      </w:pPr>
      <w:r>
        <w:rPr>
          <w:rFonts w:ascii="宋体" w:hAnsi="宋体" w:eastAsia="宋体" w:cs="宋体"/>
          <w:b/>
          <w:sz w:val="24"/>
          <w:szCs w:val="24"/>
        </w:rPr>
        <w:t>4</w:t>
      </w:r>
      <w:r>
        <w:rPr>
          <w:rFonts w:ascii="宋体" w:hAnsi="宋体" w:eastAsia="宋体" w:cs="宋体"/>
          <w:sz w:val="24"/>
          <w:szCs w:val="24"/>
        </w:rPr>
        <w:t>　</w:t>
      </w:r>
      <w:r>
        <w:rPr>
          <w:rFonts w:hint="eastAsia" w:ascii="宋体" w:hAnsi="宋体" w:eastAsia="宋体" w:cs="宋体"/>
          <w:sz w:val="24"/>
          <w:szCs w:val="24"/>
        </w:rPr>
        <w:t>安全耐久</w:t>
      </w:r>
      <w:r>
        <w:rPr>
          <w:sz w:val="24"/>
          <w:szCs w:val="24"/>
        </w:rPr>
        <w:tab/>
      </w:r>
      <w:r>
        <w:rPr>
          <w:rFonts w:hint="eastAsia"/>
          <w:sz w:val="24"/>
          <w:szCs w:val="24"/>
        </w:rPr>
        <w:t>60</w:t>
      </w:r>
    </w:p>
    <w:p>
      <w:pPr>
        <w:pStyle w:val="12"/>
        <w:spacing w:line="400" w:lineRule="exact"/>
        <w:ind w:left="0" w:leftChars="0" w:firstLine="241" w:firstLineChars="100"/>
        <w:rPr>
          <w:szCs w:val="24"/>
        </w:rPr>
      </w:pPr>
      <w:r>
        <w:rPr>
          <w:rFonts w:ascii="宋体" w:hAnsi="宋体" w:eastAsia="宋体"/>
          <w:b/>
          <w:szCs w:val="24"/>
        </w:rPr>
        <w:t>4.1</w:t>
      </w:r>
      <w:r>
        <w:rPr>
          <w:rFonts w:ascii="宋体" w:hAnsi="宋体" w:eastAsia="宋体"/>
          <w:szCs w:val="24"/>
        </w:rPr>
        <w:t>　</w:t>
      </w:r>
      <w:r>
        <w:rPr>
          <w:rFonts w:hint="eastAsia" w:ascii="宋体" w:hAnsi="宋体" w:eastAsia="宋体"/>
          <w:szCs w:val="24"/>
        </w:rPr>
        <w:t>控制项</w:t>
      </w:r>
      <w:r>
        <w:rPr>
          <w:szCs w:val="24"/>
        </w:rPr>
        <w:tab/>
      </w:r>
      <w:r>
        <w:rPr>
          <w:rFonts w:hint="eastAsia"/>
          <w:szCs w:val="24"/>
        </w:rPr>
        <w:t>60</w:t>
      </w:r>
    </w:p>
    <w:p>
      <w:pPr>
        <w:pStyle w:val="12"/>
        <w:spacing w:line="400" w:lineRule="exact"/>
        <w:ind w:left="0" w:leftChars="0" w:firstLine="241" w:firstLineChars="100"/>
        <w:rPr>
          <w:szCs w:val="24"/>
        </w:rPr>
      </w:pPr>
      <w:r>
        <w:rPr>
          <w:rFonts w:ascii="宋体" w:hAnsi="宋体" w:eastAsia="宋体"/>
          <w:b/>
          <w:szCs w:val="24"/>
        </w:rPr>
        <w:t>4.2</w:t>
      </w:r>
      <w:r>
        <w:rPr>
          <w:rFonts w:ascii="宋体" w:hAnsi="宋体" w:eastAsia="宋体"/>
          <w:szCs w:val="24"/>
        </w:rPr>
        <w:t>　</w:t>
      </w:r>
      <w:r>
        <w:rPr>
          <w:rFonts w:hint="eastAsia" w:ascii="宋体" w:hAnsi="宋体" w:eastAsia="宋体"/>
          <w:szCs w:val="24"/>
        </w:rPr>
        <w:t>评分项</w:t>
      </w:r>
      <w:r>
        <w:rPr>
          <w:szCs w:val="24"/>
        </w:rPr>
        <w:tab/>
      </w:r>
      <w:r>
        <w:rPr>
          <w:rFonts w:hint="eastAsia"/>
          <w:szCs w:val="24"/>
        </w:rPr>
        <w:t>67</w:t>
      </w:r>
    </w:p>
    <w:p>
      <w:pPr>
        <w:pStyle w:val="11"/>
        <w:tabs>
          <w:tab w:val="right" w:leader="dot" w:pos="8302"/>
        </w:tabs>
        <w:spacing w:line="400" w:lineRule="exact"/>
        <w:rPr>
          <w:sz w:val="24"/>
          <w:szCs w:val="24"/>
        </w:rPr>
      </w:pPr>
      <w:r>
        <w:rPr>
          <w:rFonts w:ascii="宋体" w:hAnsi="宋体" w:eastAsia="宋体" w:cs="宋体"/>
          <w:b/>
          <w:sz w:val="24"/>
          <w:szCs w:val="24"/>
        </w:rPr>
        <w:t>5</w:t>
      </w:r>
      <w:r>
        <w:rPr>
          <w:rFonts w:ascii="宋体" w:hAnsi="宋体" w:eastAsia="宋体" w:cs="宋体"/>
          <w:sz w:val="24"/>
          <w:szCs w:val="24"/>
        </w:rPr>
        <w:t>　</w:t>
      </w:r>
      <w:r>
        <w:rPr>
          <w:rFonts w:hint="eastAsia" w:ascii="宋体" w:hAnsi="宋体" w:eastAsia="宋体" w:cs="宋体"/>
          <w:sz w:val="24"/>
          <w:szCs w:val="24"/>
        </w:rPr>
        <w:t>便捷高效</w:t>
      </w:r>
      <w:r>
        <w:rPr>
          <w:sz w:val="24"/>
          <w:szCs w:val="24"/>
        </w:rPr>
        <w:tab/>
      </w:r>
      <w:r>
        <w:rPr>
          <w:rFonts w:hint="eastAsia"/>
          <w:sz w:val="24"/>
          <w:szCs w:val="24"/>
        </w:rPr>
        <w:t>70</w:t>
      </w:r>
    </w:p>
    <w:p>
      <w:pPr>
        <w:pStyle w:val="12"/>
        <w:spacing w:line="400" w:lineRule="exact"/>
        <w:ind w:left="0" w:leftChars="0" w:firstLine="241" w:firstLineChars="100"/>
        <w:rPr>
          <w:szCs w:val="24"/>
        </w:rPr>
      </w:pPr>
      <w:r>
        <w:rPr>
          <w:rFonts w:ascii="宋体" w:hAnsi="宋体" w:eastAsia="宋体"/>
          <w:b/>
          <w:szCs w:val="24"/>
        </w:rPr>
        <w:t>5.1</w:t>
      </w:r>
      <w:r>
        <w:rPr>
          <w:rFonts w:ascii="宋体" w:hAnsi="宋体" w:eastAsia="宋体"/>
          <w:szCs w:val="24"/>
        </w:rPr>
        <w:t>　</w:t>
      </w:r>
      <w:r>
        <w:rPr>
          <w:rFonts w:hint="eastAsia" w:ascii="宋体" w:hAnsi="宋体" w:eastAsia="宋体"/>
          <w:szCs w:val="24"/>
        </w:rPr>
        <w:t>控制项</w:t>
      </w:r>
      <w:r>
        <w:rPr>
          <w:szCs w:val="24"/>
        </w:rPr>
        <w:tab/>
      </w:r>
      <w:r>
        <w:rPr>
          <w:rFonts w:hint="eastAsia"/>
          <w:szCs w:val="24"/>
        </w:rPr>
        <w:t>70</w:t>
      </w:r>
    </w:p>
    <w:p>
      <w:pPr>
        <w:pStyle w:val="12"/>
        <w:spacing w:line="400" w:lineRule="exact"/>
        <w:ind w:left="0" w:leftChars="0" w:firstLine="241" w:firstLineChars="100"/>
        <w:rPr>
          <w:szCs w:val="24"/>
        </w:rPr>
      </w:pPr>
      <w:r>
        <w:rPr>
          <w:rFonts w:ascii="宋体" w:hAnsi="宋体" w:eastAsia="宋体"/>
          <w:b/>
          <w:szCs w:val="24"/>
        </w:rPr>
        <w:t>5.2</w:t>
      </w:r>
      <w:r>
        <w:rPr>
          <w:rFonts w:ascii="宋体" w:hAnsi="宋体" w:eastAsia="宋体"/>
          <w:szCs w:val="24"/>
        </w:rPr>
        <w:t>　</w:t>
      </w:r>
      <w:r>
        <w:rPr>
          <w:rFonts w:hint="eastAsia" w:ascii="宋体" w:hAnsi="宋体" w:eastAsia="宋体"/>
          <w:szCs w:val="24"/>
        </w:rPr>
        <w:t>评分项</w:t>
      </w:r>
      <w:r>
        <w:rPr>
          <w:szCs w:val="24"/>
        </w:rPr>
        <w:tab/>
      </w:r>
      <w:r>
        <w:rPr>
          <w:rFonts w:hint="eastAsia"/>
          <w:szCs w:val="24"/>
        </w:rPr>
        <w:t>75</w:t>
      </w:r>
    </w:p>
    <w:p>
      <w:pPr>
        <w:pStyle w:val="11"/>
        <w:tabs>
          <w:tab w:val="right" w:leader="dot" w:pos="8302"/>
        </w:tabs>
        <w:spacing w:line="400" w:lineRule="exact"/>
        <w:rPr>
          <w:sz w:val="24"/>
          <w:szCs w:val="24"/>
        </w:rPr>
      </w:pPr>
      <w:r>
        <w:rPr>
          <w:rFonts w:ascii="宋体" w:hAnsi="宋体" w:eastAsia="宋体" w:cs="宋体"/>
          <w:b/>
          <w:sz w:val="24"/>
          <w:szCs w:val="24"/>
        </w:rPr>
        <w:t>6</w:t>
      </w:r>
      <w:r>
        <w:rPr>
          <w:rFonts w:ascii="宋体" w:hAnsi="宋体" w:eastAsia="宋体" w:cs="宋体"/>
          <w:sz w:val="24"/>
          <w:szCs w:val="24"/>
        </w:rPr>
        <w:t>　</w:t>
      </w:r>
      <w:r>
        <w:rPr>
          <w:rFonts w:hint="eastAsia" w:ascii="宋体" w:hAnsi="宋体" w:eastAsia="宋体" w:cs="宋体"/>
          <w:sz w:val="24"/>
          <w:szCs w:val="24"/>
        </w:rPr>
        <w:t>健康舒适</w:t>
      </w:r>
      <w:r>
        <w:rPr>
          <w:sz w:val="24"/>
          <w:szCs w:val="24"/>
        </w:rPr>
        <w:tab/>
      </w:r>
      <w:r>
        <w:rPr>
          <w:rFonts w:hint="eastAsia"/>
          <w:sz w:val="24"/>
          <w:szCs w:val="24"/>
        </w:rPr>
        <w:t>80</w:t>
      </w:r>
    </w:p>
    <w:p>
      <w:pPr>
        <w:pStyle w:val="12"/>
        <w:spacing w:line="400" w:lineRule="exact"/>
        <w:ind w:left="0" w:leftChars="0" w:firstLine="241" w:firstLineChars="100"/>
        <w:rPr>
          <w:szCs w:val="24"/>
        </w:rPr>
      </w:pPr>
      <w:r>
        <w:rPr>
          <w:rFonts w:ascii="宋体" w:hAnsi="宋体" w:eastAsia="宋体"/>
          <w:b/>
          <w:szCs w:val="24"/>
        </w:rPr>
        <w:t>6.1</w:t>
      </w:r>
      <w:r>
        <w:rPr>
          <w:rFonts w:ascii="宋体" w:hAnsi="宋体" w:eastAsia="宋体"/>
          <w:szCs w:val="24"/>
        </w:rPr>
        <w:t>　</w:t>
      </w:r>
      <w:r>
        <w:rPr>
          <w:rFonts w:hint="eastAsia" w:ascii="宋体" w:hAnsi="宋体" w:eastAsia="宋体"/>
          <w:szCs w:val="24"/>
        </w:rPr>
        <w:t>控制项</w:t>
      </w:r>
      <w:r>
        <w:rPr>
          <w:szCs w:val="24"/>
        </w:rPr>
        <w:tab/>
      </w:r>
      <w:r>
        <w:rPr>
          <w:rFonts w:hint="eastAsia"/>
          <w:szCs w:val="24"/>
        </w:rPr>
        <w:t>80</w:t>
      </w:r>
    </w:p>
    <w:p>
      <w:pPr>
        <w:pStyle w:val="12"/>
        <w:spacing w:line="400" w:lineRule="exact"/>
        <w:ind w:left="0" w:leftChars="0" w:firstLine="241" w:firstLineChars="100"/>
        <w:rPr>
          <w:szCs w:val="24"/>
        </w:rPr>
      </w:pPr>
      <w:r>
        <w:rPr>
          <w:rFonts w:ascii="宋体" w:hAnsi="宋体" w:eastAsia="宋体"/>
          <w:b/>
          <w:szCs w:val="24"/>
        </w:rPr>
        <w:t>6.2</w:t>
      </w:r>
      <w:r>
        <w:rPr>
          <w:rFonts w:ascii="宋体" w:hAnsi="宋体" w:eastAsia="宋体"/>
          <w:szCs w:val="24"/>
        </w:rPr>
        <w:t>　</w:t>
      </w:r>
      <w:r>
        <w:rPr>
          <w:rFonts w:hint="eastAsia" w:ascii="宋体" w:hAnsi="宋体" w:eastAsia="宋体"/>
          <w:szCs w:val="24"/>
        </w:rPr>
        <w:t>评分项</w:t>
      </w:r>
      <w:r>
        <w:rPr>
          <w:szCs w:val="24"/>
        </w:rPr>
        <w:tab/>
      </w:r>
      <w:r>
        <w:rPr>
          <w:rFonts w:hint="eastAsia"/>
          <w:szCs w:val="24"/>
        </w:rPr>
        <w:t>84</w:t>
      </w:r>
    </w:p>
    <w:p>
      <w:pPr>
        <w:pStyle w:val="11"/>
        <w:tabs>
          <w:tab w:val="right" w:leader="dot" w:pos="8302"/>
        </w:tabs>
        <w:spacing w:line="400" w:lineRule="exact"/>
        <w:rPr>
          <w:sz w:val="24"/>
          <w:szCs w:val="24"/>
        </w:rPr>
      </w:pPr>
      <w:r>
        <w:rPr>
          <w:rFonts w:ascii="宋体" w:hAnsi="宋体" w:eastAsia="宋体"/>
          <w:b/>
          <w:sz w:val="24"/>
          <w:szCs w:val="24"/>
        </w:rPr>
        <w:t>7</w:t>
      </w:r>
      <w:r>
        <w:rPr>
          <w:rFonts w:ascii="宋体" w:hAnsi="宋体" w:eastAsia="宋体"/>
          <w:sz w:val="24"/>
          <w:szCs w:val="24"/>
        </w:rPr>
        <w:t>　</w:t>
      </w:r>
      <w:r>
        <w:rPr>
          <w:rFonts w:hint="eastAsia" w:ascii="宋体" w:hAnsi="宋体" w:eastAsia="宋体"/>
          <w:sz w:val="24"/>
          <w:szCs w:val="24"/>
        </w:rPr>
        <w:t>资源节约</w:t>
      </w:r>
      <w:r>
        <w:rPr>
          <w:sz w:val="24"/>
          <w:szCs w:val="24"/>
        </w:rPr>
        <w:tab/>
      </w:r>
      <w:r>
        <w:rPr>
          <w:rFonts w:hint="eastAsia"/>
          <w:sz w:val="24"/>
          <w:szCs w:val="24"/>
        </w:rPr>
        <w:t>91</w:t>
      </w:r>
    </w:p>
    <w:p>
      <w:pPr>
        <w:pStyle w:val="12"/>
        <w:spacing w:line="400" w:lineRule="exact"/>
        <w:ind w:left="0" w:leftChars="0" w:firstLine="241" w:firstLineChars="100"/>
        <w:rPr>
          <w:szCs w:val="24"/>
        </w:rPr>
      </w:pPr>
      <w:r>
        <w:rPr>
          <w:rFonts w:ascii="宋体" w:hAnsi="宋体" w:eastAsia="宋体"/>
          <w:b/>
          <w:szCs w:val="24"/>
        </w:rPr>
        <w:t>7.1</w:t>
      </w:r>
      <w:r>
        <w:rPr>
          <w:rFonts w:ascii="宋体" w:hAnsi="宋体" w:eastAsia="宋体"/>
          <w:szCs w:val="24"/>
        </w:rPr>
        <w:t>　</w:t>
      </w:r>
      <w:r>
        <w:rPr>
          <w:rFonts w:hint="eastAsia" w:ascii="宋体" w:hAnsi="宋体" w:eastAsia="宋体"/>
          <w:szCs w:val="24"/>
        </w:rPr>
        <w:t>控制项</w:t>
      </w:r>
      <w:r>
        <w:rPr>
          <w:szCs w:val="24"/>
        </w:rPr>
        <w:tab/>
      </w:r>
      <w:r>
        <w:rPr>
          <w:rFonts w:hint="eastAsia"/>
          <w:szCs w:val="24"/>
        </w:rPr>
        <w:t>91</w:t>
      </w:r>
    </w:p>
    <w:p>
      <w:pPr>
        <w:pStyle w:val="12"/>
        <w:spacing w:line="400" w:lineRule="exact"/>
        <w:ind w:left="0" w:leftChars="0" w:firstLine="241" w:firstLineChars="100"/>
        <w:rPr>
          <w:szCs w:val="24"/>
        </w:rPr>
      </w:pPr>
      <w:r>
        <w:rPr>
          <w:rFonts w:ascii="宋体" w:hAnsi="宋体" w:eastAsia="宋体"/>
          <w:b/>
          <w:szCs w:val="24"/>
        </w:rPr>
        <w:t>7.2</w:t>
      </w:r>
      <w:r>
        <w:rPr>
          <w:rFonts w:ascii="宋体" w:hAnsi="宋体" w:eastAsia="宋体"/>
          <w:szCs w:val="24"/>
        </w:rPr>
        <w:t>　</w:t>
      </w:r>
      <w:r>
        <w:rPr>
          <w:rFonts w:hint="eastAsia" w:ascii="宋体" w:hAnsi="宋体" w:eastAsia="宋体"/>
          <w:szCs w:val="24"/>
        </w:rPr>
        <w:t>评分项</w:t>
      </w:r>
      <w:r>
        <w:rPr>
          <w:szCs w:val="24"/>
        </w:rPr>
        <w:tab/>
      </w:r>
      <w:r>
        <w:rPr>
          <w:szCs w:val="24"/>
        </w:rPr>
        <w:fldChar w:fldCharType="begin"/>
      </w:r>
      <w:r>
        <w:rPr>
          <w:szCs w:val="24"/>
        </w:rPr>
        <w:instrText xml:space="preserve"> PAGEREF _Toc60822265 \h </w:instrText>
      </w:r>
      <w:r>
        <w:rPr>
          <w:szCs w:val="24"/>
        </w:rPr>
        <w:fldChar w:fldCharType="separate"/>
      </w:r>
      <w:r>
        <w:rPr>
          <w:rFonts w:hint="eastAsia"/>
          <w:szCs w:val="24"/>
        </w:rPr>
        <w:t>9</w:t>
      </w:r>
      <w:r>
        <w:rPr>
          <w:szCs w:val="24"/>
        </w:rPr>
        <w:t>5</w:t>
      </w:r>
      <w:r>
        <w:rPr>
          <w:szCs w:val="24"/>
        </w:rPr>
        <w:fldChar w:fldCharType="end"/>
      </w:r>
    </w:p>
    <w:p>
      <w:pPr>
        <w:pStyle w:val="11"/>
        <w:tabs>
          <w:tab w:val="right" w:leader="dot" w:pos="8302"/>
        </w:tabs>
        <w:spacing w:line="400" w:lineRule="exact"/>
        <w:rPr>
          <w:sz w:val="24"/>
          <w:szCs w:val="24"/>
        </w:rPr>
      </w:pPr>
      <w:r>
        <w:rPr>
          <w:rFonts w:hint="eastAsia" w:ascii="宋体" w:hAnsi="宋体" w:eastAsia="宋体"/>
          <w:b/>
          <w:sz w:val="24"/>
          <w:szCs w:val="24"/>
        </w:rPr>
        <w:t>8</w:t>
      </w:r>
      <w:r>
        <w:rPr>
          <w:rFonts w:hint="eastAsia" w:ascii="宋体" w:hAnsi="宋体" w:eastAsia="宋体"/>
          <w:sz w:val="24"/>
          <w:szCs w:val="24"/>
        </w:rPr>
        <w:t>　环境友好</w:t>
      </w:r>
      <w:r>
        <w:rPr>
          <w:sz w:val="24"/>
          <w:szCs w:val="24"/>
        </w:rPr>
        <w:tab/>
      </w:r>
      <w:r>
        <w:rPr>
          <w:rFonts w:hint="eastAsia"/>
          <w:sz w:val="24"/>
          <w:szCs w:val="24"/>
        </w:rPr>
        <w:t>108</w:t>
      </w:r>
    </w:p>
    <w:p>
      <w:pPr>
        <w:pStyle w:val="12"/>
        <w:spacing w:line="400" w:lineRule="exact"/>
        <w:ind w:left="0" w:leftChars="0" w:firstLine="241" w:firstLineChars="100"/>
        <w:rPr>
          <w:szCs w:val="24"/>
        </w:rPr>
      </w:pPr>
      <w:r>
        <w:rPr>
          <w:rFonts w:hint="eastAsia" w:ascii="宋体" w:hAnsi="宋体" w:eastAsia="宋体"/>
          <w:b/>
          <w:szCs w:val="24"/>
        </w:rPr>
        <w:t>8</w:t>
      </w:r>
      <w:r>
        <w:rPr>
          <w:rFonts w:ascii="宋体" w:hAnsi="宋体" w:eastAsia="宋体"/>
          <w:b/>
          <w:szCs w:val="24"/>
        </w:rPr>
        <w:t>.1</w:t>
      </w:r>
      <w:r>
        <w:rPr>
          <w:rFonts w:ascii="宋体" w:hAnsi="宋体" w:eastAsia="宋体"/>
          <w:szCs w:val="24"/>
        </w:rPr>
        <w:t>　</w:t>
      </w:r>
      <w:r>
        <w:rPr>
          <w:rFonts w:hint="eastAsia" w:ascii="宋体" w:hAnsi="宋体" w:eastAsia="宋体"/>
          <w:szCs w:val="24"/>
        </w:rPr>
        <w:t>控制项</w:t>
      </w:r>
      <w:r>
        <w:rPr>
          <w:szCs w:val="24"/>
        </w:rPr>
        <w:tab/>
      </w:r>
      <w:r>
        <w:rPr>
          <w:rFonts w:hint="eastAsia"/>
          <w:szCs w:val="24"/>
        </w:rPr>
        <w:t>108</w:t>
      </w:r>
    </w:p>
    <w:p>
      <w:pPr>
        <w:pStyle w:val="12"/>
        <w:spacing w:line="400" w:lineRule="exact"/>
        <w:ind w:left="0" w:leftChars="0" w:firstLine="241" w:firstLineChars="100"/>
        <w:rPr>
          <w:szCs w:val="24"/>
        </w:rPr>
      </w:pPr>
      <w:r>
        <w:rPr>
          <w:rFonts w:hint="eastAsia" w:ascii="宋体" w:hAnsi="宋体" w:eastAsia="宋体"/>
          <w:b/>
          <w:szCs w:val="24"/>
        </w:rPr>
        <w:t>8</w:t>
      </w:r>
      <w:r>
        <w:rPr>
          <w:rFonts w:ascii="宋体" w:hAnsi="宋体" w:eastAsia="宋体"/>
          <w:b/>
          <w:szCs w:val="24"/>
        </w:rPr>
        <w:t>.2</w:t>
      </w:r>
      <w:r>
        <w:rPr>
          <w:rFonts w:ascii="宋体" w:hAnsi="宋体" w:eastAsia="宋体"/>
          <w:szCs w:val="24"/>
        </w:rPr>
        <w:t>　</w:t>
      </w:r>
      <w:r>
        <w:rPr>
          <w:rFonts w:hint="eastAsia" w:ascii="宋体" w:hAnsi="宋体" w:eastAsia="宋体"/>
          <w:szCs w:val="24"/>
        </w:rPr>
        <w:t>评分项</w:t>
      </w:r>
      <w:r>
        <w:rPr>
          <w:szCs w:val="24"/>
        </w:rPr>
        <w:tab/>
      </w:r>
      <w:r>
        <w:rPr>
          <w:rFonts w:hint="eastAsia"/>
          <w:szCs w:val="24"/>
        </w:rPr>
        <w:t>110</w:t>
      </w:r>
    </w:p>
    <w:p>
      <w:pPr>
        <w:pStyle w:val="11"/>
        <w:tabs>
          <w:tab w:val="right" w:leader="dot" w:pos="8302"/>
        </w:tabs>
        <w:spacing w:line="400" w:lineRule="exact"/>
        <w:rPr>
          <w:sz w:val="24"/>
          <w:szCs w:val="24"/>
        </w:rPr>
      </w:pPr>
      <w:r>
        <w:rPr>
          <w:rFonts w:hint="eastAsia" w:ascii="宋体" w:hAnsi="宋体" w:eastAsia="宋体"/>
          <w:b/>
          <w:sz w:val="24"/>
          <w:szCs w:val="24"/>
        </w:rPr>
        <w:t>9</w:t>
      </w:r>
      <w:r>
        <w:rPr>
          <w:rFonts w:hint="eastAsia" w:ascii="宋体" w:hAnsi="宋体" w:eastAsia="宋体"/>
          <w:sz w:val="24"/>
          <w:szCs w:val="24"/>
        </w:rPr>
        <w:t>　运营服务</w:t>
      </w:r>
      <w:r>
        <w:rPr>
          <w:sz w:val="24"/>
          <w:szCs w:val="24"/>
        </w:rPr>
        <w:tab/>
      </w:r>
      <w:r>
        <w:rPr>
          <w:rFonts w:hint="eastAsia"/>
          <w:sz w:val="24"/>
          <w:szCs w:val="24"/>
        </w:rPr>
        <w:t>114</w:t>
      </w:r>
    </w:p>
    <w:p>
      <w:pPr>
        <w:pStyle w:val="12"/>
        <w:spacing w:line="400" w:lineRule="exact"/>
        <w:ind w:left="0" w:leftChars="0" w:firstLine="241" w:firstLineChars="100"/>
        <w:rPr>
          <w:szCs w:val="24"/>
        </w:rPr>
      </w:pPr>
      <w:r>
        <w:rPr>
          <w:rFonts w:hint="eastAsia" w:ascii="宋体" w:hAnsi="宋体" w:eastAsia="宋体"/>
          <w:b/>
          <w:szCs w:val="24"/>
        </w:rPr>
        <w:t>9</w:t>
      </w:r>
      <w:r>
        <w:rPr>
          <w:rFonts w:ascii="宋体" w:hAnsi="宋体" w:eastAsia="宋体"/>
          <w:b/>
          <w:szCs w:val="24"/>
        </w:rPr>
        <w:t>.1</w:t>
      </w:r>
      <w:r>
        <w:rPr>
          <w:rFonts w:ascii="宋体" w:hAnsi="宋体" w:eastAsia="宋体"/>
          <w:szCs w:val="24"/>
        </w:rPr>
        <w:t>　</w:t>
      </w:r>
      <w:r>
        <w:rPr>
          <w:rFonts w:hint="eastAsia" w:ascii="宋体" w:hAnsi="宋体" w:eastAsia="宋体"/>
          <w:szCs w:val="24"/>
        </w:rPr>
        <w:t>控制项</w:t>
      </w:r>
      <w:r>
        <w:rPr>
          <w:szCs w:val="24"/>
        </w:rPr>
        <w:tab/>
      </w:r>
      <w:r>
        <w:rPr>
          <w:rFonts w:hint="eastAsia"/>
          <w:szCs w:val="24"/>
        </w:rPr>
        <w:t>114</w:t>
      </w:r>
    </w:p>
    <w:p>
      <w:pPr>
        <w:pStyle w:val="12"/>
        <w:spacing w:line="400" w:lineRule="exact"/>
        <w:ind w:left="0" w:leftChars="0" w:firstLine="241" w:firstLineChars="100"/>
        <w:rPr>
          <w:szCs w:val="24"/>
        </w:rPr>
      </w:pPr>
      <w:r>
        <w:rPr>
          <w:rFonts w:hint="eastAsia" w:ascii="宋体" w:hAnsi="宋体" w:eastAsia="宋体"/>
          <w:b/>
          <w:szCs w:val="24"/>
        </w:rPr>
        <w:t>9</w:t>
      </w:r>
      <w:r>
        <w:rPr>
          <w:rFonts w:ascii="宋体" w:hAnsi="宋体" w:eastAsia="宋体"/>
          <w:b/>
          <w:szCs w:val="24"/>
        </w:rPr>
        <w:t>.2</w:t>
      </w:r>
      <w:r>
        <w:rPr>
          <w:rFonts w:ascii="宋体" w:hAnsi="宋体" w:eastAsia="宋体"/>
          <w:szCs w:val="24"/>
        </w:rPr>
        <w:t>　</w:t>
      </w:r>
      <w:r>
        <w:rPr>
          <w:rFonts w:hint="eastAsia" w:ascii="宋体" w:hAnsi="宋体" w:eastAsia="宋体"/>
          <w:szCs w:val="24"/>
        </w:rPr>
        <w:t>评分项</w:t>
      </w:r>
      <w:r>
        <w:rPr>
          <w:szCs w:val="24"/>
        </w:rPr>
        <w:tab/>
      </w:r>
      <w:r>
        <w:rPr>
          <w:szCs w:val="24"/>
        </w:rPr>
        <w:fldChar w:fldCharType="begin"/>
      </w:r>
      <w:r>
        <w:rPr>
          <w:szCs w:val="24"/>
        </w:rPr>
        <w:instrText xml:space="preserve"> PAGEREF _Toc60822265 \h </w:instrText>
      </w:r>
      <w:r>
        <w:rPr>
          <w:szCs w:val="24"/>
        </w:rPr>
        <w:fldChar w:fldCharType="separate"/>
      </w:r>
      <w:r>
        <w:rPr>
          <w:rFonts w:hint="eastAsia"/>
          <w:szCs w:val="24"/>
        </w:rPr>
        <w:t>11</w:t>
      </w:r>
      <w:r>
        <w:rPr>
          <w:szCs w:val="24"/>
        </w:rPr>
        <w:t>5</w:t>
      </w:r>
      <w:r>
        <w:rPr>
          <w:szCs w:val="24"/>
        </w:rPr>
        <w:fldChar w:fldCharType="end"/>
      </w:r>
    </w:p>
    <w:p>
      <w:pPr>
        <w:pStyle w:val="11"/>
        <w:tabs>
          <w:tab w:val="right" w:leader="dot" w:pos="8302"/>
        </w:tabs>
        <w:spacing w:line="400" w:lineRule="exact"/>
        <w:rPr>
          <w:sz w:val="24"/>
          <w:szCs w:val="24"/>
        </w:rPr>
      </w:pPr>
      <w:r>
        <w:rPr>
          <w:rFonts w:hint="eastAsia" w:ascii="宋体" w:hAnsi="宋体" w:eastAsia="宋体"/>
          <w:b/>
          <w:sz w:val="24"/>
          <w:szCs w:val="24"/>
        </w:rPr>
        <w:t>10</w:t>
      </w:r>
      <w:r>
        <w:rPr>
          <w:rFonts w:ascii="宋体" w:hAnsi="宋体" w:eastAsia="宋体"/>
          <w:sz w:val="24"/>
          <w:szCs w:val="24"/>
        </w:rPr>
        <w:t>　</w:t>
      </w:r>
      <w:r>
        <w:rPr>
          <w:rFonts w:hint="eastAsia" w:ascii="宋体" w:hAnsi="宋体" w:eastAsia="宋体"/>
          <w:sz w:val="24"/>
          <w:szCs w:val="24"/>
        </w:rPr>
        <w:t>提高创新</w:t>
      </w:r>
      <w:r>
        <w:rPr>
          <w:sz w:val="24"/>
          <w:szCs w:val="24"/>
        </w:rPr>
        <w:tab/>
      </w:r>
      <w:r>
        <w:rPr>
          <w:sz w:val="24"/>
          <w:szCs w:val="24"/>
        </w:rPr>
        <w:fldChar w:fldCharType="begin"/>
      </w:r>
      <w:r>
        <w:rPr>
          <w:sz w:val="24"/>
          <w:szCs w:val="24"/>
        </w:rPr>
        <w:instrText xml:space="preserve"> PAGEREF _Toc60822266 \h </w:instrText>
      </w:r>
      <w:r>
        <w:rPr>
          <w:sz w:val="24"/>
          <w:szCs w:val="24"/>
        </w:rPr>
        <w:fldChar w:fldCharType="separate"/>
      </w:r>
      <w:r>
        <w:rPr>
          <w:sz w:val="24"/>
          <w:szCs w:val="24"/>
        </w:rPr>
        <w:t>1</w:t>
      </w:r>
      <w:r>
        <w:rPr>
          <w:rFonts w:hint="eastAsia"/>
          <w:sz w:val="24"/>
          <w:szCs w:val="24"/>
        </w:rPr>
        <w:t>21</w:t>
      </w:r>
      <w:r>
        <w:rPr>
          <w:sz w:val="24"/>
          <w:szCs w:val="24"/>
        </w:rPr>
        <w:fldChar w:fldCharType="end"/>
      </w:r>
    </w:p>
    <w:p>
      <w:pPr>
        <w:pStyle w:val="12"/>
        <w:spacing w:line="400" w:lineRule="exact"/>
        <w:ind w:left="0" w:leftChars="0" w:firstLine="241" w:firstLineChars="100"/>
        <w:rPr>
          <w:szCs w:val="24"/>
        </w:rPr>
      </w:pPr>
      <w:r>
        <w:rPr>
          <w:rFonts w:hint="eastAsia" w:ascii="宋体" w:hAnsi="宋体" w:eastAsia="宋体"/>
          <w:b/>
          <w:szCs w:val="24"/>
        </w:rPr>
        <w:t>10</w:t>
      </w:r>
      <w:r>
        <w:rPr>
          <w:rFonts w:ascii="宋体" w:hAnsi="宋体" w:eastAsia="宋体"/>
          <w:b/>
          <w:szCs w:val="24"/>
        </w:rPr>
        <w:t>.2</w:t>
      </w:r>
      <w:r>
        <w:rPr>
          <w:rFonts w:ascii="宋体" w:hAnsi="宋体" w:eastAsia="宋体"/>
          <w:szCs w:val="24"/>
        </w:rPr>
        <w:t>　</w:t>
      </w:r>
      <w:r>
        <w:rPr>
          <w:rFonts w:hint="eastAsia" w:ascii="宋体" w:hAnsi="宋体" w:eastAsia="宋体"/>
          <w:szCs w:val="24"/>
        </w:rPr>
        <w:t>加分项</w:t>
      </w:r>
      <w:r>
        <w:rPr>
          <w:szCs w:val="24"/>
        </w:rPr>
        <w:tab/>
      </w:r>
      <w:r>
        <w:rPr>
          <w:szCs w:val="24"/>
        </w:rPr>
        <w:fldChar w:fldCharType="begin"/>
      </w:r>
      <w:r>
        <w:rPr>
          <w:szCs w:val="24"/>
        </w:rPr>
        <w:instrText xml:space="preserve"> PAGEREF _Toc60822267 \h </w:instrText>
      </w:r>
      <w:r>
        <w:rPr>
          <w:szCs w:val="24"/>
        </w:rPr>
        <w:fldChar w:fldCharType="separate"/>
      </w:r>
      <w:r>
        <w:rPr>
          <w:szCs w:val="24"/>
        </w:rPr>
        <w:t>1</w:t>
      </w:r>
      <w:r>
        <w:rPr>
          <w:rFonts w:hint="eastAsia"/>
          <w:szCs w:val="24"/>
        </w:rPr>
        <w:t>21</w:t>
      </w:r>
      <w:r>
        <w:rPr>
          <w:szCs w:val="24"/>
        </w:rPr>
        <w:fldChar w:fldCharType="end"/>
      </w:r>
    </w:p>
    <w:p>
      <w:pPr>
        <w:spacing w:line="400" w:lineRule="exact"/>
      </w:pPr>
      <w:r>
        <w:rPr>
          <w:sz w:val="24"/>
          <w:szCs w:val="24"/>
        </w:rPr>
        <w:fldChar w:fldCharType="end"/>
      </w:r>
    </w:p>
    <w:p>
      <w:pPr>
        <w:widowControl/>
        <w:jc w:val="left"/>
      </w:pPr>
      <w:r>
        <w:br w:type="page"/>
      </w:r>
    </w:p>
    <w:p>
      <w:pPr>
        <w:sectPr>
          <w:pgSz w:w="11906" w:h="16838"/>
          <w:pgMar w:top="1440" w:right="1797" w:bottom="1440" w:left="1797" w:header="851" w:footer="992" w:gutter="0"/>
          <w:cols w:space="425" w:num="1"/>
          <w:docGrid w:type="lines" w:linePitch="312" w:charSpace="0"/>
        </w:sectPr>
      </w:pPr>
    </w:p>
    <w:p>
      <w:pPr>
        <w:pStyle w:val="2"/>
        <w:spacing w:before="624" w:after="624"/>
      </w:pPr>
      <w:bookmarkStart w:id="72" w:name="_Toc60819552"/>
      <w:bookmarkStart w:id="73" w:name="_Toc60822425"/>
      <w:bookmarkStart w:id="74" w:name="_Toc77584245"/>
      <w:bookmarkStart w:id="75" w:name="_Toc60822250"/>
      <w:r>
        <w:t>1</w:t>
      </w:r>
      <w:r>
        <w:rPr>
          <w:rFonts w:hint="eastAsia"/>
        </w:rPr>
        <w:t xml:space="preserve">  </w:t>
      </w:r>
      <w:r>
        <w:rPr>
          <w:rFonts w:hint="eastAsia" w:cs="宋体"/>
        </w:rPr>
        <w:t>总则</w:t>
      </w:r>
      <w:bookmarkEnd w:id="72"/>
      <w:bookmarkEnd w:id="73"/>
      <w:bookmarkEnd w:id="74"/>
      <w:bookmarkEnd w:id="75"/>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1.0.1</w:t>
      </w:r>
      <w:r>
        <w:rPr>
          <w:rFonts w:hint="eastAsia" w:ascii="宋体" w:hAnsi="宋体" w:eastAsia="宋体"/>
          <w:b/>
          <w:sz w:val="24"/>
          <w:szCs w:val="24"/>
        </w:rPr>
        <w:t xml:space="preserve">  </w:t>
      </w:r>
      <w:r>
        <w:rPr>
          <w:rFonts w:hint="eastAsia" w:ascii="宋体" w:hAnsi="宋体" w:eastAsia="宋体"/>
          <w:sz w:val="24"/>
          <w:szCs w:val="24"/>
        </w:rPr>
        <w:t>我国已成为全球城市轨道交通发展速度最快国家之一。目前，广东省主要有广州市、深圳市、佛山市、东莞市开通城市轨道交通，随着粤港澳大湾区规划落地，城市轨道交通将迎来新一轮快速发展，城市轨道交通在城市公共交通体系中发挥着骨干作用，因此，应该把发展绿色城市轨道交通融入到国家的绿色发展理念之中</w:t>
      </w:r>
      <w:r>
        <w:rPr>
          <w:rFonts w:ascii="宋体" w:hAnsi="宋体" w:eastAsia="宋体"/>
          <w:sz w:val="24"/>
          <w:szCs w:val="24"/>
        </w:rPr>
        <w:t>，创造绿色的出行环境，满足人民群众日益增长的美好生活需求，制定本标准的目的是规范绿色城市轨道交通的评价管理工作。</w:t>
      </w:r>
    </w:p>
    <w:p>
      <w:pPr>
        <w:adjustRightInd w:val="0"/>
        <w:snapToGrid w:val="0"/>
        <w:spacing w:line="360" w:lineRule="auto"/>
        <w:rPr>
          <w:rFonts w:ascii="宋体" w:hAnsi="宋体" w:eastAsia="宋体"/>
          <w:sz w:val="24"/>
          <w:szCs w:val="24"/>
        </w:rPr>
      </w:pPr>
      <w:r>
        <w:rPr>
          <w:rFonts w:ascii="宋体" w:hAnsi="宋体" w:eastAsia="宋体"/>
          <w:b/>
          <w:sz w:val="24"/>
          <w:szCs w:val="24"/>
        </w:rPr>
        <w:t>1.0.</w:t>
      </w:r>
      <w:r>
        <w:rPr>
          <w:rFonts w:hint="eastAsia" w:ascii="宋体" w:hAnsi="宋体" w:eastAsia="宋体"/>
          <w:b/>
          <w:sz w:val="24"/>
          <w:szCs w:val="24"/>
        </w:rPr>
        <w:t xml:space="preserve">2  </w:t>
      </w:r>
      <w:r>
        <w:rPr>
          <w:rFonts w:ascii="宋体" w:hAnsi="宋体" w:eastAsia="宋体"/>
          <w:sz w:val="24"/>
          <w:szCs w:val="24"/>
        </w:rPr>
        <w:t>不同的新建线路在规模、走向、在城市中的定位均有一定的差异性，结合我省轨道交通的发展现状，本标准在条文中体现了差异性的评价，考虑到部分线路在经过一定的年限后存在升级改</w:t>
      </w:r>
      <w:r>
        <w:rPr>
          <w:rFonts w:hint="eastAsia" w:ascii="宋体" w:hAnsi="宋体" w:eastAsia="宋体"/>
          <w:sz w:val="24"/>
          <w:szCs w:val="24"/>
        </w:rPr>
        <w:t>建</w:t>
      </w:r>
      <w:r>
        <w:rPr>
          <w:rFonts w:ascii="宋体" w:hAnsi="宋体" w:eastAsia="宋体"/>
          <w:sz w:val="24"/>
          <w:szCs w:val="24"/>
        </w:rPr>
        <w:t>的情况，因此，改</w:t>
      </w:r>
      <w:r>
        <w:rPr>
          <w:rFonts w:hint="eastAsia" w:ascii="宋体" w:hAnsi="宋体" w:eastAsia="宋体"/>
          <w:sz w:val="24"/>
          <w:szCs w:val="24"/>
        </w:rPr>
        <w:t>建</w:t>
      </w:r>
      <w:r>
        <w:rPr>
          <w:rFonts w:ascii="宋体" w:hAnsi="宋体" w:eastAsia="宋体"/>
          <w:sz w:val="24"/>
          <w:szCs w:val="24"/>
        </w:rPr>
        <w:t>线路也适合采用本标准评价，总的来说，本标准的作用在于提升绿色轨道交通的规划设计及运营服务水平，更好地服务于乘客以创造更好地出行环境。</w:t>
      </w:r>
    </w:p>
    <w:p>
      <w:pPr>
        <w:adjustRightInd w:val="0"/>
        <w:snapToGrid w:val="0"/>
        <w:spacing w:line="360" w:lineRule="auto"/>
        <w:rPr>
          <w:rFonts w:ascii="宋体" w:hAnsi="宋体" w:eastAsia="宋体"/>
          <w:sz w:val="24"/>
          <w:szCs w:val="24"/>
        </w:rPr>
      </w:pPr>
      <w:r>
        <w:rPr>
          <w:rFonts w:ascii="宋体" w:hAnsi="宋体" w:eastAsia="宋体"/>
          <w:b/>
          <w:sz w:val="24"/>
          <w:szCs w:val="24"/>
        </w:rPr>
        <w:t>1.0.</w:t>
      </w:r>
      <w:r>
        <w:rPr>
          <w:rFonts w:hint="eastAsia" w:ascii="宋体" w:hAnsi="宋体" w:eastAsia="宋体"/>
          <w:b/>
          <w:sz w:val="24"/>
          <w:szCs w:val="24"/>
        </w:rPr>
        <w:t xml:space="preserve">3  </w:t>
      </w:r>
      <w:r>
        <w:rPr>
          <w:rFonts w:ascii="宋体" w:hAnsi="宋体" w:eastAsia="宋体"/>
          <w:sz w:val="24"/>
          <w:szCs w:val="24"/>
        </w:rPr>
        <w:t>广东省内各城市在发展程度及文化等方面均有一定的差异，因此，在评价时，应考虑这些差异性，因地制宜，结合实际情况，充分考虑资源、环境、经济、文化等特点。</w:t>
      </w:r>
    </w:p>
    <w:p>
      <w:pPr>
        <w:adjustRightInd w:val="0"/>
        <w:snapToGrid w:val="0"/>
        <w:spacing w:line="360" w:lineRule="auto"/>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1.0.</w:t>
      </w:r>
      <w:r>
        <w:rPr>
          <w:rFonts w:hint="eastAsia" w:ascii="宋体" w:hAnsi="宋体" w:eastAsia="宋体"/>
          <w:b/>
          <w:sz w:val="24"/>
          <w:szCs w:val="24"/>
        </w:rPr>
        <w:t xml:space="preserve">4  </w:t>
      </w:r>
      <w:r>
        <w:rPr>
          <w:rFonts w:hint="eastAsia" w:ascii="宋体" w:hAnsi="宋体" w:eastAsia="宋体"/>
          <w:sz w:val="24"/>
          <w:szCs w:val="24"/>
        </w:rPr>
        <w:t>符合国家的法律法规与</w:t>
      </w:r>
      <w:r>
        <w:rPr>
          <w:rFonts w:ascii="宋体" w:hAnsi="宋体" w:eastAsia="宋体"/>
          <w:sz w:val="24"/>
          <w:szCs w:val="24"/>
        </w:rPr>
        <w:t>现行</w:t>
      </w:r>
      <w:r>
        <w:rPr>
          <w:rFonts w:hint="eastAsia" w:ascii="宋体" w:hAnsi="宋体" w:eastAsia="宋体"/>
          <w:sz w:val="24"/>
          <w:szCs w:val="24"/>
        </w:rPr>
        <w:t>相关标准是参与评价绿色轨道交通的前提条件，通过本标准达到星级的轨道交通线路，在</w:t>
      </w:r>
      <w:r>
        <w:rPr>
          <w:rFonts w:ascii="宋体" w:hAnsi="宋体" w:eastAsia="宋体"/>
          <w:sz w:val="24"/>
          <w:szCs w:val="24"/>
        </w:rPr>
        <w:t>规划设计</w:t>
      </w:r>
      <w:r>
        <w:rPr>
          <w:rFonts w:hint="eastAsia" w:ascii="宋体" w:hAnsi="宋体" w:eastAsia="宋体"/>
          <w:sz w:val="24"/>
          <w:szCs w:val="24"/>
        </w:rPr>
        <w:t>及运营</w:t>
      </w:r>
      <w:r>
        <w:rPr>
          <w:rFonts w:ascii="宋体" w:hAnsi="宋体" w:eastAsia="宋体"/>
          <w:sz w:val="24"/>
          <w:szCs w:val="24"/>
        </w:rPr>
        <w:t>服务水平在国家标准的基础上均有一定程度的提高，同时也兼顾了节约资源的考虑。</w:t>
      </w:r>
    </w:p>
    <w:p>
      <w:pPr>
        <w:widowControl/>
        <w:jc w:val="left"/>
        <w:rPr>
          <w:rFonts w:ascii="宋体" w:hAnsi="宋体" w:eastAsia="宋体"/>
          <w:sz w:val="24"/>
          <w:szCs w:val="24"/>
        </w:rPr>
      </w:pPr>
    </w:p>
    <w:p>
      <w:pPr>
        <w:pStyle w:val="2"/>
        <w:spacing w:before="624" w:after="624"/>
      </w:pPr>
      <w:bookmarkStart w:id="76" w:name="_Toc60819553"/>
      <w:bookmarkStart w:id="77" w:name="_Toc60822251"/>
      <w:bookmarkStart w:id="78" w:name="_Toc60822426"/>
      <w:bookmarkStart w:id="79" w:name="_Toc77584246"/>
      <w:r>
        <w:t>3</w:t>
      </w:r>
      <w:r>
        <w:rPr>
          <w:rFonts w:hint="eastAsia"/>
        </w:rPr>
        <w:t xml:space="preserve">  基本规定</w:t>
      </w:r>
      <w:bookmarkEnd w:id="76"/>
      <w:bookmarkEnd w:id="77"/>
      <w:bookmarkEnd w:id="78"/>
      <w:bookmarkEnd w:id="79"/>
    </w:p>
    <w:p>
      <w:pPr>
        <w:pStyle w:val="3"/>
        <w:spacing w:before="468" w:after="468"/>
      </w:pPr>
      <w:bookmarkStart w:id="80" w:name="_Toc60822252"/>
      <w:bookmarkStart w:id="81" w:name="_Toc60819554"/>
      <w:bookmarkStart w:id="82" w:name="_Toc60822427"/>
      <w:bookmarkStart w:id="83" w:name="_Toc77584247"/>
      <w:r>
        <w:t>3.1</w:t>
      </w:r>
      <w:r>
        <w:rPr>
          <w:rFonts w:hint="eastAsia"/>
        </w:rPr>
        <w:t xml:space="preserve">  </w:t>
      </w:r>
      <w:r>
        <w:t>一般规定</w:t>
      </w:r>
      <w:bookmarkEnd w:id="80"/>
      <w:bookmarkEnd w:id="81"/>
      <w:bookmarkEnd w:id="82"/>
      <w:bookmarkEnd w:id="83"/>
    </w:p>
    <w:p>
      <w:pPr>
        <w:adjustRightInd w:val="0"/>
        <w:snapToGrid w:val="0"/>
        <w:spacing w:line="360" w:lineRule="auto"/>
        <w:rPr>
          <w:rFonts w:ascii="宋体" w:hAnsi="宋体" w:eastAsia="宋体"/>
          <w:sz w:val="24"/>
          <w:szCs w:val="24"/>
        </w:rPr>
      </w:pPr>
      <w:r>
        <w:rPr>
          <w:rFonts w:ascii="宋体" w:hAnsi="宋体" w:eastAsia="宋体"/>
          <w:b/>
          <w:sz w:val="24"/>
          <w:szCs w:val="24"/>
        </w:rPr>
        <w:t>3.1.1</w:t>
      </w:r>
      <w:r>
        <w:rPr>
          <w:rFonts w:hint="eastAsia" w:ascii="宋体" w:hAnsi="宋体" w:eastAsia="宋体"/>
          <w:b/>
          <w:sz w:val="24"/>
          <w:szCs w:val="24"/>
        </w:rPr>
        <w:t xml:space="preserve">  </w:t>
      </w:r>
      <w:r>
        <w:rPr>
          <w:rFonts w:hint="eastAsia" w:ascii="宋体" w:hAnsi="宋体" w:eastAsia="宋体"/>
          <w:sz w:val="24"/>
          <w:szCs w:val="24"/>
        </w:rPr>
        <w:t>本评价以轨道交通整体为对象，从工程专业角度看，包括车辆、运营组织、轨道、建筑、结构、通风空调、给排水、供电、通信、信号、自动售检票系统、火灾自动报警系统、综合监控系统、环境与设备监控系统、乘客信息系统、客运设备、站台门等专业；从工程范围角度看，含正线工程、车辆段基地（含停车场）、运营控制中心等。</w:t>
      </w:r>
    </w:p>
    <w:p>
      <w:pPr>
        <w:adjustRightInd w:val="0"/>
        <w:snapToGrid w:val="0"/>
        <w:spacing w:line="360" w:lineRule="auto"/>
        <w:rPr>
          <w:rFonts w:ascii="宋体" w:hAnsi="宋体" w:eastAsia="宋体"/>
          <w:sz w:val="24"/>
          <w:szCs w:val="24"/>
        </w:rPr>
      </w:pPr>
      <w:r>
        <w:rPr>
          <w:rFonts w:ascii="宋体" w:hAnsi="宋体" w:eastAsia="宋体"/>
          <w:b/>
          <w:sz w:val="24"/>
          <w:szCs w:val="24"/>
        </w:rPr>
        <w:t>3.1.</w:t>
      </w:r>
      <w:r>
        <w:rPr>
          <w:rFonts w:hint="eastAsia" w:ascii="宋体" w:hAnsi="宋体" w:eastAsia="宋体"/>
          <w:b/>
          <w:sz w:val="24"/>
          <w:szCs w:val="24"/>
        </w:rPr>
        <w:t xml:space="preserve">2  </w:t>
      </w:r>
      <w:r>
        <w:rPr>
          <w:rFonts w:ascii="宋体" w:hAnsi="宋体" w:eastAsia="宋体"/>
          <w:sz w:val="24"/>
          <w:szCs w:val="24"/>
        </w:rPr>
        <w:t>在轨道交通建设中，不计成本地通过提高标准以满足绿色技术的要求，或不增加成本也能大幅度提升绿色技术性能，两种方法均不可取，因此，需要对线路各系统全寿命周期的各阶段进行综合评价，分析技术和经济的互相影响，合理确定规模，选用适当的合适的规划、线路、系统制式、建筑技术、设备和材料。</w:t>
      </w:r>
    </w:p>
    <w:p>
      <w:pPr>
        <w:adjustRightInd w:val="0"/>
        <w:snapToGrid w:val="0"/>
        <w:spacing w:line="360" w:lineRule="auto"/>
        <w:rPr>
          <w:rFonts w:ascii="宋体" w:hAnsi="宋体" w:eastAsia="宋体"/>
          <w:sz w:val="24"/>
          <w:szCs w:val="24"/>
        </w:rPr>
      </w:pPr>
      <w:r>
        <w:rPr>
          <w:rFonts w:ascii="宋体" w:hAnsi="宋体" w:eastAsia="宋体"/>
          <w:b/>
          <w:sz w:val="24"/>
          <w:szCs w:val="24"/>
        </w:rPr>
        <w:t>3.1.</w:t>
      </w:r>
      <w:r>
        <w:rPr>
          <w:rFonts w:hint="eastAsia"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划设计阶段为建设阶段，是将绿色理念灌输于实体工程的过程，是绿色轨道交通的前提，而运营管理阶段则是将实体工程应用于服务乘客出行的过程，是检验成果的过程，是人民群众对绿色轨道交通体验、交融的过程，运营管理阶段的评价反过来能促进规划设计阶段的提高，形成可持续发展的良性循环。因此，对分别对规划设计阶段和运营管理阶段进行评价是有必要的。</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相关证明文件与说明包含设计文件、专题报告、分析报告、过程控制文件、厂家试验报告、运行记录、乘客意见反馈等等。</w:t>
      </w:r>
    </w:p>
    <w:p>
      <w:pPr>
        <w:pStyle w:val="3"/>
        <w:spacing w:before="468" w:after="468"/>
        <w:sectPr>
          <w:pgSz w:w="11906" w:h="16838"/>
          <w:pgMar w:top="1440" w:right="1797" w:bottom="1440" w:left="1797" w:header="851" w:footer="992" w:gutter="0"/>
          <w:cols w:space="425" w:num="1"/>
          <w:docGrid w:type="lines" w:linePitch="312" w:charSpace="0"/>
        </w:sectPr>
      </w:pPr>
      <w:bookmarkStart w:id="84" w:name="_Toc60822428"/>
      <w:bookmarkStart w:id="85" w:name="_Toc60822253"/>
      <w:bookmarkStart w:id="86" w:name="_Toc77584248"/>
      <w:bookmarkStart w:id="87" w:name="_Toc60819555"/>
    </w:p>
    <w:p>
      <w:pPr>
        <w:pStyle w:val="3"/>
        <w:spacing w:before="468" w:after="468"/>
      </w:pPr>
      <w:r>
        <w:t>3.2</w:t>
      </w:r>
      <w:r>
        <w:rPr>
          <w:rFonts w:hint="eastAsia"/>
        </w:rPr>
        <w:t xml:space="preserve">  </w:t>
      </w:r>
      <w:r>
        <w:t>评价方法与等级划分</w:t>
      </w:r>
      <w:bookmarkEnd w:id="84"/>
      <w:bookmarkEnd w:id="85"/>
      <w:bookmarkEnd w:id="86"/>
      <w:bookmarkEnd w:id="87"/>
    </w:p>
    <w:p>
      <w:pPr>
        <w:adjustRightInd w:val="0"/>
        <w:snapToGrid w:val="0"/>
        <w:spacing w:line="360" w:lineRule="auto"/>
        <w:rPr>
          <w:rFonts w:ascii="宋体" w:hAnsi="宋体" w:eastAsia="宋体"/>
          <w:sz w:val="24"/>
          <w:szCs w:val="24"/>
        </w:rPr>
      </w:pPr>
      <w:r>
        <w:rPr>
          <w:rFonts w:ascii="宋体" w:hAnsi="宋体" w:eastAsia="宋体"/>
          <w:b/>
          <w:sz w:val="24"/>
          <w:szCs w:val="24"/>
        </w:rPr>
        <w:t>3.2.</w:t>
      </w:r>
      <w:r>
        <w:rPr>
          <w:rFonts w:hint="eastAsia" w:ascii="宋体" w:hAnsi="宋体" w:eastAsia="宋体"/>
          <w:b/>
          <w:sz w:val="24"/>
          <w:szCs w:val="24"/>
        </w:rPr>
        <w:t>1</w:t>
      </w:r>
      <w:r>
        <w:rPr>
          <w:rFonts w:hint="eastAsia" w:ascii="宋体" w:hAnsi="宋体" w:eastAsia="宋体"/>
          <w:sz w:val="24"/>
          <w:szCs w:val="24"/>
        </w:rPr>
        <w:t>本标准借鉴绿色建筑评价的经验，从乘车体验、绿色低碳及运营服务等视角定义绿色轨道交通的评价标准。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安全耐久是绿色轨道交通的基础及前提，通过该指标的评价，旨在通过在规划设计及运行管理过程中采取相应的技术及管理措施，保障乘客在出行、应急疏散及其他情况下的人身安全，保障员工在运行、维修及服务中的人身安全，保障设备设施在寿命期内安全耐久的运行。</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便捷高效是绿色轨道交通主体任务最重要的指标，通过该指标的评价，旨在通过便捷的进站、换乘设备设施，提供便捷的出行方式，同时与其他交通方式深度融合，使得乘客最大限度地节约乘坐时间。</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健康舒适是绿色轨道交通乘客出行环境的重要指标，通过该指标的评价，旨在从空气环境、光环境、声环境、空间环境、文化环境等方面创造良好的出现环境，提高乘客的出行体验。</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资源节约是绿色轨道交通关于节地、节能、节水、节材方面的指标，旨在节约资源，降低损耗，充分利用可再生能源及可回收材料，使得轨道交通向可持续方向良性发展。</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环境友好是绿色轨道交通对外部环境影响的重要指标，旨在设计、运营过程中从废气排放、噪声排放、污水排放、光污染、电磁干扰、建筑文化等指标进行控制，保护环境，回收及利用资源，减少轨道交通对外界的影响，降低对城市的污染，同时鼓励轨道交通与周围环境一体化，达到和谐发展的目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运营服务是绿色轨道交通主体任务重要的指标，通过该指标的评价，旨在通过提供票务、问询、特殊帮助及应急引导等服务，使得乘客在资讯、便民及特殊需求方面能得到满足或人性化关怀，同时对设备设施进行有效管理，实现轨道交通绿色低碳的可持续发展。</w:t>
      </w:r>
    </w:p>
    <w:p>
      <w:pPr>
        <w:adjustRightInd w:val="0"/>
        <w:snapToGrid w:val="0"/>
        <w:spacing w:line="360" w:lineRule="auto"/>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3.2.</w:t>
      </w:r>
      <w:r>
        <w:rPr>
          <w:rFonts w:hint="eastAsia" w:ascii="宋体" w:hAnsi="宋体" w:eastAsia="宋体"/>
          <w:b/>
          <w:sz w:val="24"/>
          <w:szCs w:val="24"/>
        </w:rPr>
        <w:t xml:space="preserve">6  </w:t>
      </w:r>
      <w:r>
        <w:rPr>
          <w:rFonts w:hint="eastAsia" w:ascii="宋体" w:hAnsi="宋体" w:eastAsia="宋体"/>
          <w:sz w:val="24"/>
          <w:szCs w:val="24"/>
        </w:rPr>
        <w:t>满足控制项是参评绿色轨道交通的必要条件，当对轨道交通绿色评价评价时，首先要满足全部控制项的要求，考虑到性能的均衡性，</w:t>
      </w:r>
      <w:r>
        <w:rPr>
          <w:rFonts w:ascii="宋体" w:hAnsi="宋体" w:eastAsia="宋体"/>
          <w:sz w:val="24"/>
          <w:szCs w:val="24"/>
        </w:rPr>
        <w:t>安全耐久、便捷高效、健康舒适、资源节约</w:t>
      </w:r>
      <w:r>
        <w:rPr>
          <w:rFonts w:hint="eastAsia" w:ascii="宋体" w:hAnsi="宋体" w:eastAsia="宋体"/>
          <w:sz w:val="24"/>
          <w:szCs w:val="24"/>
        </w:rPr>
        <w:t>、环境友好、运营服务</w:t>
      </w:r>
      <w:r>
        <w:rPr>
          <w:rFonts w:ascii="宋体" w:hAnsi="宋体" w:eastAsia="宋体"/>
          <w:sz w:val="24"/>
          <w:szCs w:val="24"/>
        </w:rPr>
        <w:t>等各类指标评分项得分不应小于其评分项满分值的30%。对于星级的总得分，需要指出的是，如果达到全部评分项条款的要求，最高为</w:t>
      </w:r>
      <w:r>
        <w:rPr>
          <w:rFonts w:hint="eastAsia" w:ascii="宋体" w:hAnsi="宋体" w:eastAsia="宋体"/>
          <w:sz w:val="24"/>
          <w:szCs w:val="24"/>
        </w:rPr>
        <w:t>110分。</w:t>
      </w:r>
    </w:p>
    <w:p>
      <w:pPr>
        <w:widowControl/>
        <w:jc w:val="left"/>
        <w:rPr>
          <w:rFonts w:ascii="宋体" w:hAnsi="宋体" w:eastAsia="宋体"/>
          <w:sz w:val="24"/>
          <w:szCs w:val="24"/>
        </w:rPr>
      </w:pPr>
    </w:p>
    <w:p>
      <w:pPr>
        <w:pStyle w:val="2"/>
        <w:spacing w:before="624" w:after="624"/>
      </w:pPr>
      <w:bookmarkStart w:id="88" w:name="_Toc60822429"/>
      <w:bookmarkStart w:id="89" w:name="_Toc60819556"/>
      <w:bookmarkStart w:id="90" w:name="_Toc60822254"/>
      <w:bookmarkStart w:id="91" w:name="_Toc77584249"/>
      <w:r>
        <w:t>4</w:t>
      </w:r>
      <w:r>
        <w:rPr>
          <w:rFonts w:hint="eastAsia"/>
        </w:rPr>
        <w:t xml:space="preserve">  </w:t>
      </w:r>
      <w:r>
        <w:t>安全耐久</w:t>
      </w:r>
      <w:bookmarkEnd w:id="88"/>
      <w:bookmarkEnd w:id="89"/>
      <w:bookmarkEnd w:id="90"/>
      <w:bookmarkEnd w:id="91"/>
    </w:p>
    <w:p>
      <w:pPr>
        <w:pStyle w:val="3"/>
        <w:spacing w:before="468" w:after="468"/>
      </w:pPr>
      <w:bookmarkStart w:id="92" w:name="_Toc60822255"/>
      <w:bookmarkStart w:id="93" w:name="_Toc60819557"/>
      <w:bookmarkStart w:id="94" w:name="_Toc77584250"/>
      <w:bookmarkStart w:id="95" w:name="_Toc60822430"/>
      <w:r>
        <w:t>4.1</w:t>
      </w:r>
      <w:r>
        <w:rPr>
          <w:rFonts w:hint="eastAsia"/>
        </w:rPr>
        <w:t xml:space="preserve">  </w:t>
      </w:r>
      <w:r>
        <w:t>控制项</w:t>
      </w:r>
      <w:bookmarkEnd w:id="92"/>
      <w:bookmarkEnd w:id="93"/>
      <w:bookmarkEnd w:id="94"/>
      <w:bookmarkEnd w:id="95"/>
    </w:p>
    <w:p>
      <w:pPr>
        <w:spacing w:line="360" w:lineRule="auto"/>
        <w:jc w:val="left"/>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1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本条的评价方法为：规划设计阶段评价查阅相关设计文件及采购合同；运营管理阶段评价查阅相关竣工图，并现场核实。</w:t>
      </w:r>
    </w:p>
    <w:p>
      <w:pPr>
        <w:spacing w:line="360" w:lineRule="auto"/>
        <w:jc w:val="left"/>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2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本条的评价方法为：规划设计阶段评价查阅相关设计文件及采购合同；运营管理阶段评价查阅相关竣工图，并现场核实。</w:t>
      </w:r>
    </w:p>
    <w:p>
      <w:pPr>
        <w:spacing w:line="360" w:lineRule="auto"/>
        <w:jc w:val="left"/>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3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本条的评价方法为：规划设计阶段评价查阅相关设计文件及采购合同；运营管理阶段评价查阅相关竣工图，并现场核实。</w:t>
      </w:r>
    </w:p>
    <w:p>
      <w:pPr>
        <w:spacing w:line="360" w:lineRule="auto"/>
        <w:jc w:val="left"/>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4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本条的评价方法为：规划设计阶段评价查阅相关设计文件及采购合同；运营管理阶段评价查阅相关竣工图，并现场核实。</w:t>
      </w:r>
    </w:p>
    <w:p>
      <w:pPr>
        <w:spacing w:line="360" w:lineRule="auto"/>
        <w:jc w:val="left"/>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5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ascii="宋体" w:hAnsi="宋体" w:eastAsia="宋体"/>
          <w:sz w:val="24"/>
          <w:szCs w:val="24"/>
        </w:rPr>
        <w:t>道床面</w:t>
      </w:r>
      <w:r>
        <w:rPr>
          <w:rFonts w:hint="eastAsia" w:ascii="宋体" w:hAnsi="宋体" w:eastAsia="宋体"/>
          <w:sz w:val="24"/>
          <w:szCs w:val="24"/>
        </w:rPr>
        <w:t>应</w:t>
      </w:r>
      <w:r>
        <w:rPr>
          <w:rFonts w:ascii="宋体" w:hAnsi="宋体" w:eastAsia="宋体"/>
          <w:sz w:val="24"/>
          <w:szCs w:val="24"/>
        </w:rPr>
        <w:t>平整、连续、无障碍</w:t>
      </w:r>
      <w:r>
        <w:rPr>
          <w:rFonts w:hint="eastAsia" w:ascii="宋体" w:hAnsi="宋体" w:eastAsia="宋体"/>
          <w:sz w:val="24"/>
          <w:szCs w:val="24"/>
        </w:rPr>
        <w:t>，例如道床面纵向中心水沟应设置盖板、过轨管线应在道床中预埋或开槽敷设，以满足运营检修人员行走及应急状态下人员疏散的需求。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spacing w:line="360" w:lineRule="auto"/>
        <w:jc w:val="left"/>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rPr>
        <w:t xml:space="preserve">1.6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ascii="宋体"/>
          <w:sz w:val="24"/>
        </w:rPr>
        <w:t>尚未使用的道岔</w:t>
      </w:r>
      <w:r>
        <w:rPr>
          <w:rFonts w:hint="eastAsia" w:ascii="宋体"/>
          <w:sz w:val="24"/>
        </w:rPr>
        <w:t>采取</w:t>
      </w:r>
      <w:r>
        <w:rPr>
          <w:rFonts w:ascii="宋体"/>
          <w:sz w:val="24"/>
        </w:rPr>
        <w:t>道岔定向锁闭</w:t>
      </w:r>
      <w:r>
        <w:rPr>
          <w:rFonts w:hint="eastAsia" w:ascii="宋体"/>
          <w:sz w:val="24"/>
        </w:rPr>
        <w:t>，</w:t>
      </w:r>
      <w:r>
        <w:rPr>
          <w:rFonts w:ascii="宋体"/>
          <w:sz w:val="24"/>
        </w:rPr>
        <w:t>预留延伸线终端设置车挡</w:t>
      </w:r>
      <w:r>
        <w:rPr>
          <w:rFonts w:hint="eastAsia" w:ascii="宋体"/>
          <w:sz w:val="24"/>
        </w:rPr>
        <w:t>，可以提高运营安全储备，减少事故的发生。</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spacing w:line="360" w:lineRule="auto"/>
        <w:jc w:val="left"/>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7  </w:t>
      </w:r>
      <w:r>
        <w:rPr>
          <w:rFonts w:hint="eastAsia" w:ascii="宋体" w:hAnsi="宋体" w:eastAsia="宋体"/>
          <w:sz w:val="24"/>
          <w:szCs w:val="24"/>
        </w:rPr>
        <w:t>本条适用于绿色轨道交通的运营管理阶段评价。</w:t>
      </w:r>
    </w:p>
    <w:p>
      <w:pPr>
        <w:spacing w:line="360" w:lineRule="auto"/>
        <w:ind w:firstLine="480" w:firstLineChars="200"/>
        <w:jc w:val="left"/>
        <w:rPr>
          <w:rFonts w:ascii="宋体" w:hAnsi="宋体" w:eastAsia="宋体"/>
          <w:sz w:val="24"/>
          <w:szCs w:val="24"/>
        </w:rPr>
      </w:pPr>
      <w:r>
        <w:rPr>
          <w:rFonts w:ascii="宋体" w:hAnsi="宋体" w:eastAsia="宋体"/>
          <w:sz w:val="24"/>
          <w:szCs w:val="24"/>
        </w:rPr>
        <w:t>道岔、钢轨的焊点或栓接部位的探伤检测合格报告</w:t>
      </w:r>
      <w:r>
        <w:rPr>
          <w:rFonts w:hint="eastAsia" w:ascii="宋体" w:hAnsi="宋体" w:eastAsia="宋体"/>
          <w:sz w:val="24"/>
          <w:szCs w:val="24"/>
        </w:rPr>
        <w:t>是证明其无质量缺陷的依据，</w:t>
      </w:r>
      <w:r>
        <w:rPr>
          <w:rFonts w:ascii="宋体" w:hAnsi="宋体" w:eastAsia="宋体"/>
          <w:sz w:val="24"/>
          <w:szCs w:val="24"/>
        </w:rPr>
        <w:t>锁定轨温、单元轨节长度和观测桩位置等技术资料</w:t>
      </w:r>
      <w:r>
        <w:rPr>
          <w:rFonts w:hint="eastAsia" w:ascii="宋体" w:hAnsi="宋体" w:eastAsia="宋体"/>
          <w:sz w:val="24"/>
          <w:szCs w:val="24"/>
        </w:rPr>
        <w:t>，是复核无缝线路稳定性的支撑材料。</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本条的评价方法为：运营管理阶段评价查阅相关竣工图及检测报告，并现场核实。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8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是对绿色轨道交通车站的场地安全提出要求。建筑场地与各类危险源的距离应满足相应危险源的安全防护距离等控制要求，对场地中的不利地段或潜在危险源应采取必要的避让、防护或控制、治理等措施，对场地中存在的有毒有害物质应采取有效的治理与防护措施，进行无害化处理，确保符合各项安全标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轨道交通车站属于人流通行密集场所，其用地应设置于洪水水位之上（或有可靠的城市防洪设施），场地的防洪设计符合现行国家标准《防洪标准》GB50201及《城市防洪工程设计规范》GB/T 50806的规定，并充分考虑到泥石流、滑坡等自然灾害的应对措施；抗震防灾设计符合现行国家标准《城市抗震防灾规划标准》GB50413及《建筑抗震设计规范》GB50011的要求，避开勘察报告评价为抗震不利地段的建设场地，当无法避开时，需采取有效措施，不能将特殊设防类（甲类）、重点设防类（乙类）的轨道交通车站设置在抗震危险地段；对场地安全范围内可能存在的易燃、易爆、有毒物质等危险源采取避让、防止、控制等措施；土壤中氡浓度的控制应符合现行国家标准《民用建筑工程室内环境污染控制规范》GB50325的规定；电磁辐射符合现行国家标准《电磁辐射防护规定》GB8702的规定。</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本条的评价方法为：规划设计阶段评价查阅带地形的总平面图，审核应对措施的合理性及相关检测报告或论证报告；运行管理阶段评价在规划设计阶段评价方法之外还应现场核实。</w:t>
      </w:r>
    </w:p>
    <w:p>
      <w:pPr>
        <w:spacing w:line="360" w:lineRule="auto"/>
        <w:jc w:val="left"/>
        <w:rPr>
          <w:rFonts w:ascii="宋体" w:hAnsi="宋体"/>
          <w:sz w:val="24"/>
          <w:szCs w:val="24"/>
        </w:rPr>
      </w:pPr>
      <w:r>
        <w:rPr>
          <w:rFonts w:ascii="宋体" w:hAnsi="宋体" w:eastAsia="宋体"/>
          <w:b/>
          <w:sz w:val="24"/>
          <w:szCs w:val="24"/>
        </w:rPr>
        <w:t>4.1.9</w:t>
      </w:r>
      <w:r>
        <w:rPr>
          <w:rFonts w:hint="eastAsia" w:ascii="宋体" w:hAnsi="宋体"/>
          <w:sz w:val="24"/>
          <w:szCs w:val="24"/>
        </w:rPr>
        <w:t>本条适用于绿色轨道交通的规划设计阶段和运营管理阶段评价。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建筑内部非结构构件、设备及附属设施等应满足建筑使用的安全性。室内装饰装修除应符合国家现行相关标准的规定外、还需对承重材料的力学性能进行检测验证。装饰构件之间以及装饰构件与建筑墙体、楼板等构件之间的连接力学性能应满足设计要求，连接可靠并能适合主体结构在地震作用之外各种荷载作用下的变形。</w:t>
      </w:r>
    </w:p>
    <w:p>
      <w:pPr>
        <w:adjustRightInd w:val="0"/>
        <w:snapToGrid w:val="0"/>
        <w:spacing w:line="360" w:lineRule="auto"/>
        <w:ind w:firstLine="480" w:firstLineChars="200"/>
        <w:rPr>
          <w:rFonts w:ascii="宋体" w:hAnsi="宋体" w:eastAsia="宋体"/>
          <w:sz w:val="24"/>
          <w:szCs w:val="24"/>
        </w:rPr>
      </w:pPr>
      <w:r>
        <w:rPr>
          <w:rFonts w:hint="eastAsia" w:ascii="宋体" w:hAnsi="宋体"/>
          <w:sz w:val="24"/>
          <w:szCs w:val="24"/>
        </w:rPr>
        <w:t>本条的评价方法为：规划设计阶段评价查阅相关设计文件；运营管理阶段评价查阅相关竣工图，并现场核实。</w:t>
      </w:r>
    </w:p>
    <w:p>
      <w:pPr>
        <w:spacing w:line="360" w:lineRule="auto"/>
        <w:jc w:val="left"/>
        <w:rPr>
          <w:rFonts w:ascii="宋体" w:hAnsi="宋体"/>
          <w:sz w:val="24"/>
          <w:szCs w:val="24"/>
        </w:rPr>
      </w:pPr>
      <w:r>
        <w:rPr>
          <w:rFonts w:ascii="宋体" w:hAnsi="宋体" w:eastAsia="宋体"/>
          <w:b/>
          <w:sz w:val="24"/>
          <w:szCs w:val="24"/>
        </w:rPr>
        <w:t>4.1.</w:t>
      </w:r>
      <w:r>
        <w:rPr>
          <w:rFonts w:hint="eastAsia" w:ascii="宋体" w:hAnsi="宋体" w:eastAsia="宋体"/>
          <w:b/>
          <w:sz w:val="24"/>
          <w:szCs w:val="24"/>
        </w:rPr>
        <w:t xml:space="preserve">10  </w:t>
      </w:r>
      <w:r>
        <w:rPr>
          <w:rFonts w:hint="eastAsia" w:ascii="宋体" w:hAnsi="宋体"/>
          <w:sz w:val="24"/>
          <w:szCs w:val="24"/>
        </w:rPr>
        <w:t>本条适用于绿色轨道交通的规划设计阶段和运营管理阶段评价。</w:t>
      </w:r>
    </w:p>
    <w:p>
      <w:pPr>
        <w:spacing w:line="360" w:lineRule="auto"/>
        <w:jc w:val="left"/>
        <w:rPr>
          <w:rFonts w:ascii="宋体" w:hAnsi="宋体"/>
          <w:sz w:val="24"/>
          <w:szCs w:val="24"/>
        </w:rPr>
      </w:pPr>
      <w:r>
        <w:rPr>
          <w:rFonts w:hint="eastAsia" w:ascii="宋体" w:hAnsi="宋体"/>
          <w:sz w:val="24"/>
          <w:szCs w:val="24"/>
        </w:rPr>
        <w:t xml:space="preserve">  根据国家标准《安全标志及其使用导则》GB2894的安全标志中指具有警示和引导功能的安全标志，应在场地和建筑公共场所和其他有必要提醒人们注意安全的场所显著位置上设置。设置显著、醒目的安全警示标志，能够起到提醒建筑使用者注意安全的作用。</w:t>
      </w:r>
    </w:p>
    <w:p>
      <w:pPr>
        <w:adjustRightInd w:val="0"/>
        <w:snapToGrid w:val="0"/>
        <w:spacing w:line="360" w:lineRule="auto"/>
        <w:ind w:firstLine="480" w:firstLineChars="200"/>
        <w:rPr>
          <w:rFonts w:ascii="宋体" w:hAnsi="宋体" w:eastAsia="宋体"/>
          <w:sz w:val="24"/>
          <w:szCs w:val="24"/>
        </w:rPr>
      </w:pPr>
      <w:r>
        <w:rPr>
          <w:rFonts w:hint="eastAsia" w:ascii="宋体" w:hAnsi="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11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轨道交通工程结构设计满足《混凝土结构设计规范》GB50100、《钢结构设计规范》GB50017、《铁路桥涵设计规范》TB10002、《铁路隧道设计规范》TB10003等规范的要求。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本条的评价方法为：规划设计阶段查阅主体结构施工图和计算书；运营管理阶段查阅竣工图及施工记录等文件。</w:t>
      </w:r>
    </w:p>
    <w:p>
      <w:pPr>
        <w:adjustRightInd w:val="0"/>
        <w:snapToGrid w:val="0"/>
        <w:spacing w:line="36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12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混凝土结构耐久性设计包含结构的设计使用年限、环境类别及其作用等级，有利于减轻环境作用的结构形式、布置和构造，混凝土结构材料的耐久性质量要求，钢筋的混凝土保护层厚度，混凝土裂缝控制要求，防水、排水等构造措施，海洋氯化物及硫酸盐环境作用下合理采取防腐蚀附加措施或多重防护策略等，具体设计内容参考《混凝土结构耐久性设计规范》GB/T 50476。</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本条的评价方法为：规划设计阶段查阅结构施工图；运营管理阶段查阅竣工图、施工记录、混凝土及钢材检测记录等文件。</w:t>
      </w:r>
    </w:p>
    <w:p>
      <w:pPr>
        <w:adjustRightInd w:val="0"/>
        <w:snapToGrid w:val="0"/>
        <w:spacing w:line="360" w:lineRule="auto"/>
        <w:rPr>
          <w:rFonts w:ascii="宋体" w:hAnsi="宋体" w:eastAsia="宋体"/>
          <w:sz w:val="24"/>
          <w:szCs w:val="24"/>
        </w:rPr>
      </w:pPr>
      <w:r>
        <w:rPr>
          <w:rFonts w:ascii="宋体" w:hAnsi="宋体" w:eastAsia="宋体"/>
          <w:b/>
          <w:sz w:val="24"/>
          <w:szCs w:val="24"/>
        </w:rPr>
        <w:t>4.1.1</w:t>
      </w:r>
      <w:r>
        <w:rPr>
          <w:rFonts w:hint="eastAsia" w:ascii="宋体" w:hAnsi="宋体" w:eastAsia="宋体"/>
          <w:b/>
          <w:sz w:val="24"/>
          <w:szCs w:val="24"/>
        </w:rPr>
        <w:t xml:space="preserve">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由于地下线路空间局促,实际工程中常常出现设备及管道布置密集,导致安装困难或无法进行运行操作与维修的情况，因此提出了设备、管道及配件的运输、安装、操作和维修条件的共性规定。</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4.1.1</w:t>
      </w:r>
      <w:r>
        <w:rPr>
          <w:rFonts w:hint="eastAsia" w:ascii="宋体" w:hAnsi="宋体" w:eastAsia="宋体"/>
          <w:b/>
          <w:sz w:val="24"/>
          <w:szCs w:val="24"/>
        </w:rPr>
        <w:t xml:space="preserve">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条文提出了通风、空气调节与供暖系统中使用的各类材料燃烧性能的共性规定。目前在工程中应用的管道、保温及消声材料种类繁多,性能上差异很大。为保证在城市轨道交通正常运营和事故状况下所采用的材料不燃烧、不散发出有毒有害气体,从而保持城市轨道交通内部在各种情况下都具有一个良好、安全的空气环境,需遵守本条所提出的选材要求,选用A级不燃材料。只有当少数局部部位,如冷水机组、水管阀门等部位,形状极不规则,采用A级不燃保温材料在施工工艺等方面确实存在很大困难时,允许采用难燃材料,但此时至少需采用Bl级材料。</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rPr>
        <w:t>1</w:t>
      </w:r>
      <w:r>
        <w:rPr>
          <w:rFonts w:ascii="宋体" w:hAnsi="宋体" w:eastAsia="宋体"/>
          <w:b/>
          <w:sz w:val="24"/>
          <w:szCs w:val="24"/>
        </w:rPr>
        <w:t>.1</w:t>
      </w:r>
      <w:r>
        <w:rPr>
          <w:rFonts w:hint="eastAsia" w:ascii="宋体" w:hAnsi="宋体" w:eastAsia="宋体"/>
          <w:b/>
          <w:sz w:val="24"/>
          <w:szCs w:val="24"/>
        </w:rPr>
        <w:t xml:space="preserve">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制冷剂环境友好是指综合考虑制冷剂的ODP、GWP、大气寿命,评估其排放到大气层后对环境的影响符合国际认可的条件。制冷剂的环境友好性评估和安全性分类参照国家标准GB</w:t>
      </w:r>
      <w:r>
        <w:rPr>
          <w:rFonts w:ascii="宋体" w:hAnsi="宋体" w:eastAsia="宋体"/>
          <w:sz w:val="24"/>
          <w:szCs w:val="24"/>
        </w:rPr>
        <w:t xml:space="preserve"> 7778</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rPr>
        <w:t>1</w:t>
      </w:r>
      <w:r>
        <w:rPr>
          <w:rFonts w:ascii="宋体" w:hAnsi="宋体" w:eastAsia="宋体"/>
          <w:b/>
          <w:sz w:val="24"/>
          <w:szCs w:val="24"/>
        </w:rPr>
        <w:t>.1</w:t>
      </w:r>
      <w:r>
        <w:rPr>
          <w:rFonts w:hint="eastAsia" w:ascii="宋体" w:hAnsi="宋体" w:eastAsia="宋体"/>
          <w:b/>
          <w:sz w:val="24"/>
          <w:szCs w:val="24"/>
        </w:rPr>
        <w:t xml:space="preserve">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通风、空气调节的主要设备包括冷水机组、水泵、冷却塔、风机、空调器、多联机，针对这些主要设备提出了设计使用寿命的要求。</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rPr>
        <w:t>1</w:t>
      </w:r>
      <w:r>
        <w:rPr>
          <w:rFonts w:ascii="宋体" w:hAnsi="宋体" w:eastAsia="宋体"/>
          <w:b/>
          <w:sz w:val="24"/>
          <w:szCs w:val="24"/>
        </w:rPr>
        <w:t>.1</w:t>
      </w:r>
      <w:r>
        <w:rPr>
          <w:rFonts w:hint="eastAsia" w:ascii="宋体" w:hAnsi="宋体" w:eastAsia="宋体"/>
          <w:b/>
          <w:sz w:val="24"/>
          <w:szCs w:val="24"/>
        </w:rPr>
        <w:t xml:space="preserve">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气体灭火压力监测系统通过设置气体灭火系统综合监测装置，实现对消防气瓶的压力实时在线监测和气体灭火系统的检修隔离功能，包括气体灭火系统监测箱、压力检测部件及通信总线，其中气体灭火系统监测箱的机箱内包括气体压力监测功能单元和检修隔离功能单元组。</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本条的评价方法为：规划设计阶段查阅相关设计文件、设置说明；运行阶段查阅相关竣工图、产品说明书、运行数据报告，并现场核实。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rPr>
        <w:t>1</w:t>
      </w:r>
      <w:r>
        <w:rPr>
          <w:rFonts w:ascii="宋体" w:hAnsi="宋体" w:eastAsia="宋体"/>
          <w:b/>
          <w:sz w:val="24"/>
          <w:szCs w:val="24"/>
        </w:rPr>
        <w:t>.1</w:t>
      </w:r>
      <w:r>
        <w:rPr>
          <w:rFonts w:hint="eastAsia" w:ascii="宋体" w:hAnsi="宋体" w:eastAsia="宋体"/>
          <w:b/>
          <w:sz w:val="24"/>
          <w:szCs w:val="24"/>
        </w:rPr>
        <w:t xml:space="preserve">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消防气瓶爆裂预警探测装置设置在灭火器储瓶的外壁上，在瓶体发生物理爆炸之前，设置在瓶体上的变形量探测线能够感知到气瓶外壁局部的物理微变形，给出报警信号，选装主动泄放装置的，同时可通过监控盒打开主动泄放装置，使气瓶内气体泄放，压力降低，防止气瓶爆炸的发生。</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本条的评价方法为：规划设计阶段查阅相关设计文件、设置说明；运行阶段查阅相关竣工图、产品说明书、运行数据报告，并现场核实。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4.1.19  </w:t>
      </w:r>
      <w:r>
        <w:rPr>
          <w:rFonts w:hint="eastAsia" w:ascii="宋体" w:hAnsi="宋体" w:eastAsia="宋体"/>
          <w:sz w:val="24"/>
          <w:szCs w:val="24"/>
        </w:rPr>
        <w:t>本条适用于绿色轨道交通供电系统的规划设计阶段和运营管理阶段评价。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为确保轨道交通供电系统的供电可靠性，对供电系统中的主变电所、电源开闭所、牵引变电所、降压变电所的电源进行明确要求。该要求不仅在设计阶段应满足，在轨道交通投运时，也应实施完成。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本条的评价方法为：规划设计阶段评价查阅相关设计文件（设计说明和计算书）；运营管理阶段评价查阅验收记录，并现场核实。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4.1.20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为保证建筑物、电气装置和人身安全，供电系统应进行防雷、接地及过电压保护设计。轨道交通地面建筑物应根据现行《建筑物防雷设计规范》（GB 50057）进行防雷设计；交流电气装置的接地设计应符合现行《交流电气装置的接地设计规范》（GB/T 50065）的要求；交流电气装置的过电压保护设计应符合现行《交流电气装置的过电压保护和绝缘配合设计规范》（GB/T 50064）和《低压系统内设备的绝缘配合》（GB/T 16935）的要求；轨道交通直流设备的接地及过电压保护设计应符合现行《地铁设计规范》（GB 50157）和《轨道交通 绝缘配合》（GB/T 32350）的要求。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本条的评价方法为：规划设计阶段评价查阅相关设计文件（设计说明和设计图纸）；运营管理阶段评价查阅验收记录等。</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4.1.21  </w:t>
      </w:r>
      <w:r>
        <w:rPr>
          <w:rFonts w:hint="eastAsia" w:ascii="宋体" w:hAnsi="宋体" w:eastAsia="宋体"/>
          <w:sz w:val="24"/>
          <w:szCs w:val="24"/>
        </w:rPr>
        <w:t>本条适用于绿色轨道交通直流牵引供电系统的规划设计阶段评价。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为防止和减少地铁直流牵引系统的泄漏电流，降低和控制杂散电流的危害及影响，采用直流牵引供电制式的城市轨道交通工程应进行杂散电流防护设计。杂散电流的防护设计应包括：预防和控制杂散电流的泄漏，沿线防护对象的防护措施，杂散电流防护监测等方面内容，涉及到线路、轨道、建筑、结构、供电、金属管线与设备等多个专业，故地铁直流系统的杂散电流防护需要从全局角度出发，各方面高度重视，并在设计前期就进行整体性防护系统规划设计。</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本条的评价方法为：规划设计阶段评价查阅相关设计文件（专题论证报告或设计说明和计算书）。</w:t>
      </w:r>
    </w:p>
    <w:p>
      <w:pPr>
        <w:adjustRightInd w:val="0"/>
        <w:snapToGrid w:val="0"/>
        <w:spacing w:line="360" w:lineRule="auto"/>
        <w:rPr>
          <w:rFonts w:ascii="仿宋" w:hAnsi="仿宋" w:eastAsia="仿宋"/>
          <w:b/>
          <w:sz w:val="24"/>
          <w:szCs w:val="24"/>
        </w:rPr>
      </w:pPr>
      <w:r>
        <w:rPr>
          <w:rFonts w:hint="eastAsia" w:ascii="仿宋" w:hAnsi="仿宋" w:eastAsia="仿宋"/>
          <w:b/>
          <w:sz w:val="24"/>
          <w:szCs w:val="24"/>
        </w:rPr>
        <w:t xml:space="preserve">4.1.22  </w:t>
      </w:r>
      <w:r>
        <w:rPr>
          <w:rFonts w:hint="eastAsia" w:ascii="宋体" w:hAnsi="宋体" w:eastAsia="宋体"/>
          <w:sz w:val="24"/>
          <w:szCs w:val="24"/>
        </w:rPr>
        <w:t>本条适用于绿色轨道交通的规划设计阶段评价。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为防止和减少交流牵引供电系统对通信设施、油气管道及机场导航台、雷达站、地震台等无线电台的电磁干扰和交流干扰，在设计阶段应对沿线的以上设施、管线进行相关干扰影响分析和安全性论证、评估，并采取对应的防护措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本条的评价方法为：规划设计阶段评价查阅相关设计文件（专题论证报告或设计说明和计算书）。</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4.1.23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为防止地下线路的电线、电缆、光缆燃烧危及系统正常工作及进一步扩大灾害，以及燃烧时产生的有害气体危害人身健康，电线、电缆、光缆应采用低烟、无卤、低毒、阻燃的材料。</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本条的评价方法为：规划设计阶段评价查阅相关设计文件（各机电专业的设计说明、施工图设计图纸）；运营管理阶段评价查阅验收记录，并现场核实。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4.1.24  </w:t>
      </w:r>
      <w:r>
        <w:rPr>
          <w:rFonts w:hint="eastAsia" w:ascii="宋体" w:hAnsi="宋体" w:eastAsia="宋体"/>
          <w:sz w:val="24"/>
          <w:szCs w:val="24"/>
        </w:rPr>
        <w:t>本条适用于绿色轨道交通直流牵引供电系统的规划设计阶段和运营管理阶段评价。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防止走行轨对地电压异常而使车站内乘客上下车时产生电击伤害；也为了避免车辆基地电化库内走行轨对地电位较高产生放电而对维护人员产生心理影响。站台处走行轨对地电位不应大于120V,车辆基地库线走行轨对地电位不应大于60V。当走行轨对地电压超标时，应采取短时接地措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本条的评价方法为：规划设计阶段评价查阅相关设计文件（设计说明、计算书）；运营管理阶段评价查阅运行记录，并现场核实。</w:t>
      </w:r>
    </w:p>
    <w:p>
      <w:pPr>
        <w:adjustRightInd w:val="0"/>
        <w:snapToGrid w:val="0"/>
        <w:spacing w:line="360" w:lineRule="auto"/>
        <w:rPr>
          <w:rFonts w:ascii="宋体" w:hAnsi="宋体" w:eastAsia="宋体"/>
          <w:sz w:val="24"/>
          <w:szCs w:val="24"/>
        </w:rPr>
      </w:pPr>
      <w:r>
        <w:rPr>
          <w:rFonts w:hint="eastAsia" w:ascii="宋体" w:hAnsi="宋体" w:eastAsia="宋体"/>
          <w:b/>
          <w:sz w:val="24"/>
          <w:szCs w:val="24"/>
        </w:rPr>
        <w:t xml:space="preserve">4.1.25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列车空间封闭、人员密集、且处于高速移动状态，一旦发生紧急情况，需要视频监控系统提供决策支持。</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26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站台门安装于站台边缘，上下部均其主体结构与车站土建结构相连接，站台门的设计、安装应具备适应土建结构沉降的能力，以确保设备及运营安全。</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本条的评价方法为：规划设计阶段评价查阅相关设计文件、采购合同、查阅产品设计图纸；运营管理阶段现场核实。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4.1.2</w:t>
      </w:r>
      <w:r>
        <w:rPr>
          <w:rFonts w:hint="eastAsia" w:ascii="宋体" w:hAnsi="宋体" w:eastAsia="宋体"/>
          <w:b/>
          <w:sz w:val="24"/>
          <w:szCs w:val="24"/>
        </w:rPr>
        <w:t xml:space="preserve">7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站台门是直接面向乘客及列车的设备，其应有安全措施确保运营安全，如门槛设置防踏空胶条，瞭望灯带，站台门具备障碍物探测功能；如全自动驾驶线路或站台门设置在曲线站台上司机无法对灯带进行瞭望时，应设置列车与站台门间隙探测装置。</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本条的评价方法为：规划设计阶段评价查阅相关设计文件、采购合同、查阅产品设计图纸；运营管理阶段现场核实。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28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重载</w:t>
      </w:r>
      <w:r>
        <w:rPr>
          <w:rFonts w:ascii="宋体" w:hAnsi="宋体" w:eastAsia="宋体"/>
          <w:sz w:val="24"/>
          <w:szCs w:val="24"/>
        </w:rPr>
        <w:t>荷</w:t>
      </w:r>
      <w:r>
        <w:rPr>
          <w:rFonts w:hint="eastAsia" w:ascii="宋体" w:hAnsi="宋体" w:eastAsia="宋体"/>
          <w:sz w:val="24"/>
          <w:szCs w:val="24"/>
        </w:rPr>
        <w:t>公共交通型自动扶梯定义：连续运行时间，每天不应少于20h，每周不应少于140h，任意3h应能以100%制动载荷连续运行1h，其余2h应能以60%自动载荷连续运行的自动扶梯。</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29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对自动扶梯状态监视、故障报警系统提出要求，有利于实时监测设备状态，并在故障发生时第一时间反馈给使用方。</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 xml:space="preserve">30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pStyle w:val="3"/>
        <w:spacing w:before="468" w:after="468"/>
        <w:sectPr>
          <w:pgSz w:w="11906" w:h="16838"/>
          <w:pgMar w:top="1440" w:right="1797" w:bottom="1440" w:left="1797" w:header="851" w:footer="992" w:gutter="0"/>
          <w:cols w:space="425" w:num="1"/>
          <w:docGrid w:type="lines" w:linePitch="312" w:charSpace="0"/>
        </w:sectPr>
      </w:pPr>
      <w:bookmarkStart w:id="96" w:name="_Toc60819558"/>
      <w:bookmarkStart w:id="97" w:name="_Toc77584251"/>
      <w:bookmarkStart w:id="98" w:name="_Toc60822256"/>
      <w:bookmarkStart w:id="99" w:name="_Toc60822431"/>
    </w:p>
    <w:p>
      <w:pPr>
        <w:pStyle w:val="3"/>
        <w:spacing w:before="468" w:after="468"/>
      </w:pPr>
      <w:r>
        <w:t>4.</w:t>
      </w:r>
      <w:r>
        <w:rPr>
          <w:rFonts w:hint="eastAsia"/>
        </w:rPr>
        <w:t xml:space="preserve">2  </w:t>
      </w:r>
      <w:r>
        <w:t>评分项</w:t>
      </w:r>
      <w:bookmarkEnd w:id="96"/>
      <w:bookmarkEnd w:id="97"/>
      <w:bookmarkEnd w:id="98"/>
      <w:bookmarkEnd w:id="99"/>
    </w:p>
    <w:p>
      <w:pPr>
        <w:adjustRightInd w:val="0"/>
        <w:snapToGrid w:val="0"/>
        <w:spacing w:line="360" w:lineRule="auto"/>
        <w:rPr>
          <w:rFonts w:ascii="宋体" w:hAnsi="宋体" w:eastAsia="宋体"/>
          <w:sz w:val="24"/>
          <w:szCs w:val="24"/>
        </w:rPr>
      </w:pPr>
      <w:r>
        <w:rPr>
          <w:rFonts w:hint="eastAsia" w:ascii="宋体" w:hAnsi="宋体" w:eastAsia="宋体"/>
          <w:b/>
          <w:sz w:val="24"/>
          <w:szCs w:val="24"/>
        </w:rPr>
        <w:t xml:space="preserve">4.2.1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宋体" w:hAnsi="宋体" w:eastAsia="宋体"/>
          <w:b/>
          <w:sz w:val="24"/>
          <w:szCs w:val="24"/>
        </w:rPr>
        <w:t xml:space="preserve">4.2.2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宋体" w:hAnsi="宋体" w:eastAsia="宋体"/>
          <w:b/>
          <w:sz w:val="24"/>
          <w:szCs w:val="24"/>
        </w:rPr>
        <w:t xml:space="preserve">4.2.3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spacing w:line="360" w:lineRule="auto"/>
        <w:jc w:val="left"/>
        <w:rPr>
          <w:rFonts w:ascii="宋体" w:hAnsi="宋体" w:eastAsia="宋体"/>
          <w:sz w:val="24"/>
          <w:szCs w:val="24"/>
        </w:rPr>
      </w:pPr>
      <w:r>
        <w:rPr>
          <w:rFonts w:ascii="宋体" w:hAnsi="宋体" w:eastAsia="宋体"/>
          <w:b/>
          <w:sz w:val="24"/>
          <w:szCs w:val="24"/>
        </w:rPr>
        <w:t>4.2.</w:t>
      </w:r>
      <w:r>
        <w:rPr>
          <w:rFonts w:hint="eastAsia" w:ascii="宋体" w:hAnsi="宋体" w:eastAsia="宋体"/>
          <w:b/>
          <w:sz w:val="24"/>
          <w:szCs w:val="24"/>
        </w:rPr>
        <w:t xml:space="preserve">4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中性盐雾试验（NSS试验）</w:t>
      </w:r>
      <w:r>
        <w:rPr>
          <w:rFonts w:hint="eastAsia" w:ascii="宋体" w:hAnsi="宋体" w:eastAsia="宋体"/>
          <w:sz w:val="24"/>
          <w:szCs w:val="24"/>
        </w:rPr>
        <w:t>是行业内检验被试材料防腐性能及耐久性能的一种常见方法。采用</w:t>
      </w:r>
      <w:r>
        <w:rPr>
          <w:rFonts w:ascii="宋体" w:hAnsi="宋体" w:eastAsia="宋体"/>
          <w:sz w:val="24"/>
          <w:szCs w:val="24"/>
        </w:rPr>
        <w:t>防腐处理</w:t>
      </w:r>
      <w:r>
        <w:rPr>
          <w:rFonts w:hint="eastAsia" w:ascii="宋体" w:hAnsi="宋体" w:eastAsia="宋体"/>
          <w:sz w:val="24"/>
          <w:szCs w:val="24"/>
        </w:rPr>
        <w:t>可延长</w:t>
      </w:r>
      <w:r>
        <w:rPr>
          <w:rFonts w:ascii="宋体" w:hAnsi="宋体" w:eastAsia="宋体"/>
          <w:sz w:val="24"/>
          <w:szCs w:val="24"/>
        </w:rPr>
        <w:t>轨道扣件钢件的使用寿命</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本条的评价方法为：规划设计阶段评价查阅相关设计文件；运营管理阶段评价查阅相关竣工图及检测报告，并现场核实。</w:t>
      </w:r>
    </w:p>
    <w:p>
      <w:pPr>
        <w:spacing w:line="360" w:lineRule="auto"/>
        <w:jc w:val="left"/>
        <w:rPr>
          <w:rFonts w:ascii="宋体" w:hAnsi="宋体" w:eastAsia="宋体"/>
          <w:sz w:val="24"/>
          <w:szCs w:val="24"/>
        </w:rPr>
      </w:pPr>
      <w:r>
        <w:rPr>
          <w:rFonts w:ascii="宋体" w:hAnsi="宋体" w:eastAsia="宋体"/>
          <w:b/>
          <w:sz w:val="24"/>
          <w:szCs w:val="24"/>
        </w:rPr>
        <w:t>4.2.</w:t>
      </w:r>
      <w:r>
        <w:rPr>
          <w:rFonts w:hint="eastAsia" w:ascii="宋体" w:hAnsi="宋体" w:eastAsia="宋体"/>
          <w:b/>
          <w:sz w:val="24"/>
          <w:szCs w:val="24"/>
        </w:rPr>
        <w:t xml:space="preserve">5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ascii="宋体" w:hAnsi="宋体" w:eastAsia="宋体"/>
          <w:sz w:val="24"/>
          <w:szCs w:val="24"/>
        </w:rPr>
        <w:t>道岔尖轨、辙叉</w:t>
      </w:r>
      <w:r>
        <w:rPr>
          <w:rFonts w:hint="eastAsia" w:ascii="宋体" w:hAnsi="宋体" w:eastAsia="宋体"/>
          <w:sz w:val="24"/>
          <w:szCs w:val="24"/>
        </w:rPr>
        <w:t>属于</w:t>
      </w:r>
      <w:r>
        <w:rPr>
          <w:rFonts w:ascii="宋体" w:hAnsi="宋体" w:eastAsia="宋体"/>
          <w:sz w:val="24"/>
          <w:szCs w:val="24"/>
        </w:rPr>
        <w:t>易损件</w:t>
      </w:r>
      <w:r>
        <w:rPr>
          <w:rFonts w:hint="eastAsia" w:ascii="宋体" w:hAnsi="宋体" w:eastAsia="宋体"/>
          <w:sz w:val="24"/>
          <w:szCs w:val="24"/>
        </w:rPr>
        <w:t>，强化处理后可以延长其</w:t>
      </w:r>
      <w:r>
        <w:rPr>
          <w:rFonts w:ascii="宋体" w:hAnsi="宋体" w:eastAsia="宋体"/>
          <w:sz w:val="24"/>
          <w:szCs w:val="24"/>
        </w:rPr>
        <w:t>使用寿命</w:t>
      </w:r>
      <w:r>
        <w:rPr>
          <w:rFonts w:hint="eastAsia" w:ascii="宋体" w:hAnsi="宋体" w:eastAsia="宋体"/>
          <w:sz w:val="24"/>
          <w:szCs w:val="24"/>
        </w:rPr>
        <w:t>；尖轨的强化处理措施包括热处理等表面处理技术，</w:t>
      </w:r>
      <w:r>
        <w:rPr>
          <w:rFonts w:ascii="宋体" w:hAnsi="宋体" w:eastAsia="宋体"/>
          <w:sz w:val="24"/>
          <w:szCs w:val="24"/>
        </w:rPr>
        <w:t>辙叉</w:t>
      </w:r>
      <w:r>
        <w:rPr>
          <w:rFonts w:hint="eastAsia" w:ascii="宋体" w:hAnsi="宋体" w:eastAsia="宋体"/>
          <w:sz w:val="24"/>
          <w:szCs w:val="24"/>
        </w:rPr>
        <w:t>的强化处理措施包括对</w:t>
      </w:r>
      <w:r>
        <w:rPr>
          <w:rFonts w:ascii="宋体" w:hAnsi="宋体" w:eastAsia="宋体"/>
          <w:sz w:val="24"/>
          <w:szCs w:val="24"/>
        </w:rPr>
        <w:t>高锰钢辙叉</w:t>
      </w:r>
      <w:r>
        <w:rPr>
          <w:rFonts w:hint="eastAsia" w:ascii="宋体" w:hAnsi="宋体" w:eastAsia="宋体"/>
          <w:sz w:val="24"/>
          <w:szCs w:val="24"/>
        </w:rPr>
        <w:t>进行爆炸硬化、采用合金钢辙叉等。相对于</w:t>
      </w:r>
      <w:r>
        <w:rPr>
          <w:rFonts w:ascii="宋体" w:hAnsi="宋体" w:eastAsia="宋体"/>
          <w:sz w:val="24"/>
          <w:szCs w:val="24"/>
        </w:rPr>
        <w:t>焊接式滑床板，整铸式滑床板</w:t>
      </w:r>
      <w:r>
        <w:rPr>
          <w:rFonts w:hint="eastAsia" w:ascii="宋体" w:hAnsi="宋体" w:eastAsia="宋体"/>
          <w:sz w:val="24"/>
          <w:szCs w:val="24"/>
        </w:rPr>
        <w:t>可以避免因焊接质量缺陷引起的开裂等常见病害，从而提高耐久性。</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spacing w:line="360" w:lineRule="auto"/>
        <w:jc w:val="left"/>
        <w:rPr>
          <w:rFonts w:ascii="宋体" w:hAnsi="宋体" w:eastAsia="宋体"/>
          <w:sz w:val="24"/>
          <w:szCs w:val="24"/>
        </w:rPr>
      </w:pPr>
      <w:r>
        <w:rPr>
          <w:rFonts w:ascii="宋体" w:hAnsi="宋体" w:eastAsia="宋体"/>
          <w:b/>
          <w:sz w:val="24"/>
          <w:szCs w:val="24"/>
        </w:rPr>
        <w:t>4.2.</w:t>
      </w:r>
      <w:r>
        <w:rPr>
          <w:rFonts w:hint="eastAsia" w:ascii="宋体" w:hAnsi="宋体" w:eastAsia="宋体"/>
          <w:b/>
          <w:sz w:val="24"/>
          <w:szCs w:val="24"/>
        </w:rPr>
        <w:t xml:space="preserve">6  </w:t>
      </w:r>
      <w:r>
        <w:rPr>
          <w:rFonts w:hint="eastAsia" w:ascii="宋体" w:hAnsi="宋体" w:eastAsia="宋体"/>
          <w:sz w:val="24"/>
          <w:szCs w:val="24"/>
        </w:rPr>
        <w:t>本条适用于绿色轨道交通的规划设计阶段和运营管理阶段评价。</w:t>
      </w:r>
    </w:p>
    <w:p>
      <w:pPr>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线路开通前进行钢轨预打磨</w:t>
      </w:r>
      <w:r>
        <w:rPr>
          <w:rFonts w:hint="eastAsia" w:ascii="宋体" w:hAnsi="宋体" w:eastAsia="宋体"/>
          <w:sz w:val="24"/>
          <w:szCs w:val="24"/>
        </w:rPr>
        <w:t>，可以消除轨头表面在铺设作业时产生的碰伤、锈蚀等缺陷，提高轨面初始平顺</w:t>
      </w:r>
      <w:r>
        <w:rPr>
          <w:rFonts w:ascii="宋体" w:hAnsi="宋体" w:eastAsia="宋体"/>
          <w:sz w:val="24"/>
          <w:szCs w:val="24"/>
        </w:rPr>
        <w:t>度</w:t>
      </w:r>
      <w:r>
        <w:rPr>
          <w:rFonts w:hint="eastAsia" w:ascii="宋体" w:hAnsi="宋体" w:eastAsia="宋体"/>
          <w:sz w:val="24"/>
          <w:szCs w:val="24"/>
        </w:rPr>
        <w:t>。</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运营阶段</w:t>
      </w:r>
      <w:r>
        <w:rPr>
          <w:rFonts w:ascii="宋体" w:hAnsi="宋体" w:eastAsia="宋体"/>
          <w:sz w:val="24"/>
          <w:szCs w:val="24"/>
        </w:rPr>
        <w:t>周期性预防打磨钢轨</w:t>
      </w:r>
      <w:r>
        <w:rPr>
          <w:rFonts w:hint="eastAsia" w:ascii="宋体" w:hAnsi="宋体" w:eastAsia="宋体"/>
          <w:sz w:val="24"/>
          <w:szCs w:val="24"/>
        </w:rPr>
        <w:t>，可消除或减轻轨面伤损及缺陷，提高轨面平顺</w:t>
      </w:r>
      <w:r>
        <w:rPr>
          <w:rFonts w:ascii="宋体" w:hAnsi="宋体" w:eastAsia="宋体"/>
          <w:sz w:val="24"/>
          <w:szCs w:val="24"/>
        </w:rPr>
        <w:t>度</w:t>
      </w:r>
      <w:r>
        <w:rPr>
          <w:rFonts w:hint="eastAsia" w:ascii="宋体" w:hAnsi="宋体" w:eastAsia="宋体"/>
          <w:sz w:val="24"/>
          <w:szCs w:val="24"/>
        </w:rPr>
        <w:t>，预防或减缓接触疲劳、波磨等病害的产生和发展，延长钢轨使用寿命。</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相对于区间无缝线路，</w:t>
      </w:r>
      <w:r>
        <w:rPr>
          <w:rFonts w:ascii="宋体" w:hAnsi="宋体" w:eastAsia="宋体"/>
          <w:sz w:val="24"/>
          <w:szCs w:val="24"/>
        </w:rPr>
        <w:t>跨区间无缝线路</w:t>
      </w:r>
      <w:r>
        <w:rPr>
          <w:rFonts w:hint="eastAsia" w:ascii="宋体" w:hAnsi="宋体" w:eastAsia="宋体"/>
          <w:sz w:val="24"/>
          <w:szCs w:val="24"/>
        </w:rPr>
        <w:t>消除了钢轨接头，更加平顺、舒适、低噪音，岔区病害及维修量更少。</w:t>
      </w:r>
    </w:p>
    <w:p>
      <w:pPr>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小半径地段设置轮轨减磨润滑装置</w:t>
      </w:r>
      <w:r>
        <w:rPr>
          <w:rFonts w:hint="eastAsia" w:ascii="宋体" w:hAnsi="宋体" w:eastAsia="宋体"/>
          <w:sz w:val="24"/>
          <w:szCs w:val="24"/>
        </w:rPr>
        <w:t>，可改善轮轨关系，减缓轮轨磨耗，延长轮轨使用寿命。</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spacing w:line="360" w:lineRule="auto"/>
        <w:jc w:val="left"/>
        <w:rPr>
          <w:rFonts w:ascii="宋体" w:hAnsi="宋体"/>
          <w:sz w:val="24"/>
          <w:szCs w:val="24"/>
        </w:rPr>
      </w:pPr>
      <w:r>
        <w:rPr>
          <w:rFonts w:hint="eastAsia" w:ascii="宋体" w:hAnsi="宋体" w:eastAsia="宋体"/>
          <w:b/>
          <w:sz w:val="24"/>
          <w:szCs w:val="24"/>
        </w:rPr>
        <w:t xml:space="preserve">4.2.7  </w:t>
      </w:r>
      <w:r>
        <w:rPr>
          <w:rFonts w:hint="eastAsia" w:ascii="宋体" w:hAnsi="宋体"/>
          <w:sz w:val="24"/>
          <w:szCs w:val="24"/>
        </w:rPr>
        <w:t>本条适用于绿色轨道交通的规划设计阶段和运营管理阶段评价。</w:t>
      </w:r>
    </w:p>
    <w:p>
      <w:pPr>
        <w:spacing w:line="360" w:lineRule="auto"/>
        <w:jc w:val="left"/>
        <w:rPr>
          <w:rFonts w:ascii="宋体" w:hAnsi="宋体"/>
          <w:sz w:val="24"/>
          <w:szCs w:val="24"/>
        </w:rPr>
      </w:pPr>
      <w:r>
        <w:rPr>
          <w:rFonts w:hint="eastAsia" w:ascii="宋体" w:hAnsi="宋体"/>
          <w:sz w:val="24"/>
          <w:szCs w:val="24"/>
        </w:rPr>
        <w:t xml:space="preserve">    为了保持建筑物的风格、视觉效果和人居环境，装饰装修材料在一定使用年限后会进行更新替换。如果使用易玷污、难维护及耐久性差的装饰装修材料或做法，则会在一定程度上增加建筑物的维护成本，且施工也会带来有毒有害物质的排放、粉尘及噪声等问题。对采用耐久性好的装饰装修材料评价内容举例如表</w:t>
      </w:r>
      <w:r>
        <w:rPr>
          <w:rFonts w:hint="eastAsia" w:ascii="宋体" w:hAnsi="宋体"/>
          <w:sz w:val="24"/>
          <w:szCs w:val="24"/>
          <w:lang w:val="en-US" w:eastAsia="zh-CN"/>
        </w:rPr>
        <w:t>4.2.7</w:t>
      </w:r>
      <w:r>
        <w:rPr>
          <w:rFonts w:hint="eastAsia" w:ascii="宋体" w:hAnsi="宋体"/>
          <w:sz w:val="24"/>
          <w:szCs w:val="24"/>
        </w:rPr>
        <w:t>。</w:t>
      </w:r>
    </w:p>
    <w:p>
      <w:pPr>
        <w:spacing w:line="360" w:lineRule="auto"/>
        <w:jc w:val="center"/>
        <w:rPr>
          <w:rFonts w:ascii="宋体" w:hAnsi="宋体"/>
          <w:b/>
          <w:sz w:val="24"/>
          <w:szCs w:val="24"/>
        </w:rPr>
      </w:pPr>
      <w:r>
        <w:rPr>
          <w:rFonts w:hint="eastAsia" w:ascii="宋体" w:hAnsi="宋体"/>
          <w:b/>
          <w:sz w:val="24"/>
          <w:szCs w:val="24"/>
        </w:rPr>
        <w:t>表</w:t>
      </w:r>
      <w:r>
        <w:rPr>
          <w:rFonts w:hint="eastAsia" w:ascii="宋体" w:hAnsi="宋体"/>
          <w:b/>
          <w:sz w:val="24"/>
          <w:szCs w:val="24"/>
          <w:lang w:val="en-US" w:eastAsia="zh-CN"/>
        </w:rPr>
        <w:t>4.2.7</w:t>
      </w:r>
      <w:r>
        <w:rPr>
          <w:rFonts w:hint="eastAsia" w:ascii="宋体" w:hAnsi="宋体"/>
          <w:b/>
          <w:sz w:val="24"/>
          <w:szCs w:val="24"/>
        </w:rPr>
        <w:t xml:space="preserve"> 采用耐久性好的装饰装修材料评价内容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line="360" w:lineRule="auto"/>
              <w:jc w:val="center"/>
              <w:rPr>
                <w:rFonts w:ascii="宋体" w:hAnsi="宋体"/>
              </w:rPr>
            </w:pPr>
            <w:r>
              <w:rPr>
                <w:rFonts w:hint="eastAsia" w:ascii="宋体" w:hAnsi="宋体"/>
              </w:rPr>
              <w:t>分类</w:t>
            </w:r>
          </w:p>
        </w:tc>
        <w:tc>
          <w:tcPr>
            <w:tcW w:w="6152" w:type="dxa"/>
            <w:shd w:val="clear" w:color="auto" w:fill="auto"/>
          </w:tcPr>
          <w:p>
            <w:pPr>
              <w:spacing w:line="360" w:lineRule="auto"/>
              <w:jc w:val="center"/>
              <w:rPr>
                <w:rFonts w:ascii="宋体" w:hAnsi="宋体"/>
              </w:rPr>
            </w:pPr>
            <w:r>
              <w:rPr>
                <w:rFonts w:hint="eastAsia" w:ascii="宋体" w:hAnsi="宋体"/>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shd w:val="clear" w:color="auto" w:fill="auto"/>
            <w:vAlign w:val="center"/>
          </w:tcPr>
          <w:p>
            <w:pPr>
              <w:spacing w:line="360" w:lineRule="auto"/>
              <w:jc w:val="center"/>
              <w:rPr>
                <w:rFonts w:ascii="宋体" w:hAnsi="宋体"/>
              </w:rPr>
            </w:pPr>
            <w:r>
              <w:rPr>
                <w:rFonts w:hint="eastAsia" w:ascii="宋体" w:hAnsi="宋体"/>
              </w:rPr>
              <w:t>外饰面材料</w:t>
            </w:r>
          </w:p>
        </w:tc>
        <w:tc>
          <w:tcPr>
            <w:tcW w:w="6152" w:type="dxa"/>
            <w:shd w:val="clear" w:color="auto" w:fill="auto"/>
          </w:tcPr>
          <w:p>
            <w:pPr>
              <w:spacing w:line="360" w:lineRule="auto"/>
              <w:jc w:val="left"/>
              <w:rPr>
                <w:rFonts w:ascii="宋体" w:hAnsi="宋体"/>
              </w:rPr>
            </w:pPr>
            <w:r>
              <w:rPr>
                <w:rFonts w:hint="eastAsia" w:ascii="宋体" w:hAnsi="宋体"/>
              </w:rPr>
              <w:t>采用水性氟涂料或耐候性相当的涂料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shd w:val="clear" w:color="auto" w:fill="auto"/>
            <w:vAlign w:val="center"/>
          </w:tcPr>
          <w:p>
            <w:pPr>
              <w:spacing w:line="360" w:lineRule="auto"/>
              <w:jc w:val="center"/>
              <w:rPr>
                <w:rFonts w:ascii="宋体" w:hAnsi="宋体"/>
              </w:rPr>
            </w:pPr>
          </w:p>
        </w:tc>
        <w:tc>
          <w:tcPr>
            <w:tcW w:w="6152" w:type="dxa"/>
            <w:shd w:val="clear" w:color="auto" w:fill="auto"/>
          </w:tcPr>
          <w:p>
            <w:pPr>
              <w:spacing w:line="360" w:lineRule="auto"/>
              <w:jc w:val="left"/>
              <w:rPr>
                <w:rFonts w:ascii="宋体" w:hAnsi="宋体"/>
              </w:rPr>
            </w:pPr>
            <w:r>
              <w:rPr>
                <w:rFonts w:hint="eastAsia" w:ascii="宋体" w:hAnsi="宋体"/>
              </w:rPr>
              <w:t>选用耐久性与建筑幕墙设计年限相匹配的饰面材料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shd w:val="clear" w:color="auto" w:fill="auto"/>
            <w:vAlign w:val="center"/>
          </w:tcPr>
          <w:p>
            <w:pPr>
              <w:spacing w:line="360" w:lineRule="auto"/>
              <w:jc w:val="center"/>
              <w:rPr>
                <w:rFonts w:ascii="宋体" w:hAnsi="宋体"/>
              </w:rPr>
            </w:pPr>
          </w:p>
        </w:tc>
        <w:tc>
          <w:tcPr>
            <w:tcW w:w="6152" w:type="dxa"/>
            <w:shd w:val="clear" w:color="auto" w:fill="auto"/>
          </w:tcPr>
          <w:p>
            <w:pPr>
              <w:spacing w:line="360" w:lineRule="auto"/>
              <w:jc w:val="left"/>
              <w:rPr>
                <w:rFonts w:ascii="宋体" w:hAnsi="宋体"/>
              </w:rPr>
            </w:pPr>
            <w:r>
              <w:rPr>
                <w:rFonts w:hint="eastAsia" w:ascii="宋体" w:hAnsi="宋体"/>
              </w:rPr>
              <w:t>合理采用清水混凝土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vAlign w:val="center"/>
          </w:tcPr>
          <w:p>
            <w:pPr>
              <w:spacing w:line="360" w:lineRule="auto"/>
              <w:jc w:val="center"/>
              <w:rPr>
                <w:rFonts w:ascii="宋体" w:hAnsi="宋体"/>
              </w:rPr>
            </w:pPr>
            <w:r>
              <w:rPr>
                <w:rFonts w:hint="eastAsia" w:ascii="宋体" w:hAnsi="宋体"/>
              </w:rPr>
              <w:t>防水和密封</w:t>
            </w:r>
          </w:p>
        </w:tc>
        <w:tc>
          <w:tcPr>
            <w:tcW w:w="6152" w:type="dxa"/>
            <w:shd w:val="clear" w:color="auto" w:fill="auto"/>
          </w:tcPr>
          <w:p>
            <w:pPr>
              <w:spacing w:line="360" w:lineRule="auto"/>
              <w:jc w:val="left"/>
              <w:rPr>
                <w:rFonts w:ascii="宋体" w:hAnsi="宋体"/>
              </w:rPr>
            </w:pPr>
            <w:r>
              <w:rPr>
                <w:rFonts w:hint="eastAsia" w:ascii="宋体" w:hAnsi="宋体"/>
              </w:rPr>
              <w:t>选用耐久性符合现行国家标准《绿色产品评价 防水与密封材料》GB/T 35609 规定的材料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shd w:val="clear" w:color="auto" w:fill="auto"/>
            <w:vAlign w:val="center"/>
          </w:tcPr>
          <w:p>
            <w:pPr>
              <w:spacing w:line="360" w:lineRule="auto"/>
              <w:jc w:val="center"/>
              <w:rPr>
                <w:rFonts w:ascii="宋体" w:hAnsi="宋体"/>
              </w:rPr>
            </w:pPr>
            <w:r>
              <w:rPr>
                <w:rFonts w:hint="eastAsia" w:ascii="宋体" w:hAnsi="宋体"/>
              </w:rPr>
              <w:t>室内装饰装修材料</w:t>
            </w:r>
          </w:p>
        </w:tc>
        <w:tc>
          <w:tcPr>
            <w:tcW w:w="6152" w:type="dxa"/>
            <w:shd w:val="clear" w:color="auto" w:fill="auto"/>
          </w:tcPr>
          <w:p>
            <w:pPr>
              <w:spacing w:line="360" w:lineRule="auto"/>
              <w:jc w:val="left"/>
              <w:rPr>
                <w:rFonts w:ascii="宋体" w:hAnsi="宋体"/>
              </w:rPr>
            </w:pPr>
            <w:r>
              <w:rPr>
                <w:rFonts w:hint="eastAsia" w:ascii="宋体" w:hAnsi="宋体"/>
              </w:rPr>
              <w:t>选用耐洗刷性</w:t>
            </w:r>
            <w:r>
              <w:rPr>
                <w:rFonts w:hint="eastAsia" w:ascii="宋体" w:hAnsi="宋体"/>
                <w:lang w:eastAsia="zh-CN"/>
              </w:rPr>
              <w:t>大于等于</w:t>
            </w:r>
            <w:r>
              <w:rPr>
                <w:rFonts w:hint="eastAsia" w:ascii="宋体" w:hAnsi="宋体"/>
              </w:rPr>
              <w:t>5000次的内墙涂料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shd w:val="clear" w:color="auto" w:fill="auto"/>
          </w:tcPr>
          <w:p>
            <w:pPr>
              <w:spacing w:line="360" w:lineRule="auto"/>
              <w:jc w:val="center"/>
              <w:rPr>
                <w:rFonts w:ascii="宋体" w:hAnsi="宋体"/>
              </w:rPr>
            </w:pPr>
          </w:p>
        </w:tc>
        <w:tc>
          <w:tcPr>
            <w:tcW w:w="6152" w:type="dxa"/>
            <w:shd w:val="clear" w:color="auto" w:fill="auto"/>
          </w:tcPr>
          <w:p>
            <w:pPr>
              <w:spacing w:line="360" w:lineRule="auto"/>
              <w:jc w:val="left"/>
              <w:rPr>
                <w:rFonts w:ascii="宋体" w:hAnsi="宋体"/>
              </w:rPr>
            </w:pPr>
            <w:r>
              <w:rPr>
                <w:rFonts w:hint="eastAsia" w:ascii="宋体" w:hAnsi="宋体"/>
              </w:rPr>
              <w:t>选用耐磨性好的陶瓷地砖（有釉砖耐磨性不低于4级，无釉砖磨坑体积不大于127mm³）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shd w:val="clear" w:color="auto" w:fill="auto"/>
          </w:tcPr>
          <w:p>
            <w:pPr>
              <w:spacing w:line="360" w:lineRule="auto"/>
              <w:jc w:val="center"/>
              <w:rPr>
                <w:rFonts w:ascii="宋体" w:hAnsi="宋体"/>
              </w:rPr>
            </w:pPr>
          </w:p>
        </w:tc>
        <w:tc>
          <w:tcPr>
            <w:tcW w:w="6152" w:type="dxa"/>
            <w:shd w:val="clear" w:color="auto" w:fill="auto"/>
          </w:tcPr>
          <w:p>
            <w:pPr>
              <w:spacing w:line="360" w:lineRule="auto"/>
              <w:jc w:val="left"/>
              <w:rPr>
                <w:rFonts w:ascii="宋体" w:hAnsi="宋体"/>
              </w:rPr>
            </w:pPr>
            <w:r>
              <w:rPr>
                <w:rFonts w:hint="eastAsia" w:ascii="宋体" w:hAnsi="宋体"/>
              </w:rPr>
              <w:t>采用免装饰面层的做法</w:t>
            </w:r>
          </w:p>
        </w:tc>
      </w:tr>
    </w:tbl>
    <w:p>
      <w:pPr>
        <w:adjustRightInd w:val="0"/>
        <w:snapToGrid w:val="0"/>
        <w:spacing w:line="360" w:lineRule="auto"/>
        <w:ind w:firstLine="480" w:firstLineChars="200"/>
        <w:rPr>
          <w:rFonts w:ascii="宋体" w:hAnsi="宋体" w:eastAsia="宋体"/>
          <w:sz w:val="24"/>
          <w:szCs w:val="24"/>
        </w:rPr>
      </w:pPr>
      <w:r>
        <w:rPr>
          <w:rFonts w:hint="eastAsia" w:ascii="宋体" w:hAnsi="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4.2.</w:t>
      </w:r>
      <w:r>
        <w:rPr>
          <w:rFonts w:hint="eastAsia" w:ascii="宋体" w:hAnsi="宋体" w:eastAsia="宋体"/>
          <w:b/>
          <w:sz w:val="24"/>
          <w:szCs w:val="24"/>
        </w:rPr>
        <w:t>8</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  设计内容符合</w:t>
      </w:r>
      <w:r>
        <w:rPr>
          <w:rFonts w:ascii="宋体" w:hAnsi="宋体" w:eastAsia="宋体"/>
          <w:sz w:val="24"/>
          <w:szCs w:val="24"/>
        </w:rPr>
        <w:t>《混凝土结构耐久性设计规范》GB/T 50476</w:t>
      </w:r>
      <w:r>
        <w:rPr>
          <w:rFonts w:hint="eastAsia" w:ascii="宋体" w:hAnsi="宋体" w:eastAsia="宋体"/>
          <w:sz w:val="24"/>
          <w:szCs w:val="24"/>
        </w:rPr>
        <w:t>、《耐候结构钢》</w:t>
      </w:r>
      <w:r>
        <w:rPr>
          <w:rFonts w:ascii="宋体" w:hAnsi="宋体" w:eastAsia="宋体"/>
          <w:sz w:val="24"/>
          <w:szCs w:val="24"/>
        </w:rPr>
        <w:t>GB/T 4171</w:t>
      </w:r>
      <w:r>
        <w:rPr>
          <w:rFonts w:hint="eastAsia" w:ascii="宋体" w:hAnsi="宋体" w:eastAsia="宋体"/>
          <w:sz w:val="24"/>
          <w:szCs w:val="24"/>
        </w:rPr>
        <w:t>及《建筑用钢结构防腐涂料》</w:t>
      </w:r>
      <w:r>
        <w:rPr>
          <w:rFonts w:ascii="宋体" w:hAnsi="宋体" w:eastAsia="宋体"/>
          <w:sz w:val="24"/>
          <w:szCs w:val="24"/>
        </w:rPr>
        <w:t>JG/T 224</w:t>
      </w:r>
      <w:r>
        <w:rPr>
          <w:rFonts w:hint="eastAsia" w:ascii="宋体" w:hAnsi="宋体" w:eastAsia="宋体"/>
          <w:sz w:val="24"/>
          <w:szCs w:val="24"/>
        </w:rPr>
        <w:t>的要求。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   混凝土耐久性设计，提高保护层厚度是指在满足耐久性设计的基础上，加大钢筋保护层厚度不小于5mm；</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高耐久混凝土指满足设计要求下，结合具体应用环境（如硫酸根离子或氯化物等），对抗渗性能、抗硫酸盐侵蚀性能，抗氯离子渗透性能、抗碳化性能及早期抗裂性能等耐久性指标提出合理要求的混凝土。其各项性能的检测与试验应按现行国家标准《普通混凝土长期性能和耐久性能试验方法标准》</w:t>
      </w:r>
      <w:r>
        <w:rPr>
          <w:rFonts w:ascii="宋体" w:hAnsi="宋体" w:eastAsia="宋体"/>
          <w:sz w:val="24"/>
          <w:szCs w:val="24"/>
        </w:rPr>
        <w:t>GB/T 50082</w:t>
      </w:r>
      <w:r>
        <w:rPr>
          <w:rFonts w:hint="eastAsia" w:ascii="宋体" w:hAnsi="宋体" w:eastAsia="宋体"/>
          <w:sz w:val="24"/>
          <w:szCs w:val="24"/>
        </w:rPr>
        <w:t>的规定执行，测试结果应按现行行业标准《混凝土耐久性检验评定标准》</w:t>
      </w:r>
      <w:r>
        <w:rPr>
          <w:rFonts w:ascii="宋体" w:hAnsi="宋体" w:eastAsia="宋体"/>
          <w:sz w:val="24"/>
          <w:szCs w:val="24"/>
        </w:rPr>
        <w:t>JGJ/T 193</w:t>
      </w:r>
      <w:r>
        <w:rPr>
          <w:rFonts w:hint="eastAsia" w:ascii="宋体" w:hAnsi="宋体" w:eastAsia="宋体"/>
          <w:sz w:val="24"/>
          <w:szCs w:val="24"/>
        </w:rPr>
        <w:t>的规定进行性能等级划分。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  耐候结构钢是指符合现行国家标准《耐候结构钢》</w:t>
      </w:r>
      <w:r>
        <w:rPr>
          <w:rFonts w:ascii="宋体" w:hAnsi="宋体" w:eastAsia="宋体"/>
          <w:sz w:val="24"/>
          <w:szCs w:val="24"/>
        </w:rPr>
        <w:t>GB/T 4171</w:t>
      </w:r>
      <w:r>
        <w:rPr>
          <w:rFonts w:hint="eastAsia" w:ascii="宋体" w:hAnsi="宋体" w:eastAsia="宋体"/>
          <w:sz w:val="24"/>
          <w:szCs w:val="24"/>
        </w:rPr>
        <w:t>要求的钢材；耐候型防腐涂料是指符合现行行业标准《建筑用钢结构防腐涂料》</w:t>
      </w:r>
      <w:r>
        <w:rPr>
          <w:rFonts w:ascii="宋体" w:hAnsi="宋体" w:eastAsia="宋体"/>
          <w:sz w:val="24"/>
          <w:szCs w:val="24"/>
        </w:rPr>
        <w:t>JG/T 224</w:t>
      </w:r>
      <w:r>
        <w:rPr>
          <w:rFonts w:hint="eastAsia" w:ascii="宋体" w:hAnsi="宋体" w:eastAsia="宋体"/>
          <w:sz w:val="24"/>
          <w:szCs w:val="24"/>
        </w:rPr>
        <w:t>的</w:t>
      </w:r>
      <w:r>
        <w:rPr>
          <w:rFonts w:ascii="cmsicon" w:hAnsi="cmsicon" w:eastAsia="cmsicon" w:cs="cmsicon"/>
          <w:i w:val="0"/>
          <w:iCs w:val="0"/>
          <w:caps w:val="0"/>
          <w:color w:val="000000"/>
          <w:spacing w:val="0"/>
          <w:sz w:val="21"/>
          <w:szCs w:val="21"/>
          <w:shd w:val="clear" w:fill="FFFFFF"/>
        </w:rPr>
        <w:t>Ⅱ型</w:t>
      </w:r>
      <w:r>
        <w:rPr>
          <w:rFonts w:hint="eastAsia" w:ascii="宋体" w:hAnsi="宋体" w:eastAsia="宋体"/>
          <w:sz w:val="24"/>
          <w:szCs w:val="24"/>
        </w:rPr>
        <w:t>面漆和长效型底漆。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本条的评价方法为：规划设计阶段查阅结构施工图；运营管理阶段查阅竣工图、施工记录、混凝土及钢材检测记录等文件。</w:t>
      </w:r>
    </w:p>
    <w:p>
      <w:pPr>
        <w:adjustRightInd w:val="0"/>
        <w:snapToGrid w:val="0"/>
        <w:spacing w:line="360" w:lineRule="auto"/>
        <w:rPr>
          <w:rFonts w:ascii="宋体" w:hAnsi="宋体" w:eastAsia="宋体"/>
          <w:sz w:val="24"/>
          <w:szCs w:val="24"/>
        </w:rPr>
      </w:pPr>
      <w:r>
        <w:rPr>
          <w:rFonts w:ascii="宋体" w:hAnsi="宋体" w:eastAsia="宋体"/>
          <w:b/>
          <w:sz w:val="24"/>
          <w:szCs w:val="24"/>
        </w:rPr>
        <w:t>4.2.</w:t>
      </w:r>
      <w:r>
        <w:rPr>
          <w:rFonts w:hint="eastAsia" w:ascii="宋体" w:hAnsi="宋体" w:eastAsia="宋体"/>
          <w:b/>
          <w:sz w:val="24"/>
          <w:szCs w:val="24"/>
        </w:rPr>
        <w:t xml:space="preserve">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据统计，截至2017年底，全国获得绿色建筑评价所有通风、空气调节系统的管道、设备等设置有明确、清晰的永久性标识的项目累计超过1万个，建筑面积超过10亿m2，但目前绿色建筑运行标识项目还相对较少，占标识项目总量的比例为7％左右，而且随着近几年绿色建筑施工图设计文件审查工作的普遍开展，绿色建筑运行标识项目所占的比例则更低。为改善所有通风、空气调节系统的管道、设备等明确、清晰的永久性标识的设置情况，因此设置了此条文。</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宋体" w:hAnsi="宋体" w:eastAsia="宋体"/>
          <w:b/>
          <w:sz w:val="24"/>
          <w:szCs w:val="24"/>
        </w:rPr>
        <w:t xml:space="preserve">4.2.10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结合地铁工程的建设特点及运行现状，建议水系统需保温的管道保温材料采用导热系数小、吸水率小、不燃烧的材料，比如泡沫玻璃等，风系统的保温风管建议采用复合风管。</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spacing w:line="360" w:lineRule="auto"/>
        <w:jc w:val="left"/>
        <w:rPr>
          <w:rFonts w:ascii="宋体" w:hAnsi="宋体" w:eastAsia="宋体"/>
          <w:sz w:val="24"/>
          <w:szCs w:val="24"/>
        </w:rPr>
      </w:pPr>
      <w:r>
        <w:rPr>
          <w:rFonts w:ascii="宋体" w:hAnsi="宋体" w:eastAsia="宋体"/>
          <w:b/>
          <w:sz w:val="24"/>
          <w:szCs w:val="24"/>
        </w:rPr>
        <w:t>4.2.1</w:t>
      </w:r>
      <w:r>
        <w:rPr>
          <w:rFonts w:hint="eastAsia" w:ascii="宋体" w:hAnsi="宋体" w:eastAsia="宋体"/>
          <w:b/>
          <w:sz w:val="24"/>
          <w:szCs w:val="24"/>
        </w:rPr>
        <w:t xml:space="preserve">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通风、空气调节的主要设备包括冷水机组、水泵、冷却塔、风机、空调器、多联机等，主要运行设备运行参数的采集和分析功能，具体为设备的开关状态、运行频率、运行参数等，不正常运行状态和故障状态的预警功能需要在设备运行参数的采集和分析的基础上实现。</w:t>
      </w:r>
    </w:p>
    <w:p>
      <w:pPr>
        <w:spacing w:line="360" w:lineRule="auto"/>
        <w:ind w:firstLine="420"/>
        <w:jc w:val="left"/>
        <w:rPr>
          <w:rFonts w:ascii="宋体" w:hAnsi="宋体" w:eastAsia="宋体"/>
          <w:sz w:val="24"/>
          <w:szCs w:val="24"/>
        </w:rPr>
      </w:pPr>
      <w:r>
        <w:rPr>
          <w:rFonts w:hint="eastAsia" w:ascii="宋体" w:hAnsi="宋体" w:eastAsia="宋体"/>
          <w:sz w:val="24"/>
          <w:szCs w:val="24"/>
        </w:rPr>
        <w:t>环境空气质量自动监测功能，通过车站设置的监测传感器实现PM2.5、PM10、CO</w:t>
      </w:r>
      <w:r>
        <w:rPr>
          <w:rFonts w:hint="eastAsia" w:ascii="宋体" w:hAnsi="宋体"/>
          <w:sz w:val="24"/>
          <w:szCs w:val="24"/>
          <w:vertAlign w:val="subscript"/>
        </w:rPr>
        <w:t>2</w:t>
      </w:r>
      <w:r>
        <w:rPr>
          <w:rFonts w:hint="eastAsia" w:ascii="宋体" w:hAnsi="宋体" w:eastAsia="宋体"/>
          <w:sz w:val="24"/>
          <w:szCs w:val="24"/>
        </w:rPr>
        <w:t>浓度监测，并采用逻辑判断实现超标预警功能。</w:t>
      </w:r>
    </w:p>
    <w:p>
      <w:pPr>
        <w:spacing w:line="360" w:lineRule="auto"/>
        <w:ind w:firstLine="420"/>
        <w:jc w:val="left"/>
        <w:rPr>
          <w:rFonts w:ascii="宋体" w:hAnsi="宋体" w:eastAsia="宋体"/>
          <w:sz w:val="24"/>
          <w:szCs w:val="24"/>
        </w:rPr>
      </w:pPr>
      <w:r>
        <w:rPr>
          <w:rFonts w:hint="eastAsia" w:ascii="宋体" w:hAnsi="宋体" w:eastAsia="宋体"/>
          <w:sz w:val="24"/>
          <w:szCs w:val="24"/>
        </w:rPr>
        <w:t>通风空调系统的自动运行保护功能包括冷冻水低流量保护功能、冷冻水低温保护功能、冷冻水低压差保护功能、冷冻水高压差保护功能、冷却水出水高温保护功能、冷却水进水低温保护功能、风系统报警及保护功能等。</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ascii="宋体" w:hAnsi="宋体" w:eastAsia="宋体"/>
          <w:b/>
          <w:sz w:val="24"/>
          <w:szCs w:val="24"/>
        </w:rPr>
        <w:t>4.2.</w:t>
      </w:r>
      <w:r>
        <w:rPr>
          <w:rFonts w:hint="eastAsia" w:ascii="宋体" w:hAnsi="宋体" w:eastAsia="宋体"/>
          <w:b/>
          <w:sz w:val="24"/>
          <w:szCs w:val="24"/>
        </w:rPr>
        <w:t xml:space="preserve">12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轨道交通给水排水管线繁多，对给排水管道和设备设置明确、清晰的永久标识，可最大限度避免在施工或日常维护、维修时发生误接的情况，造成误饮误用，给用户带来健康隐患。</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目前建筑行业有关部门仅对管道标记的颜色进行了规定，尚未制定统一的民用建筑、市政（包括轨道交通）管道标识标准图集，轨道交通内给排水管道及设备的标识设置可参考现行国家标准《工业管道的基本识别色、识别符号和安全标识》</w:t>
      </w:r>
      <w:r>
        <w:rPr>
          <w:rFonts w:ascii="宋体" w:hAnsi="宋体" w:eastAsia="宋体"/>
          <w:sz w:val="24"/>
          <w:szCs w:val="24"/>
        </w:rPr>
        <w:t xml:space="preserve"> GB 7231 </w:t>
      </w:r>
      <w:r>
        <w:rPr>
          <w:rFonts w:hint="eastAsia" w:ascii="宋体" w:hAnsi="宋体" w:eastAsia="宋体"/>
          <w:sz w:val="24"/>
          <w:szCs w:val="24"/>
        </w:rPr>
        <w:t>、《建筑给水排水及采暖工程施工质量验收规范》</w:t>
      </w:r>
      <w:r>
        <w:rPr>
          <w:rFonts w:ascii="宋体" w:hAnsi="宋体" w:eastAsia="宋体"/>
          <w:sz w:val="24"/>
          <w:szCs w:val="24"/>
        </w:rPr>
        <w:t xml:space="preserve"> GB 50242 </w:t>
      </w:r>
      <w:r>
        <w:rPr>
          <w:rFonts w:hint="eastAsia" w:ascii="宋体" w:hAnsi="宋体" w:eastAsia="宋体"/>
          <w:sz w:val="24"/>
          <w:szCs w:val="24"/>
        </w:rPr>
        <w:t>中的相关规定。</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本条的评价方法为：设计阶段查阅相关设计文件、标识设置说明；运行阶段查阅相关竣工图、标识设置说明，管理制度、工作记录，并现场核实。</w:t>
      </w:r>
    </w:p>
    <w:p>
      <w:pPr>
        <w:spacing w:line="360" w:lineRule="auto"/>
        <w:jc w:val="left"/>
        <w:rPr>
          <w:rFonts w:ascii="宋体" w:hAnsi="宋体" w:eastAsia="宋体"/>
          <w:sz w:val="24"/>
          <w:szCs w:val="24"/>
        </w:rPr>
      </w:pPr>
      <w:r>
        <w:rPr>
          <w:rFonts w:hint="eastAsia" w:ascii="仿宋" w:hAnsi="仿宋" w:eastAsia="仿宋"/>
          <w:b/>
          <w:sz w:val="24"/>
          <w:szCs w:val="24"/>
        </w:rPr>
        <w:t xml:space="preserve">4.2.13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了保障电力监控系统的安全、防范黑客及恶意代码等对轨道交通电力监控系统的攻击及侵害，由此造成电力设备事故或电力安全事故，提出相关安全防护要求。电力监控系统的建设应符合国家信息安全等级的相关要求，并以通过公安部门认可的第三方测评机构的验收测评作为开通的专项验收标准。</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本条的评价方法为：规划设计阶段评价查阅相关设计文件（设计说明、招标文件）；运营管理阶段评价查阅设备验收记录。</w:t>
      </w:r>
    </w:p>
    <w:p>
      <w:pPr>
        <w:spacing w:line="360" w:lineRule="auto"/>
        <w:jc w:val="left"/>
        <w:rPr>
          <w:rFonts w:ascii="宋体" w:hAnsi="宋体" w:eastAsia="宋体"/>
          <w:sz w:val="24"/>
          <w:szCs w:val="24"/>
        </w:rPr>
      </w:pPr>
      <w:r>
        <w:rPr>
          <w:rFonts w:hint="eastAsia" w:ascii="仿宋" w:hAnsi="仿宋" w:eastAsia="仿宋"/>
          <w:b/>
          <w:sz w:val="24"/>
          <w:szCs w:val="24"/>
        </w:rPr>
        <w:t xml:space="preserve">4.2.14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系统整体的安全管理功能可提高系统操作、维护的安全性、规范性、可靠性。</w:t>
      </w:r>
    </w:p>
    <w:p>
      <w:pPr>
        <w:spacing w:line="360" w:lineRule="auto"/>
        <w:ind w:firstLine="480" w:firstLineChars="200"/>
        <w:jc w:val="left"/>
        <w:rPr>
          <w:rFonts w:ascii="仿宋" w:hAnsi="仿宋" w:eastAsia="仿宋"/>
          <w:b/>
          <w:sz w:val="24"/>
          <w:szCs w:val="24"/>
        </w:rPr>
      </w:pPr>
      <w:r>
        <w:rPr>
          <w:rFonts w:hint="eastAsia" w:ascii="宋体" w:hAnsi="宋体" w:eastAsia="宋体"/>
          <w:sz w:val="24"/>
          <w:szCs w:val="24"/>
        </w:rPr>
        <w:t>本条的评价方法为：规划设计阶段评价查阅相关设计文件（设计说明、施工图设计图纸）；运营管理阶段评价查阅验收记录。</w:t>
      </w:r>
    </w:p>
    <w:p>
      <w:pPr>
        <w:spacing w:line="360" w:lineRule="auto"/>
        <w:jc w:val="left"/>
        <w:rPr>
          <w:rFonts w:ascii="宋体" w:hAnsi="宋体" w:eastAsia="宋体"/>
          <w:sz w:val="24"/>
          <w:szCs w:val="24"/>
        </w:rPr>
      </w:pPr>
      <w:r>
        <w:rPr>
          <w:rFonts w:hint="eastAsia" w:ascii="仿宋" w:hAnsi="仿宋" w:eastAsia="仿宋"/>
          <w:b/>
          <w:sz w:val="24"/>
          <w:szCs w:val="24"/>
        </w:rPr>
        <w:t xml:space="preserve">4.2.15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为防止地下线路的电线、电缆燃烧危及系统正常工作及进一步扩大灾害，以及燃烧时产生的有害气体危害人身健康，电线电缆应采用低烟、无卤、低毒、阻燃的材料。</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GB 31247《电缆及光缆燃烧性能分级》中对电缆及光缆的燃烧性能提出了量化及细化的分级技术指标，使防火安全要求更加科学合理，B1级以上的电线、电缆、光缆可将地下工程产生的火灾危害降至更低。</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本条的评价方法为：规划设计阶段评价查阅相关设计文件（各机电专业设计说明、施工图设计图纸）；运营管理阶段评价查阅验收记录。</w:t>
      </w:r>
    </w:p>
    <w:p>
      <w:pPr>
        <w:spacing w:line="360" w:lineRule="auto"/>
        <w:jc w:val="left"/>
        <w:rPr>
          <w:rFonts w:ascii="宋体" w:hAnsi="宋体" w:eastAsia="宋体"/>
          <w:sz w:val="24"/>
          <w:szCs w:val="24"/>
        </w:rPr>
      </w:pPr>
      <w:r>
        <w:rPr>
          <w:rFonts w:hint="eastAsia" w:ascii="仿宋" w:hAnsi="仿宋" w:eastAsia="仿宋"/>
          <w:b/>
          <w:sz w:val="24"/>
          <w:szCs w:val="24"/>
        </w:rPr>
        <w:t xml:space="preserve">4.2.16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供电系统的智能运维可提高系统运行可靠性、安全性和运维效率，是系统智慧化的表现之一。</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本条第1款针对变电所内变电设备的参数及状态监测。</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本条第2款针对接触网（轨）及受电弓/（集电靴）的状态、特征监测。</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本条第3款针对变电所内的远方综合智能巡检要求。</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本条的评价方法为：规划设计阶段评价查阅相关设计文件（设计说明、施工图设计图纸）；运营管理阶段评价查阅验收记录，并现场核实。</w:t>
      </w:r>
    </w:p>
    <w:p>
      <w:pPr>
        <w:spacing w:line="360" w:lineRule="auto"/>
        <w:jc w:val="left"/>
        <w:rPr>
          <w:rFonts w:ascii="宋体" w:hAnsi="宋体" w:eastAsia="宋体"/>
          <w:sz w:val="24"/>
          <w:szCs w:val="24"/>
        </w:rPr>
      </w:pPr>
      <w:r>
        <w:rPr>
          <w:rFonts w:hint="eastAsia" w:ascii="仿宋" w:hAnsi="仿宋" w:eastAsia="仿宋"/>
          <w:b/>
          <w:sz w:val="24"/>
          <w:szCs w:val="24"/>
        </w:rPr>
        <w:t xml:space="preserve">4.2.17  </w:t>
      </w:r>
      <w:r>
        <w:rPr>
          <w:rFonts w:hint="eastAsia" w:ascii="宋体" w:hAnsi="宋体" w:eastAsia="宋体"/>
          <w:sz w:val="24"/>
          <w:szCs w:val="24"/>
        </w:rPr>
        <w:t>本条适用于绿色轨道交通直流牵引供电系统的规划设计阶段和运营管理阶段评价。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在金属结构钢筋混凝土或金属结构中（如整体道床、隧道或高架桥），应考虑杂散电流对其影响。</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本条第1款，对直流牵引供电系统提出了较基础的杂散电流防护设计建议。</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本条第2款，强调走行轨对地采取加强绝缘防护措施，减少或避免牵引回流在非设定的电路中进行返回，造成对金属结构的杂散电流腐蚀；在《地铁杂散电流腐蚀防护技术标准》（CJJ/T 49）中，认为如果在运输高峰期间金属结构对地的偏移电位平均值不超过200mV，对非阴极防护区的结构不需要采取特别的措施。</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本条第3款，从根本上解决直流牵引供电系统的杂散电流问题。</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4.2.18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仿宋" w:hAnsi="仿宋" w:eastAsia="仿宋"/>
          <w:b/>
          <w:sz w:val="24"/>
          <w:szCs w:val="24"/>
        </w:rPr>
      </w:pPr>
      <w:r>
        <w:rPr>
          <w:rFonts w:hint="eastAsia" w:ascii="宋体" w:hAnsi="宋体" w:eastAsia="宋体"/>
          <w:sz w:val="24"/>
          <w:szCs w:val="24"/>
        </w:rPr>
        <w:t>本条的评价方法为：规划设计阶段评价查阅相关设计文件（设计说明、施工图设计图纸）；运营管理阶段评价查阅验收记录，现场测试记录。</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4.2.19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由于需要及时发现、及时处置列车事故，且在线运行的列车数量众多，因此通过智能化视频监控系统对车载视频进行实时分析、实时报警是十分有必要的。</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4.2.20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通过智能视频监控系统可以及时发现问题，减少值班人员的工作压力。</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4.2.21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采用智能图像识别技术实现对检查对象的预检，可以</w:t>
      </w:r>
      <w:r>
        <w:rPr>
          <w:rFonts w:hint="eastAsia" w:ascii="宋体" w:hAnsi="宋体" w:eastAsia="宋体"/>
          <w:sz w:val="24"/>
          <w:szCs w:val="24"/>
        </w:rPr>
        <w:t>提高安检工作效率，降低劳动强度。通过线网集中判图，可以实现判图员统筹，均衡判图工作量，从而节约人力成本。</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4.2.22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信号系统设备故障将直接导致运营中断甚至危及行车安全，应利用大数据分析及人工智能技术，建立设备设施可靠性趋势预测模型，对故障的发生进行预判，变事后维修、定期维修为视情维修、预防性维修。</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采购合同；运营管理阶段评价查阅相关竣工图</w:t>
      </w:r>
      <w:r>
        <w:rPr>
          <w:rFonts w:hint="eastAsia" w:ascii="宋体" w:hAnsi="宋体" w:eastAsia="宋体"/>
          <w:sz w:val="24"/>
          <w:szCs w:val="24"/>
        </w:rPr>
        <w:t>、</w:t>
      </w:r>
      <w:r>
        <w:rPr>
          <w:rFonts w:ascii="宋体" w:hAnsi="宋体" w:eastAsia="宋体"/>
          <w:sz w:val="24"/>
          <w:szCs w:val="24"/>
        </w:rPr>
        <w:t>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4.2.23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站台门的安全耐久与其材料设备选型直接相关，本条款主要对站台门材料选型提出要求，承重结构主要指立柱、门槛基材、门楣等主要承受荷载的部件。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本条的评价方法为：规划设计阶段评价查阅相关设计文件、采购合同；运营管理阶段现场勘查，检查运营记录。</w:t>
      </w:r>
    </w:p>
    <w:p>
      <w:pPr>
        <w:adjustRightInd w:val="0"/>
        <w:snapToGrid w:val="0"/>
        <w:spacing w:line="360" w:lineRule="auto"/>
        <w:rPr>
          <w:rFonts w:ascii="宋体" w:hAnsi="宋体" w:eastAsia="宋体"/>
          <w:sz w:val="24"/>
          <w:szCs w:val="24"/>
        </w:rPr>
      </w:pPr>
      <w:r>
        <w:rPr>
          <w:rFonts w:ascii="仿宋" w:hAnsi="仿宋" w:eastAsia="仿宋"/>
          <w:b/>
          <w:sz w:val="24"/>
          <w:szCs w:val="24"/>
        </w:rPr>
        <w:t>4.2.</w:t>
      </w:r>
      <w:r>
        <w:rPr>
          <w:rFonts w:hint="eastAsia" w:ascii="仿宋" w:hAnsi="仿宋" w:eastAsia="仿宋"/>
          <w:b/>
          <w:sz w:val="24"/>
          <w:szCs w:val="24"/>
        </w:rPr>
        <w:t xml:space="preserve">24  </w:t>
      </w:r>
      <w:r>
        <w:rPr>
          <w:rFonts w:hint="eastAsia" w:ascii="宋体" w:hAnsi="宋体" w:eastAsia="宋体"/>
          <w:sz w:val="24"/>
          <w:szCs w:val="24"/>
        </w:rPr>
        <w:t>本条适用于绿色轨道交通的规划设计阶段和运营管理阶段评价。根据国内运营数据，全高非封闭式站台门相比半高站台门故障率可大大降低，可靠性高，而且有利于提高乘客安全性，</w:t>
      </w:r>
      <w:r>
        <w:rPr>
          <w:rFonts w:ascii="宋体" w:hAnsi="宋体" w:eastAsia="宋体"/>
          <w:sz w:val="24"/>
          <w:szCs w:val="24"/>
        </w:rPr>
        <w:t>高架或地面车站采用全高封闭式站台门是一种新的选型思路</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仿宋" w:hAnsi="仿宋" w:eastAsia="仿宋"/>
          <w:b/>
          <w:sz w:val="24"/>
          <w:szCs w:val="24"/>
        </w:rPr>
        <w:t>4.2.</w:t>
      </w:r>
      <w:r>
        <w:rPr>
          <w:rFonts w:hint="eastAsia" w:ascii="仿宋" w:hAnsi="仿宋" w:eastAsia="仿宋"/>
          <w:b/>
          <w:sz w:val="24"/>
          <w:szCs w:val="24"/>
        </w:rPr>
        <w:t xml:space="preserve">25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对自动扶梯桁架挠度和防腐提出要求，有利于确保安全，甚至延长寿命。</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adjustRightInd w:val="0"/>
        <w:snapToGrid w:val="0"/>
        <w:spacing w:line="360" w:lineRule="auto"/>
        <w:rPr>
          <w:rFonts w:ascii="宋体" w:hAnsi="宋体" w:eastAsia="宋体"/>
          <w:sz w:val="24"/>
          <w:szCs w:val="24"/>
        </w:rPr>
      </w:pPr>
      <w:r>
        <w:rPr>
          <w:rFonts w:ascii="仿宋" w:hAnsi="仿宋" w:eastAsia="仿宋"/>
          <w:b/>
          <w:sz w:val="24"/>
          <w:szCs w:val="24"/>
        </w:rPr>
        <w:t>4.2.</w:t>
      </w:r>
      <w:r>
        <w:rPr>
          <w:rFonts w:hint="eastAsia" w:ascii="仿宋" w:hAnsi="仿宋" w:eastAsia="仿宋"/>
          <w:b/>
          <w:sz w:val="24"/>
          <w:szCs w:val="24"/>
        </w:rPr>
        <w:t xml:space="preserve">26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对自动扶梯主机提出要求，有利于确保安全，甚至延长寿命。</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4.2.27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对自动扶梯主要部件进行监测、预警，以便了解扶梯状态，提前、准确发现设备潜在故障，提高设备安全性，减少运行风险。</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4.2.28  </w:t>
      </w:r>
      <w:r>
        <w:rPr>
          <w:rFonts w:hint="eastAsia" w:ascii="宋体" w:hAnsi="宋体" w:eastAsia="宋体"/>
          <w:sz w:val="24"/>
          <w:szCs w:val="24"/>
        </w:rPr>
        <w:t>本条适用于绿色轨道交通的各类建筑设计阶段和运营管理阶段评价。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外墙饰面、外墙粉刷、保温层及外窗等掉落伤人的现象在国内各个城市都有发生，在建筑间距和通路设计时，除了考虑消防、采光、通风、日照间距等，还需要考虑采取避免坠物伤人的措施。因此，要求建筑物出入口均设外墙饰面、门窗玻璃意外脱落的防护措施，并与人员通行区域的遮阳、遮风或挡雨措施结合，同时采取建立护栏、缓冲区、隔离带等安全措施，消除安全隐患。</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本条的评价方法为：建筑设计阶段评价查阅相关设计文件；运营管理阶段评价查阅相关竣工图，并现场核实。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4.2.29  </w:t>
      </w:r>
      <w:r>
        <w:rPr>
          <w:rFonts w:hint="eastAsia" w:ascii="宋体" w:hAnsi="宋体" w:eastAsia="宋体"/>
          <w:sz w:val="24"/>
          <w:szCs w:val="24"/>
        </w:rPr>
        <w:t>本条适用于绿色轨道交通的各类建筑设计阶段和运营管理阶段评价。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第1款，所述包括分隔建筑室内外的玻璃门窗、幕墙、防护栏杆等采取安全玻璃，室内玻璃隔断、玻璃护栏等采用夹胶钢化玻璃以防止自爆上人。</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第2款，对于人流量大，门窗开合频繁的位置，可采用可调力度的闭门器或具有缓冲功能的延时闭门器等措施，防止夹人伤人事故的发生。</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本条的评价方法为：建筑设计阶段评价查阅相关设计文件；运营管理阶段评价查阅相关竣工图、安全玻璃及门窗检测检验报告，并现场核实。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4.2.30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车辆检修智能运维系统能有效</w:t>
      </w:r>
      <w:r>
        <w:rPr>
          <w:rFonts w:hint="eastAsia" w:ascii="宋体" w:hAnsi="宋体" w:eastAsia="宋体"/>
          <w:sz w:val="24"/>
          <w:szCs w:val="24"/>
          <w:lang w:val="en-US" w:eastAsia="zh-CN"/>
        </w:rPr>
        <w:t>地</w:t>
      </w:r>
      <w:r>
        <w:rPr>
          <w:rFonts w:ascii="宋体" w:hAnsi="宋体" w:eastAsia="宋体"/>
          <w:sz w:val="24"/>
          <w:szCs w:val="24"/>
        </w:rPr>
        <w:t>提高检修效率，并增加车辆的安全性、可靠性。</w:t>
      </w:r>
    </w:p>
    <w:p>
      <w:pPr>
        <w:adjustRightInd w:val="0"/>
        <w:snapToGrid w:val="0"/>
        <w:spacing w:line="360" w:lineRule="auto"/>
        <w:ind w:firstLine="480" w:firstLineChars="200"/>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sz w:val="24"/>
          <w:szCs w:val="24"/>
        </w:rPr>
        <w:t>本条的评价方法为：规划设计阶段评价查阅相关设计文件；运营管理阶段评查阅智能运维系统的记录及其他证明文件。</w:t>
      </w:r>
    </w:p>
    <w:p>
      <w:pPr>
        <w:adjustRightInd w:val="0"/>
        <w:snapToGrid w:val="0"/>
        <w:spacing w:line="360" w:lineRule="auto"/>
        <w:rPr>
          <w:rFonts w:ascii="宋体" w:hAnsi="宋体" w:eastAsia="宋体"/>
          <w:sz w:val="24"/>
          <w:szCs w:val="24"/>
        </w:rPr>
      </w:pPr>
    </w:p>
    <w:p>
      <w:pPr>
        <w:pStyle w:val="2"/>
        <w:spacing w:before="624" w:after="624"/>
      </w:pPr>
      <w:bookmarkStart w:id="100" w:name="_Toc60822257"/>
      <w:bookmarkStart w:id="101" w:name="_Toc77584252"/>
      <w:bookmarkStart w:id="102" w:name="_Toc60822432"/>
      <w:bookmarkStart w:id="103" w:name="_Toc60819559"/>
      <w:r>
        <w:t>5</w:t>
      </w:r>
      <w:r>
        <w:rPr>
          <w:rFonts w:hint="eastAsia"/>
        </w:rPr>
        <w:t xml:space="preserve">  </w:t>
      </w:r>
      <w:r>
        <w:t>便捷高效</w:t>
      </w:r>
      <w:bookmarkEnd w:id="100"/>
      <w:bookmarkEnd w:id="101"/>
      <w:bookmarkEnd w:id="102"/>
      <w:bookmarkEnd w:id="103"/>
    </w:p>
    <w:p>
      <w:pPr>
        <w:pStyle w:val="3"/>
        <w:spacing w:before="468" w:after="468"/>
      </w:pPr>
      <w:bookmarkStart w:id="104" w:name="_Toc60822258"/>
      <w:bookmarkStart w:id="105" w:name="_Toc77584253"/>
      <w:bookmarkStart w:id="106" w:name="_Toc60819560"/>
      <w:bookmarkStart w:id="107" w:name="_Toc60822433"/>
      <w:r>
        <w:t>5.1</w:t>
      </w:r>
      <w:r>
        <w:rPr>
          <w:rFonts w:hint="eastAsia"/>
        </w:rPr>
        <w:t xml:space="preserve">  </w:t>
      </w:r>
      <w:r>
        <w:t>控制项</w:t>
      </w:r>
      <w:bookmarkEnd w:id="104"/>
      <w:bookmarkEnd w:id="105"/>
      <w:bookmarkEnd w:id="106"/>
      <w:bookmarkEnd w:id="107"/>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5.1.1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设计阶段评价查阅相关设计文件等相关资料</w:t>
      </w:r>
      <w:r>
        <w:rPr>
          <w:rFonts w:hint="eastAsia" w:ascii="宋体" w:hAnsi="宋体" w:eastAsia="宋体"/>
          <w:sz w:val="24"/>
          <w:szCs w:val="24"/>
        </w:rPr>
        <w:t>；运营管理阶段评价查阅行车及客流</w:t>
      </w:r>
      <w:r>
        <w:rPr>
          <w:rFonts w:ascii="宋体" w:hAnsi="宋体" w:eastAsia="宋体"/>
          <w:sz w:val="24"/>
          <w:szCs w:val="24"/>
        </w:rPr>
        <w:t>等相关资料</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5.1.2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设计阶段评价查阅相关设计文件等相关资料</w:t>
      </w:r>
      <w:r>
        <w:rPr>
          <w:rFonts w:hint="eastAsia" w:ascii="宋体" w:hAnsi="宋体" w:eastAsia="宋体"/>
          <w:sz w:val="24"/>
          <w:szCs w:val="24"/>
        </w:rPr>
        <w:t>；运营管理阶段评价查阅行车及客流</w:t>
      </w:r>
      <w:r>
        <w:rPr>
          <w:rFonts w:ascii="宋体" w:hAnsi="宋体" w:eastAsia="宋体"/>
          <w:sz w:val="24"/>
          <w:szCs w:val="24"/>
        </w:rPr>
        <w:t>等相关资料</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5.1.3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设计阶段评价查阅相关设计文件等相关资料</w:t>
      </w:r>
      <w:r>
        <w:rPr>
          <w:rFonts w:hint="eastAsia" w:ascii="宋体" w:hAnsi="宋体" w:eastAsia="宋体"/>
          <w:sz w:val="24"/>
          <w:szCs w:val="24"/>
        </w:rPr>
        <w:t>；运营管理阶段评价查阅行车及客流</w:t>
      </w:r>
      <w:r>
        <w:rPr>
          <w:rFonts w:ascii="宋体" w:hAnsi="宋体" w:eastAsia="宋体"/>
          <w:sz w:val="24"/>
          <w:szCs w:val="24"/>
        </w:rPr>
        <w:t>等相关资料</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5.1.4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设计阶段评价查阅相关设计文件等相关资料</w:t>
      </w:r>
      <w:r>
        <w:rPr>
          <w:rFonts w:hint="eastAsia" w:ascii="宋体" w:hAnsi="宋体" w:eastAsia="宋体"/>
          <w:sz w:val="24"/>
          <w:szCs w:val="24"/>
        </w:rPr>
        <w:t>；运营管理阶段评价查阅运营记录</w:t>
      </w:r>
      <w:r>
        <w:rPr>
          <w:rFonts w:ascii="宋体" w:hAnsi="宋体" w:eastAsia="宋体"/>
          <w:sz w:val="24"/>
          <w:szCs w:val="24"/>
        </w:rPr>
        <w:t>等相关资料</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5.1.5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w:t>
      </w:r>
      <w:r>
        <w:rPr>
          <w:rFonts w:hint="eastAsia" w:ascii="宋体" w:hAnsi="宋体" w:eastAsia="宋体"/>
          <w:sz w:val="24"/>
          <w:szCs w:val="24"/>
        </w:rPr>
        <w:t>、</w:t>
      </w:r>
      <w:r>
        <w:rPr>
          <w:rFonts w:ascii="宋体" w:hAnsi="宋体" w:eastAsia="宋体"/>
          <w:sz w:val="24"/>
          <w:szCs w:val="24"/>
        </w:rPr>
        <w:t>城市规划</w:t>
      </w:r>
      <w:r>
        <w:rPr>
          <w:rFonts w:hint="eastAsia" w:ascii="宋体" w:hAnsi="宋体" w:eastAsia="宋体"/>
          <w:sz w:val="24"/>
          <w:szCs w:val="24"/>
        </w:rPr>
        <w:t>、</w:t>
      </w:r>
      <w:r>
        <w:rPr>
          <w:rFonts w:ascii="宋体" w:hAnsi="宋体" w:eastAsia="宋体"/>
          <w:sz w:val="24"/>
          <w:szCs w:val="24"/>
        </w:rPr>
        <w:t>综合交通规划</w:t>
      </w:r>
      <w:r>
        <w:rPr>
          <w:rFonts w:hint="eastAsia" w:ascii="宋体" w:hAnsi="宋体" w:eastAsia="宋体"/>
          <w:sz w:val="24"/>
          <w:szCs w:val="24"/>
        </w:rPr>
        <w:t>、</w:t>
      </w:r>
      <w:r>
        <w:rPr>
          <w:rFonts w:ascii="宋体" w:hAnsi="宋体" w:eastAsia="宋体"/>
          <w:sz w:val="24"/>
          <w:szCs w:val="24"/>
        </w:rPr>
        <w:t>风景名胜区</w:t>
      </w:r>
      <w:r>
        <w:rPr>
          <w:rFonts w:hint="eastAsia" w:ascii="宋体" w:hAnsi="宋体" w:eastAsia="宋体"/>
          <w:sz w:val="24"/>
          <w:szCs w:val="24"/>
        </w:rPr>
        <w:t>、</w:t>
      </w:r>
      <w:r>
        <w:rPr>
          <w:rFonts w:ascii="宋体" w:hAnsi="宋体" w:eastAsia="宋体"/>
          <w:sz w:val="24"/>
          <w:szCs w:val="24"/>
        </w:rPr>
        <w:t>文物保护等相关资料</w:t>
      </w:r>
      <w:r>
        <w:rPr>
          <w:rFonts w:hint="eastAsia" w:ascii="宋体" w:hAnsi="宋体" w:eastAsia="宋体"/>
          <w:sz w:val="24"/>
          <w:szCs w:val="24"/>
        </w:rPr>
        <w:t>；运营管理阶段评价查阅相关竣工图、</w:t>
      </w:r>
      <w:r>
        <w:rPr>
          <w:rFonts w:ascii="宋体" w:hAnsi="宋体" w:eastAsia="宋体"/>
          <w:sz w:val="24"/>
          <w:szCs w:val="24"/>
        </w:rPr>
        <w:t>城市规划</w:t>
      </w:r>
      <w:r>
        <w:rPr>
          <w:rFonts w:hint="eastAsia" w:ascii="宋体" w:hAnsi="宋体" w:eastAsia="宋体"/>
          <w:sz w:val="24"/>
          <w:szCs w:val="24"/>
        </w:rPr>
        <w:t>、</w:t>
      </w:r>
      <w:r>
        <w:rPr>
          <w:rFonts w:ascii="宋体" w:hAnsi="宋体" w:eastAsia="宋体"/>
          <w:sz w:val="24"/>
          <w:szCs w:val="24"/>
        </w:rPr>
        <w:t>综合交通规划</w:t>
      </w:r>
      <w:r>
        <w:rPr>
          <w:rFonts w:hint="eastAsia" w:ascii="宋体" w:hAnsi="宋体" w:eastAsia="宋体"/>
          <w:sz w:val="24"/>
          <w:szCs w:val="24"/>
        </w:rPr>
        <w:t>、</w:t>
      </w:r>
      <w:r>
        <w:rPr>
          <w:rFonts w:ascii="宋体" w:hAnsi="宋体" w:eastAsia="宋体"/>
          <w:sz w:val="24"/>
          <w:szCs w:val="24"/>
        </w:rPr>
        <w:t>风景名胜区</w:t>
      </w:r>
      <w:r>
        <w:rPr>
          <w:rFonts w:hint="eastAsia" w:ascii="宋体" w:hAnsi="宋体" w:eastAsia="宋体"/>
          <w:sz w:val="24"/>
          <w:szCs w:val="24"/>
        </w:rPr>
        <w:t>、</w:t>
      </w:r>
      <w:r>
        <w:rPr>
          <w:rFonts w:ascii="宋体" w:hAnsi="宋体" w:eastAsia="宋体"/>
          <w:sz w:val="24"/>
          <w:szCs w:val="24"/>
        </w:rPr>
        <w:t>文物保护等相关资料</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5.1.6  </w:t>
      </w:r>
      <w:r>
        <w:rPr>
          <w:rFonts w:hint="eastAsia" w:ascii="宋体" w:hAnsi="宋体" w:eastAsia="宋体"/>
          <w:sz w:val="24"/>
          <w:szCs w:val="24"/>
        </w:rPr>
        <w:t>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w:t>
      </w:r>
      <w:r>
        <w:rPr>
          <w:rFonts w:hint="eastAsia" w:ascii="宋体" w:hAnsi="宋体" w:eastAsia="宋体"/>
          <w:sz w:val="24"/>
          <w:szCs w:val="24"/>
        </w:rPr>
        <w:t>、</w:t>
      </w:r>
      <w:r>
        <w:rPr>
          <w:rFonts w:ascii="宋体" w:hAnsi="宋体" w:eastAsia="宋体"/>
          <w:sz w:val="24"/>
          <w:szCs w:val="24"/>
        </w:rPr>
        <w:t>城市规划相关资料</w:t>
      </w:r>
      <w:r>
        <w:rPr>
          <w:rFonts w:hint="eastAsia" w:ascii="宋体" w:hAnsi="宋体" w:eastAsia="宋体"/>
          <w:sz w:val="24"/>
          <w:szCs w:val="24"/>
        </w:rPr>
        <w:t>；运营管理阶段评价查阅相关竣工图、</w:t>
      </w:r>
      <w:r>
        <w:rPr>
          <w:rFonts w:ascii="宋体" w:hAnsi="宋体" w:eastAsia="宋体"/>
          <w:sz w:val="24"/>
          <w:szCs w:val="24"/>
        </w:rPr>
        <w:t>城市规划相关资料</w:t>
      </w:r>
      <w:r>
        <w:rPr>
          <w:rFonts w:hint="eastAsia" w:ascii="宋体" w:hAnsi="宋体" w:eastAsia="宋体"/>
          <w:sz w:val="24"/>
          <w:szCs w:val="24"/>
        </w:rPr>
        <w:t>。</w:t>
      </w:r>
    </w:p>
    <w:p>
      <w:pPr>
        <w:pStyle w:val="3"/>
        <w:spacing w:before="468" w:after="468"/>
      </w:pPr>
      <w:bookmarkStart w:id="108" w:name="_Toc60822434"/>
      <w:bookmarkStart w:id="109" w:name="_Toc77584254"/>
      <w:bookmarkStart w:id="110" w:name="_Toc60822259"/>
      <w:bookmarkStart w:id="111" w:name="_Toc60819561"/>
      <w:r>
        <w:t>5.2</w:t>
      </w:r>
      <w:r>
        <w:rPr>
          <w:rFonts w:hint="eastAsia"/>
        </w:rPr>
        <w:t xml:space="preserve">  </w:t>
      </w:r>
      <w:r>
        <w:t>评分项</w:t>
      </w:r>
      <w:bookmarkEnd w:id="108"/>
      <w:bookmarkEnd w:id="109"/>
      <w:bookmarkEnd w:id="110"/>
      <w:bookmarkEnd w:id="111"/>
    </w:p>
    <w:p>
      <w:pPr>
        <w:adjustRightInd w:val="0"/>
        <w:snapToGrid w:val="0"/>
        <w:spacing w:line="360" w:lineRule="auto"/>
        <w:rPr>
          <w:rFonts w:ascii="宋体" w:hAnsi="宋体" w:eastAsia="宋体"/>
          <w:sz w:val="24"/>
          <w:szCs w:val="24"/>
        </w:rPr>
      </w:pPr>
      <w:r>
        <w:rPr>
          <w:rFonts w:ascii="仿宋" w:hAnsi="仿宋" w:eastAsia="仿宋"/>
          <w:b/>
          <w:sz w:val="24"/>
          <w:szCs w:val="24"/>
        </w:rPr>
        <w:t>5.2.1</w:t>
      </w:r>
      <w:r>
        <w:rPr>
          <w:rFonts w:hint="eastAsia" w:ascii="仿宋" w:hAnsi="仿宋" w:eastAsia="仿宋"/>
          <w:b/>
          <w:sz w:val="24"/>
          <w:szCs w:val="24"/>
        </w:rPr>
        <w:t xml:space="preserve">  </w:t>
      </w:r>
      <w:r>
        <w:rPr>
          <w:rFonts w:hint="eastAsia" w:ascii="宋体" w:hAnsi="宋体" w:eastAsia="宋体"/>
          <w:sz w:val="24"/>
          <w:szCs w:val="24"/>
        </w:rPr>
        <w:t>本条适用于绿色轨道交通的运营管理阶段评价。</w:t>
      </w:r>
    </w:p>
    <w:p>
      <w:pPr>
        <w:spacing w:line="360" w:lineRule="auto"/>
        <w:ind w:firstLine="480" w:firstLineChars="200"/>
        <w:jc w:val="left"/>
        <w:rPr>
          <w:rFonts w:ascii="微软雅黑" w:hAnsi="微软雅黑" w:eastAsia="微软雅黑"/>
          <w:sz w:val="24"/>
          <w:szCs w:val="24"/>
        </w:rPr>
      </w:pPr>
      <w:r>
        <w:rPr>
          <w:rFonts w:hint="eastAsia" w:ascii="宋体" w:hAnsi="宋体"/>
          <w:sz w:val="24"/>
          <w:szCs w:val="24"/>
        </w:rPr>
        <w:t>计算公式为：运能富裕度=客流断面量/（开行对数*列车定员）</w:t>
      </w:r>
      <w:r>
        <w:rPr>
          <w:rFonts w:hint="eastAsia" w:ascii="宋体" w:hAnsi="宋体" w:eastAsia="宋体"/>
          <w:sz w:val="24"/>
          <w:szCs w:val="24"/>
        </w:rPr>
        <w:t>。</w:t>
      </w:r>
    </w:p>
    <w:p>
      <w:pPr>
        <w:spacing w:line="360" w:lineRule="auto"/>
        <w:ind w:firstLine="480" w:firstLineChars="200"/>
        <w:jc w:val="left"/>
        <w:rPr>
          <w:rFonts w:ascii="微软雅黑" w:hAnsi="微软雅黑" w:eastAsia="微软雅黑"/>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运营管理阶段根据相关运营数据</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ascii="仿宋" w:hAnsi="仿宋" w:eastAsia="仿宋"/>
          <w:b/>
          <w:sz w:val="24"/>
          <w:szCs w:val="24"/>
        </w:rPr>
        <w:t>5.2.2</w:t>
      </w:r>
      <w:r>
        <w:rPr>
          <w:rFonts w:hint="eastAsia" w:ascii="仿宋" w:hAnsi="仿宋" w:eastAsia="仿宋"/>
          <w:b/>
          <w:sz w:val="24"/>
          <w:szCs w:val="24"/>
        </w:rPr>
        <w:t xml:space="preserve">  </w:t>
      </w:r>
      <w:r>
        <w:rPr>
          <w:rFonts w:hint="eastAsia" w:ascii="宋体" w:hAnsi="宋体" w:eastAsia="宋体"/>
          <w:sz w:val="24"/>
          <w:szCs w:val="24"/>
        </w:rPr>
        <w:t>本条适用于绿色轨道交通的运营管理阶段评价。</w:t>
      </w:r>
    </w:p>
    <w:p>
      <w:pPr>
        <w:pStyle w:val="24"/>
        <w:adjustRightInd w:val="0"/>
        <w:snapToGrid w:val="0"/>
        <w:spacing w:line="360" w:lineRule="auto"/>
        <w:ind w:firstLine="480"/>
        <w:jc w:val="left"/>
        <w:rPr>
          <w:rFonts w:ascii="宋体" w:hAnsi="宋体"/>
          <w:sz w:val="24"/>
          <w:szCs w:val="24"/>
        </w:rPr>
      </w:pPr>
      <w:r>
        <w:rPr>
          <w:rFonts w:hint="eastAsia" w:ascii="宋体" w:hAnsi="宋体"/>
          <w:sz w:val="24"/>
          <w:szCs w:val="24"/>
        </w:rPr>
        <w:t>计算公式为：高峰小时平均满载率=高峰小时客运周转量*10000/（运营长度*2*开行对数*列车定员）。</w:t>
      </w:r>
    </w:p>
    <w:p>
      <w:pPr>
        <w:pStyle w:val="24"/>
        <w:adjustRightInd w:val="0"/>
        <w:snapToGrid w:val="0"/>
        <w:spacing w:line="360" w:lineRule="auto"/>
        <w:ind w:firstLine="480"/>
        <w:jc w:val="left"/>
        <w:rPr>
          <w:rFonts w:ascii="宋体" w:hAnsi="宋体"/>
          <w:sz w:val="24"/>
          <w:szCs w:val="24"/>
          <w:shd w:val="clear" w:color="auto" w:fill="00FF00"/>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运营管理阶段根据相关运营数据</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3  </w:t>
      </w:r>
      <w:r>
        <w:rPr>
          <w:rFonts w:hint="eastAsia" w:ascii="宋体" w:hAnsi="宋体" w:eastAsia="宋体"/>
          <w:sz w:val="24"/>
          <w:szCs w:val="24"/>
        </w:rPr>
        <w:t>本条适用于绿色轨道交通的运营管理阶段评价。</w:t>
      </w:r>
    </w:p>
    <w:p>
      <w:pPr>
        <w:pStyle w:val="24"/>
        <w:adjustRightInd w:val="0"/>
        <w:snapToGrid w:val="0"/>
        <w:spacing w:line="360" w:lineRule="auto"/>
        <w:ind w:firstLine="480"/>
        <w:jc w:val="left"/>
        <w:rPr>
          <w:rFonts w:ascii="宋体" w:hAnsi="宋体"/>
          <w:sz w:val="24"/>
          <w:szCs w:val="24"/>
        </w:rPr>
      </w:pPr>
      <w:r>
        <w:rPr>
          <w:rFonts w:hint="eastAsia" w:ascii="宋体" w:hAnsi="宋体"/>
          <w:sz w:val="24"/>
          <w:szCs w:val="24"/>
        </w:rPr>
        <w:t>计算公式为：全日平均满载率=全日客运周转量*10000/（运营长度*2*开行对数*列车定员）。</w:t>
      </w:r>
    </w:p>
    <w:p>
      <w:pPr>
        <w:adjustRightInd w:val="0"/>
        <w:snapToGrid w:val="0"/>
        <w:spacing w:line="360" w:lineRule="auto"/>
        <w:rPr>
          <w:rFonts w:ascii="仿宋" w:hAnsi="仿宋" w:eastAsia="仿宋"/>
          <w:b/>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运营管理阶段根据相关运营数据</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4  </w:t>
      </w:r>
      <w:r>
        <w:rPr>
          <w:rFonts w:hint="eastAsia" w:ascii="宋体" w:hAnsi="宋体" w:eastAsia="宋体"/>
          <w:sz w:val="24"/>
          <w:szCs w:val="24"/>
        </w:rPr>
        <w:t>本条适用于绿色轨道交通的运营管理阶段评价。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国内某典型城市</w:t>
      </w:r>
      <w:r>
        <w:rPr>
          <w:rFonts w:ascii="宋体" w:hAnsi="宋体" w:eastAsia="宋体"/>
          <w:sz w:val="24"/>
          <w:szCs w:val="24"/>
        </w:rPr>
        <w:t>2015年、2016年、2017年、2018年地铁占公交比例分别为43%、46%、48%、51%，年均增长率为5.8%，年均开通3条线路（延伸线及新线）。</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运营管理阶段根据相关运营数据</w:t>
      </w:r>
      <w:r>
        <w:rPr>
          <w:rFonts w:hint="eastAsia" w:ascii="宋体" w:hAnsi="宋体" w:eastAsia="宋体"/>
          <w:sz w:val="24"/>
          <w:szCs w:val="24"/>
        </w:rPr>
        <w:t>，结合城市交通相关数据，计算核实。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5  </w:t>
      </w:r>
      <w:r>
        <w:rPr>
          <w:rFonts w:hint="eastAsia" w:ascii="宋体" w:hAnsi="宋体" w:eastAsia="宋体"/>
          <w:sz w:val="24"/>
          <w:szCs w:val="24"/>
        </w:rPr>
        <w:t>本条适用于绿色轨道交通的运营管理阶段评价。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主要枢纽，指特级枢纽（国际性和全国型枢纽，规模巨大，具备广泛的对外辐射网络和强大的运输集散、中转能力，是国际、国内客运体系的重要节点。）、一类客运枢纽（全国型枢纽，具备交广的对外辐射网络和较强的运输中转能力。）统计截</w:t>
      </w:r>
      <w:r>
        <w:rPr>
          <w:rFonts w:hint="eastAsia" w:ascii="宋体" w:hAnsi="宋体" w:eastAsia="宋体"/>
          <w:sz w:val="24"/>
          <w:szCs w:val="24"/>
          <w:lang w:val="en-US" w:eastAsia="zh-CN"/>
        </w:rPr>
        <w:t>至</w:t>
      </w:r>
      <w:r>
        <w:rPr>
          <w:rFonts w:ascii="宋体" w:hAnsi="宋体" w:eastAsia="宋体"/>
          <w:sz w:val="24"/>
          <w:szCs w:val="24"/>
        </w:rPr>
        <w:t>2020年5月国内某典型城市已运营的14条地铁线路，线路实现到达城市内已建成特级及一类枢纽平均换乘次数</w:t>
      </w:r>
      <w:r>
        <w:rPr>
          <w:rFonts w:hint="eastAsia" w:ascii="宋体" w:hAnsi="宋体" w:eastAsia="宋体"/>
          <w:sz w:val="24"/>
          <w:szCs w:val="24"/>
          <w:lang w:val="en-US" w:eastAsia="zh-CN"/>
        </w:rPr>
        <w:t>小于等于</w:t>
      </w:r>
      <w:r>
        <w:rPr>
          <w:rFonts w:ascii="宋体" w:hAnsi="宋体" w:eastAsia="宋体"/>
          <w:sz w:val="24"/>
          <w:szCs w:val="24"/>
        </w:rPr>
        <w:t>1，平均换乘次数</w:t>
      </w:r>
      <w:r>
        <w:rPr>
          <w:rFonts w:hint="eastAsia" w:ascii="宋体" w:hAnsi="宋体" w:eastAsia="宋体"/>
          <w:sz w:val="24"/>
          <w:szCs w:val="24"/>
          <w:lang w:val="en-US" w:eastAsia="zh-CN"/>
        </w:rPr>
        <w:t>大于</w:t>
      </w:r>
      <w:r>
        <w:rPr>
          <w:rFonts w:ascii="宋体" w:hAnsi="宋体" w:eastAsia="宋体"/>
          <w:sz w:val="24"/>
          <w:szCs w:val="24"/>
        </w:rPr>
        <w:t>1且</w:t>
      </w:r>
      <w:r>
        <w:rPr>
          <w:rFonts w:hint="eastAsia" w:ascii="宋体" w:hAnsi="宋体" w:eastAsia="宋体"/>
          <w:sz w:val="24"/>
          <w:szCs w:val="24"/>
          <w:lang w:val="en-US" w:eastAsia="zh-CN"/>
        </w:rPr>
        <w:t>小于等于</w:t>
      </w:r>
      <w:r>
        <w:rPr>
          <w:rFonts w:ascii="宋体" w:hAnsi="宋体" w:eastAsia="宋体"/>
          <w:sz w:val="24"/>
          <w:szCs w:val="24"/>
        </w:rPr>
        <w:t>2的线路占比为28.6%，平均换乘次数</w:t>
      </w:r>
      <w:r>
        <w:rPr>
          <w:rFonts w:hint="eastAsia" w:ascii="宋体" w:hAnsi="宋体" w:eastAsia="宋体"/>
          <w:sz w:val="24"/>
          <w:szCs w:val="24"/>
          <w:lang w:val="en-US" w:eastAsia="zh-CN"/>
        </w:rPr>
        <w:t>大于</w:t>
      </w:r>
      <w:r>
        <w:rPr>
          <w:rFonts w:ascii="宋体" w:hAnsi="宋体" w:eastAsia="宋体"/>
          <w:sz w:val="24"/>
          <w:szCs w:val="24"/>
        </w:rPr>
        <w:t>2且</w:t>
      </w:r>
      <w:r>
        <w:rPr>
          <w:rFonts w:hint="eastAsia" w:ascii="宋体" w:hAnsi="宋体" w:eastAsia="宋体"/>
          <w:sz w:val="24"/>
          <w:szCs w:val="24"/>
          <w:lang w:val="en-US" w:eastAsia="zh-CN"/>
        </w:rPr>
        <w:t>小于等于</w:t>
      </w:r>
      <w:r>
        <w:rPr>
          <w:rFonts w:ascii="宋体" w:hAnsi="宋体" w:eastAsia="宋体"/>
          <w:sz w:val="24"/>
          <w:szCs w:val="24"/>
        </w:rPr>
        <w:t>3的线路占比为71.4%。</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运营管理阶段根据相关运营数据</w:t>
      </w:r>
      <w:r>
        <w:rPr>
          <w:rFonts w:hint="eastAsia" w:ascii="宋体" w:hAnsi="宋体" w:eastAsia="宋体"/>
          <w:sz w:val="24"/>
          <w:szCs w:val="24"/>
        </w:rPr>
        <w:t>，结合城市交通相关数据，计算核实。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6  </w:t>
      </w:r>
      <w:r>
        <w:rPr>
          <w:rFonts w:hint="eastAsia" w:ascii="宋体" w:hAnsi="宋体" w:eastAsia="宋体"/>
          <w:sz w:val="24"/>
          <w:szCs w:val="24"/>
        </w:rPr>
        <w:t>本条适用于绿色轨道交通的运营管理阶段评价。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结合截</w:t>
      </w:r>
      <w:r>
        <w:rPr>
          <w:rFonts w:hint="eastAsia" w:ascii="宋体" w:hAnsi="宋体" w:eastAsia="宋体"/>
          <w:sz w:val="24"/>
          <w:szCs w:val="24"/>
          <w:lang w:val="en-US" w:eastAsia="zh-CN"/>
        </w:rPr>
        <w:t>至</w:t>
      </w:r>
      <w:r>
        <w:rPr>
          <w:rFonts w:hint="eastAsia" w:ascii="宋体" w:hAnsi="宋体" w:eastAsia="宋体"/>
          <w:sz w:val="24"/>
          <w:szCs w:val="24"/>
        </w:rPr>
        <w:t>2020年1月国内某典型城市在建及已运营线路统计，与二级及以上客运枢纽衔接站点占全线车站比i枢纽比</w:t>
      </w:r>
      <w:r>
        <w:rPr>
          <w:rFonts w:hint="eastAsia" w:ascii="宋体" w:hAnsi="宋体" w:eastAsia="宋体"/>
          <w:sz w:val="24"/>
          <w:szCs w:val="24"/>
          <w:lang w:val="en-US" w:eastAsia="zh-CN"/>
        </w:rPr>
        <w:t>大于等于</w:t>
      </w:r>
      <w:r>
        <w:rPr>
          <w:rFonts w:hint="eastAsia" w:ascii="宋体" w:hAnsi="宋体" w:eastAsia="宋体"/>
          <w:sz w:val="24"/>
          <w:szCs w:val="24"/>
        </w:rPr>
        <w:t>15%线路条数占比19.1%，15%</w:t>
      </w:r>
      <w:r>
        <w:rPr>
          <w:rFonts w:hint="eastAsia" w:ascii="宋体" w:hAnsi="宋体" w:eastAsia="宋体"/>
          <w:sz w:val="24"/>
          <w:szCs w:val="24"/>
          <w:lang w:val="en-US" w:eastAsia="zh-CN"/>
        </w:rPr>
        <w:t>大于</w:t>
      </w:r>
      <w:r>
        <w:rPr>
          <w:rFonts w:hint="eastAsia" w:ascii="宋体" w:hAnsi="宋体" w:eastAsia="宋体"/>
          <w:sz w:val="24"/>
          <w:szCs w:val="24"/>
        </w:rPr>
        <w:t>i枢纽比</w:t>
      </w:r>
      <w:r>
        <w:rPr>
          <w:rFonts w:hint="eastAsia" w:ascii="宋体" w:hAnsi="宋体" w:eastAsia="宋体"/>
          <w:sz w:val="24"/>
          <w:szCs w:val="24"/>
          <w:lang w:val="en-US" w:eastAsia="zh-CN"/>
        </w:rPr>
        <w:t>大于等于</w:t>
      </w:r>
      <w:r>
        <w:rPr>
          <w:rFonts w:hint="eastAsia" w:ascii="宋体" w:hAnsi="宋体" w:eastAsia="宋体"/>
          <w:sz w:val="24"/>
          <w:szCs w:val="24"/>
        </w:rPr>
        <w:t>10%线路条数占比23.8%，10%</w:t>
      </w:r>
      <w:r>
        <w:rPr>
          <w:rFonts w:hint="eastAsia" w:ascii="宋体" w:hAnsi="宋体" w:eastAsia="宋体"/>
          <w:sz w:val="24"/>
          <w:szCs w:val="24"/>
          <w:lang w:val="en-US" w:eastAsia="zh-CN"/>
        </w:rPr>
        <w:t>大于</w:t>
      </w:r>
      <w:r>
        <w:rPr>
          <w:rFonts w:hint="eastAsia" w:ascii="宋体" w:hAnsi="宋体" w:eastAsia="宋体"/>
          <w:sz w:val="24"/>
          <w:szCs w:val="24"/>
        </w:rPr>
        <w:t>i枢纽比</w:t>
      </w:r>
      <w:r>
        <w:rPr>
          <w:rFonts w:hint="eastAsia" w:ascii="宋体" w:hAnsi="宋体" w:eastAsia="宋体"/>
          <w:sz w:val="24"/>
          <w:szCs w:val="24"/>
          <w:lang w:val="en-US" w:eastAsia="zh-CN"/>
        </w:rPr>
        <w:t>大于等于</w:t>
      </w:r>
      <w:r>
        <w:rPr>
          <w:rFonts w:hint="eastAsia" w:ascii="宋体" w:hAnsi="宋体" w:eastAsia="宋体"/>
          <w:sz w:val="24"/>
          <w:szCs w:val="24"/>
        </w:rPr>
        <w:t>5%线路条数占比19.1%，5%</w:t>
      </w:r>
      <w:r>
        <w:rPr>
          <w:rFonts w:hint="eastAsia" w:ascii="宋体" w:hAnsi="宋体" w:eastAsia="宋体"/>
          <w:sz w:val="24"/>
          <w:szCs w:val="24"/>
          <w:lang w:val="en-US" w:eastAsia="zh-CN"/>
        </w:rPr>
        <w:t>大于</w:t>
      </w:r>
      <w:r>
        <w:rPr>
          <w:rFonts w:hint="eastAsia" w:ascii="宋体" w:hAnsi="宋体" w:eastAsia="宋体"/>
          <w:sz w:val="24"/>
          <w:szCs w:val="24"/>
        </w:rPr>
        <w:t>i枢纽比</w:t>
      </w:r>
      <w:r>
        <w:rPr>
          <w:rFonts w:hint="eastAsia" w:ascii="宋体" w:hAnsi="宋体" w:eastAsia="宋体"/>
          <w:sz w:val="24"/>
          <w:szCs w:val="24"/>
          <w:lang w:val="en-US" w:eastAsia="zh-CN"/>
        </w:rPr>
        <w:t>大于</w:t>
      </w:r>
      <w:r>
        <w:rPr>
          <w:rFonts w:hint="eastAsia" w:ascii="宋体" w:hAnsi="宋体" w:eastAsia="宋体"/>
          <w:sz w:val="24"/>
          <w:szCs w:val="24"/>
        </w:rPr>
        <w:t>0%线路条数占比28.6%。</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w:t>
      </w:r>
      <w:r>
        <w:rPr>
          <w:rFonts w:hint="eastAsia" w:ascii="宋体" w:hAnsi="宋体" w:eastAsia="宋体"/>
          <w:sz w:val="24"/>
          <w:szCs w:val="24"/>
        </w:rPr>
        <w:t>竣工</w:t>
      </w:r>
      <w:r>
        <w:rPr>
          <w:rFonts w:ascii="宋体" w:hAnsi="宋体" w:eastAsia="宋体"/>
          <w:sz w:val="24"/>
          <w:szCs w:val="24"/>
        </w:rPr>
        <w:t>图纸</w:t>
      </w:r>
      <w:r>
        <w:rPr>
          <w:rFonts w:hint="eastAsia" w:ascii="宋体" w:hAnsi="宋体" w:eastAsia="宋体"/>
          <w:sz w:val="24"/>
          <w:szCs w:val="24"/>
        </w:rPr>
        <w:t>，结合城市交通规划相关资料，计算核实。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7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轨道交通车站的工程设计不仅应根据远景线网规划，处理与其他线路的关系，还应结合车站所在地的城乡规划发展的要求，提供车站与周边用地的一体化建设条件。轨道交通工程预留续建工程连接条件，是基于我国城市轨道交通建设五十多年经验，需予以特别强调。尤其是近年来，随着国内许多城市轨道交通线网规模的逐渐加大，网络化运营情况下凸显出许多直接影响运输功能和运营服务水平的问题，如线路间的衔接关系、换乘车站间的换乘关系、地铁与综合交通枢纽、大型商业地下空间的连接不畅等，上述涉及换乘和出行效率的关键条件往往都与前期线路预留条件有关。只有在规划和前期线路设计中考虑并处理好，才能从根本上解决。</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因此，车站选址时应充分考虑后期建设需求，无论是与规划轨道交通线路之间的衔接换乘需求，还是与周边地块综合开发项目的连接需求。对于在设计阶段考虑预留条件和连接措施，并实施到位的可获得评分；对于设计预留但未实施到位的，运行评价不得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本条的评价方法为：规划设计阶段评价应查阅相关设计文件；运行管理阶段评价在规划设计阶段评价方法之外还应现场核实。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8  </w:t>
      </w:r>
      <w:r>
        <w:rPr>
          <w:rFonts w:hint="eastAsia" w:ascii="宋体" w:hAnsi="宋体" w:eastAsia="宋体"/>
          <w:sz w:val="24"/>
          <w:szCs w:val="24"/>
        </w:rPr>
        <w:t>本条适用于绿色轨道交通的规划设计阶段和运营管理阶段评价。</w:t>
      </w:r>
    </w:p>
    <w:p>
      <w:pPr>
        <w:pStyle w:val="22"/>
        <w:spacing w:line="360" w:lineRule="auto"/>
        <w:ind w:firstLine="480"/>
        <w:rPr>
          <w:rFonts w:ascii="宋体" w:hAnsi="宋体"/>
          <w:sz w:val="24"/>
        </w:rPr>
      </w:pPr>
      <w:r>
        <w:rPr>
          <w:rFonts w:hint="eastAsia" w:ascii="宋体" w:hAnsi="宋体"/>
          <w:sz w:val="24"/>
        </w:rPr>
        <w:t>1  本条换乘时间是</w:t>
      </w:r>
      <w:r>
        <w:rPr>
          <w:rFonts w:ascii="宋体" w:hAnsi="宋体"/>
          <w:sz w:val="24"/>
        </w:rPr>
        <w:t>指在</w:t>
      </w:r>
      <w:r>
        <w:rPr>
          <w:rFonts w:hint="eastAsia" w:ascii="宋体" w:hAnsi="宋体"/>
          <w:sz w:val="24"/>
        </w:rPr>
        <w:t>轨道交通</w:t>
      </w:r>
      <w:r>
        <w:rPr>
          <w:rFonts w:ascii="宋体" w:hAnsi="宋体"/>
          <w:sz w:val="24"/>
        </w:rPr>
        <w:t>某一换乘车站中的一条线路候车站台中部走到另一条线路的候车站台处所需要的正常行走时间</w:t>
      </w:r>
      <w:r>
        <w:rPr>
          <w:rFonts w:hint="eastAsia" w:ascii="宋体" w:hAnsi="宋体"/>
          <w:sz w:val="24"/>
        </w:rPr>
        <w:t>。全线换乘车站中80%以上车站满足即可得分。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一般</w:t>
      </w:r>
      <w:r>
        <w:rPr>
          <w:rFonts w:ascii="宋体" w:hAnsi="宋体" w:eastAsia="宋体"/>
          <w:sz w:val="24"/>
          <w:szCs w:val="24"/>
        </w:rPr>
        <w:t>情况下</w:t>
      </w:r>
      <w:r>
        <w:rPr>
          <w:rFonts w:hint="eastAsia" w:ascii="宋体" w:hAnsi="宋体" w:eastAsia="宋体"/>
          <w:sz w:val="24"/>
          <w:szCs w:val="24"/>
        </w:rPr>
        <w:t>换乘车站功能评价中换乘时间评价分为良好、一般和差共三级，换乘时间</w:t>
      </w:r>
      <w:r>
        <w:rPr>
          <w:rFonts w:ascii="宋体" w:hAnsi="宋体" w:eastAsia="宋体"/>
          <w:sz w:val="24"/>
          <w:szCs w:val="24"/>
        </w:rPr>
        <w:t>小于</w:t>
      </w:r>
      <w:r>
        <w:rPr>
          <w:rFonts w:hint="eastAsia" w:ascii="宋体" w:hAnsi="宋体" w:eastAsia="宋体"/>
          <w:sz w:val="24"/>
          <w:szCs w:val="24"/>
        </w:rPr>
        <w:t>1分钟</w:t>
      </w:r>
      <w:r>
        <w:rPr>
          <w:rFonts w:ascii="宋体" w:hAnsi="宋体" w:eastAsia="宋体"/>
          <w:sz w:val="24"/>
          <w:szCs w:val="24"/>
        </w:rPr>
        <w:t>为良好，在</w:t>
      </w:r>
      <w:r>
        <w:rPr>
          <w:rFonts w:hint="eastAsia" w:ascii="宋体" w:hAnsi="宋体" w:eastAsia="宋体"/>
          <w:sz w:val="24"/>
          <w:szCs w:val="24"/>
        </w:rPr>
        <w:t>1至3分钟</w:t>
      </w:r>
      <w:r>
        <w:rPr>
          <w:rFonts w:ascii="宋体" w:hAnsi="宋体" w:eastAsia="宋体"/>
          <w:sz w:val="24"/>
          <w:szCs w:val="24"/>
        </w:rPr>
        <w:t>为一般，大于</w:t>
      </w:r>
      <w:r>
        <w:rPr>
          <w:rFonts w:hint="eastAsia" w:ascii="宋体" w:hAnsi="宋体" w:eastAsia="宋体"/>
          <w:sz w:val="24"/>
          <w:szCs w:val="24"/>
        </w:rPr>
        <w:t>3分钟</w:t>
      </w:r>
      <w:r>
        <w:rPr>
          <w:rFonts w:ascii="宋体" w:hAnsi="宋体" w:eastAsia="宋体"/>
          <w:sz w:val="24"/>
          <w:szCs w:val="24"/>
        </w:rPr>
        <w:t>为差。</w:t>
      </w:r>
    </w:p>
    <w:p>
      <w:pPr>
        <w:pStyle w:val="22"/>
        <w:spacing w:line="360" w:lineRule="auto"/>
        <w:ind w:firstLine="480"/>
        <w:rPr>
          <w:rFonts w:ascii="宋体" w:hAnsi="宋体"/>
          <w:sz w:val="24"/>
        </w:rPr>
      </w:pPr>
      <w:r>
        <w:rPr>
          <w:rFonts w:hint="eastAsia" w:ascii="宋体" w:hAnsi="宋体"/>
          <w:sz w:val="24"/>
        </w:rPr>
        <w:t>2  本条是对提供扶梯进行</w:t>
      </w:r>
      <w:r>
        <w:rPr>
          <w:rFonts w:ascii="宋体" w:hAnsi="宋体"/>
          <w:sz w:val="24"/>
        </w:rPr>
        <w:t>换乘</w:t>
      </w:r>
      <w:r>
        <w:rPr>
          <w:rFonts w:hint="eastAsia" w:ascii="宋体" w:hAnsi="宋体"/>
          <w:sz w:val="24"/>
        </w:rPr>
        <w:t>的鼓励. 全线换乘车站中80%以上车站满足即可得分。</w:t>
      </w:r>
    </w:p>
    <w:p>
      <w:pPr>
        <w:pStyle w:val="22"/>
        <w:spacing w:line="360" w:lineRule="auto"/>
        <w:ind w:firstLine="480"/>
        <w:rPr>
          <w:rFonts w:ascii="宋体" w:hAnsi="宋体"/>
          <w:sz w:val="24"/>
        </w:rPr>
      </w:pPr>
      <w:r>
        <w:rPr>
          <w:rFonts w:hint="eastAsia" w:ascii="宋体" w:hAnsi="宋体"/>
          <w:sz w:val="24"/>
        </w:rPr>
        <w:t>3  目前车站设计中各换乘设施的通过能力采用《地铁设计规范》（GB50157－2013）的推荐取值，但在实际使用中，各种设施的实际通过能力与设计能力不符，会导致设施能力紧张的情况。换乘设施包括通道、楼梯、扶梯等。本条强调换乘设施能力对客流变化的适应性。全线换乘车站中80%以上车站满足即可得分。</w:t>
      </w:r>
    </w:p>
    <w:p>
      <w:pPr>
        <w:pStyle w:val="22"/>
        <w:spacing w:line="360" w:lineRule="auto"/>
        <w:ind w:firstLine="480"/>
        <w:rPr>
          <w:rFonts w:ascii="宋体" w:hAnsi="宋体"/>
          <w:sz w:val="24"/>
        </w:rPr>
      </w:pPr>
      <w:r>
        <w:rPr>
          <w:rFonts w:hint="eastAsia" w:ascii="宋体" w:hAnsi="宋体"/>
          <w:sz w:val="24"/>
        </w:rPr>
        <w:t>4  本条是对提供无障碍</w:t>
      </w:r>
      <w:r>
        <w:rPr>
          <w:rFonts w:ascii="宋体" w:hAnsi="宋体"/>
          <w:sz w:val="24"/>
        </w:rPr>
        <w:t>换乘</w:t>
      </w:r>
      <w:r>
        <w:rPr>
          <w:rFonts w:hint="eastAsia" w:ascii="宋体" w:hAnsi="宋体"/>
          <w:sz w:val="24"/>
        </w:rPr>
        <w:t>的鼓励。</w:t>
      </w:r>
    </w:p>
    <w:p>
      <w:pPr>
        <w:pStyle w:val="22"/>
        <w:spacing w:line="360" w:lineRule="auto"/>
        <w:ind w:firstLine="480"/>
        <w:rPr>
          <w:rFonts w:ascii="宋体" w:hAnsi="宋体"/>
          <w:sz w:val="24"/>
        </w:rPr>
      </w:pPr>
      <w:r>
        <w:rPr>
          <w:rFonts w:hint="eastAsia" w:ascii="宋体" w:hAnsi="宋体"/>
          <w:sz w:val="24"/>
        </w:rPr>
        <w:t>5  本条是长距离换乘时，设置自动人行道的鼓励。</w:t>
      </w:r>
    </w:p>
    <w:p>
      <w:pPr>
        <w:pStyle w:val="22"/>
        <w:spacing w:line="360" w:lineRule="auto"/>
        <w:ind w:firstLine="480"/>
        <w:rPr>
          <w:rFonts w:ascii="宋体" w:hAnsi="宋体"/>
          <w:sz w:val="24"/>
        </w:rPr>
      </w:pPr>
      <w:r>
        <w:rPr>
          <w:rFonts w:hint="eastAsia" w:ascii="宋体" w:hAnsi="宋体"/>
          <w:sz w:val="24"/>
        </w:rPr>
        <w:t>本条款的得分值为线路平均值，即每个换乘车站分别计算出本条款的分数，求和后除以换乘车站数。</w:t>
      </w:r>
    </w:p>
    <w:p>
      <w:pPr>
        <w:pStyle w:val="22"/>
        <w:spacing w:line="360" w:lineRule="auto"/>
        <w:ind w:firstLine="480"/>
        <w:rPr>
          <w:rFonts w:ascii="宋体" w:hAnsi="宋体"/>
          <w:kern w:val="0"/>
          <w:szCs w:val="21"/>
        </w:rPr>
      </w:pPr>
      <w:r>
        <w:rPr>
          <w:rFonts w:hint="eastAsia" w:ascii="宋体" w:hAnsi="宋体"/>
          <w:sz w:val="24"/>
        </w:rPr>
        <w:t>本条的评价方法为：设计评价查阅相关设计文件（含设计说明、施工图和计算书）；运营评价查阅相关竣工图、计算书、验收记录，并现场核实。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9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rPr>
      </w:pPr>
      <w:r>
        <w:rPr>
          <w:rFonts w:hint="eastAsia" w:ascii="宋体" w:hAnsi="宋体" w:eastAsia="宋体"/>
          <w:sz w:val="24"/>
          <w:szCs w:val="24"/>
        </w:rPr>
        <w:t>本条款所指车站与周边城市空间联系出入口，是指从车站站厅区域通过建筑、地下通道等设施，最终在城市街道上开设的出入口，或结合建筑向城市空间开设的出入口。上述出入口的数量直接决定车站与周边地块联系的紧密程度和便捷度，利于鼓励步行等绿色出行方式。因此，鼓励车站增设与出入口数量，增加连接方式，扩大轨道交通影响范围，提高绿色交通比例。</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  出入口数量一般为4个，多于4个说明有机会更好地兼顾周边街道不同来向的客流，应予鼓励。</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  鼓励出入口与周边地块结合设计，更易于实现一体化设计理念，单独提出予以鼓励。</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  出入口通道与既有过街天桥、过街地道、地下街道连通体现了与既有设施的结合</w:t>
      </w:r>
      <w:r>
        <w:rPr>
          <w:rFonts w:ascii="宋体" w:hAnsi="宋体" w:eastAsia="宋体"/>
          <w:sz w:val="24"/>
          <w:szCs w:val="24"/>
        </w:rPr>
        <w:t>和</w:t>
      </w:r>
      <w:r>
        <w:rPr>
          <w:rFonts w:hint="eastAsia" w:ascii="宋体" w:hAnsi="宋体" w:eastAsia="宋体"/>
          <w:sz w:val="24"/>
          <w:szCs w:val="24"/>
        </w:rPr>
        <w:t>利用，对于车站内可以形成过街的，予以鼓励。</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本条的评价方法为：设计评价查阅相关设计文件（含设计说明、施工图和计算书）；运营评价查阅相关竣工图、计算书、验收记录，并现场核实。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10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车站周边的</w:t>
      </w:r>
      <w:r>
        <w:rPr>
          <w:rFonts w:ascii="宋体" w:hAnsi="宋体" w:eastAsia="宋体"/>
          <w:sz w:val="24"/>
          <w:szCs w:val="24"/>
        </w:rPr>
        <w:t>步行系统包括人行步道，集散广场。</w:t>
      </w:r>
      <w:r>
        <w:rPr>
          <w:rFonts w:hint="eastAsia" w:ascii="宋体" w:hAnsi="宋体" w:eastAsia="宋体"/>
          <w:sz w:val="24"/>
          <w:szCs w:val="24"/>
        </w:rPr>
        <w:t>步行系统应结合道路规划和交通组织要求综合考虑，鼓励提供连续、安全和便捷的步行空间，并满足通行能力要求，避免人流拥挤。</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（1）人行步道</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人行步道系统主要</w:t>
      </w:r>
      <w:r>
        <w:rPr>
          <w:rFonts w:hint="eastAsia" w:ascii="宋体" w:hAnsi="宋体" w:eastAsia="宋体"/>
          <w:sz w:val="24"/>
          <w:szCs w:val="24"/>
        </w:rPr>
        <w:t>服务于</w:t>
      </w:r>
      <w:r>
        <w:rPr>
          <w:rFonts w:ascii="宋体" w:hAnsi="宋体" w:eastAsia="宋体"/>
          <w:sz w:val="24"/>
          <w:szCs w:val="24"/>
        </w:rPr>
        <w:t>地铁乘客集散，</w:t>
      </w:r>
      <w:r>
        <w:rPr>
          <w:rFonts w:hint="eastAsia" w:ascii="宋体" w:hAnsi="宋体" w:eastAsia="宋体"/>
          <w:sz w:val="24"/>
          <w:szCs w:val="24"/>
        </w:rPr>
        <w:t>可分为地面人行步道（一般结合道路人行道设置）、地下人行步道及空中人行连廊。鼓励人车分行</w:t>
      </w:r>
      <w:r>
        <w:rPr>
          <w:rFonts w:ascii="宋体" w:hAnsi="宋体" w:eastAsia="宋体"/>
          <w:sz w:val="24"/>
          <w:szCs w:val="24"/>
        </w:rPr>
        <w:t>，减少与</w:t>
      </w:r>
      <w:r>
        <w:rPr>
          <w:rFonts w:hint="eastAsia" w:ascii="宋体" w:hAnsi="宋体" w:eastAsia="宋体"/>
          <w:sz w:val="24"/>
          <w:szCs w:val="24"/>
        </w:rPr>
        <w:t>机动车交织，</w:t>
      </w:r>
      <w:r>
        <w:rPr>
          <w:rFonts w:ascii="宋体" w:hAnsi="宋体" w:eastAsia="宋体"/>
          <w:sz w:val="24"/>
          <w:szCs w:val="24"/>
        </w:rPr>
        <w:t>保证行人安全、通畅，</w:t>
      </w:r>
      <w:r>
        <w:rPr>
          <w:rFonts w:hint="eastAsia" w:ascii="宋体" w:hAnsi="宋体" w:eastAsia="宋体"/>
          <w:sz w:val="24"/>
          <w:szCs w:val="24"/>
        </w:rPr>
        <w:t>并</w:t>
      </w:r>
      <w:r>
        <w:rPr>
          <w:rFonts w:ascii="宋体" w:hAnsi="宋体" w:eastAsia="宋体"/>
          <w:sz w:val="24"/>
          <w:szCs w:val="24"/>
        </w:rPr>
        <w:t>应该考虑景观的需求。</w:t>
      </w:r>
      <w:r>
        <w:rPr>
          <w:rFonts w:hint="eastAsia" w:ascii="宋体" w:hAnsi="宋体" w:eastAsia="宋体"/>
          <w:sz w:val="24"/>
          <w:szCs w:val="24"/>
        </w:rPr>
        <w:t>在轨道交通车站及其5</w:t>
      </w:r>
      <w:r>
        <w:rPr>
          <w:rFonts w:ascii="宋体" w:hAnsi="宋体" w:eastAsia="宋体"/>
          <w:sz w:val="24"/>
          <w:szCs w:val="24"/>
        </w:rPr>
        <w:t>00</w:t>
      </w:r>
      <w:r>
        <w:rPr>
          <w:rFonts w:hint="eastAsia" w:ascii="宋体" w:hAnsi="宋体" w:eastAsia="宋体"/>
          <w:sz w:val="24"/>
          <w:szCs w:val="24"/>
        </w:rPr>
        <w:t>米范围内的公交站场、大型商业区和大型公共建筑之间，应设人行步道系统</w:t>
      </w:r>
      <w:r>
        <w:rPr>
          <w:rFonts w:ascii="宋体" w:hAnsi="宋体" w:eastAsia="宋体"/>
          <w:sz w:val="24"/>
          <w:szCs w:val="24"/>
        </w:rPr>
        <w:t>,</w:t>
      </w:r>
      <w:r>
        <w:rPr>
          <w:rFonts w:hint="eastAsia" w:ascii="宋体" w:hAnsi="宋体" w:eastAsia="宋体"/>
          <w:sz w:val="24"/>
          <w:szCs w:val="24"/>
        </w:rPr>
        <w:t>并缩短步行换乘距离。</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（2）客流集散广场</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人流集散广场主要提供给进出乘客进行短暂的休憩、聚集和分散。原则上</w:t>
      </w:r>
      <w:r>
        <w:rPr>
          <w:rFonts w:hint="eastAsia" w:ascii="宋体" w:hAnsi="宋体" w:eastAsia="宋体"/>
          <w:sz w:val="24"/>
          <w:szCs w:val="24"/>
        </w:rPr>
        <w:t>各</w:t>
      </w:r>
      <w:r>
        <w:rPr>
          <w:rFonts w:ascii="宋体" w:hAnsi="宋体" w:eastAsia="宋体"/>
          <w:sz w:val="24"/>
          <w:szCs w:val="24"/>
        </w:rPr>
        <w:t>出入口</w:t>
      </w:r>
      <w:r>
        <w:rPr>
          <w:rFonts w:hint="eastAsia" w:ascii="宋体" w:hAnsi="宋体" w:eastAsia="宋体"/>
          <w:sz w:val="24"/>
          <w:szCs w:val="24"/>
        </w:rPr>
        <w:t>均</w:t>
      </w:r>
      <w:r>
        <w:rPr>
          <w:rFonts w:ascii="宋体" w:hAnsi="宋体" w:eastAsia="宋体"/>
          <w:sz w:val="24"/>
          <w:szCs w:val="24"/>
        </w:rPr>
        <w:t>需设置</w:t>
      </w:r>
      <w:r>
        <w:rPr>
          <w:rFonts w:hint="eastAsia" w:ascii="宋体" w:hAnsi="宋体" w:eastAsia="宋体"/>
          <w:sz w:val="24"/>
          <w:szCs w:val="24"/>
        </w:rPr>
        <w:t>，广场规模根据客流情况确定</w:t>
      </w:r>
      <w:r>
        <w:rPr>
          <w:rFonts w:ascii="宋体" w:hAnsi="宋体" w:eastAsia="宋体"/>
          <w:sz w:val="24"/>
          <w:szCs w:val="24"/>
        </w:rPr>
        <w:t>。</w:t>
      </w:r>
      <w:r>
        <w:rPr>
          <w:rFonts w:hint="eastAsia" w:ascii="宋体" w:hAnsi="宋体" w:eastAsia="宋体"/>
          <w:sz w:val="24"/>
          <w:szCs w:val="24"/>
        </w:rPr>
        <w:t>一般情况下集散广场的规模应大于50平方米。</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本条的评价方法为：设计评价查阅相关设计文件（含设计说明、施工图和计算书）；运营评价查阅相关竣工图、计算书、验收记录，并现场核实。</w:t>
      </w:r>
    </w:p>
    <w:p>
      <w:pPr>
        <w:adjustRightInd w:val="0"/>
        <w:snapToGrid w:val="0"/>
        <w:spacing w:line="360" w:lineRule="auto"/>
        <w:rPr>
          <w:rFonts w:ascii="宋体" w:hAnsi="宋体" w:eastAsia="宋体"/>
          <w:sz w:val="24"/>
          <w:szCs w:val="24"/>
        </w:rPr>
      </w:pPr>
      <w:bookmarkStart w:id="112" w:name="_Hlk517082360"/>
      <w:r>
        <w:rPr>
          <w:rFonts w:ascii="仿宋" w:hAnsi="仿宋" w:eastAsia="仿宋"/>
          <w:b/>
          <w:sz w:val="24"/>
          <w:szCs w:val="24"/>
        </w:rPr>
        <w:t>5.2.</w:t>
      </w:r>
      <w:r>
        <w:rPr>
          <w:rFonts w:hint="eastAsia" w:ascii="仿宋" w:hAnsi="仿宋" w:eastAsia="仿宋"/>
          <w:b/>
          <w:sz w:val="24"/>
          <w:szCs w:val="24"/>
        </w:rPr>
        <w:t xml:space="preserve">11  </w:t>
      </w:r>
      <w:r>
        <w:rPr>
          <w:rFonts w:hint="eastAsia" w:ascii="宋体" w:hAnsi="宋体" w:eastAsia="宋体"/>
          <w:sz w:val="24"/>
          <w:szCs w:val="24"/>
        </w:rPr>
        <w:t>本条适用于绿色轨道交通的规划设计阶段和运营管理阶段评价。</w:t>
      </w:r>
    </w:p>
    <w:bookmarkEnd w:id="112"/>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轨道交通车站</w:t>
      </w:r>
      <w:r>
        <w:rPr>
          <w:rFonts w:ascii="宋体" w:hAnsi="宋体" w:eastAsia="宋体"/>
          <w:sz w:val="24"/>
          <w:szCs w:val="24"/>
        </w:rPr>
        <w:t>周边</w:t>
      </w:r>
      <w:r>
        <w:rPr>
          <w:rFonts w:hint="eastAsia" w:ascii="宋体" w:hAnsi="宋体" w:eastAsia="宋体"/>
          <w:sz w:val="24"/>
          <w:szCs w:val="24"/>
        </w:rPr>
        <w:t>的</w:t>
      </w:r>
      <w:r>
        <w:rPr>
          <w:rFonts w:ascii="宋体" w:hAnsi="宋体" w:eastAsia="宋体"/>
          <w:sz w:val="24"/>
          <w:szCs w:val="24"/>
        </w:rPr>
        <w:t>公交设施一般分为两种，一种为公交</w:t>
      </w:r>
      <w:r>
        <w:rPr>
          <w:rFonts w:hint="eastAsia" w:ascii="宋体" w:hAnsi="宋体" w:eastAsia="宋体"/>
          <w:sz w:val="24"/>
          <w:szCs w:val="24"/>
        </w:rPr>
        <w:t>枢纽</w:t>
      </w:r>
      <w:r>
        <w:rPr>
          <w:rFonts w:ascii="宋体" w:hAnsi="宋体" w:eastAsia="宋体"/>
          <w:sz w:val="24"/>
          <w:szCs w:val="24"/>
        </w:rPr>
        <w:t>，另一种为公交停靠站。</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（1）公交停靠站</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按照客流方向，公交</w:t>
      </w:r>
      <w:r>
        <w:rPr>
          <w:rFonts w:hint="eastAsia" w:ascii="宋体" w:hAnsi="宋体" w:eastAsia="宋体"/>
          <w:sz w:val="24"/>
          <w:szCs w:val="24"/>
        </w:rPr>
        <w:t>停靠站</w:t>
      </w:r>
      <w:r>
        <w:rPr>
          <w:rFonts w:ascii="宋体" w:hAnsi="宋体" w:eastAsia="宋体"/>
          <w:sz w:val="24"/>
          <w:szCs w:val="24"/>
        </w:rPr>
        <w:t>的位置在符合规范的情况下，应靠近</w:t>
      </w:r>
      <w:r>
        <w:rPr>
          <w:rFonts w:hint="eastAsia" w:ascii="宋体" w:hAnsi="宋体" w:eastAsia="宋体"/>
          <w:sz w:val="24"/>
          <w:szCs w:val="24"/>
        </w:rPr>
        <w:t>轨道交通车站</w:t>
      </w:r>
      <w:r>
        <w:rPr>
          <w:rFonts w:ascii="宋体" w:hAnsi="宋体" w:eastAsia="宋体"/>
          <w:sz w:val="24"/>
          <w:szCs w:val="24"/>
        </w:rPr>
        <w:t>出入口布置，最远步行距离不超过300米，以减少换乘距离。在公交换乘客流较大的车站，应尽可能提供公交车优先的专用道、设置港湾式停靠站，保证公交接驳线路的稳定性，提高公交的停靠能力，同时减少对道路交通的影响。</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（2）公交</w:t>
      </w:r>
      <w:r>
        <w:rPr>
          <w:rFonts w:hint="eastAsia" w:ascii="宋体" w:hAnsi="宋体" w:eastAsia="宋体"/>
          <w:sz w:val="24"/>
          <w:szCs w:val="24"/>
        </w:rPr>
        <w:t>枢纽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指具有公交首末站中的发车位、周转停车和乘客上车及候车功能的公交场站用地。除轨道终点站及车辆段等城市外围地区外，不建议与城市轨道车站相结合的公交枢纽设置夜间停车、车辆检修等专为车辆服务的功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公交枢纽、公交停靠站的设置，应综合考虑城市不同片区轨道交通与地面公交的发展定位。同时，应做好公交枢纽内部车流和人流的组织，避免与地铁进出站客流发生交叉干扰。</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本条的评价方法为：设计评价查阅相关设计文件（含设计说明、施工图和计算书）；运营评价查阅相关竣工图、并现场核实。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12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铁路客运站客流量大，需要轨道交通支撑才能充分实现运能匹配，在提升服务效率的同时实现绿色交通发展。因此，本标准鼓励轨道车站与铁路客运枢纽之间实现便捷、安全、高品质的衔接。首先鼓励在铁路客运收建设时充分对接并预留轨道交通站场用地，实现立体布局，节约土地资源，缩短换乘距离。如后期加建或缺乏预留条件的，应通过在轨道车站和铁路客运枢纽之间建立一体化的步行空间，方便旅客换乘。同时应考虑与铁路客运枢纽组合设置的城市轨道车站，也需要为周边社区提供便捷的服务，因此在铁路客运站内和站外都应设有城市轨道车站出入口，减少人流的交织干扰。</w:t>
      </w:r>
    </w:p>
    <w:p>
      <w:pPr>
        <w:pStyle w:val="22"/>
        <w:spacing w:line="360" w:lineRule="auto"/>
        <w:ind w:firstLine="480"/>
        <w:rPr>
          <w:rFonts w:ascii="宋体" w:hAnsi="宋体"/>
          <w:sz w:val="24"/>
        </w:rPr>
      </w:pPr>
      <w:r>
        <w:rPr>
          <w:rFonts w:hint="eastAsia" w:ascii="宋体" w:hAnsi="宋体"/>
          <w:sz w:val="24"/>
        </w:rPr>
        <w:t>本条款的得分值为线路平均值，即每个与铁路、机场、客运港衔接的车站分别计算出本条款的分数，求和后除以车站数。</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本条的评价方法为：设计评价查阅相关设计文件（含设计说明、施工图和计算书）；运营评价查阅相关竣工图、计算书、验收记录，并现场核实。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5.2.13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本条所指公共交通站点包括公共汽车站和轨道交通站。为便于选择公共交通出行，在车辆基地选址与场地规划中应重视建筑场地与公共交通点的便捷联系，合理设置出入口。</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ascii="仿宋" w:hAnsi="仿宋" w:eastAsia="仿宋"/>
          <w:b/>
          <w:sz w:val="24"/>
          <w:szCs w:val="24"/>
        </w:rPr>
        <w:t>5.2.</w:t>
      </w:r>
      <w:r>
        <w:rPr>
          <w:rFonts w:hint="eastAsia" w:ascii="仿宋" w:hAnsi="仿宋" w:eastAsia="仿宋"/>
          <w:b/>
          <w:sz w:val="24"/>
          <w:szCs w:val="24"/>
        </w:rPr>
        <w:t xml:space="preserve">14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自动化车辆基地能</w:t>
      </w:r>
      <w:r>
        <w:rPr>
          <w:rFonts w:hint="eastAsia" w:ascii="宋体" w:hAnsi="宋体" w:eastAsia="宋体"/>
          <w:sz w:val="24"/>
          <w:szCs w:val="24"/>
        </w:rPr>
        <w:t>提升运行安全可靠性、提升服务效率、降低人力成本、提高收发车效率。</w:t>
      </w:r>
      <w:r>
        <w:rPr>
          <w:rFonts w:ascii="宋体" w:hAnsi="宋体" w:eastAsia="宋体"/>
          <w:sz w:val="24"/>
          <w:szCs w:val="24"/>
        </w:rPr>
        <w:t>随着自动化等级的提高，自动化车辆基地的优势逐步提升。</w:t>
      </w:r>
    </w:p>
    <w:p>
      <w:pPr>
        <w:adjustRightInd w:val="0"/>
        <w:snapToGrid w:val="0"/>
        <w:spacing w:line="360" w:lineRule="auto"/>
        <w:ind w:firstLine="480" w:firstLineChars="200"/>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sz w:val="24"/>
          <w:szCs w:val="24"/>
        </w:rPr>
        <w:t>本条的评价方法为：规划设计阶段评价查阅相关设计文件；运营管理阶段评查阅运营记录及其他证明文件。</w:t>
      </w:r>
    </w:p>
    <w:p>
      <w:pPr>
        <w:adjustRightInd w:val="0"/>
        <w:snapToGrid w:val="0"/>
        <w:spacing w:line="360" w:lineRule="auto"/>
        <w:rPr>
          <w:rFonts w:ascii="宋体" w:hAnsi="宋体" w:eastAsia="宋体"/>
          <w:sz w:val="24"/>
          <w:szCs w:val="24"/>
        </w:rPr>
      </w:pPr>
    </w:p>
    <w:p>
      <w:pPr>
        <w:pStyle w:val="2"/>
        <w:spacing w:before="624" w:after="624"/>
      </w:pPr>
      <w:bookmarkStart w:id="113" w:name="_Toc77584255"/>
      <w:bookmarkStart w:id="114" w:name="_Toc60822435"/>
      <w:bookmarkStart w:id="115" w:name="_Toc60819562"/>
      <w:bookmarkStart w:id="116" w:name="_Toc60822260"/>
      <w:r>
        <w:t>6</w:t>
      </w:r>
      <w:r>
        <w:rPr>
          <w:rFonts w:hint="eastAsia"/>
        </w:rPr>
        <w:t xml:space="preserve">  </w:t>
      </w:r>
      <w:r>
        <w:t>健康舒适</w:t>
      </w:r>
      <w:bookmarkEnd w:id="113"/>
      <w:bookmarkEnd w:id="114"/>
      <w:bookmarkEnd w:id="115"/>
      <w:bookmarkEnd w:id="116"/>
    </w:p>
    <w:p>
      <w:pPr>
        <w:pStyle w:val="3"/>
        <w:spacing w:before="468" w:after="468"/>
      </w:pPr>
      <w:bookmarkStart w:id="117" w:name="_Toc60822436"/>
      <w:bookmarkStart w:id="118" w:name="_Toc60822261"/>
      <w:bookmarkStart w:id="119" w:name="_Toc77584256"/>
      <w:bookmarkStart w:id="120" w:name="_Toc60819563"/>
      <w:r>
        <w:rPr>
          <w:rFonts w:hint="eastAsia"/>
        </w:rPr>
        <w:t>6</w:t>
      </w:r>
      <w:r>
        <w:t>.1</w:t>
      </w:r>
      <w:r>
        <w:rPr>
          <w:rFonts w:hint="eastAsia"/>
        </w:rPr>
        <w:t xml:space="preserve">  </w:t>
      </w:r>
      <w:r>
        <w:t>控制项</w:t>
      </w:r>
      <w:bookmarkEnd w:id="117"/>
      <w:bookmarkEnd w:id="118"/>
      <w:bookmarkEnd w:id="119"/>
      <w:bookmarkEnd w:id="120"/>
    </w:p>
    <w:p>
      <w:pPr>
        <w:spacing w:line="360" w:lineRule="auto"/>
        <w:jc w:val="left"/>
        <w:rPr>
          <w:rFonts w:ascii="宋体" w:hAnsi="宋体"/>
          <w:sz w:val="24"/>
          <w:szCs w:val="24"/>
        </w:rPr>
      </w:pPr>
      <w:r>
        <w:rPr>
          <w:rFonts w:hint="eastAsia" w:ascii="仿宋" w:hAnsi="仿宋" w:eastAsia="仿宋"/>
          <w:b/>
          <w:sz w:val="24"/>
          <w:szCs w:val="24"/>
        </w:rPr>
        <w:t xml:space="preserve">6.1.1  </w:t>
      </w:r>
      <w:r>
        <w:rPr>
          <w:rFonts w:hint="eastAsia" w:ascii="宋体" w:hAnsi="宋体"/>
          <w:sz w:val="24"/>
          <w:szCs w:val="24"/>
        </w:rPr>
        <w:t>本条适用于绿色车站的规划设计阶段和运营管理阶段评价。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轨道交通车站内的背景噪声水平是影响旅客及管理人员声环境感官的重要因素之一。室内噪声危害是多方面的，包括引起耳部不适、降低工作效率等。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本条的评价方法为：规划设计阶段评价查阅相关设计文件；运营管理阶段评价查阅相关竣工图，并现场核实。</w:t>
      </w:r>
    </w:p>
    <w:p>
      <w:pPr>
        <w:spacing w:line="360" w:lineRule="auto"/>
        <w:jc w:val="left"/>
        <w:rPr>
          <w:rFonts w:ascii="宋体" w:hAnsi="宋体"/>
          <w:sz w:val="24"/>
          <w:szCs w:val="24"/>
        </w:rPr>
      </w:pPr>
      <w:r>
        <w:rPr>
          <w:rFonts w:hint="eastAsia" w:ascii="仿宋" w:hAnsi="仿宋" w:eastAsia="仿宋"/>
          <w:b/>
          <w:sz w:val="24"/>
          <w:szCs w:val="24"/>
        </w:rPr>
        <w:t xml:space="preserve">6.1.2  </w:t>
      </w:r>
      <w:r>
        <w:rPr>
          <w:rFonts w:hint="eastAsia" w:ascii="宋体" w:hAnsi="宋体"/>
          <w:sz w:val="24"/>
          <w:szCs w:val="24"/>
        </w:rPr>
        <w:t>本条适用于绿色车站的规划设计阶段和运营管理阶段评价。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本标准参考先进城市经验，适用于地面、墙面、天花板装修的材料（例如表</w:t>
      </w:r>
      <w:r>
        <w:rPr>
          <w:rFonts w:hint="eastAsia" w:ascii="宋体" w:hAnsi="宋体"/>
          <w:sz w:val="24"/>
          <w:szCs w:val="24"/>
          <w:lang w:val="en-US" w:eastAsia="zh-CN"/>
        </w:rPr>
        <w:t>6.1.</w:t>
      </w:r>
      <w:r>
        <w:rPr>
          <w:rFonts w:hint="eastAsia" w:ascii="宋体" w:hAnsi="宋体"/>
          <w:sz w:val="24"/>
          <w:szCs w:val="24"/>
        </w:rPr>
        <w:t>2），供公厕建设时选用，增强标准的可操作性和指引性。</w:t>
      </w:r>
    </w:p>
    <w:p>
      <w:pPr>
        <w:spacing w:line="360" w:lineRule="auto"/>
        <w:jc w:val="center"/>
        <w:rPr>
          <w:rFonts w:ascii="宋体" w:hAnsi="宋体"/>
          <w:b/>
        </w:rPr>
      </w:pPr>
      <w:r>
        <w:rPr>
          <w:rFonts w:hint="eastAsia" w:ascii="宋体" w:hAnsi="宋体"/>
          <w:b/>
        </w:rPr>
        <w:t>表</w:t>
      </w:r>
      <w:r>
        <w:rPr>
          <w:rFonts w:hint="eastAsia" w:ascii="宋体" w:hAnsi="宋体"/>
          <w:b/>
          <w:lang w:val="en-US" w:eastAsia="zh-CN"/>
        </w:rPr>
        <w:t>6.1.</w:t>
      </w:r>
      <w:r>
        <w:rPr>
          <w:rFonts w:hint="eastAsia" w:ascii="宋体" w:hAnsi="宋体"/>
          <w:b/>
        </w:rPr>
        <w:t>2  装饰装修材料选用评价内容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line="360" w:lineRule="auto"/>
              <w:jc w:val="center"/>
              <w:rPr>
                <w:rFonts w:ascii="宋体" w:hAnsi="宋体"/>
              </w:rPr>
            </w:pPr>
            <w:r>
              <w:rPr>
                <w:rFonts w:hint="eastAsia" w:ascii="宋体" w:hAnsi="宋体"/>
              </w:rPr>
              <w:t>分类</w:t>
            </w:r>
          </w:p>
        </w:tc>
        <w:tc>
          <w:tcPr>
            <w:tcW w:w="6152" w:type="dxa"/>
            <w:shd w:val="clear" w:color="auto" w:fill="auto"/>
          </w:tcPr>
          <w:p>
            <w:pPr>
              <w:spacing w:line="360" w:lineRule="auto"/>
              <w:jc w:val="center"/>
              <w:rPr>
                <w:rFonts w:ascii="宋体" w:hAnsi="宋体"/>
              </w:rPr>
            </w:pPr>
            <w:r>
              <w:rPr>
                <w:rFonts w:hint="eastAsia" w:ascii="宋体" w:hAnsi="宋体"/>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vAlign w:val="center"/>
          </w:tcPr>
          <w:p>
            <w:pPr>
              <w:spacing w:line="360" w:lineRule="auto"/>
              <w:jc w:val="center"/>
              <w:rPr>
                <w:rFonts w:ascii="宋体" w:hAnsi="宋体"/>
              </w:rPr>
            </w:pPr>
            <w:r>
              <w:rPr>
                <w:rFonts w:hint="eastAsia" w:ascii="宋体" w:hAnsi="宋体"/>
              </w:rPr>
              <w:t>天花</w:t>
            </w:r>
          </w:p>
        </w:tc>
        <w:tc>
          <w:tcPr>
            <w:tcW w:w="6152" w:type="dxa"/>
            <w:shd w:val="clear" w:color="auto" w:fill="auto"/>
          </w:tcPr>
          <w:p>
            <w:pPr>
              <w:spacing w:line="360" w:lineRule="auto"/>
              <w:jc w:val="left"/>
              <w:rPr>
                <w:rFonts w:ascii="宋体" w:hAnsi="宋体"/>
              </w:rPr>
            </w:pPr>
            <w:r>
              <w:rPr>
                <w:rFonts w:hint="eastAsia" w:ascii="宋体" w:hAnsi="宋体"/>
              </w:rPr>
              <w:t>材料建议如铝合金型材、铝板、不锈钢板、防水防潮纤维石膏板等。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vAlign w:val="center"/>
          </w:tcPr>
          <w:p>
            <w:pPr>
              <w:spacing w:line="360" w:lineRule="auto"/>
              <w:jc w:val="center"/>
              <w:rPr>
                <w:rFonts w:ascii="宋体" w:hAnsi="宋体"/>
              </w:rPr>
            </w:pPr>
            <w:r>
              <w:rPr>
                <w:rFonts w:hint="eastAsia" w:ascii="宋体" w:hAnsi="宋体"/>
              </w:rPr>
              <w:t>地面</w:t>
            </w:r>
          </w:p>
        </w:tc>
        <w:tc>
          <w:tcPr>
            <w:tcW w:w="6152" w:type="dxa"/>
            <w:shd w:val="clear" w:color="auto" w:fill="auto"/>
          </w:tcPr>
          <w:p>
            <w:pPr>
              <w:spacing w:line="360" w:lineRule="auto"/>
              <w:jc w:val="left"/>
              <w:rPr>
                <w:rFonts w:ascii="宋体" w:hAnsi="宋体"/>
              </w:rPr>
            </w:pPr>
            <w:r>
              <w:rPr>
                <w:rFonts w:hint="eastAsia" w:ascii="宋体" w:hAnsi="宋体"/>
              </w:rPr>
              <w:t>铺装前应做防水，材料建议如防滑瓷砖、天然石材、同质砖、水磨石等。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vAlign w:val="center"/>
          </w:tcPr>
          <w:p>
            <w:pPr>
              <w:spacing w:line="360" w:lineRule="auto"/>
              <w:jc w:val="center"/>
              <w:rPr>
                <w:rFonts w:ascii="宋体" w:hAnsi="宋体"/>
              </w:rPr>
            </w:pPr>
            <w:r>
              <w:rPr>
                <w:rFonts w:hint="eastAsia" w:ascii="宋体" w:hAnsi="宋体"/>
              </w:rPr>
              <w:t>墙面</w:t>
            </w:r>
          </w:p>
        </w:tc>
        <w:tc>
          <w:tcPr>
            <w:tcW w:w="6152" w:type="dxa"/>
            <w:shd w:val="clear" w:color="auto" w:fill="auto"/>
          </w:tcPr>
          <w:p>
            <w:pPr>
              <w:spacing w:line="360" w:lineRule="auto"/>
              <w:jc w:val="left"/>
              <w:rPr>
                <w:rFonts w:ascii="宋体" w:hAnsi="宋体"/>
              </w:rPr>
            </w:pPr>
            <w:r>
              <w:rPr>
                <w:rFonts w:hint="eastAsia" w:ascii="宋体" w:hAnsi="宋体"/>
              </w:rPr>
              <w:t>建议采用色彩明亮、光滑、不易附着污垢、便于清洗的材料并设置到顶，如瓷砖、天然石材、同质砖、不锈钢、搪瓷钢板、玻璃、铝板等。</w:t>
            </w:r>
          </w:p>
        </w:tc>
      </w:tr>
    </w:tbl>
    <w:p>
      <w:pPr>
        <w:spacing w:line="360" w:lineRule="auto"/>
        <w:ind w:firstLine="480"/>
        <w:jc w:val="left"/>
        <w:rPr>
          <w:rFonts w:ascii="宋体" w:hAnsi="宋体"/>
          <w:sz w:val="24"/>
          <w:szCs w:val="24"/>
        </w:rPr>
      </w:pPr>
    </w:p>
    <w:p>
      <w:pPr>
        <w:adjustRightInd w:val="0"/>
        <w:snapToGrid w:val="0"/>
        <w:spacing w:line="360" w:lineRule="auto"/>
        <w:ind w:firstLine="480" w:firstLineChars="200"/>
        <w:rPr>
          <w:rFonts w:ascii="宋体" w:hAnsi="宋体" w:eastAsia="宋体"/>
          <w:sz w:val="24"/>
          <w:szCs w:val="24"/>
        </w:rPr>
      </w:pPr>
      <w:r>
        <w:rPr>
          <w:rFonts w:hint="eastAsia" w:ascii="宋体" w:hAnsi="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ascii="仿宋" w:hAnsi="仿宋" w:eastAsia="仿宋"/>
          <w:b/>
          <w:sz w:val="24"/>
          <w:szCs w:val="24"/>
        </w:rPr>
        <w:t>6.1.</w:t>
      </w:r>
      <w:r>
        <w:rPr>
          <w:rFonts w:hint="eastAsia" w:ascii="仿宋" w:hAnsi="仿宋" w:eastAsia="仿宋"/>
          <w:b/>
          <w:sz w:val="24"/>
          <w:szCs w:val="24"/>
        </w:rPr>
        <w:t xml:space="preserve">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规定了城市轨道交通通风、空气调节与供暖系统的具体范围与研究对象的共性规定。地下车站包括站厅、站台、设备及管理用房、出入口通道、换乘通道等区域；区间隧道包括正线隧道、渡线、折返线、存车线、尽端线隧道等。条文引用字《城市轨道交通通风空气调节与供暖设计标准》GB/T 51357。</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6</w:t>
      </w:r>
      <w:r>
        <w:rPr>
          <w:rFonts w:ascii="仿宋" w:hAnsi="仿宋" w:eastAsia="仿宋"/>
          <w:b/>
          <w:sz w:val="24"/>
          <w:szCs w:val="24"/>
        </w:rPr>
        <w:t>.1.</w:t>
      </w:r>
      <w:r>
        <w:rPr>
          <w:rFonts w:hint="eastAsia" w:ascii="仿宋" w:hAnsi="仿宋" w:eastAsia="仿宋"/>
          <w:b/>
          <w:sz w:val="24"/>
          <w:szCs w:val="24"/>
        </w:rPr>
        <w:t xml:space="preserve">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地下车站公共区的空气调节系统属舒适性空气调节,新风量的确定基于稀释人体所散发的CO</w:t>
      </w:r>
      <w:r>
        <w:rPr>
          <w:rFonts w:hint="eastAsia" w:ascii="宋体" w:hAnsi="宋体"/>
          <w:sz w:val="24"/>
          <w:szCs w:val="24"/>
          <w:vertAlign w:val="subscript"/>
        </w:rPr>
        <w:t>2</w:t>
      </w:r>
      <w:r>
        <w:rPr>
          <w:rFonts w:hint="eastAsia" w:ascii="宋体" w:hAnsi="宋体"/>
          <w:sz w:val="24"/>
          <w:szCs w:val="24"/>
        </w:rPr>
        <w:t>浓度,并在满足卫生要求的前提下尽量节能的原则。参照类似地面建筑物的新风量标准,对于人员密集逗留时间又较短的地下车站,推荐新风量为每位乘客不少于12.6m³/h。</w:t>
      </w:r>
    </w:p>
    <w:p>
      <w:pPr>
        <w:spacing w:line="360" w:lineRule="auto"/>
        <w:ind w:firstLine="420"/>
        <w:jc w:val="left"/>
        <w:rPr>
          <w:rFonts w:ascii="宋体" w:hAnsi="宋体"/>
          <w:sz w:val="24"/>
          <w:szCs w:val="24"/>
        </w:rPr>
      </w:pPr>
      <w:r>
        <w:rPr>
          <w:rFonts w:hint="eastAsia" w:ascii="宋体" w:hAnsi="宋体"/>
          <w:sz w:val="24"/>
          <w:szCs w:val="24"/>
        </w:rPr>
        <w:t>国家标准《地铁设计规范》GB50157-2013规定地下车站设备及管理用房空气中可吸入颗粒物的日平均浓度应小于0.25mg/m³。国家标准《环境空气质量标准》GB3095-2012将三类区并入二类区(居住区、商业交通居民混合区、工业区等),规定颗粒物(粒径小于或等于</w:t>
      </w:r>
      <w:r>
        <w:rPr>
          <w:rFonts w:ascii="宋体" w:hAnsi="宋体"/>
          <w:sz w:val="24"/>
          <w:szCs w:val="24"/>
        </w:rPr>
        <w:t>10</w:t>
      </w:r>
      <w:r>
        <w:rPr>
          <w:rFonts w:hint="eastAsia" w:ascii="宋体" w:hAnsi="宋体"/>
          <w:sz w:val="24"/>
          <w:szCs w:val="24"/>
        </w:rPr>
        <w:t>μm)的日平均浓度应小于0.l5mg/m³,该规定与国家标准《室内空气质量标准》GB/T18883-2002一致。考虑电气设备防尘要求以及工作人员长期工作环境要求的提升,本标准车站设备及管理用房室内空气质量标准采用空气中颗粒物日平均浓度小于0.15mg/m³。</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sz w:val="24"/>
          <w:szCs w:val="24"/>
        </w:rPr>
      </w:pPr>
      <w:r>
        <w:rPr>
          <w:rFonts w:hint="eastAsia" w:ascii="仿宋" w:hAnsi="仿宋" w:eastAsia="仿宋"/>
          <w:b/>
          <w:sz w:val="24"/>
          <w:szCs w:val="24"/>
        </w:rPr>
        <w:t>6</w:t>
      </w:r>
      <w:r>
        <w:rPr>
          <w:rFonts w:ascii="仿宋" w:hAnsi="仿宋" w:eastAsia="仿宋"/>
          <w:b/>
          <w:sz w:val="24"/>
          <w:szCs w:val="24"/>
        </w:rPr>
        <w:t>.1.</w:t>
      </w:r>
      <w:r>
        <w:rPr>
          <w:rFonts w:hint="eastAsia" w:ascii="仿宋" w:hAnsi="仿宋" w:eastAsia="仿宋"/>
          <w:b/>
          <w:sz w:val="24"/>
          <w:szCs w:val="24"/>
        </w:rPr>
        <w:t xml:space="preserve">5  </w:t>
      </w:r>
      <w:r>
        <w:rPr>
          <w:rFonts w:ascii="宋体" w:hAnsi="宋体"/>
          <w:sz w:val="24"/>
          <w:szCs w:val="24"/>
        </w:rPr>
        <w:t>本条适用于绿色</w:t>
      </w:r>
      <w:r>
        <w:rPr>
          <w:rFonts w:hint="eastAsia" w:ascii="宋体" w:hAnsi="宋体"/>
          <w:sz w:val="24"/>
          <w:szCs w:val="24"/>
        </w:rPr>
        <w:t>轨道</w:t>
      </w:r>
      <w:r>
        <w:rPr>
          <w:rFonts w:ascii="宋体" w:hAnsi="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风速对乘客有两个方面的影响。一方面它影响人体的热量平衡,引起不适。在夏季比较高的风速可以降低炎热的感觉,但在冬季同样的风速可能会感到冷。另一方面,比较高的风速可能会带入更多的灰尘、树叶等杂物,或带来吹起头发、帽子、裙子等问题。这些因素决定了瞬时最大允许风速。本标准参照美国《地铁环控设计手册》,规定正常工况下公共区乘客候车区域的各点瞬时最大风速不宜大于5m/s</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6</w:t>
      </w:r>
      <w:r>
        <w:rPr>
          <w:rFonts w:ascii="仿宋" w:hAnsi="仿宋" w:eastAsia="仿宋"/>
          <w:b/>
          <w:sz w:val="24"/>
          <w:szCs w:val="24"/>
        </w:rPr>
        <w:t>.1.</w:t>
      </w:r>
      <w:r>
        <w:rPr>
          <w:rFonts w:hint="eastAsia" w:ascii="仿宋" w:hAnsi="仿宋" w:eastAsia="仿宋"/>
          <w:b/>
          <w:sz w:val="24"/>
          <w:szCs w:val="24"/>
        </w:rPr>
        <w:t xml:space="preserve">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城市轨道交通车站的空气调节属舒适性空气调节。城市轨道交通环境是人员密集、短时间逗留的公共场所,乘客完成个乘车过程,从进站、候车到上车,在车站上一般为3min到5min,下车出站约需3min,其余大部分时间在车厢内。因此,车站的空气调节有别于一般舒适性空气调节。既然乘客在站厅和站台的时间特别短,只是通过和短暂停留,为了节约能源,只考虑乘客由地面进入城市轨道交通车站有较凉快的感觉,满足于“暂时舒适”就可以了。人们对温度变化有明显感觉的温差为2℃以上,因此站厅的设计温度比室外计算温度低2℃,就能满足“暂时舒适”的要求。同时考虑到我国地域辽阔,各地气候条件差异较大,人们长期生活的环境条件不同,因而对温度的适应情况不同,对温度的感觉也有所差异,如南方地区的人与北方地区的人相比,更喜欢温度低一些,因此提出一个既满足不同地区人员习惯又较为灵活的温差标准。</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6</w:t>
      </w:r>
      <w:r>
        <w:rPr>
          <w:rFonts w:ascii="仿宋" w:hAnsi="仿宋" w:eastAsia="仿宋"/>
          <w:b/>
          <w:sz w:val="24"/>
          <w:szCs w:val="24"/>
        </w:rPr>
        <w:t>.1.</w:t>
      </w:r>
      <w:r>
        <w:rPr>
          <w:rFonts w:hint="eastAsia" w:ascii="仿宋" w:hAnsi="仿宋" w:eastAsia="仿宋"/>
          <w:b/>
          <w:sz w:val="24"/>
          <w:szCs w:val="24"/>
        </w:rPr>
        <w:t xml:space="preserve">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jc w:val="left"/>
        <w:rPr>
          <w:rFonts w:ascii="宋体" w:hAnsi="宋体"/>
          <w:sz w:val="24"/>
          <w:szCs w:val="24"/>
        </w:rPr>
      </w:pPr>
      <w:r>
        <w:rPr>
          <w:rFonts w:hint="eastAsia" w:ascii="宋体" w:hAnsi="宋体"/>
          <w:sz w:val="24"/>
          <w:szCs w:val="24"/>
        </w:rPr>
        <w:t>地铁车辆客室为乘客长期停留的地方，在早晚高峰时期，客室内乘客拥挤成团容易造成空气流通不畅，新风量不达标引起乘客不适，因此必须对列车客室新风量提出要求。</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6.1.8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水封装置是建筑排水管道系统中用以实现水封功能的装置。便器构造内自带水封，能够在保证污废水顺利排出的前提下，最大限度地防止排水系统中的有害气体逸入室内，避免室内环境受到污染，有效保护人体健康。便器构造内自带水封时，有效水封深度不得小于</w:t>
      </w:r>
      <w:r>
        <w:rPr>
          <w:rFonts w:ascii="宋体" w:hAnsi="宋体" w:eastAsia="宋体"/>
          <w:sz w:val="24"/>
          <w:szCs w:val="24"/>
        </w:rPr>
        <w:t xml:space="preserve"> 50mm, </w:t>
      </w:r>
      <w:r>
        <w:rPr>
          <w:rFonts w:hint="eastAsia" w:ascii="宋体" w:hAnsi="宋体" w:eastAsia="宋体"/>
          <w:sz w:val="24"/>
          <w:szCs w:val="24"/>
        </w:rPr>
        <w:t>且不能采用活动机械密封替代水封。</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本条的评价方法为：规划设计阶段查阅相关设计文件、标识设置说明；运行阶段查阅相关竣工图、标识设置说明，并现场核实。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6.1.9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二次供水是目前各类建筑普遍采用的供水方式，储水设施是二次供水设施水质安全保障的关键环节。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w:t>
      </w:r>
      <w:r>
        <w:rPr>
          <w:rFonts w:ascii="宋体" w:hAnsi="宋体" w:eastAsia="宋体"/>
          <w:sz w:val="24"/>
          <w:szCs w:val="24"/>
        </w:rPr>
        <w:t xml:space="preserve"> 1 </w:t>
      </w:r>
      <w:r>
        <w:rPr>
          <w:rFonts w:hint="eastAsia" w:ascii="宋体" w:hAnsi="宋体" w:eastAsia="宋体"/>
          <w:sz w:val="24"/>
          <w:szCs w:val="24"/>
        </w:rPr>
        <w:t>款，现行国家标准《二次供水设施卫生规范》</w:t>
      </w:r>
      <w:r>
        <w:rPr>
          <w:rFonts w:ascii="宋体" w:hAnsi="宋体" w:eastAsia="宋体"/>
          <w:sz w:val="24"/>
          <w:szCs w:val="24"/>
        </w:rPr>
        <w:t xml:space="preserve"> GB17051 </w:t>
      </w:r>
      <w:r>
        <w:rPr>
          <w:rFonts w:hint="eastAsia" w:ascii="宋体" w:hAnsi="宋体" w:eastAsia="宋体"/>
          <w:sz w:val="24"/>
          <w:szCs w:val="24"/>
        </w:rPr>
        <w:t>和现行行业标准《二次供水工程技术规程》</w:t>
      </w:r>
      <w:r>
        <w:rPr>
          <w:rFonts w:ascii="宋体" w:hAnsi="宋体" w:eastAsia="宋体"/>
          <w:sz w:val="24"/>
          <w:szCs w:val="24"/>
        </w:rPr>
        <w:t xml:space="preserve"> CJJ 140 </w:t>
      </w:r>
      <w:r>
        <w:rPr>
          <w:rFonts w:hint="eastAsia" w:ascii="宋体" w:hAnsi="宋体" w:eastAsia="宋体"/>
          <w:sz w:val="24"/>
          <w:szCs w:val="24"/>
        </w:rPr>
        <w:t>规定了建筑二次供水设施的卫生要求和水质检测方法。使用符合现行国家标准《二次供水设施卫生规范》</w:t>
      </w:r>
      <w:r>
        <w:rPr>
          <w:rFonts w:ascii="宋体" w:hAnsi="宋体" w:eastAsia="宋体"/>
          <w:sz w:val="24"/>
          <w:szCs w:val="24"/>
        </w:rPr>
        <w:t xml:space="preserve"> GB 17051 </w:t>
      </w:r>
      <w:r>
        <w:rPr>
          <w:rFonts w:hint="eastAsia" w:ascii="宋体" w:hAnsi="宋体" w:eastAsia="宋体"/>
          <w:sz w:val="24"/>
          <w:szCs w:val="24"/>
        </w:rPr>
        <w:t>和现行行业标准《二次供水工程技术规程》</w:t>
      </w:r>
      <w:r>
        <w:rPr>
          <w:rFonts w:ascii="宋体" w:hAnsi="宋体" w:eastAsia="宋体"/>
          <w:sz w:val="24"/>
          <w:szCs w:val="24"/>
        </w:rPr>
        <w:t xml:space="preserve"> CJJ 140 </w:t>
      </w:r>
      <w:r>
        <w:rPr>
          <w:rFonts w:hint="eastAsia" w:ascii="宋体" w:hAnsi="宋体" w:eastAsia="宋体"/>
          <w:sz w:val="24"/>
          <w:szCs w:val="24"/>
        </w:rPr>
        <w:t>要求的成品水箱，能够有效避免现场加工过程中的污染问题，且在安全生产、品质控制、减少误差等方面均较现场加工更有优势。</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w:t>
      </w:r>
      <w:r>
        <w:rPr>
          <w:rFonts w:ascii="宋体" w:hAnsi="宋体" w:eastAsia="宋体"/>
          <w:sz w:val="24"/>
          <w:szCs w:val="24"/>
        </w:rPr>
        <w:t xml:space="preserve"> 2 </w:t>
      </w:r>
      <w:r>
        <w:rPr>
          <w:rFonts w:hint="eastAsia" w:ascii="宋体" w:hAnsi="宋体" w:eastAsia="宋体"/>
          <w:sz w:val="24"/>
          <w:szCs w:val="24"/>
        </w:rPr>
        <w:t>款，常用的避免储水变质的主要技术措施包括：储水设施分格、保证设施内水流通畅、检查口（人孔）加锁、溢流管及通气管口采取防止生物进入的措施等。应制定水池、水箱等储水设施定期清洗消毒计划并实施，且生活饮用水储水设施每半年清洗消毒不应少于</w:t>
      </w:r>
      <w:r>
        <w:rPr>
          <w:rFonts w:ascii="宋体" w:hAnsi="宋体" w:eastAsia="宋体"/>
          <w:sz w:val="24"/>
          <w:szCs w:val="24"/>
        </w:rPr>
        <w:t>1</w:t>
      </w:r>
      <w:r>
        <w:rPr>
          <w:rFonts w:hint="eastAsia" w:ascii="宋体" w:hAnsi="宋体" w:eastAsia="宋体"/>
          <w:sz w:val="24"/>
          <w:szCs w:val="24"/>
        </w:rPr>
        <w:t>次，储水设施清洗后应进行水质检测，水质合格后方可恢复供水。</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本条的评价方法为：运行阶段查阅相关竣工图、水池清洗消毒记录报告，标识设置说明，水质检测报告，并现场核实。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6.1.10  </w:t>
      </w:r>
      <w:r>
        <w:rPr>
          <w:rFonts w:hint="eastAsia" w:ascii="宋体" w:hAnsi="宋体" w:eastAsia="宋体"/>
          <w:sz w:val="24"/>
          <w:szCs w:val="24"/>
        </w:rPr>
        <w:t>本条适用于绿色轨道交通运营管理阶段评价。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本条的评价方法为：运行阶段查阅相关竣工图、水质检测报告，并现场核实。</w:t>
      </w:r>
    </w:p>
    <w:p>
      <w:pPr>
        <w:adjustRightInd w:val="0"/>
        <w:snapToGrid w:val="0"/>
        <w:spacing w:line="360" w:lineRule="auto"/>
        <w:rPr>
          <w:rFonts w:ascii="宋体" w:hAnsi="宋体" w:eastAsia="宋体"/>
          <w:sz w:val="24"/>
          <w:szCs w:val="24"/>
        </w:rPr>
      </w:pPr>
      <w:r>
        <w:rPr>
          <w:rFonts w:ascii="仿宋" w:hAnsi="仿宋" w:eastAsia="仿宋"/>
          <w:b/>
          <w:sz w:val="24"/>
          <w:szCs w:val="24"/>
        </w:rPr>
        <w:t>6.1.1</w:t>
      </w:r>
      <w:r>
        <w:rPr>
          <w:rFonts w:hint="eastAsia" w:ascii="仿宋" w:hAnsi="仿宋" w:eastAsia="仿宋"/>
          <w:b/>
          <w:sz w:val="24"/>
          <w:szCs w:val="24"/>
        </w:rPr>
        <w:t xml:space="preserve">1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该条款主要对站台门的材料选型提出了基本要求，满足乘客健康舒适的要求，主要包括密封件、绝缘件、电力电缆、橡胶条等部件。</w:t>
      </w:r>
    </w:p>
    <w:p>
      <w:pPr>
        <w:spacing w:line="312" w:lineRule="auto"/>
        <w:ind w:firstLine="480" w:firstLineChars="200"/>
        <w:jc w:val="left"/>
        <w:rPr>
          <w:rFonts w:ascii="Times New Roman" w:hAnsi="Times New Roman"/>
          <w:b/>
          <w:sz w:val="24"/>
          <w:szCs w:val="24"/>
        </w:rPr>
      </w:pPr>
      <w:r>
        <w:rPr>
          <w:rFonts w:hint="eastAsia" w:ascii="宋体" w:hAnsi="宋体" w:eastAsia="宋体"/>
          <w:sz w:val="24"/>
          <w:szCs w:val="24"/>
        </w:rPr>
        <w:t>本条的评价方法为：规划设计阶段评价查阅相关设计文件、采购合同，相关检测报告；运营管理阶段现场勘查。</w:t>
      </w:r>
    </w:p>
    <w:p>
      <w:pPr>
        <w:adjustRightInd w:val="0"/>
        <w:snapToGrid w:val="0"/>
        <w:spacing w:line="360" w:lineRule="auto"/>
        <w:rPr>
          <w:rFonts w:ascii="宋体" w:hAnsi="宋体" w:eastAsia="宋体"/>
          <w:sz w:val="24"/>
          <w:szCs w:val="24"/>
        </w:rPr>
      </w:pPr>
      <w:r>
        <w:rPr>
          <w:rFonts w:ascii="仿宋" w:hAnsi="仿宋" w:eastAsia="仿宋"/>
          <w:b/>
          <w:sz w:val="24"/>
          <w:szCs w:val="24"/>
        </w:rPr>
        <w:t>6.1.1</w:t>
      </w:r>
      <w:r>
        <w:rPr>
          <w:rFonts w:hint="eastAsia" w:ascii="仿宋" w:hAnsi="仿宋" w:eastAsia="仿宋"/>
          <w:b/>
          <w:sz w:val="24"/>
          <w:szCs w:val="24"/>
        </w:rPr>
        <w:t xml:space="preserve">2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站台门位于车站公共区，其运营产生的噪音对健康舒适方便有直接影响。</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本条的评价方法为：规划设计阶段评价查阅相关设计文件、采购合同、测试报告；运营管理阶段现场勘查。</w:t>
      </w:r>
    </w:p>
    <w:p>
      <w:pPr>
        <w:pStyle w:val="3"/>
        <w:spacing w:before="468" w:after="468"/>
        <w:sectPr>
          <w:pgSz w:w="11906" w:h="16838"/>
          <w:pgMar w:top="1440" w:right="1797" w:bottom="1440" w:left="1797" w:header="851" w:footer="992" w:gutter="0"/>
          <w:cols w:space="425" w:num="1"/>
          <w:docGrid w:type="lines" w:linePitch="312" w:charSpace="0"/>
        </w:sectPr>
      </w:pPr>
      <w:bookmarkStart w:id="121" w:name="_Toc60822437"/>
      <w:bookmarkStart w:id="122" w:name="_Toc60822262"/>
      <w:bookmarkStart w:id="123" w:name="_Toc60819564"/>
      <w:bookmarkStart w:id="124" w:name="_Toc77584257"/>
    </w:p>
    <w:p>
      <w:pPr>
        <w:pStyle w:val="3"/>
        <w:spacing w:before="468" w:after="468"/>
      </w:pPr>
      <w:r>
        <w:rPr>
          <w:rFonts w:hint="eastAsia"/>
        </w:rPr>
        <w:t>6</w:t>
      </w:r>
      <w:r>
        <w:t>.2</w:t>
      </w:r>
      <w:r>
        <w:rPr>
          <w:rFonts w:hint="eastAsia"/>
        </w:rPr>
        <w:t xml:space="preserve">  </w:t>
      </w:r>
      <w:r>
        <w:t>评分项</w:t>
      </w:r>
      <w:bookmarkEnd w:id="121"/>
      <w:bookmarkEnd w:id="122"/>
      <w:bookmarkEnd w:id="123"/>
      <w:bookmarkEnd w:id="124"/>
    </w:p>
    <w:p>
      <w:pPr>
        <w:adjustRightInd w:val="0"/>
        <w:snapToGrid w:val="0"/>
        <w:spacing w:line="360" w:lineRule="auto"/>
        <w:rPr>
          <w:rFonts w:ascii="宋体" w:hAnsi="宋体" w:eastAsia="宋体"/>
          <w:sz w:val="24"/>
          <w:szCs w:val="24"/>
        </w:rPr>
      </w:pPr>
      <w:r>
        <w:rPr>
          <w:rFonts w:ascii="仿宋" w:hAnsi="仿宋" w:eastAsia="仿宋"/>
          <w:b/>
          <w:sz w:val="24"/>
          <w:szCs w:val="24"/>
        </w:rPr>
        <w:t>6.</w:t>
      </w:r>
      <w:r>
        <w:rPr>
          <w:rFonts w:hint="eastAsia" w:ascii="仿宋" w:hAnsi="仿宋" w:eastAsia="仿宋"/>
          <w:b/>
          <w:sz w:val="24"/>
          <w:szCs w:val="24"/>
        </w:rPr>
        <w:t>2</w:t>
      </w:r>
      <w:r>
        <w:rPr>
          <w:rFonts w:ascii="仿宋" w:hAnsi="仿宋" w:eastAsia="仿宋"/>
          <w:b/>
          <w:sz w:val="24"/>
          <w:szCs w:val="24"/>
        </w:rPr>
        <w:t>.1</w:t>
      </w:r>
      <w:r>
        <w:rPr>
          <w:rFonts w:hint="eastAsia" w:ascii="仿宋" w:hAnsi="仿宋" w:eastAsia="仿宋"/>
          <w:b/>
          <w:sz w:val="24"/>
          <w:szCs w:val="24"/>
        </w:rPr>
        <w:t xml:space="preserve">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本条的评价方法为：规划设计阶段评价查阅相关设计文件、采购合同、测试报告；运营管理阶段现场勘查及查看记录。</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  </w:t>
      </w:r>
      <w:r>
        <w:rPr>
          <w:rFonts w:hint="eastAsia" w:ascii="宋体" w:hAnsi="宋体" w:eastAsia="宋体"/>
          <w:sz w:val="24"/>
          <w:szCs w:val="24"/>
        </w:rPr>
        <w:t>本条适用于绿色轨道交通的运营管理阶段评价。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根据中国城市轨道交通协会2017、2018、2019年公布城市轨道交通年度统计和分析报告，全市人口</w:t>
      </w:r>
      <w:r>
        <w:rPr>
          <w:rFonts w:hint="eastAsia" w:ascii="宋体" w:hAnsi="宋体" w:eastAsia="宋体"/>
          <w:sz w:val="24"/>
          <w:szCs w:val="24"/>
          <w:lang w:eastAsia="zh-CN"/>
        </w:rPr>
        <w:t>大于等于</w:t>
      </w:r>
      <w:r>
        <w:rPr>
          <w:rFonts w:hint="eastAsia" w:ascii="宋体" w:hAnsi="宋体" w:eastAsia="宋体"/>
          <w:sz w:val="24"/>
          <w:szCs w:val="24"/>
        </w:rPr>
        <w:t>1500万的城市，最高线网平均客运强度平均值为1.8万人/日公里，线网平均客运强度平均值为1.3万人/日公里；全市人口</w:t>
      </w:r>
      <w:r>
        <w:rPr>
          <w:rFonts w:hint="eastAsia" w:ascii="宋体" w:hAnsi="宋体" w:eastAsia="宋体"/>
          <w:sz w:val="24"/>
          <w:szCs w:val="24"/>
          <w:lang w:eastAsia="zh-CN"/>
        </w:rPr>
        <w:t>大于等于</w:t>
      </w:r>
      <w:r>
        <w:rPr>
          <w:rFonts w:hint="eastAsia" w:ascii="宋体" w:hAnsi="宋体" w:eastAsia="宋体"/>
          <w:sz w:val="24"/>
          <w:szCs w:val="24"/>
        </w:rPr>
        <w:t>1000万且</w:t>
      </w:r>
      <w:r>
        <w:rPr>
          <w:rFonts w:hint="eastAsia" w:ascii="宋体" w:hAnsi="宋体" w:eastAsia="宋体"/>
          <w:sz w:val="24"/>
          <w:szCs w:val="24"/>
          <w:lang w:eastAsia="zh-CN"/>
        </w:rPr>
        <w:t>小于</w:t>
      </w:r>
      <w:r>
        <w:rPr>
          <w:rFonts w:hint="eastAsia" w:ascii="宋体" w:hAnsi="宋体" w:eastAsia="宋体"/>
          <w:sz w:val="24"/>
          <w:szCs w:val="24"/>
        </w:rPr>
        <w:t>1500万的城市，最高线网平均客运强度平均值为1.7万人/日公里，线网平均客运强度平均值为1.1万人/日公里；全市人口</w:t>
      </w:r>
      <w:r>
        <w:rPr>
          <w:rFonts w:hint="eastAsia" w:ascii="宋体" w:hAnsi="宋体" w:eastAsia="宋体"/>
          <w:sz w:val="24"/>
          <w:szCs w:val="24"/>
          <w:lang w:eastAsia="zh-CN"/>
        </w:rPr>
        <w:t>大于等于</w:t>
      </w:r>
      <w:r>
        <w:rPr>
          <w:rFonts w:hint="eastAsia" w:ascii="宋体" w:hAnsi="宋体" w:eastAsia="宋体"/>
          <w:sz w:val="24"/>
          <w:szCs w:val="24"/>
        </w:rPr>
        <w:t>500万且</w:t>
      </w:r>
      <w:r>
        <w:rPr>
          <w:rFonts w:hint="eastAsia" w:ascii="宋体" w:hAnsi="宋体" w:eastAsia="宋体"/>
          <w:sz w:val="24"/>
          <w:szCs w:val="24"/>
          <w:lang w:eastAsia="zh-CN"/>
        </w:rPr>
        <w:t>小于</w:t>
      </w:r>
      <w:r>
        <w:rPr>
          <w:rFonts w:hint="eastAsia" w:ascii="宋体" w:hAnsi="宋体" w:eastAsia="宋体"/>
          <w:sz w:val="24"/>
          <w:szCs w:val="24"/>
        </w:rPr>
        <w:t>1000万的城市，最高线网平均客运强度平均值为1.0万人/日公里，线网平均客运强度平均值为0.5万人/日公里；全市人口</w:t>
      </w:r>
      <w:r>
        <w:rPr>
          <w:rFonts w:hint="eastAsia" w:ascii="宋体" w:hAnsi="宋体" w:eastAsia="宋体"/>
          <w:sz w:val="24"/>
          <w:szCs w:val="24"/>
          <w:lang w:eastAsia="zh-CN"/>
        </w:rPr>
        <w:t>大于等于</w:t>
      </w:r>
      <w:r>
        <w:rPr>
          <w:rFonts w:hint="eastAsia" w:ascii="宋体" w:hAnsi="宋体" w:eastAsia="宋体"/>
          <w:sz w:val="24"/>
          <w:szCs w:val="24"/>
        </w:rPr>
        <w:t>300万且</w:t>
      </w:r>
      <w:r>
        <w:rPr>
          <w:rFonts w:hint="eastAsia" w:ascii="宋体" w:hAnsi="宋体" w:eastAsia="宋体"/>
          <w:sz w:val="24"/>
          <w:szCs w:val="24"/>
          <w:lang w:eastAsia="zh-CN"/>
        </w:rPr>
        <w:t>小于</w:t>
      </w:r>
      <w:r>
        <w:rPr>
          <w:rFonts w:hint="eastAsia" w:ascii="宋体" w:hAnsi="宋体" w:eastAsia="宋体"/>
          <w:sz w:val="24"/>
          <w:szCs w:val="24"/>
        </w:rPr>
        <w:t>500万的城市，最高线网平均客运强度为0.66万人/日公里；国务院办公厅关于进一步加强城市轨道交通规划建设管理的意见（国办发〔2018〕52）号文提出拟建地铁、轻轨线路初期客运强度不宜低于每日每公里0.7万人次、0.4万人次。因此各得分项最低分均按客运强度0.7万人/日公里控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运营管理阶段根据相关运营数据</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6.2.3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眩光”是一种不良的采光现象，当光源的亮度极高或是背景与视野中心的亮度差较大时，就会产生“眩光”。“眩光”现象不仅影响观看，而且影响视力健康。按照《建筑采光设计标准》(GB50033)的要求，合理采取防眩光措施，如玻璃幕墙设置可调内遮阳窗帘、天窗设遮阳构件、中庭设挡光板等。</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本条的评价方法为：设计评价查阅相关设计文件，运营评价查阅相关图纸、运行记录，并现场核实。地下车站不参评。</w:t>
      </w:r>
    </w:p>
    <w:p>
      <w:pPr>
        <w:spacing w:line="360" w:lineRule="auto"/>
        <w:jc w:val="left"/>
        <w:rPr>
          <w:rFonts w:ascii="宋体" w:hAnsi="宋体"/>
          <w:sz w:val="24"/>
          <w:szCs w:val="24"/>
        </w:rPr>
      </w:pPr>
      <w:r>
        <w:rPr>
          <w:rFonts w:hint="eastAsia" w:ascii="仿宋" w:hAnsi="仿宋" w:eastAsia="仿宋"/>
          <w:b/>
          <w:sz w:val="24"/>
          <w:szCs w:val="24"/>
        </w:rPr>
        <w:t xml:space="preserve">6.2.4  </w:t>
      </w:r>
      <w:r>
        <w:rPr>
          <w:rFonts w:hint="eastAsia" w:ascii="宋体" w:hAnsi="宋体"/>
          <w:sz w:val="24"/>
          <w:szCs w:val="24"/>
        </w:rPr>
        <w:t>本条适用于绿色车站的规划设计阶段和运营管理阶段评价。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车站站台列车进、出站噪声应符合现行国家标准《城市轨道交通车站站台声学要求和测量方法》GB14227的规定，噪声等效声级的最大容许限值应符合表</w:t>
      </w:r>
      <w:r>
        <w:rPr>
          <w:rFonts w:hint="eastAsia" w:ascii="宋体" w:hAnsi="宋体"/>
          <w:sz w:val="24"/>
          <w:szCs w:val="24"/>
          <w:lang w:val="en-US" w:eastAsia="zh-CN"/>
        </w:rPr>
        <w:t>6.2.4</w:t>
      </w:r>
      <w:r>
        <w:rPr>
          <w:rFonts w:hint="eastAsia" w:ascii="宋体" w:hAnsi="宋体"/>
          <w:sz w:val="24"/>
          <w:szCs w:val="24"/>
        </w:rPr>
        <w:t>的要求。城市轨道车站无列车的情况下，其车站站台、站厅环境噪声不得超过70dBA。</w:t>
      </w:r>
    </w:p>
    <w:p>
      <w:pPr>
        <w:spacing w:line="360" w:lineRule="auto"/>
        <w:ind w:firstLine="480"/>
        <w:jc w:val="center"/>
        <w:rPr>
          <w:rFonts w:ascii="宋体" w:hAnsi="宋体"/>
          <w:b/>
          <w:sz w:val="24"/>
          <w:szCs w:val="24"/>
        </w:rPr>
      </w:pPr>
      <w:r>
        <w:rPr>
          <w:rFonts w:hint="eastAsia" w:ascii="宋体" w:hAnsi="宋体"/>
          <w:b/>
          <w:sz w:val="24"/>
          <w:szCs w:val="24"/>
        </w:rPr>
        <w:t>表</w:t>
      </w:r>
      <w:r>
        <w:rPr>
          <w:rFonts w:hint="eastAsia" w:ascii="宋体" w:hAnsi="宋体"/>
          <w:b/>
          <w:sz w:val="24"/>
          <w:szCs w:val="24"/>
          <w:lang w:val="en-US" w:eastAsia="zh-CN"/>
        </w:rPr>
        <w:t>6.2.4</w:t>
      </w:r>
      <w:r>
        <w:rPr>
          <w:rFonts w:hint="eastAsia" w:ascii="宋体" w:hAnsi="宋体"/>
          <w:b/>
          <w:sz w:val="24"/>
          <w:szCs w:val="24"/>
        </w:rPr>
        <w:t xml:space="preserve"> 车站站台最大容许噪声限值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50" w:type="dxa"/>
            <w:shd w:val="clear" w:color="auto" w:fill="auto"/>
          </w:tcPr>
          <w:p>
            <w:pPr>
              <w:spacing w:line="360" w:lineRule="auto"/>
              <w:jc w:val="center"/>
              <w:rPr>
                <w:rFonts w:ascii="宋体" w:hAnsi="宋体"/>
              </w:rPr>
            </w:pPr>
            <w:r>
              <w:rPr>
                <w:rFonts w:hint="eastAsia" w:ascii="宋体" w:hAnsi="宋体"/>
              </w:rPr>
              <w:t>列车运行状态</w:t>
            </w:r>
          </w:p>
        </w:tc>
        <w:tc>
          <w:tcPr>
            <w:tcW w:w="3850" w:type="dxa"/>
            <w:shd w:val="clear" w:color="auto" w:fill="auto"/>
          </w:tcPr>
          <w:p>
            <w:pPr>
              <w:spacing w:line="360" w:lineRule="auto"/>
              <w:jc w:val="center"/>
              <w:rPr>
                <w:rFonts w:ascii="宋体" w:hAnsi="宋体"/>
              </w:rPr>
            </w:pPr>
            <w:r>
              <w:rPr>
                <w:rFonts w:hint="eastAsia" w:ascii="宋体" w:hAnsi="宋体"/>
              </w:rPr>
              <w:t>噪声限值（dB）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50" w:type="dxa"/>
            <w:shd w:val="clear" w:color="auto" w:fill="auto"/>
          </w:tcPr>
          <w:p>
            <w:pPr>
              <w:spacing w:line="360" w:lineRule="auto"/>
              <w:jc w:val="center"/>
              <w:rPr>
                <w:rFonts w:ascii="宋体" w:hAnsi="宋体"/>
              </w:rPr>
            </w:pPr>
            <w:r>
              <w:rPr>
                <w:rFonts w:hint="eastAsia" w:ascii="宋体" w:hAnsi="宋体"/>
              </w:rPr>
              <w:t>列车进站</w:t>
            </w:r>
          </w:p>
        </w:tc>
        <w:tc>
          <w:tcPr>
            <w:tcW w:w="3850" w:type="dxa"/>
            <w:shd w:val="clear" w:color="auto" w:fill="auto"/>
          </w:tcPr>
          <w:p>
            <w:pPr>
              <w:spacing w:line="360" w:lineRule="auto"/>
              <w:jc w:val="center"/>
              <w:rPr>
                <w:rFonts w:ascii="宋体" w:hAnsi="宋体"/>
              </w:rPr>
            </w:pPr>
            <w:r>
              <w:rPr>
                <w:rFonts w:hint="eastAsia" w:ascii="宋体" w:hAnsi="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50" w:type="dxa"/>
            <w:shd w:val="clear" w:color="auto" w:fill="auto"/>
          </w:tcPr>
          <w:p>
            <w:pPr>
              <w:spacing w:line="360" w:lineRule="auto"/>
              <w:jc w:val="center"/>
              <w:rPr>
                <w:rFonts w:ascii="宋体" w:hAnsi="宋体"/>
              </w:rPr>
            </w:pPr>
            <w:r>
              <w:rPr>
                <w:rFonts w:hint="eastAsia" w:ascii="宋体" w:hAnsi="宋体"/>
              </w:rPr>
              <w:t>列车出站</w:t>
            </w:r>
          </w:p>
        </w:tc>
        <w:tc>
          <w:tcPr>
            <w:tcW w:w="3850" w:type="dxa"/>
            <w:shd w:val="clear" w:color="auto" w:fill="auto"/>
          </w:tcPr>
          <w:p>
            <w:pPr>
              <w:spacing w:line="360" w:lineRule="auto"/>
              <w:jc w:val="center"/>
              <w:rPr>
                <w:rFonts w:ascii="宋体" w:hAnsi="宋体"/>
              </w:rPr>
            </w:pPr>
            <w:r>
              <w:rPr>
                <w:rFonts w:hint="eastAsia" w:ascii="宋体" w:hAnsi="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50" w:type="dxa"/>
            <w:shd w:val="clear" w:color="auto" w:fill="auto"/>
          </w:tcPr>
          <w:p>
            <w:pPr>
              <w:spacing w:line="360" w:lineRule="auto"/>
              <w:jc w:val="center"/>
              <w:rPr>
                <w:rFonts w:ascii="宋体" w:hAnsi="宋体"/>
              </w:rPr>
            </w:pPr>
            <w:r>
              <w:rPr>
                <w:rFonts w:hint="eastAsia" w:ascii="宋体" w:hAnsi="宋体"/>
              </w:rPr>
              <w:t>无列车进出站</w:t>
            </w:r>
          </w:p>
        </w:tc>
        <w:tc>
          <w:tcPr>
            <w:tcW w:w="3850" w:type="dxa"/>
            <w:shd w:val="clear" w:color="auto" w:fill="auto"/>
          </w:tcPr>
          <w:p>
            <w:pPr>
              <w:spacing w:line="360" w:lineRule="auto"/>
              <w:jc w:val="center"/>
              <w:rPr>
                <w:rFonts w:ascii="宋体" w:hAnsi="宋体"/>
              </w:rPr>
            </w:pPr>
            <w:r>
              <w:rPr>
                <w:rFonts w:hint="eastAsia" w:ascii="宋体" w:hAnsi="宋体"/>
              </w:rPr>
              <w:t>70</w:t>
            </w:r>
          </w:p>
        </w:tc>
      </w:tr>
    </w:tbl>
    <w:p>
      <w:pPr>
        <w:adjustRightInd w:val="0"/>
        <w:snapToGrid w:val="0"/>
        <w:spacing w:line="360" w:lineRule="auto"/>
        <w:ind w:firstLine="480" w:firstLineChars="200"/>
        <w:rPr>
          <w:rFonts w:ascii="宋体" w:hAnsi="宋体" w:eastAsia="宋体"/>
          <w:sz w:val="24"/>
          <w:szCs w:val="24"/>
        </w:rPr>
      </w:pPr>
      <w:r>
        <w:rPr>
          <w:rFonts w:hint="eastAsia" w:ascii="宋体" w:hAnsi="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城市轨道交通为客流量大的人员密集场所，为开展自救互救活动，应对乘客突发疾病的状况，保障乘客健康权益，有必要在车站配置必要的医疗急救器械（</w:t>
      </w:r>
      <w:r>
        <w:rPr>
          <w:rFonts w:hint="eastAsia" w:ascii="宋体" w:hAnsi="宋体" w:eastAsia="宋体"/>
          <w:sz w:val="24"/>
          <w:szCs w:val="24"/>
        </w:rPr>
        <w:t>表</w:t>
      </w:r>
      <w:r>
        <w:rPr>
          <w:rFonts w:hint="eastAsia" w:ascii="宋体" w:hAnsi="宋体"/>
          <w:sz w:val="24"/>
          <w:szCs w:val="24"/>
          <w:lang w:val="en-US" w:eastAsia="zh-CN"/>
        </w:rPr>
        <w:t>6.2.</w:t>
      </w:r>
      <w:r>
        <w:rPr>
          <w:rFonts w:hint="eastAsia" w:ascii="宋体" w:hAnsi="宋体" w:eastAsia="宋体"/>
          <w:sz w:val="24"/>
          <w:szCs w:val="24"/>
          <w:lang w:val="en-US" w:eastAsia="zh-CN"/>
        </w:rPr>
        <w:t>5-1</w:t>
      </w:r>
      <w:r>
        <w:rPr>
          <w:rFonts w:hint="eastAsia" w:ascii="宋体" w:hAnsi="宋体"/>
          <w:sz w:val="24"/>
          <w:szCs w:val="24"/>
        </w:rPr>
        <w:t>）、设备及药品（</w:t>
      </w:r>
      <w:r>
        <w:rPr>
          <w:rFonts w:hint="eastAsia" w:ascii="宋体" w:hAnsi="宋体" w:eastAsia="宋体"/>
          <w:sz w:val="24"/>
          <w:szCs w:val="24"/>
        </w:rPr>
        <w:t>表</w:t>
      </w:r>
      <w:r>
        <w:rPr>
          <w:rFonts w:hint="eastAsia" w:ascii="宋体" w:hAnsi="宋体"/>
          <w:sz w:val="24"/>
          <w:szCs w:val="24"/>
          <w:lang w:val="en-US" w:eastAsia="zh-CN"/>
        </w:rPr>
        <w:t>6.2.5-2</w:t>
      </w:r>
      <w:r>
        <w:rPr>
          <w:rFonts w:hint="eastAsia" w:ascii="宋体" w:hAnsi="宋体"/>
          <w:sz w:val="24"/>
          <w:szCs w:val="24"/>
        </w:rPr>
        <w:t>），同时对站务人员进行应急技能的培训及对乘客进行广泛地宣传，也是轨道交通作为公共交通企业彰显责任担当的体现。</w:t>
      </w:r>
    </w:p>
    <w:p>
      <w:pPr>
        <w:jc w:val="center"/>
        <w:rPr>
          <w:rFonts w:ascii="宋体" w:hAnsi="宋体" w:eastAsia="宋体"/>
          <w:b/>
        </w:rPr>
      </w:pPr>
      <w:r>
        <w:rPr>
          <w:rFonts w:hint="eastAsia" w:ascii="宋体" w:hAnsi="宋体" w:eastAsia="宋体"/>
          <w:b/>
        </w:rPr>
        <w:t>表</w:t>
      </w:r>
      <w:r>
        <w:rPr>
          <w:rFonts w:hint="eastAsia" w:ascii="宋体" w:hAnsi="宋体" w:eastAsia="宋体"/>
          <w:b/>
          <w:lang w:val="en-US" w:eastAsia="zh-CN"/>
        </w:rPr>
        <w:t>6.2.5-1</w:t>
      </w:r>
      <w:r>
        <w:rPr>
          <w:rFonts w:hint="eastAsia" w:ascii="宋体" w:hAnsi="宋体" w:eastAsia="宋体"/>
          <w:b/>
        </w:rPr>
        <w:t>　急救医疗急救器械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3118"/>
        <w:gridCol w:w="1354"/>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用途</w:t>
            </w:r>
          </w:p>
        </w:tc>
        <w:tc>
          <w:tcPr>
            <w:tcW w:w="3118" w:type="dxa"/>
            <w:vAlign w:val="center"/>
          </w:tcPr>
          <w:p>
            <w:pPr>
              <w:jc w:val="center"/>
            </w:pPr>
            <w:r>
              <w:rPr>
                <w:rFonts w:hint="eastAsia"/>
              </w:rPr>
              <w:t>品名</w:t>
            </w:r>
          </w:p>
        </w:tc>
        <w:tc>
          <w:tcPr>
            <w:tcW w:w="1354" w:type="dxa"/>
            <w:vAlign w:val="center"/>
          </w:tcPr>
          <w:p>
            <w:pPr>
              <w:jc w:val="center"/>
            </w:pPr>
            <w:r>
              <w:rPr>
                <w:rFonts w:hint="eastAsia"/>
              </w:rPr>
              <w:t>规格</w:t>
            </w:r>
          </w:p>
        </w:tc>
        <w:tc>
          <w:tcPr>
            <w:tcW w:w="1509" w:type="dxa"/>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心肺复苏</w:t>
            </w:r>
          </w:p>
        </w:tc>
        <w:tc>
          <w:tcPr>
            <w:tcW w:w="3118" w:type="dxa"/>
            <w:vAlign w:val="center"/>
          </w:tcPr>
          <w:p>
            <w:pPr>
              <w:jc w:val="center"/>
            </w:pPr>
            <w:r>
              <w:rPr>
                <w:rFonts w:hint="eastAsia"/>
              </w:rPr>
              <w:t>口对口人工呼吸膜</w:t>
            </w:r>
          </w:p>
        </w:tc>
        <w:tc>
          <w:tcPr>
            <w:tcW w:w="1354" w:type="dxa"/>
            <w:vAlign w:val="center"/>
          </w:tcPr>
          <w:p>
            <w:pPr>
              <w:jc w:val="center"/>
            </w:pPr>
            <w:r>
              <w:rPr>
                <w:rFonts w:hint="eastAsia"/>
              </w:rPr>
              <w:t>个</w:t>
            </w:r>
          </w:p>
        </w:tc>
        <w:tc>
          <w:tcPr>
            <w:tcW w:w="1509"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抽搐</w:t>
            </w:r>
          </w:p>
        </w:tc>
        <w:tc>
          <w:tcPr>
            <w:tcW w:w="3118" w:type="dxa"/>
            <w:vAlign w:val="center"/>
          </w:tcPr>
          <w:p>
            <w:pPr>
              <w:jc w:val="center"/>
            </w:pPr>
            <w:r>
              <w:rPr>
                <w:rFonts w:hint="eastAsia"/>
              </w:rPr>
              <w:t>压舌板</w:t>
            </w:r>
          </w:p>
        </w:tc>
        <w:tc>
          <w:tcPr>
            <w:tcW w:w="1354" w:type="dxa"/>
            <w:vAlign w:val="center"/>
          </w:tcPr>
          <w:p>
            <w:pPr>
              <w:jc w:val="center"/>
            </w:pPr>
            <w:r>
              <w:rPr>
                <w:rFonts w:hint="eastAsia"/>
              </w:rPr>
              <w:t>个</w:t>
            </w:r>
          </w:p>
        </w:tc>
        <w:tc>
          <w:tcPr>
            <w:tcW w:w="1509" w:type="dxa"/>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restart"/>
            <w:vAlign w:val="center"/>
          </w:tcPr>
          <w:p>
            <w:pPr>
              <w:jc w:val="center"/>
            </w:pPr>
            <w:r>
              <w:rPr>
                <w:rFonts w:hint="eastAsia"/>
              </w:rPr>
              <w:t>消毒</w:t>
            </w:r>
          </w:p>
        </w:tc>
        <w:tc>
          <w:tcPr>
            <w:tcW w:w="3118" w:type="dxa"/>
            <w:vAlign w:val="center"/>
          </w:tcPr>
          <w:p>
            <w:pPr>
              <w:jc w:val="center"/>
            </w:pPr>
            <w:r>
              <w:rPr>
                <w:rFonts w:hint="eastAsia"/>
              </w:rPr>
              <w:t>碘伏棉签</w:t>
            </w:r>
          </w:p>
        </w:tc>
        <w:tc>
          <w:tcPr>
            <w:tcW w:w="1354" w:type="dxa"/>
            <w:vAlign w:val="center"/>
          </w:tcPr>
          <w:p>
            <w:pPr>
              <w:jc w:val="center"/>
            </w:pPr>
            <w:r>
              <w:rPr>
                <w:rFonts w:hint="eastAsia"/>
              </w:rPr>
              <w:t>包</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pPr>
              <w:jc w:val="center"/>
            </w:pPr>
          </w:p>
        </w:tc>
        <w:tc>
          <w:tcPr>
            <w:tcW w:w="3118" w:type="dxa"/>
            <w:vAlign w:val="center"/>
          </w:tcPr>
          <w:p>
            <w:pPr>
              <w:jc w:val="center"/>
            </w:pPr>
            <w:r>
              <w:rPr>
                <w:rFonts w:hint="eastAsia"/>
              </w:rPr>
              <w:t>无菌冲洗液（生理盐水）</w:t>
            </w:r>
          </w:p>
        </w:tc>
        <w:tc>
          <w:tcPr>
            <w:tcW w:w="1354" w:type="dxa"/>
            <w:vAlign w:val="center"/>
          </w:tcPr>
          <w:p>
            <w:pPr>
              <w:jc w:val="center"/>
            </w:pPr>
            <w:r>
              <w:rPr>
                <w:rFonts w:hint="eastAsia"/>
              </w:rPr>
              <w:t>瓶</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restart"/>
            <w:vAlign w:val="center"/>
          </w:tcPr>
          <w:p>
            <w:pPr>
              <w:jc w:val="center"/>
            </w:pPr>
            <w:r>
              <w:rPr>
                <w:rFonts w:hint="eastAsia"/>
              </w:rPr>
              <w:t>止血包扎固定</w:t>
            </w:r>
          </w:p>
        </w:tc>
        <w:tc>
          <w:tcPr>
            <w:tcW w:w="3118" w:type="dxa"/>
            <w:vAlign w:val="center"/>
          </w:tcPr>
          <w:p>
            <w:pPr>
              <w:jc w:val="center"/>
            </w:pPr>
            <w:r>
              <w:rPr>
                <w:rFonts w:hint="eastAsia"/>
              </w:rPr>
              <w:t>创可贴</w:t>
            </w:r>
          </w:p>
        </w:tc>
        <w:tc>
          <w:tcPr>
            <w:tcW w:w="1354" w:type="dxa"/>
            <w:vAlign w:val="center"/>
          </w:tcPr>
          <w:p>
            <w:pPr>
              <w:jc w:val="center"/>
            </w:pPr>
            <w:r>
              <w:rPr>
                <w:rFonts w:hint="eastAsia"/>
              </w:rPr>
              <w:t>片</w:t>
            </w:r>
          </w:p>
        </w:tc>
        <w:tc>
          <w:tcPr>
            <w:tcW w:w="1509"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pPr>
              <w:jc w:val="center"/>
            </w:pPr>
          </w:p>
        </w:tc>
        <w:tc>
          <w:tcPr>
            <w:tcW w:w="3118" w:type="dxa"/>
            <w:vAlign w:val="center"/>
          </w:tcPr>
          <w:p>
            <w:pPr>
              <w:jc w:val="center"/>
            </w:pPr>
            <w:r>
              <w:rPr>
                <w:rFonts w:hint="eastAsia"/>
              </w:rPr>
              <w:t>医用纱布（大、中、小）</w:t>
            </w:r>
          </w:p>
        </w:tc>
        <w:tc>
          <w:tcPr>
            <w:tcW w:w="1354" w:type="dxa"/>
            <w:vAlign w:val="center"/>
          </w:tcPr>
          <w:p>
            <w:pPr>
              <w:jc w:val="center"/>
            </w:pPr>
            <w:r>
              <w:rPr>
                <w:rFonts w:hint="eastAsia"/>
              </w:rPr>
              <w:t>包</w:t>
            </w:r>
          </w:p>
        </w:tc>
        <w:tc>
          <w:tcPr>
            <w:tcW w:w="1509"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pPr>
              <w:jc w:val="center"/>
            </w:pPr>
          </w:p>
        </w:tc>
        <w:tc>
          <w:tcPr>
            <w:tcW w:w="3118" w:type="dxa"/>
            <w:vAlign w:val="center"/>
          </w:tcPr>
          <w:p>
            <w:pPr>
              <w:jc w:val="center"/>
            </w:pPr>
            <w:r>
              <w:rPr>
                <w:rFonts w:hint="eastAsia"/>
              </w:rPr>
              <w:t>医用胶带</w:t>
            </w:r>
          </w:p>
        </w:tc>
        <w:tc>
          <w:tcPr>
            <w:tcW w:w="1354" w:type="dxa"/>
            <w:vAlign w:val="center"/>
          </w:tcPr>
          <w:p>
            <w:pPr>
              <w:jc w:val="center"/>
            </w:pPr>
            <w:r>
              <w:rPr>
                <w:rFonts w:hint="eastAsia"/>
              </w:rPr>
              <w:t>卷</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pPr>
              <w:jc w:val="center"/>
            </w:pPr>
          </w:p>
        </w:tc>
        <w:tc>
          <w:tcPr>
            <w:tcW w:w="3118" w:type="dxa"/>
            <w:vAlign w:val="center"/>
          </w:tcPr>
          <w:p>
            <w:pPr>
              <w:jc w:val="center"/>
            </w:pPr>
            <w:r>
              <w:rPr>
                <w:rFonts w:hint="eastAsia"/>
              </w:rPr>
              <w:t>绷带</w:t>
            </w:r>
          </w:p>
        </w:tc>
        <w:tc>
          <w:tcPr>
            <w:tcW w:w="1354" w:type="dxa"/>
            <w:vAlign w:val="center"/>
          </w:tcPr>
          <w:p>
            <w:pPr>
              <w:jc w:val="center"/>
            </w:pPr>
            <w:r>
              <w:rPr>
                <w:rFonts w:hint="eastAsia"/>
              </w:rPr>
              <w:t>卷</w:t>
            </w:r>
          </w:p>
        </w:tc>
        <w:tc>
          <w:tcPr>
            <w:tcW w:w="1509"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pPr>
              <w:jc w:val="center"/>
            </w:pPr>
          </w:p>
        </w:tc>
        <w:tc>
          <w:tcPr>
            <w:tcW w:w="3118" w:type="dxa"/>
            <w:vAlign w:val="center"/>
          </w:tcPr>
          <w:p>
            <w:pPr>
              <w:jc w:val="center"/>
            </w:pPr>
            <w:r>
              <w:rPr>
                <w:rFonts w:hint="eastAsia"/>
              </w:rPr>
              <w:t>夹板</w:t>
            </w:r>
          </w:p>
        </w:tc>
        <w:tc>
          <w:tcPr>
            <w:tcW w:w="1354" w:type="dxa"/>
            <w:vAlign w:val="center"/>
          </w:tcPr>
          <w:p>
            <w:pPr>
              <w:jc w:val="center"/>
            </w:pPr>
            <w:r>
              <w:rPr>
                <w:rFonts w:hint="eastAsia"/>
              </w:rPr>
              <w:t>副</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急救</w:t>
            </w:r>
          </w:p>
        </w:tc>
        <w:tc>
          <w:tcPr>
            <w:tcW w:w="3118" w:type="dxa"/>
            <w:vAlign w:val="center"/>
          </w:tcPr>
          <w:p>
            <w:pPr>
              <w:jc w:val="center"/>
            </w:pPr>
            <w:r>
              <w:rPr>
                <w:rFonts w:hint="eastAsia"/>
              </w:rPr>
              <w:t>急救箱（包）</w:t>
            </w:r>
          </w:p>
        </w:tc>
        <w:tc>
          <w:tcPr>
            <w:tcW w:w="1354" w:type="dxa"/>
            <w:vAlign w:val="center"/>
          </w:tcPr>
          <w:p>
            <w:pPr>
              <w:jc w:val="center"/>
            </w:pPr>
            <w:r>
              <w:rPr>
                <w:rFonts w:hint="eastAsia"/>
              </w:rPr>
              <w:t>个</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测量血压</w:t>
            </w:r>
          </w:p>
        </w:tc>
        <w:tc>
          <w:tcPr>
            <w:tcW w:w="3118" w:type="dxa"/>
            <w:vAlign w:val="center"/>
          </w:tcPr>
          <w:p>
            <w:pPr>
              <w:jc w:val="center"/>
            </w:pPr>
            <w:r>
              <w:rPr>
                <w:rFonts w:hint="eastAsia"/>
              </w:rPr>
              <w:t>电子血压计（选配）</w:t>
            </w:r>
          </w:p>
        </w:tc>
        <w:tc>
          <w:tcPr>
            <w:tcW w:w="1354" w:type="dxa"/>
            <w:vAlign w:val="center"/>
          </w:tcPr>
          <w:p>
            <w:pPr>
              <w:jc w:val="center"/>
            </w:pPr>
            <w:r>
              <w:rPr>
                <w:rFonts w:hint="eastAsia"/>
              </w:rPr>
              <w:t>台</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止血</w:t>
            </w:r>
          </w:p>
        </w:tc>
        <w:tc>
          <w:tcPr>
            <w:tcW w:w="3118" w:type="dxa"/>
            <w:vAlign w:val="center"/>
          </w:tcPr>
          <w:p>
            <w:pPr>
              <w:jc w:val="center"/>
            </w:pPr>
            <w:r>
              <w:rPr>
                <w:rFonts w:hint="eastAsia"/>
              </w:rPr>
              <w:t>止血带</w:t>
            </w:r>
          </w:p>
        </w:tc>
        <w:tc>
          <w:tcPr>
            <w:tcW w:w="1354" w:type="dxa"/>
            <w:vAlign w:val="center"/>
          </w:tcPr>
          <w:p>
            <w:pPr>
              <w:jc w:val="center"/>
            </w:pPr>
            <w:r>
              <w:rPr>
                <w:rFonts w:hint="eastAsia"/>
              </w:rPr>
              <w:t>条</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测量体温</w:t>
            </w:r>
          </w:p>
        </w:tc>
        <w:tc>
          <w:tcPr>
            <w:tcW w:w="3118" w:type="dxa"/>
            <w:vAlign w:val="center"/>
          </w:tcPr>
          <w:p>
            <w:pPr>
              <w:jc w:val="center"/>
            </w:pPr>
            <w:r>
              <w:rPr>
                <w:rFonts w:hint="eastAsia"/>
              </w:rPr>
              <w:t>电子体温计</w:t>
            </w:r>
          </w:p>
        </w:tc>
        <w:tc>
          <w:tcPr>
            <w:tcW w:w="1354" w:type="dxa"/>
            <w:vAlign w:val="center"/>
          </w:tcPr>
          <w:p>
            <w:pPr>
              <w:jc w:val="center"/>
            </w:pPr>
            <w:r>
              <w:rPr>
                <w:rFonts w:hint="eastAsia"/>
              </w:rPr>
              <w:t>支</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restart"/>
            <w:vAlign w:val="center"/>
          </w:tcPr>
          <w:p>
            <w:pPr>
              <w:jc w:val="center"/>
            </w:pPr>
            <w:r>
              <w:rPr>
                <w:rFonts w:hint="eastAsia"/>
              </w:rPr>
              <w:t>个人防护</w:t>
            </w:r>
          </w:p>
        </w:tc>
        <w:tc>
          <w:tcPr>
            <w:tcW w:w="3118" w:type="dxa"/>
            <w:vAlign w:val="center"/>
          </w:tcPr>
          <w:p>
            <w:pPr>
              <w:jc w:val="center"/>
            </w:pPr>
            <w:r>
              <w:rPr>
                <w:rFonts w:hint="eastAsia"/>
              </w:rPr>
              <w:t>外科口罩</w:t>
            </w:r>
          </w:p>
        </w:tc>
        <w:tc>
          <w:tcPr>
            <w:tcW w:w="1354" w:type="dxa"/>
            <w:vAlign w:val="center"/>
          </w:tcPr>
          <w:p>
            <w:pPr>
              <w:jc w:val="center"/>
            </w:pPr>
            <w:r>
              <w:rPr>
                <w:rFonts w:hint="eastAsia"/>
              </w:rPr>
              <w:t>副</w:t>
            </w:r>
          </w:p>
        </w:tc>
        <w:tc>
          <w:tcPr>
            <w:tcW w:w="1509"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pPr>
              <w:jc w:val="center"/>
            </w:pPr>
          </w:p>
        </w:tc>
        <w:tc>
          <w:tcPr>
            <w:tcW w:w="3118" w:type="dxa"/>
            <w:vAlign w:val="center"/>
          </w:tcPr>
          <w:p>
            <w:pPr>
              <w:jc w:val="center"/>
            </w:pPr>
            <w:r>
              <w:rPr>
                <w:rFonts w:hint="eastAsia"/>
              </w:rPr>
              <w:t>乳胶手套</w:t>
            </w:r>
          </w:p>
        </w:tc>
        <w:tc>
          <w:tcPr>
            <w:tcW w:w="1354" w:type="dxa"/>
            <w:vAlign w:val="center"/>
          </w:tcPr>
          <w:p>
            <w:pPr>
              <w:jc w:val="center"/>
            </w:pPr>
            <w:r>
              <w:rPr>
                <w:rFonts w:hint="eastAsia"/>
              </w:rPr>
              <w:t>副</w:t>
            </w:r>
          </w:p>
        </w:tc>
        <w:tc>
          <w:tcPr>
            <w:tcW w:w="1509"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pPr>
              <w:jc w:val="center"/>
            </w:pPr>
          </w:p>
        </w:tc>
        <w:tc>
          <w:tcPr>
            <w:tcW w:w="3118" w:type="dxa"/>
            <w:vAlign w:val="center"/>
          </w:tcPr>
          <w:p>
            <w:pPr>
              <w:jc w:val="center"/>
            </w:pPr>
            <w:r>
              <w:rPr>
                <w:rFonts w:hint="eastAsia"/>
              </w:rPr>
              <w:t>医用护目镜</w:t>
            </w:r>
          </w:p>
        </w:tc>
        <w:tc>
          <w:tcPr>
            <w:tcW w:w="1354" w:type="dxa"/>
            <w:vAlign w:val="center"/>
          </w:tcPr>
          <w:p>
            <w:pPr>
              <w:jc w:val="center"/>
            </w:pPr>
            <w:r>
              <w:rPr>
                <w:rFonts w:hint="eastAsia"/>
              </w:rPr>
              <w:t>副</w:t>
            </w:r>
          </w:p>
        </w:tc>
        <w:tc>
          <w:tcPr>
            <w:tcW w:w="1509" w:type="dxa"/>
            <w:vAlign w:val="center"/>
          </w:tcPr>
          <w:p>
            <w:pPr>
              <w:jc w:val="center"/>
            </w:pPr>
            <w:r>
              <w:rPr>
                <w:rFonts w:hint="eastAsia"/>
              </w:rPr>
              <w:t>5</w:t>
            </w:r>
          </w:p>
        </w:tc>
      </w:tr>
    </w:tbl>
    <w:p/>
    <w:p>
      <w:pPr>
        <w:jc w:val="center"/>
        <w:rPr>
          <w:rFonts w:ascii="宋体" w:hAnsi="宋体" w:eastAsia="宋体"/>
          <w:b/>
        </w:rPr>
      </w:pPr>
      <w:r>
        <w:rPr>
          <w:rFonts w:hint="eastAsia" w:ascii="宋体" w:hAnsi="宋体" w:eastAsia="宋体"/>
          <w:b/>
        </w:rPr>
        <w:t>表</w:t>
      </w:r>
      <w:r>
        <w:rPr>
          <w:rFonts w:hint="eastAsia" w:ascii="宋体" w:hAnsi="宋体" w:eastAsia="宋体"/>
          <w:b/>
          <w:lang w:val="en-US" w:eastAsia="zh-CN"/>
        </w:rPr>
        <w:t>6.2.5-2</w:t>
      </w:r>
      <w:r>
        <w:rPr>
          <w:rFonts w:hint="eastAsia" w:ascii="宋体" w:hAnsi="宋体" w:eastAsia="宋体"/>
          <w:b/>
        </w:rPr>
        <w:t>　急救药品</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3118"/>
        <w:gridCol w:w="1354"/>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用途</w:t>
            </w:r>
          </w:p>
        </w:tc>
        <w:tc>
          <w:tcPr>
            <w:tcW w:w="3118" w:type="dxa"/>
            <w:vAlign w:val="center"/>
          </w:tcPr>
          <w:p>
            <w:pPr>
              <w:jc w:val="center"/>
            </w:pPr>
            <w:r>
              <w:rPr>
                <w:rFonts w:hint="eastAsia"/>
              </w:rPr>
              <w:t>品名</w:t>
            </w:r>
          </w:p>
        </w:tc>
        <w:tc>
          <w:tcPr>
            <w:tcW w:w="1354" w:type="dxa"/>
            <w:vAlign w:val="center"/>
          </w:tcPr>
          <w:p>
            <w:pPr>
              <w:jc w:val="center"/>
            </w:pPr>
            <w:r>
              <w:rPr>
                <w:rFonts w:hint="eastAsia"/>
              </w:rPr>
              <w:t>规格</w:t>
            </w:r>
          </w:p>
        </w:tc>
        <w:tc>
          <w:tcPr>
            <w:tcW w:w="1509" w:type="dxa"/>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硝酸甘油片（或速效救心丸）</w:t>
            </w:r>
          </w:p>
        </w:tc>
        <w:tc>
          <w:tcPr>
            <w:tcW w:w="3118" w:type="dxa"/>
            <w:vAlign w:val="center"/>
          </w:tcPr>
          <w:p>
            <w:pPr>
              <w:jc w:val="center"/>
            </w:pPr>
            <w:r>
              <w:rPr>
                <w:rFonts w:hint="eastAsia"/>
              </w:rPr>
              <w:t>0.5mg（40mg/丸）</w:t>
            </w:r>
          </w:p>
        </w:tc>
        <w:tc>
          <w:tcPr>
            <w:tcW w:w="1354" w:type="dxa"/>
            <w:vAlign w:val="center"/>
          </w:tcPr>
          <w:p>
            <w:pPr>
              <w:jc w:val="center"/>
            </w:pPr>
            <w:r>
              <w:rPr>
                <w:rFonts w:hint="eastAsia"/>
              </w:rPr>
              <w:t>瓶</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沙丁胺醇气雾剂</w:t>
            </w:r>
          </w:p>
        </w:tc>
        <w:tc>
          <w:tcPr>
            <w:tcW w:w="3118" w:type="dxa"/>
            <w:vAlign w:val="center"/>
          </w:tcPr>
          <w:p>
            <w:pPr>
              <w:jc w:val="center"/>
            </w:pPr>
            <w:r>
              <w:rPr>
                <w:rFonts w:hint="eastAsia"/>
              </w:rPr>
              <w:t>100</w:t>
            </w:r>
            <w:r>
              <w:rPr>
                <w:rFonts w:hint="eastAsia" w:ascii="宋体" w:hAnsi="宋体" w:eastAsia="宋体"/>
              </w:rPr>
              <w:t>µ</w:t>
            </w:r>
            <w:r>
              <w:rPr>
                <w:rFonts w:hint="eastAsia"/>
              </w:rPr>
              <w:t>g/揿</w:t>
            </w:r>
          </w:p>
        </w:tc>
        <w:tc>
          <w:tcPr>
            <w:tcW w:w="1354" w:type="dxa"/>
            <w:vAlign w:val="center"/>
          </w:tcPr>
          <w:p>
            <w:pPr>
              <w:jc w:val="center"/>
            </w:pPr>
            <w:r>
              <w:rPr>
                <w:rFonts w:hint="eastAsia"/>
              </w:rPr>
              <w:t>瓶</w:t>
            </w:r>
          </w:p>
        </w:tc>
        <w:tc>
          <w:tcPr>
            <w:tcW w:w="150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jc w:val="center"/>
            </w:pPr>
            <w:r>
              <w:rPr>
                <w:rFonts w:hint="eastAsia"/>
              </w:rPr>
              <w:t>藿香正气口服液（或人丹）</w:t>
            </w:r>
          </w:p>
        </w:tc>
        <w:tc>
          <w:tcPr>
            <w:tcW w:w="3118" w:type="dxa"/>
            <w:vAlign w:val="center"/>
          </w:tcPr>
          <w:p>
            <w:pPr>
              <w:jc w:val="center"/>
            </w:pPr>
            <w:r>
              <w:rPr>
                <w:rFonts w:hint="eastAsia"/>
              </w:rPr>
              <w:t>10ml/支（10粒/0.3g）</w:t>
            </w:r>
          </w:p>
        </w:tc>
        <w:tc>
          <w:tcPr>
            <w:tcW w:w="1354" w:type="dxa"/>
            <w:vAlign w:val="center"/>
          </w:tcPr>
          <w:p>
            <w:pPr>
              <w:jc w:val="center"/>
            </w:pPr>
            <w:r>
              <w:rPr>
                <w:rFonts w:hint="eastAsia"/>
              </w:rPr>
              <w:t>盒</w:t>
            </w:r>
          </w:p>
        </w:tc>
        <w:tc>
          <w:tcPr>
            <w:tcW w:w="1509" w:type="dxa"/>
            <w:vAlign w:val="center"/>
          </w:tcPr>
          <w:p>
            <w:pPr>
              <w:jc w:val="center"/>
            </w:pPr>
            <w:r>
              <w:rPr>
                <w:rFonts w:hint="eastAsia"/>
              </w:rPr>
              <w:t>1</w:t>
            </w:r>
          </w:p>
        </w:tc>
      </w:tr>
    </w:tbl>
    <w:p>
      <w:pPr>
        <w:adjustRightInd w:val="0"/>
        <w:snapToGrid w:val="0"/>
        <w:spacing w:line="360" w:lineRule="auto"/>
        <w:ind w:firstLine="480" w:firstLineChars="200"/>
        <w:rPr>
          <w:rFonts w:ascii="宋体" w:hAnsi="宋体"/>
          <w:sz w:val="24"/>
          <w:szCs w:val="24"/>
        </w:rPr>
      </w:pP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城市轨道交通为客流量大的人员密集场所，如乘客突发疾病，必须为抢救赢得宝贵的时间，因此，为了健全轨道交通的应急救护机制，有必要配置相应的医疗急救设备如A</w:t>
      </w:r>
      <w:r>
        <w:rPr>
          <w:rFonts w:ascii="宋体" w:hAnsi="宋体" w:eastAsia="宋体"/>
          <w:sz w:val="24"/>
          <w:szCs w:val="24"/>
        </w:rPr>
        <w:t>ED</w:t>
      </w:r>
      <w:r>
        <w:rPr>
          <w:rFonts w:hint="eastAsia" w:ascii="宋体" w:hAnsi="宋体" w:eastAsia="宋体"/>
          <w:sz w:val="24"/>
          <w:szCs w:val="24"/>
        </w:rPr>
        <w:t>（自动体外除颤器）等，同时应对站务人员进行应急技能的培训及对乘客进行广泛地宣传，也是轨道交通作为公共交通企业彰显责任担当的体现。</w:t>
      </w:r>
    </w:p>
    <w:p>
      <w:pPr>
        <w:adjustRightInd w:val="0"/>
        <w:snapToGrid w:val="0"/>
        <w:spacing w:line="360" w:lineRule="auto"/>
        <w:ind w:firstLine="480" w:firstLineChars="200"/>
        <w:rPr>
          <w:rFonts w:ascii="宋体" w:hAnsi="宋体"/>
          <w:sz w:val="24"/>
          <w:szCs w:val="24"/>
        </w:rPr>
      </w:pPr>
      <w:r>
        <w:rPr>
          <w:rFonts w:hint="eastAsia" w:ascii="宋体" w:hAnsi="宋体" w:eastAsia="宋体"/>
          <w:sz w:val="24"/>
          <w:szCs w:val="24"/>
        </w:rPr>
        <w:t>设置的重要医疗急救设备具体位置应报送本市急救中心和红十字会，编入急救中心地图，便于公众查找。</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本条的评价方法为：运营管理阶段评价查阅相关采购</w:t>
      </w:r>
      <w:r>
        <w:rPr>
          <w:rFonts w:hint="eastAsia" w:ascii="宋体" w:hAnsi="宋体"/>
          <w:sz w:val="24"/>
          <w:szCs w:val="24"/>
        </w:rPr>
        <w:t>清单，</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采取净化消毒装置等措施控制公共区主要空气污染物的浓度，效果超过相关标准要求的，可以得分。</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空调系统的新风井（道）为全车站的新风来源，合理新风井的设置位置，避免新风被污染才能保证车站内空气环境绿色健康。</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排放有毒有害物的排风系统不与集中空调通风系统相连通，可以保证排放有毒有害物的空气排风不会进入集中空调系统，避免污染集中空调系统的空调送风。</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冷凝水管不与污水、废水系统直接连接，可以避免污水、废水系统的污染气体通过冷凝水管进入空调柜内，避免了对空调送风的污染。</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为保证空调系统的送风质量、风管内表面卫生指标，冷凝水管不与污水、废水系统直接连接，可以避免污水、废水系统的污染气体通过冷凝水管进入空调柜内，避免了对空调送风的污染。</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人工冷热源热湿环境整体评价指标应包括预计平均热感觉指标(PMV)和预计不满意者的百分数(PPD)，PMV-PPD的计算程序应按国家标准《民用建筑室内热湿环境评价标准》GB/T 50785-2012附录E的规定执行。本款以建筑物内主要功能房间或区域为对象，以达标面积比例为评价依据。</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当出现空气传播性疾病暴发流行的特殊防疫时期，通风空调风系统可能成为有害病菌传播的媒介，必须采取有效措施保证的地铁乘客和运营人员的安全。</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在</w:t>
      </w:r>
      <w:r>
        <w:rPr>
          <w:rFonts w:ascii="宋体" w:hAnsi="宋体"/>
          <w:sz w:val="24"/>
          <w:szCs w:val="24"/>
        </w:rPr>
        <w:t>车站设置环境温湿度自动监测与控制系统，不同功能区域的通风空调系统可独立调节</w:t>
      </w:r>
      <w:r>
        <w:rPr>
          <w:rFonts w:hint="eastAsia" w:ascii="宋体" w:hAnsi="宋体"/>
          <w:sz w:val="24"/>
          <w:szCs w:val="24"/>
        </w:rPr>
        <w:t>，同时根据区域使用功能特点设计有分时、分区独立控制的运行策略，可以保证各空调区域满足舒适度、温湿度指标的要求，同时达到节能运行的效果。</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通过优化车站空间、平面布局和构造设计，空调系统末端装置的合理选择和布置，达到改善室内风环境，气流组织合理的目的。气流组织设计的舒适性指标,主要由气流组织形式、室内热源分布及特性所决定。气流组织合理的评价标准可以采用空气分布特性指标(ADPI:Air Diffusion Performance Index)考虑。ADPI是满足风速和温度设计要求的测点数与总测点数之比。对为一般情况下,空调区的气流组织设计应使空调区的ADPD</w:t>
      </w:r>
      <w:r>
        <w:rPr>
          <w:rFonts w:hint="eastAsia" w:ascii="宋体" w:hAnsi="宋体"/>
          <w:sz w:val="24"/>
          <w:szCs w:val="24"/>
          <w:lang w:eastAsia="zh-CN"/>
        </w:rPr>
        <w:t>大于等于</w:t>
      </w:r>
      <w:r>
        <w:rPr>
          <w:rFonts w:hint="eastAsia" w:ascii="宋体" w:hAnsi="宋体"/>
          <w:sz w:val="24"/>
          <w:szCs w:val="24"/>
        </w:rPr>
        <w:t>8</w:t>
      </w:r>
      <w:r>
        <w:rPr>
          <w:rFonts w:ascii="宋体" w:hAnsi="宋体"/>
          <w:sz w:val="24"/>
          <w:szCs w:val="24"/>
        </w:rPr>
        <w:t>0</w:t>
      </w:r>
      <w:r>
        <w:rPr>
          <w:rFonts w:hint="eastAsia" w:ascii="宋体" w:hAnsi="宋体"/>
          <w:sz w:val="24"/>
          <w:szCs w:val="24"/>
        </w:rPr>
        <w:t>%。80%。ADPⅠ值越大,说明感到舒适的人群比例越大。</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轨道</w:t>
      </w:r>
      <w:r>
        <w:rPr>
          <w:rFonts w:ascii="宋体" w:hAnsi="宋体"/>
          <w:sz w:val="24"/>
          <w:szCs w:val="24"/>
        </w:rPr>
        <w:t>交通</w:t>
      </w:r>
      <w:r>
        <w:rPr>
          <w:rFonts w:hint="eastAsia" w:ascii="宋体" w:hAnsi="宋体"/>
          <w:sz w:val="24"/>
          <w:szCs w:val="24"/>
        </w:rPr>
        <w:t>车站卫生间作为乘客使用较多的场所，常常异味较大，同时针对广东省的气候条件，在卫生间设置空调和除臭措施，从而提高卫生间的舒适度标准。</w:t>
      </w:r>
    </w:p>
    <w:p>
      <w:pPr>
        <w:adjustRightInd w:val="0"/>
        <w:snapToGrid w:val="0"/>
        <w:spacing w:line="360" w:lineRule="auto"/>
        <w:ind w:firstLine="480" w:firstLineChars="200"/>
        <w:rPr>
          <w:rFonts w:ascii="宋体" w:hAnsi="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为实时获取车站的空气质量情况，保证车站空气质量满足要求，通过</w:t>
      </w:r>
      <w:r>
        <w:rPr>
          <w:rFonts w:ascii="宋体" w:hAnsi="宋体"/>
          <w:sz w:val="24"/>
          <w:szCs w:val="24"/>
        </w:rPr>
        <w:t>车站内公共空间及主要管理用房设置空气质量监控系统，对空气质量自动监测和记录，根据需要对环境进行实时调节</w:t>
      </w:r>
      <w:r>
        <w:rPr>
          <w:rFonts w:hint="eastAsia" w:ascii="宋体" w:hAnsi="宋体"/>
          <w:sz w:val="24"/>
          <w:szCs w:val="24"/>
        </w:rPr>
        <w:t>。</w:t>
      </w:r>
    </w:p>
    <w:p>
      <w:pPr>
        <w:adjustRightInd w:val="0"/>
        <w:snapToGrid w:val="0"/>
        <w:spacing w:line="360" w:lineRule="auto"/>
        <w:ind w:firstLine="480" w:firstLineChars="200"/>
        <w:rPr>
          <w:rFonts w:ascii="宋体" w:hAnsi="宋体" w:eastAsia="宋体"/>
          <w:sz w:val="24"/>
          <w:szCs w:val="24"/>
        </w:rPr>
      </w:pPr>
      <w:r>
        <w:rPr>
          <w:rFonts w:ascii="宋体" w:hAnsi="宋体"/>
          <w:sz w:val="24"/>
          <w:szCs w:val="24"/>
        </w:rPr>
        <w:t>本条的评价方法为：规划设计阶段评价查阅相关设计文件</w:t>
      </w:r>
      <w:r>
        <w:rPr>
          <w:rFonts w:hint="eastAsia" w:ascii="宋体" w:hAnsi="宋体"/>
          <w:sz w:val="24"/>
          <w:szCs w:val="24"/>
        </w:rPr>
        <w:t>、</w:t>
      </w:r>
      <w:r>
        <w:rPr>
          <w:rFonts w:ascii="宋体" w:hAnsi="宋体"/>
          <w:sz w:val="24"/>
          <w:szCs w:val="24"/>
        </w:rPr>
        <w:t>采购合同；运营管理阶段评价查阅相关采购合同</w:t>
      </w:r>
      <w:r>
        <w:rPr>
          <w:rFonts w:hint="eastAsia" w:ascii="宋体" w:hAnsi="宋体"/>
          <w:sz w:val="24"/>
          <w:szCs w:val="24"/>
        </w:rPr>
        <w:t>，</w:t>
      </w:r>
      <w:r>
        <w:rPr>
          <w:rFonts w:ascii="宋体" w:hAnsi="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6.2.18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jc w:val="left"/>
        <w:rPr>
          <w:rFonts w:ascii="宋体" w:hAnsi="宋体" w:eastAsia="宋体" w:cs="宋体"/>
          <w:sz w:val="24"/>
          <w:szCs w:val="24"/>
        </w:rPr>
      </w:pP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19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仿宋" w:hAnsi="仿宋" w:eastAsia="仿宋"/>
          <w:b/>
          <w:sz w:val="24"/>
          <w:szCs w:val="24"/>
        </w:rPr>
      </w:pPr>
      <w:r>
        <w:rPr>
          <w:rFonts w:hint="eastAsia" w:ascii="宋体" w:hAnsi="宋体" w:eastAsia="宋体"/>
          <w:sz w:val="24"/>
          <w:szCs w:val="24"/>
        </w:rPr>
        <w:t>本条的评价方法为：规划设计阶段评价查阅相关设计文件（设计说明和施工图设计图纸）；运营管理阶段评价查阅验收记录，并现场核实。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给水器具按用途可分为水嘴、淋浴器、小便器冲洗阀、大便器冲洗阀，按控制方式可分为遮挡红外线、反射红外线、热释电式、微波反射式、超声波反射式、电磁感应式、电容感应式等。</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本条的评价方法为：设计阶段查阅相关设计文件、设备材料表；运行阶段查阅相关竣工图、设备材料表、产品说明书，并现场核实。</w:t>
      </w:r>
    </w:p>
    <w:p>
      <w:pPr>
        <w:adjustRightInd w:val="0"/>
        <w:snapToGrid w:val="0"/>
        <w:spacing w:line="360" w:lineRule="auto"/>
        <w:jc w:val="left"/>
        <w:rPr>
          <w:rFonts w:ascii="宋体" w:hAnsi="宋体" w:eastAsia="宋体" w:cs="宋体"/>
          <w:sz w:val="24"/>
          <w:szCs w:val="24"/>
        </w:rPr>
      </w:pP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 xml:space="preserve">21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sz w:val="24"/>
          <w:szCs w:val="24"/>
        </w:rPr>
        <w:t>本条的评价方法为：规划设计阶段评价查阅相关设计文件（设计说明和施工图设计图纸）；运营管理阶段评价查阅验收记录，并现场核实。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在站台设置电子显示设备实时显示到站列车客室人员密度分布情况，能让乘客根据相关信息自主选择不太拥挤的车厢，从而获得乘客在整列车均匀分布的效果。</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（包括设计说明书、设计图纸、设计阶段提资料工作联系单、设计接口文件等）、</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6.2.29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6.2.30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6.2.31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6.2.32  </w:t>
      </w:r>
      <w:r>
        <w:rPr>
          <w:rFonts w:hint="eastAsia" w:ascii="宋体" w:hAnsi="宋体" w:eastAsia="宋体"/>
          <w:sz w:val="24"/>
          <w:szCs w:val="24"/>
        </w:rPr>
        <w:t>本条适用于绿色轨道交通的建筑设计阶段和运营管理阶段评价。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本条所指主要建筑包括检修库、运用库、运转楼、物资总库以及其他配套服务建筑，如生产办公楼、后勤服务楼。</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adjustRightInd w:val="0"/>
        <w:snapToGrid w:val="0"/>
        <w:spacing w:line="360" w:lineRule="auto"/>
        <w:ind w:firstLine="480" w:firstLineChars="200"/>
        <w:rPr>
          <w:rFonts w:ascii="宋体" w:hAnsi="宋体" w:eastAsia="宋体"/>
          <w:sz w:val="24"/>
          <w:szCs w:val="24"/>
        </w:rPr>
        <w:sectPr>
          <w:pgSz w:w="11906" w:h="16838"/>
          <w:pgMar w:top="1440" w:right="1797" w:bottom="1440" w:left="1797" w:header="851" w:footer="992" w:gutter="0"/>
          <w:cols w:space="425" w:num="1"/>
          <w:docGrid w:type="lines" w:linePitch="312" w:charSpace="0"/>
        </w:sectPr>
      </w:pPr>
    </w:p>
    <w:p>
      <w:pPr>
        <w:pStyle w:val="2"/>
        <w:spacing w:before="624" w:after="624"/>
        <w:rPr>
          <w:sz w:val="24"/>
          <w:szCs w:val="24"/>
        </w:rPr>
      </w:pPr>
      <w:bookmarkStart w:id="125" w:name="_Toc60822263"/>
      <w:bookmarkStart w:id="126" w:name="_Toc60822438"/>
      <w:bookmarkStart w:id="127" w:name="_Toc60819565"/>
      <w:bookmarkStart w:id="128" w:name="_Toc77584258"/>
      <w:r>
        <w:t>7</w:t>
      </w:r>
      <w:r>
        <w:rPr>
          <w:rFonts w:hint="eastAsia"/>
        </w:rPr>
        <w:t xml:space="preserve">  </w:t>
      </w:r>
      <w:r>
        <w:t>资源节约</w:t>
      </w:r>
      <w:bookmarkEnd w:id="125"/>
      <w:bookmarkEnd w:id="126"/>
      <w:bookmarkEnd w:id="127"/>
      <w:bookmarkEnd w:id="128"/>
    </w:p>
    <w:p>
      <w:pPr>
        <w:pStyle w:val="3"/>
        <w:spacing w:before="468" w:after="468"/>
      </w:pPr>
      <w:bookmarkStart w:id="129" w:name="_Toc77584259"/>
      <w:bookmarkStart w:id="130" w:name="_Toc60822439"/>
      <w:bookmarkStart w:id="131" w:name="_Toc60819566"/>
      <w:bookmarkStart w:id="132" w:name="_Toc60822264"/>
      <w:r>
        <w:t>7.1</w:t>
      </w:r>
      <w:r>
        <w:rPr>
          <w:rFonts w:hint="eastAsia"/>
        </w:rPr>
        <w:t xml:space="preserve">  </w:t>
      </w:r>
      <w:r>
        <w:t>控制项</w:t>
      </w:r>
      <w:bookmarkEnd w:id="129"/>
      <w:bookmarkEnd w:id="130"/>
      <w:bookmarkEnd w:id="131"/>
      <w:bookmarkEnd w:id="132"/>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7.1.1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w:t>
      </w:r>
      <w:r>
        <w:rPr>
          <w:rFonts w:hint="eastAsia" w:ascii="宋体" w:hAnsi="宋体" w:eastAsia="宋体"/>
          <w:sz w:val="24"/>
          <w:szCs w:val="24"/>
        </w:rPr>
        <w:t>；运营管理阶段评价查阅相关竣工图。</w:t>
      </w:r>
    </w:p>
    <w:p>
      <w:pPr>
        <w:spacing w:line="360" w:lineRule="auto"/>
        <w:jc w:val="left"/>
        <w:rPr>
          <w:rFonts w:ascii="宋体" w:hAnsi="宋体" w:eastAsia="宋体" w:cs="Times New Roman"/>
          <w:sz w:val="24"/>
          <w:szCs w:val="24"/>
        </w:rPr>
      </w:pPr>
      <w:r>
        <w:rPr>
          <w:rFonts w:hint="eastAsia" w:ascii="仿宋" w:hAnsi="仿宋" w:eastAsia="仿宋"/>
          <w:b/>
          <w:sz w:val="24"/>
          <w:szCs w:val="24"/>
        </w:rPr>
        <w:t xml:space="preserve">7.1.2  </w:t>
      </w:r>
      <w:r>
        <w:rPr>
          <w:rFonts w:hint="eastAsia" w:ascii="宋体" w:hAnsi="宋体" w:eastAsia="宋体" w:cs="Times New Roman"/>
          <w:sz w:val="24"/>
          <w:szCs w:val="24"/>
        </w:rPr>
        <w:t>本条适用于绿色车站的规划设计阶段和运营管理阶段评价。</w:t>
      </w:r>
    </w:p>
    <w:p>
      <w:pPr>
        <w:spacing w:line="360" w:lineRule="auto"/>
        <w:ind w:firstLine="480"/>
        <w:jc w:val="left"/>
        <w:rPr>
          <w:rFonts w:ascii="宋体" w:hAnsi="宋体" w:eastAsia="宋体" w:cs="Times New Roman"/>
          <w:sz w:val="24"/>
          <w:szCs w:val="24"/>
        </w:rPr>
      </w:pPr>
      <w:r>
        <w:rPr>
          <w:rFonts w:hint="eastAsia" w:ascii="宋体" w:hAnsi="宋体" w:eastAsia="宋体" w:cs="Times New Roman"/>
          <w:sz w:val="24"/>
          <w:szCs w:val="24"/>
        </w:rPr>
        <w:t>车站建筑及装修造型包含地上车站建筑造型和地下车站的空间、地面部分的建筑造型，通过使用装饰和功能一体化构件，利用功能构件作为建筑造型的语言，可以在满足功能的前提下达到美学效果，并节约资源，对不具备遮阳、导光、导风、载物、辅助绿化等作用的飘板、格栅、构架和塔、球、曲面等装饰性构件，对其进行控制，其比例不应大于5‰。</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Times New Roman"/>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推广使用符合国家和地方要求的建筑材料。高耗能材料是指从获取原料、交工运输、成品制作、施工安装、维护、拆除、废弃物处理的全寿命周期中消耗大量能源的建筑材料。材料有害物质的含量应符合现行国家标准《室内装饰装修材料 人造板及其制品中甲醛释放限量》GB 18580、《室内装饰装修材料溶剂型木器涂料中有害物质限量》GB 18581、《室内装饰装修材料内墙涂料中有害物质限量》GB 18582、《室内装饰装修材料胶粘剂中有害物质限量》GB 18583、《室内装饰装修材料家具中有害物质限量》GB 18584、《室内装饰装修材料壁纸中有害物质限量》GB 18585、《室内装饰装修材料聚氯乙烯卷材地板中有害物质限量》GB 18586、《室内装饰装修材料地毯、地毯衬垫及地毯用胶粘剂中有害物质释放限量》GB 18587、《室内装饰装修材料混凝土外加剂释放氨的限量》GB 18588、《建筑材料放射性核素限量》GB6566、《室内空气质量标准》GB/T 18883和《民用建筑工程室内环境污染控制规范》GB50325的规定。</w:t>
      </w:r>
      <w:r>
        <w:rPr>
          <w:rFonts w:hint="eastAsia" w:ascii="宋体" w:hAnsi="宋体" w:eastAsia="宋体"/>
          <w:sz w:val="24"/>
          <w:szCs w:val="24"/>
        </w:rPr>
        <w:t>轨道交通工程</w:t>
      </w:r>
      <w:r>
        <w:rPr>
          <w:rFonts w:ascii="宋体" w:hAnsi="宋体" w:eastAsia="宋体"/>
          <w:sz w:val="24"/>
          <w:szCs w:val="24"/>
        </w:rPr>
        <w:t>以乘客服务为宗旨，营造有利于人身心健康的良好环境，所以不仅要满足功能要求，体现交通建筑特色，还要符合引起生理和心理良好反映的视觉、触觉等感官特征。</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推荐本地化建筑材料，建材本地化是减少运输过程中资源和能源消耗、降低环境污染的重要手段之一，本条要求以施工现场周边500km以内生产的建筑材料，就地取材制成的建筑产品重量占建筑材料总重量比例应大于70%作为满足要求的评价依据。</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3  </w:t>
      </w:r>
      <w:r>
        <w:rPr>
          <w:rFonts w:ascii="宋体" w:hAnsi="宋体" w:eastAsia="宋体"/>
          <w:sz w:val="24"/>
          <w:szCs w:val="24"/>
        </w:rPr>
        <w:t>预拌混凝土和预拌砂浆是根据工程需要配置、由专业化工厂规模化生产的，其性能品质和均匀性能够充分保证，可较好地满足其性能，且质量稳定、环境污染少、材料浪费和损耗低、施工效率高、返修率低，还可综合降低工程造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4  </w:t>
      </w:r>
      <w:r>
        <w:rPr>
          <w:rFonts w:ascii="宋体" w:hAnsi="宋体" w:eastAsia="宋体"/>
          <w:sz w:val="24"/>
          <w:szCs w:val="24"/>
        </w:rPr>
        <w:t>抗拉屈服强度达到400MPa级以上的热轧带肋钢筋，具有强度高、综合性能优的特点，使用和推广它是可以节约钢材和加快转变经济发展方式的有效途径。本条款参考现行国标《混凝土结构设计规范》GB 50010中第4.2.1条规定，对混凝土结构中梁、柱纵向受力普通钢筋提出强度等级和品种要求。</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查阅建筑、结构施工图设计及说明，工程材料预算清单；运营管理阶段查阅竣工图及说明、本地化材料用量清单、预拌混凝土和预拌砂浆用量清单、高强度钢筋用量清单及工程决算清单等相关证明文件。</w:t>
      </w:r>
    </w:p>
    <w:p>
      <w:pPr>
        <w:snapToGrid w:val="0"/>
        <w:spacing w:line="360" w:lineRule="auto"/>
        <w:jc w:val="left"/>
        <w:rPr>
          <w:rFonts w:ascii="宋体" w:hAnsi="宋体" w:eastAsia="宋体"/>
          <w:sz w:val="24"/>
          <w:szCs w:val="24"/>
        </w:rPr>
      </w:pPr>
      <w:r>
        <w:rPr>
          <w:rFonts w:hint="eastAsia" w:ascii="仿宋" w:hAnsi="仿宋" w:eastAsia="仿宋"/>
          <w:b/>
          <w:sz w:val="24"/>
          <w:szCs w:val="24"/>
        </w:rPr>
        <w:t xml:space="preserve">7.1.4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空调冷源的性能系数（COP）、部分负荷性能系数(IPLV)、电冷源综合制冷性能系数(SCOP)作为空调系统冷源设备的关键性能参数，必须满足国家相关标准和省内相关标准的要求。</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城市轨道交通在设计(或改造设计)时必须考虑使建筑内各能耗环节如冷源、输配系统、照明等都能实现独立分项计量。这有助于分析各项能耗水平和能耗结构是否合理，发现问题并提出改进措施，从而有效地实施建筑节能。</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应充分了解项目所在区域的市政排水条件、水资源状况、气候特点等时机情况，通过全面分析研究，制定可行的水资源利用方案，提高水资源循环利用率，减少市政供水量和污水排放量。水资源利用方案包括但不限于</w:t>
      </w:r>
      <w:r>
        <w:rPr>
          <w:rFonts w:hint="eastAsia" w:ascii="宋体" w:hAnsi="宋体" w:eastAsia="宋体"/>
          <w:sz w:val="24"/>
          <w:szCs w:val="24"/>
          <w:lang w:val="en-US" w:eastAsia="zh-CN"/>
        </w:rPr>
        <w:t>以</w:t>
      </w:r>
      <w:r>
        <w:rPr>
          <w:rFonts w:hint="eastAsia" w:ascii="宋体" w:hAnsi="宋体" w:eastAsia="宋体"/>
          <w:sz w:val="24"/>
          <w:szCs w:val="24"/>
        </w:rPr>
        <w:t>下内容：</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参照《地铁设计规范》和《民用建筑节水设计标准》</w:t>
      </w:r>
      <w:r>
        <w:rPr>
          <w:rFonts w:ascii="宋体" w:hAnsi="宋体" w:eastAsia="宋体"/>
          <w:sz w:val="24"/>
          <w:szCs w:val="24"/>
        </w:rPr>
        <w:t>GB50555</w:t>
      </w:r>
      <w:r>
        <w:rPr>
          <w:rFonts w:hint="eastAsia" w:ascii="宋体" w:hAnsi="宋体" w:eastAsia="宋体"/>
          <w:sz w:val="24"/>
          <w:szCs w:val="24"/>
        </w:rPr>
        <w:t>合理确定节水用水定额，编制水量计算表和水量平衡表；</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给排水系统方案介绍；</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采用的节水器具、设备和系统的相关说明；</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非传统水源利用方案；</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本条的评价方法为：规划设计阶段查阅水资源利用方案，相关设计文件（含设计说明、施工图、计算书）；运行阶段查阅水资源利用方案，相关竣工图、产品说明书、运行数据报告，并现场核实。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合理、完善、安全的给排水系统首先设计要符合相关标准的规定，如现行国家标准《地铁设计规范》</w:t>
      </w:r>
      <w:r>
        <w:rPr>
          <w:rFonts w:ascii="宋体" w:hAnsi="宋体" w:eastAsia="宋体"/>
          <w:sz w:val="24"/>
          <w:szCs w:val="24"/>
        </w:rPr>
        <w:t>GB-50157</w:t>
      </w:r>
      <w:r>
        <w:rPr>
          <w:rFonts w:hint="eastAsia" w:ascii="宋体" w:hAnsi="宋体" w:eastAsia="宋体"/>
          <w:sz w:val="24"/>
          <w:szCs w:val="24"/>
        </w:rPr>
        <w:t>、《建筑给水排水设计标准》</w:t>
      </w:r>
      <w:r>
        <w:rPr>
          <w:rFonts w:ascii="宋体" w:hAnsi="宋体" w:eastAsia="宋体"/>
          <w:sz w:val="24"/>
          <w:szCs w:val="24"/>
        </w:rPr>
        <w:t>GB-50015</w:t>
      </w:r>
      <w:r>
        <w:rPr>
          <w:rFonts w:hint="eastAsia" w:ascii="宋体" w:hAnsi="宋体" w:eastAsia="宋体"/>
          <w:sz w:val="24"/>
          <w:szCs w:val="24"/>
        </w:rPr>
        <w:t>、《民用建筑节水设计标准》</w:t>
      </w:r>
      <w:r>
        <w:rPr>
          <w:rFonts w:ascii="宋体" w:hAnsi="宋体" w:eastAsia="宋体"/>
          <w:sz w:val="24"/>
          <w:szCs w:val="24"/>
        </w:rPr>
        <w:t>GB-50555</w:t>
      </w:r>
      <w:r>
        <w:rPr>
          <w:rFonts w:hint="eastAsia" w:ascii="宋体" w:hAnsi="宋体" w:eastAsia="宋体"/>
          <w:sz w:val="24"/>
          <w:szCs w:val="24"/>
        </w:rPr>
        <w:t>等；供水系统充分利用市政压力，加压系统选用节能高效的设备，给水系统分区合理，每区供水压力不超过</w:t>
      </w:r>
      <w:r>
        <w:rPr>
          <w:rFonts w:ascii="宋体" w:hAnsi="宋体" w:eastAsia="宋体"/>
          <w:sz w:val="24"/>
          <w:szCs w:val="24"/>
        </w:rPr>
        <w:t>0.45MPa</w:t>
      </w:r>
      <w:r>
        <w:rPr>
          <w:rFonts w:hint="eastAsia" w:ascii="宋体" w:hAnsi="宋体" w:eastAsia="宋体"/>
          <w:sz w:val="24"/>
          <w:szCs w:val="24"/>
        </w:rPr>
        <w:t>，合理采取减压限流的节水措施；根据用水要求的不同，给水水质应达到国家、行业或地方标准的要求；使用非传统水源时，采取安全保障措施，且不得对人体健康和周边环境造成不良影响；管材、管道附件及设备等供水设施的选取和运行不应对供水造成二次污染；设置有效的防杂散电流的措施；设置完善的污水收集、处理、排放等设施。污水达标排放率必须</w:t>
      </w:r>
      <w:r>
        <w:rPr>
          <w:rFonts w:ascii="宋体" w:hAnsi="宋体" w:eastAsia="宋体"/>
          <w:sz w:val="24"/>
          <w:szCs w:val="24"/>
        </w:rPr>
        <w:t>100%</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本条的评价方法为：规划设计阶段查阅相关设计文件；运行阶段查阅相关竣工图、产品说明书、水质检测报告、运行数据报告，并现场核实。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除特殊功能需求外，均应采用节水型用水器具。可选用以下节水器具：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1）节水水嘴</w:t>
      </w:r>
      <w:r>
        <w:rPr>
          <w:rFonts w:ascii="宋体" w:hAnsi="宋体" w:eastAsia="宋体"/>
          <w:sz w:val="24"/>
          <w:szCs w:val="24"/>
        </w:rPr>
        <w:t>:</w:t>
      </w:r>
      <w:r>
        <w:rPr>
          <w:rFonts w:hint="eastAsia" w:ascii="宋体" w:hAnsi="宋体" w:eastAsia="宋体"/>
          <w:sz w:val="24"/>
          <w:szCs w:val="24"/>
        </w:rPr>
        <w:t>加气节水嘴、陶瓷阀芯水嘴、停水自动关闭水嘴等；</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2）坐便器：压力流防臭、压力流冲击式</w:t>
      </w:r>
      <w:r>
        <w:rPr>
          <w:rFonts w:ascii="宋体" w:hAnsi="宋体" w:eastAsia="宋体"/>
          <w:sz w:val="24"/>
          <w:szCs w:val="24"/>
        </w:rPr>
        <w:t>6L</w:t>
      </w:r>
      <w:r>
        <w:rPr>
          <w:rFonts w:hint="eastAsia" w:ascii="宋体" w:hAnsi="宋体" w:eastAsia="宋体"/>
          <w:sz w:val="24"/>
          <w:szCs w:val="24"/>
        </w:rPr>
        <w:t>直排便器、</w:t>
      </w:r>
      <w:r>
        <w:rPr>
          <w:rFonts w:ascii="宋体" w:hAnsi="宋体" w:eastAsia="宋体"/>
          <w:sz w:val="24"/>
          <w:szCs w:val="24"/>
        </w:rPr>
        <w:t>3L/6L</w:t>
      </w:r>
      <w:r>
        <w:rPr>
          <w:rFonts w:hint="eastAsia" w:ascii="宋体" w:hAnsi="宋体" w:eastAsia="宋体"/>
          <w:sz w:val="24"/>
          <w:szCs w:val="24"/>
        </w:rPr>
        <w:t>两档节水型虹吸式排水坐便器、</w:t>
      </w:r>
      <w:r>
        <w:rPr>
          <w:rFonts w:ascii="宋体" w:hAnsi="宋体" w:eastAsia="宋体"/>
          <w:sz w:val="24"/>
          <w:szCs w:val="24"/>
        </w:rPr>
        <w:t>6L</w:t>
      </w:r>
      <w:r>
        <w:rPr>
          <w:rFonts w:hint="eastAsia" w:ascii="宋体" w:hAnsi="宋体" w:eastAsia="宋体"/>
          <w:sz w:val="24"/>
          <w:szCs w:val="24"/>
        </w:rPr>
        <w:t>以下直排式节水坐便器或感应式节水坐便器等</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3）节水淋浴器：水温调节器、节水型淋浴喷嘴等</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4）公共浴室淋浴器采用恒温混合阀、脚踏开关、刷卡式淋浴器、感应式淋浴器等</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本条的评价方法为：设计阶段查阅相关设计文件（含设计说明、施工图、设备材料表）；运行阶段查阅相关竣工图、产品说明书、产品节水性能检测报告，并现场核实。</w:t>
      </w:r>
    </w:p>
    <w:p>
      <w:pPr>
        <w:spacing w:line="360" w:lineRule="auto"/>
        <w:jc w:val="left"/>
        <w:rPr>
          <w:rFonts w:ascii="宋体" w:hAnsi="宋体" w:eastAsia="宋体"/>
          <w:sz w:val="24"/>
          <w:szCs w:val="24"/>
        </w:rPr>
      </w:pPr>
      <w:r>
        <w:rPr>
          <w:rFonts w:hint="eastAsia" w:ascii="仿宋" w:hAnsi="仿宋" w:eastAsia="仿宋"/>
          <w:b/>
          <w:sz w:val="24"/>
          <w:szCs w:val="24"/>
        </w:rPr>
        <w:t xml:space="preserve">7.1.9  </w:t>
      </w:r>
      <w:r>
        <w:rPr>
          <w:rFonts w:hint="eastAsia" w:ascii="宋体" w:hAnsi="宋体" w:eastAsia="宋体"/>
          <w:sz w:val="24"/>
          <w:szCs w:val="24"/>
        </w:rPr>
        <w:t>本条适用于绿色轨道交通的规划设计阶段评价。</w:t>
      </w:r>
    </w:p>
    <w:p>
      <w:pPr>
        <w:spacing w:line="360" w:lineRule="auto"/>
        <w:jc w:val="left"/>
        <w:rPr>
          <w:rFonts w:ascii="宋体" w:hAnsi="宋体" w:eastAsia="宋体"/>
          <w:sz w:val="24"/>
          <w:szCs w:val="24"/>
        </w:rPr>
      </w:pPr>
      <w:r>
        <w:rPr>
          <w:rFonts w:hint="eastAsia" w:ascii="宋体" w:hAnsi="宋体" w:eastAsia="宋体"/>
          <w:sz w:val="24"/>
          <w:szCs w:val="24"/>
        </w:rPr>
        <w:t xml:space="preserve">    系统的电压等级、牵引供电制式等应结合线路的各方面因素进行技术经济比较，并应考虑既有线网的配置情况，提高线网的资源共享利用率，节省公共资源。</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本条的评价方法为：规划设计阶段评价查阅相关设计文件（设计说明）。</w:t>
      </w:r>
    </w:p>
    <w:p>
      <w:pPr>
        <w:spacing w:line="360" w:lineRule="auto"/>
        <w:jc w:val="left"/>
        <w:rPr>
          <w:rFonts w:ascii="宋体" w:hAnsi="宋体" w:eastAsia="宋体"/>
          <w:sz w:val="24"/>
          <w:szCs w:val="24"/>
        </w:rPr>
      </w:pPr>
      <w:r>
        <w:rPr>
          <w:rFonts w:hint="eastAsia" w:ascii="仿宋" w:hAnsi="仿宋" w:eastAsia="仿宋"/>
          <w:b/>
          <w:sz w:val="24"/>
          <w:szCs w:val="24"/>
        </w:rPr>
        <w:t xml:space="preserve">7.1.10  </w:t>
      </w:r>
      <w:r>
        <w:rPr>
          <w:rFonts w:hint="eastAsia" w:ascii="宋体" w:hAnsi="宋体" w:eastAsia="宋体"/>
          <w:sz w:val="24"/>
          <w:szCs w:val="24"/>
        </w:rPr>
        <w:t>本条适用于绿色轨道交通的规划设计阶段评价。</w:t>
      </w:r>
    </w:p>
    <w:p>
      <w:pPr>
        <w:spacing w:line="360" w:lineRule="auto"/>
        <w:jc w:val="left"/>
        <w:rPr>
          <w:rFonts w:ascii="宋体" w:hAnsi="宋体" w:eastAsia="宋体"/>
          <w:sz w:val="24"/>
          <w:szCs w:val="24"/>
        </w:rPr>
      </w:pPr>
      <w:r>
        <w:rPr>
          <w:rFonts w:hint="eastAsia" w:ascii="宋体" w:hAnsi="宋体" w:eastAsia="宋体"/>
          <w:sz w:val="24"/>
          <w:szCs w:val="24"/>
        </w:rPr>
        <w:t xml:space="preserve">    变电所的数量、容量及其在线路上的分布应经计算分析比选后确定。主变电所的选址宜靠近线路，并利于线路间的资源共享。牵引变电所应根据运营高峰小时行车密度、车辆编组、车辆类型及特性、线路资料等计算确定，并应满足越区供电的要求。降压变电所应靠近负荷中心进行设置，跟随式降压变电所的设置应结合负荷规模、负荷位置等进行技术经济比较后确定。</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本条的评价方法为：规划设计阶段评价查阅相关设计文件（设计说明和计算书）。</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7.1.11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w:t>
      </w:r>
      <w:r>
        <w:rPr>
          <w:rFonts w:hint="eastAsia" w:ascii="宋体" w:hAnsi="宋体" w:eastAsia="宋体"/>
          <w:sz w:val="24"/>
          <w:szCs w:val="24"/>
        </w:rPr>
        <w:t>；运营管理阶段评价现场核实。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7.1.12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w:t>
      </w:r>
      <w:r>
        <w:rPr>
          <w:rFonts w:ascii="宋体" w:hAnsi="宋体" w:eastAsia="宋体"/>
          <w:sz w:val="24"/>
          <w:szCs w:val="24"/>
        </w:rPr>
        <w:t>设计阶段评价查阅相关设计文件</w:t>
      </w:r>
      <w:r>
        <w:rPr>
          <w:rFonts w:hint="eastAsia" w:ascii="宋体" w:hAnsi="宋体" w:eastAsia="宋体"/>
          <w:sz w:val="24"/>
          <w:szCs w:val="24"/>
        </w:rPr>
        <w:t>；运营管理阶段评价现场核实。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7.1.13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自动扶梯、电梯应有变频调速等功能，有利于降低能耗。</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pStyle w:val="3"/>
        <w:spacing w:before="468" w:after="468"/>
        <w:sectPr>
          <w:pgSz w:w="11906" w:h="16838"/>
          <w:pgMar w:top="1440" w:right="1797" w:bottom="1440" w:left="1797" w:header="851" w:footer="992" w:gutter="0"/>
          <w:cols w:space="425" w:num="1"/>
          <w:docGrid w:type="lines" w:linePitch="312" w:charSpace="0"/>
        </w:sectPr>
      </w:pPr>
      <w:bookmarkStart w:id="133" w:name="_Toc77584260"/>
      <w:bookmarkStart w:id="134" w:name="_Toc60819567"/>
      <w:bookmarkStart w:id="135" w:name="_Toc60822265"/>
      <w:bookmarkStart w:id="136" w:name="_Toc60822440"/>
    </w:p>
    <w:p>
      <w:pPr>
        <w:pStyle w:val="3"/>
        <w:spacing w:before="468" w:after="468"/>
      </w:pPr>
      <w:r>
        <w:t>7.2</w:t>
      </w:r>
      <w:r>
        <w:rPr>
          <w:rFonts w:hint="eastAsia"/>
        </w:rPr>
        <w:t xml:space="preserve">  </w:t>
      </w:r>
      <w:r>
        <w:t>评分项</w:t>
      </w:r>
      <w:bookmarkEnd w:id="133"/>
      <w:bookmarkEnd w:id="134"/>
      <w:bookmarkEnd w:id="135"/>
      <w:bookmarkEnd w:id="136"/>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的运营管理阶段评价。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w:t>
      </w:r>
      <w:r>
        <w:rPr>
          <w:rFonts w:hint="eastAsia" w:ascii="宋体" w:hAnsi="宋体" w:eastAsia="宋体"/>
          <w:sz w:val="24"/>
          <w:szCs w:val="24"/>
        </w:rPr>
        <w:t>竣工</w:t>
      </w:r>
      <w:r>
        <w:rPr>
          <w:rFonts w:ascii="宋体" w:hAnsi="宋体" w:eastAsia="宋体"/>
          <w:sz w:val="24"/>
          <w:szCs w:val="24"/>
        </w:rPr>
        <w:t>图纸</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7.2.4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根据国内某典型城市在建线路统计，各线设计曲线长度/全线长度45%及以下的线路占0%；45%至50%（含50%）的线路占37.5%；50%至55%（含55%）的线路占50%；55%至60%（含60%）的线路占12.5%。中间得分计算公式按照：得分/6=（60-i*100）/（60-45）计算所得。</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w:t>
      </w:r>
      <w:r>
        <w:rPr>
          <w:rFonts w:hint="eastAsia" w:ascii="宋体" w:hAnsi="宋体" w:eastAsia="宋体"/>
          <w:sz w:val="24"/>
          <w:szCs w:val="24"/>
        </w:rPr>
        <w:t>竣工</w:t>
      </w:r>
      <w:r>
        <w:rPr>
          <w:rFonts w:ascii="宋体" w:hAnsi="宋体" w:eastAsia="宋体"/>
          <w:sz w:val="24"/>
          <w:szCs w:val="24"/>
        </w:rPr>
        <w:t>图纸</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7.2.5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根据国内某典型城市在建线路统计，各线设计曲线限速曲线长度/全线曲线长度为10%及以下的线路占12.5%；10%至30%（含30%）的线路占37.5%；30%至50%（含50%）的线路占25%；50%至70%（含70%）的线路占25%。中间得分计算公式按照：得分/6=（60-i*100）/(60-10)计算所得。</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w:t>
      </w:r>
      <w:r>
        <w:rPr>
          <w:rFonts w:hint="eastAsia" w:ascii="宋体" w:hAnsi="宋体" w:eastAsia="宋体"/>
          <w:sz w:val="24"/>
          <w:szCs w:val="24"/>
        </w:rPr>
        <w:t>竣工</w:t>
      </w:r>
      <w:r>
        <w:rPr>
          <w:rFonts w:ascii="宋体" w:hAnsi="宋体" w:eastAsia="宋体"/>
          <w:sz w:val="24"/>
          <w:szCs w:val="24"/>
        </w:rPr>
        <w:t>图纸</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7.2.6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的运营管理阶段评价。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w:t>
      </w:r>
      <w:r>
        <w:rPr>
          <w:rFonts w:hint="eastAsia" w:ascii="宋体" w:hAnsi="宋体" w:eastAsia="宋体"/>
          <w:sz w:val="24"/>
          <w:szCs w:val="24"/>
        </w:rPr>
        <w:t>竣工</w:t>
      </w:r>
      <w:r>
        <w:rPr>
          <w:rFonts w:ascii="宋体" w:hAnsi="宋体" w:eastAsia="宋体"/>
          <w:sz w:val="24"/>
          <w:szCs w:val="24"/>
        </w:rPr>
        <w:t>图纸</w:t>
      </w:r>
      <w:r>
        <w:rPr>
          <w:rFonts w:hint="eastAsia" w:ascii="宋体" w:hAnsi="宋体" w:eastAsia="宋体"/>
          <w:sz w:val="24"/>
          <w:szCs w:val="24"/>
        </w:rPr>
        <w:t>、运营数据，计算核实。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7.2.7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的运营管理阶段评价。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w:t>
      </w:r>
      <w:r>
        <w:rPr>
          <w:rFonts w:hint="eastAsia" w:ascii="宋体" w:hAnsi="宋体" w:eastAsia="宋体"/>
          <w:sz w:val="24"/>
          <w:szCs w:val="24"/>
        </w:rPr>
        <w:t>竣工</w:t>
      </w:r>
      <w:r>
        <w:rPr>
          <w:rFonts w:ascii="宋体" w:hAnsi="宋体" w:eastAsia="宋体"/>
          <w:sz w:val="24"/>
          <w:szCs w:val="24"/>
        </w:rPr>
        <w:t>图纸</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7.2.8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根据国内某典型城市在建线路统计，按照“高站位、低区间”设置节能坡（按进站/出站坡度</w:t>
      </w:r>
      <w:r>
        <w:rPr>
          <w:rFonts w:hint="eastAsia" w:ascii="宋体" w:hAnsi="宋体" w:eastAsia="宋体"/>
          <w:sz w:val="24"/>
          <w:szCs w:val="24"/>
          <w:lang w:eastAsia="zh-CN"/>
        </w:rPr>
        <w:t>大于等于</w:t>
      </w:r>
      <w:r>
        <w:rPr>
          <w:rFonts w:hint="eastAsia" w:ascii="宋体" w:hAnsi="宋体" w:eastAsia="宋体"/>
          <w:sz w:val="24"/>
          <w:szCs w:val="24"/>
        </w:rPr>
        <w:t>20‰上坡/下坡进行统计）的车站占全线车站数90%及以上的线路约27.3%；80%至90%（含80%）的线路约0%；70%至80%（含70%）的线路约27.3%；60%至70%（含60%）的线路约27.3%；50%至60%（含50%）的线路约0%；未设置的占18.1%。</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w:t>
      </w:r>
      <w:r>
        <w:rPr>
          <w:rFonts w:hint="eastAsia" w:ascii="宋体" w:hAnsi="宋体" w:eastAsia="宋体"/>
          <w:sz w:val="24"/>
          <w:szCs w:val="24"/>
        </w:rPr>
        <w:t>竣工</w:t>
      </w:r>
      <w:r>
        <w:rPr>
          <w:rFonts w:ascii="宋体" w:hAnsi="宋体" w:eastAsia="宋体"/>
          <w:sz w:val="24"/>
          <w:szCs w:val="24"/>
        </w:rPr>
        <w:t>图纸</w:t>
      </w:r>
      <w:r>
        <w:rPr>
          <w:rFonts w:hint="eastAsia" w:ascii="宋体" w:hAnsi="宋体" w:eastAsia="宋体"/>
          <w:sz w:val="24"/>
          <w:szCs w:val="24"/>
        </w:rPr>
        <w:t>，计算核实。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7.2.9  </w:t>
      </w:r>
      <w:r>
        <w:rPr>
          <w:rFonts w:hint="eastAsia" w:ascii="宋体" w:hAnsi="宋体" w:eastAsia="宋体"/>
          <w:sz w:val="24"/>
          <w:szCs w:val="24"/>
        </w:rPr>
        <w:t>本条适用于绿色轨道交通的规划设计阶段。</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扣件、道岔采用线网标准件，可以减少备品备件种类、节约运营维护成本。设计文件中宜包含扣件、道岔的标准化情况介绍。</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7.2.10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轨道交通附属设施的设置在城市道路边，占用市政道路资源，往往对市政道路的车流、人流通行带来不利影响、地面亭造型虽经过美化处理，但就城市整体景观而言，多数情况下还仅起到了视觉遮挡的作用。因此，在道路或用地资源紧张的区域，将地铁出入口或风亭与邻近地块内的建筑物结合设置，节约城市用地，整合资源，应予得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于利用现状绿地或规划绿地布置车站附属设施，或者出入口采用T型口的布局形式或是分段提升出地面部分仅采取楼梯等方案，缩小出入口横向宽度，实现对现状或规划市政道路人行道空间的侵占影响的最小化目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对于通过下沉广场来融合出入口地面亭、风亭、冷却塔等设施，或是将地铁风亭、冷却塔分散布局、隐藏于城市绿篱之中，弱化地面影响的同时，消隐地铁附属设施于环境之中，应给评分；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对于车站存在任何一处附属设施的布局位置未实现规划退让规定，对城市市政道路资源影响较大的，影响市政道路人行道通行空间，则本条不得分。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应查阅车站附属结合建筑物或景观一体化设置的概念方案说明材料，体现结合设计意图的车站总平面图、主体及附属的平面、剖面图、局部大样图、体现结合设计意图的地面附属总平面图、平面图、大样图等相关设计文件；运营管理阶段评价在规划设计阶段评价方法之外还应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7.2.11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7.2.12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一体化设计指的是土建设计和装修设计同步有序进行，即机电装修与土建的建筑、结构、给排水、通风空调、电气等所有专业，共同完成从方案到施工图的工作，使土建与装修及机电安装紧密结合，并在竣工交付时，同步完成所有工作。土建、机电安装和装修的一体化设计，是减少材料消耗，降低成本、实现绿色目标的重要手段之一。</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7.2.13  </w:t>
      </w:r>
      <w:r>
        <w:rPr>
          <w:rFonts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建筑材料的循环利用是节材和资源利用的重要内容，评价范围是永久性安装在轨道交通工程的建筑材料，不包括电梯、扶梯等设备。有的建筑材料可以在不改变材料的物质形态情况下直接再利用，或经过简单组合、修复后直接利用，如门、窗等，有的需要改变物质形态后才能实现循环利用，如难以直接回用的钢筋、玻璃等，可以回炉再生产。有的即可直接再利用又可回炉生产后再循环使用，比如标准尺寸的钢结构型材，以上各类材料均可纳入本条范畴。</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中的“利废建材”是指再满足安全和使用性能的前提下，使用废弃物作为原材料生产的建筑材料，其中废弃物包含建筑废弃物、工业废料和生活废弃物等，在满足使用性能的前提下，鼓励使用建筑废弃混凝土、工业废料、农作物秸秆、建筑垃圾、淤泥、工业副产品、生活废弃物等材料制成的建筑材料。</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查阅工程概预算材料清单、可循环材料和可再利用材料用量比例计算书，以及各种建筑材料的使用部位及使用量一览表；运营管理阶段查阅工程决算材料清单、可循环材料和可再利用材料用量比例计算书、相应的产品检测报告，以废弃物为原料生产的建筑材料用量比例及建筑中废弃的掺量，并核查其计算合理性及实际用量比例。</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7.2.14  </w:t>
      </w:r>
      <w:r>
        <w:rPr>
          <w:rFonts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混凝土和钢都是用途最广、用量最大的建筑材料之一，减少其用量是节材的重要措施。我国将C50及以上混凝土、Q345级及以上高强度材料和400MPa级以上受力普通钢筋作为高强度材料，在合理的前提下，轨道交通工程应优先采用高强度材料，并按下列规则进行计算：</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  混凝土结构，需计算高强度钢筋比例、高强度混凝土比例、预应力混凝土梁板面积比例、地上部分预制构件应用混凝土比例。计算预制构件混凝土体积时，无竖向立杆支撑叠合楼盖的现浇混凝土部分可按预制构件考虑，预制剪力墙的边缘构件现浇部分可按预制构件考虑，叠合剪力墙的现浇混凝土部分可按0.8倍折算为预制构件，膜壳墙的现浇混凝土部分可按0.5倍折算为预制构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本条中由于地下车站建筑的竖向承重构件采用高强度混凝土是不合理的，因此本条允许在对构件进行详细专家论证并提交报告后采用低于C50的混凝土。</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  钢结构，计算其高强钢材比例、螺栓连接节点数量比例。</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  混合结构，除了计算以上材料外，还需计算建筑、结构比例。</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本条的评价方法为：规划设计阶段查阅建筑、结构施工图及各类材料用量比例计算书；运营管理阶段查阅竣工图、施工记录及材料决算清单、各类材料用量比例计算书，并现场核实。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7.2.15  </w:t>
      </w:r>
      <w:r>
        <w:rPr>
          <w:rFonts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绿色建筑材料是指全寿命周期内可减少对天然资源消耗和减轻对生态环境影响，具有“节能、减排、安全、便利和可循环”特征的建材产品，其不仅对建材本身的健康、环报、安全等属性有一定要求，还对其生产、加工、运输等全寿命周期的各个环节贯彻“绿色”意识并实施“绿色”技术。绿色建材使用比例计算根据式</w:t>
      </w:r>
      <w:r>
        <w:rPr>
          <w:rFonts w:hint="eastAsia" w:ascii="宋体" w:hAnsi="宋体" w:eastAsia="宋体"/>
          <w:sz w:val="24"/>
          <w:szCs w:val="24"/>
          <w:lang w:val="en-US" w:eastAsia="zh-CN"/>
        </w:rPr>
        <w:t>7.2.5</w:t>
      </w:r>
      <w:r>
        <w:rPr>
          <w:rFonts w:ascii="宋体" w:hAnsi="宋体" w:eastAsia="宋体"/>
          <w:sz w:val="24"/>
          <w:szCs w:val="24"/>
        </w:rPr>
        <w:t>计算：</w:t>
      </w:r>
    </w:p>
    <w:p>
      <w:pPr>
        <w:adjustRightInd w:val="0"/>
        <w:snapToGrid w:val="0"/>
        <w:spacing w:line="360" w:lineRule="auto"/>
        <w:ind w:firstLine="1200" w:firstLineChars="500"/>
        <w:jc w:val="center"/>
        <w:rPr>
          <w:rFonts w:hint="default" w:ascii="宋体" w:hAnsi="宋体" w:eastAsia="宋体"/>
          <w:sz w:val="24"/>
          <w:szCs w:val="24"/>
          <w:lang w:val="en-US" w:eastAsia="zh-CN"/>
        </w:rPr>
      </w:pPr>
      <w:r>
        <w:rPr>
          <w:rFonts w:hint="eastAsia" w:ascii="宋体" w:hAnsi="宋体" w:eastAsia="宋体"/>
          <w:sz w:val="24"/>
          <w:szCs w:val="24"/>
        </w:rPr>
        <w:t xml:space="preserve">           P=(S</w:t>
      </w:r>
      <w:r>
        <w:rPr>
          <w:rFonts w:hint="eastAsia" w:ascii="宋体" w:hAnsi="宋体" w:eastAsia="宋体"/>
          <w:sz w:val="24"/>
          <w:szCs w:val="24"/>
          <w:vertAlign w:val="subscript"/>
        </w:rPr>
        <w:t>1</w:t>
      </w:r>
      <w:r>
        <w:rPr>
          <w:rFonts w:hint="eastAsia" w:ascii="宋体" w:hAnsi="宋体" w:eastAsia="宋体"/>
          <w:sz w:val="24"/>
          <w:szCs w:val="24"/>
        </w:rPr>
        <w:t>+ S</w:t>
      </w:r>
      <w:r>
        <w:rPr>
          <w:rFonts w:hint="eastAsia" w:ascii="宋体" w:hAnsi="宋体" w:eastAsia="宋体"/>
          <w:sz w:val="24"/>
          <w:szCs w:val="24"/>
          <w:vertAlign w:val="subscript"/>
        </w:rPr>
        <w:t>2</w:t>
      </w:r>
      <w:r>
        <w:rPr>
          <w:rFonts w:hint="eastAsia" w:ascii="宋体" w:hAnsi="宋体" w:eastAsia="宋体"/>
          <w:sz w:val="24"/>
          <w:szCs w:val="24"/>
        </w:rPr>
        <w:t>+ S</w:t>
      </w:r>
      <w:r>
        <w:rPr>
          <w:rFonts w:hint="eastAsia" w:ascii="宋体" w:hAnsi="宋体" w:eastAsia="宋体"/>
          <w:sz w:val="24"/>
          <w:szCs w:val="24"/>
          <w:vertAlign w:val="subscript"/>
        </w:rPr>
        <w:t>3</w:t>
      </w:r>
      <w:r>
        <w:rPr>
          <w:rFonts w:hint="eastAsia" w:ascii="宋体" w:hAnsi="宋体" w:eastAsia="宋体"/>
          <w:sz w:val="24"/>
          <w:szCs w:val="24"/>
        </w:rPr>
        <w:t xml:space="preserve">)/100×100%      </w:t>
      </w:r>
      <w:r>
        <w:rPr>
          <w:rFonts w:ascii="宋体" w:hAnsi="宋体" w:eastAsia="宋体"/>
          <w:sz w:val="24"/>
          <w:szCs w:val="24"/>
        </w:rPr>
        <w:fldChar w:fldCharType="begin"/>
      </w:r>
      <w:r>
        <w:rPr>
          <w:rFonts w:ascii="宋体" w:hAnsi="宋体" w:eastAsia="宋体"/>
          <w:sz w:val="24"/>
          <w:szCs w:val="24"/>
        </w:rPr>
        <w:instrText xml:space="preserve"> QUOTE </w:instrText>
      </w:r>
      <m:oMath>
        <m:r>
          <m:rPr>
            <m:sty m:val="p"/>
          </m:rPr>
          <w:rPr>
            <w:rFonts w:ascii="Cambria Math" w:hAnsi="Cambria Math" w:eastAsia="宋体"/>
            <w:sz w:val="24"/>
            <w:szCs w:val="24"/>
          </w:rPr>
          <m:t xml:space="preserve">P=</m:t>
        </m:r>
        <m:f>
          <m:fPr>
            <m:ctrlPr>
              <w:rPr>
                <w:rFonts w:ascii="Cambria Math" w:hAnsi="Cambria Math" w:eastAsia="宋体"/>
                <w:sz w:val="24"/>
                <w:szCs w:val="24"/>
              </w:rPr>
            </m:ctrlPr>
          </m:fPr>
          <m:num>
            <m:sSub>
              <m:sSubPr>
                <m:ctrlPr>
                  <w:rPr>
                    <w:rFonts w:ascii="Cambria Math" w:hAnsi="Cambria Math" w:eastAsia="宋体"/>
                    <w:sz w:val="24"/>
                    <w:szCs w:val="24"/>
                  </w:rPr>
                </m:ctrlPr>
              </m:sSubPr>
              <m:e>
                <m:r>
                  <m:rPr>
                    <m:sty m:val="p"/>
                  </m:rPr>
                  <w:rPr>
                    <w:rFonts w:ascii="Cambria Math" w:hAnsi="Cambria Math" w:eastAsia="宋体"/>
                    <w:sz w:val="24"/>
                    <w:szCs w:val="24"/>
                  </w:rPr>
                  <m:t xml:space="preserve">S</m:t>
                </m:r>
                <m:ctrlPr>
                  <w:rPr>
                    <w:rFonts w:ascii="Cambria Math" w:hAnsi="Cambria Math" w:eastAsia="宋体"/>
                    <w:sz w:val="24"/>
                    <w:szCs w:val="24"/>
                  </w:rPr>
                </m:ctrlPr>
              </m:e>
              <m:sub>
                <m:r>
                  <m:rPr>
                    <m:sty m:val="p"/>
                  </m:rPr>
                  <w:rPr>
                    <w:rFonts w:ascii="Cambria Math" w:hAnsi="Cambria Math" w:eastAsia="宋体"/>
                    <w:sz w:val="24"/>
                    <w:szCs w:val="24"/>
                  </w:rPr>
                  <m:t xml:space="preserve">1</m:t>
                </m:r>
                <m:ctrlPr>
                  <w:rPr>
                    <w:rFonts w:ascii="Cambria Math" w:hAnsi="Cambria Math" w:eastAsia="宋体"/>
                    <w:sz w:val="24"/>
                    <w:szCs w:val="24"/>
                  </w:rPr>
                </m:ctrlPr>
              </m:sub>
            </m:sSub>
            <m:r>
              <m:rPr>
                <m:sty m:val="p"/>
              </m:rPr>
              <w:rPr>
                <w:rFonts w:ascii="Cambria Math" w:hAnsi="Cambria Math" w:eastAsia="宋体"/>
                <w:sz w:val="24"/>
                <w:szCs w:val="24"/>
              </w:rPr>
              <m:t xml:space="preserve">+</m:t>
            </m:r>
            <m:sSub>
              <m:sSubPr>
                <m:ctrlPr>
                  <w:rPr>
                    <w:rFonts w:ascii="Cambria Math" w:hAnsi="Cambria Math" w:eastAsia="宋体"/>
                    <w:sz w:val="24"/>
                    <w:szCs w:val="24"/>
                  </w:rPr>
                </m:ctrlPr>
              </m:sSubPr>
              <m:e>
                <m:r>
                  <m:rPr>
                    <m:sty m:val="p"/>
                  </m:rPr>
                  <w:rPr>
                    <w:rFonts w:ascii="Cambria Math" w:hAnsi="Cambria Math" w:eastAsia="宋体"/>
                    <w:sz w:val="24"/>
                    <w:szCs w:val="24"/>
                  </w:rPr>
                  <m:t xml:space="preserve">S</m:t>
                </m:r>
                <m:ctrlPr>
                  <w:rPr>
                    <w:rFonts w:ascii="Cambria Math" w:hAnsi="Cambria Math" w:eastAsia="宋体"/>
                    <w:sz w:val="24"/>
                    <w:szCs w:val="24"/>
                  </w:rPr>
                </m:ctrlPr>
              </m:e>
              <m:sub>
                <m:r>
                  <m:rPr>
                    <m:sty m:val="p"/>
                  </m:rPr>
                  <w:rPr>
                    <w:rFonts w:ascii="Cambria Math" w:hAnsi="Cambria Math" w:eastAsia="宋体"/>
                    <w:sz w:val="24"/>
                    <w:szCs w:val="24"/>
                  </w:rPr>
                  <m:t xml:space="preserve">2</m:t>
                </m:r>
                <m:ctrlPr>
                  <w:rPr>
                    <w:rFonts w:ascii="Cambria Math" w:hAnsi="Cambria Math" w:eastAsia="宋体"/>
                    <w:sz w:val="24"/>
                    <w:szCs w:val="24"/>
                  </w:rPr>
                </m:ctrlPr>
              </m:sub>
            </m:sSub>
            <m:r>
              <m:rPr>
                <m:sty m:val="p"/>
              </m:rPr>
              <w:rPr>
                <w:rFonts w:ascii="Cambria Math" w:hAnsi="Cambria Math" w:eastAsia="宋体"/>
                <w:sz w:val="24"/>
                <w:szCs w:val="24"/>
              </w:rPr>
              <m:t xml:space="preserve">+</m:t>
            </m:r>
            <m:sSub>
              <m:sSubPr>
                <m:ctrlPr>
                  <w:rPr>
                    <w:rFonts w:ascii="Cambria Math" w:hAnsi="Cambria Math" w:eastAsia="宋体"/>
                    <w:sz w:val="24"/>
                    <w:szCs w:val="24"/>
                  </w:rPr>
                </m:ctrlPr>
              </m:sSubPr>
              <m:e>
                <m:r>
                  <m:rPr>
                    <m:sty m:val="p"/>
                  </m:rPr>
                  <w:rPr>
                    <w:rFonts w:ascii="Cambria Math" w:hAnsi="Cambria Math" w:eastAsia="宋体"/>
                    <w:sz w:val="24"/>
                    <w:szCs w:val="24"/>
                  </w:rPr>
                  <m:t xml:space="preserve">S</m:t>
                </m:r>
                <m:ctrlPr>
                  <w:rPr>
                    <w:rFonts w:ascii="Cambria Math" w:hAnsi="Cambria Math" w:eastAsia="宋体"/>
                    <w:sz w:val="24"/>
                    <w:szCs w:val="24"/>
                  </w:rPr>
                </m:ctrlPr>
              </m:e>
              <m:sub>
                <m:r>
                  <m:rPr>
                    <m:sty m:val="p"/>
                  </m:rPr>
                  <w:rPr>
                    <w:rFonts w:ascii="Cambria Math" w:hAnsi="Cambria Math" w:eastAsia="宋体"/>
                    <w:sz w:val="24"/>
                    <w:szCs w:val="24"/>
                  </w:rPr>
                  <m:t xml:space="preserve">3</m:t>
                </m:r>
                <m:ctrlPr>
                  <w:rPr>
                    <w:rFonts w:ascii="Cambria Math" w:hAnsi="Cambria Math" w:eastAsia="宋体"/>
                    <w:sz w:val="24"/>
                    <w:szCs w:val="24"/>
                  </w:rPr>
                </m:ctrlPr>
              </m:sub>
            </m:sSub>
            <m:r>
              <m:rPr>
                <m:sty m:val="p"/>
              </m:rPr>
              <w:rPr>
                <w:rFonts w:ascii="Cambria Math" w:hAnsi="Cambria Math" w:eastAsia="宋体"/>
                <w:sz w:val="24"/>
                <w:szCs w:val="24"/>
              </w:rPr>
              <m:t xml:space="preserve">+</m:t>
            </m:r>
            <m:sSub>
              <m:sSubPr>
                <m:ctrlPr>
                  <w:rPr>
                    <w:rFonts w:ascii="Cambria Math" w:hAnsi="Cambria Math" w:eastAsia="宋体"/>
                    <w:sz w:val="24"/>
                    <w:szCs w:val="24"/>
                  </w:rPr>
                </m:ctrlPr>
              </m:sSubPr>
              <m:e>
                <m:r>
                  <m:rPr>
                    <m:sty m:val="p"/>
                  </m:rPr>
                  <w:rPr>
                    <w:rFonts w:ascii="Cambria Math" w:hAnsi="Cambria Math" w:eastAsia="宋体"/>
                    <w:sz w:val="24"/>
                    <w:szCs w:val="24"/>
                  </w:rPr>
                  <m:t xml:space="preserve">S</m:t>
                </m:r>
                <m:ctrlPr>
                  <w:rPr>
                    <w:rFonts w:ascii="Cambria Math" w:hAnsi="Cambria Math" w:eastAsia="宋体"/>
                    <w:sz w:val="24"/>
                    <w:szCs w:val="24"/>
                  </w:rPr>
                </m:ctrlPr>
              </m:e>
              <m:sub>
                <m:r>
                  <m:rPr>
                    <m:sty m:val="p"/>
                  </m:rPr>
                  <w:rPr>
                    <w:rFonts w:ascii="Cambria Math" w:hAnsi="Cambria Math" w:eastAsia="宋体"/>
                    <w:sz w:val="24"/>
                    <w:szCs w:val="24"/>
                  </w:rPr>
                  <m:t xml:space="preserve">4</m:t>
                </m:r>
                <m:ctrlPr>
                  <w:rPr>
                    <w:rFonts w:ascii="Cambria Math" w:hAnsi="Cambria Math" w:eastAsia="宋体"/>
                    <w:sz w:val="24"/>
                    <w:szCs w:val="24"/>
                  </w:rPr>
                </m:ctrlPr>
              </m:sub>
            </m:sSub>
            <m:ctrlPr>
              <w:rPr>
                <w:rFonts w:ascii="Cambria Math" w:hAnsi="Cambria Math" w:eastAsia="宋体"/>
                <w:sz w:val="24"/>
                <w:szCs w:val="24"/>
              </w:rPr>
            </m:ctrlPr>
          </m:num>
          <m:den>
            <m:r>
              <m:rPr>
                <m:sty m:val="p"/>
              </m:rPr>
              <w:rPr>
                <w:rFonts w:ascii="Cambria Math" w:hAnsi="Cambria Math" w:eastAsia="宋体"/>
                <w:sz w:val="24"/>
                <w:szCs w:val="24"/>
              </w:rPr>
              <m:t xml:space="preserve">100</m:t>
            </m:r>
            <m:ctrlPr>
              <w:rPr>
                <w:rFonts w:ascii="Cambria Math" w:hAnsi="Cambria Math" w:eastAsia="宋体"/>
                <w:sz w:val="24"/>
                <w:szCs w:val="24"/>
              </w:rPr>
            </m:ctrlPr>
          </m:den>
        </m:f>
        <m:r>
          <m:rPr>
            <m:sty m:val="p"/>
          </m:rPr>
          <w:rPr>
            <w:rFonts w:ascii="Cambria Math" w:hAnsi="Cambria Math" w:eastAsia="宋体"/>
            <w:sz w:val="24"/>
            <w:szCs w:val="24"/>
          </w:rPr>
          <m:t xml:space="preserve">×100%</m:t>
        </m:r>
      </m:oMath>
      <w:r>
        <w:rPr>
          <w:rFonts w:ascii="宋体" w:hAnsi="宋体" w:eastAsia="宋体"/>
          <w:sz w:val="24"/>
          <w:szCs w:val="24"/>
        </w:rPr>
        <w:fldChar w:fldCharType="end"/>
      </w:r>
      <w:r>
        <w:rPr>
          <w:rFonts w:hint="eastAsia" w:ascii="宋体" w:hAnsi="宋体" w:eastAsia="宋体"/>
          <w:sz w:val="24"/>
          <w:szCs w:val="24"/>
        </w:rPr>
        <w:t xml:space="preserve">             式</w:t>
      </w:r>
      <w:r>
        <w:rPr>
          <w:rFonts w:hint="eastAsia" w:ascii="宋体" w:hAnsi="宋体" w:eastAsia="宋体"/>
          <w:sz w:val="24"/>
          <w:szCs w:val="24"/>
          <w:lang w:val="en-US" w:eastAsia="zh-CN"/>
        </w:rPr>
        <w:t>7.2.5</w:t>
      </w:r>
    </w:p>
    <w:p>
      <w:pPr>
        <w:adjustRightInd w:val="0"/>
        <w:snapToGrid w:val="0"/>
        <w:spacing w:line="360" w:lineRule="auto"/>
        <w:ind w:firstLine="240" w:firstLineChars="100"/>
        <w:rPr>
          <w:rFonts w:ascii="宋体" w:hAnsi="宋体" w:eastAsia="宋体"/>
          <w:sz w:val="24"/>
          <w:szCs w:val="24"/>
        </w:rPr>
      </w:pPr>
      <w:r>
        <w:rPr>
          <w:rFonts w:ascii="宋体" w:hAnsi="宋体" w:eastAsia="宋体"/>
          <w:sz w:val="24"/>
          <w:szCs w:val="24"/>
        </w:rPr>
        <w:t>式中：  P-绿色建筑材料使用比例；</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S1-主体结构绿色材料指标实际得分值；</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S2-装修绿色材料指标实际得分值；</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S3-其他绿色材料指标实际得分值。</w:t>
      </w:r>
    </w:p>
    <w:p>
      <w:pPr>
        <w:adjustRightInd w:val="0"/>
        <w:snapToGrid w:val="0"/>
        <w:spacing w:line="360" w:lineRule="auto"/>
        <w:jc w:val="center"/>
        <w:rPr>
          <w:rFonts w:ascii="宋体" w:hAnsi="宋体" w:eastAsia="宋体"/>
          <w:b/>
          <w:sz w:val="24"/>
          <w:szCs w:val="24"/>
        </w:rPr>
      </w:pPr>
      <w:r>
        <w:rPr>
          <w:rFonts w:ascii="宋体" w:hAnsi="宋体" w:eastAsia="宋体"/>
          <w:b/>
          <w:sz w:val="21"/>
          <w:szCs w:val="21"/>
        </w:rPr>
        <w:t>表</w:t>
      </w:r>
      <w:r>
        <w:rPr>
          <w:rFonts w:hint="eastAsia" w:ascii="宋体" w:hAnsi="宋体" w:eastAsia="宋体"/>
          <w:b/>
          <w:sz w:val="21"/>
          <w:szCs w:val="21"/>
          <w:lang w:val="en-US" w:eastAsia="zh-CN"/>
        </w:rPr>
        <w:t>7.2.15</w:t>
      </w:r>
      <w:r>
        <w:rPr>
          <w:rFonts w:hint="eastAsia" w:ascii="宋体" w:hAnsi="宋体" w:eastAsia="宋体"/>
          <w:b/>
          <w:sz w:val="24"/>
          <w:szCs w:val="24"/>
        </w:rPr>
        <w:t>　</w:t>
      </w:r>
      <w:r>
        <w:rPr>
          <w:b/>
        </w:rPr>
        <w:t>绿色建材使用比例计算表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2"/>
        <w:gridCol w:w="2977"/>
        <w:gridCol w:w="1927"/>
        <w:gridCol w:w="1164"/>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4219" w:type="dxa"/>
            <w:gridSpan w:val="2"/>
            <w:shd w:val="clear" w:color="auto" w:fill="auto"/>
            <w:vAlign w:val="center"/>
          </w:tcPr>
          <w:p>
            <w:pPr>
              <w:adjustRightInd w:val="0"/>
              <w:snapToGrid w:val="0"/>
              <w:ind w:firstLine="420" w:firstLineChars="200"/>
              <w:rPr>
                <w:rFonts w:ascii="宋体" w:hAnsi="宋体" w:eastAsia="宋体"/>
              </w:rPr>
            </w:pPr>
            <w:r>
              <w:rPr>
                <w:rFonts w:ascii="宋体" w:hAnsi="宋体" w:eastAsia="宋体"/>
              </w:rPr>
              <w:t>计算项</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计算要求</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计算单位</w:t>
            </w:r>
          </w:p>
        </w:tc>
        <w:tc>
          <w:tcPr>
            <w:tcW w:w="1212" w:type="dxa"/>
            <w:shd w:val="clear" w:color="auto" w:fill="auto"/>
            <w:vAlign w:val="center"/>
          </w:tcPr>
          <w:p>
            <w:pPr>
              <w:adjustRightInd w:val="0"/>
              <w:snapToGrid w:val="0"/>
              <w:rPr>
                <w:rFonts w:ascii="宋体" w:hAnsi="宋体" w:eastAsia="宋体"/>
              </w:rPr>
            </w:pPr>
            <w:r>
              <w:rPr>
                <w:rFonts w:ascii="宋体" w:hAnsi="宋体" w:eastAsia="宋体"/>
              </w:rPr>
              <w:t>计算得分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restart"/>
            <w:shd w:val="clear" w:color="auto" w:fill="auto"/>
            <w:vAlign w:val="center"/>
          </w:tcPr>
          <w:p>
            <w:pPr>
              <w:adjustRightInd w:val="0"/>
              <w:snapToGrid w:val="0"/>
              <w:rPr>
                <w:rFonts w:ascii="宋体" w:hAnsi="宋体" w:eastAsia="宋体"/>
              </w:rPr>
            </w:pPr>
            <w:r>
              <w:rPr>
                <w:rFonts w:ascii="宋体" w:hAnsi="宋体" w:eastAsia="宋体"/>
              </w:rPr>
              <w:t>主体结构</w:t>
            </w:r>
          </w:p>
        </w:tc>
        <w:tc>
          <w:tcPr>
            <w:tcW w:w="2977" w:type="dxa"/>
            <w:shd w:val="clear" w:color="auto" w:fill="auto"/>
            <w:vAlign w:val="center"/>
          </w:tcPr>
          <w:p>
            <w:pPr>
              <w:adjustRightInd w:val="0"/>
              <w:snapToGrid w:val="0"/>
              <w:rPr>
                <w:rFonts w:ascii="宋体" w:hAnsi="宋体" w:eastAsia="宋体"/>
              </w:rPr>
            </w:pPr>
            <w:r>
              <w:rPr>
                <w:rFonts w:ascii="宋体" w:hAnsi="宋体" w:eastAsia="宋体"/>
              </w:rPr>
              <w:t>预拌混凝土</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比例=100%</w:t>
            </w:r>
          </w:p>
        </w:tc>
        <w:tc>
          <w:tcPr>
            <w:tcW w:w="1164" w:type="dxa"/>
            <w:shd w:val="clear" w:color="auto" w:fill="auto"/>
            <w:vAlign w:val="center"/>
          </w:tcPr>
          <w:p>
            <w:pPr>
              <w:adjustRightInd w:val="0"/>
              <w:snapToGrid w:val="0"/>
              <w:rPr>
                <w:rFonts w:ascii="宋体" w:hAnsi="宋体" w:eastAsia="宋体"/>
              </w:rPr>
            </w:pPr>
            <w:r>
              <w:rPr>
                <w:rFonts w:hint="eastAsia" w:ascii="宋体" w:hAnsi="宋体" w:eastAsia="宋体"/>
              </w:rPr>
              <w:t>m³</w:t>
            </w:r>
          </w:p>
        </w:tc>
        <w:tc>
          <w:tcPr>
            <w:tcW w:w="1212" w:type="dxa"/>
            <w:shd w:val="clear" w:color="auto" w:fill="auto"/>
            <w:vAlign w:val="center"/>
          </w:tcPr>
          <w:p>
            <w:pPr>
              <w:adjustRightInd w:val="0"/>
              <w:snapToGrid w:val="0"/>
              <w:rPr>
                <w:rFonts w:ascii="宋体" w:hAnsi="宋体" w:eastAsia="宋体"/>
              </w:rPr>
            </w:pPr>
            <w:r>
              <w:rPr>
                <w:rFonts w:ascii="宋体" w:hAnsi="宋体" w:eastAsia="宋体"/>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20" w:firstLineChars="200"/>
              <w:rPr>
                <w:rFonts w:ascii="宋体" w:hAnsi="宋体" w:eastAsia="宋体"/>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预拌砂浆</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比例=100%</w:t>
            </w:r>
          </w:p>
        </w:tc>
        <w:tc>
          <w:tcPr>
            <w:tcW w:w="1164" w:type="dxa"/>
            <w:shd w:val="clear" w:color="auto" w:fill="auto"/>
            <w:vAlign w:val="center"/>
          </w:tcPr>
          <w:p>
            <w:pPr>
              <w:adjustRightInd w:val="0"/>
              <w:snapToGrid w:val="0"/>
              <w:rPr>
                <w:rFonts w:ascii="宋体" w:hAnsi="宋体" w:eastAsia="宋体"/>
              </w:rPr>
            </w:pPr>
            <w:r>
              <w:rPr>
                <w:rFonts w:hint="eastAsia" w:ascii="宋体" w:hAnsi="宋体" w:eastAsia="宋体"/>
              </w:rPr>
              <w:t>m³</w:t>
            </w:r>
          </w:p>
        </w:tc>
        <w:tc>
          <w:tcPr>
            <w:tcW w:w="1212" w:type="dxa"/>
            <w:shd w:val="clear" w:color="auto" w:fill="auto"/>
            <w:vAlign w:val="center"/>
          </w:tcPr>
          <w:p>
            <w:pPr>
              <w:adjustRightInd w:val="0"/>
              <w:snapToGrid w:val="0"/>
              <w:rPr>
                <w:rFonts w:ascii="宋体" w:hAnsi="宋体" w:eastAsia="宋体"/>
              </w:rPr>
            </w:pPr>
            <w:r>
              <w:rPr>
                <w:rFonts w:ascii="宋体" w:hAnsi="宋体" w:eastAsia="宋体"/>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20" w:firstLineChars="200"/>
              <w:rPr>
                <w:rFonts w:ascii="宋体" w:hAnsi="宋体" w:eastAsia="宋体"/>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内隔墙</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hint="eastAsia" w:ascii="宋体" w:hAnsi="宋体" w:eastAsia="宋体"/>
              </w:rPr>
              <w:t>m³</w:t>
            </w:r>
          </w:p>
        </w:tc>
        <w:tc>
          <w:tcPr>
            <w:tcW w:w="1212" w:type="dxa"/>
            <w:shd w:val="clear" w:color="auto" w:fill="auto"/>
            <w:vAlign w:val="center"/>
          </w:tcPr>
          <w:p>
            <w:pPr>
              <w:adjustRightInd w:val="0"/>
              <w:snapToGrid w:val="0"/>
              <w:rPr>
                <w:rFonts w:ascii="宋体" w:hAnsi="宋体" w:eastAsia="宋体"/>
              </w:rPr>
            </w:pPr>
            <w:r>
              <w:rPr>
                <w:rFonts w:ascii="宋体" w:hAnsi="宋体" w:eastAsia="宋体"/>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20" w:firstLineChars="200"/>
              <w:rPr>
                <w:rFonts w:ascii="宋体" w:hAnsi="宋体" w:eastAsia="宋体"/>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围护墙</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比例=100%</w:t>
            </w:r>
          </w:p>
        </w:tc>
        <w:tc>
          <w:tcPr>
            <w:tcW w:w="1164" w:type="dxa"/>
            <w:shd w:val="clear" w:color="auto" w:fill="auto"/>
            <w:vAlign w:val="center"/>
          </w:tcPr>
          <w:p>
            <w:pPr>
              <w:adjustRightInd w:val="0"/>
              <w:snapToGrid w:val="0"/>
              <w:rPr>
                <w:rFonts w:ascii="宋体" w:hAnsi="宋体" w:eastAsia="宋体"/>
              </w:rPr>
            </w:pPr>
            <w:r>
              <w:rPr>
                <w:rFonts w:hint="eastAsia" w:ascii="宋体" w:hAnsi="宋体" w:eastAsia="宋体"/>
              </w:rPr>
              <w:t>m³</w:t>
            </w:r>
          </w:p>
        </w:tc>
        <w:tc>
          <w:tcPr>
            <w:tcW w:w="1212" w:type="dxa"/>
            <w:shd w:val="clear" w:color="auto" w:fill="auto"/>
            <w:vAlign w:val="center"/>
          </w:tcPr>
          <w:p>
            <w:pPr>
              <w:adjustRightInd w:val="0"/>
              <w:snapToGrid w:val="0"/>
              <w:rPr>
                <w:rFonts w:ascii="宋体" w:hAnsi="宋体" w:eastAsia="宋体"/>
              </w:rPr>
            </w:pPr>
            <w:r>
              <w:rPr>
                <w:rFonts w:ascii="宋体" w:hAnsi="宋体" w:eastAsia="宋体"/>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restart"/>
            <w:shd w:val="clear" w:color="auto" w:fill="auto"/>
            <w:vAlign w:val="center"/>
          </w:tcPr>
          <w:p>
            <w:pPr>
              <w:adjustRightInd w:val="0"/>
              <w:snapToGrid w:val="0"/>
              <w:rPr>
                <w:rFonts w:ascii="宋体" w:hAnsi="宋体" w:eastAsia="宋体"/>
              </w:rPr>
            </w:pPr>
            <w:r>
              <w:rPr>
                <w:rFonts w:ascii="宋体" w:hAnsi="宋体" w:eastAsia="宋体"/>
              </w:rPr>
              <w:t>装修</w:t>
            </w:r>
          </w:p>
        </w:tc>
        <w:tc>
          <w:tcPr>
            <w:tcW w:w="2977" w:type="dxa"/>
            <w:shd w:val="clear" w:color="auto" w:fill="auto"/>
            <w:vAlign w:val="center"/>
          </w:tcPr>
          <w:p>
            <w:pPr>
              <w:adjustRightInd w:val="0"/>
              <w:snapToGrid w:val="0"/>
              <w:rPr>
                <w:rFonts w:ascii="宋体" w:hAnsi="宋体" w:eastAsia="宋体"/>
              </w:rPr>
            </w:pPr>
            <w:r>
              <w:rPr>
                <w:rFonts w:ascii="宋体" w:hAnsi="宋体" w:eastAsia="宋体"/>
              </w:rPr>
              <w:t>外内墙装饰面层涂料、面砖等</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m</w:t>
            </w:r>
            <w:r>
              <w:rPr>
                <w:rFonts w:ascii="宋体" w:hAnsi="宋体" w:eastAsia="宋体"/>
                <w:vertAlign w:val="superscript"/>
              </w:rPr>
              <w:t>2</w:t>
            </w:r>
          </w:p>
        </w:tc>
        <w:tc>
          <w:tcPr>
            <w:tcW w:w="1212" w:type="dxa"/>
            <w:shd w:val="clear" w:color="auto" w:fill="auto"/>
            <w:vAlign w:val="center"/>
          </w:tcPr>
          <w:p>
            <w:pPr>
              <w:adjustRightInd w:val="0"/>
              <w:snapToGrid w:val="0"/>
              <w:rPr>
                <w:rFonts w:ascii="宋体" w:hAnsi="宋体" w:eastAsia="宋体"/>
              </w:rPr>
            </w:pPr>
            <w:r>
              <w:rPr>
                <w:rFonts w:hint="eastAsia" w:ascii="宋体" w:hAnsi="宋体" w:eastAsia="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20" w:firstLineChars="200"/>
              <w:rPr>
                <w:rFonts w:ascii="宋体" w:hAnsi="宋体" w:eastAsia="宋体"/>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顶棚的装饰面层涂料、吊顶等</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m</w:t>
            </w:r>
            <w:r>
              <w:rPr>
                <w:rFonts w:ascii="宋体" w:hAnsi="宋体" w:eastAsia="宋体"/>
                <w:vertAlign w:val="superscript"/>
              </w:rPr>
              <w:t>2</w:t>
            </w:r>
          </w:p>
        </w:tc>
        <w:tc>
          <w:tcPr>
            <w:tcW w:w="1212" w:type="dxa"/>
            <w:shd w:val="clear" w:color="auto" w:fill="auto"/>
            <w:vAlign w:val="center"/>
          </w:tcPr>
          <w:p>
            <w:pPr>
              <w:adjustRightInd w:val="0"/>
              <w:snapToGrid w:val="0"/>
              <w:rPr>
                <w:rFonts w:ascii="宋体" w:hAnsi="宋体" w:eastAsia="宋体"/>
              </w:rPr>
            </w:pPr>
            <w:r>
              <w:rPr>
                <w:rFonts w:hint="eastAsia" w:ascii="宋体" w:hAnsi="宋体" w:eastAsia="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20" w:firstLineChars="200"/>
              <w:rPr>
                <w:rFonts w:ascii="宋体" w:hAnsi="宋体" w:eastAsia="宋体"/>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地面装饰面层等</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m</w:t>
            </w:r>
            <w:r>
              <w:rPr>
                <w:rFonts w:ascii="宋体" w:hAnsi="宋体" w:eastAsia="宋体"/>
                <w:vertAlign w:val="superscript"/>
              </w:rPr>
              <w:t>2</w:t>
            </w:r>
          </w:p>
        </w:tc>
        <w:tc>
          <w:tcPr>
            <w:tcW w:w="1212" w:type="dxa"/>
            <w:shd w:val="clear" w:color="auto" w:fill="auto"/>
            <w:vAlign w:val="center"/>
          </w:tcPr>
          <w:p>
            <w:pPr>
              <w:adjustRightInd w:val="0"/>
              <w:snapToGrid w:val="0"/>
              <w:rPr>
                <w:rFonts w:ascii="宋体" w:hAnsi="宋体" w:eastAsia="宋体"/>
              </w:rPr>
            </w:pPr>
            <w:r>
              <w:rPr>
                <w:rFonts w:hint="eastAsia" w:ascii="宋体" w:hAnsi="宋体" w:eastAsia="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20" w:firstLineChars="200"/>
              <w:rPr>
                <w:rFonts w:ascii="宋体" w:hAnsi="宋体" w:eastAsia="宋体"/>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门窗、玻璃</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m</w:t>
            </w:r>
            <w:r>
              <w:rPr>
                <w:rFonts w:ascii="宋体" w:hAnsi="宋体" w:eastAsia="宋体"/>
                <w:vertAlign w:val="superscript"/>
              </w:rPr>
              <w:t>2</w:t>
            </w:r>
          </w:p>
        </w:tc>
        <w:tc>
          <w:tcPr>
            <w:tcW w:w="1212" w:type="dxa"/>
            <w:shd w:val="clear" w:color="auto" w:fill="auto"/>
            <w:vAlign w:val="center"/>
          </w:tcPr>
          <w:p>
            <w:pPr>
              <w:adjustRightInd w:val="0"/>
              <w:snapToGrid w:val="0"/>
              <w:rPr>
                <w:rFonts w:ascii="宋体" w:hAnsi="宋体" w:eastAsia="宋体"/>
              </w:rPr>
            </w:pPr>
            <w:r>
              <w:rPr>
                <w:rFonts w:hint="eastAsia" w:ascii="宋体" w:hAnsi="宋体" w:eastAsia="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restart"/>
            <w:shd w:val="clear" w:color="auto" w:fill="auto"/>
            <w:vAlign w:val="center"/>
          </w:tcPr>
          <w:p>
            <w:pPr>
              <w:adjustRightInd w:val="0"/>
              <w:snapToGrid w:val="0"/>
              <w:rPr>
                <w:rFonts w:ascii="宋体" w:hAnsi="宋体" w:eastAsia="宋体"/>
              </w:rPr>
            </w:pPr>
            <w:r>
              <w:rPr>
                <w:rFonts w:ascii="宋体" w:hAnsi="宋体" w:eastAsia="宋体"/>
              </w:rPr>
              <w:t>其他</w:t>
            </w:r>
          </w:p>
        </w:tc>
        <w:tc>
          <w:tcPr>
            <w:tcW w:w="2977" w:type="dxa"/>
            <w:shd w:val="clear" w:color="auto" w:fill="auto"/>
            <w:vAlign w:val="center"/>
          </w:tcPr>
          <w:p>
            <w:pPr>
              <w:adjustRightInd w:val="0"/>
              <w:snapToGrid w:val="0"/>
              <w:rPr>
                <w:rFonts w:ascii="宋体" w:hAnsi="宋体" w:eastAsia="宋体"/>
              </w:rPr>
            </w:pPr>
            <w:r>
              <w:rPr>
                <w:rFonts w:ascii="宋体" w:hAnsi="宋体" w:eastAsia="宋体"/>
              </w:rPr>
              <w:t>保温材料</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m2</w:t>
            </w:r>
          </w:p>
        </w:tc>
        <w:tc>
          <w:tcPr>
            <w:tcW w:w="1212" w:type="dxa"/>
            <w:shd w:val="clear" w:color="auto" w:fill="auto"/>
            <w:vAlign w:val="center"/>
          </w:tcPr>
          <w:p>
            <w:pPr>
              <w:adjustRightInd w:val="0"/>
              <w:snapToGrid w:val="0"/>
              <w:rPr>
                <w:rFonts w:ascii="宋体" w:hAnsi="宋体" w:eastAsia="宋体"/>
              </w:rPr>
            </w:pPr>
            <w:r>
              <w:rPr>
                <w:rFonts w:hint="eastAsia" w:ascii="宋体" w:hAnsi="宋体" w:eastAsia="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80" w:firstLineChars="200"/>
              <w:rPr>
                <w:rFonts w:ascii="宋体" w:hAnsi="宋体" w:eastAsia="宋体"/>
                <w:sz w:val="24"/>
                <w:szCs w:val="24"/>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防火材料</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m2</w:t>
            </w:r>
          </w:p>
        </w:tc>
        <w:tc>
          <w:tcPr>
            <w:tcW w:w="1212" w:type="dxa"/>
            <w:shd w:val="clear" w:color="auto" w:fill="auto"/>
            <w:vAlign w:val="center"/>
          </w:tcPr>
          <w:p>
            <w:pPr>
              <w:adjustRightInd w:val="0"/>
              <w:snapToGrid w:val="0"/>
              <w:rPr>
                <w:rFonts w:ascii="宋体" w:hAnsi="宋体" w:eastAsia="宋体"/>
              </w:rPr>
            </w:pPr>
            <w:r>
              <w:rPr>
                <w:rFonts w:hint="eastAsia" w:ascii="宋体" w:hAnsi="宋体" w:eastAsia="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80" w:firstLineChars="200"/>
              <w:rPr>
                <w:rFonts w:ascii="宋体" w:hAnsi="宋体" w:eastAsia="宋体"/>
                <w:sz w:val="24"/>
                <w:szCs w:val="24"/>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卫生洁具</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具</w:t>
            </w:r>
          </w:p>
        </w:tc>
        <w:tc>
          <w:tcPr>
            <w:tcW w:w="1212" w:type="dxa"/>
            <w:shd w:val="clear" w:color="auto" w:fill="auto"/>
            <w:vAlign w:val="center"/>
          </w:tcPr>
          <w:p>
            <w:pPr>
              <w:adjustRightInd w:val="0"/>
              <w:snapToGrid w:val="0"/>
              <w:rPr>
                <w:rFonts w:ascii="宋体" w:hAnsi="宋体" w:eastAsia="宋体"/>
              </w:rPr>
            </w:pPr>
            <w:r>
              <w:rPr>
                <w:rFonts w:hint="eastAsia" w:ascii="宋体" w:hAnsi="宋体" w:eastAsia="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80" w:firstLineChars="200"/>
              <w:rPr>
                <w:rFonts w:ascii="宋体" w:hAnsi="宋体" w:eastAsia="宋体"/>
                <w:sz w:val="24"/>
                <w:szCs w:val="24"/>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防水材料</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m2</w:t>
            </w:r>
          </w:p>
        </w:tc>
        <w:tc>
          <w:tcPr>
            <w:tcW w:w="1212" w:type="dxa"/>
            <w:shd w:val="clear" w:color="auto" w:fill="auto"/>
            <w:vAlign w:val="center"/>
          </w:tcPr>
          <w:p>
            <w:pPr>
              <w:adjustRightInd w:val="0"/>
              <w:snapToGrid w:val="0"/>
              <w:rPr>
                <w:rFonts w:ascii="宋体" w:hAnsi="宋体" w:eastAsia="宋体"/>
              </w:rPr>
            </w:pPr>
            <w:r>
              <w:rPr>
                <w:rFonts w:hint="eastAsia" w:ascii="宋体" w:hAnsi="宋体" w:eastAsia="宋体"/>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80" w:firstLineChars="200"/>
              <w:rPr>
                <w:rFonts w:ascii="宋体" w:hAnsi="宋体" w:eastAsia="宋体"/>
                <w:sz w:val="24"/>
                <w:szCs w:val="24"/>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密封材料</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kg</w:t>
            </w:r>
          </w:p>
        </w:tc>
        <w:tc>
          <w:tcPr>
            <w:tcW w:w="1212" w:type="dxa"/>
            <w:shd w:val="clear" w:color="auto" w:fill="auto"/>
            <w:vAlign w:val="center"/>
          </w:tcPr>
          <w:p>
            <w:pPr>
              <w:adjustRightInd w:val="0"/>
              <w:snapToGrid w:val="0"/>
              <w:rPr>
                <w:rFonts w:ascii="宋体" w:hAnsi="宋体" w:eastAsia="宋体"/>
              </w:rPr>
            </w:pPr>
            <w:r>
              <w:rPr>
                <w:rFonts w:ascii="宋体" w:hAnsi="宋体" w:eastAsia="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80" w:firstLineChars="200"/>
              <w:rPr>
                <w:rFonts w:ascii="宋体" w:hAnsi="宋体" w:eastAsia="宋体"/>
                <w:sz w:val="24"/>
                <w:szCs w:val="24"/>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注浆材料</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kg</w:t>
            </w:r>
          </w:p>
        </w:tc>
        <w:tc>
          <w:tcPr>
            <w:tcW w:w="1212" w:type="dxa"/>
            <w:shd w:val="clear" w:color="auto" w:fill="auto"/>
            <w:vAlign w:val="center"/>
          </w:tcPr>
          <w:p>
            <w:pPr>
              <w:adjustRightInd w:val="0"/>
              <w:snapToGrid w:val="0"/>
              <w:rPr>
                <w:rFonts w:ascii="宋体" w:hAnsi="宋体" w:eastAsia="宋体"/>
              </w:rPr>
            </w:pPr>
            <w:r>
              <w:rPr>
                <w:rFonts w:ascii="宋体" w:hAnsi="宋体" w:eastAsia="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vMerge w:val="continue"/>
            <w:shd w:val="clear" w:color="auto" w:fill="auto"/>
            <w:vAlign w:val="center"/>
          </w:tcPr>
          <w:p>
            <w:pPr>
              <w:adjustRightInd w:val="0"/>
              <w:snapToGrid w:val="0"/>
              <w:ind w:firstLine="480" w:firstLineChars="200"/>
              <w:rPr>
                <w:rFonts w:ascii="宋体" w:hAnsi="宋体" w:eastAsia="宋体"/>
                <w:sz w:val="24"/>
                <w:szCs w:val="24"/>
              </w:rPr>
            </w:pPr>
          </w:p>
        </w:tc>
        <w:tc>
          <w:tcPr>
            <w:tcW w:w="2977" w:type="dxa"/>
            <w:shd w:val="clear" w:color="auto" w:fill="auto"/>
            <w:vAlign w:val="center"/>
          </w:tcPr>
          <w:p>
            <w:pPr>
              <w:adjustRightInd w:val="0"/>
              <w:snapToGrid w:val="0"/>
              <w:rPr>
                <w:rFonts w:ascii="宋体" w:hAnsi="宋体" w:eastAsia="宋体"/>
              </w:rPr>
            </w:pPr>
            <w:r>
              <w:rPr>
                <w:rFonts w:ascii="宋体" w:hAnsi="宋体" w:eastAsia="宋体"/>
              </w:rPr>
              <w:t>通风空调、给排水及机电管材</w:t>
            </w:r>
          </w:p>
        </w:tc>
        <w:tc>
          <w:tcPr>
            <w:tcW w:w="1927" w:type="dxa"/>
            <w:shd w:val="clear" w:color="auto" w:fill="auto"/>
            <w:vAlign w:val="center"/>
          </w:tcPr>
          <w:p>
            <w:pPr>
              <w:adjustRightInd w:val="0"/>
              <w:snapToGrid w:val="0"/>
              <w:rPr>
                <w:rFonts w:ascii="宋体" w:hAnsi="宋体" w:eastAsia="宋体"/>
              </w:rPr>
            </w:pPr>
            <w:r>
              <w:rPr>
                <w:rFonts w:ascii="宋体" w:hAnsi="宋体" w:eastAsia="宋体"/>
              </w:rPr>
              <w:t>比例</w:t>
            </w:r>
            <w:r>
              <w:rPr>
                <w:rFonts w:hint="eastAsia" w:ascii="宋体" w:hAnsi="宋体" w:eastAsia="宋体"/>
                <w:lang w:eastAsia="zh-CN"/>
              </w:rPr>
              <w:t>大于等于</w:t>
            </w:r>
            <w:r>
              <w:rPr>
                <w:rFonts w:ascii="宋体" w:hAnsi="宋体" w:eastAsia="宋体"/>
              </w:rPr>
              <w:t>80%</w:t>
            </w:r>
          </w:p>
        </w:tc>
        <w:tc>
          <w:tcPr>
            <w:tcW w:w="1164" w:type="dxa"/>
            <w:shd w:val="clear" w:color="auto" w:fill="auto"/>
            <w:vAlign w:val="center"/>
          </w:tcPr>
          <w:p>
            <w:pPr>
              <w:adjustRightInd w:val="0"/>
              <w:snapToGrid w:val="0"/>
              <w:rPr>
                <w:rFonts w:ascii="宋体" w:hAnsi="宋体" w:eastAsia="宋体"/>
              </w:rPr>
            </w:pPr>
            <w:r>
              <w:rPr>
                <w:rFonts w:ascii="宋体" w:hAnsi="宋体" w:eastAsia="宋体"/>
              </w:rPr>
              <w:t>kg</w:t>
            </w:r>
          </w:p>
        </w:tc>
        <w:tc>
          <w:tcPr>
            <w:tcW w:w="1212" w:type="dxa"/>
            <w:shd w:val="clear" w:color="auto" w:fill="auto"/>
            <w:vAlign w:val="center"/>
          </w:tcPr>
          <w:p>
            <w:pPr>
              <w:adjustRightInd w:val="0"/>
              <w:snapToGrid w:val="0"/>
              <w:rPr>
                <w:rFonts w:ascii="宋体" w:hAnsi="宋体" w:eastAsia="宋体"/>
              </w:rPr>
            </w:pPr>
            <w:r>
              <w:rPr>
                <w:rFonts w:ascii="宋体" w:hAnsi="宋体" w:eastAsia="宋体"/>
              </w:rPr>
              <w:t>5</w:t>
            </w:r>
          </w:p>
        </w:tc>
      </w:tr>
    </w:tbl>
    <w:p>
      <w:pPr>
        <w:adjustRightInd w:val="0"/>
        <w:snapToGrid w:val="0"/>
        <w:spacing w:line="360" w:lineRule="auto"/>
        <w:ind w:firstLine="420" w:firstLineChars="200"/>
        <w:rPr>
          <w:rFonts w:ascii="宋体" w:hAnsi="宋体" w:eastAsia="宋体"/>
        </w:rPr>
      </w:pPr>
      <w:r>
        <w:rPr>
          <w:rFonts w:ascii="宋体" w:hAnsi="宋体" w:eastAsia="宋体"/>
        </w:rPr>
        <w:t>注：</w:t>
      </w:r>
      <w:r>
        <w:rPr>
          <w:rFonts w:hint="eastAsia" w:ascii="宋体" w:hAnsi="宋体" w:eastAsia="宋体"/>
        </w:rPr>
        <w:t>1</w:t>
      </w:r>
      <w:r>
        <w:rPr>
          <w:rFonts w:ascii="宋体" w:hAnsi="宋体" w:eastAsia="宋体"/>
        </w:rPr>
        <w:t xml:space="preserve">  预拌混凝土和预拌砂浆均包含预制部品部件的混凝土用量和砂浆用量；围护墙、内隔墙采用预制构件时，计入相应体积计算；结构保温隔热装修等一体化构件分别计入相应的墙体、装修、保温、隔热、防水材料计算公式进行计算。</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本条的评价方法为：查阅相关竣工图、计算分析报告、监测报告、工程聚乳酸材料清单、绿色建材标识证书、施工记录，并现场核查。</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7.2.16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本条在国家标准《公共建筑节能设计标准》GB 50189-2015基础上，以比其强制性条文规定值提高百分比(锅炉热效率以百分点)的形式，对包括上述机组在内的空调冷源机组能源效率提出了更高要求。</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7.2.17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通风空调与供暖系统主要设备包括风机、冷水机组、水泵、房间空调器、多联式空调机组等。通风与空调系统风机能效等级标准需执行国家标准《通风机能效限定值及能效等级》GB 19761-2009；空调系统冷水机组能效等级标准需执行国家标准《冷水机组能效限定值及能效等级》GB 19577-2015；空调与供暖系统水泵能效等级标准需执行国家标准《清水离心泵能效限定值及节能评价值》GB 19762-2007。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房间空调器能效等级标准需执行国家标准《房间空气调节器能效限定值及能效等级》GB 12021.3-2010或《转速可控型房间空气调节器能效限定值及能效等级》GB 21455-2013。</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通风空调的输配系统能耗占比不低，此条文主要用于约束输配系统的运行能耗。车站空调风系统和通风系统的风量大于10000m³/h时，风道系统单位风量耗功率（WS）应符合本条款规定。其中，车站全空气空调系统WS限值可参考商业、酒店建筑全空气系统，采用0.30 W/（m³/h）。</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7.2.19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针对空调全系统的整体运行能耗进行评价，对于个别单个设备能效等级不高、但整体运行效果良好的系统也可以得分。</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spacing w:line="360" w:lineRule="auto"/>
        <w:jc w:val="left"/>
        <w:rPr>
          <w:rFonts w:ascii="宋体" w:hAnsi="宋体" w:eastAsia="宋体"/>
          <w:sz w:val="24"/>
          <w:szCs w:val="24"/>
        </w:rPr>
      </w:pPr>
      <w:r>
        <w:rPr>
          <w:rFonts w:hint="eastAsia" w:ascii="仿宋" w:hAnsi="仿宋" w:eastAsia="仿宋"/>
          <w:b/>
          <w:sz w:val="24"/>
          <w:szCs w:val="24"/>
        </w:rPr>
        <w:t xml:space="preserve">7.2.20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城市轨道交通车站通风空调系统一般根据远期高峰客流量对应的满负荷进行设计和设备选型，而车站在绝大部分时间内是处于部分负荷状态，特别是在客流量较小运营初期，负荷更低。另外，车站公共区与设备及管理用房、不同设备及管理用房的通风空调运行时间也不尽相同。针对部分负荷、部分空间使用条件情况，如何采取有效的措施以节约能源，显得至关重要。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1款主要针对系统划分及其末端控制。本条第2款主要针对系统冷源。当夜间空调系统负荷与日间空调系统负荷相差过大时，应考虑单独设置夜间空调系统冷源机组。本条第3款主要针对输配系统。当冷源和末端一体化而不存在输配系统时，可认定为满足，例如直膨式空调系统。</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能耗计量装置设置的目的是为节能控制提供数据支撑，所以应围绕可以通过优化运行模式实现节能的设备设置能耗计量装置。</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现行国家标准《地铁设计规范》</w:t>
      </w:r>
      <w:r>
        <w:rPr>
          <w:rFonts w:ascii="宋体" w:hAnsi="宋体" w:eastAsia="宋体"/>
          <w:sz w:val="24"/>
          <w:szCs w:val="24"/>
        </w:rPr>
        <w:t>GB50157</w:t>
      </w:r>
      <w:r>
        <w:rPr>
          <w:rFonts w:hint="eastAsia" w:ascii="宋体" w:hAnsi="宋体" w:eastAsia="宋体"/>
          <w:sz w:val="24"/>
          <w:szCs w:val="24"/>
        </w:rPr>
        <w:t>和《民用建筑节水设计标准》</w:t>
      </w:r>
      <w:r>
        <w:rPr>
          <w:rFonts w:ascii="宋体" w:hAnsi="宋体" w:eastAsia="宋体"/>
          <w:sz w:val="24"/>
          <w:szCs w:val="24"/>
        </w:rPr>
        <w:t>GB50555</w:t>
      </w:r>
      <w:r>
        <w:rPr>
          <w:rFonts w:hint="eastAsia" w:ascii="宋体" w:hAnsi="宋体" w:eastAsia="宋体"/>
          <w:sz w:val="24"/>
          <w:szCs w:val="24"/>
        </w:rPr>
        <w:t>给出了用水定额和节水定额的区间值，即为上、下限值，中间值为上限值和下限值的算术平均值。</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计算平均日用水量时，应实事求是的确定用水的使用人数、用水面积等。对与用水人数无关的用水，如绿化灌溉、地面冲洗、冷却塔补水等，则根据实际水表计量情况进行考核。</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根据实际运行一年的水表计量数据和使用人数、用水面积等计算平均日用水量，与节水用水定额进行比较来判定。</w:t>
      </w:r>
    </w:p>
    <w:p>
      <w:pPr>
        <w:adjustRightInd w:val="0"/>
        <w:snapToGrid w:val="0"/>
        <w:spacing w:line="360" w:lineRule="auto"/>
        <w:ind w:firstLine="480" w:firstLineChars="200"/>
        <w:rPr>
          <w:rFonts w:ascii="仿宋" w:hAnsi="仿宋" w:eastAsia="仿宋"/>
          <w:b/>
          <w:sz w:val="24"/>
          <w:szCs w:val="24"/>
        </w:rPr>
      </w:pPr>
      <w:r>
        <w:rPr>
          <w:rFonts w:hint="eastAsia" w:ascii="宋体" w:hAnsi="宋体" w:eastAsia="宋体"/>
          <w:sz w:val="24"/>
          <w:szCs w:val="24"/>
        </w:rPr>
        <w:t>本条的评价方法为：运行评价查阅实测水量计量报告和建筑平均日用水量计算</w:t>
      </w:r>
      <w:r>
        <w:rPr>
          <w:rFonts w:hint="eastAsia" w:ascii="仿宋" w:hAnsi="仿宋" w:eastAsia="仿宋"/>
          <w:sz w:val="24"/>
          <w:szCs w:val="24"/>
        </w:rPr>
        <w:t>书。</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目前我国对部分用水器具的用水效率制定了相关标准，如《水嘴用水效率限定值及用水效率等级》</w:t>
      </w:r>
      <w:r>
        <w:rPr>
          <w:rFonts w:ascii="宋体" w:hAnsi="宋体" w:eastAsia="宋体"/>
          <w:sz w:val="24"/>
          <w:szCs w:val="24"/>
        </w:rPr>
        <w:t>GB25501</w:t>
      </w:r>
      <w:r>
        <w:rPr>
          <w:rFonts w:hint="eastAsia" w:ascii="宋体" w:hAnsi="宋体" w:eastAsia="宋体"/>
          <w:sz w:val="24"/>
          <w:szCs w:val="24"/>
        </w:rPr>
        <w:t>、在《坐便器用水效率限定值及用水效率等级》</w:t>
      </w:r>
      <w:r>
        <w:rPr>
          <w:rFonts w:ascii="宋体" w:hAnsi="宋体" w:eastAsia="宋体"/>
          <w:sz w:val="24"/>
          <w:szCs w:val="24"/>
        </w:rPr>
        <w:t>GB25502</w:t>
      </w:r>
      <w:r>
        <w:rPr>
          <w:rFonts w:hint="eastAsia" w:ascii="宋体" w:hAnsi="宋体" w:eastAsia="宋体"/>
          <w:sz w:val="24"/>
          <w:szCs w:val="24"/>
        </w:rPr>
        <w:t>、《便器冲洗阀用水效率限定值及用水效率等级》</w:t>
      </w:r>
      <w:r>
        <w:rPr>
          <w:rFonts w:ascii="宋体" w:hAnsi="宋体" w:eastAsia="宋体"/>
          <w:sz w:val="24"/>
          <w:szCs w:val="24"/>
        </w:rPr>
        <w:t>GB28379</w:t>
      </w:r>
      <w:r>
        <w:rPr>
          <w:rFonts w:hint="eastAsia" w:ascii="宋体" w:hAnsi="宋体" w:eastAsia="宋体"/>
          <w:sz w:val="24"/>
          <w:szCs w:val="24"/>
        </w:rPr>
        <w:t>、《淋浴器用水效率限定值及用水效率等级》</w:t>
      </w:r>
      <w:r>
        <w:rPr>
          <w:rFonts w:ascii="宋体" w:hAnsi="宋体" w:eastAsia="宋体"/>
          <w:sz w:val="24"/>
          <w:szCs w:val="24"/>
        </w:rPr>
        <w:t>GB28378</w:t>
      </w:r>
      <w:r>
        <w:rPr>
          <w:rFonts w:hint="eastAsia" w:ascii="宋体" w:hAnsi="宋体" w:eastAsia="宋体"/>
          <w:sz w:val="24"/>
          <w:szCs w:val="24"/>
        </w:rPr>
        <w:t>等，在设计文件中要注明对卫生器具的节水要求和相应的参数或标准。当存在不同用水效率等级卫生器具时，按满足最低等级的要求得分。卫生器具有用水效率相关标准的应全部采用，方可认定达标。今后当其他用水器具出台了相应标准时，按同样的原则进行要求。作为车辆基地内的永辉量很大的一部分，车辆冲洗的工具和设备需要采用市场上相对节水的产品。公共浴室的淋浴器可采用恒温控制和温度显示调节功能的淋浴器，也可采用带有感应开关、延时自闭阀、脚踏式开关等无人自动关闭装置的淋浴器，或设置用水计量付费的设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含相关节水器具性能参数要求的说明或设备材料表、卫生器具数量汇总表）；运行阶段查阅相关竣工图、卫生器具数量汇总表、产品说明书、产品采购清单、产品节水性能检测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管网漏失水量包括：阀门故障漏水量、室内卫生器具漏水量、水池、水箱溢流漏水量、设备漏水量、管道接口漏水量等。采取以下措施可避免漏损：</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1）给水系统采用的管辖、管件必须符合现行产品标准的要求。当无国家或行业标准时，应符合经备案的企业标准的要求。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2）选用性能高的阀门、零泄漏阀门等；</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3）合理设计供水压力、避免供水压力持续高压或压力骤变；</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 做好室外管道基础处理和覆土，控制管道埋深，加强管道施工监督管理；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5 )</w:t>
      </w:r>
      <w:r>
        <w:rPr>
          <w:rFonts w:ascii="宋体" w:hAnsi="宋体" w:eastAsia="宋体"/>
          <w:sz w:val="24"/>
          <w:szCs w:val="24"/>
        </w:rPr>
        <w:t>水池</w:t>
      </w:r>
      <w:r>
        <w:rPr>
          <w:rFonts w:hint="eastAsia" w:ascii="宋体" w:hAnsi="宋体" w:eastAsia="宋体"/>
          <w:sz w:val="24"/>
          <w:szCs w:val="24"/>
        </w:rPr>
        <w:t>、</w:t>
      </w:r>
      <w:r>
        <w:rPr>
          <w:rFonts w:ascii="宋体" w:hAnsi="宋体" w:eastAsia="宋体"/>
          <w:sz w:val="24"/>
          <w:szCs w:val="24"/>
        </w:rPr>
        <w:t>水箱溢流报警和进水阀门自动联动关闭</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6 )设计阶段：安装分级计量水表，安装率达</w:t>
      </w:r>
      <w:r>
        <w:rPr>
          <w:rFonts w:ascii="宋体" w:hAnsi="宋体" w:eastAsia="宋体"/>
          <w:sz w:val="24"/>
          <w:szCs w:val="24"/>
        </w:rPr>
        <w:t>100%</w:t>
      </w:r>
      <w:r>
        <w:rPr>
          <w:rFonts w:hint="eastAsia" w:ascii="宋体" w:hAnsi="宋体" w:eastAsia="宋体"/>
          <w:sz w:val="24"/>
          <w:szCs w:val="24"/>
        </w:rPr>
        <w:t>，不得出现无计量支路。</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7 )运行阶段：物业管理方面应按水平衡测试的要求进行运行管理。申报方应提供用水量计量和漏损检测情况报告，报告包括分级水表示意图、用水计量实测记录、管网漏损计算和原因分析；申报方还应提供整改措施的落实情况报告。</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本条的评价方法为：设计阶段查阅相关设计文件（含分级水表设置内容）；运行阶段查阅设计说明、相关竣工图（含分级水表设置内容）、用水量计量和漏损检测（漏损率不应大于</w:t>
      </w:r>
      <w:r>
        <w:rPr>
          <w:rFonts w:ascii="宋体" w:hAnsi="宋体" w:eastAsia="宋体"/>
          <w:sz w:val="24"/>
          <w:szCs w:val="24"/>
        </w:rPr>
        <w:t>2%</w:t>
      </w:r>
      <w:r>
        <w:rPr>
          <w:rFonts w:hint="eastAsia" w:ascii="宋体" w:hAnsi="宋体" w:eastAsia="宋体"/>
          <w:sz w:val="24"/>
          <w:szCs w:val="24"/>
        </w:rPr>
        <w:t>）及整改情况报告，并现场核实。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采用屋顶水箱或水塔容易产生二次污染，故尽量不在生产、生活给水系统中使用。设备直接从市政管网抽水，利用市政管网一次供水压力，</w:t>
      </w:r>
      <w:r>
        <w:rPr>
          <w:rFonts w:hint="eastAsia" w:ascii="宋体" w:hAnsi="宋体" w:eastAsia="宋体"/>
          <w:sz w:val="24"/>
          <w:szCs w:val="24"/>
          <w:lang w:val="en-US" w:eastAsia="zh-CN"/>
        </w:rPr>
        <w:t>在此</w:t>
      </w:r>
      <w:r>
        <w:rPr>
          <w:rFonts w:hint="eastAsia" w:ascii="宋体" w:hAnsi="宋体" w:eastAsia="宋体"/>
          <w:sz w:val="24"/>
          <w:szCs w:val="24"/>
        </w:rPr>
        <w:t>基础上叠加所需压力，减低水泵扬程，降低用电量；在用水低峰区，通过变频调速调节流量，降低用电量，节能效果显著，与传统供水设备相比，可节能大约</w:t>
      </w:r>
      <w:r>
        <w:rPr>
          <w:rFonts w:ascii="宋体" w:hAnsi="宋体" w:eastAsia="宋体"/>
          <w:sz w:val="24"/>
          <w:szCs w:val="24"/>
        </w:rPr>
        <w:t>30%`60%,</w:t>
      </w:r>
      <w:r>
        <w:rPr>
          <w:rFonts w:hint="eastAsia" w:ascii="宋体" w:hAnsi="宋体" w:eastAsia="宋体"/>
          <w:sz w:val="24"/>
          <w:szCs w:val="24"/>
        </w:rPr>
        <w:t>还可以减少卫生污染，运行管理简便，运行成本低。</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本条的评价方法为：设计阶段查阅相关设计文件；运行阶段查阅设计说明、相关竣工图、产品说明书，并现场核实。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给水配件超压出流，不但会破坏给水系统中水量的分配，对用水工况产生不良的影响，同时因超压出流量未产生使用效益，浪费水量，因此，给水系统设计时应采取措施控制超压出流现象，应合理进行压力分区，并适当采取减压措施，避免造成浪费。</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本条的评价方法为：设计阶段查阅相关设计文件；运行阶段查阅设计说明、相关竣工图、产品说明书，并现场核实。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绿化灌溉应采用喷灌、微灌等节水灌溉方式，同时还可采用湿度设置土壤湿度感应器、雨天自动关闭装置等节水控制措施，并根据种植物的特点采用相应的灌溉形式。可参照现行行业标准《园林绿地灌溉工程技术规程》</w:t>
      </w:r>
      <w:r>
        <w:rPr>
          <w:rFonts w:ascii="宋体" w:hAnsi="宋体" w:eastAsia="宋体"/>
          <w:sz w:val="24"/>
          <w:szCs w:val="24"/>
        </w:rPr>
        <w:t>CECS243</w:t>
      </w:r>
      <w:r>
        <w:rPr>
          <w:rFonts w:hint="eastAsia" w:ascii="宋体" w:hAnsi="宋体" w:eastAsia="宋体"/>
          <w:sz w:val="24"/>
          <w:szCs w:val="24"/>
        </w:rPr>
        <w:t>中的相关条款进行设计施工。当选用无需永久灌溉植物时，设计文件中应提供植物配置表，并说明是否属于无需永久灌溉植物。</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含相关节水灌溉产品的设备材料表）、景观设计图纸（含苗木表、本地植物名录等）；运行阶段查阅设计说明、相关竣工图、节水灌溉产品说明书、产品节水性能检测报告，查阅绿化灌溉用水制度和计量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7.2.29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列车清洗多自带污水处理设备，清洗后的循环水回收利用，通过处理后的洗车废水用于道路浇洒、绿地浇灌、冲厕等时，其水质标准应满足现行国家标准《城市污水再生利用城市杂用水水质》</w:t>
      </w:r>
      <w:r>
        <w:rPr>
          <w:rFonts w:ascii="宋体" w:hAnsi="宋体" w:eastAsia="宋体"/>
          <w:sz w:val="24"/>
          <w:szCs w:val="24"/>
        </w:rPr>
        <w:t>GB/T29044</w:t>
      </w:r>
      <w:r>
        <w:rPr>
          <w:rFonts w:hint="eastAsia" w:ascii="宋体" w:hAnsi="宋体" w:eastAsia="宋体"/>
          <w:sz w:val="24"/>
          <w:szCs w:val="24"/>
        </w:rPr>
        <w:t>中的水质规定，当用于冷却塔的冷却水补水时，其水质标准应满足现行国家标准《采暖空调系统水质标准》</w:t>
      </w:r>
      <w:r>
        <w:rPr>
          <w:rFonts w:ascii="宋体" w:hAnsi="宋体" w:eastAsia="宋体"/>
          <w:sz w:val="24"/>
          <w:szCs w:val="24"/>
        </w:rPr>
        <w:t>GB/T29044</w:t>
      </w:r>
      <w:r>
        <w:rPr>
          <w:rFonts w:hint="eastAsia" w:ascii="宋体" w:hAnsi="宋体" w:eastAsia="宋体"/>
          <w:sz w:val="24"/>
          <w:szCs w:val="24"/>
        </w:rPr>
        <w:t>中规定的空调冷却水的水质要求。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本条的评价方法为：设计阶段查阅相关设计文件、洗车水处理设备设计文件等；运行阶段查阅相关竣工图、洗车用水量、换水次数记录等，并现场核实。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7.2.30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7.2.31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sz w:val="24"/>
          <w:szCs w:val="24"/>
        </w:rPr>
        <w:t>本条规定了非传统水源利用率的计算方法。非传统水源利用率是非传统水源年用量在年总用水量中所占比例；非传统水源年用量是雨水、中水等各项用水的年用量之和；</w:t>
      </w:r>
      <w:r>
        <w:rPr>
          <w:rFonts w:hint="eastAsia" w:ascii="宋体" w:hAnsi="宋体" w:eastAsia="宋体" w:cs="宋体"/>
          <w:sz w:val="24"/>
          <w:szCs w:val="24"/>
        </w:rPr>
        <w:t>根据非传统水源利用率计算公式如下：</w:t>
      </w:r>
    </w:p>
    <w:p>
      <w:pPr>
        <w:adjustRightInd w:val="0"/>
        <w:snapToGrid w:val="0"/>
        <w:spacing w:line="360" w:lineRule="auto"/>
        <w:ind w:firstLine="480" w:firstLineChars="200"/>
        <w:rPr>
          <w:rFonts w:ascii="宋体" w:hAnsi="宋体" w:eastAsia="宋体" w:cs="Times New Roman"/>
          <w:sz w:val="24"/>
          <w:szCs w:val="24"/>
        </w:rPr>
      </w:pPr>
      <m:oMathPara>
        <m:oMath>
          <m:sSub>
            <m:sSubPr>
              <m:ctrlPr>
                <w:rPr>
                  <w:rFonts w:ascii="Cambria Math" w:hAnsi="Cambria Math" w:eastAsia="宋体" w:cs="Times New Roman"/>
                  <w:sz w:val="24"/>
                  <w:szCs w:val="24"/>
                </w:rPr>
              </m:ctrlPr>
            </m:sSubPr>
            <m:e>
              <m:r>
                <m:rPr/>
                <w:rPr>
                  <w:rFonts w:ascii="Cambria Math" w:hAnsi="Cambria Math" w:eastAsia="宋体" w:cs="Times New Roman"/>
                  <w:sz w:val="24"/>
                  <w:szCs w:val="24"/>
                </w:rPr>
                <m:t>R</m:t>
              </m:r>
              <m:ctrlPr>
                <w:rPr>
                  <w:rFonts w:ascii="Cambria Math" w:hAnsi="Cambria Math" w:eastAsia="宋体" w:cs="Times New Roman"/>
                  <w:sz w:val="24"/>
                  <w:szCs w:val="24"/>
                </w:rPr>
              </m:ctrlPr>
            </m:e>
            <m:sub>
              <m:r>
                <m:rPr/>
                <w:rPr>
                  <w:rFonts w:ascii="Cambria Math" w:hAnsi="Cambria Math" w:eastAsia="宋体" w:cs="Times New Roman"/>
                  <w:sz w:val="24"/>
                  <w:szCs w:val="24"/>
                </w:rPr>
                <m:t>u</m:t>
              </m:r>
              <m:ctrlPr>
                <w:rPr>
                  <w:rFonts w:ascii="Cambria Math" w:hAnsi="Cambria Math" w:eastAsia="宋体" w:cs="Times New Roman"/>
                  <w:sz w:val="24"/>
                  <w:szCs w:val="24"/>
                </w:rPr>
              </m:ctrlPr>
            </m:sub>
          </m:sSub>
          <m:r>
            <m:rPr>
              <m:sty m:val="p"/>
            </m:rPr>
            <w:rPr>
              <w:rFonts w:ascii="Cambria Math" w:hAnsi="Cambria Math" w:eastAsia="宋体" w:cs="Times New Roman"/>
              <w:sz w:val="24"/>
              <w:szCs w:val="24"/>
            </w:rPr>
            <m:t>=</m:t>
          </m:r>
          <m:f>
            <m:fPr>
              <m:ctrlPr>
                <w:rPr>
                  <w:rFonts w:ascii="Cambria Math" w:hAnsi="Cambria Math" w:eastAsia="宋体" w:cs="Times New Roman"/>
                  <w:sz w:val="24"/>
                  <w:szCs w:val="24"/>
                </w:rPr>
              </m:ctrlPr>
            </m:fPr>
            <m:num>
              <m:sSub>
                <m:sSubPr>
                  <m:ctrlPr>
                    <w:rPr>
                      <w:rFonts w:ascii="Cambria Math" w:hAnsi="Cambria Math" w:eastAsia="宋体" w:cs="Times New Roman"/>
                      <w:sz w:val="24"/>
                      <w:szCs w:val="24"/>
                    </w:rPr>
                  </m:ctrlPr>
                </m:sSubPr>
                <m:e>
                  <m:r>
                    <m:rPr/>
                    <w:rPr>
                      <w:rFonts w:ascii="Cambria Math" w:hAnsi="Cambria Math" w:eastAsia="宋体" w:cs="Times New Roman"/>
                      <w:sz w:val="24"/>
                      <w:szCs w:val="24"/>
                    </w:rPr>
                    <m:t>W</m:t>
                  </m:r>
                  <m:ctrlPr>
                    <w:rPr>
                      <w:rFonts w:ascii="Cambria Math" w:hAnsi="Cambria Math" w:eastAsia="宋体" w:cs="Times New Roman"/>
                      <w:sz w:val="24"/>
                      <w:szCs w:val="24"/>
                    </w:rPr>
                  </m:ctrlPr>
                </m:e>
                <m:sub>
                  <m:r>
                    <m:rPr/>
                    <w:rPr>
                      <w:rFonts w:ascii="Cambria Math" w:hAnsi="Cambria Math" w:eastAsia="宋体" w:cs="Times New Roman"/>
                      <w:sz w:val="24"/>
                      <w:szCs w:val="24"/>
                    </w:rPr>
                    <m:t>u</m:t>
                  </m:r>
                  <m:ctrlPr>
                    <w:rPr>
                      <w:rFonts w:ascii="Cambria Math" w:hAnsi="Cambria Math" w:eastAsia="宋体" w:cs="Times New Roman"/>
                      <w:sz w:val="24"/>
                      <w:szCs w:val="24"/>
                    </w:rPr>
                  </m:ctrlPr>
                </m:sub>
              </m:sSub>
              <m:ctrlPr>
                <w:rPr>
                  <w:rFonts w:ascii="Cambria Math" w:hAnsi="Cambria Math" w:eastAsia="宋体" w:cs="Times New Roman"/>
                  <w:sz w:val="24"/>
                  <w:szCs w:val="24"/>
                </w:rPr>
              </m:ctrlPr>
            </m:num>
            <m:den>
              <m:sSub>
                <m:sSubPr>
                  <m:ctrlPr>
                    <w:rPr>
                      <w:rFonts w:ascii="Cambria Math" w:hAnsi="Cambria Math" w:eastAsia="宋体" w:cs="Times New Roman"/>
                      <w:sz w:val="24"/>
                      <w:szCs w:val="24"/>
                    </w:rPr>
                  </m:ctrlPr>
                </m:sSubPr>
                <m:e>
                  <m:r>
                    <m:rPr/>
                    <w:rPr>
                      <w:rFonts w:ascii="Cambria Math" w:hAnsi="Cambria Math" w:eastAsia="宋体" w:cs="Times New Roman"/>
                      <w:sz w:val="24"/>
                      <w:szCs w:val="24"/>
                    </w:rPr>
                    <m:t>W</m:t>
                  </m:r>
                  <m:ctrlPr>
                    <w:rPr>
                      <w:rFonts w:ascii="Cambria Math" w:hAnsi="Cambria Math" w:eastAsia="宋体" w:cs="Times New Roman"/>
                      <w:sz w:val="24"/>
                      <w:szCs w:val="24"/>
                    </w:rPr>
                  </m:ctrlPr>
                </m:e>
                <m:sub>
                  <m:r>
                    <m:rPr/>
                    <w:rPr>
                      <w:rFonts w:ascii="Cambria Math" w:hAnsi="Cambria Math" w:eastAsia="宋体" w:cs="Times New Roman"/>
                      <w:sz w:val="24"/>
                      <w:szCs w:val="24"/>
                    </w:rPr>
                    <m:t>t</m:t>
                  </m:r>
                  <m:ctrlPr>
                    <w:rPr>
                      <w:rFonts w:ascii="Cambria Math" w:hAnsi="Cambria Math" w:eastAsia="宋体" w:cs="Times New Roman"/>
                      <w:sz w:val="24"/>
                      <w:szCs w:val="24"/>
                    </w:rPr>
                  </m:ctrlPr>
                </m:sub>
              </m:sSub>
              <m:ctrlPr>
                <w:rPr>
                  <w:rFonts w:ascii="Cambria Math" w:hAnsi="Cambria Math" w:eastAsia="宋体" w:cs="Times New Roman"/>
                  <w:sz w:val="24"/>
                  <w:szCs w:val="24"/>
                </w:rPr>
              </m:ctrlPr>
            </m:den>
          </m:f>
          <m:r>
            <m:rPr>
              <m:sty m:val="p"/>
            </m:rPr>
            <w:rPr>
              <w:rFonts w:ascii="Cambria Math" w:hAnsi="Cambria Math" w:eastAsia="宋体" w:cs="Times New Roman"/>
              <w:sz w:val="24"/>
              <w:szCs w:val="24"/>
            </w:rPr>
            <m:t>×100%</m:t>
          </m:r>
        </m:oMath>
      </m:oMathPara>
    </w:p>
    <w:p>
      <w:pPr>
        <w:adjustRightInd w:val="0"/>
        <w:snapToGrid w:val="0"/>
        <w:spacing w:line="360" w:lineRule="auto"/>
        <w:ind w:left="840" w:leftChars="400" w:firstLine="2400" w:firstLineChars="1000"/>
        <w:rPr>
          <w:rFonts w:ascii="宋体" w:hAnsi="宋体" w:eastAsia="宋体" w:cs="Times New Roman"/>
          <w:sz w:val="24"/>
          <w:szCs w:val="24"/>
        </w:rPr>
      </w:pPr>
      <w:r>
        <w:rPr>
          <w:rFonts w:ascii="宋体" w:hAnsi="宋体" w:eastAsia="宋体" w:cs="Times New Roman"/>
          <w:sz w:val="24"/>
          <w:szCs w:val="24"/>
        </w:rPr>
        <w:drawing>
          <wp:inline distT="0" distB="0" distL="0" distR="0">
            <wp:extent cx="190500" cy="1905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宋体" w:hAnsi="宋体" w:eastAsia="宋体" w:cs="Times New Roman"/>
          <w:sz w:val="24"/>
          <w:szCs w:val="24"/>
        </w:rPr>
        <w:drawing>
          <wp:inline distT="0" distB="0" distL="0" distR="0">
            <wp:extent cx="962025" cy="1905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62025" cy="190500"/>
                    </a:xfrm>
                    <a:prstGeom prst="rect">
                      <a:avLst/>
                    </a:prstGeom>
                    <a:noFill/>
                    <a:ln>
                      <a:noFill/>
                    </a:ln>
                  </pic:spPr>
                </pic:pic>
              </a:graphicData>
            </a:graphic>
          </wp:inline>
        </w:drawing>
      </w:r>
    </w:p>
    <w:p>
      <w:pPr>
        <w:adjustRightInd w:val="0"/>
        <w:snapToGrid w:val="0"/>
        <w:spacing w:line="360" w:lineRule="auto"/>
        <w:ind w:left="840" w:leftChars="400"/>
        <w:rPr>
          <w:rFonts w:ascii="宋体" w:hAnsi="宋体" w:eastAsia="宋体" w:cs="Times New Roman"/>
          <w:sz w:val="22"/>
        </w:rPr>
      </w:pPr>
      <w:r>
        <w:rPr>
          <w:rFonts w:hint="eastAsia" w:ascii="宋体" w:hAnsi="宋体" w:eastAsia="宋体" w:cs="宋体"/>
          <w:sz w:val="22"/>
        </w:rPr>
        <w:t>式中，</w:t>
      </w:r>
      <w:r>
        <w:rPr>
          <w:rFonts w:ascii="宋体" w:hAnsi="宋体" w:eastAsia="宋体" w:cs="宋体"/>
          <w:sz w:val="22"/>
        </w:rPr>
        <w:t>Ru</w:t>
      </w:r>
      <w:r>
        <w:rPr>
          <w:rFonts w:hint="eastAsia" w:ascii="宋体" w:hAnsi="宋体" w:eastAsia="宋体" w:cs="宋体"/>
          <w:sz w:val="22"/>
          <w:lang w:eastAsia="zh-CN"/>
        </w:rPr>
        <w:t>--</w:t>
      </w:r>
      <w:r>
        <w:rPr>
          <w:rFonts w:hint="eastAsia" w:ascii="宋体" w:hAnsi="宋体" w:eastAsia="宋体" w:cs="宋体"/>
          <w:sz w:val="22"/>
        </w:rPr>
        <w:t>非传统水源利用率，％；</w:t>
      </w:r>
    </w:p>
    <w:p>
      <w:pPr>
        <w:adjustRightInd w:val="0"/>
        <w:snapToGrid w:val="0"/>
        <w:spacing w:line="360" w:lineRule="auto"/>
        <w:ind w:left="840" w:leftChars="400"/>
        <w:rPr>
          <w:rFonts w:ascii="宋体" w:hAnsi="宋体" w:eastAsia="宋体" w:cs="Times New Roman"/>
          <w:sz w:val="22"/>
        </w:rPr>
      </w:pPr>
      <w:r>
        <w:rPr>
          <w:rFonts w:ascii="宋体" w:hAnsi="宋体" w:eastAsia="宋体" w:cs="宋体"/>
          <w:sz w:val="22"/>
        </w:rPr>
        <w:t>Wu</w:t>
      </w:r>
      <w:r>
        <w:rPr>
          <w:rFonts w:hint="eastAsia" w:ascii="宋体" w:hAnsi="宋体" w:eastAsia="宋体" w:cs="宋体"/>
          <w:sz w:val="22"/>
          <w:lang w:eastAsia="zh-CN"/>
        </w:rPr>
        <w:t>--</w:t>
      </w:r>
      <w:r>
        <w:rPr>
          <w:rFonts w:hint="eastAsia" w:ascii="宋体" w:hAnsi="宋体" w:eastAsia="宋体" w:cs="宋体"/>
          <w:sz w:val="22"/>
        </w:rPr>
        <w:t>非传统水源设计使用量</w:t>
      </w:r>
      <w:r>
        <w:rPr>
          <w:rFonts w:ascii="宋体" w:hAnsi="宋体" w:eastAsia="宋体" w:cs="宋体"/>
          <w:sz w:val="22"/>
        </w:rPr>
        <w:t>(</w:t>
      </w:r>
      <w:r>
        <w:rPr>
          <w:rFonts w:hint="eastAsia" w:ascii="宋体" w:hAnsi="宋体" w:eastAsia="宋体" w:cs="宋体"/>
          <w:sz w:val="22"/>
        </w:rPr>
        <w:t>规划设计阶段</w:t>
      </w:r>
      <w:r>
        <w:rPr>
          <w:rFonts w:ascii="宋体" w:hAnsi="宋体" w:eastAsia="宋体" w:cs="宋体"/>
          <w:sz w:val="22"/>
        </w:rPr>
        <w:t>)</w:t>
      </w:r>
      <w:r>
        <w:rPr>
          <w:rFonts w:hint="eastAsia" w:ascii="宋体" w:hAnsi="宋体" w:eastAsia="宋体" w:cs="宋体"/>
          <w:sz w:val="22"/>
        </w:rPr>
        <w:t>或实际使用量</w:t>
      </w:r>
      <w:r>
        <w:rPr>
          <w:rFonts w:ascii="宋体" w:hAnsi="宋体" w:eastAsia="宋体" w:cs="宋体"/>
          <w:sz w:val="22"/>
        </w:rPr>
        <w:t>(</w:t>
      </w:r>
      <w:r>
        <w:rPr>
          <w:rFonts w:hint="eastAsia" w:ascii="宋体" w:hAnsi="宋体" w:eastAsia="宋体" w:cs="宋体"/>
          <w:sz w:val="22"/>
        </w:rPr>
        <w:t>运行阶段</w:t>
      </w:r>
      <w:r>
        <w:rPr>
          <w:rFonts w:ascii="宋体" w:hAnsi="宋体" w:eastAsia="宋体" w:cs="宋体"/>
          <w:sz w:val="22"/>
        </w:rPr>
        <w:t>)</w:t>
      </w:r>
      <w:r>
        <w:rPr>
          <w:rFonts w:hint="eastAsia" w:ascii="宋体" w:hAnsi="宋体" w:eastAsia="宋体" w:cs="宋体"/>
          <w:sz w:val="22"/>
        </w:rPr>
        <w:t>，m³</w:t>
      </w:r>
      <w:r>
        <w:rPr>
          <w:rFonts w:ascii="宋体" w:hAnsi="宋体" w:eastAsia="宋体" w:cs="宋体"/>
          <w:sz w:val="22"/>
        </w:rPr>
        <w:t>/a</w:t>
      </w:r>
      <w:r>
        <w:rPr>
          <w:rFonts w:hint="eastAsia" w:ascii="宋体" w:hAnsi="宋体" w:eastAsia="宋体" w:cs="宋体"/>
          <w:sz w:val="22"/>
        </w:rPr>
        <w:t>；</w:t>
      </w:r>
    </w:p>
    <w:p>
      <w:pPr>
        <w:adjustRightInd w:val="0"/>
        <w:snapToGrid w:val="0"/>
        <w:spacing w:line="360" w:lineRule="auto"/>
        <w:ind w:left="840" w:leftChars="400"/>
        <w:rPr>
          <w:rFonts w:ascii="宋体" w:hAnsi="宋体" w:eastAsia="宋体" w:cs="Times New Roman"/>
          <w:sz w:val="22"/>
        </w:rPr>
      </w:pPr>
      <w:r>
        <w:rPr>
          <w:rFonts w:ascii="宋体" w:hAnsi="宋体" w:eastAsia="宋体" w:cs="宋体"/>
          <w:sz w:val="22"/>
        </w:rPr>
        <w:t>Wt</w:t>
      </w:r>
      <w:r>
        <w:rPr>
          <w:rFonts w:hint="eastAsia" w:ascii="宋体" w:hAnsi="宋体" w:eastAsia="宋体" w:cs="宋体"/>
          <w:sz w:val="22"/>
          <w:lang w:eastAsia="zh-CN"/>
        </w:rPr>
        <w:t>--</w:t>
      </w:r>
      <w:r>
        <w:rPr>
          <w:rFonts w:hint="eastAsia" w:ascii="宋体" w:hAnsi="宋体" w:eastAsia="宋体" w:cs="宋体"/>
          <w:sz w:val="22"/>
        </w:rPr>
        <w:t>设计用水总量</w:t>
      </w:r>
      <w:r>
        <w:rPr>
          <w:rFonts w:ascii="宋体" w:hAnsi="宋体" w:eastAsia="宋体" w:cs="宋体"/>
          <w:sz w:val="22"/>
        </w:rPr>
        <w:t>(</w:t>
      </w:r>
      <w:r>
        <w:rPr>
          <w:rFonts w:hint="eastAsia" w:ascii="宋体" w:hAnsi="宋体" w:eastAsia="宋体" w:cs="宋体"/>
          <w:sz w:val="22"/>
        </w:rPr>
        <w:t>规划设计阶段</w:t>
      </w:r>
      <w:r>
        <w:rPr>
          <w:rFonts w:ascii="宋体" w:hAnsi="宋体" w:eastAsia="宋体" w:cs="宋体"/>
          <w:sz w:val="22"/>
        </w:rPr>
        <w:t>)</w:t>
      </w:r>
      <w:r>
        <w:rPr>
          <w:rFonts w:hint="eastAsia" w:ascii="宋体" w:hAnsi="宋体" w:eastAsia="宋体" w:cs="宋体"/>
          <w:sz w:val="22"/>
        </w:rPr>
        <w:t>或实际用水总量</w:t>
      </w:r>
      <w:r>
        <w:rPr>
          <w:rFonts w:ascii="宋体" w:hAnsi="宋体" w:eastAsia="宋体" w:cs="宋体"/>
          <w:sz w:val="22"/>
        </w:rPr>
        <w:t>(</w:t>
      </w:r>
      <w:r>
        <w:rPr>
          <w:rFonts w:hint="eastAsia" w:ascii="宋体" w:hAnsi="宋体" w:eastAsia="宋体" w:cs="宋体"/>
          <w:sz w:val="22"/>
        </w:rPr>
        <w:t>运行阶段</w:t>
      </w:r>
      <w:r>
        <w:rPr>
          <w:rFonts w:ascii="宋体" w:hAnsi="宋体" w:eastAsia="宋体" w:cs="宋体"/>
          <w:sz w:val="22"/>
        </w:rPr>
        <w:t>)</w:t>
      </w:r>
      <w:r>
        <w:rPr>
          <w:rFonts w:hint="eastAsia" w:ascii="宋体" w:hAnsi="宋体" w:eastAsia="宋体" w:cs="宋体"/>
          <w:sz w:val="22"/>
        </w:rPr>
        <w:t>，m³</w:t>
      </w:r>
      <w:r>
        <w:rPr>
          <w:rFonts w:ascii="宋体" w:hAnsi="宋体" w:eastAsia="宋体" w:cs="宋体"/>
          <w:sz w:val="22"/>
        </w:rPr>
        <w:t xml:space="preserve">/a </w:t>
      </w:r>
      <w:r>
        <w:rPr>
          <w:rFonts w:hint="eastAsia" w:ascii="宋体" w:hAnsi="宋体" w:eastAsia="宋体" w:cs="宋体"/>
          <w:sz w:val="22"/>
        </w:rPr>
        <w:t>；</w:t>
      </w:r>
    </w:p>
    <w:p>
      <w:pPr>
        <w:adjustRightInd w:val="0"/>
        <w:snapToGrid w:val="0"/>
        <w:spacing w:line="360" w:lineRule="auto"/>
        <w:ind w:left="840" w:leftChars="400"/>
        <w:rPr>
          <w:rFonts w:ascii="宋体" w:hAnsi="宋体" w:eastAsia="宋体" w:cs="Times New Roman"/>
          <w:sz w:val="22"/>
        </w:rPr>
      </w:pPr>
      <w:r>
        <w:rPr>
          <w:rFonts w:ascii="宋体" w:hAnsi="宋体" w:eastAsia="宋体" w:cs="宋体"/>
          <w:sz w:val="22"/>
        </w:rPr>
        <w:t>W</w:t>
      </w:r>
      <w:r>
        <w:rPr>
          <w:rFonts w:ascii="宋体" w:hAnsi="宋体" w:eastAsia="宋体" w:cs="宋体"/>
          <w:sz w:val="22"/>
          <w:vertAlign w:val="subscript"/>
        </w:rPr>
        <w:t>R</w:t>
      </w:r>
      <w:r>
        <w:rPr>
          <w:rFonts w:hint="eastAsia" w:ascii="宋体" w:hAnsi="宋体" w:eastAsia="宋体" w:cs="宋体"/>
          <w:sz w:val="22"/>
          <w:lang w:eastAsia="zh-CN"/>
        </w:rPr>
        <w:t>--</w:t>
      </w:r>
      <w:r>
        <w:rPr>
          <w:rFonts w:hint="eastAsia" w:ascii="宋体" w:hAnsi="宋体" w:eastAsia="宋体" w:cs="宋体"/>
          <w:sz w:val="22"/>
        </w:rPr>
        <w:t>再生水设计利用量</w:t>
      </w:r>
      <w:r>
        <w:rPr>
          <w:rFonts w:ascii="宋体" w:hAnsi="宋体" w:eastAsia="宋体" w:cs="宋体"/>
          <w:sz w:val="22"/>
        </w:rPr>
        <w:t>(</w:t>
      </w:r>
      <w:r>
        <w:rPr>
          <w:rFonts w:hint="eastAsia" w:ascii="宋体" w:hAnsi="宋体" w:eastAsia="宋体" w:cs="宋体"/>
          <w:sz w:val="22"/>
        </w:rPr>
        <w:t>规划设计阶段</w:t>
      </w:r>
      <w:r>
        <w:rPr>
          <w:rFonts w:ascii="宋体" w:hAnsi="宋体" w:eastAsia="宋体" w:cs="宋体"/>
          <w:sz w:val="22"/>
        </w:rPr>
        <w:t>)</w:t>
      </w:r>
      <w:r>
        <w:rPr>
          <w:rFonts w:hint="eastAsia" w:ascii="宋体" w:hAnsi="宋体" w:eastAsia="宋体" w:cs="宋体"/>
          <w:sz w:val="22"/>
        </w:rPr>
        <w:t>或实际利用量</w:t>
      </w:r>
      <w:r>
        <w:rPr>
          <w:rFonts w:ascii="宋体" w:hAnsi="宋体" w:eastAsia="宋体" w:cs="宋体"/>
          <w:sz w:val="22"/>
        </w:rPr>
        <w:t>(</w:t>
      </w:r>
      <w:r>
        <w:rPr>
          <w:rFonts w:hint="eastAsia" w:ascii="宋体" w:hAnsi="宋体" w:eastAsia="宋体" w:cs="宋体"/>
          <w:sz w:val="22"/>
        </w:rPr>
        <w:t>运行阶段</w:t>
      </w:r>
      <w:r>
        <w:rPr>
          <w:rFonts w:ascii="宋体" w:hAnsi="宋体" w:eastAsia="宋体" w:cs="宋体"/>
          <w:sz w:val="22"/>
        </w:rPr>
        <w:t>)</w:t>
      </w:r>
      <w:r>
        <w:rPr>
          <w:rFonts w:hint="eastAsia" w:ascii="宋体" w:hAnsi="宋体" w:eastAsia="宋体" w:cs="宋体"/>
          <w:sz w:val="22"/>
        </w:rPr>
        <w:t>，m³</w:t>
      </w:r>
      <w:r>
        <w:rPr>
          <w:rFonts w:ascii="宋体" w:hAnsi="宋体" w:eastAsia="宋体" w:cs="宋体"/>
          <w:sz w:val="22"/>
        </w:rPr>
        <w:t xml:space="preserve">/a </w:t>
      </w:r>
      <w:r>
        <w:rPr>
          <w:rFonts w:hint="eastAsia" w:ascii="宋体" w:hAnsi="宋体" w:eastAsia="宋体" w:cs="宋体"/>
          <w:sz w:val="22"/>
        </w:rPr>
        <w:t>；</w:t>
      </w:r>
    </w:p>
    <w:p>
      <w:pPr>
        <w:adjustRightInd w:val="0"/>
        <w:snapToGrid w:val="0"/>
        <w:spacing w:line="360" w:lineRule="auto"/>
        <w:ind w:left="840" w:leftChars="400"/>
        <w:rPr>
          <w:rFonts w:ascii="宋体" w:hAnsi="宋体" w:eastAsia="宋体" w:cs="Times New Roman"/>
          <w:sz w:val="22"/>
        </w:rPr>
      </w:pPr>
      <w:r>
        <w:rPr>
          <w:rFonts w:ascii="宋体" w:hAnsi="宋体" w:eastAsia="宋体" w:cs="宋体"/>
          <w:sz w:val="22"/>
        </w:rPr>
        <w:t>Wr</w:t>
      </w:r>
      <w:r>
        <w:rPr>
          <w:rFonts w:hint="eastAsia" w:ascii="宋体" w:hAnsi="宋体" w:eastAsia="宋体" w:cs="宋体"/>
          <w:sz w:val="22"/>
          <w:lang w:eastAsia="zh-CN"/>
        </w:rPr>
        <w:t>--</w:t>
      </w:r>
      <w:r>
        <w:rPr>
          <w:rFonts w:hint="eastAsia" w:ascii="宋体" w:hAnsi="宋体" w:eastAsia="宋体" w:cs="宋体"/>
          <w:sz w:val="22"/>
        </w:rPr>
        <w:t>雨水设计利用量</w:t>
      </w:r>
      <w:r>
        <w:rPr>
          <w:rFonts w:ascii="宋体" w:hAnsi="宋体" w:eastAsia="宋体" w:cs="宋体"/>
          <w:sz w:val="22"/>
        </w:rPr>
        <w:t>(</w:t>
      </w:r>
      <w:r>
        <w:rPr>
          <w:rFonts w:hint="eastAsia" w:ascii="宋体" w:hAnsi="宋体" w:eastAsia="宋体" w:cs="宋体"/>
          <w:sz w:val="22"/>
        </w:rPr>
        <w:t>规划设计阶段</w:t>
      </w:r>
      <w:r>
        <w:rPr>
          <w:rFonts w:ascii="宋体" w:hAnsi="宋体" w:eastAsia="宋体" w:cs="宋体"/>
          <w:sz w:val="22"/>
        </w:rPr>
        <w:t>)</w:t>
      </w:r>
      <w:r>
        <w:rPr>
          <w:rFonts w:hint="eastAsia" w:ascii="宋体" w:hAnsi="宋体" w:eastAsia="宋体" w:cs="宋体"/>
          <w:sz w:val="22"/>
        </w:rPr>
        <w:t>或实际利用量</w:t>
      </w:r>
      <w:r>
        <w:rPr>
          <w:rFonts w:ascii="宋体" w:hAnsi="宋体" w:eastAsia="宋体" w:cs="宋体"/>
          <w:sz w:val="22"/>
        </w:rPr>
        <w:t>(</w:t>
      </w:r>
      <w:r>
        <w:rPr>
          <w:rFonts w:hint="eastAsia" w:ascii="宋体" w:hAnsi="宋体" w:eastAsia="宋体" w:cs="宋体"/>
          <w:sz w:val="22"/>
        </w:rPr>
        <w:t>运行阶段</w:t>
      </w:r>
      <w:r>
        <w:rPr>
          <w:rFonts w:ascii="宋体" w:hAnsi="宋体" w:eastAsia="宋体" w:cs="宋体"/>
          <w:sz w:val="22"/>
        </w:rPr>
        <w:t>)</w:t>
      </w:r>
      <w:r>
        <w:rPr>
          <w:rFonts w:hint="eastAsia" w:ascii="宋体" w:hAnsi="宋体" w:eastAsia="宋体" w:cs="宋体"/>
          <w:sz w:val="22"/>
        </w:rPr>
        <w:t>，m³</w:t>
      </w:r>
      <w:r>
        <w:rPr>
          <w:rFonts w:ascii="宋体" w:hAnsi="宋体" w:eastAsia="宋体" w:cs="宋体"/>
          <w:sz w:val="22"/>
        </w:rPr>
        <w:t>/a</w:t>
      </w:r>
      <w:r>
        <w:rPr>
          <w:rFonts w:hint="eastAsia" w:ascii="宋体" w:hAnsi="宋体" w:eastAsia="宋体" w:cs="宋体"/>
          <w:sz w:val="22"/>
        </w:rPr>
        <w:t>；</w:t>
      </w:r>
    </w:p>
    <w:p>
      <w:pPr>
        <w:adjustRightInd w:val="0"/>
        <w:snapToGrid w:val="0"/>
        <w:spacing w:line="360" w:lineRule="auto"/>
        <w:ind w:left="840" w:leftChars="400"/>
        <w:rPr>
          <w:rFonts w:ascii="宋体" w:hAnsi="宋体" w:eastAsia="宋体" w:cs="宋体"/>
          <w:sz w:val="22"/>
        </w:rPr>
      </w:pPr>
      <w:r>
        <w:rPr>
          <w:rFonts w:ascii="宋体" w:hAnsi="宋体" w:eastAsia="宋体" w:cs="宋体"/>
          <w:sz w:val="22"/>
        </w:rPr>
        <w:t>Wo</w:t>
      </w:r>
      <w:r>
        <w:rPr>
          <w:rFonts w:hint="eastAsia" w:ascii="宋体" w:hAnsi="宋体" w:eastAsia="宋体" w:cs="宋体"/>
          <w:sz w:val="22"/>
          <w:lang w:eastAsia="zh-CN"/>
        </w:rPr>
        <w:t>--</w:t>
      </w:r>
      <w:r>
        <w:rPr>
          <w:rFonts w:hint="eastAsia" w:ascii="宋体" w:hAnsi="宋体" w:eastAsia="宋体" w:cs="宋体"/>
          <w:sz w:val="22"/>
        </w:rPr>
        <w:t>其他非传统水源利用量</w:t>
      </w:r>
      <w:r>
        <w:rPr>
          <w:rFonts w:ascii="宋体" w:hAnsi="宋体" w:eastAsia="宋体" w:cs="宋体"/>
          <w:sz w:val="22"/>
        </w:rPr>
        <w:t>(</w:t>
      </w:r>
      <w:r>
        <w:rPr>
          <w:rFonts w:hint="eastAsia" w:ascii="宋体" w:hAnsi="宋体" w:eastAsia="宋体" w:cs="宋体"/>
          <w:sz w:val="22"/>
        </w:rPr>
        <w:t>规划设计阶段</w:t>
      </w:r>
      <w:r>
        <w:rPr>
          <w:rFonts w:ascii="宋体" w:hAnsi="宋体" w:eastAsia="宋体" w:cs="宋体"/>
          <w:sz w:val="22"/>
        </w:rPr>
        <w:t>)</w:t>
      </w:r>
      <w:r>
        <w:rPr>
          <w:rFonts w:hint="eastAsia" w:ascii="宋体" w:hAnsi="宋体" w:eastAsia="宋体" w:cs="宋体"/>
          <w:sz w:val="22"/>
        </w:rPr>
        <w:t>或实际利用量</w:t>
      </w:r>
      <w:r>
        <w:rPr>
          <w:rFonts w:ascii="宋体" w:hAnsi="宋体" w:eastAsia="宋体" w:cs="宋体"/>
          <w:sz w:val="22"/>
        </w:rPr>
        <w:t>(</w:t>
      </w:r>
      <w:r>
        <w:rPr>
          <w:rFonts w:hint="eastAsia" w:ascii="宋体" w:hAnsi="宋体" w:eastAsia="宋体" w:cs="宋体"/>
          <w:sz w:val="22"/>
        </w:rPr>
        <w:t>运行阶段</w:t>
      </w:r>
      <w:r>
        <w:rPr>
          <w:rFonts w:ascii="宋体" w:hAnsi="宋体" w:eastAsia="宋体" w:cs="宋体"/>
          <w:sz w:val="22"/>
        </w:rPr>
        <w:t>)</w:t>
      </w:r>
      <w:r>
        <w:rPr>
          <w:rFonts w:hint="eastAsia" w:ascii="宋体" w:hAnsi="宋体" w:eastAsia="宋体" w:cs="宋体"/>
          <w:sz w:val="22"/>
        </w:rPr>
        <w:t>，m³</w:t>
      </w:r>
      <w:r>
        <w:rPr>
          <w:rFonts w:ascii="宋体" w:hAnsi="宋体" w:eastAsia="宋体" w:cs="宋体"/>
          <w:sz w:val="22"/>
        </w:rPr>
        <w:t>/a</w:t>
      </w:r>
      <w:r>
        <w:rPr>
          <w:rFonts w:hint="eastAsia" w:ascii="宋体" w:hAnsi="宋体" w:eastAsia="宋体" w:cs="宋体"/>
          <w:sz w:val="22"/>
        </w:rPr>
        <w:t>。</w:t>
      </w:r>
    </w:p>
    <w:p>
      <w:pPr>
        <w:adjustRightInd w:val="0"/>
        <w:snapToGrid w:val="0"/>
        <w:spacing w:line="360" w:lineRule="auto"/>
        <w:ind w:firstLine="480" w:firstLineChars="200"/>
        <w:rPr>
          <w:rFonts w:ascii="仿宋" w:hAnsi="仿宋" w:eastAsia="仿宋"/>
          <w:sz w:val="24"/>
          <w:szCs w:val="24"/>
        </w:rPr>
      </w:pPr>
      <w:r>
        <w:rPr>
          <w:rFonts w:hint="eastAsia" w:ascii="宋体" w:hAnsi="宋体" w:eastAsia="宋体"/>
          <w:sz w:val="24"/>
          <w:szCs w:val="24"/>
        </w:rPr>
        <w:t>本条的评价方法为：审阅相关设计文件以及运行数据报告(用水量记录报告)。</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7.2.32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按消耗能源的主要用途划分进行能耗数据的分项、分级采集和统计，包括：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1按主所、牵引用电、运营用电（照明用电、动力用电）、非运营用电（商业用电、其他用电）进行分级、分项，其中：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 110kV/25kV/33 kV </w:t>
      </w:r>
      <w:r>
        <w:rPr>
          <w:rFonts w:hint="eastAsia" w:ascii="宋体" w:hAnsi="宋体" w:eastAsia="宋体"/>
          <w:sz w:val="24"/>
          <w:szCs w:val="24"/>
        </w:rPr>
        <w:t xml:space="preserve">所用电分项：牵引用电、运营用电、非运营用电；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 xml:space="preserve">牵引用电分项：正线牵引用电，车辆段牵引用电；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 xml:space="preserve">照明用电分项、分级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——工作照明包括站厅层、站台层、设备区、出入口及站外地面照明；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——区间照明、应急照明。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 xml:space="preserve">动力用电分级、分项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——环控用电包括制冷水系统（冷水机组、冷却塔风机、冷冻泵、冷却泵，大系统包括组合空调器、</w:t>
      </w:r>
      <w:r>
        <w:rPr>
          <w:rFonts w:ascii="宋体" w:hAnsi="宋体" w:eastAsia="宋体"/>
          <w:sz w:val="24"/>
          <w:szCs w:val="24"/>
        </w:rPr>
        <w:t xml:space="preserve">VRV </w:t>
      </w:r>
      <w:r>
        <w:rPr>
          <w:rFonts w:hint="eastAsia" w:ascii="宋体" w:hAnsi="宋体" w:eastAsia="宋体"/>
          <w:sz w:val="24"/>
          <w:szCs w:val="24"/>
        </w:rPr>
        <w:t>通风空调、排烟风机、新风机、回排风机、空调供水系统，小系统包括组合空调器、</w:t>
      </w:r>
      <w:r>
        <w:rPr>
          <w:rFonts w:ascii="宋体" w:hAnsi="宋体" w:eastAsia="宋体"/>
          <w:sz w:val="24"/>
          <w:szCs w:val="24"/>
        </w:rPr>
        <w:t xml:space="preserve">VRV </w:t>
      </w:r>
      <w:r>
        <w:rPr>
          <w:rFonts w:hint="eastAsia" w:ascii="宋体" w:hAnsi="宋体" w:eastAsia="宋体"/>
          <w:sz w:val="24"/>
          <w:szCs w:val="24"/>
        </w:rPr>
        <w:t xml:space="preserve">通风空调、排烟风机、新风机、回排风机、空调供水系统，隧道通风系统包括隧道风机、推力风机、轨道排风机、射流风机，监控系统电源（组合风阀等）；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——门梯用电包括电梯</w:t>
      </w:r>
      <w:r>
        <w:rPr>
          <w:rFonts w:ascii="宋体" w:hAnsi="宋体" w:eastAsia="宋体"/>
          <w:sz w:val="24"/>
          <w:szCs w:val="24"/>
        </w:rPr>
        <w:t>/</w:t>
      </w:r>
      <w:r>
        <w:rPr>
          <w:rFonts w:hint="eastAsia" w:ascii="宋体" w:hAnsi="宋体" w:eastAsia="宋体"/>
          <w:sz w:val="24"/>
          <w:szCs w:val="24"/>
        </w:rPr>
        <w:t>自动扶梯</w:t>
      </w:r>
      <w:r>
        <w:rPr>
          <w:rFonts w:ascii="宋体" w:hAnsi="宋体" w:eastAsia="宋体"/>
          <w:sz w:val="24"/>
          <w:szCs w:val="24"/>
        </w:rPr>
        <w:t>/</w:t>
      </w:r>
      <w:r>
        <w:rPr>
          <w:rFonts w:hint="eastAsia" w:ascii="宋体" w:hAnsi="宋体" w:eastAsia="宋体"/>
          <w:sz w:val="24"/>
          <w:szCs w:val="24"/>
        </w:rPr>
        <w:t xml:space="preserve">残梯（站内扶梯、直梯、出入口扶梯、无障碍梯），站台门用电含照明；消防给排水用电包括给排水（废水泵、污水泵），消防泵系统，气体灭火系统，出入口设施（水泵、卷闸门）；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——弱电系统用电包括信号系统，通信系统，公共区</w:t>
      </w:r>
      <w:r>
        <w:rPr>
          <w:rFonts w:ascii="宋体" w:hAnsi="宋体" w:eastAsia="宋体"/>
          <w:sz w:val="24"/>
          <w:szCs w:val="24"/>
        </w:rPr>
        <w:t xml:space="preserve">AFC </w:t>
      </w:r>
      <w:r>
        <w:rPr>
          <w:rFonts w:hint="eastAsia" w:ascii="宋体" w:hAnsi="宋体" w:eastAsia="宋体"/>
          <w:sz w:val="24"/>
          <w:szCs w:val="24"/>
        </w:rPr>
        <w:t xml:space="preserve">设备（售检票电源）车控室系统，集中 </w:t>
      </w:r>
      <w:r>
        <w:rPr>
          <w:rFonts w:ascii="宋体" w:hAnsi="宋体" w:eastAsia="宋体"/>
          <w:sz w:val="24"/>
          <w:szCs w:val="24"/>
        </w:rPr>
        <w:t xml:space="preserve">UPS </w:t>
      </w:r>
      <w:r>
        <w:rPr>
          <w:rFonts w:hint="eastAsia" w:ascii="宋体" w:hAnsi="宋体" w:eastAsia="宋体"/>
          <w:sz w:val="24"/>
          <w:szCs w:val="24"/>
        </w:rPr>
        <w:t xml:space="preserve">系统（ </w:t>
      </w:r>
      <w:r>
        <w:rPr>
          <w:rFonts w:ascii="宋体" w:hAnsi="宋体" w:eastAsia="宋体"/>
          <w:sz w:val="24"/>
          <w:szCs w:val="24"/>
        </w:rPr>
        <w:t>AFC</w:t>
      </w:r>
      <w:r>
        <w:rPr>
          <w:rFonts w:hint="eastAsia" w:ascii="宋体" w:hAnsi="宋体" w:eastAsia="宋体"/>
          <w:sz w:val="24"/>
          <w:szCs w:val="24"/>
        </w:rPr>
        <w:t>、通信、信号、</w:t>
      </w:r>
      <w:r>
        <w:rPr>
          <w:rFonts w:ascii="宋体" w:hAnsi="宋体" w:eastAsia="宋体"/>
          <w:sz w:val="24"/>
          <w:szCs w:val="24"/>
        </w:rPr>
        <w:t xml:space="preserve">BAS </w:t>
      </w:r>
      <w:r>
        <w:rPr>
          <w:rFonts w:hint="eastAsia" w:ascii="宋体" w:hAnsi="宋体" w:eastAsia="宋体"/>
          <w:sz w:val="24"/>
          <w:szCs w:val="24"/>
        </w:rPr>
        <w:t>系统、</w:t>
      </w:r>
      <w:r>
        <w:rPr>
          <w:rFonts w:ascii="宋体" w:hAnsi="宋体" w:eastAsia="宋体"/>
          <w:sz w:val="24"/>
          <w:szCs w:val="24"/>
        </w:rPr>
        <w:t xml:space="preserve">PIDS </w:t>
      </w:r>
      <w:r>
        <w:rPr>
          <w:rFonts w:hint="eastAsia" w:ascii="宋体" w:hAnsi="宋体" w:eastAsia="宋体"/>
          <w:sz w:val="24"/>
          <w:szCs w:val="24"/>
        </w:rPr>
        <w:t xml:space="preserve">切换箱等），变电所用电，其他（区间维修电源、人防电源预留）；安保警务用电包括警务通讯，安检，视频监控；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——负荷小动力用电包括二级、三级负荷；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5) </w:t>
      </w:r>
      <w:r>
        <w:rPr>
          <w:rFonts w:hint="eastAsia" w:ascii="宋体" w:hAnsi="宋体" w:eastAsia="宋体"/>
          <w:sz w:val="24"/>
          <w:szCs w:val="24"/>
        </w:rPr>
        <w:t xml:space="preserve">商业用电分级、分项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——民用</w:t>
      </w:r>
      <w:r>
        <w:rPr>
          <w:rFonts w:ascii="宋体" w:hAnsi="宋体" w:eastAsia="宋体"/>
          <w:sz w:val="24"/>
          <w:szCs w:val="24"/>
        </w:rPr>
        <w:t>/</w:t>
      </w:r>
      <w:r>
        <w:rPr>
          <w:rFonts w:hint="eastAsia" w:ascii="宋体" w:hAnsi="宋体" w:eastAsia="宋体"/>
          <w:sz w:val="24"/>
          <w:szCs w:val="24"/>
        </w:rPr>
        <w:t xml:space="preserve">商用通信用电包括 </w:t>
      </w:r>
      <w:r>
        <w:rPr>
          <w:rFonts w:ascii="宋体" w:hAnsi="宋体" w:eastAsia="宋体"/>
          <w:sz w:val="24"/>
          <w:szCs w:val="24"/>
        </w:rPr>
        <w:t xml:space="preserve">WIFI </w:t>
      </w:r>
      <w:r>
        <w:rPr>
          <w:rFonts w:hint="eastAsia" w:ascii="宋体" w:hAnsi="宋体" w:eastAsia="宋体"/>
          <w:sz w:val="24"/>
          <w:szCs w:val="24"/>
        </w:rPr>
        <w:t xml:space="preserve">用电、民用通信用电、商用通信用电；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PIDS </w:t>
      </w:r>
      <w:r>
        <w:rPr>
          <w:rFonts w:hint="eastAsia" w:ascii="宋体" w:hAnsi="宋体" w:eastAsia="宋体"/>
          <w:sz w:val="24"/>
          <w:szCs w:val="24"/>
        </w:rPr>
        <w:t xml:space="preserve">设备用电，自助设备用电；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——广告照明包括隧道、站台层、站厅层广告照明。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 </w:t>
      </w:r>
      <w:r>
        <w:rPr>
          <w:rFonts w:hint="eastAsia" w:ascii="宋体" w:hAnsi="宋体" w:eastAsia="宋体"/>
          <w:sz w:val="24"/>
          <w:szCs w:val="24"/>
        </w:rPr>
        <w:t>其他用电分级、分项。</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5G具有高速率、低时延、大容量的特征，有利于实现轨道交通各用能设备的物联，宜作为评价指标。</w:t>
      </w:r>
    </w:p>
    <w:p>
      <w:pPr>
        <w:spacing w:line="360" w:lineRule="auto"/>
        <w:jc w:val="left"/>
        <w:rPr>
          <w:rFonts w:ascii="宋体" w:hAnsi="宋体" w:eastAsia="宋体"/>
          <w:sz w:val="24"/>
          <w:szCs w:val="24"/>
        </w:rPr>
      </w:pPr>
      <w:r>
        <w:rPr>
          <w:rFonts w:hint="eastAsia" w:ascii="仿宋" w:hAnsi="仿宋" w:eastAsia="仿宋"/>
          <w:b/>
          <w:sz w:val="24"/>
          <w:szCs w:val="24"/>
        </w:rPr>
        <w:t xml:space="preserve">7.2.33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采用高能效的变压器，可有效减少供电系统本身的能耗。目前国家没有针对交流牵引变压器的能效标准，统一参考最新电力变压器能效标准执行。</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本条的评价方法为：规划设计阶段评价查阅相关设计文件（设计说明和施工图设计图纸）；运营管理阶段评价查阅验收记录、型式试验报告或设备出厂试验报告。</w:t>
      </w:r>
    </w:p>
    <w:p>
      <w:pPr>
        <w:spacing w:line="360" w:lineRule="auto"/>
        <w:jc w:val="left"/>
        <w:rPr>
          <w:rFonts w:ascii="宋体" w:hAnsi="宋体" w:eastAsia="宋体"/>
          <w:sz w:val="24"/>
          <w:szCs w:val="24"/>
        </w:rPr>
      </w:pPr>
      <w:r>
        <w:rPr>
          <w:rFonts w:hint="eastAsia" w:ascii="仿宋" w:hAnsi="仿宋" w:eastAsia="仿宋"/>
          <w:b/>
          <w:sz w:val="24"/>
          <w:szCs w:val="24"/>
        </w:rPr>
        <w:t xml:space="preserve">7.2.34  </w:t>
      </w:r>
      <w:r>
        <w:rPr>
          <w:rFonts w:hint="eastAsia" w:ascii="宋体" w:hAnsi="宋体" w:eastAsia="宋体"/>
          <w:sz w:val="24"/>
          <w:szCs w:val="24"/>
        </w:rPr>
        <w:t>本条适用于绿色轨道交通的规划设计阶段和运营管理阶段评价。</w:t>
      </w:r>
    </w:p>
    <w:p>
      <w:pPr>
        <w:spacing w:line="360" w:lineRule="auto"/>
        <w:ind w:firstLine="480" w:firstLineChars="200"/>
        <w:contextualSpacing/>
        <w:jc w:val="left"/>
        <w:rPr>
          <w:rFonts w:ascii="宋体" w:hAnsi="宋体" w:eastAsia="宋体"/>
          <w:sz w:val="24"/>
          <w:szCs w:val="24"/>
        </w:rPr>
      </w:pPr>
      <w:r>
        <w:rPr>
          <w:rFonts w:hint="eastAsia" w:ascii="宋体" w:hAnsi="宋体" w:eastAsia="宋体"/>
          <w:sz w:val="24"/>
          <w:szCs w:val="24"/>
        </w:rPr>
        <w:t>10kV三相干式配电变压器1级（非晶合金、电工钢带）、2级（非晶合金、电工钢带）能效等级以《三相配电变压器能效限定值及能效等级》（GB 20052-2013）中的表2为准。</w:t>
      </w:r>
    </w:p>
    <w:p>
      <w:pPr>
        <w:spacing w:line="360" w:lineRule="auto"/>
        <w:ind w:firstLine="480" w:firstLineChars="200"/>
        <w:contextualSpacing/>
        <w:jc w:val="left"/>
        <w:rPr>
          <w:rFonts w:ascii="宋体" w:hAnsi="宋体" w:eastAsia="宋体"/>
          <w:sz w:val="24"/>
          <w:szCs w:val="24"/>
        </w:rPr>
      </w:pPr>
      <w:r>
        <w:rPr>
          <w:rFonts w:hint="eastAsia" w:ascii="宋体" w:hAnsi="宋体" w:eastAsia="宋体"/>
          <w:sz w:val="24"/>
          <w:szCs w:val="24"/>
        </w:rPr>
        <w:t>由于目前没有相关国家标准对33kV/35kV三相干式配电变压器能效等级进行定义，所以综合考虑《电力变压器能效限定值及能效等级》（GB 20052-2020）、《干式电力变压器技术参数和要求》（GB/T 10228-2015）、《干式非晶合金铁心配电变压器技术参数和要求》（GB/T 22072-2018）、《城市轨道交通机电设备节能要求》GB/T35553-2017等相关国家规范及市场产品调研情况，提供相当于1级（非晶合金、电工钢带）、2级（非晶合金、电工钢带）能效等级的33kV/35kV三相干式配电变压器空载损耗和负载损耗建议值。</w:t>
      </w:r>
    </w:p>
    <w:p>
      <w:pPr>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本条的评价方法为：规划设计阶段评价查阅相关设计文件；运营管理阶段评价查阅相关竣工图、主要产品型式检验报告或出厂试验报告，并现场核实。</w:t>
      </w:r>
    </w:p>
    <w:p>
      <w:pPr>
        <w:spacing w:line="360" w:lineRule="auto"/>
        <w:jc w:val="left"/>
        <w:rPr>
          <w:rFonts w:ascii="宋体" w:hAnsi="宋体" w:eastAsia="宋体"/>
          <w:sz w:val="24"/>
          <w:szCs w:val="24"/>
        </w:rPr>
      </w:pPr>
      <w:r>
        <w:rPr>
          <w:rFonts w:hint="eastAsia" w:ascii="仿宋" w:hAnsi="仿宋" w:eastAsia="仿宋"/>
          <w:b/>
          <w:sz w:val="24"/>
          <w:szCs w:val="24"/>
        </w:rPr>
        <w:t xml:space="preserve">7.2.35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轨道交通中不同线路间主变电所的资源共享，可起到节地、节材、节能，提高社会资源利用率的目的。当城市轨道交通的发展由线逐渐成网后，通过线路间中压网络的互联，可实现当本线电源故障或检修时，通过不同线路间主变电所的相互支援，改善或确保本线系统的供电能力和供电质量的目的。中压网络互联可确保线网中各线路供电系统电源的充裕性、提高系统运行的可靠性、提高系统运行方式的灵活性、强化城市轨道交通的供电系统网络，同时也为实现城轨线网智能调度控制等高阶需求提供了条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本条第1款对主变电所的资源共享设计方案提出了要求，主变电所应结合线网规划，设计或预留为相关线路供电的能力或条件。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本条第2、3款 分别不同程度的对线路间环网互联提出了要求。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本条的评价方法为：规划设计阶段评价查阅相关设计文件（设计说明、施工图设计图纸）；运营管理阶段评价核查竣工图，现场功能测试验证。</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本条的评价方法为：规划设计阶段评价查阅相关设计文件（设计说明和施工图设计图纸）；运营管理阶段评价查阅验收记录。</w:t>
      </w:r>
    </w:p>
    <w:p>
      <w:pPr>
        <w:spacing w:line="360" w:lineRule="auto"/>
        <w:jc w:val="left"/>
        <w:rPr>
          <w:rFonts w:ascii="宋体" w:hAnsi="宋体" w:eastAsia="宋体"/>
          <w:sz w:val="24"/>
          <w:szCs w:val="24"/>
        </w:rPr>
      </w:pPr>
      <w:r>
        <w:rPr>
          <w:rFonts w:hint="eastAsia" w:ascii="仿宋" w:hAnsi="仿宋" w:eastAsia="仿宋"/>
          <w:b/>
          <w:sz w:val="24"/>
          <w:szCs w:val="24"/>
        </w:rPr>
        <w:t xml:space="preserve">7.2.36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设置变电所车辆再生制动能量利用装置，将列车的制动能量进行吸收后提供给其他用能系统再利用，可达到有效回收再利用车辆制动能量、稳定接触网运行电压、减少系统能耗的目的。</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本条第1款建议设置变电所车辆再生制动能量利用装置，对列车再生制动能量进行吸收利用，稳定接触网网压，减少系统能耗，实现牵引系统的节能。</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2款对变电所车辆再生制动能量利用系统提出了作为列车牵引制动的功能性要求，当变电所车辆再生制动能量利用装置容量满足各设计年限的设计行车密度下列车的再生制动能量吸收要求，并可有效稳定接触网网压，正常情况无须启动车载电阻时，可取消车载制动电阻，为车辆减重，减小车辆投资，优化车辆运行，减小通风系统能耗。</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本条第3款对基于IGBT功率模块的再生制动能量吸收装置提出四象限变流功能要求，可提高系统设备利用率，改善系统电能质量，减少系统损耗。</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本条的评价方法为：规划设计阶段评价查阅相关设计文件（设计说明、施工图设计图纸）；运营管理阶段评价查阅设备出厂试验报告、验收记录，现场功能测试验证。</w:t>
      </w:r>
    </w:p>
    <w:p>
      <w:pPr>
        <w:spacing w:line="360" w:lineRule="auto"/>
        <w:jc w:val="left"/>
        <w:rPr>
          <w:rFonts w:ascii="宋体" w:hAnsi="宋体" w:eastAsia="宋体"/>
          <w:sz w:val="24"/>
          <w:szCs w:val="24"/>
        </w:rPr>
      </w:pPr>
      <w:r>
        <w:rPr>
          <w:rFonts w:hint="eastAsia" w:ascii="仿宋" w:hAnsi="仿宋" w:eastAsia="仿宋"/>
          <w:b/>
          <w:sz w:val="24"/>
          <w:szCs w:val="24"/>
        </w:rPr>
        <w:t xml:space="preserve">7.2.37  </w:t>
      </w:r>
      <w:r>
        <w:rPr>
          <w:rFonts w:hint="eastAsia" w:ascii="宋体" w:hAnsi="宋体" w:eastAsia="宋体"/>
          <w:sz w:val="24"/>
          <w:szCs w:val="24"/>
        </w:rPr>
        <w:t>本条适用于绿色轨道交通的规划设计阶段</w:t>
      </w:r>
      <w:r>
        <w:rPr>
          <w:rFonts w:ascii="宋体" w:hAnsi="宋体" w:eastAsia="宋体"/>
          <w:sz w:val="24"/>
          <w:szCs w:val="24"/>
        </w:rPr>
        <w:t>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本条的评价方法为：规划设计阶段评价查阅相关设计文件（设计说明、施工图设计图纸）。</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7.2.38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7.2.39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7.2.40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本条的评价方法为：规划设计阶段评价查阅相关设计文件；运营管理阶段评价查阅相关</w:t>
      </w:r>
      <w:r>
        <w:rPr>
          <w:rFonts w:hint="eastAsia" w:ascii="宋体" w:hAnsi="宋体" w:eastAsia="宋体"/>
          <w:sz w:val="24"/>
          <w:szCs w:val="24"/>
        </w:rPr>
        <w:t>竣工图，</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7.2.41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在主要用电单体建筑内设置变电所，或者与主要用电设备机房邻近设置，减少线路敷设长度和线路损耗，可有效节材、节能；</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本条的评价方法为：规划设计阶段评价查阅相关设计文件；运营管理阶段评价查阅相关</w:t>
      </w:r>
      <w:r>
        <w:rPr>
          <w:rFonts w:hint="eastAsia" w:ascii="宋体" w:hAnsi="宋体" w:eastAsia="宋体"/>
          <w:sz w:val="24"/>
          <w:szCs w:val="24"/>
        </w:rPr>
        <w:t>竣工图，</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7.2.42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b/>
          <w:sz w:val="24"/>
          <w:szCs w:val="24"/>
        </w:rPr>
      </w:pPr>
      <w:r>
        <w:rPr>
          <w:rFonts w:ascii="宋体" w:hAnsi="宋体" w:eastAsia="宋体"/>
          <w:sz w:val="24"/>
          <w:szCs w:val="24"/>
        </w:rPr>
        <w:t>本条的评价方法为：规划设计阶段评价查阅相关设计文件；运营管理阶段评价查阅相关</w:t>
      </w:r>
      <w:r>
        <w:rPr>
          <w:rFonts w:hint="eastAsia" w:ascii="宋体" w:hAnsi="宋体" w:eastAsia="宋体"/>
          <w:sz w:val="24"/>
          <w:szCs w:val="24"/>
        </w:rPr>
        <w:t>竣工图，</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7.2.43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为充分利用车辆基地的土地资源、检修资源，</w:t>
      </w:r>
      <w:r>
        <w:rPr>
          <w:rFonts w:hint="eastAsia" w:ascii="宋体" w:hAnsi="宋体" w:eastAsia="宋体"/>
          <w:sz w:val="24"/>
          <w:szCs w:val="24"/>
        </w:rPr>
        <w:t>节约建设投资和运营成本，</w:t>
      </w:r>
      <w:r>
        <w:rPr>
          <w:rFonts w:ascii="宋体" w:hAnsi="宋体" w:eastAsia="宋体"/>
          <w:sz w:val="24"/>
          <w:szCs w:val="24"/>
        </w:rPr>
        <w:t>线网车辆基地资源共享是必要的。</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本条的评价方法为：规划设计阶段评价查阅相关设计文件；运营管理阶段评价应查阅运营记录及其他证明文件。</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7.2.44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第1款 自动扶梯电机</w:t>
      </w:r>
      <w:r>
        <w:rPr>
          <w:rFonts w:ascii="宋体" w:hAnsi="宋体" w:eastAsia="宋体"/>
          <w:sz w:val="24"/>
          <w:szCs w:val="24"/>
        </w:rPr>
        <w:t>能效等级不低于2级</w:t>
      </w:r>
      <w:r>
        <w:rPr>
          <w:rFonts w:hint="eastAsia" w:ascii="宋体" w:hAnsi="宋体" w:eastAsia="宋体"/>
          <w:sz w:val="24"/>
          <w:szCs w:val="24"/>
        </w:rPr>
        <w:t>得要求有利于提高电机效率，节约能源。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第2款 自动扶梯具备</w:t>
      </w:r>
      <w:r>
        <w:rPr>
          <w:rFonts w:ascii="宋体" w:hAnsi="宋体" w:eastAsia="宋体"/>
          <w:sz w:val="24"/>
          <w:szCs w:val="24"/>
        </w:rPr>
        <w:t>能源反馈节能</w:t>
      </w:r>
      <w:r>
        <w:rPr>
          <w:rFonts w:hint="eastAsia" w:ascii="宋体" w:hAnsi="宋体" w:eastAsia="宋体"/>
          <w:sz w:val="24"/>
          <w:szCs w:val="24"/>
        </w:rPr>
        <w:t>功能能将下行扶梯达到一定载荷情况下产生的电能反馈电网或者临近自动扶梯使用，从而节约能源。若采用反馈电网的模式，电源质量需满足相关专业要求。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第3款 电梯采用永磁同步曳引机，其效率高于异步曳引机，从而节约能源。</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widowControl/>
        <w:spacing w:line="360" w:lineRule="auto"/>
        <w:jc w:val="left"/>
        <w:rPr>
          <w:rFonts w:ascii="宋体" w:hAnsi="宋体" w:eastAsia="宋体"/>
          <w:sz w:val="24"/>
          <w:szCs w:val="24"/>
        </w:rPr>
      </w:pPr>
      <w:r>
        <w:rPr>
          <w:rFonts w:hint="eastAsia" w:ascii="仿宋" w:hAnsi="仿宋" w:eastAsia="仿宋"/>
          <w:b/>
          <w:sz w:val="24"/>
          <w:szCs w:val="24"/>
        </w:rPr>
        <w:t>7.2.45</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widowControl/>
        <w:spacing w:line="360" w:lineRule="auto"/>
        <w:ind w:firstLine="480" w:firstLineChars="200"/>
        <w:jc w:val="left"/>
        <w:rPr>
          <w:rFonts w:ascii="仿宋" w:hAnsi="仿宋" w:eastAsia="仿宋"/>
          <w:b/>
          <w:sz w:val="24"/>
          <w:szCs w:val="24"/>
        </w:rPr>
      </w:pPr>
      <w:r>
        <w:rPr>
          <w:rFonts w:ascii="宋体" w:hAnsi="宋体" w:eastAsia="宋体"/>
          <w:sz w:val="24"/>
          <w:szCs w:val="24"/>
        </w:rPr>
        <w:t>本条的评价方法为：规划设计阶段评价查阅相关设计文件，如节能评估报告；运营管理阶段评价查阅相关电能分析报告。</w:t>
      </w:r>
    </w:p>
    <w:p>
      <w:pPr>
        <w:widowControl/>
        <w:spacing w:line="360" w:lineRule="auto"/>
        <w:jc w:val="left"/>
        <w:rPr>
          <w:rFonts w:ascii="宋体" w:hAnsi="宋体" w:eastAsia="宋体"/>
          <w:sz w:val="24"/>
          <w:szCs w:val="24"/>
        </w:rPr>
      </w:pPr>
      <w:r>
        <w:rPr>
          <w:rFonts w:hint="eastAsia" w:ascii="仿宋" w:hAnsi="仿宋" w:eastAsia="仿宋"/>
          <w:b/>
          <w:sz w:val="24"/>
          <w:szCs w:val="24"/>
        </w:rPr>
        <w:t xml:space="preserve">7.2.46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widowControl/>
        <w:spacing w:line="360" w:lineRule="auto"/>
        <w:ind w:firstLine="480" w:firstLineChars="200"/>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sz w:val="24"/>
          <w:szCs w:val="24"/>
        </w:rPr>
        <w:t>本条的评价方法为：规划设计阶段评价查阅相关设计文件，如节能评估报告；运营管理阶段评价查阅相关电能分析报告。</w:t>
      </w:r>
    </w:p>
    <w:p>
      <w:pPr>
        <w:widowControl/>
        <w:spacing w:line="360" w:lineRule="auto"/>
        <w:jc w:val="left"/>
        <w:rPr>
          <w:rFonts w:ascii="宋体" w:hAnsi="宋体" w:eastAsia="宋体"/>
          <w:sz w:val="24"/>
          <w:szCs w:val="24"/>
        </w:rPr>
      </w:pPr>
    </w:p>
    <w:p>
      <w:pPr>
        <w:pStyle w:val="2"/>
        <w:spacing w:before="624" w:after="624"/>
        <w:rPr>
          <w:sz w:val="24"/>
          <w:szCs w:val="24"/>
        </w:rPr>
      </w:pPr>
      <w:bookmarkStart w:id="137" w:name="_Toc77584261"/>
      <w:r>
        <w:rPr>
          <w:rFonts w:hint="eastAsia"/>
        </w:rPr>
        <w:t xml:space="preserve">8  </w:t>
      </w:r>
      <w:r>
        <w:t>环境友好</w:t>
      </w:r>
      <w:bookmarkEnd w:id="137"/>
    </w:p>
    <w:p>
      <w:pPr>
        <w:pStyle w:val="3"/>
        <w:spacing w:before="468" w:after="468"/>
      </w:pPr>
      <w:bookmarkStart w:id="138" w:name="_Toc77584262"/>
      <w:r>
        <w:rPr>
          <w:rFonts w:hint="eastAsia"/>
        </w:rPr>
        <w:t>8</w:t>
      </w:r>
      <w:r>
        <w:t>.1</w:t>
      </w:r>
      <w:r>
        <w:rPr>
          <w:rFonts w:hint="eastAsia"/>
        </w:rPr>
        <w:t xml:space="preserve">  </w:t>
      </w:r>
      <w:r>
        <w:t>控制项</w:t>
      </w:r>
      <w:bookmarkEnd w:id="138"/>
    </w:p>
    <w:p>
      <w:pPr>
        <w:snapToGrid w:val="0"/>
        <w:spacing w:line="360" w:lineRule="auto"/>
        <w:jc w:val="left"/>
        <w:rPr>
          <w:rFonts w:ascii="宋体" w:hAnsi="宋体" w:eastAsia="宋体"/>
          <w:sz w:val="24"/>
          <w:szCs w:val="24"/>
        </w:rPr>
      </w:pPr>
      <w:r>
        <w:rPr>
          <w:rFonts w:hint="eastAsia" w:ascii="仿宋" w:hAnsi="仿宋" w:eastAsia="仿宋"/>
          <w:b/>
          <w:sz w:val="24"/>
          <w:szCs w:val="24"/>
        </w:rPr>
        <w:t xml:space="preserve">8.1.1  </w:t>
      </w:r>
      <w:r>
        <w:rPr>
          <w:rFonts w:hint="eastAsia" w:ascii="宋体" w:hAnsi="宋体" w:eastAsia="宋体"/>
          <w:sz w:val="24"/>
          <w:szCs w:val="24"/>
        </w:rPr>
        <w:t>本条适用于绿色轨道交通的规划设计阶段和运营管理阶段评价。</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为减小轨道交通运营对沿线环境的影响，需</w:t>
      </w:r>
      <w:r>
        <w:rPr>
          <w:rFonts w:ascii="宋体" w:hAnsi="宋体" w:eastAsia="宋体"/>
          <w:sz w:val="24"/>
          <w:szCs w:val="24"/>
        </w:rPr>
        <w:t>根据环境影响评估报告书的要求开展减振降噪设计</w:t>
      </w:r>
      <w:r>
        <w:rPr>
          <w:rFonts w:hint="eastAsia" w:ascii="宋体" w:hAnsi="宋体" w:eastAsia="宋体"/>
          <w:sz w:val="24"/>
          <w:szCs w:val="24"/>
        </w:rPr>
        <w:t>，</w:t>
      </w:r>
      <w:r>
        <w:rPr>
          <w:rFonts w:ascii="宋体" w:hAnsi="宋体" w:eastAsia="宋体"/>
          <w:sz w:val="24"/>
          <w:szCs w:val="24"/>
        </w:rPr>
        <w:t>试运营后</w:t>
      </w:r>
      <w:r>
        <w:rPr>
          <w:rFonts w:hint="eastAsia" w:ascii="宋体" w:hAnsi="宋体" w:eastAsia="宋体"/>
          <w:sz w:val="24"/>
          <w:szCs w:val="24"/>
        </w:rPr>
        <w:t>轨道交通沿线</w:t>
      </w:r>
      <w:r>
        <w:rPr>
          <w:rFonts w:ascii="宋体" w:hAnsi="宋体" w:eastAsia="宋体"/>
          <w:sz w:val="24"/>
          <w:szCs w:val="24"/>
        </w:rPr>
        <w:t>环境敏感点的振动及噪声应</w:t>
      </w:r>
      <w:r>
        <w:rPr>
          <w:rFonts w:hint="eastAsia" w:ascii="宋体" w:hAnsi="宋体" w:eastAsia="宋体"/>
          <w:sz w:val="24"/>
          <w:szCs w:val="24"/>
        </w:rPr>
        <w:t>满足</w:t>
      </w:r>
      <w:r>
        <w:rPr>
          <w:rFonts w:ascii="宋体" w:hAnsi="宋体" w:eastAsia="宋体"/>
          <w:sz w:val="24"/>
          <w:szCs w:val="24"/>
        </w:rPr>
        <w:t>GB10070、GB3096、JGJ/T170及GB/T50452的要求</w:t>
      </w:r>
      <w:r>
        <w:rPr>
          <w:rFonts w:hint="eastAsia" w:ascii="宋体" w:hAnsi="宋体" w:eastAsia="宋体"/>
          <w:sz w:val="24"/>
          <w:szCs w:val="24"/>
        </w:rPr>
        <w:t>，并通过建设项目竣工环境保护验收。</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本条的评价方法为：规划设计阶段评价查阅相关设计文件；运营管理阶段评价查阅相关竣工图及检测报告，并现场核实。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8.1.5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系统变电所各级母线的电能质量应符合国家标准，以确保系统的安全、经济运行。</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本条的评价方法为：规划设计阶段评价查阅相关设计文件（设计说明、施工图设计图纸）；运营管理阶段评价查阅验收记录，并现场核实。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8.1.6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110kV以下电压等级的交流输变电设施属于电磁环境保护管理豁免范围。城市轨道交通采用集中供电方式时，110kV以上的主变电所设计应满足相关国标的电磁环境限制要求。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本条的评价方法为：规划设计阶段评价查阅相关设计文件（设计说明、施工图设计图纸）；运营管理阶段评价查阅验收记录，并现场核实。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8</w:t>
      </w:r>
      <w:r>
        <w:rPr>
          <w:rFonts w:ascii="仿宋" w:hAnsi="仿宋" w:eastAsia="仿宋"/>
          <w:b/>
          <w:sz w:val="24"/>
          <w:szCs w:val="24"/>
        </w:rPr>
        <w:t>.1.</w:t>
      </w:r>
      <w:r>
        <w:rPr>
          <w:rFonts w:hint="eastAsia" w:ascii="仿宋" w:hAnsi="仿宋" w:eastAsia="仿宋"/>
          <w:b/>
          <w:sz w:val="24"/>
          <w:szCs w:val="24"/>
        </w:rPr>
        <w:t xml:space="preserve">7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评价范围主要针对高架站、地面站及地下站的地面附属设施。建筑室内的环境质量与天然采光条件密切相关，天然采光直接影响乘客使用和站内工作人员办公的心理感受；我国对各类型建筑都制定有相应的国家标准或行业标准，对其采光、消防、防灾、视觉卫生等提出了相应的技术要求，直接影响着建筑布局、间距和设计。地面车站及地下车站附属设施布局时，应充分考虑上述技术要求，最大限度地为建筑提供良好的天然采光条件，满足相应标准对采光的控制要求，或符合城乡规划的要求即为达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在保证自身满足有关日照标准的同时，轨道交通车站应重点考虑其周边关系，避免对相邻的住宅、幼儿园生活用房等有日照标准要求的建筑产生不利的日照遮挡。条文中的“不降低周边建筑的日照标准”是指：（1）对于新建项目的建设，应满足周边建筑有关日照标准的要求；（2）对于改造项目分两种情况：周边建筑改造前满足日照标准的，应保证其改造后仍符合相关日照标准的要求；周边建筑改造前未满足日照标准的，改造后不可再降低其原有的日照水平。</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本条的评价方法为：规划设计阶段评价查阅相关设计文件和采光日照模拟分析报告；运行管理阶段评价在规划设计阶段评价方法之外还应现场核实。</w:t>
      </w:r>
    </w:p>
    <w:p>
      <w:pPr>
        <w:adjustRightInd w:val="0"/>
        <w:snapToGrid w:val="0"/>
        <w:spacing w:line="360" w:lineRule="auto"/>
        <w:ind w:firstLine="480" w:firstLineChars="200"/>
        <w:rPr>
          <w:rFonts w:ascii="宋体" w:hAnsi="宋体" w:eastAsia="宋体"/>
          <w:sz w:val="24"/>
          <w:szCs w:val="24"/>
        </w:rPr>
      </w:pPr>
    </w:p>
    <w:p/>
    <w:p>
      <w:pPr>
        <w:pStyle w:val="3"/>
        <w:spacing w:before="468" w:after="468"/>
        <w:sectPr>
          <w:pgSz w:w="11906" w:h="16838"/>
          <w:pgMar w:top="1440" w:right="1797" w:bottom="1440" w:left="1797" w:header="851" w:footer="992" w:gutter="0"/>
          <w:cols w:space="425" w:num="1"/>
          <w:docGrid w:type="lines" w:linePitch="312" w:charSpace="0"/>
        </w:sectPr>
      </w:pPr>
      <w:bookmarkStart w:id="139" w:name="_Toc77584263"/>
    </w:p>
    <w:p>
      <w:pPr>
        <w:pStyle w:val="3"/>
        <w:spacing w:before="468" w:after="468"/>
      </w:pPr>
      <w:r>
        <w:rPr>
          <w:rFonts w:hint="eastAsia"/>
        </w:rPr>
        <w:t>8</w:t>
      </w:r>
      <w:r>
        <w:t>.2</w:t>
      </w:r>
      <w:r>
        <w:rPr>
          <w:rFonts w:hint="eastAsia"/>
        </w:rPr>
        <w:t xml:space="preserve">  </w:t>
      </w:r>
      <w:r>
        <w:t>评分项</w:t>
      </w:r>
      <w:bookmarkEnd w:id="139"/>
    </w:p>
    <w:p>
      <w:pPr>
        <w:spacing w:line="360" w:lineRule="auto"/>
        <w:jc w:val="left"/>
        <w:rPr>
          <w:rFonts w:ascii="宋体" w:hAnsi="宋体" w:eastAsia="宋体"/>
          <w:sz w:val="24"/>
          <w:szCs w:val="24"/>
        </w:rPr>
      </w:pPr>
      <w:r>
        <w:rPr>
          <w:rFonts w:hint="eastAsia" w:ascii="仿宋" w:hAnsi="仿宋" w:eastAsia="仿宋"/>
          <w:b/>
          <w:sz w:val="24"/>
          <w:szCs w:val="24"/>
        </w:rPr>
        <w:t>8</w:t>
      </w:r>
      <w:r>
        <w:rPr>
          <w:rFonts w:ascii="仿宋" w:hAnsi="仿宋" w:eastAsia="仿宋"/>
          <w:b/>
          <w:sz w:val="24"/>
          <w:szCs w:val="24"/>
        </w:rPr>
        <w:t>.2.</w:t>
      </w:r>
      <w:r>
        <w:rPr>
          <w:rFonts w:hint="eastAsia" w:ascii="仿宋" w:hAnsi="仿宋" w:eastAsia="仿宋"/>
          <w:b/>
          <w:sz w:val="24"/>
          <w:szCs w:val="24"/>
        </w:rPr>
        <w:t xml:space="preserve">1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为减少备品备件种类，保持轨道结构的弹性连续，宜尽量减少</w:t>
      </w:r>
      <w:r>
        <w:rPr>
          <w:rFonts w:ascii="宋体" w:hAnsi="宋体" w:eastAsia="宋体"/>
          <w:sz w:val="24"/>
          <w:szCs w:val="24"/>
        </w:rPr>
        <w:t>减振轨道类型</w:t>
      </w:r>
      <w:r>
        <w:rPr>
          <w:rFonts w:hint="eastAsia" w:ascii="宋体" w:hAnsi="宋体" w:eastAsia="宋体"/>
          <w:sz w:val="24"/>
          <w:szCs w:val="24"/>
        </w:rPr>
        <w:t>。减振等级过多会导致轨道类型增加，一定程度上会削弱轨道系统的稳定性，增加运营阶段维修量。最高运行速度不超过120km/h的线路，正线减振宜划分为中等、高等和特殊3级减振，高架线为减轻恒载，可采取与地下线不同类型的减振浮置板轨道，故</w:t>
      </w:r>
      <w:r>
        <w:rPr>
          <w:rFonts w:ascii="宋体" w:hAnsi="宋体" w:eastAsia="宋体"/>
          <w:sz w:val="24"/>
          <w:szCs w:val="24"/>
        </w:rPr>
        <w:t>正线减振轨道类型不</w:t>
      </w:r>
      <w:r>
        <w:rPr>
          <w:rFonts w:hint="eastAsia" w:ascii="宋体" w:hAnsi="宋体" w:eastAsia="宋体"/>
          <w:sz w:val="24"/>
          <w:szCs w:val="24"/>
        </w:rPr>
        <w:t>宜</w:t>
      </w:r>
      <w:r>
        <w:rPr>
          <w:rFonts w:ascii="宋体" w:hAnsi="宋体" w:eastAsia="宋体"/>
          <w:sz w:val="24"/>
          <w:szCs w:val="24"/>
        </w:rPr>
        <w:t>超过4种</w:t>
      </w:r>
      <w:r>
        <w:rPr>
          <w:rFonts w:hint="eastAsia" w:ascii="宋体" w:hAnsi="宋体" w:eastAsia="宋体"/>
          <w:sz w:val="24"/>
          <w:szCs w:val="24"/>
        </w:rPr>
        <w:t>。城际铁路一般采用</w:t>
      </w:r>
      <w:r>
        <w:rPr>
          <w:rFonts w:hint="eastAsia" w:asciiTheme="minorEastAsia" w:hAnsiTheme="minorEastAsia"/>
          <w:sz w:val="24"/>
          <w:szCs w:val="24"/>
        </w:rPr>
        <w:t>轨道道床减振或轨枕</w:t>
      </w:r>
      <w:r>
        <w:rPr>
          <w:rFonts w:ascii="宋体" w:hAnsi="宋体" w:eastAsia="宋体"/>
          <w:sz w:val="24"/>
          <w:szCs w:val="24"/>
        </w:rPr>
        <w:t>减振措施</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为提高减振设计的可靠性，降低后期环保投诉风险，</w:t>
      </w:r>
      <w:r>
        <w:rPr>
          <w:rFonts w:ascii="宋体" w:hAnsi="宋体" w:eastAsia="宋体"/>
          <w:sz w:val="24"/>
          <w:szCs w:val="24"/>
        </w:rPr>
        <w:t>减振性能</w:t>
      </w:r>
      <w:r>
        <w:rPr>
          <w:rFonts w:hint="eastAsia" w:ascii="宋体" w:hAnsi="宋体" w:eastAsia="宋体"/>
          <w:sz w:val="24"/>
          <w:szCs w:val="24"/>
        </w:rPr>
        <w:t>宜</w:t>
      </w:r>
      <w:r>
        <w:rPr>
          <w:rFonts w:ascii="宋体" w:hAnsi="宋体" w:eastAsia="宋体"/>
          <w:sz w:val="24"/>
          <w:szCs w:val="24"/>
        </w:rPr>
        <w:t>预留</w:t>
      </w:r>
      <w:r>
        <w:rPr>
          <w:rFonts w:hint="eastAsia" w:ascii="宋体" w:hAnsi="宋体" w:eastAsia="宋体"/>
          <w:sz w:val="24"/>
          <w:szCs w:val="24"/>
        </w:rPr>
        <w:t>一定的</w:t>
      </w:r>
      <w:r>
        <w:rPr>
          <w:rFonts w:ascii="宋体" w:hAnsi="宋体" w:eastAsia="宋体"/>
          <w:sz w:val="24"/>
          <w:szCs w:val="24"/>
        </w:rPr>
        <w:t>富裕量</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高架噪声超标地段，桥梁结构振动引起的二次结构噪声的影响也不容忽视，轨道结构宜同步采用</w:t>
      </w:r>
      <w:r>
        <w:rPr>
          <w:rFonts w:hint="eastAsia" w:asciiTheme="minorEastAsia" w:hAnsiTheme="minorEastAsia"/>
          <w:sz w:val="24"/>
          <w:szCs w:val="24"/>
        </w:rPr>
        <w:t>道床减振或轨枕</w:t>
      </w:r>
      <w:r>
        <w:rPr>
          <w:rFonts w:ascii="宋体" w:hAnsi="宋体" w:eastAsia="宋体"/>
          <w:sz w:val="24"/>
          <w:szCs w:val="24"/>
        </w:rPr>
        <w:t>减振措施</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本条的评价方法为：规划设计阶段评价查阅相关设计文件；运营管理阶段评价查阅相关竣工图及检测报告，并现场核实。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8.2.2  </w:t>
      </w:r>
      <w:r>
        <w:rPr>
          <w:rFonts w:hint="eastAsia" w:ascii="宋体" w:hAnsi="宋体" w:eastAsia="宋体"/>
          <w:sz w:val="24"/>
          <w:szCs w:val="24"/>
        </w:rPr>
        <w:t>本条适用于</w:t>
      </w:r>
      <w:r>
        <w:rPr>
          <w:rFonts w:ascii="宋体" w:hAnsi="宋体" w:eastAsia="宋体"/>
          <w:sz w:val="24"/>
          <w:szCs w:val="24"/>
        </w:rPr>
        <w:t>绿色</w:t>
      </w: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的运营管理阶段评价。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高架线路若能与城市道路较好的结合，能在满足环评的情况下，降低线路的运营能耗等费用。</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w:t>
      </w:r>
      <w:r>
        <w:rPr>
          <w:rFonts w:ascii="宋体" w:hAnsi="宋体" w:eastAsia="宋体"/>
          <w:sz w:val="24"/>
          <w:szCs w:val="24"/>
        </w:rPr>
        <w:t>运营管理阶段根据</w:t>
      </w:r>
      <w:r>
        <w:rPr>
          <w:rFonts w:hint="eastAsia" w:ascii="宋体" w:hAnsi="宋体" w:eastAsia="宋体"/>
          <w:sz w:val="24"/>
          <w:szCs w:val="24"/>
        </w:rPr>
        <w:t>竣工</w:t>
      </w:r>
      <w:r>
        <w:rPr>
          <w:rFonts w:ascii="宋体" w:hAnsi="宋体" w:eastAsia="宋体"/>
          <w:sz w:val="24"/>
          <w:szCs w:val="24"/>
        </w:rPr>
        <w:t>图纸</w:t>
      </w:r>
      <w:r>
        <w:rPr>
          <w:rFonts w:hint="eastAsia" w:ascii="宋体" w:hAnsi="宋体" w:eastAsia="宋体"/>
          <w:sz w:val="24"/>
          <w:szCs w:val="24"/>
        </w:rPr>
        <w:t>，结合城市交通相关资料，核实。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8.2.3  </w:t>
      </w:r>
      <w:r>
        <w:rPr>
          <w:rFonts w:hint="eastAsia" w:ascii="宋体" w:hAnsi="宋体" w:eastAsia="宋体"/>
          <w:sz w:val="24"/>
          <w:szCs w:val="24"/>
        </w:rPr>
        <w:t>本条适用于绿色轨道交通的规划设计阶段和运营管理阶段评价。</w:t>
      </w:r>
    </w:p>
    <w:p>
      <w:pPr>
        <w:widowControl/>
        <w:spacing w:line="360" w:lineRule="auto"/>
        <w:ind w:firstLine="360" w:firstLineChars="150"/>
        <w:jc w:val="left"/>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8.2.4  </w:t>
      </w:r>
      <w:r>
        <w:rPr>
          <w:rFonts w:hint="eastAsia" w:ascii="宋体" w:hAnsi="宋体" w:eastAsia="宋体"/>
          <w:sz w:val="24"/>
          <w:szCs w:val="24"/>
        </w:rPr>
        <w:t>本条适用于绿色轨道交通的规划设计阶段和运营管理阶段评价。</w:t>
      </w:r>
    </w:p>
    <w:p>
      <w:pPr>
        <w:widowControl/>
        <w:spacing w:line="360" w:lineRule="auto"/>
        <w:ind w:firstLine="360" w:firstLineChars="150"/>
        <w:jc w:val="left"/>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：规划设计阶段评价查阅相关设计文件；运营管理阶段评价查阅相关竣工图，并现场核实。</w:t>
      </w:r>
    </w:p>
    <w:p>
      <w:pPr>
        <w:spacing w:line="360" w:lineRule="auto"/>
        <w:jc w:val="left"/>
        <w:rPr>
          <w:rFonts w:ascii="宋体" w:hAnsi="宋体"/>
          <w:sz w:val="24"/>
          <w:szCs w:val="24"/>
        </w:rPr>
      </w:pPr>
      <w:r>
        <w:rPr>
          <w:rFonts w:hint="eastAsia" w:ascii="仿宋" w:hAnsi="仿宋" w:eastAsia="仿宋"/>
          <w:b/>
          <w:sz w:val="24"/>
          <w:szCs w:val="24"/>
        </w:rPr>
        <w:t xml:space="preserve">8.2.5  </w:t>
      </w:r>
      <w:r>
        <w:rPr>
          <w:rFonts w:hint="eastAsia" w:ascii="宋体" w:hAnsi="宋体"/>
          <w:sz w:val="24"/>
          <w:szCs w:val="24"/>
        </w:rPr>
        <w:t>本条适用于绿色车站的规划设计阶段和运营管理阶段评价。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建筑是一个地区传统文化同地域环境特色相结合的产物，是当地历史文脉及风俗传统的重要载体。采用具有地区特色的建筑设计原则和手法，为传承传统建筑风貌，让建筑能更好地体现地域传统建筑特色，应采用适度的保护利用措施，避免对历史建筑价值和特征要素的损伤和改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8.2.6  </w:t>
      </w:r>
      <w:r>
        <w:rPr>
          <w:rFonts w:hint="eastAsia" w:ascii="宋体" w:hAnsi="宋体" w:eastAsia="宋体"/>
          <w:sz w:val="24"/>
          <w:szCs w:val="24"/>
        </w:rPr>
        <w:t>本条适用于绿色轨道交通的规划设计阶段和运营管理阶段评价。</w:t>
      </w:r>
    </w:p>
    <w:p>
      <w:pPr>
        <w:widowControl/>
        <w:spacing w:line="360" w:lineRule="auto"/>
        <w:ind w:firstLine="360" w:firstLineChars="150"/>
        <w:jc w:val="left"/>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8.2.7  </w:t>
      </w:r>
      <w:r>
        <w:rPr>
          <w:rFonts w:hint="eastAsia" w:ascii="宋体" w:hAnsi="宋体" w:eastAsia="宋体"/>
          <w:sz w:val="24"/>
          <w:szCs w:val="24"/>
        </w:rPr>
        <w:t>本条适用于绿色轨道交通的规划设计阶段和运营管理阶段评价。</w:t>
      </w:r>
    </w:p>
    <w:p>
      <w:pPr>
        <w:widowControl/>
        <w:spacing w:line="360" w:lineRule="auto"/>
        <w:ind w:firstLine="360" w:firstLineChars="150"/>
        <w:jc w:val="left"/>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8.2.8  </w:t>
      </w:r>
      <w:r>
        <w:rPr>
          <w:rFonts w:hint="eastAsia" w:ascii="宋体" w:hAnsi="宋体" w:eastAsia="宋体"/>
          <w:sz w:val="24"/>
          <w:szCs w:val="24"/>
        </w:rPr>
        <w:t>本条适用于绿色轨道交通的规划设计阶段和运营管理阶段评价。</w:t>
      </w:r>
    </w:p>
    <w:p>
      <w:pPr>
        <w:widowControl/>
        <w:spacing w:line="360" w:lineRule="auto"/>
        <w:ind w:firstLine="360" w:firstLineChars="150"/>
        <w:jc w:val="left"/>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：规划设计阶段评价查阅相关设计文件；运营管理阶段评价查阅相关竣工图，并现场核实。</w:t>
      </w:r>
    </w:p>
    <w:p>
      <w:pPr>
        <w:spacing w:line="360" w:lineRule="auto"/>
        <w:jc w:val="left"/>
        <w:rPr>
          <w:rFonts w:ascii="宋体" w:hAnsi="宋体" w:eastAsia="宋体"/>
          <w:sz w:val="24"/>
          <w:szCs w:val="24"/>
          <w:highlight w:val="yellow"/>
        </w:rPr>
      </w:pPr>
      <w:r>
        <w:rPr>
          <w:rFonts w:hint="eastAsia" w:ascii="仿宋" w:hAnsi="仿宋" w:eastAsia="仿宋"/>
          <w:b/>
          <w:sz w:val="24"/>
          <w:szCs w:val="24"/>
        </w:rPr>
        <w:t xml:space="preserve">8.2.9  </w:t>
      </w:r>
      <w:r>
        <w:rPr>
          <w:rFonts w:hint="eastAsia" w:ascii="宋体" w:hAnsi="宋体" w:eastAsia="宋体"/>
          <w:sz w:val="24"/>
          <w:szCs w:val="24"/>
        </w:rPr>
        <w:t>本条适用于绿色轨道交通运营管理阶段评价。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在管道侧结合规范《埋地钢质管道直流干扰防护技术标准》GB50991-2014，对直流干扰进行识别和评价，该标准5.0.2“没有实施阴极保护的管道，宜采用管地电位相对于自然电位的偏移值进行判断。当任意点上的管地电位相对于自然电位正向或负向偏移超过20mV时，应确认存在直流干扰；当任意点上的管地电位相对于自然电位正向偏移大于或等于100mV，应及时采取干扰防护措施”。评分标准取小于100mV，得分。</w:t>
      </w:r>
    </w:p>
    <w:p>
      <w:pPr>
        <w:adjustRightInd w:val="0"/>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当发现管道所经路由的地电位梯度超过一定限值时（该标准中此限值采用地电位梯度与杂散电流强弱的关系规定的“一般”程度上限的中值，即2.5mV/m），管道敷设后受到直流干扰影响的可能性大大增大。该评分只针对直流牵引线路引起的直流干扰。进行直流干扰测试及评估时，应结合线路运行前的管道原始干扰情况进行评判。该评分目的为建议地铁侧加强防护，降低对油气管线的直流干扰，通过管道侧的标准体系及实测值对直流牵引线路所产生的直流干扰程度进行识别。</w:t>
      </w:r>
    </w:p>
    <w:p>
      <w:pPr>
        <w:widowControl/>
        <w:spacing w:line="360" w:lineRule="auto"/>
        <w:ind w:firstLine="360" w:firstLineChars="150"/>
        <w:jc w:val="left"/>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：运营管理阶段现场实测评价。</w:t>
      </w:r>
    </w:p>
    <w:p>
      <w:pPr>
        <w:widowControl/>
        <w:spacing w:line="360" w:lineRule="auto"/>
        <w:jc w:val="left"/>
        <w:rPr>
          <w:rFonts w:ascii="宋体" w:hAnsi="宋体" w:eastAsia="宋体"/>
          <w:sz w:val="24"/>
          <w:szCs w:val="24"/>
        </w:rPr>
      </w:pPr>
      <w:r>
        <w:rPr>
          <w:rFonts w:hint="eastAsia" w:ascii="仿宋" w:hAnsi="仿宋" w:eastAsia="仿宋"/>
          <w:b/>
          <w:sz w:val="24"/>
          <w:szCs w:val="24"/>
        </w:rPr>
        <w:t xml:space="preserve">8.2.10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   结合管道侧标准《埋地钢质管道交流干扰防护技术标准》（GB/T 50698-2011）对交流干扰程度进行评价及评分。“3.0.5 当管道上的交流干扰电压不高于4V时，可不采取交流干扰防护措施；高于4V时，应采用交流电流密度进行评估”。“3.0.6 管道受交流干扰的程度可按</w:t>
      </w:r>
      <w:r>
        <w:rPr>
          <w:rFonts w:hint="eastAsia" w:ascii="宋体" w:hAnsi="宋体" w:eastAsia="宋体"/>
          <w:sz w:val="24"/>
          <w:szCs w:val="24"/>
          <w:lang w:val="en-US" w:eastAsia="zh-CN"/>
        </w:rPr>
        <w:t>8.2.10</w:t>
      </w:r>
      <w:r>
        <w:rPr>
          <w:rFonts w:hint="eastAsia" w:ascii="宋体" w:hAnsi="宋体" w:eastAsia="宋体"/>
          <w:sz w:val="24"/>
          <w:szCs w:val="24"/>
        </w:rPr>
        <w:t>交流干扰程度的判断指标的规定判定”。</w:t>
      </w:r>
    </w:p>
    <w:p>
      <w:pPr>
        <w:spacing w:line="560" w:lineRule="exact"/>
        <w:jc w:val="center"/>
        <w:rPr>
          <w:rFonts w:ascii="宋体" w:hAnsi="宋体" w:eastAsia="宋体"/>
          <w:b/>
        </w:rPr>
      </w:pPr>
      <w:r>
        <w:rPr>
          <w:rFonts w:ascii="宋体" w:hAnsi="宋体" w:eastAsia="宋体"/>
          <w:b/>
        </w:rPr>
        <w:t>表</w:t>
      </w:r>
      <w:r>
        <w:rPr>
          <w:rFonts w:hint="eastAsia" w:ascii="宋体" w:hAnsi="宋体" w:eastAsia="宋体"/>
          <w:b/>
          <w:lang w:val="en-US" w:eastAsia="zh-CN"/>
        </w:rPr>
        <w:t>8.2.10</w:t>
      </w:r>
      <w:r>
        <w:rPr>
          <w:rFonts w:ascii="宋体" w:hAnsi="宋体" w:eastAsia="宋体"/>
          <w:b/>
        </w:rPr>
        <w:t>交流干扰程度的判断指标</w:t>
      </w:r>
    </w:p>
    <w:tbl>
      <w:tblPr>
        <w:tblStyle w:val="14"/>
        <w:tblW w:w="8592"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2"/>
        <w:gridCol w:w="1985"/>
        <w:gridCol w:w="273"/>
        <w:gridCol w:w="2024"/>
        <w:gridCol w:w="236"/>
        <w:gridCol w:w="1152"/>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22" w:type="dxa"/>
            <w:tcBorders>
              <w:top w:val="single" w:color="000000" w:sz="12" w:space="0"/>
              <w:left w:val="single" w:color="auto" w:sz="4" w:space="0"/>
              <w:bottom w:val="single" w:color="000000" w:sz="4" w:space="0"/>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交流干扰程度</w:t>
            </w:r>
          </w:p>
        </w:tc>
        <w:tc>
          <w:tcPr>
            <w:tcW w:w="1985" w:type="dxa"/>
            <w:tcBorders>
              <w:top w:val="single" w:color="000000" w:sz="12" w:space="0"/>
              <w:left w:val="single" w:color="auto" w:sz="4" w:space="0"/>
              <w:bottom w:val="single" w:color="000000" w:sz="4" w:space="0"/>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弱</w:t>
            </w:r>
          </w:p>
        </w:tc>
        <w:tc>
          <w:tcPr>
            <w:tcW w:w="273" w:type="dxa"/>
            <w:tcBorders>
              <w:top w:val="single" w:color="000000" w:sz="12" w:space="0"/>
              <w:left w:val="single" w:color="auto" w:sz="4" w:space="0"/>
              <w:bottom w:val="single" w:color="000000" w:sz="4" w:space="0"/>
            </w:tcBorders>
            <w:vAlign w:val="center"/>
          </w:tcPr>
          <w:p>
            <w:pPr>
              <w:jc w:val="center"/>
              <w:rPr>
                <w:rFonts w:ascii="宋体" w:hAnsi="宋体" w:eastAsia="宋体"/>
                <w:sz w:val="24"/>
                <w:szCs w:val="24"/>
              </w:rPr>
            </w:pPr>
          </w:p>
        </w:tc>
        <w:tc>
          <w:tcPr>
            <w:tcW w:w="2024" w:type="dxa"/>
            <w:tcBorders>
              <w:top w:val="single" w:color="000000" w:sz="12" w:space="0"/>
              <w:bottom w:val="single" w:color="000000" w:sz="4" w:space="0"/>
            </w:tcBorders>
            <w:vAlign w:val="center"/>
          </w:tcPr>
          <w:p>
            <w:pPr>
              <w:jc w:val="center"/>
              <w:rPr>
                <w:rFonts w:ascii="宋体" w:hAnsi="宋体" w:eastAsia="宋体"/>
                <w:sz w:val="24"/>
                <w:szCs w:val="24"/>
              </w:rPr>
            </w:pPr>
            <w:r>
              <w:rPr>
                <w:rFonts w:ascii="宋体" w:hAnsi="宋体" w:eastAsia="宋体"/>
                <w:sz w:val="24"/>
                <w:szCs w:val="24"/>
              </w:rPr>
              <w:t>中</w:t>
            </w:r>
          </w:p>
        </w:tc>
        <w:tc>
          <w:tcPr>
            <w:tcW w:w="236" w:type="dxa"/>
            <w:tcBorders>
              <w:top w:val="single" w:color="000000" w:sz="12" w:space="0"/>
              <w:bottom w:val="single" w:color="000000" w:sz="4" w:space="0"/>
              <w:right w:val="single" w:color="auto" w:sz="4" w:space="0"/>
            </w:tcBorders>
            <w:vAlign w:val="center"/>
          </w:tcPr>
          <w:p>
            <w:pPr>
              <w:jc w:val="center"/>
              <w:rPr>
                <w:rFonts w:ascii="宋体" w:hAnsi="宋体" w:eastAsia="宋体"/>
                <w:sz w:val="24"/>
                <w:szCs w:val="24"/>
              </w:rPr>
            </w:pPr>
          </w:p>
        </w:tc>
        <w:tc>
          <w:tcPr>
            <w:tcW w:w="1152" w:type="dxa"/>
            <w:tcBorders>
              <w:top w:val="single" w:color="000000" w:sz="12" w:space="0"/>
              <w:bottom w:val="single" w:color="000000" w:sz="4" w:space="0"/>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强</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22" w:type="dxa"/>
            <w:tcBorders>
              <w:top w:val="single" w:color="000000" w:sz="4" w:space="0"/>
              <w:left w:val="single" w:color="auto" w:sz="4" w:space="0"/>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交流电流密度（A/㎡）</w:t>
            </w:r>
          </w:p>
        </w:tc>
        <w:tc>
          <w:tcPr>
            <w:tcW w:w="1985" w:type="dxa"/>
            <w:tcBorders>
              <w:top w:val="single" w:color="000000" w:sz="4" w:space="0"/>
              <w:left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lang w:val="en-US" w:eastAsia="zh-CN"/>
              </w:rPr>
              <w:t>小于</w:t>
            </w:r>
            <w:r>
              <w:rPr>
                <w:rFonts w:ascii="宋体" w:hAnsi="宋体" w:eastAsia="宋体"/>
                <w:sz w:val="24"/>
                <w:szCs w:val="24"/>
              </w:rPr>
              <w:t>30</w:t>
            </w:r>
          </w:p>
        </w:tc>
        <w:tc>
          <w:tcPr>
            <w:tcW w:w="273" w:type="dxa"/>
            <w:tcBorders>
              <w:top w:val="single" w:color="000000" w:sz="4" w:space="0"/>
              <w:left w:val="single" w:color="auto" w:sz="4" w:space="0"/>
            </w:tcBorders>
            <w:vAlign w:val="center"/>
          </w:tcPr>
          <w:p>
            <w:pPr>
              <w:jc w:val="center"/>
              <w:rPr>
                <w:rFonts w:ascii="宋体" w:hAnsi="宋体" w:eastAsia="宋体"/>
                <w:sz w:val="24"/>
                <w:szCs w:val="24"/>
              </w:rPr>
            </w:pPr>
          </w:p>
        </w:tc>
        <w:tc>
          <w:tcPr>
            <w:tcW w:w="2024" w:type="dxa"/>
            <w:tcBorders>
              <w:top w:val="single" w:color="000000" w:sz="4" w:space="0"/>
            </w:tcBorders>
            <w:vAlign w:val="center"/>
          </w:tcPr>
          <w:p>
            <w:pPr>
              <w:jc w:val="center"/>
              <w:rPr>
                <w:rFonts w:ascii="宋体" w:hAnsi="宋体" w:eastAsia="宋体"/>
                <w:sz w:val="24"/>
                <w:szCs w:val="24"/>
              </w:rPr>
            </w:pPr>
            <w:r>
              <w:rPr>
                <w:rFonts w:ascii="宋体" w:hAnsi="宋体" w:eastAsia="宋体"/>
                <w:sz w:val="24"/>
                <w:szCs w:val="24"/>
              </w:rPr>
              <w:t>30～100</w:t>
            </w:r>
          </w:p>
        </w:tc>
        <w:tc>
          <w:tcPr>
            <w:tcW w:w="236" w:type="dxa"/>
            <w:tcBorders>
              <w:top w:val="single" w:color="000000" w:sz="4" w:space="0"/>
              <w:right w:val="single" w:color="auto" w:sz="4" w:space="0"/>
            </w:tcBorders>
            <w:vAlign w:val="center"/>
          </w:tcPr>
          <w:p>
            <w:pPr>
              <w:jc w:val="center"/>
              <w:rPr>
                <w:rFonts w:ascii="宋体" w:hAnsi="宋体" w:eastAsia="宋体"/>
                <w:sz w:val="24"/>
                <w:szCs w:val="24"/>
              </w:rPr>
            </w:pPr>
          </w:p>
        </w:tc>
        <w:tc>
          <w:tcPr>
            <w:tcW w:w="1152" w:type="dxa"/>
            <w:tcBorders>
              <w:top w:val="single" w:color="000000"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大于</w:t>
            </w:r>
            <w:r>
              <w:rPr>
                <w:rFonts w:ascii="宋体" w:hAnsi="宋体" w:eastAsia="宋体"/>
                <w:sz w:val="24"/>
                <w:szCs w:val="24"/>
              </w:rPr>
              <w:t>100</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“3.0.7</w:t>
      </w:r>
      <w:r>
        <w:rPr>
          <w:rFonts w:ascii="宋体" w:hAnsi="宋体" w:eastAsia="宋体"/>
          <w:sz w:val="24"/>
          <w:szCs w:val="24"/>
        </w:rPr>
        <w:t>当交流干扰程度判定为“强”时，应采取交流干扰防护措施；判定为“中”时，宜采取交流干扰防护措施；判定为“弱”时，可不采取交流干扰防护措施。</w:t>
      </w:r>
      <w:r>
        <w:rPr>
          <w:rFonts w:hint="eastAsia" w:ascii="宋体" w:hAnsi="宋体" w:eastAsia="宋体"/>
          <w:sz w:val="24"/>
          <w:szCs w:val="24"/>
        </w:rPr>
        <w:t>”</w:t>
      </w:r>
    </w:p>
    <w:p>
      <w:pPr>
        <w:adjustRightInd w:val="0"/>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该评分只针对交流牵引线路引起的交流干扰，进行交流干扰测试及评估时，应结合线路运行前的管道原始干扰情况进行评判。该评分目的为建议城市轨道交通侧加强防护，降低对油气管线的交流干扰，通过管道侧的标准体系及实测值对交流牵引线路所产生的交流干扰程度进行识别。</w:t>
      </w:r>
    </w:p>
    <w:p>
      <w:pPr>
        <w:spacing w:line="360" w:lineRule="auto"/>
        <w:ind w:firstLine="480" w:firstLineChars="200"/>
        <w:jc w:val="left"/>
        <w:rPr>
          <w:rFonts w:ascii="宋体" w:hAnsi="宋体" w:eastAsia="宋体"/>
          <w:sz w:val="24"/>
          <w:szCs w:val="24"/>
        </w:rPr>
      </w:pPr>
      <w:r>
        <w:rPr>
          <w:rFonts w:ascii="宋体" w:hAnsi="宋体" w:eastAsia="宋体"/>
          <w:sz w:val="24"/>
          <w:szCs w:val="24"/>
        </w:rPr>
        <w:t>本条的评价方法为</w:t>
      </w:r>
      <w:r>
        <w:rPr>
          <w:rFonts w:hint="eastAsia" w:ascii="宋体" w:hAnsi="宋体" w:eastAsia="宋体"/>
          <w:sz w:val="24"/>
          <w:szCs w:val="24"/>
        </w:rPr>
        <w:t>：规划设计阶段评价查阅相关设计文件；运营管理阶段评价查阅相关竣工图及检测结果，并现场核实。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8</w:t>
      </w:r>
      <w:r>
        <w:rPr>
          <w:rFonts w:ascii="仿宋" w:hAnsi="仿宋" w:eastAsia="仿宋"/>
          <w:b/>
          <w:sz w:val="24"/>
          <w:szCs w:val="24"/>
        </w:rPr>
        <w:t>.2.</w:t>
      </w:r>
      <w:r>
        <w:rPr>
          <w:rFonts w:hint="eastAsia" w:ascii="仿宋" w:hAnsi="仿宋" w:eastAsia="仿宋"/>
          <w:b/>
          <w:sz w:val="24"/>
          <w:szCs w:val="24"/>
        </w:rPr>
        <w:t xml:space="preserve">11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工艺设备中内燃机大多数采用柴油，会对周边环境产生不良的影响，故工艺设备应尽量不采用内燃机为动力的设备。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本条的评价方法为：规划设计阶段评价查阅相关设计文件；运营管理阶段评价应现场核实。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8.2.12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8.2.13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8.2.14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根据《海绵城市建设技术指南</w:t>
      </w:r>
      <w:r>
        <w:rPr>
          <w:rFonts w:ascii="宋体" w:hAnsi="宋体" w:eastAsia="宋体"/>
          <w:sz w:val="24"/>
          <w:szCs w:val="24"/>
        </w:rPr>
        <w:t>—</w:t>
      </w:r>
      <w:r>
        <w:rPr>
          <w:rFonts w:hint="eastAsia" w:ascii="宋体" w:hAnsi="宋体" w:eastAsia="宋体"/>
          <w:sz w:val="24"/>
          <w:szCs w:val="24"/>
        </w:rPr>
        <w:t>低影响开发雨水系统构建（试行）》中，广东地区属于径流控制</w:t>
      </w:r>
      <w:r>
        <w:rPr>
          <w:rFonts w:ascii="宋体" w:hAnsi="宋体" w:eastAsia="宋体"/>
          <w:sz w:val="24"/>
          <w:szCs w:val="24"/>
        </w:rPr>
        <w:t>IV</w:t>
      </w:r>
      <w:r>
        <w:rPr>
          <w:rFonts w:hint="eastAsia" w:ascii="宋体" w:hAnsi="宋体" w:eastAsia="宋体"/>
          <w:sz w:val="24"/>
          <w:szCs w:val="24"/>
        </w:rPr>
        <w:t>、</w:t>
      </w:r>
      <w:r>
        <w:rPr>
          <w:rFonts w:ascii="宋体" w:hAnsi="宋体" w:eastAsia="宋体"/>
          <w:sz w:val="24"/>
          <w:szCs w:val="24"/>
        </w:rPr>
        <w:t>V</w:t>
      </w:r>
      <w:r>
        <w:rPr>
          <w:rFonts w:hint="eastAsia" w:ascii="宋体" w:hAnsi="宋体" w:eastAsia="宋体"/>
          <w:sz w:val="24"/>
          <w:szCs w:val="24"/>
        </w:rPr>
        <w:t>类区，年径流总量控制率为</w:t>
      </w:r>
      <w:r>
        <w:rPr>
          <w:rFonts w:ascii="宋体" w:hAnsi="宋体" w:eastAsia="宋体"/>
          <w:sz w:val="24"/>
          <w:szCs w:val="24"/>
        </w:rPr>
        <w:t>60%~85%</w:t>
      </w:r>
      <w:r>
        <w:rPr>
          <w:rFonts w:hint="eastAsia" w:ascii="宋体" w:hAnsi="宋体" w:eastAsia="宋体"/>
          <w:sz w:val="24"/>
          <w:szCs w:val="24"/>
        </w:rPr>
        <w:t>，因此，本条对年径流总量控制提出要求。参照《海绵城市建设技术指南</w:t>
      </w:r>
      <w:r>
        <w:rPr>
          <w:rFonts w:ascii="宋体" w:hAnsi="宋体" w:eastAsia="宋体"/>
          <w:sz w:val="24"/>
          <w:szCs w:val="24"/>
        </w:rPr>
        <w:t>—</w:t>
      </w:r>
      <w:r>
        <w:rPr>
          <w:rFonts w:hint="eastAsia" w:ascii="宋体" w:hAnsi="宋体" w:eastAsia="宋体"/>
          <w:sz w:val="24"/>
          <w:szCs w:val="24"/>
        </w:rPr>
        <w:t>低影响开发雨水系统构建（试行）》，合理利用场地空间设置绿色雨水基础设施：雨水花园、下凹绿地、屋顶绿化、植草沟、生物滞留设施、徐水塘、渗透塘、调节池、透水铺装等，绿色基础设施能够以自然的方式控制雨水径流、减少洪涝灾害、控制径流污染、保护水环境</w:t>
      </w:r>
    </w:p>
    <w:p>
      <w:pPr>
        <w:adjustRightInd w:val="0"/>
        <w:snapToGrid w:val="0"/>
        <w:spacing w:line="360" w:lineRule="auto"/>
        <w:ind w:firstLine="480" w:firstLineChars="200"/>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sz w:val="24"/>
          <w:szCs w:val="24"/>
        </w:rPr>
        <w:t>本条的评价方法为：查阅地形、当地降雨统计资料、相关设计文件，控制雨水量计算书、场地雨水综合利用设计方案，场地年径流总量控制报告，并现场核实。</w:t>
      </w:r>
    </w:p>
    <w:p>
      <w:pPr>
        <w:adjustRightInd w:val="0"/>
        <w:snapToGrid w:val="0"/>
        <w:spacing w:line="360" w:lineRule="auto"/>
        <w:rPr>
          <w:rFonts w:ascii="宋体" w:hAnsi="宋体" w:eastAsia="宋体"/>
          <w:sz w:val="24"/>
          <w:szCs w:val="24"/>
        </w:rPr>
      </w:pPr>
    </w:p>
    <w:p>
      <w:pPr>
        <w:pStyle w:val="2"/>
        <w:spacing w:before="624" w:after="624"/>
      </w:pPr>
      <w:r>
        <w:rPr>
          <w:rFonts w:hint="eastAsia"/>
        </w:rPr>
        <w:t>9</w:t>
      </w:r>
      <w:r>
        <w:t xml:space="preserve"> </w:t>
      </w:r>
      <w:r>
        <w:rPr>
          <w:rFonts w:hint="eastAsia"/>
        </w:rPr>
        <w:t xml:space="preserve"> </w:t>
      </w:r>
      <w:r>
        <w:t>运营服务</w:t>
      </w:r>
    </w:p>
    <w:p>
      <w:pPr>
        <w:pStyle w:val="3"/>
        <w:spacing w:before="468" w:after="468"/>
      </w:pPr>
      <w:r>
        <w:rPr>
          <w:rFonts w:hint="eastAsia"/>
        </w:rPr>
        <w:t>9</w:t>
      </w:r>
      <w:r>
        <w:t>.1</w:t>
      </w:r>
      <w:r>
        <w:rPr>
          <w:rFonts w:hint="eastAsia"/>
        </w:rPr>
        <w:t xml:space="preserve">  </w:t>
      </w:r>
      <w:r>
        <w:t>控制项</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.1.</w:t>
      </w:r>
      <w:r>
        <w:rPr>
          <w:rFonts w:hint="eastAsia" w:ascii="仿宋" w:hAnsi="仿宋" w:eastAsia="仿宋"/>
          <w:b/>
          <w:sz w:val="24"/>
          <w:szCs w:val="24"/>
        </w:rPr>
        <w:t xml:space="preserve">1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按照住房和城乡建设部2015年发布的《城市轨道沿线地区规划设计导则》，在车站核心区范围内，应该通过建立轨道交通车站与周边物业发展、交通换乘空间及城市公共空间的立体衔接关系，对车站出入口、步行系统的设置提出详细引导要求，对未出让地块提出附加规划条件予以控制，实现空间一体化设计。</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具体车站层面的规划设计引导基本可分为以下三个方面的目标：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落实生态修复、城市修补原则，以轨道车站为核心，构件以人为本、环境友好、可持续运营和管理的城市空间；</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整合轨道出入口和周边建筑及公共空间用地，塑造人车分行、全天候、无障碍的交通枢纽换乘环境；</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促进轨道车站核心区地下、地上空间的一体化利用，合理规划周边物业功能和用地强度，促进交通功能与城市生活服务功能的有机结合。</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本条的评价方法为：规划设计阶段评价应查阅能够体现以上设计目标成果的相关设计文件；运行管理阶段评价在规划设计阶段评价方法之外还应现场核实。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9.1.2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轨道交通车站内应设置有效的、完整的无障碍路径，并配有无障碍电梯等设施设备，确保使用人员安全、便捷地使用站内无障碍路径，并能与车站外其他城市交通系统相连接，且无障碍路线、设施设备及与站外其他交通系统连接处必须设置适合于轮椅、大型行李等行走的坡道。</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9.1.3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为了方便坐轮椅出行的乘客，每个独立的付费区应至少设置一个无障碍通道。</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本条的评价方法为：规划设计阶段评价查阅相关设计文件；运营管理阶段评价查阅相关</w:t>
      </w:r>
      <w:r>
        <w:rPr>
          <w:rFonts w:hint="eastAsia" w:ascii="宋体" w:hAnsi="宋体" w:eastAsia="宋体"/>
          <w:sz w:val="24"/>
          <w:szCs w:val="24"/>
        </w:rPr>
        <w:t>竣工图，</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9.1.4</w:t>
      </w:r>
      <w:r>
        <w:rPr>
          <w:rFonts w:hint="eastAsia" w:ascii="宋体" w:hAnsi="宋体" w:eastAsia="宋体"/>
          <w:sz w:val="24"/>
          <w:szCs w:val="24"/>
        </w:rPr>
        <w:t xml:space="preserve">  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站台门滑动门的主要功能是为乘客上下车提供便利的通道，其开度直接影响便捷服务水平。</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本条的评价方法为：规划设计阶段评价查阅相关设计文件、采购合同；运营管理阶段现场测量核实。</w:t>
      </w:r>
    </w:p>
    <w:p>
      <w:pPr>
        <w:pStyle w:val="3"/>
        <w:spacing w:before="468" w:after="468"/>
      </w:pPr>
      <w:r>
        <w:rPr>
          <w:rFonts w:hint="eastAsia"/>
        </w:rPr>
        <w:t>9</w:t>
      </w:r>
      <w:r>
        <w:t>.2</w:t>
      </w:r>
      <w:r>
        <w:rPr>
          <w:rFonts w:hint="eastAsia"/>
        </w:rPr>
        <w:t xml:space="preserve">  </w:t>
      </w:r>
      <w:r>
        <w:t>评分项</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1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城市中心区是指建成区内社会经济和土地开发活动最密集的那部分区域范围，各城市基本都有城际中心区的明确范围。城市中心区内部的高度密集性和它城市职能的中心地位，使得它与城市中其他地区相比有着鲜明的特点。人口密度最高，交通最拥挤，同时又是城市的交通枢纽集中的地区，服务与占城市很大比例的人口。城市中心区之外的部分称为盛是外围。</w:t>
      </w:r>
    </w:p>
    <w:p>
      <w:pPr>
        <w:pStyle w:val="22"/>
        <w:spacing w:line="360" w:lineRule="auto"/>
        <w:ind w:firstLine="480"/>
        <w:rPr>
          <w:rFonts w:ascii="宋体" w:hAnsi="宋体"/>
          <w:sz w:val="24"/>
        </w:rPr>
      </w:pPr>
      <w:r>
        <w:rPr>
          <w:rFonts w:hint="eastAsia" w:ascii="宋体" w:hAnsi="宋体"/>
          <w:sz w:val="24"/>
        </w:rPr>
        <w:t xml:space="preserve">1  </w:t>
      </w:r>
      <w:r>
        <w:rPr>
          <w:rFonts w:hint="eastAsia" w:ascii="宋体" w:hAnsi="宋体" w:cstheme="minorBidi"/>
          <w:sz w:val="24"/>
        </w:rPr>
        <w:t>本款是</w:t>
      </w:r>
      <w:r>
        <w:rPr>
          <w:rFonts w:hint="eastAsia" w:ascii="宋体" w:hAnsi="宋体"/>
          <w:sz w:val="24"/>
        </w:rPr>
        <w:t>对上下行自动扶梯的规定，是对现行规范的加强。</w:t>
      </w:r>
    </w:p>
    <w:p>
      <w:pPr>
        <w:pStyle w:val="22"/>
        <w:spacing w:line="360" w:lineRule="auto"/>
        <w:ind w:firstLine="480"/>
        <w:rPr>
          <w:rFonts w:ascii="宋体" w:hAnsi="宋体"/>
          <w:sz w:val="24"/>
        </w:rPr>
      </w:pPr>
      <w:r>
        <w:rPr>
          <w:rFonts w:hint="eastAsia" w:ascii="宋体" w:hAnsi="宋体"/>
          <w:sz w:val="24"/>
        </w:rPr>
        <w:t>2  现行国家规范《地铁设计规范》规定站台至站厅应至少设一处上、下行自动扶梯。一般情况下站台上的楼扶梯宜按2节车厢对应一组楼扶梯均衡设置。</w:t>
      </w:r>
    </w:p>
    <w:p>
      <w:pPr>
        <w:pStyle w:val="22"/>
        <w:spacing w:line="360" w:lineRule="auto"/>
        <w:ind w:firstLine="480"/>
        <w:rPr>
          <w:rFonts w:ascii="宋体" w:hAnsi="宋体"/>
          <w:sz w:val="24"/>
        </w:rPr>
      </w:pPr>
      <w:r>
        <w:rPr>
          <w:rFonts w:hint="eastAsia" w:ascii="宋体" w:hAnsi="宋体"/>
          <w:sz w:val="24"/>
        </w:rPr>
        <w:t>3  本</w:t>
      </w:r>
      <w:r>
        <w:rPr>
          <w:rFonts w:hint="eastAsia" w:ascii="宋体" w:hAnsi="宋体" w:cstheme="minorBidi"/>
          <w:sz w:val="24"/>
        </w:rPr>
        <w:t>款</w:t>
      </w:r>
      <w:r>
        <w:rPr>
          <w:rFonts w:hint="eastAsia" w:ascii="宋体" w:hAnsi="宋体"/>
          <w:sz w:val="24"/>
        </w:rPr>
        <w:t>规定了无障碍电梯设置要求，鼓励设置无障碍电梯满足老弱病残和带大件行李乘客的需求。</w:t>
      </w:r>
    </w:p>
    <w:p>
      <w:pPr>
        <w:pStyle w:val="22"/>
        <w:spacing w:line="360" w:lineRule="auto"/>
        <w:ind w:firstLine="480"/>
        <w:rPr>
          <w:rFonts w:ascii="宋体" w:hAnsi="宋体"/>
          <w:sz w:val="24"/>
        </w:rPr>
      </w:pPr>
      <w:r>
        <w:rPr>
          <w:rFonts w:hint="eastAsia" w:ascii="宋体" w:hAnsi="宋体"/>
          <w:sz w:val="24"/>
        </w:rPr>
        <w:t>4  根据《中华人民共和国反恐怖主义法》，目前地铁车站增加了安检功能，本条对于独立的安检空间进行鼓励。</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本条的评价方法为：设计评价查阅相关设计文件（含设计说明、施工图和计算书）；运营评价查阅相关竣工图、计算书、验收记录，并现场核实。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2</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本条所指卫生间为车站内部的卫生间、母婴室设置</w:t>
      </w:r>
    </w:p>
    <w:p>
      <w:pPr>
        <w:pStyle w:val="22"/>
        <w:spacing w:line="360" w:lineRule="auto"/>
        <w:ind w:firstLine="480"/>
        <w:rPr>
          <w:rFonts w:ascii="宋体" w:hAnsi="宋体"/>
          <w:sz w:val="24"/>
        </w:rPr>
      </w:pPr>
      <w:r>
        <w:rPr>
          <w:rFonts w:hint="eastAsia" w:ascii="宋体" w:hAnsi="宋体"/>
          <w:sz w:val="24"/>
        </w:rPr>
        <w:t>1  车站内部一般有设乘客使用卫生间，对于卫生间的厕位比例以及设计标准较高的，提出鼓励。附属式公共厕所一类标准按照《城市公共厕所设计标准》CJJ 14-2016执行。</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  对于既有线没有卫生间，新建线路考虑了原线路卫生间的使用需求提出鼓励。</w:t>
      </w:r>
    </w:p>
    <w:p>
      <w:pPr>
        <w:pStyle w:val="22"/>
        <w:spacing w:line="360" w:lineRule="auto"/>
        <w:ind w:firstLine="480"/>
        <w:rPr>
          <w:rFonts w:ascii="宋体" w:hAnsi="宋体"/>
          <w:sz w:val="24"/>
        </w:rPr>
      </w:pPr>
      <w:r>
        <w:rPr>
          <w:rFonts w:hint="eastAsia" w:ascii="宋体" w:hAnsi="宋体"/>
          <w:sz w:val="24"/>
        </w:rPr>
        <w:t>3  本条是对设置第三卫生间的鼓励。全线换乘车站中80%以上车站满足即可得分。</w:t>
      </w:r>
    </w:p>
    <w:p>
      <w:pPr>
        <w:pStyle w:val="22"/>
        <w:spacing w:line="360" w:lineRule="auto"/>
        <w:ind w:firstLine="480"/>
        <w:rPr>
          <w:rFonts w:ascii="宋体" w:hAnsi="宋体"/>
          <w:sz w:val="24"/>
        </w:rPr>
      </w:pPr>
      <w:r>
        <w:rPr>
          <w:rFonts w:hint="eastAsia" w:ascii="宋体" w:hAnsi="宋体"/>
          <w:sz w:val="24"/>
        </w:rPr>
        <w:t>4  本条是对设置独立母婴室的鼓励。全线换乘车站中80%以上车站满足即可得分。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本条的评价方法为：设计评价查阅相关设计文件（含设计说明、施工图和计算书）；运营评价查阅相关竣工图、计算书、验收记录，并现场核实。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3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结合国道交通特殊的线路条件和布局形式，充分利用站内空间方便乘客出行，解决区域配套服务功能是车站空间利用的重点措施。车站主体站前或站后设置有配线，主体与附属出入口或风道之间围护区域，换乘站联络线与主体围合空间，深埋车站的地下一层或二层，充分利用其开挖空间，或是因地下车站为减少覆土厚度，地上车站为满足线路标高，虽车站结构工程同步建设形成的剩余空间，同步建设独立运营的大型商业空间或停车场，或是地铁运营办公、派出所等附加服务功能，而非定位为车站风道或一般性管理用房的轨道交通基本服务功能区，得3分；站内配置了小于100平方的便民服务用房或</w:t>
      </w:r>
      <w:r>
        <w:rPr>
          <w:rFonts w:ascii="宋体" w:hAnsi="宋体" w:eastAsia="宋体"/>
          <w:sz w:val="24"/>
          <w:szCs w:val="24"/>
        </w:rPr>
        <w:t>必要急救设施，</w:t>
      </w:r>
      <w:r>
        <w:rPr>
          <w:rFonts w:hint="eastAsia" w:ascii="宋体" w:hAnsi="宋体" w:eastAsia="宋体"/>
          <w:sz w:val="24"/>
          <w:szCs w:val="24"/>
        </w:rPr>
        <w:t>给乘客提供了方便的出行服务条件，得2分。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本条的评价方法为：规划设计阶段评价应查阅相关设计文件；运行管理阶段评价在规划设计阶段评价方法之外还应现场核实。</w:t>
      </w:r>
    </w:p>
    <w:p>
      <w:pPr>
        <w:spacing w:line="360" w:lineRule="auto"/>
        <w:jc w:val="left"/>
        <w:rPr>
          <w:rFonts w:ascii="宋体" w:hAnsi="宋体"/>
          <w:sz w:val="24"/>
          <w:szCs w:val="24"/>
        </w:rPr>
      </w:pPr>
      <w:r>
        <w:rPr>
          <w:rFonts w:hint="eastAsia" w:ascii="仿宋" w:hAnsi="仿宋" w:eastAsia="仿宋"/>
          <w:b/>
          <w:sz w:val="24"/>
          <w:szCs w:val="24"/>
        </w:rPr>
        <w:t xml:space="preserve">9.2.4  </w:t>
      </w:r>
      <w:r>
        <w:rPr>
          <w:rFonts w:hint="eastAsia" w:ascii="宋体" w:hAnsi="宋体"/>
          <w:sz w:val="24"/>
          <w:szCs w:val="24"/>
        </w:rPr>
        <w:t>本条适用于绿色车站的规划设计阶段和运营管理阶段评价。</w:t>
      </w:r>
    </w:p>
    <w:p>
      <w:pPr>
        <w:spacing w:line="360" w:lineRule="auto"/>
        <w:ind w:firstLine="480"/>
        <w:jc w:val="left"/>
        <w:rPr>
          <w:rFonts w:ascii="宋体" w:hAnsi="宋体"/>
          <w:sz w:val="24"/>
          <w:szCs w:val="24"/>
        </w:rPr>
      </w:pPr>
      <w:r>
        <w:rPr>
          <w:rFonts w:hint="eastAsia" w:ascii="宋体" w:hAnsi="宋体"/>
          <w:sz w:val="24"/>
          <w:szCs w:val="24"/>
        </w:rPr>
        <w:t>1  车站内应设有与站外其他交通接驳系统的实时更新数字化信息系统，方便乘客有效地选择换乘接驳方式，进而指示站内的行走路径。</w:t>
      </w:r>
    </w:p>
    <w:p>
      <w:pPr>
        <w:spacing w:line="360" w:lineRule="auto"/>
        <w:ind w:firstLine="480"/>
        <w:jc w:val="left"/>
        <w:rPr>
          <w:rFonts w:ascii="宋体" w:hAnsi="宋体"/>
          <w:sz w:val="24"/>
          <w:szCs w:val="24"/>
        </w:rPr>
      </w:pPr>
      <w:r>
        <w:rPr>
          <w:rFonts w:hint="eastAsia" w:ascii="宋体" w:hAnsi="宋体"/>
          <w:sz w:val="24"/>
          <w:szCs w:val="24"/>
        </w:rPr>
        <w:t>2  车站内应设有提示周边道路拥堵情况的数字化信息系统，方便乘客选择换乘方式，进而指示站内的行走路径。</w:t>
      </w:r>
    </w:p>
    <w:p>
      <w:pPr>
        <w:spacing w:line="360" w:lineRule="auto"/>
        <w:ind w:firstLine="480"/>
        <w:jc w:val="left"/>
        <w:rPr>
          <w:rFonts w:ascii="宋体" w:hAnsi="宋体"/>
          <w:sz w:val="24"/>
          <w:szCs w:val="24"/>
        </w:rPr>
      </w:pPr>
      <w:r>
        <w:rPr>
          <w:rFonts w:hint="eastAsia" w:ascii="宋体" w:hAnsi="宋体"/>
          <w:sz w:val="24"/>
          <w:szCs w:val="24"/>
        </w:rPr>
        <w:t>3  导向标志应连续设置在车站公共区的站台、楼扶梯、站厅、换乘通道、出入口等处。尺度应适度，高、宽比例及色彩应符合乘客的视觉要求。</w:t>
      </w:r>
    </w:p>
    <w:p>
      <w:pPr>
        <w:spacing w:line="360" w:lineRule="auto"/>
        <w:ind w:firstLine="480"/>
        <w:jc w:val="left"/>
        <w:rPr>
          <w:rFonts w:ascii="宋体" w:hAnsi="宋体"/>
          <w:sz w:val="24"/>
          <w:szCs w:val="24"/>
        </w:rPr>
      </w:pPr>
      <w:r>
        <w:rPr>
          <w:rFonts w:hint="eastAsia" w:ascii="宋体" w:hAnsi="宋体"/>
          <w:sz w:val="24"/>
          <w:szCs w:val="24"/>
        </w:rPr>
        <w:t>4  利用城市实时交通检测系统，为乘客直接规划到达二次目的地的交通方式及路径，可有效提高乘客到达的便捷性和高效性。</w:t>
      </w:r>
    </w:p>
    <w:p>
      <w:pPr>
        <w:adjustRightInd w:val="0"/>
        <w:snapToGrid w:val="0"/>
        <w:spacing w:line="360" w:lineRule="auto"/>
        <w:ind w:firstLine="480" w:firstLineChars="200"/>
        <w:rPr>
          <w:rFonts w:ascii="宋体" w:hAnsi="宋体" w:eastAsia="宋体"/>
          <w:sz w:val="24"/>
          <w:szCs w:val="24"/>
        </w:rPr>
      </w:pPr>
      <w:r>
        <w:rPr>
          <w:rFonts w:hint="eastAsia" w:ascii="宋体" w:hAnsi="宋体"/>
          <w:sz w:val="24"/>
          <w:szCs w:val="24"/>
        </w:rPr>
        <w:t>本条的评价方法为：规划设计阶段评价查阅相关设计文件；运营管理阶段评价查阅相关竣工图，并现场核实。</w:t>
      </w:r>
    </w:p>
    <w:p>
      <w:pPr>
        <w:spacing w:line="360" w:lineRule="auto"/>
        <w:jc w:val="left"/>
        <w:rPr>
          <w:rFonts w:ascii="宋体" w:hAnsi="宋体"/>
          <w:sz w:val="24"/>
          <w:szCs w:val="24"/>
        </w:rPr>
      </w:pPr>
      <w:r>
        <w:rPr>
          <w:rFonts w:hint="eastAsia" w:ascii="仿宋" w:hAnsi="仿宋" w:eastAsia="仿宋"/>
          <w:b/>
          <w:sz w:val="24"/>
          <w:szCs w:val="24"/>
        </w:rPr>
        <w:t xml:space="preserve">9.2.5  </w:t>
      </w:r>
      <w:r>
        <w:rPr>
          <w:rFonts w:hint="eastAsia" w:ascii="宋体" w:hAnsi="宋体"/>
          <w:sz w:val="24"/>
          <w:szCs w:val="24"/>
        </w:rPr>
        <w:t>本条适用于绿色轨道交通的运营管理阶段评价。</w:t>
      </w:r>
    </w:p>
    <w:p>
      <w:pPr>
        <w:spacing w:line="360" w:lineRule="auto"/>
        <w:ind w:firstLine="480" w:firstLineChars="200"/>
        <w:jc w:val="left"/>
        <w:rPr>
          <w:rFonts w:ascii="宋体" w:hAnsi="宋体"/>
          <w:sz w:val="24"/>
          <w:szCs w:val="24"/>
        </w:rPr>
      </w:pPr>
      <w:r>
        <w:rPr>
          <w:rFonts w:hint="eastAsia" w:ascii="宋体" w:hAnsi="宋体"/>
          <w:sz w:val="24"/>
          <w:szCs w:val="24"/>
        </w:rPr>
        <w:t>车站提供的便民服务设施包括零售商业、报刊、娱乐等服务设施、公用电话、问询、投诉和赔偿服务、广告牌、车站/车厢移动及互动媒体、车站广播设施、急救药箱设施等；站务服务人员为乘客及时提供导乘、问询等帮助；为残障等乘客提供必要的服务，协助其顺利乘车；并做好突发事件的应急服务预案准备，保证乘客的安全。每个车站应安排至少一名能够提供英语服务的员工。</w:t>
      </w:r>
    </w:p>
    <w:p>
      <w:pPr>
        <w:adjustRightInd w:val="0"/>
        <w:snapToGrid w:val="0"/>
        <w:spacing w:line="360" w:lineRule="auto"/>
        <w:rPr>
          <w:rFonts w:ascii="宋体" w:hAnsi="宋体" w:eastAsia="宋体"/>
          <w:sz w:val="24"/>
          <w:szCs w:val="24"/>
        </w:rPr>
      </w:pPr>
      <w:r>
        <w:rPr>
          <w:rFonts w:hint="eastAsia" w:ascii="宋体" w:hAnsi="宋体"/>
          <w:sz w:val="24"/>
          <w:szCs w:val="24"/>
        </w:rPr>
        <w:t xml:space="preserve">    本条的评价方法为:审核设计文件；审核城市轨道交通物业或城市轨道交通运营部门管理文档和现场审查。</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本条的评价方法为：规划设计阶段评价查阅相关设计文件；运营管理阶段评价查阅相关竣工图</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9.2.8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二维码支付有使用简单、</w:t>
      </w:r>
      <w:r>
        <w:rPr>
          <w:rFonts w:ascii="宋体" w:hAnsi="宋体" w:eastAsia="宋体"/>
          <w:sz w:val="24"/>
          <w:szCs w:val="24"/>
        </w:rPr>
        <w:t>支付便捷的特点</w:t>
      </w:r>
      <w:r>
        <w:rPr>
          <w:rFonts w:hint="eastAsia" w:ascii="宋体" w:hAnsi="宋体" w:eastAsia="宋体"/>
          <w:sz w:val="24"/>
          <w:szCs w:val="24"/>
        </w:rPr>
        <w:t>，目前在我国普及率很高。</w:t>
      </w:r>
      <w:r>
        <w:rPr>
          <w:rFonts w:ascii="宋体" w:hAnsi="宋体" w:eastAsia="宋体"/>
          <w:sz w:val="24"/>
          <w:szCs w:val="24"/>
        </w:rPr>
        <w:t>自动检票设备</w:t>
      </w:r>
      <w:r>
        <w:rPr>
          <w:rFonts w:hint="eastAsia" w:ascii="宋体" w:hAnsi="宋体" w:eastAsia="宋体"/>
          <w:sz w:val="24"/>
          <w:szCs w:val="24"/>
        </w:rPr>
        <w:t>支持二维码</w:t>
      </w:r>
      <w:r>
        <w:rPr>
          <w:rFonts w:ascii="宋体" w:hAnsi="宋体" w:eastAsia="宋体"/>
          <w:sz w:val="24"/>
          <w:szCs w:val="24"/>
        </w:rPr>
        <w:t>支付</w:t>
      </w:r>
      <w:r>
        <w:rPr>
          <w:rFonts w:hint="eastAsia" w:ascii="宋体" w:hAnsi="宋体" w:eastAsia="宋体"/>
          <w:sz w:val="24"/>
          <w:szCs w:val="24"/>
        </w:rPr>
        <w:t>，</w:t>
      </w:r>
      <w:r>
        <w:rPr>
          <w:rFonts w:ascii="宋体" w:hAnsi="宋体" w:eastAsia="宋体"/>
          <w:sz w:val="24"/>
          <w:szCs w:val="24"/>
        </w:rPr>
        <w:t>乘客可以直接扫码进出站</w:t>
      </w:r>
      <w:r>
        <w:rPr>
          <w:rFonts w:hint="eastAsia" w:ascii="宋体" w:hAnsi="宋体" w:eastAsia="宋体"/>
          <w:sz w:val="24"/>
          <w:szCs w:val="24"/>
        </w:rPr>
        <w:t>，十分方便。车站</w:t>
      </w:r>
      <w:r>
        <w:rPr>
          <w:rFonts w:ascii="宋体" w:hAnsi="宋体" w:eastAsia="宋体"/>
          <w:sz w:val="24"/>
          <w:szCs w:val="24"/>
        </w:rPr>
        <w:t>自动检票设备支持</w:t>
      </w:r>
      <w:r>
        <w:rPr>
          <w:rFonts w:hint="eastAsia" w:ascii="宋体" w:hAnsi="宋体" w:eastAsia="宋体"/>
          <w:sz w:val="24"/>
          <w:szCs w:val="24"/>
        </w:rPr>
        <w:t>人脸识别支付</w:t>
      </w:r>
      <w:r>
        <w:rPr>
          <w:rFonts w:ascii="宋体" w:hAnsi="宋体" w:eastAsia="宋体"/>
          <w:sz w:val="24"/>
          <w:szCs w:val="24"/>
        </w:rPr>
        <w:t>过闸</w:t>
      </w:r>
      <w:r>
        <w:rPr>
          <w:rFonts w:hint="eastAsia" w:ascii="宋体" w:hAnsi="宋体" w:eastAsia="宋体"/>
          <w:sz w:val="24"/>
          <w:szCs w:val="24"/>
        </w:rPr>
        <w:t>方式能让乘客获得更好的乘车体验。</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车站设置多媒体自助查询终端不但能方便乘客还能减少车站工作人员的工作量。</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采购合同；运营管理阶段评价查阅相关竣工图</w:t>
      </w:r>
      <w:r>
        <w:rPr>
          <w:rFonts w:hint="eastAsia" w:ascii="宋体" w:hAnsi="宋体" w:eastAsia="宋体"/>
          <w:sz w:val="24"/>
          <w:szCs w:val="24"/>
        </w:rPr>
        <w:t>、</w:t>
      </w:r>
      <w:r>
        <w:rPr>
          <w:rFonts w:ascii="宋体" w:hAnsi="宋体" w:eastAsia="宋体"/>
          <w:sz w:val="24"/>
          <w:szCs w:val="24"/>
        </w:rPr>
        <w:t>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9.2.10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车站设置多媒体自助查询终端不但能方便乘客还能减少车站工作人员的工作量。</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采购合同；运营管理阶段评价查阅相关竣工图</w:t>
      </w:r>
      <w:r>
        <w:rPr>
          <w:rFonts w:hint="eastAsia" w:ascii="宋体" w:hAnsi="宋体" w:eastAsia="宋体"/>
          <w:sz w:val="24"/>
          <w:szCs w:val="24"/>
        </w:rPr>
        <w:t>、</w:t>
      </w:r>
      <w:r>
        <w:rPr>
          <w:rFonts w:ascii="宋体" w:hAnsi="宋体" w:eastAsia="宋体"/>
          <w:sz w:val="24"/>
          <w:szCs w:val="24"/>
        </w:rPr>
        <w:t>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9.2.11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9.2.12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13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滑动门状态指示屏（器）可用于实时显示该道滑动门的状态信息、故障信息、对位隔离信息、门编号等，丰富了乘客服务，提高了服务水平。</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本条的评价方法为：规划设计阶段评价查阅相关设计文件、采购合同；运营管理阶段现场勘查核实。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14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对位隔离功能是指列车某个客室门（或站台门某个滑动门）故障无法参与开关门后，通过与相关专业的接口实现相应站台的滑动门（或列车某个客室门）也不参与开关门的功能，可提高便捷服务水平。</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本条的评价方法为：规划设计阶段评价查阅相关设计文件、采购合同；运营管理阶段现场测试，查看是否具备相关功能。</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15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站台门设置有车站导向信息显示屏，丰富了站台景观及多元化信息展示，也提高了乘客便捷服务水平。</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本条的评价方法为：规划设计阶段评价查阅相关设计文件、采购合同；运营管理阶段现场勘查。</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9.2.16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电梯实现轿厢与车站控制室可视对讲</w:t>
      </w:r>
      <w:r>
        <w:rPr>
          <w:rFonts w:ascii="宋体" w:hAnsi="宋体" w:eastAsia="宋体"/>
          <w:sz w:val="24"/>
          <w:szCs w:val="24"/>
        </w:rPr>
        <w:t>，</w:t>
      </w:r>
      <w:r>
        <w:rPr>
          <w:rFonts w:hint="eastAsia" w:ascii="宋体" w:hAnsi="宋体" w:eastAsia="宋体"/>
          <w:sz w:val="24"/>
          <w:szCs w:val="24"/>
        </w:rPr>
        <w:t>让工作人员与乘客通话时同步同故宫视频了解现场情况及乘客情绪，提高运营服务质量</w:t>
      </w:r>
      <w:r>
        <w:rPr>
          <w:rFonts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9.2.17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第1款，车辆基地占地大，场地跨度近千米，为使用自行车出行的员工提供方便的停车场，符合使用者出行习惯。</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第2款，鼓励建设立体式停车设施解决利用土地，提高土地使用效率。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9.2.15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本条明确了车辆基地配建停车场（库）应具备电动汽车充电设施或安装条件。电动汽车停车车位数量至少应达到当地相关规定要求，为各种充电设施（充电桩、充电站等）提供接入条件。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预留条件的充电车位，至少应预留外电源管线、变压器容量、一级配电应预留低压柜安装空间、干线电缆敷设条件，第二级配电应预留区域总箱的安装空间与接入系统位置和配电支路电缆敷设条件，以便按需建设充电设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16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本条的评价方法为：运营管理阶段评价查阅相关规章制度及记录，并现场核实。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17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本条的评价方法为：运营管理阶段评价查阅相关规章制度及记录，并现场核实。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18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本条的评价方法为：运营管理阶段评价查阅相关规章制度及记录，并现场核实。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19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本条的评价方法为：运营管理阶段评价查阅相关规章制度及记录，并现场核实。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20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本条的评价方法为：运营管理阶段评价查阅相关规章制度及记录，并现场核实。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21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本条的评价方法为：运营管理阶段评价查阅相关规章制度及记录，并现场核实。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22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本条的评价方法为：运营管理阶段评价查阅相关规章制度及记录，并现场核实。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9</w:t>
      </w:r>
      <w:r>
        <w:rPr>
          <w:rFonts w:ascii="仿宋" w:hAnsi="仿宋" w:eastAsia="仿宋"/>
          <w:b/>
          <w:sz w:val="24"/>
          <w:szCs w:val="24"/>
        </w:rPr>
        <w:t>.2.</w:t>
      </w:r>
      <w:r>
        <w:rPr>
          <w:rFonts w:hint="eastAsia" w:ascii="仿宋" w:hAnsi="仿宋" w:eastAsia="仿宋"/>
          <w:b/>
          <w:sz w:val="24"/>
          <w:szCs w:val="24"/>
        </w:rPr>
        <w:t xml:space="preserve">23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交通运营管理阶段评价。</w:t>
      </w:r>
    </w:p>
    <w:p>
      <w:pPr>
        <w:adjustRightInd w:val="0"/>
        <w:snapToGrid w:val="0"/>
        <w:spacing w:line="360" w:lineRule="auto"/>
        <w:ind w:firstLine="480" w:firstLineChars="200"/>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sz w:val="24"/>
          <w:szCs w:val="24"/>
        </w:rPr>
        <w:t>本条的评价方法为：运营管理阶段评价查阅相关规章制度及记录，并现场核实。</w:t>
      </w:r>
    </w:p>
    <w:p>
      <w:pPr>
        <w:adjustRightInd w:val="0"/>
        <w:snapToGrid w:val="0"/>
        <w:spacing w:line="360" w:lineRule="auto"/>
        <w:ind w:firstLine="480" w:firstLineChars="200"/>
        <w:rPr>
          <w:rFonts w:ascii="宋体" w:hAnsi="宋体" w:eastAsia="宋体"/>
          <w:sz w:val="24"/>
          <w:szCs w:val="24"/>
        </w:rPr>
      </w:pPr>
    </w:p>
    <w:p>
      <w:pPr>
        <w:pStyle w:val="2"/>
        <w:spacing w:before="624" w:after="624"/>
      </w:pPr>
      <w:bookmarkStart w:id="140" w:name="_Toc60819568"/>
      <w:bookmarkStart w:id="141" w:name="_Toc60822441"/>
      <w:bookmarkStart w:id="142" w:name="_Toc77584264"/>
      <w:bookmarkStart w:id="143" w:name="_Toc60822266"/>
      <w:r>
        <w:rPr>
          <w:rFonts w:hint="eastAsia"/>
        </w:rPr>
        <w:t>10</w:t>
      </w:r>
      <w:r>
        <w:t xml:space="preserve"> </w:t>
      </w:r>
      <w:r>
        <w:rPr>
          <w:rFonts w:hint="eastAsia"/>
        </w:rPr>
        <w:t xml:space="preserve"> </w:t>
      </w:r>
      <w:r>
        <w:t>提高创新</w:t>
      </w:r>
      <w:bookmarkEnd w:id="140"/>
      <w:bookmarkEnd w:id="141"/>
      <w:bookmarkEnd w:id="142"/>
      <w:bookmarkEnd w:id="143"/>
    </w:p>
    <w:p>
      <w:pPr>
        <w:pStyle w:val="3"/>
        <w:spacing w:before="468" w:after="468"/>
      </w:pPr>
      <w:bookmarkStart w:id="144" w:name="_Toc60819569"/>
      <w:bookmarkStart w:id="145" w:name="_Toc60822442"/>
      <w:bookmarkStart w:id="146" w:name="_Toc60822267"/>
      <w:bookmarkStart w:id="147" w:name="_Toc77584265"/>
      <w:r>
        <w:t>10.2</w:t>
      </w:r>
      <w:r>
        <w:rPr>
          <w:rFonts w:hint="eastAsia"/>
        </w:rPr>
        <w:t xml:space="preserve">  </w:t>
      </w:r>
      <w:r>
        <w:t>加分项</w:t>
      </w:r>
      <w:bookmarkEnd w:id="144"/>
      <w:bookmarkEnd w:id="145"/>
      <w:bookmarkEnd w:id="146"/>
      <w:bookmarkEnd w:id="147"/>
    </w:p>
    <w:p>
      <w:pPr>
        <w:spacing w:line="360" w:lineRule="auto"/>
        <w:jc w:val="left"/>
        <w:rPr>
          <w:rFonts w:ascii="宋体" w:hAnsi="宋体" w:eastAsia="宋体"/>
          <w:sz w:val="24"/>
          <w:szCs w:val="24"/>
        </w:rPr>
      </w:pPr>
      <w:r>
        <w:rPr>
          <w:rFonts w:hint="eastAsia" w:ascii="仿宋" w:hAnsi="仿宋" w:eastAsia="仿宋"/>
          <w:b/>
          <w:sz w:val="24"/>
          <w:szCs w:val="24"/>
        </w:rPr>
        <w:t xml:space="preserve">10.2.1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相对于利用天窗时间进行人工巡检的传统运营维护方式，采用</w:t>
      </w:r>
      <w:r>
        <w:rPr>
          <w:rFonts w:ascii="宋体" w:hAnsi="宋体" w:eastAsia="宋体"/>
          <w:sz w:val="24"/>
          <w:szCs w:val="24"/>
        </w:rPr>
        <w:t>在线智能</w:t>
      </w:r>
      <w:r>
        <w:rPr>
          <w:rFonts w:hint="eastAsia" w:ascii="宋体" w:hAnsi="宋体" w:eastAsia="宋体"/>
          <w:sz w:val="24"/>
          <w:szCs w:val="24"/>
        </w:rPr>
        <w:t>设备</w:t>
      </w:r>
      <w:r>
        <w:rPr>
          <w:rFonts w:ascii="宋体" w:hAnsi="宋体" w:eastAsia="宋体"/>
          <w:sz w:val="24"/>
          <w:szCs w:val="24"/>
        </w:rPr>
        <w:t>实时监测轨道动态几何尺寸</w:t>
      </w:r>
      <w:r>
        <w:rPr>
          <w:rFonts w:hint="eastAsia" w:ascii="宋体" w:hAnsi="宋体" w:eastAsia="宋体"/>
          <w:sz w:val="24"/>
          <w:szCs w:val="24"/>
        </w:rPr>
        <w:t>及</w:t>
      </w:r>
      <w:r>
        <w:rPr>
          <w:rFonts w:ascii="宋体" w:hAnsi="宋体" w:eastAsia="宋体"/>
          <w:sz w:val="24"/>
          <w:szCs w:val="24"/>
        </w:rPr>
        <w:t>关键轨道设备</w:t>
      </w:r>
      <w:r>
        <w:rPr>
          <w:rFonts w:hint="eastAsia" w:ascii="宋体" w:hAnsi="宋体" w:eastAsia="宋体"/>
          <w:sz w:val="24"/>
          <w:szCs w:val="24"/>
        </w:rPr>
        <w:t>的</w:t>
      </w:r>
      <w:r>
        <w:rPr>
          <w:rFonts w:ascii="宋体" w:hAnsi="宋体" w:eastAsia="宋体"/>
          <w:sz w:val="24"/>
          <w:szCs w:val="24"/>
        </w:rPr>
        <w:t>服役状态</w:t>
      </w:r>
      <w:r>
        <w:rPr>
          <w:rFonts w:hint="eastAsia" w:ascii="宋体" w:hAnsi="宋体" w:eastAsia="宋体"/>
          <w:sz w:val="24"/>
          <w:szCs w:val="24"/>
        </w:rPr>
        <w:t>，可减少运营维护工作量，提高运营安全储备。</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spacing w:line="360" w:lineRule="auto"/>
        <w:jc w:val="left"/>
        <w:rPr>
          <w:rFonts w:ascii="宋体" w:hAnsi="宋体" w:eastAsia="宋体"/>
          <w:sz w:val="24"/>
          <w:szCs w:val="24"/>
        </w:rPr>
      </w:pPr>
      <w:r>
        <w:rPr>
          <w:rFonts w:hint="eastAsia" w:ascii="仿宋" w:hAnsi="仿宋" w:eastAsia="仿宋"/>
          <w:b/>
          <w:sz w:val="24"/>
          <w:szCs w:val="24"/>
        </w:rPr>
        <w:t xml:space="preserve">10.2.2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相对于传统现浇轨道，</w:t>
      </w:r>
      <w:r>
        <w:rPr>
          <w:rFonts w:ascii="宋体" w:hAnsi="宋体" w:eastAsia="宋体"/>
          <w:sz w:val="24"/>
          <w:szCs w:val="24"/>
        </w:rPr>
        <w:t>预制装配式轨道</w:t>
      </w:r>
      <w:r>
        <w:rPr>
          <w:rFonts w:hint="eastAsia" w:ascii="宋体" w:hAnsi="宋体" w:eastAsia="宋体"/>
          <w:sz w:val="24"/>
          <w:szCs w:val="24"/>
        </w:rPr>
        <w:t>具有环保美观、便于养护维修、施工效率高、平顺性好等特点，符合绿色发展的要求。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spacing w:line="360" w:lineRule="auto"/>
        <w:jc w:val="left"/>
        <w:rPr>
          <w:rFonts w:ascii="宋体" w:hAnsi="宋体" w:eastAsia="宋体"/>
          <w:sz w:val="24"/>
          <w:szCs w:val="24"/>
        </w:rPr>
      </w:pPr>
      <w:r>
        <w:rPr>
          <w:rFonts w:hint="eastAsia" w:ascii="仿宋" w:hAnsi="仿宋" w:eastAsia="仿宋"/>
          <w:b/>
          <w:sz w:val="24"/>
          <w:szCs w:val="24"/>
        </w:rPr>
        <w:t xml:space="preserve">10.2.3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降低和控制杂散电流的危害和影响，提高地铁杂散电流防护设计与防护措施的技术水平。受杂散电流影响大的敏感地段，可采取对轨枕进行绝缘处理、道床下设置耐久性绝缘层、提高扣件的绝缘性能等加强防护措施。</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本条的评价方法为：规划设计阶段评价查阅相关设计文件；运营管理阶段评价查阅相关竣工图，并现场核实。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10.2.4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车站内部</w:t>
      </w:r>
      <w:r>
        <w:rPr>
          <w:rFonts w:ascii="宋体" w:hAnsi="宋体" w:eastAsia="宋体" w:cs="Times New Roman"/>
          <w:sz w:val="24"/>
          <w:szCs w:val="24"/>
        </w:rPr>
        <w:t>富有层次和变化的空间将有效地减轻地下空间的封闭感及单调感。地铁车站空间自身的节奏变化，为乘客带来丰富的空间体验。</w:t>
      </w:r>
      <w:r>
        <w:rPr>
          <w:rFonts w:hint="eastAsia" w:ascii="宋体" w:hAnsi="宋体" w:eastAsia="宋体" w:cs="Times New Roman"/>
          <w:sz w:val="24"/>
          <w:szCs w:val="24"/>
        </w:rPr>
        <w:t>例如结构柱造型设计，大空间减少结构柱，车站中庭空间，引入自然光等处理手法。有其中任意一项，</w:t>
      </w:r>
      <w:r>
        <w:rPr>
          <w:rFonts w:hint="eastAsia" w:ascii="宋体" w:hAnsi="宋体" w:eastAsia="宋体"/>
          <w:sz w:val="24"/>
          <w:szCs w:val="24"/>
        </w:rPr>
        <w:t xml:space="preserve"> 得5分。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本条的评价方法为：设计评价查阅相关设计文件，运营评价查阅相关图纸、运行记录，并现场核实。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10.2.5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城市轨道交通车站作为重要的公共空间，具有展现城市文化内涵，传播正能量的职能。在不影响交通效率的前提下，将车站空间、建筑和装饰风格、色彩等与城市历史文化展陈、公益事业相结合，应予以鼓励。</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没有冷却水补水系统的车站、车辆基地建筑，本条得</w:t>
      </w:r>
      <w:r>
        <w:rPr>
          <w:rFonts w:ascii="宋体" w:hAnsi="宋体" w:eastAsia="宋体"/>
          <w:sz w:val="24"/>
          <w:szCs w:val="24"/>
        </w:rPr>
        <w:t>8</w:t>
      </w:r>
      <w:r>
        <w:rPr>
          <w:rFonts w:hint="eastAsia" w:ascii="宋体" w:hAnsi="宋体" w:eastAsia="宋体"/>
          <w:sz w:val="24"/>
          <w:szCs w:val="24"/>
        </w:rPr>
        <w:t>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使用非传统水源替代自来水</w:t>
      </w:r>
      <w:r>
        <w:rPr>
          <w:rFonts w:hint="eastAsia" w:ascii="宋体" w:hAnsi="宋体" w:eastAsia="宋体"/>
          <w:sz w:val="24"/>
          <w:szCs w:val="24"/>
          <w:lang w:val="en-US" w:eastAsia="zh-CN"/>
        </w:rPr>
        <w:t>作</w:t>
      </w:r>
      <w:r>
        <w:rPr>
          <w:rFonts w:hint="eastAsia" w:ascii="宋体" w:hAnsi="宋体" w:eastAsia="宋体"/>
          <w:sz w:val="24"/>
          <w:szCs w:val="24"/>
        </w:rPr>
        <w:t>为冷却水源时，其水质标准应满足现行国家标准《采暖空调系统水质标准》</w:t>
      </w:r>
      <w:r>
        <w:rPr>
          <w:rFonts w:ascii="宋体" w:hAnsi="宋体" w:eastAsia="宋体"/>
          <w:sz w:val="24"/>
          <w:szCs w:val="24"/>
        </w:rPr>
        <w:t>GB/T29044</w:t>
      </w:r>
      <w:r>
        <w:rPr>
          <w:rFonts w:hint="eastAsia" w:ascii="宋体" w:hAnsi="宋体" w:eastAsia="宋体"/>
          <w:sz w:val="24"/>
          <w:szCs w:val="24"/>
        </w:rPr>
        <w:t>中规定的空调冷却水的水质要求。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条文中的冷却水的补水量以年补水量计，设计阶段冷却塔的年补水量按照国家标准《民用建筑节水设计标准》</w:t>
      </w:r>
      <w:r>
        <w:rPr>
          <w:rFonts w:ascii="宋体" w:hAnsi="宋体" w:eastAsia="宋体"/>
          <w:sz w:val="24"/>
          <w:szCs w:val="24"/>
        </w:rPr>
        <w:t>GB50555</w:t>
      </w:r>
      <w:r>
        <w:rPr>
          <w:rFonts w:hint="eastAsia" w:ascii="宋体" w:hAnsi="宋体" w:eastAsia="宋体"/>
          <w:sz w:val="24"/>
          <w:szCs w:val="24"/>
        </w:rPr>
        <w:t>执行。</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本条的评价方法为：设计阶段查阅相关设计文件、非传统水源利用计算书；运行阶段查阅设计说明、相关竣工图、传统水源利用计算书及统计报告，传统水源水质检查报告，并现场核实。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10.2.7  </w:t>
      </w:r>
      <w:r>
        <w:rPr>
          <w:rFonts w:hint="eastAsia" w:ascii="宋体" w:hAnsi="宋体" w:eastAsia="宋体"/>
          <w:sz w:val="24"/>
          <w:szCs w:val="24"/>
        </w:rPr>
        <w:t>本条适用于绿色轨道交通的规划设计阶段和运营管理阶段评价。</w:t>
      </w:r>
    </w:p>
    <w:p>
      <w:pPr>
        <w:adjustRightInd w:val="0"/>
        <w:snapToGrid w:val="0"/>
        <w:spacing w:line="360" w:lineRule="auto"/>
        <w:ind w:firstLine="470" w:firstLineChars="196"/>
        <w:rPr>
          <w:rFonts w:ascii="宋体" w:hAnsi="宋体" w:eastAsia="宋体"/>
          <w:sz w:val="24"/>
          <w:szCs w:val="24"/>
        </w:rPr>
      </w:pPr>
      <w:r>
        <w:rPr>
          <w:rFonts w:hint="eastAsia" w:ascii="宋体" w:hAnsi="宋体" w:eastAsia="宋体"/>
          <w:sz w:val="24"/>
          <w:szCs w:val="24"/>
        </w:rPr>
        <w:t>对线网层面的智能调控提出了要求。可</w:t>
      </w:r>
      <w:bookmarkStart w:id="148" w:name="_GoBack"/>
      <w:bookmarkEnd w:id="148"/>
      <w:r>
        <w:rPr>
          <w:rFonts w:hint="eastAsia" w:ascii="宋体" w:hAnsi="宋体" w:eastAsia="宋体"/>
          <w:sz w:val="24"/>
          <w:szCs w:val="24"/>
        </w:rPr>
        <w:t>以通过线网级的调控系统对线网内的数据进行采集、分析，对故障情况下各主所、环网的供电能力进行校核，提出系统自愈辅助决策或完成系统自愈控制；可以通过线网层面的系统分析，对系统进行各层级的负荷调整、网络化动态无功平衡自动控制，实现系统的经济及供电质量的趋优运行。</w:t>
      </w:r>
    </w:p>
    <w:p>
      <w:pPr>
        <w:adjustRightInd w:val="0"/>
        <w:snapToGrid w:val="0"/>
        <w:spacing w:line="360" w:lineRule="auto"/>
        <w:ind w:firstLine="470" w:firstLineChars="196"/>
        <w:rPr>
          <w:rFonts w:ascii="宋体" w:hAnsi="宋体" w:eastAsia="宋体"/>
          <w:sz w:val="24"/>
          <w:szCs w:val="24"/>
        </w:rPr>
      </w:pPr>
      <w:r>
        <w:rPr>
          <w:rFonts w:hint="eastAsia" w:ascii="宋体" w:hAnsi="宋体" w:eastAsia="宋体"/>
          <w:sz w:val="24"/>
          <w:szCs w:val="24"/>
        </w:rPr>
        <w:t>本条的评价方法为：规划设计阶段评价查阅相关设计文件（设计说明、施工图设计图纸）；运营管理阶段评价核查竣工图，现场功能测试验证。</w:t>
      </w:r>
    </w:p>
    <w:p>
      <w:pPr>
        <w:spacing w:line="360" w:lineRule="auto"/>
        <w:jc w:val="left"/>
        <w:rPr>
          <w:rFonts w:ascii="宋体" w:hAnsi="宋体" w:eastAsia="宋体"/>
          <w:sz w:val="24"/>
          <w:szCs w:val="24"/>
        </w:rPr>
      </w:pPr>
      <w:r>
        <w:rPr>
          <w:rFonts w:hint="eastAsia" w:ascii="仿宋" w:hAnsi="仿宋" w:eastAsia="仿宋"/>
          <w:b/>
          <w:sz w:val="24"/>
          <w:szCs w:val="24"/>
        </w:rPr>
        <w:t xml:space="preserve">10.2.8  </w:t>
      </w:r>
      <w:r>
        <w:rPr>
          <w:rFonts w:hint="eastAsia" w:ascii="宋体" w:hAnsi="宋体" w:eastAsia="宋体"/>
          <w:sz w:val="24"/>
          <w:szCs w:val="24"/>
        </w:rPr>
        <w:t>本条适用于绿色轨道交通的规划设计阶段和运营管理阶段评价。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强调系统设备选型应选用绿色、环保的设备。</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1款针对目前高压开关柜中普遍采用的绝缘和开断介质六氟化硫气体提出了限制性应用要求。六氟化硫气体作为一种无毒且不可燃气体，由于其较高的介电强度，良好的绝缘性能，稳定的化学特性，普遍应用于气体绝缘金属封闭开关设备中作为绝缘或开断介质。但六氟化硫气体作为温室效应显著的一种惰性气体，在全球变暖的大背景下，受到国际社会的关注，在《京都协议书》中被列为需减排的六大温室效应气体之一。目前电力行业中各大主流生产商都在积极开展六氟化硫气体的替代产品。</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本条第2款针对110kV变压器的环境友好绝缘材料提出要求。</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植物绝缘油具有安全、环保无污染、可再生、可延长变压器寿命、闪点高、防火性能好等绿色环保特征，目前已有高电压等级的植物油变研制成功并投运。干式变压器具有明显的环保性能和用电安全特性，目前已有110kV级的干式变压器面世。</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本条第3款鼓励使用其他的绿色、环保供配电产品。</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本条的评价方法为：规划设计阶段评价查阅相关设计文件（设计说明、施工图设计图纸）。运营管理阶段评价查阅验收记录。</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根据客流预测结果及相关数据，实现行车列车运行计划动态调整。一方面，可以根据客流变化，采用增加发车密度的方法缓解客流压力；另一方面，也可以根据客流变化，在保证服务水平的前提下，通过减少列车走行公里数、减少列车停站时间等途径，实现节能。</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（包括设计说明书、设计图纸、设计阶段提资料工作联系单、设计接口文件等）、</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除了避免列车之间的碰撞，对行车线路上的其他障碍物进行准确快速的识别，同样是保障行车安全的关键。</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（包括设计说明书、设计图纸、设计阶段提资料工作联系单、设计接口文件等）、</w:t>
      </w:r>
      <w:r>
        <w:rPr>
          <w:rFonts w:ascii="宋体" w:hAnsi="宋体" w:eastAsia="宋体"/>
          <w:sz w:val="24"/>
          <w:szCs w:val="24"/>
        </w:rPr>
        <w:t>采购合同；运营管理阶段评价查阅相关采购合同、并现场核实。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10.2.11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（包括设计说明书、设计图纸、设计阶段提资料工作联系单、设计接口文件等）、</w:t>
      </w:r>
      <w:r>
        <w:rPr>
          <w:rFonts w:ascii="宋体" w:hAnsi="宋体" w:eastAsia="宋体"/>
          <w:sz w:val="24"/>
          <w:szCs w:val="24"/>
        </w:rPr>
        <w:t>采购合同；运营管理阶段评价查阅相关采购合同、并现场核实。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10.2.12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10.2.13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轨道</w:t>
      </w:r>
      <w:r>
        <w:rPr>
          <w:rFonts w:ascii="宋体" w:hAnsi="宋体" w:eastAsia="宋体"/>
          <w:sz w:val="24"/>
          <w:szCs w:val="24"/>
        </w:rPr>
        <w:t>交通</w:t>
      </w:r>
      <w:r>
        <w:rPr>
          <w:rFonts w:hint="eastAsia" w:ascii="宋体" w:hAnsi="宋体" w:eastAsia="宋体"/>
          <w:sz w:val="24"/>
          <w:szCs w:val="24"/>
        </w:rPr>
        <w:t>车站公共区通风空调系统(大系统)在正常运营时为乘客提供过渡性舒适环境，过高的室内外温差不仅不利于节能，也不利于乘客健康，综合监控系统具备根据室外气象参数自动优化空调系统公共区温度设定值，并可在</w:t>
      </w:r>
      <w:r>
        <w:rPr>
          <w:rFonts w:ascii="宋体" w:hAnsi="宋体" w:eastAsia="宋体"/>
          <w:sz w:val="24"/>
          <w:szCs w:val="24"/>
        </w:rPr>
        <w:t>控制中心</w:t>
      </w:r>
      <w:r>
        <w:rPr>
          <w:rFonts w:hint="eastAsia" w:ascii="宋体" w:hAnsi="宋体" w:eastAsia="宋体"/>
          <w:sz w:val="24"/>
          <w:szCs w:val="24"/>
        </w:rPr>
        <w:t>及车控室预设公共区温度值的功能是十分必要的。</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10.2.14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10.2.15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自动扶梯设置电压突降穿越及保护装置可在既定条件下避免电压突降引起停梯，提高自动扶梯可用性及运营服务质量</w:t>
      </w:r>
      <w:r>
        <w:rPr>
          <w:rFonts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本条的评价方法为：规划设计阶段评价查阅相关设计文件、采购合同；运营管理阶段评价查阅相关采购合同，并现场核实。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10.2.16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对站台门系统的关键部件（如DCU、皮带、电机、门锁等）设置感知</w:t>
      </w:r>
      <w:r>
        <w:rPr>
          <w:rFonts w:ascii="宋体" w:hAnsi="宋体" w:eastAsia="宋体"/>
          <w:sz w:val="24"/>
          <w:szCs w:val="24"/>
        </w:rPr>
        <w:t>元件</w:t>
      </w:r>
      <w:r>
        <w:rPr>
          <w:rFonts w:hint="eastAsia" w:ascii="宋体" w:hAnsi="宋体" w:eastAsia="宋体"/>
          <w:sz w:val="24"/>
          <w:szCs w:val="24"/>
        </w:rPr>
        <w:t>，</w:t>
      </w:r>
      <w:r>
        <w:rPr>
          <w:rFonts w:ascii="宋体" w:hAnsi="宋体" w:eastAsia="宋体"/>
          <w:sz w:val="24"/>
          <w:szCs w:val="24"/>
        </w:rPr>
        <w:t>实现对关键部件的在线监测及预警</w:t>
      </w:r>
      <w:r>
        <w:rPr>
          <w:rFonts w:hint="eastAsia" w:ascii="宋体" w:hAnsi="宋体" w:eastAsia="宋体"/>
          <w:sz w:val="24"/>
          <w:szCs w:val="24"/>
        </w:rPr>
        <w:t>，</w:t>
      </w:r>
      <w:r>
        <w:rPr>
          <w:rFonts w:ascii="宋体" w:hAnsi="宋体" w:eastAsia="宋体"/>
          <w:sz w:val="24"/>
          <w:szCs w:val="24"/>
        </w:rPr>
        <w:t>有利于提高设备可靠性</w:t>
      </w:r>
      <w:r>
        <w:rPr>
          <w:rFonts w:hint="eastAsia" w:ascii="宋体" w:hAnsi="宋体" w:eastAsia="宋体"/>
          <w:sz w:val="24"/>
          <w:szCs w:val="24"/>
        </w:rPr>
        <w:t>、</w:t>
      </w:r>
      <w:r>
        <w:rPr>
          <w:rFonts w:ascii="宋体" w:hAnsi="宋体" w:eastAsia="宋体"/>
          <w:sz w:val="24"/>
          <w:szCs w:val="24"/>
        </w:rPr>
        <w:t>可用性</w:t>
      </w:r>
      <w:r>
        <w:rPr>
          <w:rFonts w:hint="eastAsia" w:ascii="宋体" w:hAnsi="宋体" w:eastAsia="宋体"/>
          <w:sz w:val="24"/>
          <w:szCs w:val="24"/>
        </w:rPr>
        <w:t>、</w:t>
      </w:r>
      <w:r>
        <w:rPr>
          <w:rFonts w:ascii="宋体" w:hAnsi="宋体" w:eastAsia="宋体"/>
          <w:sz w:val="24"/>
          <w:szCs w:val="24"/>
        </w:rPr>
        <w:t>安全性</w:t>
      </w:r>
      <w:r>
        <w:rPr>
          <w:rFonts w:hint="eastAsia" w:ascii="宋体" w:hAnsi="宋体" w:eastAsia="宋体"/>
          <w:sz w:val="24"/>
          <w:szCs w:val="24"/>
        </w:rPr>
        <w:t>，</w:t>
      </w:r>
      <w:r>
        <w:rPr>
          <w:rFonts w:ascii="宋体" w:hAnsi="宋体" w:eastAsia="宋体"/>
          <w:sz w:val="24"/>
          <w:szCs w:val="24"/>
        </w:rPr>
        <w:t>降低全寿命周期运营成本</w:t>
      </w:r>
      <w:r>
        <w:rPr>
          <w:rFonts w:hint="eastAsia" w:ascii="宋体" w:hAnsi="宋体" w:eastAsia="宋体"/>
          <w:sz w:val="24"/>
          <w:szCs w:val="24"/>
        </w:rPr>
        <w:t>，</w:t>
      </w:r>
      <w:r>
        <w:rPr>
          <w:rFonts w:ascii="宋体" w:hAnsi="宋体" w:eastAsia="宋体"/>
          <w:sz w:val="24"/>
          <w:szCs w:val="24"/>
        </w:rPr>
        <w:t>并最终提高服务水平</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本条的评价方法为：规划设计阶段评价查阅相关设计文件、采购合同；运营管理阶段现场勘查。</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10.2.17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10.2.18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10.2.19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rPr>
          <w:rFonts w:ascii="宋体" w:hAnsi="宋体" w:eastAsia="宋体"/>
          <w:sz w:val="24"/>
          <w:szCs w:val="24"/>
        </w:rPr>
      </w:pPr>
      <w:r>
        <w:rPr>
          <w:rFonts w:hint="eastAsia" w:ascii="仿宋" w:hAnsi="仿宋" w:eastAsia="仿宋"/>
          <w:b/>
          <w:sz w:val="24"/>
          <w:szCs w:val="24"/>
        </w:rPr>
        <w:t xml:space="preserve">10.2.20  </w:t>
      </w:r>
      <w:r>
        <w:rPr>
          <w:rFonts w:ascii="宋体" w:hAnsi="宋体" w:eastAsia="宋体"/>
          <w:sz w:val="24"/>
          <w:szCs w:val="24"/>
        </w:rPr>
        <w:t>本条适用于绿色</w:t>
      </w:r>
      <w:r>
        <w:rPr>
          <w:rFonts w:hint="eastAsia" w:ascii="宋体" w:hAnsi="宋体" w:eastAsia="宋体"/>
          <w:sz w:val="24"/>
          <w:szCs w:val="24"/>
        </w:rPr>
        <w:t>轨道</w:t>
      </w:r>
      <w:r>
        <w:rPr>
          <w:rFonts w:ascii="宋体" w:hAnsi="宋体" w:eastAsia="宋体"/>
          <w:sz w:val="24"/>
          <w:szCs w:val="24"/>
        </w:rPr>
        <w:t>交通的规划设计阶段和运营管理阶段评价。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采取其他创新的技术措施，应具有相关的鉴定、评审或应用，并经过评价专家的同意。</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本条的评价方法为：规划设计阶段评价查阅相关设计文件</w:t>
      </w:r>
      <w:r>
        <w:rPr>
          <w:rFonts w:hint="eastAsia" w:ascii="宋体" w:hAnsi="宋体" w:eastAsia="宋体"/>
          <w:sz w:val="24"/>
          <w:szCs w:val="24"/>
        </w:rPr>
        <w:t>、</w:t>
      </w:r>
      <w:r>
        <w:rPr>
          <w:rFonts w:ascii="宋体" w:hAnsi="宋体" w:eastAsia="宋体"/>
          <w:sz w:val="24"/>
          <w:szCs w:val="24"/>
        </w:rPr>
        <w:t>采购合同；运营管理阶段评价查阅相关采购合同</w:t>
      </w:r>
      <w:r>
        <w:rPr>
          <w:rFonts w:hint="eastAsia" w:ascii="宋体" w:hAnsi="宋体" w:eastAsia="宋体"/>
          <w:sz w:val="24"/>
          <w:szCs w:val="24"/>
        </w:rPr>
        <w:t>，</w:t>
      </w:r>
      <w:r>
        <w:rPr>
          <w:rFonts w:ascii="宋体" w:hAnsi="宋体" w:eastAsia="宋体"/>
          <w:sz w:val="24"/>
          <w:szCs w:val="24"/>
        </w:rPr>
        <w:t>并现场核实。</w:t>
      </w: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ˎ̥">
    <w:altName w:val="Times New Roman"/>
    <w:panose1 w:val="00000000000000000000"/>
    <w:charset w:val="00"/>
    <w:family w:val="roman"/>
    <w:pitch w:val="default"/>
    <w:sig w:usb0="00000000" w:usb1="00000000" w:usb2="00000000" w:usb3="00000000" w:csb0="00040001" w:csb1="00000000"/>
  </w:font>
  <w:font w:name="cms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262526"/>
      <w:docPartObj>
        <w:docPartGallery w:val="autotext"/>
      </w:docPartObj>
    </w:sdtPr>
    <w:sdtContent>
      <w:p>
        <w:pPr>
          <w:pStyle w:val="9"/>
          <w:jc w:val="right"/>
        </w:pPr>
        <w:r>
          <w:fldChar w:fldCharType="begin"/>
        </w:r>
        <w:r>
          <w:instrText xml:space="preserve">PAGE   \* MERGEFORMAT</w:instrText>
        </w:r>
        <w:r>
          <w:fldChar w:fldCharType="separate"/>
        </w:r>
        <w:r>
          <w:rPr>
            <w:lang w:val="zh-CN"/>
          </w:rPr>
          <w:t>1</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4063008"/>
      <w:docPartObj>
        <w:docPartGallery w:val="autotext"/>
      </w:docPartObj>
    </w:sdtPr>
    <w:sdtContent>
      <w:p>
        <w:pPr>
          <w:pStyle w:val="9"/>
        </w:pPr>
        <w:r>
          <w:fldChar w:fldCharType="begin"/>
        </w:r>
        <w:r>
          <w:instrText xml:space="preserve">PAGE   \* MERGEFORMAT</w:instrText>
        </w:r>
        <w:r>
          <w:fldChar w:fldCharType="separate"/>
        </w:r>
        <w:r>
          <w:rPr>
            <w:lang w:val="zh-CN"/>
          </w:rPr>
          <w:t>50</w:t>
        </w:r>
        <w:r>
          <w:rPr>
            <w:lang w:val="zh-CN"/>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773753"/>
      <w:docPartObj>
        <w:docPartGallery w:val="autotext"/>
      </w:docPartObj>
    </w:sdtPr>
    <w:sdtContent>
      <w:p>
        <w:pPr>
          <w:pStyle w:val="9"/>
          <w:jc w:val="right"/>
        </w:pPr>
        <w:r>
          <w:fldChar w:fldCharType="begin"/>
        </w:r>
        <w:r>
          <w:instrText xml:space="preserve">PAGE   \* MERGEFORMAT</w:instrText>
        </w:r>
        <w:r>
          <w:fldChar w:fldCharType="separate"/>
        </w:r>
        <w:r>
          <w:rPr>
            <w:lang w:val="zh-CN"/>
          </w:rPr>
          <w:t>3</w:t>
        </w:r>
        <w:r>
          <w:rPr>
            <w:lang w:val="zh-CN"/>
          </w:rP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055480"/>
      <w:docPartObj>
        <w:docPartGallery w:val="autotext"/>
      </w:docPartObj>
    </w:sdtPr>
    <w:sdtContent>
      <w:p>
        <w:pPr>
          <w:pStyle w:val="9"/>
          <w:jc w:val="right"/>
        </w:pPr>
        <w:r>
          <w:fldChar w:fldCharType="begin"/>
        </w:r>
        <w:r>
          <w:instrText xml:space="preserve">PAGE   \* MERGEFORMAT</w:instrText>
        </w:r>
        <w:r>
          <w:fldChar w:fldCharType="separate"/>
        </w:r>
        <w:r>
          <w:rPr>
            <w:lang w:val="zh-CN"/>
          </w:rPr>
          <w:t>51</w:t>
        </w:r>
        <w:r>
          <w:rPr>
            <w:lang w:val="zh-CN"/>
          </w:rPr>
          <w:fldChar w:fldCharType="end"/>
        </w:r>
      </w:p>
    </w:sdtContent>
  </w:sdt>
  <w:p>
    <w:pPr>
      <w:pStyle w:val="9"/>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xNjY1YWU0Y2M4ZDU0NmZmMGY0ZDRhZTU4ZmUyNmEifQ=="/>
  </w:docVars>
  <w:rsids>
    <w:rsidRoot w:val="0022557A"/>
    <w:rsid w:val="000005DC"/>
    <w:rsid w:val="000006AE"/>
    <w:rsid w:val="00000C8A"/>
    <w:rsid w:val="0000420B"/>
    <w:rsid w:val="00004D62"/>
    <w:rsid w:val="00004E01"/>
    <w:rsid w:val="00006ABF"/>
    <w:rsid w:val="00007907"/>
    <w:rsid w:val="00011B8C"/>
    <w:rsid w:val="00013341"/>
    <w:rsid w:val="00014AB7"/>
    <w:rsid w:val="00015185"/>
    <w:rsid w:val="000156A7"/>
    <w:rsid w:val="0001643B"/>
    <w:rsid w:val="000178F4"/>
    <w:rsid w:val="0002035C"/>
    <w:rsid w:val="0002077E"/>
    <w:rsid w:val="0002190E"/>
    <w:rsid w:val="00021DE3"/>
    <w:rsid w:val="0002200C"/>
    <w:rsid w:val="0002220A"/>
    <w:rsid w:val="00022CD6"/>
    <w:rsid w:val="000231A3"/>
    <w:rsid w:val="0002325F"/>
    <w:rsid w:val="000247D8"/>
    <w:rsid w:val="00024E24"/>
    <w:rsid w:val="00025839"/>
    <w:rsid w:val="00025B7C"/>
    <w:rsid w:val="00025BC6"/>
    <w:rsid w:val="00030533"/>
    <w:rsid w:val="0003146A"/>
    <w:rsid w:val="00032A66"/>
    <w:rsid w:val="000340D2"/>
    <w:rsid w:val="000341D3"/>
    <w:rsid w:val="00034573"/>
    <w:rsid w:val="00035238"/>
    <w:rsid w:val="0003600C"/>
    <w:rsid w:val="00036652"/>
    <w:rsid w:val="00037004"/>
    <w:rsid w:val="00042421"/>
    <w:rsid w:val="0004326C"/>
    <w:rsid w:val="000466EE"/>
    <w:rsid w:val="00046990"/>
    <w:rsid w:val="000469F7"/>
    <w:rsid w:val="00047C82"/>
    <w:rsid w:val="00047F71"/>
    <w:rsid w:val="00050D4A"/>
    <w:rsid w:val="00053745"/>
    <w:rsid w:val="000538CC"/>
    <w:rsid w:val="00054EA5"/>
    <w:rsid w:val="0005647E"/>
    <w:rsid w:val="00057811"/>
    <w:rsid w:val="0005790C"/>
    <w:rsid w:val="00057C13"/>
    <w:rsid w:val="000604E8"/>
    <w:rsid w:val="00062B64"/>
    <w:rsid w:val="000655DD"/>
    <w:rsid w:val="000669B1"/>
    <w:rsid w:val="0007063C"/>
    <w:rsid w:val="000706AB"/>
    <w:rsid w:val="000710FB"/>
    <w:rsid w:val="000741EB"/>
    <w:rsid w:val="00074938"/>
    <w:rsid w:val="0008037C"/>
    <w:rsid w:val="00081815"/>
    <w:rsid w:val="0008229E"/>
    <w:rsid w:val="00083706"/>
    <w:rsid w:val="0008566D"/>
    <w:rsid w:val="00085B16"/>
    <w:rsid w:val="00085D44"/>
    <w:rsid w:val="00087AC8"/>
    <w:rsid w:val="00087FE1"/>
    <w:rsid w:val="0009008C"/>
    <w:rsid w:val="0009083E"/>
    <w:rsid w:val="00091D3F"/>
    <w:rsid w:val="00093691"/>
    <w:rsid w:val="000941EE"/>
    <w:rsid w:val="000951BF"/>
    <w:rsid w:val="00095F8C"/>
    <w:rsid w:val="0009620D"/>
    <w:rsid w:val="00097D20"/>
    <w:rsid w:val="000A0B12"/>
    <w:rsid w:val="000A28BF"/>
    <w:rsid w:val="000A3161"/>
    <w:rsid w:val="000A37BD"/>
    <w:rsid w:val="000A7818"/>
    <w:rsid w:val="000B24E8"/>
    <w:rsid w:val="000B3364"/>
    <w:rsid w:val="000B690B"/>
    <w:rsid w:val="000B6CBD"/>
    <w:rsid w:val="000B707D"/>
    <w:rsid w:val="000B714A"/>
    <w:rsid w:val="000C02C1"/>
    <w:rsid w:val="000C1CBD"/>
    <w:rsid w:val="000C22EA"/>
    <w:rsid w:val="000C24CA"/>
    <w:rsid w:val="000C3956"/>
    <w:rsid w:val="000C4D49"/>
    <w:rsid w:val="000C509B"/>
    <w:rsid w:val="000C636F"/>
    <w:rsid w:val="000C6636"/>
    <w:rsid w:val="000C76B1"/>
    <w:rsid w:val="000C774A"/>
    <w:rsid w:val="000C7A48"/>
    <w:rsid w:val="000D06AE"/>
    <w:rsid w:val="000D0BFE"/>
    <w:rsid w:val="000D1450"/>
    <w:rsid w:val="000D26A3"/>
    <w:rsid w:val="000D2962"/>
    <w:rsid w:val="000D643E"/>
    <w:rsid w:val="000D658C"/>
    <w:rsid w:val="000D7C6A"/>
    <w:rsid w:val="000E01F4"/>
    <w:rsid w:val="000E0715"/>
    <w:rsid w:val="000E10B9"/>
    <w:rsid w:val="000E1D2A"/>
    <w:rsid w:val="000E1F8F"/>
    <w:rsid w:val="000E22A3"/>
    <w:rsid w:val="000E29BD"/>
    <w:rsid w:val="000E3FCE"/>
    <w:rsid w:val="000E4830"/>
    <w:rsid w:val="000E56BA"/>
    <w:rsid w:val="000F1833"/>
    <w:rsid w:val="000F2B44"/>
    <w:rsid w:val="000F326F"/>
    <w:rsid w:val="000F641B"/>
    <w:rsid w:val="000F6D0D"/>
    <w:rsid w:val="000F758F"/>
    <w:rsid w:val="000F75FD"/>
    <w:rsid w:val="001016CF"/>
    <w:rsid w:val="00102E86"/>
    <w:rsid w:val="00103EB4"/>
    <w:rsid w:val="0010403F"/>
    <w:rsid w:val="0010430A"/>
    <w:rsid w:val="001046E2"/>
    <w:rsid w:val="00107D7A"/>
    <w:rsid w:val="001118D8"/>
    <w:rsid w:val="0011362C"/>
    <w:rsid w:val="0011419F"/>
    <w:rsid w:val="0011446A"/>
    <w:rsid w:val="00115D2C"/>
    <w:rsid w:val="00116384"/>
    <w:rsid w:val="00117614"/>
    <w:rsid w:val="001177FF"/>
    <w:rsid w:val="00122CA4"/>
    <w:rsid w:val="00124928"/>
    <w:rsid w:val="0012549A"/>
    <w:rsid w:val="00125B0F"/>
    <w:rsid w:val="001266B0"/>
    <w:rsid w:val="001275C4"/>
    <w:rsid w:val="00130598"/>
    <w:rsid w:val="00137BE8"/>
    <w:rsid w:val="001406DF"/>
    <w:rsid w:val="001411CE"/>
    <w:rsid w:val="00141C0E"/>
    <w:rsid w:val="00142316"/>
    <w:rsid w:val="001466A5"/>
    <w:rsid w:val="0015069F"/>
    <w:rsid w:val="00150A79"/>
    <w:rsid w:val="00154679"/>
    <w:rsid w:val="00154F04"/>
    <w:rsid w:val="00160BC9"/>
    <w:rsid w:val="00163342"/>
    <w:rsid w:val="001633B4"/>
    <w:rsid w:val="00163BC2"/>
    <w:rsid w:val="0016419E"/>
    <w:rsid w:val="00164C9E"/>
    <w:rsid w:val="0016558B"/>
    <w:rsid w:val="00165ED0"/>
    <w:rsid w:val="001672EF"/>
    <w:rsid w:val="00171097"/>
    <w:rsid w:val="00171109"/>
    <w:rsid w:val="00174744"/>
    <w:rsid w:val="00174CE9"/>
    <w:rsid w:val="00175F31"/>
    <w:rsid w:val="0018238C"/>
    <w:rsid w:val="0018304A"/>
    <w:rsid w:val="00183A6F"/>
    <w:rsid w:val="00183C34"/>
    <w:rsid w:val="00185162"/>
    <w:rsid w:val="00185B41"/>
    <w:rsid w:val="00186D66"/>
    <w:rsid w:val="0019091D"/>
    <w:rsid w:val="00190D0B"/>
    <w:rsid w:val="00191B5E"/>
    <w:rsid w:val="00191DB2"/>
    <w:rsid w:val="001923D2"/>
    <w:rsid w:val="00192B6F"/>
    <w:rsid w:val="00192F44"/>
    <w:rsid w:val="00193D93"/>
    <w:rsid w:val="00194101"/>
    <w:rsid w:val="00194B3E"/>
    <w:rsid w:val="001A14DA"/>
    <w:rsid w:val="001A1D96"/>
    <w:rsid w:val="001A4053"/>
    <w:rsid w:val="001A4499"/>
    <w:rsid w:val="001A6498"/>
    <w:rsid w:val="001A69B5"/>
    <w:rsid w:val="001B0075"/>
    <w:rsid w:val="001B1CD9"/>
    <w:rsid w:val="001B26D2"/>
    <w:rsid w:val="001B282B"/>
    <w:rsid w:val="001B6834"/>
    <w:rsid w:val="001B7263"/>
    <w:rsid w:val="001B7432"/>
    <w:rsid w:val="001C544D"/>
    <w:rsid w:val="001C57BD"/>
    <w:rsid w:val="001D15EC"/>
    <w:rsid w:val="001D1D67"/>
    <w:rsid w:val="001D3720"/>
    <w:rsid w:val="001D501D"/>
    <w:rsid w:val="001E01D9"/>
    <w:rsid w:val="001E03B2"/>
    <w:rsid w:val="001E0E87"/>
    <w:rsid w:val="001E1241"/>
    <w:rsid w:val="001E1F3A"/>
    <w:rsid w:val="001E228C"/>
    <w:rsid w:val="001E3576"/>
    <w:rsid w:val="001E36DB"/>
    <w:rsid w:val="001E57BA"/>
    <w:rsid w:val="001F08D8"/>
    <w:rsid w:val="001F264E"/>
    <w:rsid w:val="001F3704"/>
    <w:rsid w:val="001F45B5"/>
    <w:rsid w:val="001F586E"/>
    <w:rsid w:val="001F682B"/>
    <w:rsid w:val="001F6C70"/>
    <w:rsid w:val="001F712B"/>
    <w:rsid w:val="001F7330"/>
    <w:rsid w:val="001F746A"/>
    <w:rsid w:val="001F7508"/>
    <w:rsid w:val="00200A7D"/>
    <w:rsid w:val="00202015"/>
    <w:rsid w:val="00203433"/>
    <w:rsid w:val="0020434D"/>
    <w:rsid w:val="00204F27"/>
    <w:rsid w:val="0020574F"/>
    <w:rsid w:val="002070EC"/>
    <w:rsid w:val="00207ED9"/>
    <w:rsid w:val="00210143"/>
    <w:rsid w:val="00210199"/>
    <w:rsid w:val="00210A73"/>
    <w:rsid w:val="00211DD0"/>
    <w:rsid w:val="00212008"/>
    <w:rsid w:val="00212BB3"/>
    <w:rsid w:val="0021533C"/>
    <w:rsid w:val="00217E9B"/>
    <w:rsid w:val="00220240"/>
    <w:rsid w:val="002227E6"/>
    <w:rsid w:val="00222C86"/>
    <w:rsid w:val="00223A52"/>
    <w:rsid w:val="002251B6"/>
    <w:rsid w:val="0022557A"/>
    <w:rsid w:val="00225A7C"/>
    <w:rsid w:val="00225C19"/>
    <w:rsid w:val="00226A3B"/>
    <w:rsid w:val="0023079E"/>
    <w:rsid w:val="00232B28"/>
    <w:rsid w:val="00232FD2"/>
    <w:rsid w:val="00234512"/>
    <w:rsid w:val="00237ACE"/>
    <w:rsid w:val="00240096"/>
    <w:rsid w:val="002412EE"/>
    <w:rsid w:val="002435E8"/>
    <w:rsid w:val="002452C2"/>
    <w:rsid w:val="0024550C"/>
    <w:rsid w:val="00245A85"/>
    <w:rsid w:val="00245BB2"/>
    <w:rsid w:val="00246DA2"/>
    <w:rsid w:val="00247578"/>
    <w:rsid w:val="002477C2"/>
    <w:rsid w:val="002520DE"/>
    <w:rsid w:val="00252649"/>
    <w:rsid w:val="00255688"/>
    <w:rsid w:val="002564E2"/>
    <w:rsid w:val="00257A0C"/>
    <w:rsid w:val="00257B36"/>
    <w:rsid w:val="00257BFB"/>
    <w:rsid w:val="0026048B"/>
    <w:rsid w:val="00262653"/>
    <w:rsid w:val="00262794"/>
    <w:rsid w:val="0026309D"/>
    <w:rsid w:val="002665AD"/>
    <w:rsid w:val="0026690F"/>
    <w:rsid w:val="00267B1D"/>
    <w:rsid w:val="0027064A"/>
    <w:rsid w:val="00271D31"/>
    <w:rsid w:val="00272273"/>
    <w:rsid w:val="00272289"/>
    <w:rsid w:val="00272337"/>
    <w:rsid w:val="002725B6"/>
    <w:rsid w:val="00272EFE"/>
    <w:rsid w:val="002749B1"/>
    <w:rsid w:val="00274C92"/>
    <w:rsid w:val="00276045"/>
    <w:rsid w:val="00277AB2"/>
    <w:rsid w:val="0028142A"/>
    <w:rsid w:val="00284DA2"/>
    <w:rsid w:val="00285811"/>
    <w:rsid w:val="00285961"/>
    <w:rsid w:val="00286503"/>
    <w:rsid w:val="00291695"/>
    <w:rsid w:val="00291C20"/>
    <w:rsid w:val="002965E1"/>
    <w:rsid w:val="002A1558"/>
    <w:rsid w:val="002A1969"/>
    <w:rsid w:val="002A28FC"/>
    <w:rsid w:val="002A30E5"/>
    <w:rsid w:val="002A3687"/>
    <w:rsid w:val="002A58C6"/>
    <w:rsid w:val="002B0403"/>
    <w:rsid w:val="002B2D1C"/>
    <w:rsid w:val="002B51E8"/>
    <w:rsid w:val="002B53EA"/>
    <w:rsid w:val="002B7608"/>
    <w:rsid w:val="002B783E"/>
    <w:rsid w:val="002C06BF"/>
    <w:rsid w:val="002C2352"/>
    <w:rsid w:val="002C2CEC"/>
    <w:rsid w:val="002C4B21"/>
    <w:rsid w:val="002C4CCE"/>
    <w:rsid w:val="002C59C7"/>
    <w:rsid w:val="002C6EFA"/>
    <w:rsid w:val="002C7CC8"/>
    <w:rsid w:val="002C7E6A"/>
    <w:rsid w:val="002D2AF0"/>
    <w:rsid w:val="002D47BB"/>
    <w:rsid w:val="002D5FC2"/>
    <w:rsid w:val="002E35F5"/>
    <w:rsid w:val="002E4599"/>
    <w:rsid w:val="002E4909"/>
    <w:rsid w:val="002E4B07"/>
    <w:rsid w:val="002E4C20"/>
    <w:rsid w:val="002E56AB"/>
    <w:rsid w:val="002E588A"/>
    <w:rsid w:val="002E6A24"/>
    <w:rsid w:val="002E706E"/>
    <w:rsid w:val="002E755F"/>
    <w:rsid w:val="002E7662"/>
    <w:rsid w:val="002F14FF"/>
    <w:rsid w:val="002F21F2"/>
    <w:rsid w:val="002F2864"/>
    <w:rsid w:val="002F49C2"/>
    <w:rsid w:val="002F68CE"/>
    <w:rsid w:val="00302CAE"/>
    <w:rsid w:val="00303DAF"/>
    <w:rsid w:val="00304F17"/>
    <w:rsid w:val="00305247"/>
    <w:rsid w:val="00307355"/>
    <w:rsid w:val="003079FF"/>
    <w:rsid w:val="00307B30"/>
    <w:rsid w:val="00310B6B"/>
    <w:rsid w:val="00311771"/>
    <w:rsid w:val="00311A13"/>
    <w:rsid w:val="003163EE"/>
    <w:rsid w:val="00316D0E"/>
    <w:rsid w:val="00321013"/>
    <w:rsid w:val="003210AB"/>
    <w:rsid w:val="00321564"/>
    <w:rsid w:val="00322577"/>
    <w:rsid w:val="00322B59"/>
    <w:rsid w:val="00323DFE"/>
    <w:rsid w:val="0032478F"/>
    <w:rsid w:val="00324F23"/>
    <w:rsid w:val="003250D7"/>
    <w:rsid w:val="0032553F"/>
    <w:rsid w:val="003261FA"/>
    <w:rsid w:val="003264BC"/>
    <w:rsid w:val="0032746C"/>
    <w:rsid w:val="003277DB"/>
    <w:rsid w:val="0033012B"/>
    <w:rsid w:val="003312DE"/>
    <w:rsid w:val="003318D9"/>
    <w:rsid w:val="00331B9F"/>
    <w:rsid w:val="0033217A"/>
    <w:rsid w:val="003329A6"/>
    <w:rsid w:val="00335B42"/>
    <w:rsid w:val="00336812"/>
    <w:rsid w:val="00337A28"/>
    <w:rsid w:val="00337F9E"/>
    <w:rsid w:val="003401A6"/>
    <w:rsid w:val="00340C57"/>
    <w:rsid w:val="00340CA3"/>
    <w:rsid w:val="00343905"/>
    <w:rsid w:val="003439E3"/>
    <w:rsid w:val="00344560"/>
    <w:rsid w:val="003456BC"/>
    <w:rsid w:val="00346765"/>
    <w:rsid w:val="003468C5"/>
    <w:rsid w:val="00346BED"/>
    <w:rsid w:val="00353119"/>
    <w:rsid w:val="003532D9"/>
    <w:rsid w:val="00353F25"/>
    <w:rsid w:val="003558B6"/>
    <w:rsid w:val="00355A7C"/>
    <w:rsid w:val="00355C57"/>
    <w:rsid w:val="003567C8"/>
    <w:rsid w:val="0035756E"/>
    <w:rsid w:val="00357C2E"/>
    <w:rsid w:val="003603DC"/>
    <w:rsid w:val="0036052E"/>
    <w:rsid w:val="00360A1A"/>
    <w:rsid w:val="00361422"/>
    <w:rsid w:val="0036161C"/>
    <w:rsid w:val="00364B70"/>
    <w:rsid w:val="00364C12"/>
    <w:rsid w:val="00371453"/>
    <w:rsid w:val="00372239"/>
    <w:rsid w:val="003760D5"/>
    <w:rsid w:val="0038214E"/>
    <w:rsid w:val="003825C3"/>
    <w:rsid w:val="0038299E"/>
    <w:rsid w:val="00382B1B"/>
    <w:rsid w:val="003856C9"/>
    <w:rsid w:val="00386310"/>
    <w:rsid w:val="00386657"/>
    <w:rsid w:val="00390C97"/>
    <w:rsid w:val="00391088"/>
    <w:rsid w:val="00391393"/>
    <w:rsid w:val="00391B77"/>
    <w:rsid w:val="00391D70"/>
    <w:rsid w:val="003930DC"/>
    <w:rsid w:val="00393360"/>
    <w:rsid w:val="003938BF"/>
    <w:rsid w:val="00395936"/>
    <w:rsid w:val="003A1949"/>
    <w:rsid w:val="003A2188"/>
    <w:rsid w:val="003A2F11"/>
    <w:rsid w:val="003A30F6"/>
    <w:rsid w:val="003A6092"/>
    <w:rsid w:val="003A6BFB"/>
    <w:rsid w:val="003B0A08"/>
    <w:rsid w:val="003B1500"/>
    <w:rsid w:val="003B36AD"/>
    <w:rsid w:val="003B3CA2"/>
    <w:rsid w:val="003B4886"/>
    <w:rsid w:val="003B4A85"/>
    <w:rsid w:val="003B51C0"/>
    <w:rsid w:val="003B77CD"/>
    <w:rsid w:val="003C02A7"/>
    <w:rsid w:val="003C191A"/>
    <w:rsid w:val="003C1C10"/>
    <w:rsid w:val="003C357E"/>
    <w:rsid w:val="003C3D9E"/>
    <w:rsid w:val="003C4AD2"/>
    <w:rsid w:val="003C5EE0"/>
    <w:rsid w:val="003C5F3A"/>
    <w:rsid w:val="003C6CE9"/>
    <w:rsid w:val="003C6E9D"/>
    <w:rsid w:val="003C727B"/>
    <w:rsid w:val="003C7450"/>
    <w:rsid w:val="003C7CB0"/>
    <w:rsid w:val="003D0682"/>
    <w:rsid w:val="003D24EC"/>
    <w:rsid w:val="003D2531"/>
    <w:rsid w:val="003D301D"/>
    <w:rsid w:val="003D389A"/>
    <w:rsid w:val="003D5055"/>
    <w:rsid w:val="003D509A"/>
    <w:rsid w:val="003D6EF1"/>
    <w:rsid w:val="003D7453"/>
    <w:rsid w:val="003E0B10"/>
    <w:rsid w:val="003E392D"/>
    <w:rsid w:val="003E4496"/>
    <w:rsid w:val="003E4D27"/>
    <w:rsid w:val="003E57EE"/>
    <w:rsid w:val="003F28D1"/>
    <w:rsid w:val="003F32BA"/>
    <w:rsid w:val="003F4B38"/>
    <w:rsid w:val="003F562B"/>
    <w:rsid w:val="003F6DF3"/>
    <w:rsid w:val="003F70DA"/>
    <w:rsid w:val="003F7614"/>
    <w:rsid w:val="003F7A80"/>
    <w:rsid w:val="0040001E"/>
    <w:rsid w:val="00400772"/>
    <w:rsid w:val="004008A6"/>
    <w:rsid w:val="004010F5"/>
    <w:rsid w:val="004036B8"/>
    <w:rsid w:val="0040380C"/>
    <w:rsid w:val="00404102"/>
    <w:rsid w:val="00404945"/>
    <w:rsid w:val="004049AA"/>
    <w:rsid w:val="00404A8A"/>
    <w:rsid w:val="00405ADF"/>
    <w:rsid w:val="00405E03"/>
    <w:rsid w:val="00406167"/>
    <w:rsid w:val="0040632D"/>
    <w:rsid w:val="00406985"/>
    <w:rsid w:val="00406DD7"/>
    <w:rsid w:val="00407E89"/>
    <w:rsid w:val="004116EC"/>
    <w:rsid w:val="0041176F"/>
    <w:rsid w:val="00411B8A"/>
    <w:rsid w:val="004127C9"/>
    <w:rsid w:val="0041369F"/>
    <w:rsid w:val="00414373"/>
    <w:rsid w:val="0041640E"/>
    <w:rsid w:val="00416D6A"/>
    <w:rsid w:val="00417131"/>
    <w:rsid w:val="00423161"/>
    <w:rsid w:val="004242DF"/>
    <w:rsid w:val="00425656"/>
    <w:rsid w:val="00425C9E"/>
    <w:rsid w:val="004266FC"/>
    <w:rsid w:val="00427AE1"/>
    <w:rsid w:val="00432442"/>
    <w:rsid w:val="004327F2"/>
    <w:rsid w:val="0043389F"/>
    <w:rsid w:val="00433F67"/>
    <w:rsid w:val="004348AE"/>
    <w:rsid w:val="004349D9"/>
    <w:rsid w:val="00442276"/>
    <w:rsid w:val="004425AE"/>
    <w:rsid w:val="00443150"/>
    <w:rsid w:val="00443F18"/>
    <w:rsid w:val="0044535A"/>
    <w:rsid w:val="004455FD"/>
    <w:rsid w:val="004458A7"/>
    <w:rsid w:val="00445CD1"/>
    <w:rsid w:val="004460A3"/>
    <w:rsid w:val="004463F8"/>
    <w:rsid w:val="00446470"/>
    <w:rsid w:val="00447491"/>
    <w:rsid w:val="0044773B"/>
    <w:rsid w:val="004501BC"/>
    <w:rsid w:val="00450515"/>
    <w:rsid w:val="004511E0"/>
    <w:rsid w:val="0045224B"/>
    <w:rsid w:val="00455E75"/>
    <w:rsid w:val="00457357"/>
    <w:rsid w:val="00457D93"/>
    <w:rsid w:val="0046033B"/>
    <w:rsid w:val="00460BB4"/>
    <w:rsid w:val="00460E4D"/>
    <w:rsid w:val="004610D0"/>
    <w:rsid w:val="004628FC"/>
    <w:rsid w:val="00462950"/>
    <w:rsid w:val="0046302C"/>
    <w:rsid w:val="004648D7"/>
    <w:rsid w:val="0046679D"/>
    <w:rsid w:val="00466AF2"/>
    <w:rsid w:val="00466E41"/>
    <w:rsid w:val="004673D4"/>
    <w:rsid w:val="00471A79"/>
    <w:rsid w:val="00472204"/>
    <w:rsid w:val="004728EE"/>
    <w:rsid w:val="00472E6C"/>
    <w:rsid w:val="004738A2"/>
    <w:rsid w:val="0048091C"/>
    <w:rsid w:val="00480E6B"/>
    <w:rsid w:val="00481DB5"/>
    <w:rsid w:val="00483258"/>
    <w:rsid w:val="00483848"/>
    <w:rsid w:val="00483B2A"/>
    <w:rsid w:val="00485546"/>
    <w:rsid w:val="00485ACF"/>
    <w:rsid w:val="00486CC2"/>
    <w:rsid w:val="00486D65"/>
    <w:rsid w:val="00487478"/>
    <w:rsid w:val="00487BE4"/>
    <w:rsid w:val="00492DD5"/>
    <w:rsid w:val="004936F8"/>
    <w:rsid w:val="00494042"/>
    <w:rsid w:val="00494260"/>
    <w:rsid w:val="004946B7"/>
    <w:rsid w:val="00496F3D"/>
    <w:rsid w:val="00497AD0"/>
    <w:rsid w:val="004A084A"/>
    <w:rsid w:val="004A0A53"/>
    <w:rsid w:val="004A283A"/>
    <w:rsid w:val="004A294E"/>
    <w:rsid w:val="004A4B55"/>
    <w:rsid w:val="004A4B7A"/>
    <w:rsid w:val="004A7B89"/>
    <w:rsid w:val="004A7D93"/>
    <w:rsid w:val="004B0B54"/>
    <w:rsid w:val="004B16DB"/>
    <w:rsid w:val="004B33B1"/>
    <w:rsid w:val="004B40F3"/>
    <w:rsid w:val="004B4474"/>
    <w:rsid w:val="004B4909"/>
    <w:rsid w:val="004B5172"/>
    <w:rsid w:val="004B6F34"/>
    <w:rsid w:val="004B753E"/>
    <w:rsid w:val="004B7C37"/>
    <w:rsid w:val="004C29C6"/>
    <w:rsid w:val="004C3D78"/>
    <w:rsid w:val="004C4058"/>
    <w:rsid w:val="004D2123"/>
    <w:rsid w:val="004D6E42"/>
    <w:rsid w:val="004E00F2"/>
    <w:rsid w:val="004E094B"/>
    <w:rsid w:val="004E0C51"/>
    <w:rsid w:val="004E3060"/>
    <w:rsid w:val="004E39F0"/>
    <w:rsid w:val="004E4844"/>
    <w:rsid w:val="004E663F"/>
    <w:rsid w:val="004F0430"/>
    <w:rsid w:val="004F0C34"/>
    <w:rsid w:val="004F3EBB"/>
    <w:rsid w:val="004F44D5"/>
    <w:rsid w:val="004F52DA"/>
    <w:rsid w:val="004F5454"/>
    <w:rsid w:val="004F784E"/>
    <w:rsid w:val="00500472"/>
    <w:rsid w:val="00501A70"/>
    <w:rsid w:val="0050228A"/>
    <w:rsid w:val="005040B2"/>
    <w:rsid w:val="005047D8"/>
    <w:rsid w:val="00504DBB"/>
    <w:rsid w:val="0050659B"/>
    <w:rsid w:val="00510266"/>
    <w:rsid w:val="00510A16"/>
    <w:rsid w:val="00511047"/>
    <w:rsid w:val="00511981"/>
    <w:rsid w:val="0051420D"/>
    <w:rsid w:val="005144A3"/>
    <w:rsid w:val="00514E0F"/>
    <w:rsid w:val="00515A8D"/>
    <w:rsid w:val="00516F0E"/>
    <w:rsid w:val="00517E73"/>
    <w:rsid w:val="00517ED9"/>
    <w:rsid w:val="00522563"/>
    <w:rsid w:val="00522825"/>
    <w:rsid w:val="00524829"/>
    <w:rsid w:val="00526740"/>
    <w:rsid w:val="0052708F"/>
    <w:rsid w:val="00527207"/>
    <w:rsid w:val="005278E2"/>
    <w:rsid w:val="0053215C"/>
    <w:rsid w:val="00532D9F"/>
    <w:rsid w:val="00534053"/>
    <w:rsid w:val="00534937"/>
    <w:rsid w:val="00534D2B"/>
    <w:rsid w:val="00535306"/>
    <w:rsid w:val="00535C99"/>
    <w:rsid w:val="00536BD3"/>
    <w:rsid w:val="00537DCE"/>
    <w:rsid w:val="00540F5F"/>
    <w:rsid w:val="005416F7"/>
    <w:rsid w:val="0054309D"/>
    <w:rsid w:val="00543D71"/>
    <w:rsid w:val="00544866"/>
    <w:rsid w:val="0054493B"/>
    <w:rsid w:val="00546B57"/>
    <w:rsid w:val="00546C44"/>
    <w:rsid w:val="00550259"/>
    <w:rsid w:val="0055228C"/>
    <w:rsid w:val="00552CA6"/>
    <w:rsid w:val="00552D75"/>
    <w:rsid w:val="00553ACE"/>
    <w:rsid w:val="00554528"/>
    <w:rsid w:val="00555BE9"/>
    <w:rsid w:val="0055679B"/>
    <w:rsid w:val="00561124"/>
    <w:rsid w:val="00562838"/>
    <w:rsid w:val="005631F6"/>
    <w:rsid w:val="005643E0"/>
    <w:rsid w:val="00565ED2"/>
    <w:rsid w:val="00570860"/>
    <w:rsid w:val="00570B6E"/>
    <w:rsid w:val="005713B9"/>
    <w:rsid w:val="00573235"/>
    <w:rsid w:val="00575268"/>
    <w:rsid w:val="0057536D"/>
    <w:rsid w:val="00576DEE"/>
    <w:rsid w:val="005773CE"/>
    <w:rsid w:val="00580BEC"/>
    <w:rsid w:val="00580DB2"/>
    <w:rsid w:val="00582291"/>
    <w:rsid w:val="00586283"/>
    <w:rsid w:val="00587A33"/>
    <w:rsid w:val="00590971"/>
    <w:rsid w:val="005910AE"/>
    <w:rsid w:val="00591F6B"/>
    <w:rsid w:val="005923F8"/>
    <w:rsid w:val="0059241B"/>
    <w:rsid w:val="00592FF8"/>
    <w:rsid w:val="00593DC7"/>
    <w:rsid w:val="00594E4A"/>
    <w:rsid w:val="00596C81"/>
    <w:rsid w:val="005A027D"/>
    <w:rsid w:val="005A096C"/>
    <w:rsid w:val="005A0B6B"/>
    <w:rsid w:val="005A137B"/>
    <w:rsid w:val="005A173A"/>
    <w:rsid w:val="005A1FC9"/>
    <w:rsid w:val="005A2634"/>
    <w:rsid w:val="005A2BA7"/>
    <w:rsid w:val="005A6189"/>
    <w:rsid w:val="005B02AC"/>
    <w:rsid w:val="005B0F16"/>
    <w:rsid w:val="005B2570"/>
    <w:rsid w:val="005B2803"/>
    <w:rsid w:val="005B3ABE"/>
    <w:rsid w:val="005B3DF5"/>
    <w:rsid w:val="005B5746"/>
    <w:rsid w:val="005B62FD"/>
    <w:rsid w:val="005B65DB"/>
    <w:rsid w:val="005B7FFE"/>
    <w:rsid w:val="005C10DB"/>
    <w:rsid w:val="005C2B74"/>
    <w:rsid w:val="005C378C"/>
    <w:rsid w:val="005C45B6"/>
    <w:rsid w:val="005C5103"/>
    <w:rsid w:val="005C5485"/>
    <w:rsid w:val="005C6771"/>
    <w:rsid w:val="005D01BD"/>
    <w:rsid w:val="005D1A5B"/>
    <w:rsid w:val="005D1C50"/>
    <w:rsid w:val="005D32BE"/>
    <w:rsid w:val="005D4301"/>
    <w:rsid w:val="005D4D1C"/>
    <w:rsid w:val="005D60E2"/>
    <w:rsid w:val="005D6F99"/>
    <w:rsid w:val="005D789A"/>
    <w:rsid w:val="005D7A12"/>
    <w:rsid w:val="005E07D2"/>
    <w:rsid w:val="005E1495"/>
    <w:rsid w:val="005E1F50"/>
    <w:rsid w:val="005E37DC"/>
    <w:rsid w:val="005E38CF"/>
    <w:rsid w:val="005E44A7"/>
    <w:rsid w:val="005E678E"/>
    <w:rsid w:val="005F033A"/>
    <w:rsid w:val="005F12AA"/>
    <w:rsid w:val="005F151C"/>
    <w:rsid w:val="005F25A5"/>
    <w:rsid w:val="005F2882"/>
    <w:rsid w:val="005F4231"/>
    <w:rsid w:val="005F728B"/>
    <w:rsid w:val="005F771B"/>
    <w:rsid w:val="006011F2"/>
    <w:rsid w:val="00601C2C"/>
    <w:rsid w:val="00602696"/>
    <w:rsid w:val="00603B79"/>
    <w:rsid w:val="006042E7"/>
    <w:rsid w:val="006053AC"/>
    <w:rsid w:val="00606A87"/>
    <w:rsid w:val="006106D1"/>
    <w:rsid w:val="0061118F"/>
    <w:rsid w:val="0061152E"/>
    <w:rsid w:val="00611F33"/>
    <w:rsid w:val="0061255B"/>
    <w:rsid w:val="006138FB"/>
    <w:rsid w:val="00614D9F"/>
    <w:rsid w:val="00620D3F"/>
    <w:rsid w:val="006213AD"/>
    <w:rsid w:val="0062154F"/>
    <w:rsid w:val="00621B69"/>
    <w:rsid w:val="0062214E"/>
    <w:rsid w:val="0062299D"/>
    <w:rsid w:val="00622A05"/>
    <w:rsid w:val="006231AF"/>
    <w:rsid w:val="0062526D"/>
    <w:rsid w:val="00627F45"/>
    <w:rsid w:val="0063155C"/>
    <w:rsid w:val="00634D1A"/>
    <w:rsid w:val="006350FF"/>
    <w:rsid w:val="0063586B"/>
    <w:rsid w:val="006374E2"/>
    <w:rsid w:val="0063783C"/>
    <w:rsid w:val="00641758"/>
    <w:rsid w:val="0064192B"/>
    <w:rsid w:val="006419AC"/>
    <w:rsid w:val="006427D5"/>
    <w:rsid w:val="006435C4"/>
    <w:rsid w:val="00643608"/>
    <w:rsid w:val="006462E4"/>
    <w:rsid w:val="00647D3A"/>
    <w:rsid w:val="006507BF"/>
    <w:rsid w:val="00650EA2"/>
    <w:rsid w:val="00651163"/>
    <w:rsid w:val="00651314"/>
    <w:rsid w:val="00651EE3"/>
    <w:rsid w:val="00652862"/>
    <w:rsid w:val="00653061"/>
    <w:rsid w:val="00653B4B"/>
    <w:rsid w:val="00653EA8"/>
    <w:rsid w:val="00656972"/>
    <w:rsid w:val="00660049"/>
    <w:rsid w:val="006600CE"/>
    <w:rsid w:val="0066098A"/>
    <w:rsid w:val="0066231B"/>
    <w:rsid w:val="00662909"/>
    <w:rsid w:val="00663E90"/>
    <w:rsid w:val="0066448F"/>
    <w:rsid w:val="0066484E"/>
    <w:rsid w:val="00664BDB"/>
    <w:rsid w:val="00664FF3"/>
    <w:rsid w:val="00665BE2"/>
    <w:rsid w:val="00666274"/>
    <w:rsid w:val="00666554"/>
    <w:rsid w:val="006703B7"/>
    <w:rsid w:val="0067160E"/>
    <w:rsid w:val="0067170F"/>
    <w:rsid w:val="006730A4"/>
    <w:rsid w:val="00676C6E"/>
    <w:rsid w:val="0067717B"/>
    <w:rsid w:val="006778F5"/>
    <w:rsid w:val="00677DAC"/>
    <w:rsid w:val="006811CA"/>
    <w:rsid w:val="00682477"/>
    <w:rsid w:val="00684050"/>
    <w:rsid w:val="0068559A"/>
    <w:rsid w:val="00687342"/>
    <w:rsid w:val="00691E34"/>
    <w:rsid w:val="00692A44"/>
    <w:rsid w:val="006935D6"/>
    <w:rsid w:val="006939BA"/>
    <w:rsid w:val="0069476C"/>
    <w:rsid w:val="00694EAE"/>
    <w:rsid w:val="0069612F"/>
    <w:rsid w:val="006968DB"/>
    <w:rsid w:val="00697491"/>
    <w:rsid w:val="00697A9B"/>
    <w:rsid w:val="00697EFC"/>
    <w:rsid w:val="006A010D"/>
    <w:rsid w:val="006A0DC6"/>
    <w:rsid w:val="006A11E1"/>
    <w:rsid w:val="006A2062"/>
    <w:rsid w:val="006A2DCB"/>
    <w:rsid w:val="006A3FE8"/>
    <w:rsid w:val="006A5107"/>
    <w:rsid w:val="006A6A8B"/>
    <w:rsid w:val="006B1156"/>
    <w:rsid w:val="006B2B55"/>
    <w:rsid w:val="006B46EF"/>
    <w:rsid w:val="006B73C8"/>
    <w:rsid w:val="006B74F0"/>
    <w:rsid w:val="006B7BF5"/>
    <w:rsid w:val="006C0F37"/>
    <w:rsid w:val="006C1546"/>
    <w:rsid w:val="006C17F2"/>
    <w:rsid w:val="006C26A5"/>
    <w:rsid w:val="006C2A5E"/>
    <w:rsid w:val="006D338B"/>
    <w:rsid w:val="006D374C"/>
    <w:rsid w:val="006D3E05"/>
    <w:rsid w:val="006D3E6C"/>
    <w:rsid w:val="006D7AB3"/>
    <w:rsid w:val="006E0154"/>
    <w:rsid w:val="006E2AA0"/>
    <w:rsid w:val="006E4652"/>
    <w:rsid w:val="006E4E11"/>
    <w:rsid w:val="006E511E"/>
    <w:rsid w:val="006E59C5"/>
    <w:rsid w:val="006E7A8B"/>
    <w:rsid w:val="006F176F"/>
    <w:rsid w:val="006F3F0A"/>
    <w:rsid w:val="006F43DC"/>
    <w:rsid w:val="006F4898"/>
    <w:rsid w:val="006F55BF"/>
    <w:rsid w:val="006F5D34"/>
    <w:rsid w:val="006F63F8"/>
    <w:rsid w:val="006F7899"/>
    <w:rsid w:val="00700690"/>
    <w:rsid w:val="00702EF2"/>
    <w:rsid w:val="00702F0C"/>
    <w:rsid w:val="007031EB"/>
    <w:rsid w:val="00704045"/>
    <w:rsid w:val="00706040"/>
    <w:rsid w:val="007070DE"/>
    <w:rsid w:val="00707CA2"/>
    <w:rsid w:val="0071118B"/>
    <w:rsid w:val="00711C33"/>
    <w:rsid w:val="0071201C"/>
    <w:rsid w:val="00712DE9"/>
    <w:rsid w:val="0071476D"/>
    <w:rsid w:val="007149C5"/>
    <w:rsid w:val="00716EB0"/>
    <w:rsid w:val="00717312"/>
    <w:rsid w:val="007175DB"/>
    <w:rsid w:val="007240D3"/>
    <w:rsid w:val="00724E82"/>
    <w:rsid w:val="007251E5"/>
    <w:rsid w:val="0072645D"/>
    <w:rsid w:val="00726DA5"/>
    <w:rsid w:val="007271DD"/>
    <w:rsid w:val="00727F02"/>
    <w:rsid w:val="007311CA"/>
    <w:rsid w:val="0073179B"/>
    <w:rsid w:val="00732B70"/>
    <w:rsid w:val="00732BB6"/>
    <w:rsid w:val="00732C55"/>
    <w:rsid w:val="00733163"/>
    <w:rsid w:val="00733C1F"/>
    <w:rsid w:val="0073447D"/>
    <w:rsid w:val="007349C6"/>
    <w:rsid w:val="0073619D"/>
    <w:rsid w:val="00736250"/>
    <w:rsid w:val="0073638E"/>
    <w:rsid w:val="00736C30"/>
    <w:rsid w:val="00736E3E"/>
    <w:rsid w:val="00740CDE"/>
    <w:rsid w:val="007410E1"/>
    <w:rsid w:val="007417CE"/>
    <w:rsid w:val="00741DF4"/>
    <w:rsid w:val="00742D25"/>
    <w:rsid w:val="00742E63"/>
    <w:rsid w:val="0074386B"/>
    <w:rsid w:val="007468D2"/>
    <w:rsid w:val="00746C27"/>
    <w:rsid w:val="00746D57"/>
    <w:rsid w:val="007479FF"/>
    <w:rsid w:val="00750B87"/>
    <w:rsid w:val="00751726"/>
    <w:rsid w:val="007527C7"/>
    <w:rsid w:val="007532C6"/>
    <w:rsid w:val="00753F84"/>
    <w:rsid w:val="00754532"/>
    <w:rsid w:val="00756221"/>
    <w:rsid w:val="0075686C"/>
    <w:rsid w:val="007570EF"/>
    <w:rsid w:val="00757AD4"/>
    <w:rsid w:val="00757B2E"/>
    <w:rsid w:val="00760B1A"/>
    <w:rsid w:val="007617D3"/>
    <w:rsid w:val="007626C9"/>
    <w:rsid w:val="00762A51"/>
    <w:rsid w:val="0076339A"/>
    <w:rsid w:val="00763ACD"/>
    <w:rsid w:val="007664CE"/>
    <w:rsid w:val="00766A4C"/>
    <w:rsid w:val="00770948"/>
    <w:rsid w:val="007716D6"/>
    <w:rsid w:val="00772082"/>
    <w:rsid w:val="00772196"/>
    <w:rsid w:val="007722D3"/>
    <w:rsid w:val="0077308D"/>
    <w:rsid w:val="0077479E"/>
    <w:rsid w:val="007751A7"/>
    <w:rsid w:val="00775EA4"/>
    <w:rsid w:val="00776699"/>
    <w:rsid w:val="00776D44"/>
    <w:rsid w:val="007807D3"/>
    <w:rsid w:val="00780FED"/>
    <w:rsid w:val="0078164D"/>
    <w:rsid w:val="0078286D"/>
    <w:rsid w:val="00782B5D"/>
    <w:rsid w:val="00783201"/>
    <w:rsid w:val="0078625F"/>
    <w:rsid w:val="00787C9E"/>
    <w:rsid w:val="0079086F"/>
    <w:rsid w:val="00790A27"/>
    <w:rsid w:val="00790F06"/>
    <w:rsid w:val="007910E3"/>
    <w:rsid w:val="00791346"/>
    <w:rsid w:val="00791408"/>
    <w:rsid w:val="007919E0"/>
    <w:rsid w:val="00792001"/>
    <w:rsid w:val="007932F1"/>
    <w:rsid w:val="007941BC"/>
    <w:rsid w:val="0079433D"/>
    <w:rsid w:val="00794BAF"/>
    <w:rsid w:val="00795406"/>
    <w:rsid w:val="00796F5A"/>
    <w:rsid w:val="00796FAF"/>
    <w:rsid w:val="00797C38"/>
    <w:rsid w:val="00797D1C"/>
    <w:rsid w:val="007A6660"/>
    <w:rsid w:val="007A675F"/>
    <w:rsid w:val="007A7FE5"/>
    <w:rsid w:val="007B3987"/>
    <w:rsid w:val="007B3FE4"/>
    <w:rsid w:val="007B474B"/>
    <w:rsid w:val="007B50F2"/>
    <w:rsid w:val="007B6659"/>
    <w:rsid w:val="007C037D"/>
    <w:rsid w:val="007C0555"/>
    <w:rsid w:val="007C0725"/>
    <w:rsid w:val="007C17D6"/>
    <w:rsid w:val="007C1DDE"/>
    <w:rsid w:val="007C1F3C"/>
    <w:rsid w:val="007C3149"/>
    <w:rsid w:val="007C472E"/>
    <w:rsid w:val="007C54E0"/>
    <w:rsid w:val="007C595B"/>
    <w:rsid w:val="007C603E"/>
    <w:rsid w:val="007C6119"/>
    <w:rsid w:val="007C61FC"/>
    <w:rsid w:val="007D2C89"/>
    <w:rsid w:val="007D3828"/>
    <w:rsid w:val="007D4041"/>
    <w:rsid w:val="007D495B"/>
    <w:rsid w:val="007D4F96"/>
    <w:rsid w:val="007D51AB"/>
    <w:rsid w:val="007D584D"/>
    <w:rsid w:val="007D7DFC"/>
    <w:rsid w:val="007E113D"/>
    <w:rsid w:val="007E152B"/>
    <w:rsid w:val="007E15E0"/>
    <w:rsid w:val="007E1A1E"/>
    <w:rsid w:val="007E2D3E"/>
    <w:rsid w:val="007E4F14"/>
    <w:rsid w:val="007E6233"/>
    <w:rsid w:val="007E713F"/>
    <w:rsid w:val="007E731C"/>
    <w:rsid w:val="007E7CCF"/>
    <w:rsid w:val="007F0F26"/>
    <w:rsid w:val="007F1153"/>
    <w:rsid w:val="007F1527"/>
    <w:rsid w:val="007F17AC"/>
    <w:rsid w:val="007F2E79"/>
    <w:rsid w:val="007F3786"/>
    <w:rsid w:val="007F6AA8"/>
    <w:rsid w:val="007F7F95"/>
    <w:rsid w:val="00800371"/>
    <w:rsid w:val="00803E96"/>
    <w:rsid w:val="008047B6"/>
    <w:rsid w:val="00804EEC"/>
    <w:rsid w:val="008051DD"/>
    <w:rsid w:val="00805C8A"/>
    <w:rsid w:val="00806488"/>
    <w:rsid w:val="00807270"/>
    <w:rsid w:val="00807474"/>
    <w:rsid w:val="008113AC"/>
    <w:rsid w:val="008115E4"/>
    <w:rsid w:val="00811C76"/>
    <w:rsid w:val="00812E9C"/>
    <w:rsid w:val="00813CE8"/>
    <w:rsid w:val="00814C6A"/>
    <w:rsid w:val="0081693E"/>
    <w:rsid w:val="008169BA"/>
    <w:rsid w:val="00816E2F"/>
    <w:rsid w:val="008205E6"/>
    <w:rsid w:val="00821485"/>
    <w:rsid w:val="00821AE4"/>
    <w:rsid w:val="00823530"/>
    <w:rsid w:val="00823E83"/>
    <w:rsid w:val="00825454"/>
    <w:rsid w:val="00825455"/>
    <w:rsid w:val="00825D54"/>
    <w:rsid w:val="00826561"/>
    <w:rsid w:val="008279E0"/>
    <w:rsid w:val="00827EBC"/>
    <w:rsid w:val="00830D03"/>
    <w:rsid w:val="00830FEC"/>
    <w:rsid w:val="00831ADA"/>
    <w:rsid w:val="00832369"/>
    <w:rsid w:val="008335E8"/>
    <w:rsid w:val="0083397C"/>
    <w:rsid w:val="00833EE2"/>
    <w:rsid w:val="008357BF"/>
    <w:rsid w:val="00835BA9"/>
    <w:rsid w:val="00835C4C"/>
    <w:rsid w:val="00836A3B"/>
    <w:rsid w:val="00836E52"/>
    <w:rsid w:val="00843487"/>
    <w:rsid w:val="00843532"/>
    <w:rsid w:val="00845091"/>
    <w:rsid w:val="008450D3"/>
    <w:rsid w:val="008466EC"/>
    <w:rsid w:val="00846C6F"/>
    <w:rsid w:val="0084700E"/>
    <w:rsid w:val="00847F00"/>
    <w:rsid w:val="00850A74"/>
    <w:rsid w:val="008532B2"/>
    <w:rsid w:val="00853850"/>
    <w:rsid w:val="00854B3D"/>
    <w:rsid w:val="0086025A"/>
    <w:rsid w:val="00860E1D"/>
    <w:rsid w:val="0086284A"/>
    <w:rsid w:val="008629FE"/>
    <w:rsid w:val="008634E9"/>
    <w:rsid w:val="0086355C"/>
    <w:rsid w:val="00864795"/>
    <w:rsid w:val="00865C0D"/>
    <w:rsid w:val="00865C48"/>
    <w:rsid w:val="00865E4C"/>
    <w:rsid w:val="00867354"/>
    <w:rsid w:val="0087071F"/>
    <w:rsid w:val="00872172"/>
    <w:rsid w:val="00873D32"/>
    <w:rsid w:val="008744A9"/>
    <w:rsid w:val="00874885"/>
    <w:rsid w:val="0087607E"/>
    <w:rsid w:val="00876A11"/>
    <w:rsid w:val="00882E48"/>
    <w:rsid w:val="008833D6"/>
    <w:rsid w:val="00883B8C"/>
    <w:rsid w:val="00885222"/>
    <w:rsid w:val="008853F0"/>
    <w:rsid w:val="008865CB"/>
    <w:rsid w:val="008866D8"/>
    <w:rsid w:val="00887226"/>
    <w:rsid w:val="00887B7F"/>
    <w:rsid w:val="0089121E"/>
    <w:rsid w:val="00891396"/>
    <w:rsid w:val="008918CC"/>
    <w:rsid w:val="0089373E"/>
    <w:rsid w:val="00895005"/>
    <w:rsid w:val="00895D3F"/>
    <w:rsid w:val="008962B9"/>
    <w:rsid w:val="00896521"/>
    <w:rsid w:val="00897C46"/>
    <w:rsid w:val="00897D45"/>
    <w:rsid w:val="008A0CC8"/>
    <w:rsid w:val="008A1585"/>
    <w:rsid w:val="008A195E"/>
    <w:rsid w:val="008A214B"/>
    <w:rsid w:val="008A387E"/>
    <w:rsid w:val="008A5BDF"/>
    <w:rsid w:val="008A64DA"/>
    <w:rsid w:val="008A6C16"/>
    <w:rsid w:val="008B1109"/>
    <w:rsid w:val="008B116E"/>
    <w:rsid w:val="008B13C1"/>
    <w:rsid w:val="008B26AF"/>
    <w:rsid w:val="008B2D60"/>
    <w:rsid w:val="008B35F8"/>
    <w:rsid w:val="008B4D16"/>
    <w:rsid w:val="008B5838"/>
    <w:rsid w:val="008B58EF"/>
    <w:rsid w:val="008B5A44"/>
    <w:rsid w:val="008B6E02"/>
    <w:rsid w:val="008B74B3"/>
    <w:rsid w:val="008C180A"/>
    <w:rsid w:val="008C27CF"/>
    <w:rsid w:val="008C34E2"/>
    <w:rsid w:val="008C4A00"/>
    <w:rsid w:val="008C597E"/>
    <w:rsid w:val="008C70F8"/>
    <w:rsid w:val="008C78E5"/>
    <w:rsid w:val="008D0761"/>
    <w:rsid w:val="008D101E"/>
    <w:rsid w:val="008D178A"/>
    <w:rsid w:val="008D25D6"/>
    <w:rsid w:val="008D29FD"/>
    <w:rsid w:val="008D3039"/>
    <w:rsid w:val="008D5111"/>
    <w:rsid w:val="008D6574"/>
    <w:rsid w:val="008D6E34"/>
    <w:rsid w:val="008E0BF6"/>
    <w:rsid w:val="008E0DA1"/>
    <w:rsid w:val="008E1099"/>
    <w:rsid w:val="008E4531"/>
    <w:rsid w:val="008E7B2B"/>
    <w:rsid w:val="008F07E9"/>
    <w:rsid w:val="008F2F0D"/>
    <w:rsid w:val="008F3141"/>
    <w:rsid w:val="008F58D1"/>
    <w:rsid w:val="008F5969"/>
    <w:rsid w:val="008F6192"/>
    <w:rsid w:val="008F73EA"/>
    <w:rsid w:val="009006DD"/>
    <w:rsid w:val="0090102D"/>
    <w:rsid w:val="00902475"/>
    <w:rsid w:val="00902E65"/>
    <w:rsid w:val="009033BA"/>
    <w:rsid w:val="00903F33"/>
    <w:rsid w:val="009051AE"/>
    <w:rsid w:val="00906A9D"/>
    <w:rsid w:val="00910E5E"/>
    <w:rsid w:val="00910F87"/>
    <w:rsid w:val="00914225"/>
    <w:rsid w:val="00915E9F"/>
    <w:rsid w:val="00916485"/>
    <w:rsid w:val="009167A5"/>
    <w:rsid w:val="00917628"/>
    <w:rsid w:val="00920D91"/>
    <w:rsid w:val="0092272A"/>
    <w:rsid w:val="00923917"/>
    <w:rsid w:val="00923D4D"/>
    <w:rsid w:val="00923F53"/>
    <w:rsid w:val="0092529A"/>
    <w:rsid w:val="009261C2"/>
    <w:rsid w:val="00931D28"/>
    <w:rsid w:val="00935333"/>
    <w:rsid w:val="00935CB1"/>
    <w:rsid w:val="00936048"/>
    <w:rsid w:val="00936082"/>
    <w:rsid w:val="00936408"/>
    <w:rsid w:val="00936B46"/>
    <w:rsid w:val="0094016C"/>
    <w:rsid w:val="00940F67"/>
    <w:rsid w:val="0094132A"/>
    <w:rsid w:val="00941B31"/>
    <w:rsid w:val="009434D9"/>
    <w:rsid w:val="00945613"/>
    <w:rsid w:val="0094737A"/>
    <w:rsid w:val="009475BE"/>
    <w:rsid w:val="00950890"/>
    <w:rsid w:val="00950D57"/>
    <w:rsid w:val="00951BEF"/>
    <w:rsid w:val="009544D3"/>
    <w:rsid w:val="00956168"/>
    <w:rsid w:val="00956859"/>
    <w:rsid w:val="0095701C"/>
    <w:rsid w:val="00957507"/>
    <w:rsid w:val="009600A0"/>
    <w:rsid w:val="0096049E"/>
    <w:rsid w:val="00960EDE"/>
    <w:rsid w:val="00961014"/>
    <w:rsid w:val="009620EB"/>
    <w:rsid w:val="0096231F"/>
    <w:rsid w:val="009651CA"/>
    <w:rsid w:val="0096545F"/>
    <w:rsid w:val="00966E99"/>
    <w:rsid w:val="0096707B"/>
    <w:rsid w:val="0096773D"/>
    <w:rsid w:val="009700CB"/>
    <w:rsid w:val="0097287A"/>
    <w:rsid w:val="0097312A"/>
    <w:rsid w:val="0097683E"/>
    <w:rsid w:val="009772F8"/>
    <w:rsid w:val="009776D1"/>
    <w:rsid w:val="00980556"/>
    <w:rsid w:val="00980BE6"/>
    <w:rsid w:val="00980CF0"/>
    <w:rsid w:val="009814AE"/>
    <w:rsid w:val="00981BDD"/>
    <w:rsid w:val="00983C3C"/>
    <w:rsid w:val="00984B63"/>
    <w:rsid w:val="00985006"/>
    <w:rsid w:val="00986B0C"/>
    <w:rsid w:val="00990AC2"/>
    <w:rsid w:val="0099142C"/>
    <w:rsid w:val="0099154B"/>
    <w:rsid w:val="00991789"/>
    <w:rsid w:val="009929B1"/>
    <w:rsid w:val="00992BD2"/>
    <w:rsid w:val="00994790"/>
    <w:rsid w:val="009966CF"/>
    <w:rsid w:val="00997651"/>
    <w:rsid w:val="00997B2C"/>
    <w:rsid w:val="00997E87"/>
    <w:rsid w:val="009A0CD1"/>
    <w:rsid w:val="009A362B"/>
    <w:rsid w:val="009A3AAA"/>
    <w:rsid w:val="009A4E42"/>
    <w:rsid w:val="009A55EA"/>
    <w:rsid w:val="009A7335"/>
    <w:rsid w:val="009B0A0C"/>
    <w:rsid w:val="009B0BFC"/>
    <w:rsid w:val="009B0E59"/>
    <w:rsid w:val="009B176F"/>
    <w:rsid w:val="009B3F95"/>
    <w:rsid w:val="009B456B"/>
    <w:rsid w:val="009B47F3"/>
    <w:rsid w:val="009B5201"/>
    <w:rsid w:val="009B56D0"/>
    <w:rsid w:val="009B5E29"/>
    <w:rsid w:val="009B62BB"/>
    <w:rsid w:val="009B6941"/>
    <w:rsid w:val="009B78C1"/>
    <w:rsid w:val="009B7EC3"/>
    <w:rsid w:val="009B7F9A"/>
    <w:rsid w:val="009C03C5"/>
    <w:rsid w:val="009C0881"/>
    <w:rsid w:val="009C25AF"/>
    <w:rsid w:val="009C2C03"/>
    <w:rsid w:val="009C2DD2"/>
    <w:rsid w:val="009C38EE"/>
    <w:rsid w:val="009C3A37"/>
    <w:rsid w:val="009C3B54"/>
    <w:rsid w:val="009C5CF5"/>
    <w:rsid w:val="009C730F"/>
    <w:rsid w:val="009D04CB"/>
    <w:rsid w:val="009D0C5C"/>
    <w:rsid w:val="009D1A1A"/>
    <w:rsid w:val="009D39BB"/>
    <w:rsid w:val="009D407E"/>
    <w:rsid w:val="009D63E4"/>
    <w:rsid w:val="009D710C"/>
    <w:rsid w:val="009D7E0D"/>
    <w:rsid w:val="009E05D1"/>
    <w:rsid w:val="009E0E3C"/>
    <w:rsid w:val="009E20C8"/>
    <w:rsid w:val="009E3571"/>
    <w:rsid w:val="009E4FD4"/>
    <w:rsid w:val="009E5F98"/>
    <w:rsid w:val="009E62B9"/>
    <w:rsid w:val="009E7452"/>
    <w:rsid w:val="009F4508"/>
    <w:rsid w:val="009F5290"/>
    <w:rsid w:val="009F5860"/>
    <w:rsid w:val="009F5946"/>
    <w:rsid w:val="009F5CE1"/>
    <w:rsid w:val="00A023B1"/>
    <w:rsid w:val="00A03496"/>
    <w:rsid w:val="00A048EF"/>
    <w:rsid w:val="00A04B1F"/>
    <w:rsid w:val="00A11527"/>
    <w:rsid w:val="00A11F44"/>
    <w:rsid w:val="00A12220"/>
    <w:rsid w:val="00A128FC"/>
    <w:rsid w:val="00A12F74"/>
    <w:rsid w:val="00A14CBA"/>
    <w:rsid w:val="00A15515"/>
    <w:rsid w:val="00A1563C"/>
    <w:rsid w:val="00A1644C"/>
    <w:rsid w:val="00A17B84"/>
    <w:rsid w:val="00A17EB4"/>
    <w:rsid w:val="00A208C8"/>
    <w:rsid w:val="00A21E49"/>
    <w:rsid w:val="00A233D2"/>
    <w:rsid w:val="00A23986"/>
    <w:rsid w:val="00A25174"/>
    <w:rsid w:val="00A26156"/>
    <w:rsid w:val="00A2632D"/>
    <w:rsid w:val="00A26DB1"/>
    <w:rsid w:val="00A3095A"/>
    <w:rsid w:val="00A30F82"/>
    <w:rsid w:val="00A311C2"/>
    <w:rsid w:val="00A32CE7"/>
    <w:rsid w:val="00A3588E"/>
    <w:rsid w:val="00A35D11"/>
    <w:rsid w:val="00A35F6E"/>
    <w:rsid w:val="00A36209"/>
    <w:rsid w:val="00A36C1C"/>
    <w:rsid w:val="00A373CE"/>
    <w:rsid w:val="00A40639"/>
    <w:rsid w:val="00A40DA6"/>
    <w:rsid w:val="00A414B2"/>
    <w:rsid w:val="00A41F30"/>
    <w:rsid w:val="00A420D3"/>
    <w:rsid w:val="00A43E09"/>
    <w:rsid w:val="00A47681"/>
    <w:rsid w:val="00A47D41"/>
    <w:rsid w:val="00A50B00"/>
    <w:rsid w:val="00A5147A"/>
    <w:rsid w:val="00A525FA"/>
    <w:rsid w:val="00A527EB"/>
    <w:rsid w:val="00A52F20"/>
    <w:rsid w:val="00A535A1"/>
    <w:rsid w:val="00A54601"/>
    <w:rsid w:val="00A54E21"/>
    <w:rsid w:val="00A55855"/>
    <w:rsid w:val="00A55A23"/>
    <w:rsid w:val="00A57491"/>
    <w:rsid w:val="00A57685"/>
    <w:rsid w:val="00A607BA"/>
    <w:rsid w:val="00A61780"/>
    <w:rsid w:val="00A619CE"/>
    <w:rsid w:val="00A6237C"/>
    <w:rsid w:val="00A642F6"/>
    <w:rsid w:val="00A64FCA"/>
    <w:rsid w:val="00A652DC"/>
    <w:rsid w:val="00A656C4"/>
    <w:rsid w:val="00A67883"/>
    <w:rsid w:val="00A67D74"/>
    <w:rsid w:val="00A74969"/>
    <w:rsid w:val="00A7552A"/>
    <w:rsid w:val="00A76A64"/>
    <w:rsid w:val="00A7720C"/>
    <w:rsid w:val="00A77ACF"/>
    <w:rsid w:val="00A77EAC"/>
    <w:rsid w:val="00A8062B"/>
    <w:rsid w:val="00A82FC6"/>
    <w:rsid w:val="00A8557D"/>
    <w:rsid w:val="00A87CD2"/>
    <w:rsid w:val="00A911C7"/>
    <w:rsid w:val="00A9387B"/>
    <w:rsid w:val="00A94220"/>
    <w:rsid w:val="00A953B8"/>
    <w:rsid w:val="00A96A2C"/>
    <w:rsid w:val="00A9757C"/>
    <w:rsid w:val="00AA008C"/>
    <w:rsid w:val="00AA0559"/>
    <w:rsid w:val="00AA13B2"/>
    <w:rsid w:val="00AA1469"/>
    <w:rsid w:val="00AA179F"/>
    <w:rsid w:val="00AA1A99"/>
    <w:rsid w:val="00AA1C52"/>
    <w:rsid w:val="00AA44CD"/>
    <w:rsid w:val="00AA757C"/>
    <w:rsid w:val="00AA7D06"/>
    <w:rsid w:val="00AB1A18"/>
    <w:rsid w:val="00AB46A2"/>
    <w:rsid w:val="00AB4A6D"/>
    <w:rsid w:val="00AB5C60"/>
    <w:rsid w:val="00AB5F8B"/>
    <w:rsid w:val="00AC1101"/>
    <w:rsid w:val="00AC4B0C"/>
    <w:rsid w:val="00AD185E"/>
    <w:rsid w:val="00AD4B80"/>
    <w:rsid w:val="00AD4BB4"/>
    <w:rsid w:val="00AE0125"/>
    <w:rsid w:val="00AE0418"/>
    <w:rsid w:val="00AE1C51"/>
    <w:rsid w:val="00AE3021"/>
    <w:rsid w:val="00AE3538"/>
    <w:rsid w:val="00AE3784"/>
    <w:rsid w:val="00AE395C"/>
    <w:rsid w:val="00AE791E"/>
    <w:rsid w:val="00AF0B1E"/>
    <w:rsid w:val="00AF117F"/>
    <w:rsid w:val="00AF17E1"/>
    <w:rsid w:val="00AF1D92"/>
    <w:rsid w:val="00AF327E"/>
    <w:rsid w:val="00AF4450"/>
    <w:rsid w:val="00AF69B1"/>
    <w:rsid w:val="00AF74A1"/>
    <w:rsid w:val="00AF7857"/>
    <w:rsid w:val="00B0092A"/>
    <w:rsid w:val="00B019BD"/>
    <w:rsid w:val="00B02FD7"/>
    <w:rsid w:val="00B03277"/>
    <w:rsid w:val="00B03602"/>
    <w:rsid w:val="00B040A7"/>
    <w:rsid w:val="00B046D0"/>
    <w:rsid w:val="00B048FC"/>
    <w:rsid w:val="00B065F6"/>
    <w:rsid w:val="00B07562"/>
    <w:rsid w:val="00B075CD"/>
    <w:rsid w:val="00B1184C"/>
    <w:rsid w:val="00B11F49"/>
    <w:rsid w:val="00B128A0"/>
    <w:rsid w:val="00B162FA"/>
    <w:rsid w:val="00B2084D"/>
    <w:rsid w:val="00B2107E"/>
    <w:rsid w:val="00B21E20"/>
    <w:rsid w:val="00B25F79"/>
    <w:rsid w:val="00B272FD"/>
    <w:rsid w:val="00B275DB"/>
    <w:rsid w:val="00B30258"/>
    <w:rsid w:val="00B31D12"/>
    <w:rsid w:val="00B320D4"/>
    <w:rsid w:val="00B35A6F"/>
    <w:rsid w:val="00B3606E"/>
    <w:rsid w:val="00B37162"/>
    <w:rsid w:val="00B407E9"/>
    <w:rsid w:val="00B41BBD"/>
    <w:rsid w:val="00B42013"/>
    <w:rsid w:val="00B4485E"/>
    <w:rsid w:val="00B45D41"/>
    <w:rsid w:val="00B461EB"/>
    <w:rsid w:val="00B47DAD"/>
    <w:rsid w:val="00B50551"/>
    <w:rsid w:val="00B5120C"/>
    <w:rsid w:val="00B51B15"/>
    <w:rsid w:val="00B52D62"/>
    <w:rsid w:val="00B53090"/>
    <w:rsid w:val="00B531BC"/>
    <w:rsid w:val="00B538D2"/>
    <w:rsid w:val="00B552DC"/>
    <w:rsid w:val="00B55B0F"/>
    <w:rsid w:val="00B611DE"/>
    <w:rsid w:val="00B614DC"/>
    <w:rsid w:val="00B61F61"/>
    <w:rsid w:val="00B62B51"/>
    <w:rsid w:val="00B62E4A"/>
    <w:rsid w:val="00B6326F"/>
    <w:rsid w:val="00B66991"/>
    <w:rsid w:val="00B67BB5"/>
    <w:rsid w:val="00B71370"/>
    <w:rsid w:val="00B74B0C"/>
    <w:rsid w:val="00B77BE7"/>
    <w:rsid w:val="00B817FA"/>
    <w:rsid w:val="00B82459"/>
    <w:rsid w:val="00B82D12"/>
    <w:rsid w:val="00B83048"/>
    <w:rsid w:val="00B84A0A"/>
    <w:rsid w:val="00B85E0B"/>
    <w:rsid w:val="00B869C9"/>
    <w:rsid w:val="00B91A83"/>
    <w:rsid w:val="00B91D17"/>
    <w:rsid w:val="00B93846"/>
    <w:rsid w:val="00B9453E"/>
    <w:rsid w:val="00B971F4"/>
    <w:rsid w:val="00BA08FD"/>
    <w:rsid w:val="00BA13CB"/>
    <w:rsid w:val="00BA2AC1"/>
    <w:rsid w:val="00BA2BA9"/>
    <w:rsid w:val="00BA2BD4"/>
    <w:rsid w:val="00BA65CC"/>
    <w:rsid w:val="00BA6601"/>
    <w:rsid w:val="00BB0B9E"/>
    <w:rsid w:val="00BB170D"/>
    <w:rsid w:val="00BB332C"/>
    <w:rsid w:val="00BB4990"/>
    <w:rsid w:val="00BB6E91"/>
    <w:rsid w:val="00BB73D0"/>
    <w:rsid w:val="00BC1787"/>
    <w:rsid w:val="00BC220E"/>
    <w:rsid w:val="00BC26DD"/>
    <w:rsid w:val="00BC4107"/>
    <w:rsid w:val="00BC50B5"/>
    <w:rsid w:val="00BC5238"/>
    <w:rsid w:val="00BC7042"/>
    <w:rsid w:val="00BD06DE"/>
    <w:rsid w:val="00BD0AF1"/>
    <w:rsid w:val="00BD6144"/>
    <w:rsid w:val="00BD6570"/>
    <w:rsid w:val="00BD709A"/>
    <w:rsid w:val="00BE0410"/>
    <w:rsid w:val="00BE13CD"/>
    <w:rsid w:val="00BE210B"/>
    <w:rsid w:val="00BE4049"/>
    <w:rsid w:val="00BE444A"/>
    <w:rsid w:val="00BE6C17"/>
    <w:rsid w:val="00BE7DCD"/>
    <w:rsid w:val="00BF3E07"/>
    <w:rsid w:val="00BF5A4B"/>
    <w:rsid w:val="00BF660F"/>
    <w:rsid w:val="00BF7876"/>
    <w:rsid w:val="00C018B7"/>
    <w:rsid w:val="00C03D2D"/>
    <w:rsid w:val="00C04DFE"/>
    <w:rsid w:val="00C054DD"/>
    <w:rsid w:val="00C05D63"/>
    <w:rsid w:val="00C06A36"/>
    <w:rsid w:val="00C07148"/>
    <w:rsid w:val="00C112E7"/>
    <w:rsid w:val="00C12431"/>
    <w:rsid w:val="00C12C67"/>
    <w:rsid w:val="00C16214"/>
    <w:rsid w:val="00C1631D"/>
    <w:rsid w:val="00C16338"/>
    <w:rsid w:val="00C17DA5"/>
    <w:rsid w:val="00C20F2D"/>
    <w:rsid w:val="00C25905"/>
    <w:rsid w:val="00C26326"/>
    <w:rsid w:val="00C26B59"/>
    <w:rsid w:val="00C26E8D"/>
    <w:rsid w:val="00C3317C"/>
    <w:rsid w:val="00C34041"/>
    <w:rsid w:val="00C3718E"/>
    <w:rsid w:val="00C37593"/>
    <w:rsid w:val="00C4031C"/>
    <w:rsid w:val="00C40789"/>
    <w:rsid w:val="00C42172"/>
    <w:rsid w:val="00C44005"/>
    <w:rsid w:val="00C44DCE"/>
    <w:rsid w:val="00C45081"/>
    <w:rsid w:val="00C46041"/>
    <w:rsid w:val="00C46117"/>
    <w:rsid w:val="00C50087"/>
    <w:rsid w:val="00C5057F"/>
    <w:rsid w:val="00C52CA4"/>
    <w:rsid w:val="00C554EE"/>
    <w:rsid w:val="00C5566D"/>
    <w:rsid w:val="00C559FF"/>
    <w:rsid w:val="00C56A86"/>
    <w:rsid w:val="00C6183A"/>
    <w:rsid w:val="00C62748"/>
    <w:rsid w:val="00C64830"/>
    <w:rsid w:val="00C701D8"/>
    <w:rsid w:val="00C7411A"/>
    <w:rsid w:val="00C74998"/>
    <w:rsid w:val="00C76EC8"/>
    <w:rsid w:val="00C77135"/>
    <w:rsid w:val="00C774E7"/>
    <w:rsid w:val="00C77B63"/>
    <w:rsid w:val="00C77F5E"/>
    <w:rsid w:val="00C80231"/>
    <w:rsid w:val="00C8034E"/>
    <w:rsid w:val="00C80CF1"/>
    <w:rsid w:val="00C80D9A"/>
    <w:rsid w:val="00C810AE"/>
    <w:rsid w:val="00C8127A"/>
    <w:rsid w:val="00C82E8B"/>
    <w:rsid w:val="00C833CE"/>
    <w:rsid w:val="00C844D5"/>
    <w:rsid w:val="00C84A5C"/>
    <w:rsid w:val="00C85AFA"/>
    <w:rsid w:val="00C85D28"/>
    <w:rsid w:val="00C875C4"/>
    <w:rsid w:val="00C877BB"/>
    <w:rsid w:val="00C90220"/>
    <w:rsid w:val="00C902FB"/>
    <w:rsid w:val="00C90C2C"/>
    <w:rsid w:val="00C94A42"/>
    <w:rsid w:val="00C94B21"/>
    <w:rsid w:val="00C94EE3"/>
    <w:rsid w:val="00C954D0"/>
    <w:rsid w:val="00C97E57"/>
    <w:rsid w:val="00CA1135"/>
    <w:rsid w:val="00CA1B1B"/>
    <w:rsid w:val="00CA255E"/>
    <w:rsid w:val="00CA2971"/>
    <w:rsid w:val="00CA6BA8"/>
    <w:rsid w:val="00CA758C"/>
    <w:rsid w:val="00CB0757"/>
    <w:rsid w:val="00CB1DF9"/>
    <w:rsid w:val="00CB21AA"/>
    <w:rsid w:val="00CB3405"/>
    <w:rsid w:val="00CB4CA2"/>
    <w:rsid w:val="00CB4CAF"/>
    <w:rsid w:val="00CB567E"/>
    <w:rsid w:val="00CB5B4F"/>
    <w:rsid w:val="00CB6EAB"/>
    <w:rsid w:val="00CB7E46"/>
    <w:rsid w:val="00CC034C"/>
    <w:rsid w:val="00CC06E9"/>
    <w:rsid w:val="00CC21A7"/>
    <w:rsid w:val="00CC36F4"/>
    <w:rsid w:val="00CC57F8"/>
    <w:rsid w:val="00CC5824"/>
    <w:rsid w:val="00CC58CE"/>
    <w:rsid w:val="00CC64FC"/>
    <w:rsid w:val="00CC752B"/>
    <w:rsid w:val="00CD16E3"/>
    <w:rsid w:val="00CD23E5"/>
    <w:rsid w:val="00CD2444"/>
    <w:rsid w:val="00CD301E"/>
    <w:rsid w:val="00CD631C"/>
    <w:rsid w:val="00CD7646"/>
    <w:rsid w:val="00CD7C70"/>
    <w:rsid w:val="00CE0D7D"/>
    <w:rsid w:val="00CE2287"/>
    <w:rsid w:val="00CE28F6"/>
    <w:rsid w:val="00CE381A"/>
    <w:rsid w:val="00CE5242"/>
    <w:rsid w:val="00CE5A23"/>
    <w:rsid w:val="00CE5D82"/>
    <w:rsid w:val="00CF0AA6"/>
    <w:rsid w:val="00CF1E7A"/>
    <w:rsid w:val="00CF1FD9"/>
    <w:rsid w:val="00CF2DF5"/>
    <w:rsid w:val="00CF4A2A"/>
    <w:rsid w:val="00CF4FAC"/>
    <w:rsid w:val="00CF6D4F"/>
    <w:rsid w:val="00D02369"/>
    <w:rsid w:val="00D03D0A"/>
    <w:rsid w:val="00D03D36"/>
    <w:rsid w:val="00D03F7D"/>
    <w:rsid w:val="00D0512E"/>
    <w:rsid w:val="00D0703C"/>
    <w:rsid w:val="00D07996"/>
    <w:rsid w:val="00D10AFE"/>
    <w:rsid w:val="00D17FF1"/>
    <w:rsid w:val="00D20E26"/>
    <w:rsid w:val="00D21232"/>
    <w:rsid w:val="00D21737"/>
    <w:rsid w:val="00D221BB"/>
    <w:rsid w:val="00D22761"/>
    <w:rsid w:val="00D22A5B"/>
    <w:rsid w:val="00D23D66"/>
    <w:rsid w:val="00D23E29"/>
    <w:rsid w:val="00D254FD"/>
    <w:rsid w:val="00D26710"/>
    <w:rsid w:val="00D2696B"/>
    <w:rsid w:val="00D278C4"/>
    <w:rsid w:val="00D27B01"/>
    <w:rsid w:val="00D3266B"/>
    <w:rsid w:val="00D33763"/>
    <w:rsid w:val="00D351BC"/>
    <w:rsid w:val="00D372E7"/>
    <w:rsid w:val="00D377CC"/>
    <w:rsid w:val="00D412C3"/>
    <w:rsid w:val="00D41357"/>
    <w:rsid w:val="00D426F7"/>
    <w:rsid w:val="00D42E38"/>
    <w:rsid w:val="00D432F2"/>
    <w:rsid w:val="00D44A26"/>
    <w:rsid w:val="00D45151"/>
    <w:rsid w:val="00D502D7"/>
    <w:rsid w:val="00D503C6"/>
    <w:rsid w:val="00D503F5"/>
    <w:rsid w:val="00D515F9"/>
    <w:rsid w:val="00D5231C"/>
    <w:rsid w:val="00D535BE"/>
    <w:rsid w:val="00D53662"/>
    <w:rsid w:val="00D537B8"/>
    <w:rsid w:val="00D537CC"/>
    <w:rsid w:val="00D53DA8"/>
    <w:rsid w:val="00D5493D"/>
    <w:rsid w:val="00D55951"/>
    <w:rsid w:val="00D56028"/>
    <w:rsid w:val="00D576CE"/>
    <w:rsid w:val="00D6041C"/>
    <w:rsid w:val="00D61A86"/>
    <w:rsid w:val="00D63843"/>
    <w:rsid w:val="00D64BB6"/>
    <w:rsid w:val="00D6628B"/>
    <w:rsid w:val="00D675DA"/>
    <w:rsid w:val="00D709BA"/>
    <w:rsid w:val="00D709C1"/>
    <w:rsid w:val="00D71031"/>
    <w:rsid w:val="00D71969"/>
    <w:rsid w:val="00D71E1B"/>
    <w:rsid w:val="00D723E4"/>
    <w:rsid w:val="00D73C57"/>
    <w:rsid w:val="00D7434F"/>
    <w:rsid w:val="00D75610"/>
    <w:rsid w:val="00D75F6B"/>
    <w:rsid w:val="00D76A5F"/>
    <w:rsid w:val="00D773B1"/>
    <w:rsid w:val="00D7770C"/>
    <w:rsid w:val="00D80664"/>
    <w:rsid w:val="00D8110B"/>
    <w:rsid w:val="00D82C93"/>
    <w:rsid w:val="00D83137"/>
    <w:rsid w:val="00D83257"/>
    <w:rsid w:val="00D836F3"/>
    <w:rsid w:val="00D849B6"/>
    <w:rsid w:val="00D85983"/>
    <w:rsid w:val="00D869B5"/>
    <w:rsid w:val="00D9005C"/>
    <w:rsid w:val="00D901D9"/>
    <w:rsid w:val="00D90531"/>
    <w:rsid w:val="00D91D27"/>
    <w:rsid w:val="00D954BC"/>
    <w:rsid w:val="00D97A41"/>
    <w:rsid w:val="00DA0EB7"/>
    <w:rsid w:val="00DA1634"/>
    <w:rsid w:val="00DA179B"/>
    <w:rsid w:val="00DA202E"/>
    <w:rsid w:val="00DA26ED"/>
    <w:rsid w:val="00DA29E7"/>
    <w:rsid w:val="00DA33E3"/>
    <w:rsid w:val="00DA33E6"/>
    <w:rsid w:val="00DA3C09"/>
    <w:rsid w:val="00DA4EA0"/>
    <w:rsid w:val="00DA5920"/>
    <w:rsid w:val="00DA65F0"/>
    <w:rsid w:val="00DA7E70"/>
    <w:rsid w:val="00DB06F5"/>
    <w:rsid w:val="00DB0C35"/>
    <w:rsid w:val="00DB2743"/>
    <w:rsid w:val="00DB4F44"/>
    <w:rsid w:val="00DC18CE"/>
    <w:rsid w:val="00DC1A8A"/>
    <w:rsid w:val="00DC3AA4"/>
    <w:rsid w:val="00DC3D8F"/>
    <w:rsid w:val="00DC4654"/>
    <w:rsid w:val="00DD0488"/>
    <w:rsid w:val="00DD0D8C"/>
    <w:rsid w:val="00DD1EAD"/>
    <w:rsid w:val="00DD5A40"/>
    <w:rsid w:val="00DD7214"/>
    <w:rsid w:val="00DD7678"/>
    <w:rsid w:val="00DE1269"/>
    <w:rsid w:val="00DE1455"/>
    <w:rsid w:val="00DE2025"/>
    <w:rsid w:val="00DE27D1"/>
    <w:rsid w:val="00DE5113"/>
    <w:rsid w:val="00DE75E8"/>
    <w:rsid w:val="00DF056F"/>
    <w:rsid w:val="00DF1031"/>
    <w:rsid w:val="00DF1A48"/>
    <w:rsid w:val="00DF298C"/>
    <w:rsid w:val="00DF68B1"/>
    <w:rsid w:val="00E0015E"/>
    <w:rsid w:val="00E03F2F"/>
    <w:rsid w:val="00E04CB2"/>
    <w:rsid w:val="00E04D9F"/>
    <w:rsid w:val="00E065BB"/>
    <w:rsid w:val="00E06947"/>
    <w:rsid w:val="00E06FDB"/>
    <w:rsid w:val="00E1043A"/>
    <w:rsid w:val="00E10F2A"/>
    <w:rsid w:val="00E11E58"/>
    <w:rsid w:val="00E16FE6"/>
    <w:rsid w:val="00E171D5"/>
    <w:rsid w:val="00E20487"/>
    <w:rsid w:val="00E20BCD"/>
    <w:rsid w:val="00E20FD3"/>
    <w:rsid w:val="00E2271E"/>
    <w:rsid w:val="00E2326D"/>
    <w:rsid w:val="00E249D9"/>
    <w:rsid w:val="00E25A2D"/>
    <w:rsid w:val="00E2793A"/>
    <w:rsid w:val="00E30D7C"/>
    <w:rsid w:val="00E312B9"/>
    <w:rsid w:val="00E327CB"/>
    <w:rsid w:val="00E32C6D"/>
    <w:rsid w:val="00E32CE7"/>
    <w:rsid w:val="00E334A3"/>
    <w:rsid w:val="00E366E7"/>
    <w:rsid w:val="00E37B1E"/>
    <w:rsid w:val="00E407BF"/>
    <w:rsid w:val="00E428E3"/>
    <w:rsid w:val="00E44746"/>
    <w:rsid w:val="00E45221"/>
    <w:rsid w:val="00E456DA"/>
    <w:rsid w:val="00E4578C"/>
    <w:rsid w:val="00E45F63"/>
    <w:rsid w:val="00E469CF"/>
    <w:rsid w:val="00E4706A"/>
    <w:rsid w:val="00E47185"/>
    <w:rsid w:val="00E471E8"/>
    <w:rsid w:val="00E47205"/>
    <w:rsid w:val="00E51696"/>
    <w:rsid w:val="00E55ED3"/>
    <w:rsid w:val="00E56339"/>
    <w:rsid w:val="00E5676F"/>
    <w:rsid w:val="00E5691C"/>
    <w:rsid w:val="00E56C72"/>
    <w:rsid w:val="00E573CF"/>
    <w:rsid w:val="00E577AA"/>
    <w:rsid w:val="00E57D9B"/>
    <w:rsid w:val="00E60E30"/>
    <w:rsid w:val="00E60E7E"/>
    <w:rsid w:val="00E61205"/>
    <w:rsid w:val="00E62E0F"/>
    <w:rsid w:val="00E64754"/>
    <w:rsid w:val="00E65BB2"/>
    <w:rsid w:val="00E675C4"/>
    <w:rsid w:val="00E67FD1"/>
    <w:rsid w:val="00E7084F"/>
    <w:rsid w:val="00E71079"/>
    <w:rsid w:val="00E7117B"/>
    <w:rsid w:val="00E72D3A"/>
    <w:rsid w:val="00E7425F"/>
    <w:rsid w:val="00E75158"/>
    <w:rsid w:val="00E76C7A"/>
    <w:rsid w:val="00E773E0"/>
    <w:rsid w:val="00E8052C"/>
    <w:rsid w:val="00E8055C"/>
    <w:rsid w:val="00E807AF"/>
    <w:rsid w:val="00E80E43"/>
    <w:rsid w:val="00E826F8"/>
    <w:rsid w:val="00E83EC0"/>
    <w:rsid w:val="00E84623"/>
    <w:rsid w:val="00E84F04"/>
    <w:rsid w:val="00E8737B"/>
    <w:rsid w:val="00E87411"/>
    <w:rsid w:val="00E87F2F"/>
    <w:rsid w:val="00E90002"/>
    <w:rsid w:val="00E903B1"/>
    <w:rsid w:val="00E90E7F"/>
    <w:rsid w:val="00E91ADC"/>
    <w:rsid w:val="00E9240A"/>
    <w:rsid w:val="00E92C2E"/>
    <w:rsid w:val="00E93042"/>
    <w:rsid w:val="00E95EB9"/>
    <w:rsid w:val="00E95EF5"/>
    <w:rsid w:val="00E96A47"/>
    <w:rsid w:val="00EA04BB"/>
    <w:rsid w:val="00EA07DB"/>
    <w:rsid w:val="00EA200D"/>
    <w:rsid w:val="00EA3719"/>
    <w:rsid w:val="00EA590F"/>
    <w:rsid w:val="00EA7048"/>
    <w:rsid w:val="00EA786F"/>
    <w:rsid w:val="00EA7962"/>
    <w:rsid w:val="00EB0C0C"/>
    <w:rsid w:val="00EB25DE"/>
    <w:rsid w:val="00EB2C91"/>
    <w:rsid w:val="00EB3C52"/>
    <w:rsid w:val="00EB57D9"/>
    <w:rsid w:val="00EB6F01"/>
    <w:rsid w:val="00EB71B5"/>
    <w:rsid w:val="00EB76DF"/>
    <w:rsid w:val="00EC11F8"/>
    <w:rsid w:val="00EC23A0"/>
    <w:rsid w:val="00EC467A"/>
    <w:rsid w:val="00EC57CA"/>
    <w:rsid w:val="00EC5EB0"/>
    <w:rsid w:val="00EC61AB"/>
    <w:rsid w:val="00ED023F"/>
    <w:rsid w:val="00ED05A3"/>
    <w:rsid w:val="00ED0B1E"/>
    <w:rsid w:val="00ED2111"/>
    <w:rsid w:val="00ED423B"/>
    <w:rsid w:val="00ED681D"/>
    <w:rsid w:val="00ED6AA6"/>
    <w:rsid w:val="00ED6D7B"/>
    <w:rsid w:val="00EE27F1"/>
    <w:rsid w:val="00EE3296"/>
    <w:rsid w:val="00EE33E8"/>
    <w:rsid w:val="00EE36EA"/>
    <w:rsid w:val="00EE3765"/>
    <w:rsid w:val="00EE44FF"/>
    <w:rsid w:val="00EE4646"/>
    <w:rsid w:val="00EE4B6C"/>
    <w:rsid w:val="00EE50D9"/>
    <w:rsid w:val="00EE728A"/>
    <w:rsid w:val="00EE7900"/>
    <w:rsid w:val="00EF0D41"/>
    <w:rsid w:val="00EF1046"/>
    <w:rsid w:val="00EF15DE"/>
    <w:rsid w:val="00EF1E52"/>
    <w:rsid w:val="00EF22AF"/>
    <w:rsid w:val="00EF4053"/>
    <w:rsid w:val="00EF5891"/>
    <w:rsid w:val="00EF6E85"/>
    <w:rsid w:val="00EF72A8"/>
    <w:rsid w:val="00F02288"/>
    <w:rsid w:val="00F022BF"/>
    <w:rsid w:val="00F031E9"/>
    <w:rsid w:val="00F043A7"/>
    <w:rsid w:val="00F05A97"/>
    <w:rsid w:val="00F06BF1"/>
    <w:rsid w:val="00F07A72"/>
    <w:rsid w:val="00F110CB"/>
    <w:rsid w:val="00F118EF"/>
    <w:rsid w:val="00F14374"/>
    <w:rsid w:val="00F14CFB"/>
    <w:rsid w:val="00F16310"/>
    <w:rsid w:val="00F163CE"/>
    <w:rsid w:val="00F1673F"/>
    <w:rsid w:val="00F16FA1"/>
    <w:rsid w:val="00F17273"/>
    <w:rsid w:val="00F20657"/>
    <w:rsid w:val="00F210AC"/>
    <w:rsid w:val="00F2164C"/>
    <w:rsid w:val="00F2287C"/>
    <w:rsid w:val="00F22B05"/>
    <w:rsid w:val="00F2337F"/>
    <w:rsid w:val="00F2443B"/>
    <w:rsid w:val="00F24717"/>
    <w:rsid w:val="00F254EA"/>
    <w:rsid w:val="00F266C3"/>
    <w:rsid w:val="00F3016A"/>
    <w:rsid w:val="00F30452"/>
    <w:rsid w:val="00F30759"/>
    <w:rsid w:val="00F30A7B"/>
    <w:rsid w:val="00F30F5D"/>
    <w:rsid w:val="00F32045"/>
    <w:rsid w:val="00F321A5"/>
    <w:rsid w:val="00F34253"/>
    <w:rsid w:val="00F353BE"/>
    <w:rsid w:val="00F359C9"/>
    <w:rsid w:val="00F35D51"/>
    <w:rsid w:val="00F35EBE"/>
    <w:rsid w:val="00F36634"/>
    <w:rsid w:val="00F3666B"/>
    <w:rsid w:val="00F36B87"/>
    <w:rsid w:val="00F4292F"/>
    <w:rsid w:val="00F43E23"/>
    <w:rsid w:val="00F466A7"/>
    <w:rsid w:val="00F5061E"/>
    <w:rsid w:val="00F5066C"/>
    <w:rsid w:val="00F5209B"/>
    <w:rsid w:val="00F549AB"/>
    <w:rsid w:val="00F552D0"/>
    <w:rsid w:val="00F55F0D"/>
    <w:rsid w:val="00F61E71"/>
    <w:rsid w:val="00F63382"/>
    <w:rsid w:val="00F65A0B"/>
    <w:rsid w:val="00F665D2"/>
    <w:rsid w:val="00F66DF6"/>
    <w:rsid w:val="00F67443"/>
    <w:rsid w:val="00F67BD8"/>
    <w:rsid w:val="00F67E8B"/>
    <w:rsid w:val="00F67F04"/>
    <w:rsid w:val="00F709B8"/>
    <w:rsid w:val="00F71688"/>
    <w:rsid w:val="00F71756"/>
    <w:rsid w:val="00F72888"/>
    <w:rsid w:val="00F7385C"/>
    <w:rsid w:val="00F73E71"/>
    <w:rsid w:val="00F74708"/>
    <w:rsid w:val="00F74A57"/>
    <w:rsid w:val="00F74E4E"/>
    <w:rsid w:val="00F756B5"/>
    <w:rsid w:val="00F80F08"/>
    <w:rsid w:val="00F8162C"/>
    <w:rsid w:val="00F82408"/>
    <w:rsid w:val="00F83B67"/>
    <w:rsid w:val="00F840FE"/>
    <w:rsid w:val="00F857B2"/>
    <w:rsid w:val="00F85D70"/>
    <w:rsid w:val="00F8647D"/>
    <w:rsid w:val="00F86A9C"/>
    <w:rsid w:val="00F8706D"/>
    <w:rsid w:val="00F9051C"/>
    <w:rsid w:val="00F907EA"/>
    <w:rsid w:val="00F95BF0"/>
    <w:rsid w:val="00F96653"/>
    <w:rsid w:val="00F96E0B"/>
    <w:rsid w:val="00F97ACD"/>
    <w:rsid w:val="00FA02F8"/>
    <w:rsid w:val="00FA0585"/>
    <w:rsid w:val="00FA1864"/>
    <w:rsid w:val="00FA39FE"/>
    <w:rsid w:val="00FA3F11"/>
    <w:rsid w:val="00FA5C9E"/>
    <w:rsid w:val="00FA63C5"/>
    <w:rsid w:val="00FA691B"/>
    <w:rsid w:val="00FA69D6"/>
    <w:rsid w:val="00FB02AE"/>
    <w:rsid w:val="00FB072E"/>
    <w:rsid w:val="00FB08C3"/>
    <w:rsid w:val="00FB136E"/>
    <w:rsid w:val="00FB1A48"/>
    <w:rsid w:val="00FB2C2C"/>
    <w:rsid w:val="00FB3CC0"/>
    <w:rsid w:val="00FB401A"/>
    <w:rsid w:val="00FB4AD3"/>
    <w:rsid w:val="00FB6508"/>
    <w:rsid w:val="00FC49DD"/>
    <w:rsid w:val="00FC4AE1"/>
    <w:rsid w:val="00FC4AE8"/>
    <w:rsid w:val="00FC5014"/>
    <w:rsid w:val="00FC74DD"/>
    <w:rsid w:val="00FC78BC"/>
    <w:rsid w:val="00FD0DC9"/>
    <w:rsid w:val="00FD10AF"/>
    <w:rsid w:val="00FD1AAE"/>
    <w:rsid w:val="00FD1E8F"/>
    <w:rsid w:val="00FD29D1"/>
    <w:rsid w:val="00FD39EB"/>
    <w:rsid w:val="00FE00C5"/>
    <w:rsid w:val="00FE0F4E"/>
    <w:rsid w:val="00FE0FE1"/>
    <w:rsid w:val="00FE299C"/>
    <w:rsid w:val="00FE2B1A"/>
    <w:rsid w:val="00FE38B0"/>
    <w:rsid w:val="00FE3E8E"/>
    <w:rsid w:val="00FE44EB"/>
    <w:rsid w:val="00FE459E"/>
    <w:rsid w:val="00FE487F"/>
    <w:rsid w:val="00FE6318"/>
    <w:rsid w:val="00FE7EB5"/>
    <w:rsid w:val="00FF1BFB"/>
    <w:rsid w:val="00FF2BC9"/>
    <w:rsid w:val="00FF2BFC"/>
    <w:rsid w:val="00FF30EA"/>
    <w:rsid w:val="00FF47D8"/>
    <w:rsid w:val="00FF557A"/>
    <w:rsid w:val="00FF6047"/>
    <w:rsid w:val="08A94382"/>
    <w:rsid w:val="0BA045EB"/>
    <w:rsid w:val="27EA3170"/>
    <w:rsid w:val="29C67412"/>
    <w:rsid w:val="2ADB4213"/>
    <w:rsid w:val="2C6604B0"/>
    <w:rsid w:val="34264185"/>
    <w:rsid w:val="40A92B57"/>
    <w:rsid w:val="44675D9A"/>
    <w:rsid w:val="4F017C92"/>
    <w:rsid w:val="552911FB"/>
    <w:rsid w:val="5D6C6650"/>
    <w:rsid w:val="63D83130"/>
    <w:rsid w:val="67496BCE"/>
    <w:rsid w:val="7245225D"/>
    <w:rsid w:val="759A3EAF"/>
    <w:rsid w:val="77505D4E"/>
    <w:rsid w:val="7A294125"/>
    <w:rsid w:val="7E49070F"/>
    <w:rsid w:val="7FB74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0"/>
    <w:qFormat/>
    <w:uiPriority w:val="9"/>
    <w:pPr>
      <w:keepNext/>
      <w:keepLines/>
      <w:adjustRightInd w:val="0"/>
      <w:snapToGrid w:val="0"/>
      <w:spacing w:beforeLines="200" w:afterLines="200" w:line="360" w:lineRule="auto"/>
      <w:jc w:val="center"/>
      <w:outlineLvl w:val="0"/>
    </w:pPr>
    <w:rPr>
      <w:rFonts w:ascii="宋体" w:hAnsi="宋体" w:eastAsia="宋体"/>
      <w:b/>
      <w:bCs/>
      <w:kern w:val="44"/>
      <w:sz w:val="32"/>
      <w:szCs w:val="44"/>
    </w:rPr>
  </w:style>
  <w:style w:type="paragraph" w:styleId="3">
    <w:name w:val="heading 2"/>
    <w:basedOn w:val="1"/>
    <w:next w:val="1"/>
    <w:link w:val="21"/>
    <w:unhideWhenUsed/>
    <w:qFormat/>
    <w:uiPriority w:val="9"/>
    <w:pPr>
      <w:keepNext/>
      <w:keepLines/>
      <w:adjustRightInd w:val="0"/>
      <w:snapToGrid w:val="0"/>
      <w:spacing w:beforeLines="150" w:afterLines="150" w:line="420" w:lineRule="auto"/>
      <w:jc w:val="center"/>
      <w:outlineLvl w:val="1"/>
    </w:pPr>
    <w:rPr>
      <w:rFonts w:asciiTheme="majorHAnsi" w:hAnsiTheme="majorHAnsi" w:eastAsiaTheme="majorEastAsia" w:cstheme="majorBidi"/>
      <w:b/>
      <w:bCs/>
      <w:sz w:val="24"/>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1"/>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line="360" w:lineRule="auto"/>
    </w:pPr>
    <w:rPr>
      <w:sz w:val="28"/>
    </w:rPr>
  </w:style>
  <w:style w:type="paragraph" w:styleId="12">
    <w:name w:val="toc 2"/>
    <w:basedOn w:val="1"/>
    <w:next w:val="1"/>
    <w:unhideWhenUsed/>
    <w:qFormat/>
    <w:uiPriority w:val="39"/>
    <w:pPr>
      <w:tabs>
        <w:tab w:val="right" w:leader="dot" w:pos="8302"/>
      </w:tabs>
      <w:spacing w:line="360" w:lineRule="auto"/>
      <w:ind w:left="420" w:leftChars="200"/>
    </w:pPr>
    <w:rPr>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9"/>
    <w:rPr>
      <w:rFonts w:ascii="宋体" w:hAnsi="宋体" w:eastAsia="宋体"/>
      <w:b/>
      <w:bCs/>
      <w:kern w:val="44"/>
      <w:sz w:val="32"/>
      <w:szCs w:val="44"/>
    </w:rPr>
  </w:style>
  <w:style w:type="character" w:customStyle="1" w:styleId="21">
    <w:name w:val="标题 2 Char"/>
    <w:basedOn w:val="15"/>
    <w:link w:val="3"/>
    <w:qFormat/>
    <w:uiPriority w:val="9"/>
    <w:rPr>
      <w:rFonts w:asciiTheme="majorHAnsi" w:hAnsiTheme="majorHAnsi" w:eastAsiaTheme="majorEastAsia" w:cstheme="majorBidi"/>
      <w:b/>
      <w:bCs/>
      <w:sz w:val="24"/>
      <w:szCs w:val="32"/>
    </w:rPr>
  </w:style>
  <w:style w:type="paragraph" w:customStyle="1" w:styleId="22">
    <w:name w:val="列出段落1"/>
    <w:basedOn w:val="1"/>
    <w:qFormat/>
    <w:uiPriority w:val="34"/>
    <w:pPr>
      <w:ind w:firstLine="420" w:firstLineChars="200"/>
    </w:pPr>
    <w:rPr>
      <w:rFonts w:ascii="Times New Roman" w:hAnsi="Times New Roman" w:eastAsia="宋体" w:cs="Times New Roman"/>
      <w:szCs w:val="24"/>
    </w:rPr>
  </w:style>
  <w:style w:type="paragraph" w:customStyle="1" w:styleId="23">
    <w:name w:val="正文缩进 2 字符"/>
    <w:basedOn w:val="1"/>
    <w:qFormat/>
    <w:uiPriority w:val="0"/>
    <w:pPr>
      <w:spacing w:after="120" w:line="480" w:lineRule="exact"/>
      <w:ind w:firstLine="420" w:firstLineChars="200"/>
    </w:pPr>
    <w:rPr>
      <w:rFonts w:ascii="Times New Roman" w:hAnsi="Times New Roman" w:eastAsia="宋体" w:cs="Times New Roman"/>
      <w:color w:val="943634"/>
    </w:rPr>
  </w:style>
  <w:style w:type="paragraph" w:styleId="24">
    <w:name w:val="List Paragraph"/>
    <w:basedOn w:val="1"/>
    <w:link w:val="25"/>
    <w:qFormat/>
    <w:uiPriority w:val="34"/>
    <w:pPr>
      <w:ind w:firstLine="420" w:firstLineChars="200"/>
    </w:pPr>
  </w:style>
  <w:style w:type="character" w:customStyle="1" w:styleId="25">
    <w:name w:val="列出段落 Char"/>
    <w:basedOn w:val="15"/>
    <w:link w:val="24"/>
    <w:qFormat/>
    <w:uiPriority w:val="34"/>
  </w:style>
  <w:style w:type="paragraph" w:customStyle="1" w:styleId="26">
    <w:name w:val="F3"/>
    <w:basedOn w:val="1"/>
    <w:qFormat/>
    <w:uiPriority w:val="99"/>
    <w:pPr>
      <w:spacing w:beforeLines="50" w:line="360" w:lineRule="auto"/>
      <w:jc w:val="left"/>
      <w:outlineLvl w:val="1"/>
    </w:pPr>
    <w:rPr>
      <w:rFonts w:ascii="黑体" w:hAnsi="Calibri" w:eastAsia="黑体" w:cs="黑体"/>
      <w:color w:val="000000"/>
      <w:sz w:val="30"/>
      <w:szCs w:val="30"/>
    </w:rPr>
  </w:style>
  <w:style w:type="character" w:customStyle="1" w:styleId="27">
    <w:name w:val="日期 Char"/>
    <w:basedOn w:val="15"/>
    <w:link w:val="7"/>
    <w:semiHidden/>
    <w:qFormat/>
    <w:uiPriority w:val="99"/>
  </w:style>
  <w:style w:type="character" w:customStyle="1" w:styleId="28">
    <w:name w:val="批注框文本 Char"/>
    <w:basedOn w:val="15"/>
    <w:link w:val="8"/>
    <w:semiHidden/>
    <w:qFormat/>
    <w:uiPriority w:val="99"/>
    <w:rPr>
      <w:sz w:val="18"/>
      <w:szCs w:val="18"/>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30">
    <w:name w:val="二级条标题"/>
    <w:basedOn w:val="1"/>
    <w:next w:val="1"/>
    <w:qFormat/>
    <w:uiPriority w:val="0"/>
    <w:pPr>
      <w:widowControl/>
      <w:spacing w:beforeLines="50" w:afterLines="50"/>
      <w:ind w:left="1080"/>
      <w:jc w:val="left"/>
      <w:outlineLvl w:val="3"/>
    </w:pPr>
    <w:rPr>
      <w:rFonts w:ascii="黑体" w:hAnsi="Times New Roman" w:eastAsia="黑体" w:cs="Times New Roman"/>
      <w:kern w:val="0"/>
    </w:rPr>
  </w:style>
  <w:style w:type="character" w:customStyle="1" w:styleId="31">
    <w:name w:val="文档结构图 Char"/>
    <w:basedOn w:val="15"/>
    <w:link w:val="5"/>
    <w:semiHidden/>
    <w:qFormat/>
    <w:uiPriority w:val="99"/>
    <w:rPr>
      <w:rFonts w:ascii="宋体" w:eastAsia="宋体"/>
      <w:sz w:val="18"/>
      <w:szCs w:val="18"/>
    </w:rPr>
  </w:style>
  <w:style w:type="character" w:customStyle="1" w:styleId="32">
    <w:name w:val="批注文字 Char"/>
    <w:basedOn w:val="15"/>
    <w:link w:val="6"/>
    <w:semiHidden/>
    <w:qFormat/>
    <w:uiPriority w:val="99"/>
  </w:style>
  <w:style w:type="character" w:customStyle="1" w:styleId="33">
    <w:name w:val="标题 3 Char"/>
    <w:basedOn w:val="15"/>
    <w:link w:val="4"/>
    <w:qFormat/>
    <w:uiPriority w:val="9"/>
    <w:rPr>
      <w:b/>
      <w:bCs/>
      <w:sz w:val="32"/>
      <w:szCs w:val="32"/>
    </w:rPr>
  </w:style>
  <w:style w:type="paragraph" w:customStyle="1" w:styleId="34">
    <w:name w:val="Revision"/>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35">
    <w:name w:val="正文小4"/>
    <w:basedOn w:val="1"/>
    <w:qFormat/>
    <w:uiPriority w:val="0"/>
    <w:pPr>
      <w:spacing w:line="360" w:lineRule="auto"/>
      <w:ind w:firstLine="485" w:firstLineChars="202"/>
    </w:pPr>
    <w:rPr>
      <w:sz w:val="24"/>
      <w:szCs w:val="24"/>
    </w:rPr>
  </w:style>
  <w:style w:type="table" w:customStyle="1" w:styleId="36">
    <w:name w:val="无格式表格 21"/>
    <w:basedOn w:val="13"/>
    <w:qFormat/>
    <w:uiPriority w:val="42"/>
    <w:rPr>
      <w:kern w:val="0"/>
      <w:sz w:val="22"/>
      <w:szCs w:val="22"/>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7">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styleId="38">
    <w:name w:val="Placeholder Text"/>
    <w:basedOn w:val="15"/>
    <w:semiHidden/>
    <w:qFormat/>
    <w:uiPriority w:val="99"/>
    <w:rPr>
      <w:color w:val="808080"/>
    </w:rPr>
  </w:style>
  <w:style w:type="character" w:customStyle="1" w:styleId="39">
    <w:name w:val="fontstyle01"/>
    <w:basedOn w:val="15"/>
    <w:qFormat/>
    <w:uiPriority w:val="0"/>
    <w:rPr>
      <w:rFonts w:hint="eastAsia" w:ascii="宋体" w:hAnsi="宋体" w:eastAsia="宋体"/>
      <w:color w:val="000000"/>
      <w:sz w:val="24"/>
      <w:szCs w:val="24"/>
    </w:rPr>
  </w:style>
  <w:style w:type="character" w:customStyle="1" w:styleId="40">
    <w:name w:val="fontstyle21"/>
    <w:basedOn w:val="15"/>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133</Pages>
  <Words>81225</Words>
  <Characters>88755</Characters>
  <Lines>671</Lines>
  <Paragraphs>189</Paragraphs>
  <TotalTime>37</TotalTime>
  <ScaleCrop>false</ScaleCrop>
  <LinksUpToDate>false</LinksUpToDate>
  <CharactersWithSpaces>92506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2020-09-23T15:45:00Z</dcterms:created>
  <dc:creator>廖振宁</dc:creator>
  <cp:lastModifiedBy>陌</cp:lastModifiedBy>
  <cp:lastPrinted>2021-10-20T10:36:00Z</cp:lastPrinted>
  <dcterms:modified xsi:type="dcterms:W3CDTF">2022-08-17T07:27:37Z</dcterms:modified>
  <cp:revision>1145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C6FA71B82EEE444CBE52D0FD473FD6E6</vt:lpwstr>
  </property>
</Properties>
</file>