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bookmarkStart w:id="16" w:name="_GoBack"/>
      <w:bookmarkEnd w:id="16"/>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jc w:val="center"/>
        <w:rPr>
          <w:rFonts w:ascii="方正小标宋简体" w:hAnsi="Calibri" w:eastAsia="方正小标宋简体" w:cs="Calibri"/>
          <w:b/>
          <w:sz w:val="44"/>
          <w:szCs w:val="44"/>
        </w:rPr>
      </w:pPr>
      <w:r>
        <w:rPr>
          <w:rFonts w:hint="eastAsia" w:ascii="方正小标宋简体" w:eastAsia="方正小标宋简体"/>
          <w:b/>
          <w:sz w:val="44"/>
          <w:szCs w:val="44"/>
          <w:lang w:eastAsia="zh-CN"/>
        </w:rPr>
        <w:t>项目</w:t>
      </w:r>
      <w:r>
        <w:rPr>
          <w:rFonts w:hint="eastAsia" w:ascii="方正小标宋简体" w:eastAsia="方正小标宋简体"/>
          <w:b/>
          <w:sz w:val="44"/>
          <w:szCs w:val="44"/>
        </w:rPr>
        <w:t>绩效自评报告</w:t>
      </w: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rPr>
          <w:rFonts w:ascii="方正小标宋简体" w:hAnsi="Calibri" w:eastAsia="方正小标宋简体" w:cs="Calibri"/>
          <w:b/>
          <w:sz w:val="44"/>
          <w:szCs w:val="44"/>
        </w:rPr>
      </w:pPr>
    </w:p>
    <w:p>
      <w:pPr>
        <w:spacing w:line="360" w:lineRule="auto"/>
        <w:jc w:val="left"/>
        <w:rPr>
          <w:rFonts w:ascii="方正小标宋简体" w:hAnsi="Calibri" w:eastAsia="方正小标宋简体" w:cs="Calibri"/>
          <w:b/>
          <w:sz w:val="44"/>
          <w:szCs w:val="44"/>
        </w:rPr>
      </w:pPr>
    </w:p>
    <w:p>
      <w:pPr>
        <w:pStyle w:val="6"/>
        <w:keepNext w:val="0"/>
        <w:keepLines w:val="0"/>
        <w:widowControl/>
        <w:suppressLineNumbers w:val="0"/>
        <w:spacing w:before="0" w:beforeAutospacing="0" w:after="0" w:afterAutospacing="0"/>
        <w:ind w:left="0" w:right="0" w:firstLine="0"/>
        <w:rPr>
          <w:rFonts w:hint="eastAsia" w:ascii="仿宋_GB2312" w:eastAsia="仿宋_GB2312" w:hAnsiTheme="minorHAnsi" w:cstheme="minorBidi"/>
          <w:b w:val="0"/>
          <w:kern w:val="2"/>
          <w:sz w:val="32"/>
          <w:szCs w:val="32"/>
          <w:lang w:eastAsia="zh-CN" w:bidi="ar-SA"/>
        </w:rPr>
      </w:pPr>
      <w:r>
        <w:rPr>
          <w:rFonts w:hint="eastAsia" w:ascii="仿宋_GB2312" w:eastAsia="仿宋_GB2312"/>
          <w:b/>
          <w:sz w:val="32"/>
          <w:szCs w:val="32"/>
          <w:lang w:eastAsia="zh-CN"/>
        </w:rPr>
        <w:t>资金名称</w:t>
      </w:r>
      <w:r>
        <w:rPr>
          <w:rFonts w:hint="eastAsia" w:ascii="仿宋_GB2312" w:eastAsia="仿宋_GB2312"/>
          <w:b/>
          <w:sz w:val="32"/>
          <w:szCs w:val="32"/>
        </w:rPr>
        <w:t>：</w:t>
      </w:r>
      <w:r>
        <w:rPr>
          <w:rFonts w:hint="eastAsia" w:ascii="仿宋_GB2312" w:eastAsia="仿宋_GB2312" w:hAnsiTheme="minorHAnsi" w:cstheme="minorBidi"/>
          <w:b w:val="0"/>
          <w:kern w:val="2"/>
          <w:sz w:val="32"/>
          <w:szCs w:val="32"/>
          <w:lang w:bidi="ar-SA"/>
        </w:rPr>
        <w:t>2021年打好污染防治攻坚战—</w:t>
      </w:r>
      <w:r>
        <w:rPr>
          <w:rFonts w:hint="eastAsia" w:ascii="仿宋_GB2312" w:eastAsia="仿宋_GB2312" w:cstheme="minorBidi"/>
          <w:b w:val="0"/>
          <w:kern w:val="2"/>
          <w:sz w:val="32"/>
          <w:szCs w:val="32"/>
          <w:lang w:eastAsia="zh-CN" w:bidi="ar-SA"/>
        </w:rPr>
        <w:t>环境监管能力建设</w:t>
      </w:r>
      <w:r>
        <w:rPr>
          <w:rFonts w:hint="eastAsia" w:ascii="仿宋_GB2312" w:eastAsia="仿宋_GB2312" w:hAnsiTheme="minorHAnsi" w:cstheme="minorBidi"/>
          <w:b w:val="0"/>
          <w:kern w:val="2"/>
          <w:sz w:val="32"/>
          <w:szCs w:val="32"/>
          <w:lang w:eastAsia="zh-CN" w:bidi="ar-SA"/>
        </w:rPr>
        <w:t>（</w:t>
      </w:r>
      <w:r>
        <w:rPr>
          <w:rFonts w:hint="eastAsia" w:ascii="仿宋_GB2312" w:eastAsia="仿宋_GB2312" w:hAnsiTheme="minorHAnsi" w:cstheme="minorBidi"/>
          <w:b w:val="0"/>
          <w:kern w:val="2"/>
          <w:sz w:val="32"/>
          <w:szCs w:val="32"/>
          <w:lang w:val="en-US" w:eastAsia="zh-CN" w:bidi="ar-SA"/>
        </w:rPr>
        <w:t>1,200万元</w:t>
      </w:r>
      <w:r>
        <w:rPr>
          <w:rFonts w:hint="eastAsia" w:ascii="仿宋_GB2312" w:eastAsia="仿宋_GB2312" w:hAnsiTheme="minorHAnsi" w:cstheme="minorBidi"/>
          <w:b w:val="0"/>
          <w:kern w:val="2"/>
          <w:sz w:val="32"/>
          <w:szCs w:val="32"/>
          <w:lang w:eastAsia="zh-CN" w:bidi="ar-SA"/>
        </w:rPr>
        <w:t>）</w:t>
      </w:r>
    </w:p>
    <w:p>
      <w:pPr>
        <w:spacing w:line="360" w:lineRule="auto"/>
        <w:jc w:val="left"/>
        <w:rPr>
          <w:rFonts w:ascii="仿宋_GB2312" w:eastAsia="仿宋_GB2312"/>
          <w:sz w:val="32"/>
          <w:szCs w:val="32"/>
        </w:rPr>
      </w:pPr>
      <w:r>
        <w:rPr>
          <w:rFonts w:hint="eastAsia" w:ascii="仿宋_GB2312" w:eastAsia="仿宋_GB2312"/>
          <w:b/>
          <w:sz w:val="32"/>
          <w:szCs w:val="32"/>
        </w:rPr>
        <w:t>预算</w:t>
      </w:r>
      <w:r>
        <w:rPr>
          <w:rFonts w:hint="eastAsia" w:ascii="仿宋_GB2312" w:eastAsia="仿宋_GB2312"/>
          <w:b/>
          <w:sz w:val="32"/>
          <w:szCs w:val="32"/>
          <w:lang w:eastAsia="zh-CN"/>
        </w:rPr>
        <w:t>单位</w:t>
      </w:r>
      <w:r>
        <w:rPr>
          <w:rFonts w:hint="eastAsia" w:ascii="仿宋_GB2312" w:eastAsia="仿宋_GB2312"/>
          <w:b/>
          <w:sz w:val="32"/>
          <w:szCs w:val="32"/>
        </w:rPr>
        <w:t>：</w:t>
      </w:r>
      <w:r>
        <w:rPr>
          <w:rFonts w:hint="eastAsia" w:ascii="仿宋_GB2312" w:eastAsia="仿宋_GB2312"/>
          <w:sz w:val="32"/>
          <w:szCs w:val="32"/>
        </w:rPr>
        <w:t>广东省住房和城乡建设厅（公章）</w:t>
      </w:r>
    </w:p>
    <w:p>
      <w:pPr>
        <w:spacing w:line="360" w:lineRule="auto"/>
        <w:jc w:val="left"/>
        <w:rPr>
          <w:rFonts w:ascii="仿宋_GB2312" w:eastAsia="仿宋_GB2312"/>
          <w:color w:val="auto"/>
          <w:sz w:val="32"/>
          <w:szCs w:val="32"/>
        </w:rPr>
      </w:pPr>
      <w:r>
        <w:rPr>
          <w:rFonts w:hint="eastAsia" w:ascii="仿宋_GB2312" w:eastAsia="仿宋_GB2312"/>
          <w:b/>
          <w:sz w:val="32"/>
          <w:szCs w:val="32"/>
        </w:rPr>
        <w:t>填报人姓名</w:t>
      </w:r>
      <w:r>
        <w:rPr>
          <w:rFonts w:hint="eastAsia" w:ascii="仿宋_GB2312" w:eastAsia="仿宋_GB2312"/>
          <w:b/>
          <w:color w:val="auto"/>
          <w:sz w:val="32"/>
          <w:szCs w:val="32"/>
        </w:rPr>
        <w:t>：</w:t>
      </w:r>
      <w:r>
        <w:rPr>
          <w:rFonts w:hint="eastAsia" w:ascii="仿宋_GB2312" w:eastAsia="仿宋_GB2312"/>
          <w:b w:val="0"/>
          <w:color w:val="auto"/>
          <w:sz w:val="32"/>
          <w:szCs w:val="32"/>
        </w:rPr>
        <w:t>林梓枫</w:t>
      </w:r>
    </w:p>
    <w:p>
      <w:pPr>
        <w:spacing w:line="360" w:lineRule="auto"/>
        <w:jc w:val="left"/>
        <w:rPr>
          <w:rFonts w:ascii="仿宋_GB2312" w:eastAsia="仿宋_GB2312"/>
          <w:color w:val="auto"/>
          <w:sz w:val="32"/>
          <w:szCs w:val="32"/>
        </w:rPr>
      </w:pPr>
      <w:r>
        <w:rPr>
          <w:rFonts w:hint="eastAsia" w:ascii="仿宋_GB2312" w:eastAsia="仿宋_GB2312"/>
          <w:b/>
          <w:color w:val="auto"/>
          <w:sz w:val="32"/>
          <w:szCs w:val="32"/>
        </w:rPr>
        <w:t>联系电话：</w:t>
      </w:r>
      <w:r>
        <w:rPr>
          <w:rFonts w:ascii="仿宋_GB2312" w:eastAsia="仿宋_GB2312"/>
          <w:color w:val="auto"/>
          <w:sz w:val="32"/>
          <w:szCs w:val="32"/>
        </w:rPr>
        <w:t>83133709</w:t>
      </w:r>
    </w:p>
    <w:p>
      <w:pPr>
        <w:spacing w:line="360" w:lineRule="auto"/>
        <w:jc w:val="left"/>
        <w:rPr>
          <w:rFonts w:ascii="仿宋_GB2312" w:eastAsia="仿宋_GB2312"/>
          <w:color w:val="auto"/>
          <w:sz w:val="32"/>
          <w:szCs w:val="32"/>
        </w:rPr>
      </w:pPr>
      <w:r>
        <w:rPr>
          <w:rFonts w:hint="eastAsia" w:ascii="仿宋_GB2312" w:eastAsia="仿宋_GB2312"/>
          <w:b/>
          <w:color w:val="auto"/>
          <w:sz w:val="32"/>
          <w:szCs w:val="32"/>
        </w:rPr>
        <w:t>填报日期：</w:t>
      </w:r>
      <w:r>
        <w:rPr>
          <w:rFonts w:hint="eastAsia" w:ascii="仿宋_GB2312" w:eastAsia="仿宋_GB2312"/>
          <w:color w:val="auto"/>
          <w:sz w:val="32"/>
          <w:szCs w:val="32"/>
        </w:rPr>
        <w:t>202</w:t>
      </w:r>
      <w:r>
        <w:rPr>
          <w:rFonts w:ascii="仿宋_GB2312" w:eastAsia="仿宋_GB2312"/>
          <w:color w:val="auto"/>
          <w:sz w:val="32"/>
          <w:szCs w:val="32"/>
        </w:rPr>
        <w:t>2</w:t>
      </w:r>
      <w:r>
        <w:rPr>
          <w:rFonts w:hint="eastAsia" w:ascii="仿宋_GB2312" w:eastAsia="仿宋_GB2312"/>
          <w:color w:val="auto"/>
          <w:sz w:val="32"/>
          <w:szCs w:val="32"/>
        </w:rPr>
        <w:t>年</w:t>
      </w:r>
      <w:r>
        <w:rPr>
          <w:rFonts w:ascii="仿宋_GB2312" w:eastAsia="仿宋_GB2312"/>
          <w:color w:val="auto"/>
          <w:sz w:val="32"/>
          <w:szCs w:val="32"/>
        </w:rPr>
        <w:t>6</w:t>
      </w:r>
      <w:r>
        <w:rPr>
          <w:rFonts w:hint="eastAsia" w:ascii="仿宋_GB2312" w:eastAsia="仿宋_GB2312"/>
          <w:color w:val="auto"/>
          <w:sz w:val="32"/>
          <w:szCs w:val="32"/>
        </w:rPr>
        <w:t>月</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根据《广东省财政厅关于开展202</w:t>
      </w:r>
      <w:r>
        <w:rPr>
          <w:rFonts w:ascii="仿宋_GB2312" w:hAnsi="Calibri" w:eastAsia="仿宋_GB2312" w:cs="Calibri"/>
          <w:sz w:val="32"/>
          <w:szCs w:val="32"/>
        </w:rPr>
        <w:t>2</w:t>
      </w:r>
      <w:r>
        <w:rPr>
          <w:rFonts w:hint="eastAsia" w:ascii="仿宋_GB2312" w:hAnsi="Calibri" w:eastAsia="仿宋_GB2312" w:cs="Calibri"/>
          <w:sz w:val="32"/>
          <w:szCs w:val="32"/>
        </w:rPr>
        <w:t>年省级财政资金绩效自评工作的通知》（粤财绩函〔20</w:t>
      </w:r>
      <w:r>
        <w:rPr>
          <w:rFonts w:ascii="仿宋_GB2312" w:hAnsi="Calibri" w:eastAsia="仿宋_GB2312" w:cs="Calibri"/>
          <w:sz w:val="32"/>
          <w:szCs w:val="32"/>
        </w:rPr>
        <w:t>22</w:t>
      </w:r>
      <w:r>
        <w:rPr>
          <w:rFonts w:hint="eastAsia" w:ascii="仿宋_GB2312" w:hAnsi="Calibri" w:eastAsia="仿宋_GB2312" w:cs="Calibri"/>
          <w:sz w:val="32"/>
          <w:szCs w:val="32"/>
        </w:rPr>
        <w:t>〕4号）等有关文件的要求，我厅科技信息处（简称：科信处）组成自评小组，于202</w:t>
      </w:r>
      <w:r>
        <w:rPr>
          <w:rFonts w:ascii="仿宋_GB2312" w:hAnsi="Calibri" w:eastAsia="仿宋_GB2312" w:cs="Calibri"/>
          <w:sz w:val="32"/>
          <w:szCs w:val="32"/>
        </w:rPr>
        <w:t>2</w:t>
      </w:r>
      <w:r>
        <w:rPr>
          <w:rFonts w:hint="eastAsia" w:ascii="仿宋_GB2312" w:hAnsi="Calibri" w:eastAsia="仿宋_GB2312" w:cs="Calibri"/>
          <w:sz w:val="32"/>
          <w:szCs w:val="32"/>
        </w:rPr>
        <w:t>年</w:t>
      </w:r>
      <w:r>
        <w:rPr>
          <w:rFonts w:ascii="仿宋_GB2312" w:hAnsi="Calibri" w:eastAsia="仿宋_GB2312" w:cs="Calibri"/>
          <w:sz w:val="32"/>
          <w:szCs w:val="32"/>
        </w:rPr>
        <w:t>5</w:t>
      </w:r>
      <w:r>
        <w:rPr>
          <w:rFonts w:hint="eastAsia" w:ascii="仿宋_GB2312" w:hAnsi="Calibri" w:eastAsia="仿宋_GB2312" w:cs="Calibri"/>
          <w:sz w:val="32"/>
          <w:szCs w:val="32"/>
        </w:rPr>
        <w:t>月对我厅202</w:t>
      </w:r>
      <w:r>
        <w:rPr>
          <w:rFonts w:ascii="仿宋_GB2312" w:hAnsi="Calibri" w:eastAsia="仿宋_GB2312" w:cs="Calibri"/>
          <w:sz w:val="32"/>
          <w:szCs w:val="32"/>
        </w:rPr>
        <w:t>1</w:t>
      </w:r>
      <w:r>
        <w:rPr>
          <w:rFonts w:hint="eastAsia" w:ascii="仿宋_GB2312" w:hAnsi="Calibri" w:eastAsia="仿宋_GB2312" w:cs="Calibri"/>
          <w:sz w:val="32"/>
          <w:szCs w:val="32"/>
        </w:rPr>
        <w:t>年打好污染防治攻坚战</w:t>
      </w:r>
      <w:r>
        <w:rPr>
          <w:rFonts w:ascii="仿宋_GB2312" w:hAnsi="Calibri" w:eastAsia="仿宋_GB2312" w:cs="Calibri"/>
          <w:sz w:val="32"/>
          <w:szCs w:val="32"/>
        </w:rPr>
        <w:t>—</w:t>
      </w:r>
      <w:r>
        <w:rPr>
          <w:rFonts w:hint="eastAsia" w:ascii="仿宋_GB2312" w:hAnsi="Calibri" w:eastAsia="仿宋_GB2312" w:cs="Calibri"/>
          <w:sz w:val="32"/>
          <w:szCs w:val="32"/>
          <w:lang w:eastAsia="zh-CN"/>
        </w:rPr>
        <w:t>环境监管能力建设</w:t>
      </w:r>
      <w:r>
        <w:rPr>
          <w:rFonts w:hint="eastAsia" w:ascii="仿宋_GB2312" w:hAnsi="Calibri" w:eastAsia="仿宋_GB2312" w:cs="Calibri"/>
          <w:sz w:val="32"/>
          <w:szCs w:val="32"/>
        </w:rPr>
        <w:t>-</w:t>
      </w:r>
      <w:r>
        <w:rPr>
          <w:rFonts w:hint="eastAsia" w:ascii="仿宋_GB2312" w:hAnsi="Calibri" w:eastAsia="仿宋_GB2312" w:cs="Calibri"/>
          <w:sz w:val="32"/>
          <w:szCs w:val="32"/>
          <w:lang w:eastAsia="zh-CN"/>
        </w:rPr>
        <w:t>环境监管能力建设</w:t>
      </w:r>
      <w:r>
        <w:rPr>
          <w:rFonts w:hint="eastAsia" w:ascii="仿宋_GB2312" w:hAnsi="Calibri" w:eastAsia="仿宋_GB2312" w:cs="Calibri"/>
          <w:sz w:val="32"/>
          <w:szCs w:val="32"/>
        </w:rPr>
        <w:t>专项资金</w:t>
      </w:r>
      <w:r>
        <w:rPr>
          <w:rFonts w:ascii="仿宋_GB2312" w:hAnsi="Calibri" w:eastAsia="仿宋_GB2312" w:cs="Calibri"/>
          <w:sz w:val="32"/>
          <w:szCs w:val="32"/>
        </w:rPr>
        <w:t>150</w:t>
      </w:r>
      <w:r>
        <w:rPr>
          <w:rFonts w:hint="eastAsia" w:ascii="仿宋_GB2312" w:hAnsi="Calibri" w:eastAsia="仿宋_GB2312" w:cs="Calibri"/>
          <w:sz w:val="32"/>
          <w:szCs w:val="32"/>
        </w:rPr>
        <w:t>万元、绿色循环发展与节能降耗专项资金1,</w:t>
      </w:r>
      <w:r>
        <w:rPr>
          <w:rFonts w:ascii="仿宋_GB2312" w:hAnsi="Calibri" w:eastAsia="仿宋_GB2312" w:cs="Calibri"/>
          <w:sz w:val="32"/>
          <w:szCs w:val="32"/>
        </w:rPr>
        <w:t>050万元</w:t>
      </w:r>
      <w:r>
        <w:rPr>
          <w:rFonts w:hint="eastAsia" w:ascii="仿宋_GB2312" w:hAnsi="Calibri" w:eastAsia="仿宋_GB2312" w:cs="Calibri"/>
          <w:sz w:val="32"/>
          <w:szCs w:val="32"/>
        </w:rPr>
        <w:t>的使用绩效进行自评，形成自评报告，评价基准日为202</w:t>
      </w:r>
      <w:r>
        <w:rPr>
          <w:rFonts w:ascii="仿宋_GB2312" w:hAnsi="Calibri" w:eastAsia="仿宋_GB2312" w:cs="Calibri"/>
          <w:sz w:val="32"/>
          <w:szCs w:val="32"/>
        </w:rPr>
        <w:t>1</w:t>
      </w:r>
      <w:r>
        <w:rPr>
          <w:rFonts w:hint="eastAsia" w:ascii="仿宋_GB2312" w:hAnsi="Calibri" w:eastAsia="仿宋_GB2312" w:cs="Calibri"/>
          <w:sz w:val="32"/>
          <w:szCs w:val="32"/>
        </w:rPr>
        <w:t>年12月31日。</w:t>
      </w:r>
    </w:p>
    <w:p>
      <w:pPr>
        <w:spacing w:line="600" w:lineRule="exact"/>
        <w:ind w:firstLine="640" w:firstLineChars="200"/>
        <w:jc w:val="left"/>
        <w:outlineLvl w:val="0"/>
        <w:rPr>
          <w:rFonts w:ascii="黑体" w:hAnsi="黑体" w:eastAsia="黑体" w:cs="Calibri"/>
          <w:sz w:val="32"/>
          <w:szCs w:val="32"/>
        </w:rPr>
      </w:pPr>
      <w:r>
        <w:rPr>
          <w:rFonts w:hint="eastAsia" w:ascii="黑体" w:hAnsi="黑体" w:eastAsia="黑体" w:cs="Calibri"/>
          <w:sz w:val="32"/>
          <w:szCs w:val="32"/>
        </w:rPr>
        <w:t>一、基本情况</w:t>
      </w:r>
    </w:p>
    <w:p>
      <w:pPr>
        <w:pStyle w:val="12"/>
        <w:numPr>
          <w:ilvl w:val="0"/>
          <w:numId w:val="1"/>
        </w:numPr>
        <w:spacing w:line="600" w:lineRule="exact"/>
        <w:ind w:left="0" w:firstLine="643" w:firstLineChars="200"/>
        <w:jc w:val="both"/>
        <w:outlineLvl w:val="1"/>
        <w:rPr>
          <w:rFonts w:ascii="楷体_GB2312" w:hAnsi="Cambria" w:eastAsia="楷体_GB2312" w:cs="Times New Roman"/>
          <w:b/>
          <w:bCs/>
          <w:sz w:val="32"/>
          <w:szCs w:val="32"/>
        </w:rPr>
      </w:pPr>
      <w:r>
        <w:rPr>
          <w:rFonts w:hint="eastAsia" w:ascii="楷体_GB2312" w:hAnsi="Cambria" w:eastAsia="楷体_GB2312" w:cs="Times New Roman"/>
          <w:b/>
          <w:bCs/>
          <w:sz w:val="32"/>
          <w:szCs w:val="32"/>
        </w:rPr>
        <w:t>资金背景。</w:t>
      </w:r>
    </w:p>
    <w:p>
      <w:pPr>
        <w:spacing w:line="600" w:lineRule="exact"/>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1、</w:t>
      </w:r>
      <w:r>
        <w:rPr>
          <w:rFonts w:hint="eastAsia" w:ascii="仿宋_GB2312" w:hAnsi="黑体" w:eastAsia="仿宋_GB2312" w:cs="Times New Roman"/>
          <w:b/>
          <w:sz w:val="32"/>
          <w:szCs w:val="32"/>
          <w:lang w:eastAsia="zh-CN"/>
        </w:rPr>
        <w:t>环境监管能力建设</w:t>
      </w:r>
      <w:r>
        <w:rPr>
          <w:rFonts w:ascii="仿宋_GB2312" w:hAnsi="黑体" w:eastAsia="仿宋_GB2312" w:cs="Times New Roman"/>
          <w:b/>
          <w:sz w:val="32"/>
          <w:szCs w:val="32"/>
        </w:rPr>
        <w:t>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为深入贯彻习近平新时代中国特色社会主义思想和党的十九大精神，全面落实党中央、国务院和省委、省政府有关绿色建筑和建筑节能等各项决策部署，结合我省工作情况，根据《民用建筑节能条例》、《广东省绿色建筑条例》、《国家发展改革委关于印发</w:t>
      </w:r>
      <w:r>
        <w:rPr>
          <w:rFonts w:ascii="仿宋_GB2312" w:hAnsi="Calibri" w:eastAsia="仿宋_GB2312" w:cs="Calibri"/>
          <w:sz w:val="32"/>
          <w:szCs w:val="32"/>
        </w:rPr>
        <w:t>&lt;绿色生活创建行动总体方案&gt;的通知》（</w:t>
      </w:r>
      <w:r>
        <w:rPr>
          <w:rFonts w:hint="eastAsia" w:ascii="仿宋_GB2312" w:hAnsi="Calibri" w:eastAsia="仿宋_GB2312" w:cs="Calibri"/>
          <w:sz w:val="32"/>
          <w:szCs w:val="32"/>
        </w:rPr>
        <w:t>发改环资〔</w:t>
      </w:r>
      <w:r>
        <w:rPr>
          <w:rFonts w:ascii="仿宋_GB2312" w:hAnsi="Calibri" w:eastAsia="仿宋_GB2312" w:cs="Calibri"/>
          <w:sz w:val="32"/>
          <w:szCs w:val="32"/>
        </w:rPr>
        <w:t xml:space="preserve">2019〕1696号）、《住房和城乡建设部 </w:t>
      </w:r>
      <w:r>
        <w:rPr>
          <w:rFonts w:hint="eastAsia" w:ascii="仿宋_GB2312" w:hAnsi="Calibri" w:eastAsia="仿宋_GB2312" w:cs="Calibri"/>
          <w:sz w:val="32"/>
          <w:szCs w:val="32"/>
        </w:rPr>
        <w:t>国家发展改革委</w:t>
      </w:r>
      <w:r>
        <w:rPr>
          <w:rFonts w:ascii="仿宋_GB2312" w:hAnsi="Calibri" w:eastAsia="仿宋_GB2312" w:cs="Calibri"/>
          <w:sz w:val="32"/>
          <w:szCs w:val="32"/>
        </w:rPr>
        <w:t xml:space="preserve"> </w:t>
      </w:r>
      <w:r>
        <w:rPr>
          <w:rFonts w:hint="eastAsia" w:ascii="仿宋_GB2312" w:hAnsi="Calibri" w:eastAsia="仿宋_GB2312" w:cs="Calibri"/>
          <w:sz w:val="32"/>
          <w:szCs w:val="32"/>
        </w:rPr>
        <w:t>教育部</w:t>
      </w:r>
      <w:r>
        <w:rPr>
          <w:rFonts w:ascii="仿宋_GB2312" w:hAnsi="Calibri" w:eastAsia="仿宋_GB2312" w:cs="Calibri"/>
          <w:sz w:val="32"/>
          <w:szCs w:val="32"/>
        </w:rPr>
        <w:t xml:space="preserve"> </w:t>
      </w:r>
      <w:r>
        <w:rPr>
          <w:rFonts w:hint="eastAsia" w:ascii="仿宋_GB2312" w:hAnsi="Calibri" w:eastAsia="仿宋_GB2312" w:cs="Calibri"/>
          <w:sz w:val="32"/>
          <w:szCs w:val="32"/>
        </w:rPr>
        <w:t>工业和信息化部</w:t>
      </w:r>
      <w:r>
        <w:rPr>
          <w:rFonts w:ascii="仿宋_GB2312" w:hAnsi="Calibri" w:eastAsia="仿宋_GB2312" w:cs="Calibri"/>
          <w:sz w:val="32"/>
          <w:szCs w:val="32"/>
        </w:rPr>
        <w:t xml:space="preserve"> </w:t>
      </w:r>
      <w:r>
        <w:rPr>
          <w:rFonts w:hint="eastAsia" w:ascii="仿宋_GB2312" w:hAnsi="Calibri" w:eastAsia="仿宋_GB2312" w:cs="Calibri"/>
          <w:sz w:val="32"/>
          <w:szCs w:val="32"/>
        </w:rPr>
        <w:t>人民银行</w:t>
      </w:r>
      <w:r>
        <w:rPr>
          <w:rFonts w:ascii="仿宋_GB2312" w:hAnsi="Calibri" w:eastAsia="仿宋_GB2312" w:cs="Calibri"/>
          <w:sz w:val="32"/>
          <w:szCs w:val="32"/>
        </w:rPr>
        <w:t xml:space="preserve"> </w:t>
      </w:r>
      <w:r>
        <w:rPr>
          <w:rFonts w:hint="eastAsia" w:ascii="仿宋_GB2312" w:hAnsi="Calibri" w:eastAsia="仿宋_GB2312" w:cs="Calibri"/>
          <w:sz w:val="32"/>
          <w:szCs w:val="32"/>
        </w:rPr>
        <w:t>国管局</w:t>
      </w:r>
      <w:r>
        <w:rPr>
          <w:rFonts w:ascii="仿宋_GB2312" w:hAnsi="Calibri" w:eastAsia="仿宋_GB2312" w:cs="Calibri"/>
          <w:sz w:val="32"/>
          <w:szCs w:val="32"/>
        </w:rPr>
        <w:t xml:space="preserve"> </w:t>
      </w:r>
      <w:r>
        <w:rPr>
          <w:rFonts w:hint="eastAsia" w:ascii="仿宋_GB2312" w:hAnsi="Calibri" w:eastAsia="仿宋_GB2312" w:cs="Calibri"/>
          <w:sz w:val="32"/>
          <w:szCs w:val="32"/>
        </w:rPr>
        <w:t>银保监会关于印发绿色建筑创建行动方案的通知》（建标〔</w:t>
      </w:r>
      <w:r>
        <w:rPr>
          <w:rFonts w:ascii="仿宋_GB2312" w:hAnsi="Calibri" w:eastAsia="仿宋_GB2312" w:cs="Calibri"/>
          <w:sz w:val="32"/>
          <w:szCs w:val="32"/>
        </w:rPr>
        <w:t>2020〕65号）等重要政策文件要求，采取有效措施，全面开展绿色建筑创建行动，切实</w:t>
      </w:r>
      <w:r>
        <w:rPr>
          <w:rFonts w:hint="eastAsia" w:ascii="仿宋_GB2312" w:hAnsi="Calibri" w:eastAsia="仿宋_GB2312" w:cs="Calibri"/>
          <w:sz w:val="32"/>
          <w:szCs w:val="32"/>
        </w:rPr>
        <w:t>践行绿色低碳发展，我厅制定了工作计划和资金预算，向省财政厅申请</w:t>
      </w:r>
      <w:r>
        <w:rPr>
          <w:rFonts w:ascii="仿宋_GB2312" w:hAnsi="Calibri" w:eastAsia="仿宋_GB2312" w:cs="Calibri"/>
          <w:sz w:val="32"/>
          <w:szCs w:val="32"/>
        </w:rPr>
        <w:t>2021</w:t>
      </w:r>
      <w:r>
        <w:rPr>
          <w:rFonts w:hint="eastAsia" w:ascii="仿宋_GB2312" w:hAnsi="Calibri" w:eastAsia="仿宋_GB2312" w:cs="Calibri"/>
          <w:sz w:val="32"/>
          <w:szCs w:val="32"/>
        </w:rPr>
        <w:t>年打好污染防治攻坚战—</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专项资金150</w:t>
      </w:r>
      <w:r>
        <w:rPr>
          <w:rFonts w:hint="eastAsia" w:ascii="仿宋_GB2312" w:hAnsi="Calibri" w:eastAsia="仿宋_GB2312" w:cs="Calibri"/>
          <w:sz w:val="32"/>
          <w:szCs w:val="32"/>
        </w:rPr>
        <w:t>万元。</w:t>
      </w:r>
    </w:p>
    <w:p>
      <w:pPr>
        <w:widowControl/>
        <w:jc w:val="left"/>
        <w:rPr>
          <w:rFonts w:ascii="仿宋_GB2312" w:hAnsi="Calibri" w:eastAsia="仿宋_GB2312" w:cs="Calibri"/>
          <w:sz w:val="32"/>
          <w:szCs w:val="32"/>
        </w:rPr>
      </w:pPr>
      <w:r>
        <w:rPr>
          <w:rFonts w:ascii="仿宋_GB2312" w:hAnsi="Calibri" w:eastAsia="仿宋_GB2312" w:cs="Calibri"/>
          <w:sz w:val="32"/>
          <w:szCs w:val="32"/>
        </w:rPr>
        <w:br w:type="page"/>
      </w:r>
    </w:p>
    <w:p>
      <w:pPr>
        <w:spacing w:line="360" w:lineRule="auto"/>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2、绿色循环发展与节能降耗专项资金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为大力推进生态文明建设，深入开展建筑领域节能减排工作，提升城乡人居环境品质与安全运行水平。根据住房城乡建设部《建筑节能与绿色建筑发展“十三五”规划》、《广东省“十三五”建筑节能与绿色建筑发展规划》、《广东省住房和城乡建设厅关于印发</w:t>
      </w:r>
      <w:r>
        <w:rPr>
          <w:rFonts w:ascii="仿宋_GB2312" w:hAnsi="Calibri" w:eastAsia="仿宋_GB2312" w:cs="Calibri"/>
          <w:sz w:val="32"/>
          <w:szCs w:val="32"/>
        </w:rPr>
        <w:t>&lt;广东省绿色建筑量质齐升三年行动方案（2018～2020年）&gt;的通知》（粤建节〔2018〕132号）、《广东省</w:t>
      </w:r>
      <w:r>
        <w:rPr>
          <w:rFonts w:hint="eastAsia" w:ascii="仿宋_GB2312" w:hAnsi="Calibri" w:eastAsia="仿宋_GB2312" w:cs="Calibri"/>
          <w:sz w:val="32"/>
          <w:szCs w:val="32"/>
        </w:rPr>
        <w:t>绿色建筑条例》、《国家发展改革委关于印发</w:t>
      </w:r>
      <w:r>
        <w:rPr>
          <w:rFonts w:ascii="仿宋_GB2312" w:hAnsi="Calibri" w:eastAsia="仿宋_GB2312" w:cs="Calibri"/>
          <w:sz w:val="32"/>
          <w:szCs w:val="32"/>
        </w:rPr>
        <w:t>&lt;绿色生活创建行动总体方案&gt;的通知》（</w:t>
      </w:r>
      <w:r>
        <w:rPr>
          <w:rFonts w:hint="eastAsia" w:ascii="仿宋_GB2312" w:hAnsi="Calibri" w:eastAsia="仿宋_GB2312" w:cs="Calibri"/>
          <w:sz w:val="32"/>
          <w:szCs w:val="32"/>
        </w:rPr>
        <w:t>发改环资〔</w:t>
      </w:r>
      <w:r>
        <w:rPr>
          <w:rFonts w:ascii="仿宋_GB2312" w:hAnsi="Calibri" w:eastAsia="仿宋_GB2312" w:cs="Calibri"/>
          <w:sz w:val="32"/>
          <w:szCs w:val="32"/>
        </w:rPr>
        <w:t xml:space="preserve">2019〕1696号）、《住房和城乡建设部 </w:t>
      </w:r>
      <w:r>
        <w:rPr>
          <w:rFonts w:hint="eastAsia" w:ascii="仿宋_GB2312" w:hAnsi="Calibri" w:eastAsia="仿宋_GB2312" w:cs="Calibri"/>
          <w:sz w:val="32"/>
          <w:szCs w:val="32"/>
        </w:rPr>
        <w:t>国家发展改革委</w:t>
      </w:r>
      <w:r>
        <w:rPr>
          <w:rFonts w:ascii="仿宋_GB2312" w:hAnsi="Calibri" w:eastAsia="仿宋_GB2312" w:cs="Calibri"/>
          <w:sz w:val="32"/>
          <w:szCs w:val="32"/>
        </w:rPr>
        <w:t xml:space="preserve"> </w:t>
      </w:r>
      <w:r>
        <w:rPr>
          <w:rFonts w:hint="eastAsia" w:ascii="仿宋_GB2312" w:hAnsi="Calibri" w:eastAsia="仿宋_GB2312" w:cs="Calibri"/>
          <w:sz w:val="32"/>
          <w:szCs w:val="32"/>
        </w:rPr>
        <w:t>教育部</w:t>
      </w:r>
      <w:r>
        <w:rPr>
          <w:rFonts w:ascii="仿宋_GB2312" w:hAnsi="Calibri" w:eastAsia="仿宋_GB2312" w:cs="Calibri"/>
          <w:sz w:val="32"/>
          <w:szCs w:val="32"/>
        </w:rPr>
        <w:t xml:space="preserve"> </w:t>
      </w:r>
      <w:r>
        <w:rPr>
          <w:rFonts w:hint="eastAsia" w:ascii="仿宋_GB2312" w:hAnsi="Calibri" w:eastAsia="仿宋_GB2312" w:cs="Calibri"/>
          <w:sz w:val="32"/>
          <w:szCs w:val="32"/>
        </w:rPr>
        <w:t>工业和信息化部</w:t>
      </w:r>
      <w:r>
        <w:rPr>
          <w:rFonts w:ascii="仿宋_GB2312" w:hAnsi="Calibri" w:eastAsia="仿宋_GB2312" w:cs="Calibri"/>
          <w:sz w:val="32"/>
          <w:szCs w:val="32"/>
        </w:rPr>
        <w:t xml:space="preserve"> </w:t>
      </w:r>
      <w:r>
        <w:rPr>
          <w:rFonts w:hint="eastAsia" w:ascii="仿宋_GB2312" w:hAnsi="Calibri" w:eastAsia="仿宋_GB2312" w:cs="Calibri"/>
          <w:sz w:val="32"/>
          <w:szCs w:val="32"/>
        </w:rPr>
        <w:t>人民银行</w:t>
      </w:r>
      <w:r>
        <w:rPr>
          <w:rFonts w:ascii="仿宋_GB2312" w:hAnsi="Calibri" w:eastAsia="仿宋_GB2312" w:cs="Calibri"/>
          <w:sz w:val="32"/>
          <w:szCs w:val="32"/>
        </w:rPr>
        <w:t xml:space="preserve"> </w:t>
      </w:r>
      <w:r>
        <w:rPr>
          <w:rFonts w:hint="eastAsia" w:ascii="仿宋_GB2312" w:hAnsi="Calibri" w:eastAsia="仿宋_GB2312" w:cs="Calibri"/>
          <w:sz w:val="32"/>
          <w:szCs w:val="32"/>
        </w:rPr>
        <w:t>国管局</w:t>
      </w:r>
      <w:r>
        <w:rPr>
          <w:rFonts w:ascii="仿宋_GB2312" w:hAnsi="Calibri" w:eastAsia="仿宋_GB2312" w:cs="Calibri"/>
          <w:sz w:val="32"/>
          <w:szCs w:val="32"/>
        </w:rPr>
        <w:t xml:space="preserve"> </w:t>
      </w:r>
      <w:r>
        <w:rPr>
          <w:rFonts w:hint="eastAsia" w:ascii="仿宋_GB2312" w:hAnsi="Calibri" w:eastAsia="仿宋_GB2312" w:cs="Calibri"/>
          <w:sz w:val="32"/>
          <w:szCs w:val="32"/>
        </w:rPr>
        <w:t>银保监会关于印发绿色建筑创建行动方案的通知》（建标〔</w:t>
      </w:r>
      <w:r>
        <w:rPr>
          <w:rFonts w:ascii="仿宋_GB2312" w:hAnsi="Calibri" w:eastAsia="仿宋_GB2312" w:cs="Calibri"/>
          <w:sz w:val="32"/>
          <w:szCs w:val="32"/>
        </w:rPr>
        <w:t>2020〕65号）等重要政策文件要求，为鼓励先进，引领绿色建筑全省全面发展，增强人民对绿色建筑幸福感和获得感，大力推广运行</w:t>
      </w:r>
      <w:r>
        <w:rPr>
          <w:rFonts w:hint="eastAsia" w:ascii="仿宋_GB2312" w:hAnsi="Calibri" w:eastAsia="仿宋_GB2312" w:cs="Calibri"/>
          <w:sz w:val="32"/>
          <w:szCs w:val="32"/>
        </w:rPr>
        <w:t>绿色建筑，我厅科信处向省</w:t>
      </w:r>
      <w:r>
        <w:rPr>
          <w:rFonts w:hint="eastAsia" w:ascii="仿宋_GB2312" w:hAnsi="Calibri" w:eastAsia="仿宋_GB2312" w:cs="Calibri"/>
          <w:sz w:val="32"/>
          <w:szCs w:val="32"/>
          <w:lang w:val="en-US" w:eastAsia="zh-CN"/>
        </w:rPr>
        <w:t>财政</w:t>
      </w:r>
      <w:r>
        <w:rPr>
          <w:rFonts w:hint="eastAsia" w:ascii="仿宋_GB2312" w:hAnsi="Calibri" w:eastAsia="仿宋_GB2312" w:cs="Calibri"/>
          <w:sz w:val="32"/>
          <w:szCs w:val="32"/>
        </w:rPr>
        <w:t>厅申请了</w:t>
      </w:r>
      <w:r>
        <w:rPr>
          <w:rFonts w:ascii="仿宋_GB2312" w:hAnsi="Calibri" w:eastAsia="仿宋_GB2312" w:cs="Calibri"/>
          <w:sz w:val="32"/>
          <w:szCs w:val="32"/>
        </w:rPr>
        <w:t>2021</w:t>
      </w:r>
      <w:r>
        <w:rPr>
          <w:rFonts w:hint="eastAsia" w:ascii="仿宋_GB2312" w:hAnsi="Calibri" w:eastAsia="仿宋_GB2312" w:cs="Calibri"/>
          <w:sz w:val="32"/>
          <w:szCs w:val="32"/>
        </w:rPr>
        <w:t>年打好污染防治攻坚战—</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-绿色循环发展与节能</w:t>
      </w:r>
      <w:r>
        <w:rPr>
          <w:rFonts w:hint="eastAsia" w:ascii="仿宋_GB2312" w:hAnsi="Calibri" w:eastAsia="仿宋_GB2312" w:cs="Calibri"/>
          <w:sz w:val="32"/>
          <w:szCs w:val="32"/>
        </w:rPr>
        <w:t>降耗专项资金</w:t>
      </w:r>
      <w:r>
        <w:rPr>
          <w:rFonts w:ascii="仿宋_GB2312" w:hAnsi="Calibri" w:eastAsia="仿宋_GB2312" w:cs="Calibri"/>
          <w:sz w:val="32"/>
          <w:szCs w:val="32"/>
        </w:rPr>
        <w:t>1,050万元</w:t>
      </w:r>
      <w:r>
        <w:rPr>
          <w:rFonts w:hint="eastAsia" w:ascii="仿宋_GB2312" w:hAnsi="Calibri" w:eastAsia="仿宋_GB2312" w:cs="Calibri"/>
          <w:sz w:val="32"/>
          <w:szCs w:val="32"/>
        </w:rPr>
        <w:t>，以发挥省级打好污染防治攻坚战专项资金的引导作用。</w:t>
      </w:r>
    </w:p>
    <w:p>
      <w:pPr>
        <w:pStyle w:val="12"/>
        <w:numPr>
          <w:ilvl w:val="0"/>
          <w:numId w:val="1"/>
        </w:numPr>
        <w:spacing w:line="600" w:lineRule="exact"/>
        <w:ind w:left="0" w:firstLine="643" w:firstLineChars="200"/>
        <w:outlineLvl w:val="1"/>
        <w:rPr>
          <w:rFonts w:ascii="楷体_GB2312" w:hAnsi="Cambria" w:eastAsia="楷体_GB2312" w:cs="Times New Roman"/>
          <w:b/>
          <w:bCs/>
          <w:sz w:val="32"/>
          <w:szCs w:val="32"/>
        </w:rPr>
      </w:pPr>
      <w:r>
        <w:rPr>
          <w:rFonts w:hint="eastAsia" w:ascii="楷体_GB2312" w:hAnsi="Cambria" w:eastAsia="楷体_GB2312" w:cs="Times New Roman"/>
          <w:b/>
          <w:bCs/>
          <w:sz w:val="32"/>
          <w:szCs w:val="32"/>
        </w:rPr>
        <w:t>资金概况。</w:t>
      </w:r>
    </w:p>
    <w:p>
      <w:pPr>
        <w:spacing w:line="600" w:lineRule="exact"/>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w:t>
      </w:r>
      <w:r>
        <w:rPr>
          <w:rFonts w:hint="eastAsia" w:ascii="仿宋_GB2312" w:hAnsi="黑体" w:eastAsia="仿宋_GB2312" w:cs="Times New Roman"/>
          <w:b/>
          <w:sz w:val="32"/>
          <w:szCs w:val="32"/>
          <w:lang w:eastAsia="zh-CN"/>
        </w:rPr>
        <w:t>环境监管能力建设</w:t>
      </w:r>
      <w:r>
        <w:rPr>
          <w:rFonts w:hint="eastAsia" w:ascii="仿宋_GB2312" w:hAnsi="黑体" w:eastAsia="仿宋_GB2312" w:cs="Times New Roman"/>
          <w:b/>
          <w:sz w:val="32"/>
          <w:szCs w:val="32"/>
        </w:rPr>
        <w:t>专项资金</w:t>
      </w:r>
    </w:p>
    <w:p>
      <w:pPr>
        <w:spacing w:line="600" w:lineRule="exact"/>
        <w:ind w:firstLine="640" w:firstLineChars="200"/>
        <w:rPr>
          <w:rFonts w:ascii="仿宋_GB2312" w:hAnsi="Calibri" w:eastAsia="仿宋_GB2312" w:cs="Calibri"/>
          <w:sz w:val="32"/>
          <w:szCs w:val="32"/>
        </w:rPr>
      </w:pPr>
      <w:r>
        <w:rPr>
          <w:rFonts w:ascii="仿宋_GB2312" w:hAnsi="Calibri" w:eastAsia="仿宋_GB2312" w:cs="Calibri"/>
          <w:sz w:val="32"/>
          <w:szCs w:val="32"/>
        </w:rPr>
        <w:t>2021</w:t>
      </w:r>
      <w:r>
        <w:rPr>
          <w:rFonts w:hint="eastAsia" w:ascii="仿宋_GB2312" w:hAnsi="Calibri" w:eastAsia="仿宋_GB2312" w:cs="Calibri"/>
          <w:sz w:val="32"/>
          <w:szCs w:val="32"/>
        </w:rPr>
        <w:t>年</w:t>
      </w:r>
      <w:r>
        <w:rPr>
          <w:rFonts w:ascii="仿宋_GB2312" w:hAnsi="Calibri" w:eastAsia="仿宋_GB2312" w:cs="Calibri"/>
          <w:sz w:val="32"/>
          <w:szCs w:val="32"/>
        </w:rPr>
        <w:t>3</w:t>
      </w:r>
      <w:r>
        <w:rPr>
          <w:rFonts w:hint="eastAsia" w:ascii="仿宋_GB2312" w:hAnsi="Calibri" w:eastAsia="仿宋_GB2312" w:cs="Calibri"/>
          <w:sz w:val="32"/>
          <w:szCs w:val="32"/>
        </w:rPr>
        <w:t>月</w:t>
      </w:r>
      <w:r>
        <w:rPr>
          <w:rFonts w:ascii="仿宋_GB2312" w:hAnsi="Calibri" w:eastAsia="仿宋_GB2312" w:cs="Calibri"/>
          <w:sz w:val="32"/>
          <w:szCs w:val="32"/>
        </w:rPr>
        <w:t>18</w:t>
      </w:r>
      <w:r>
        <w:rPr>
          <w:rFonts w:hint="eastAsia" w:ascii="仿宋_GB2312" w:hAnsi="Calibri" w:eastAsia="仿宋_GB2312" w:cs="Calibri"/>
          <w:sz w:val="32"/>
          <w:szCs w:val="32"/>
        </w:rPr>
        <w:t>日，我厅印发《关于切实加快</w:t>
      </w:r>
      <w:r>
        <w:rPr>
          <w:rFonts w:ascii="仿宋_GB2312" w:hAnsi="Calibri" w:eastAsia="仿宋_GB2312" w:cs="Calibri"/>
          <w:sz w:val="32"/>
          <w:szCs w:val="32"/>
        </w:rPr>
        <w:t>2021</w:t>
      </w:r>
      <w:r>
        <w:rPr>
          <w:rFonts w:hint="eastAsia" w:ascii="仿宋_GB2312" w:hAnsi="Calibri" w:eastAsia="仿宋_GB2312" w:cs="Calibri"/>
          <w:sz w:val="32"/>
          <w:szCs w:val="32"/>
        </w:rPr>
        <w:t>年部门预算资金与</w:t>
      </w:r>
      <w:r>
        <w:rPr>
          <w:rFonts w:ascii="仿宋_GB2312" w:hAnsi="Calibri" w:eastAsia="仿宋_GB2312" w:cs="Calibri"/>
          <w:sz w:val="32"/>
          <w:szCs w:val="32"/>
        </w:rPr>
        <w:t>2020</w:t>
      </w:r>
      <w:r>
        <w:rPr>
          <w:rFonts w:hint="eastAsia" w:ascii="仿宋_GB2312" w:hAnsi="Calibri" w:eastAsia="仿宋_GB2312" w:cs="Calibri"/>
          <w:sz w:val="32"/>
          <w:szCs w:val="32"/>
        </w:rPr>
        <w:t>年结转资金预算执行的通知》，安排</w:t>
      </w:r>
      <w:r>
        <w:rPr>
          <w:rFonts w:ascii="仿宋_GB2312" w:hAnsi="Calibri" w:eastAsia="仿宋_GB2312" w:cs="Calibri"/>
          <w:sz w:val="32"/>
          <w:szCs w:val="32"/>
        </w:rPr>
        <w:t>2021</w:t>
      </w:r>
      <w:r>
        <w:rPr>
          <w:rFonts w:hint="eastAsia" w:ascii="仿宋_GB2312" w:hAnsi="Calibri" w:eastAsia="仿宋_GB2312" w:cs="Calibri"/>
          <w:sz w:val="32"/>
          <w:szCs w:val="32"/>
        </w:rPr>
        <w:t>年打好污染防治攻坚战—</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专项资金（以下简称“省级工作经费”）150</w:t>
      </w:r>
      <w:r>
        <w:rPr>
          <w:rFonts w:hint="eastAsia" w:ascii="仿宋_GB2312" w:hAnsi="Calibri" w:eastAsia="仿宋_GB2312" w:cs="Calibri"/>
          <w:sz w:val="32"/>
          <w:szCs w:val="32"/>
        </w:rPr>
        <w:t>万元，作为厅科信处的专项工作经费。</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根据</w:t>
      </w:r>
      <w:r>
        <w:rPr>
          <w:rFonts w:ascii="仿宋_GB2312" w:hAnsi="Calibri" w:eastAsia="仿宋_GB2312" w:cs="Calibri"/>
          <w:sz w:val="32"/>
          <w:szCs w:val="32"/>
        </w:rPr>
        <w:t>2021</w:t>
      </w:r>
      <w:r>
        <w:rPr>
          <w:rFonts w:hint="eastAsia" w:ascii="仿宋_GB2312" w:hAnsi="Calibri" w:eastAsia="仿宋_GB2312" w:cs="Calibri"/>
          <w:sz w:val="32"/>
          <w:szCs w:val="32"/>
        </w:rPr>
        <w:t>年的年度工作计划和预算安排，用于省级建筑节能和绿色建筑相关技术研究和标准制定经费</w:t>
      </w:r>
      <w:r>
        <w:rPr>
          <w:rFonts w:ascii="仿宋_GB2312" w:hAnsi="Calibri" w:eastAsia="仿宋_GB2312" w:cs="Calibri"/>
          <w:sz w:val="32"/>
          <w:szCs w:val="32"/>
        </w:rPr>
        <w:t>60</w:t>
      </w:r>
      <w:r>
        <w:rPr>
          <w:rFonts w:hint="eastAsia" w:ascii="仿宋_GB2312" w:hAnsi="Calibri" w:eastAsia="仿宋_GB2312" w:cs="Calibri"/>
          <w:sz w:val="32"/>
          <w:szCs w:val="32"/>
        </w:rPr>
        <w:t>万元、绿色建筑标识评价项目评审工作经费</w:t>
      </w:r>
      <w:r>
        <w:rPr>
          <w:rFonts w:ascii="仿宋_GB2312" w:hAnsi="Calibri" w:eastAsia="仿宋_GB2312" w:cs="Calibri"/>
          <w:sz w:val="32"/>
          <w:szCs w:val="32"/>
        </w:rPr>
        <w:t>90</w:t>
      </w:r>
      <w:r>
        <w:rPr>
          <w:rFonts w:hint="eastAsia" w:ascii="仿宋_GB2312" w:hAnsi="Calibri" w:eastAsia="仿宋_GB2312" w:cs="Calibri"/>
          <w:sz w:val="32"/>
          <w:szCs w:val="32"/>
        </w:rPr>
        <w:t>万元。</w:t>
      </w:r>
    </w:p>
    <w:p>
      <w:pPr>
        <w:spacing w:line="600" w:lineRule="exact"/>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2、绿色循环发展与节能降耗专项资金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根据《广东省财政厅关于提前下达</w:t>
      </w:r>
      <w:r>
        <w:rPr>
          <w:rFonts w:ascii="仿宋_GB2312" w:hAnsi="Calibri" w:eastAsia="仿宋_GB2312" w:cs="Calibri"/>
          <w:sz w:val="32"/>
          <w:szCs w:val="32"/>
        </w:rPr>
        <w:t>2021年省住房城乡建设厅</w:t>
      </w:r>
      <w:r>
        <w:rPr>
          <w:rFonts w:hint="eastAsia" w:ascii="仿宋_GB2312" w:hAnsi="Calibri" w:eastAsia="仿宋_GB2312" w:cs="Calibri"/>
          <w:sz w:val="32"/>
          <w:szCs w:val="32"/>
        </w:rPr>
        <w:t>主管</w:t>
      </w:r>
      <w:r>
        <w:rPr>
          <w:rFonts w:ascii="仿宋_GB2312" w:hAnsi="Calibri" w:eastAsia="仿宋_GB2312" w:cs="Calibri"/>
          <w:sz w:val="32"/>
          <w:szCs w:val="32"/>
        </w:rPr>
        <w:t>专项资金的通知</w:t>
      </w:r>
      <w:r>
        <w:rPr>
          <w:rFonts w:hint="eastAsia" w:ascii="仿宋_GB2312" w:hAnsi="Calibri" w:eastAsia="仿宋_GB2312" w:cs="Calibri"/>
          <w:sz w:val="32"/>
          <w:szCs w:val="32"/>
        </w:rPr>
        <w:t>》（粤财建〔</w:t>
      </w:r>
      <w:r>
        <w:rPr>
          <w:rFonts w:ascii="仿宋_GB2312" w:hAnsi="Calibri" w:eastAsia="仿宋_GB2312" w:cs="Calibri"/>
          <w:sz w:val="32"/>
          <w:szCs w:val="32"/>
        </w:rPr>
        <w:t>2020</w:t>
      </w:r>
      <w:r>
        <w:rPr>
          <w:rFonts w:hint="eastAsia" w:ascii="仿宋_GB2312" w:hAnsi="Calibri" w:eastAsia="仿宋_GB2312" w:cs="Calibri"/>
          <w:sz w:val="32"/>
          <w:szCs w:val="32"/>
        </w:rPr>
        <w:t>〕</w:t>
      </w:r>
      <w:r>
        <w:rPr>
          <w:rFonts w:ascii="仿宋_GB2312" w:hAnsi="Calibri" w:eastAsia="仿宋_GB2312" w:cs="Calibri"/>
          <w:sz w:val="32"/>
          <w:szCs w:val="32"/>
        </w:rPr>
        <w:t>86号</w:t>
      </w:r>
      <w:r>
        <w:rPr>
          <w:rFonts w:hint="eastAsia" w:ascii="仿宋_GB2312" w:hAnsi="Calibri" w:eastAsia="仿宋_GB2312" w:cs="Calibri"/>
          <w:sz w:val="32"/>
          <w:szCs w:val="32"/>
        </w:rPr>
        <w:t>）、《广东省住房和城乡建设厅关于下达</w:t>
      </w:r>
      <w:r>
        <w:rPr>
          <w:rFonts w:ascii="仿宋_GB2312" w:hAnsi="Calibri" w:eastAsia="仿宋_GB2312" w:cs="Calibri"/>
          <w:sz w:val="32"/>
          <w:szCs w:val="32"/>
        </w:rPr>
        <w:t>2021</w:t>
      </w:r>
      <w:r>
        <w:rPr>
          <w:rFonts w:hint="eastAsia" w:ascii="仿宋_GB2312" w:hAnsi="Calibri" w:eastAsia="仿宋_GB2312" w:cs="Calibri"/>
          <w:sz w:val="32"/>
          <w:szCs w:val="32"/>
        </w:rPr>
        <w:t>年绿色循环发展与节能降耗资金任务清单的通知》，安排</w:t>
      </w:r>
      <w:r>
        <w:rPr>
          <w:rFonts w:ascii="仿宋_GB2312" w:hAnsi="Calibri" w:eastAsia="仿宋_GB2312" w:cs="Calibri"/>
          <w:sz w:val="32"/>
          <w:szCs w:val="32"/>
        </w:rPr>
        <w:t>2021</w:t>
      </w:r>
      <w:r>
        <w:rPr>
          <w:rFonts w:hint="eastAsia" w:ascii="仿宋_GB2312" w:hAnsi="Calibri" w:eastAsia="仿宋_GB2312" w:cs="Calibri"/>
          <w:sz w:val="32"/>
          <w:szCs w:val="32"/>
        </w:rPr>
        <w:t>年打好污染防治攻坚战—</w:t>
      </w:r>
      <w:r>
        <w:rPr>
          <w:rFonts w:hint="eastAsia" w:ascii="仿宋_GB2312" w:hAnsi="Calibri" w:eastAsia="仿宋_GB2312" w:cs="Calibri"/>
          <w:sz w:val="32"/>
          <w:szCs w:val="32"/>
          <w:lang w:eastAsia="zh-CN"/>
        </w:rPr>
        <w:t>环境监管能力建设</w:t>
      </w:r>
      <w:r>
        <w:rPr>
          <w:rFonts w:ascii="仿宋_GB2312" w:hAnsi="Calibri" w:eastAsia="仿宋_GB2312" w:cs="Calibri"/>
          <w:sz w:val="32"/>
          <w:szCs w:val="32"/>
        </w:rPr>
        <w:t>-</w:t>
      </w:r>
      <w:r>
        <w:rPr>
          <w:rFonts w:hint="eastAsia" w:ascii="仿宋_GB2312" w:hAnsi="Calibri" w:eastAsia="仿宋_GB2312" w:cs="Calibri"/>
          <w:sz w:val="32"/>
          <w:szCs w:val="32"/>
        </w:rPr>
        <w:t>绿色循环发展与节能降耗专项资金（以下简称“省级工作经费”）</w:t>
      </w:r>
      <w:r>
        <w:rPr>
          <w:rFonts w:ascii="仿宋_GB2312" w:hAnsi="Calibri" w:eastAsia="仿宋_GB2312" w:cs="Calibri"/>
          <w:sz w:val="32"/>
          <w:szCs w:val="32"/>
        </w:rPr>
        <w:t>1,050</w:t>
      </w:r>
      <w:r>
        <w:rPr>
          <w:rFonts w:hint="eastAsia" w:ascii="仿宋_GB2312" w:hAnsi="Calibri" w:eastAsia="仿宋_GB2312" w:cs="Calibri"/>
          <w:sz w:val="32"/>
          <w:szCs w:val="32"/>
        </w:rPr>
        <w:t>万元，作为厅科信处的专项工作经费。</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根据</w:t>
      </w:r>
      <w:r>
        <w:rPr>
          <w:rFonts w:ascii="仿宋_GB2312" w:hAnsi="Calibri" w:eastAsia="仿宋_GB2312" w:cs="Calibri"/>
          <w:sz w:val="32"/>
          <w:szCs w:val="32"/>
        </w:rPr>
        <w:t>2021</w:t>
      </w:r>
      <w:r>
        <w:rPr>
          <w:rFonts w:hint="eastAsia" w:ascii="仿宋_GB2312" w:hAnsi="Calibri" w:eastAsia="仿宋_GB2312" w:cs="Calibri"/>
          <w:sz w:val="32"/>
          <w:szCs w:val="32"/>
        </w:rPr>
        <w:t>年的年度工作计划和预算安排，将专项资金用于一星级及以上运行标识绿色建筑项目进行补助或以奖代补。具体分配情况如下表：</w:t>
      </w:r>
    </w:p>
    <w:p>
      <w:pPr>
        <w:spacing w:line="360" w:lineRule="auto"/>
        <w:jc w:val="center"/>
        <w:rPr>
          <w:rFonts w:ascii="黑体" w:hAnsi="黑体" w:eastAsia="黑体" w:cs="Calibri"/>
          <w:sz w:val="28"/>
          <w:szCs w:val="28"/>
        </w:rPr>
      </w:pPr>
      <w:r>
        <w:rPr>
          <w:rFonts w:hint="eastAsia" w:ascii="黑体" w:hAnsi="黑体" w:eastAsia="黑体" w:cs="Calibri"/>
          <w:sz w:val="28"/>
          <w:szCs w:val="28"/>
        </w:rPr>
        <w:t>绿色循环发展与节能降耗专项资金具体安排情况明细表</w:t>
      </w:r>
    </w:p>
    <w:p>
      <w:pPr>
        <w:spacing w:line="360" w:lineRule="auto"/>
        <w:jc w:val="right"/>
        <w:rPr>
          <w:rFonts w:ascii="仿宋_GB2312" w:hAnsi="黑体" w:eastAsia="仿宋_GB2312" w:cs="Calibri"/>
          <w:sz w:val="32"/>
          <w:szCs w:val="32"/>
        </w:rPr>
      </w:pPr>
      <w:r>
        <w:rPr>
          <w:rFonts w:hint="eastAsia" w:ascii="仿宋_GB2312" w:hAnsi="黑体" w:eastAsia="仿宋_GB2312" w:cs="Calibri"/>
          <w:sz w:val="24"/>
          <w:szCs w:val="32"/>
        </w:rPr>
        <w:t>（金额单位：万元）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1843"/>
        <w:gridCol w:w="1843"/>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pPr>
              <w:pStyle w:val="15"/>
              <w:tabs>
                <w:tab w:val="left" w:pos="1843"/>
              </w:tabs>
              <w:spacing w:line="360" w:lineRule="auto"/>
              <w:ind w:firstLine="0"/>
              <w:jc w:val="center"/>
              <w:rPr>
                <w:rFonts w:ascii="仿宋_GB2312" w:eastAsia="仿宋_GB2312"/>
                <w:b/>
                <w:color w:val="000000"/>
                <w:sz w:val="24"/>
              </w:rPr>
            </w:pPr>
            <w:r>
              <w:rPr>
                <w:rFonts w:hint="eastAsia" w:ascii="仿宋_GB2312" w:eastAsia="仿宋_GB2312"/>
                <w:b/>
                <w:color w:val="000000"/>
                <w:sz w:val="24"/>
              </w:rPr>
              <w:t>项目</w:t>
            </w:r>
          </w:p>
        </w:tc>
        <w:tc>
          <w:tcPr>
            <w:tcW w:w="1843" w:type="dxa"/>
            <w:vAlign w:val="center"/>
          </w:tcPr>
          <w:p>
            <w:pPr>
              <w:pStyle w:val="15"/>
              <w:tabs>
                <w:tab w:val="left" w:pos="1843"/>
              </w:tabs>
              <w:spacing w:line="360" w:lineRule="auto"/>
              <w:ind w:firstLine="0"/>
              <w:jc w:val="center"/>
              <w:rPr>
                <w:rFonts w:ascii="仿宋_GB2312" w:eastAsia="仿宋_GB2312"/>
                <w:b/>
                <w:color w:val="000000"/>
                <w:sz w:val="24"/>
              </w:rPr>
            </w:pPr>
            <w:r>
              <w:rPr>
                <w:rFonts w:hint="eastAsia" w:ascii="仿宋_GB2312" w:eastAsia="仿宋_GB2312"/>
                <w:b/>
                <w:color w:val="000000"/>
                <w:sz w:val="24"/>
              </w:rPr>
              <w:t>城市</w:t>
            </w:r>
          </w:p>
        </w:tc>
        <w:tc>
          <w:tcPr>
            <w:tcW w:w="1843" w:type="dxa"/>
            <w:vAlign w:val="center"/>
          </w:tcPr>
          <w:p>
            <w:pPr>
              <w:pStyle w:val="15"/>
              <w:tabs>
                <w:tab w:val="left" w:pos="1843"/>
              </w:tabs>
              <w:spacing w:line="360" w:lineRule="auto"/>
              <w:ind w:firstLine="0"/>
              <w:jc w:val="center"/>
              <w:rPr>
                <w:rFonts w:ascii="仿宋_GB2312" w:eastAsia="仿宋_GB2312"/>
                <w:b/>
                <w:color w:val="000000"/>
                <w:sz w:val="24"/>
              </w:rPr>
            </w:pPr>
            <w:r>
              <w:rPr>
                <w:rFonts w:hint="eastAsia" w:ascii="仿宋_GB2312" w:eastAsia="仿宋_GB2312"/>
                <w:b/>
                <w:color w:val="000000"/>
                <w:sz w:val="24"/>
              </w:rPr>
              <w:t>项目数量</w:t>
            </w:r>
          </w:p>
        </w:tc>
        <w:tc>
          <w:tcPr>
            <w:tcW w:w="1860" w:type="dxa"/>
            <w:vAlign w:val="center"/>
          </w:tcPr>
          <w:p>
            <w:pPr>
              <w:pStyle w:val="15"/>
              <w:tabs>
                <w:tab w:val="left" w:pos="1843"/>
              </w:tabs>
              <w:spacing w:line="360" w:lineRule="auto"/>
              <w:ind w:firstLine="0"/>
              <w:jc w:val="center"/>
              <w:rPr>
                <w:rFonts w:ascii="仿宋_GB2312" w:eastAsia="仿宋_GB2312"/>
                <w:b/>
                <w:color w:val="000000"/>
                <w:sz w:val="24"/>
              </w:rPr>
            </w:pPr>
            <w:r>
              <w:rPr>
                <w:rFonts w:hint="eastAsia" w:ascii="仿宋_GB2312" w:eastAsia="仿宋_GB2312"/>
                <w:b/>
                <w:color w:val="000000"/>
                <w:sz w:val="24"/>
              </w:rPr>
              <w:t>支持金额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restart"/>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建成一星级及以上运行标识绿色建筑项目</w:t>
            </w:r>
          </w:p>
        </w:tc>
        <w:tc>
          <w:tcPr>
            <w:tcW w:w="1843" w:type="dxa"/>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惠州</w:t>
            </w:r>
          </w:p>
        </w:tc>
        <w:tc>
          <w:tcPr>
            <w:tcW w:w="1843" w:type="dxa"/>
            <w:vAlign w:val="center"/>
          </w:tcPr>
          <w:p>
            <w:pPr>
              <w:widowControl/>
              <w:spacing w:line="360" w:lineRule="auto"/>
              <w:jc w:val="center"/>
              <w:textAlignment w:val="center"/>
              <w:rPr>
                <w:rFonts w:ascii="仿宋_GB2312" w:hAnsi="宋体" w:eastAsia="仿宋_GB2312" w:cs="仿宋_GB2312"/>
                <w:color w:val="000000"/>
                <w:sz w:val="24"/>
                <w:szCs w:val="24"/>
                <w:lang w:bidi="ar"/>
              </w:rPr>
            </w:pPr>
            <w:r>
              <w:rPr>
                <w:rFonts w:ascii="仿宋_GB2312" w:hAnsi="宋体" w:eastAsia="仿宋_GB2312" w:cs="仿宋_GB2312"/>
                <w:color w:val="000000"/>
                <w:sz w:val="24"/>
                <w:szCs w:val="24"/>
                <w:lang w:bidi="ar"/>
              </w:rPr>
              <w:t>2</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lang w:bidi="ar"/>
              </w:rPr>
            </w:pPr>
            <w:r>
              <w:rPr>
                <w:rFonts w:ascii="仿宋_GB2312" w:hAnsi="宋体" w:eastAsia="仿宋_GB2312" w:cs="仿宋_GB2312"/>
                <w:color w:val="000000"/>
                <w:sz w:val="24"/>
                <w:szCs w:val="24"/>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continue"/>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东莞</w:t>
            </w:r>
          </w:p>
        </w:tc>
        <w:tc>
          <w:tcPr>
            <w:tcW w:w="1843"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2</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continue"/>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中山</w:t>
            </w:r>
          </w:p>
        </w:tc>
        <w:tc>
          <w:tcPr>
            <w:tcW w:w="1843"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1</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Merge w:val="continue"/>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江门</w:t>
            </w:r>
          </w:p>
        </w:tc>
        <w:tc>
          <w:tcPr>
            <w:tcW w:w="1843"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1</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肇庆</w:t>
            </w:r>
          </w:p>
        </w:tc>
        <w:tc>
          <w:tcPr>
            <w:tcW w:w="1843"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1</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360" w:lineRule="auto"/>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360" w:lineRule="auto"/>
              <w:jc w:val="center"/>
              <w:textAlignment w:val="center"/>
              <w:rPr>
                <w:rFonts w:ascii="仿宋_GB2312" w:hAnsi="仿宋_GB2312" w:eastAsia="仿宋_GB2312" w:cs="仿宋_GB2312"/>
                <w:b/>
                <w:color w:val="000000"/>
                <w:sz w:val="24"/>
                <w:szCs w:val="24"/>
                <w:lang w:bidi="ar"/>
              </w:rPr>
            </w:pPr>
            <w:r>
              <w:rPr>
                <w:rFonts w:hint="eastAsia" w:ascii="仿宋_GB2312" w:hAnsi="仿宋_GB2312" w:eastAsia="仿宋_GB2312" w:cs="仿宋_GB2312"/>
                <w:b/>
                <w:color w:val="000000"/>
                <w:sz w:val="24"/>
                <w:szCs w:val="24"/>
                <w:lang w:bidi="ar"/>
              </w:rPr>
              <w:t>小计</w:t>
            </w:r>
          </w:p>
        </w:tc>
        <w:tc>
          <w:tcPr>
            <w:tcW w:w="1843" w:type="dxa"/>
            <w:vAlign w:val="center"/>
          </w:tcPr>
          <w:p>
            <w:pPr>
              <w:widowControl/>
              <w:spacing w:line="360" w:lineRule="auto"/>
              <w:jc w:val="center"/>
              <w:textAlignment w:val="center"/>
              <w:rPr>
                <w:rFonts w:ascii="仿宋_GB2312" w:hAnsi="宋体" w:eastAsia="仿宋_GB2312" w:cs="仿宋_GB2312"/>
                <w:b/>
                <w:color w:val="000000"/>
                <w:sz w:val="24"/>
                <w:szCs w:val="24"/>
              </w:rPr>
            </w:pPr>
            <w:r>
              <w:rPr>
                <w:rFonts w:ascii="仿宋_GB2312" w:hAnsi="宋体" w:eastAsia="仿宋_GB2312" w:cs="仿宋_GB2312"/>
                <w:b/>
                <w:color w:val="000000"/>
                <w:sz w:val="24"/>
                <w:szCs w:val="24"/>
              </w:rPr>
              <w:t>7</w:t>
            </w:r>
          </w:p>
        </w:tc>
        <w:tc>
          <w:tcPr>
            <w:tcW w:w="1860" w:type="dxa"/>
            <w:vAlign w:val="center"/>
          </w:tcPr>
          <w:p>
            <w:pPr>
              <w:widowControl/>
              <w:spacing w:line="360" w:lineRule="auto"/>
              <w:jc w:val="center"/>
              <w:textAlignment w:val="center"/>
              <w:rPr>
                <w:rFonts w:ascii="仿宋_GB2312" w:hAnsi="宋体" w:eastAsia="仿宋_GB2312" w:cs="仿宋_GB2312"/>
                <w:color w:val="000000"/>
                <w:sz w:val="24"/>
                <w:szCs w:val="24"/>
              </w:rPr>
            </w:pPr>
            <w:r>
              <w:rPr>
                <w:rFonts w:ascii="仿宋_GB2312" w:hAnsi="宋体" w:eastAsia="仿宋_GB2312"/>
                <w:b/>
                <w:color w:val="000000"/>
                <w:sz w:val="24"/>
                <w:szCs w:val="24"/>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8" w:type="dxa"/>
            <w:gridSpan w:val="3"/>
            <w:vAlign w:val="center"/>
          </w:tcPr>
          <w:p>
            <w:pPr>
              <w:pStyle w:val="15"/>
              <w:tabs>
                <w:tab w:val="left" w:pos="1843"/>
              </w:tabs>
              <w:spacing w:line="360" w:lineRule="auto"/>
              <w:ind w:firstLine="0"/>
              <w:jc w:val="center"/>
              <w:rPr>
                <w:rFonts w:ascii="仿宋_GB2312" w:hAnsi="宋体" w:eastAsia="仿宋_GB2312"/>
                <w:b/>
                <w:color w:val="000000"/>
                <w:sz w:val="24"/>
              </w:rPr>
            </w:pPr>
            <w:r>
              <w:rPr>
                <w:rFonts w:hint="eastAsia" w:ascii="仿宋_GB2312" w:hAnsi="仿宋_GB2312" w:eastAsia="仿宋_GB2312" w:cs="仿宋_GB2312"/>
                <w:b/>
                <w:color w:val="000000"/>
                <w:sz w:val="24"/>
              </w:rPr>
              <w:t>绿色循环发展与节能降耗专项资金合计</w:t>
            </w:r>
          </w:p>
        </w:tc>
        <w:tc>
          <w:tcPr>
            <w:tcW w:w="1860" w:type="dxa"/>
            <w:vAlign w:val="center"/>
          </w:tcPr>
          <w:p>
            <w:pPr>
              <w:pStyle w:val="15"/>
              <w:tabs>
                <w:tab w:val="left" w:pos="1843"/>
              </w:tabs>
              <w:spacing w:line="360" w:lineRule="auto"/>
              <w:ind w:firstLine="0"/>
              <w:jc w:val="center"/>
              <w:rPr>
                <w:rFonts w:ascii="仿宋_GB2312" w:hAnsi="宋体" w:eastAsia="仿宋_GB2312"/>
                <w:b/>
                <w:color w:val="000000"/>
                <w:sz w:val="24"/>
              </w:rPr>
            </w:pPr>
            <w:r>
              <w:rPr>
                <w:rFonts w:ascii="仿宋_GB2312" w:hAnsi="宋体" w:eastAsia="仿宋_GB2312"/>
                <w:b/>
                <w:color w:val="000000"/>
                <w:sz w:val="24"/>
              </w:rPr>
              <w:t>1,050</w:t>
            </w:r>
          </w:p>
        </w:tc>
      </w:tr>
    </w:tbl>
    <w:p>
      <w:pPr>
        <w:pStyle w:val="12"/>
        <w:numPr>
          <w:ilvl w:val="0"/>
          <w:numId w:val="1"/>
        </w:numPr>
        <w:spacing w:line="360" w:lineRule="auto"/>
        <w:ind w:left="1061" w:firstLineChars="0"/>
        <w:outlineLvl w:val="1"/>
        <w:rPr>
          <w:rFonts w:ascii="楷体_GB2312" w:eastAsia="楷体_GB2312"/>
          <w:b/>
          <w:sz w:val="32"/>
          <w:szCs w:val="32"/>
        </w:rPr>
      </w:pPr>
      <w:r>
        <w:rPr>
          <w:rFonts w:hint="eastAsia" w:ascii="楷体_GB2312" w:eastAsia="楷体_GB2312"/>
          <w:b/>
          <w:sz w:val="32"/>
          <w:szCs w:val="32"/>
        </w:rPr>
        <w:t>省级工作经费的绩效目标。</w:t>
      </w:r>
    </w:p>
    <w:p>
      <w:pPr>
        <w:spacing w:line="360" w:lineRule="auto"/>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w:t>
      </w:r>
      <w:r>
        <w:rPr>
          <w:rFonts w:hint="eastAsia" w:ascii="仿宋_GB2312" w:hAnsi="黑体" w:eastAsia="仿宋_GB2312" w:cs="Calibri"/>
          <w:b/>
          <w:sz w:val="32"/>
          <w:szCs w:val="32"/>
          <w:lang w:eastAsia="zh-CN"/>
        </w:rPr>
        <w:t>环境监管能力建设</w:t>
      </w:r>
      <w:r>
        <w:rPr>
          <w:rFonts w:hint="eastAsia" w:ascii="仿宋_GB2312" w:hAnsi="黑体" w:eastAsia="仿宋_GB2312" w:cs="Calibri"/>
          <w:b/>
          <w:sz w:val="32"/>
          <w:szCs w:val="32"/>
        </w:rPr>
        <w:t>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在</w:t>
      </w:r>
      <w:r>
        <w:rPr>
          <w:rFonts w:ascii="仿宋_GB2312" w:hAnsi="Calibri" w:eastAsia="仿宋_GB2312" w:cs="Calibri"/>
          <w:sz w:val="32"/>
          <w:szCs w:val="32"/>
        </w:rPr>
        <w:t>2021年，通过开展绿色建筑、可再生能源建筑应用项目、既有建筑节能改造等项目，促进我省建筑节能和绿色建筑量质升。一是完成绿色建筑二星级、三星级标识评价项目300个；二是完成省级相关技术研究和标准制订2个。</w:t>
      </w:r>
    </w:p>
    <w:p>
      <w:pPr>
        <w:spacing w:line="360" w:lineRule="auto"/>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2、绿色循环发展与节能降耗专项资金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在</w:t>
      </w:r>
      <w:r>
        <w:rPr>
          <w:rFonts w:ascii="仿宋_GB2312" w:hAnsi="Calibri" w:eastAsia="仿宋_GB2312" w:cs="Calibri"/>
          <w:sz w:val="32"/>
          <w:szCs w:val="32"/>
        </w:rPr>
        <w:t>2021年，通过开展绿色建筑、可再生能源建筑应用项目、既有建筑节能改造等项目，促进我省建筑节能和绿色建筑量质齐升。建成7个取得</w:t>
      </w:r>
      <w:r>
        <w:rPr>
          <w:rFonts w:hint="eastAsia" w:ascii="仿宋_GB2312" w:hAnsi="Calibri" w:eastAsia="仿宋_GB2312" w:cs="Calibri"/>
          <w:sz w:val="32"/>
          <w:szCs w:val="32"/>
        </w:rPr>
        <w:t>一星级以上运行标识的绿色建筑示范项目，验收达标率</w:t>
      </w:r>
      <w:r>
        <w:rPr>
          <w:rFonts w:ascii="仿宋_GB2312" w:hAnsi="Calibri" w:eastAsia="仿宋_GB2312" w:cs="Calibri"/>
          <w:sz w:val="32"/>
          <w:szCs w:val="32"/>
        </w:rPr>
        <w:t>90%以上，实现新增节能建筑面积超过2亿</w:t>
      </w:r>
      <w:r>
        <w:rPr>
          <w:rFonts w:hint="eastAsia" w:ascii="Segoe UI Symbol" w:hAnsi="Segoe UI Symbol" w:eastAsia="Segoe UI Symbol" w:cs="Segoe UI Symbol"/>
          <w:sz w:val="32"/>
          <w:szCs w:val="32"/>
        </w:rPr>
        <w:t>㎡</w:t>
      </w:r>
      <w:r>
        <w:rPr>
          <w:rFonts w:hint="eastAsia" w:ascii="仿宋_GB2312" w:hAnsi="Calibri" w:eastAsia="仿宋_GB2312" w:cs="Calibri"/>
          <w:sz w:val="32"/>
          <w:szCs w:val="32"/>
        </w:rPr>
        <w:t>、新增绿色建筑面积超过</w:t>
      </w:r>
      <w:r>
        <w:rPr>
          <w:rFonts w:ascii="仿宋_GB2312" w:hAnsi="Calibri" w:eastAsia="仿宋_GB2312" w:cs="Calibri"/>
          <w:sz w:val="32"/>
          <w:szCs w:val="32"/>
        </w:rPr>
        <w:t>1亿</w:t>
      </w:r>
      <w:r>
        <w:rPr>
          <w:rFonts w:hint="eastAsia" w:ascii="Segoe UI Symbol" w:hAnsi="Segoe UI Symbol" w:eastAsia="Segoe UI Symbol" w:cs="Segoe UI Symbol"/>
          <w:sz w:val="32"/>
          <w:szCs w:val="32"/>
        </w:rPr>
        <w:t>㎡</w:t>
      </w:r>
      <w:r>
        <w:rPr>
          <w:rFonts w:hint="eastAsia" w:ascii="仿宋_GB2312" w:hAnsi="Calibri" w:eastAsia="仿宋_GB2312" w:cs="Calibri"/>
          <w:sz w:val="32"/>
          <w:szCs w:val="32"/>
        </w:rPr>
        <w:t>、新建节能建筑节能能力超过</w:t>
      </w:r>
      <w:r>
        <w:rPr>
          <w:rFonts w:ascii="仿宋_GB2312" w:hAnsi="Calibri" w:eastAsia="仿宋_GB2312" w:cs="Calibri"/>
          <w:sz w:val="32"/>
          <w:szCs w:val="32"/>
        </w:rPr>
        <w:t>180万吨标准煤，促进我省建筑节能与绿色建筑发展水平量质齐升，减少二氧化碳排放、持续节约能源资源。</w:t>
      </w:r>
    </w:p>
    <w:p>
      <w:pPr>
        <w:spacing w:line="360" w:lineRule="auto"/>
        <w:ind w:firstLine="640" w:firstLineChars="200"/>
        <w:outlineLvl w:val="0"/>
        <w:rPr>
          <w:rFonts w:ascii="黑体" w:hAnsi="黑体" w:eastAsia="黑体" w:cs="Calibri"/>
          <w:sz w:val="32"/>
          <w:szCs w:val="32"/>
        </w:rPr>
      </w:pPr>
      <w:r>
        <w:rPr>
          <w:rFonts w:hint="eastAsia" w:ascii="黑体" w:hAnsi="黑体" w:eastAsia="黑体" w:cs="Calibri"/>
          <w:sz w:val="32"/>
          <w:szCs w:val="32"/>
        </w:rPr>
        <w:t>二、自评情况</w:t>
      </w:r>
    </w:p>
    <w:p>
      <w:pPr>
        <w:pStyle w:val="12"/>
        <w:numPr>
          <w:ilvl w:val="0"/>
          <w:numId w:val="2"/>
        </w:numPr>
        <w:spacing w:line="360" w:lineRule="auto"/>
        <w:ind w:left="1061" w:firstLineChars="0"/>
        <w:outlineLvl w:val="1"/>
        <w:rPr>
          <w:rFonts w:ascii="楷体_GB2312" w:eastAsia="楷体_GB2312"/>
          <w:b/>
          <w:sz w:val="32"/>
          <w:szCs w:val="32"/>
        </w:rPr>
      </w:pPr>
      <w:r>
        <w:rPr>
          <w:rFonts w:hint="eastAsia" w:ascii="楷体_GB2312" w:eastAsia="楷体_GB2312"/>
          <w:b/>
          <w:sz w:val="32"/>
          <w:szCs w:val="32"/>
        </w:rPr>
        <w:t>自评分数</w:t>
      </w:r>
    </w:p>
    <w:p>
      <w:pPr>
        <w:spacing w:line="360" w:lineRule="auto"/>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w:t>
      </w:r>
      <w:r>
        <w:rPr>
          <w:rFonts w:hint="eastAsia" w:ascii="仿宋_GB2312" w:hAnsi="黑体" w:eastAsia="仿宋_GB2312" w:cs="Calibri"/>
          <w:b/>
          <w:sz w:val="32"/>
          <w:szCs w:val="32"/>
          <w:lang w:eastAsia="zh-CN"/>
        </w:rPr>
        <w:t>环境监管能力建设</w:t>
      </w:r>
      <w:r>
        <w:rPr>
          <w:rFonts w:ascii="仿宋_GB2312" w:hAnsi="黑体" w:eastAsia="仿宋_GB2312" w:cs="Calibri"/>
          <w:b/>
          <w:sz w:val="32"/>
          <w:szCs w:val="32"/>
        </w:rPr>
        <w:t>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我厅科信处</w:t>
      </w:r>
      <w:r>
        <w:rPr>
          <w:rFonts w:hint="eastAsia" w:ascii="仿宋_GB2312" w:hAnsi="Calibri" w:eastAsia="仿宋_GB2312" w:cs="Calibri"/>
          <w:sz w:val="32"/>
          <w:szCs w:val="32"/>
          <w:lang w:eastAsia="zh-CN"/>
        </w:rPr>
        <w:t>环境监管能力建设</w:t>
      </w:r>
      <w:r>
        <w:rPr>
          <w:rFonts w:hint="eastAsia" w:ascii="仿宋_GB2312" w:hAnsi="Calibri" w:eastAsia="仿宋_GB2312" w:cs="Calibri"/>
          <w:sz w:val="32"/>
          <w:szCs w:val="32"/>
        </w:rPr>
        <w:t>专项资金使用绩效的自评得分为</w:t>
      </w:r>
      <w:r>
        <w:rPr>
          <w:rFonts w:ascii="仿宋_GB2312" w:hAnsi="Calibri" w:eastAsia="仿宋_GB2312" w:cs="Calibri"/>
          <w:b w:val="0"/>
          <w:bCs w:val="0"/>
          <w:sz w:val="32"/>
          <w:szCs w:val="32"/>
        </w:rPr>
        <w:t>96</w:t>
      </w:r>
      <w:r>
        <w:rPr>
          <w:rFonts w:hint="eastAsia" w:ascii="仿宋_GB2312" w:hAnsi="Calibri" w:eastAsia="仿宋_GB2312" w:cs="Calibri"/>
          <w:b w:val="0"/>
          <w:bCs w:val="0"/>
          <w:sz w:val="32"/>
          <w:szCs w:val="32"/>
        </w:rPr>
        <w:t>分</w:t>
      </w:r>
      <w:r>
        <w:rPr>
          <w:rFonts w:hint="eastAsia" w:ascii="仿宋_GB2312" w:hAnsi="Calibri" w:eastAsia="仿宋_GB2312" w:cs="Calibri"/>
          <w:sz w:val="32"/>
          <w:szCs w:val="32"/>
        </w:rPr>
        <w:t>，自评的绩效等级为</w:t>
      </w:r>
      <w:r>
        <w:rPr>
          <w:rFonts w:hint="eastAsia" w:ascii="仿宋_GB2312" w:hAnsi="Calibri" w:eastAsia="仿宋_GB2312" w:cs="Calibri"/>
          <w:b w:val="0"/>
          <w:bCs w:val="0"/>
          <w:sz w:val="32"/>
          <w:szCs w:val="32"/>
        </w:rPr>
        <w:t>“优”</w:t>
      </w:r>
      <w:r>
        <w:rPr>
          <w:rFonts w:hint="eastAsia" w:ascii="仿宋_GB2312" w:hAnsi="Calibri" w:eastAsia="仿宋_GB2312" w:cs="Calibri"/>
          <w:sz w:val="32"/>
          <w:szCs w:val="32"/>
        </w:rPr>
        <w:t>。</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本项省级</w:t>
      </w:r>
      <w:r>
        <w:rPr>
          <w:rFonts w:hint="eastAsia" w:ascii="仿宋_GB2312" w:hAnsi="Calibri" w:eastAsia="仿宋_GB2312" w:cs="Calibri"/>
          <w:sz w:val="32"/>
          <w:szCs w:val="32"/>
          <w:lang w:eastAsia="zh-CN"/>
        </w:rPr>
        <w:t>环境监管能力建设</w:t>
      </w:r>
      <w:r>
        <w:rPr>
          <w:rFonts w:hint="eastAsia" w:ascii="仿宋_GB2312" w:hAnsi="Calibri" w:eastAsia="仿宋_GB2312" w:cs="Calibri"/>
          <w:sz w:val="32"/>
          <w:szCs w:val="32"/>
        </w:rPr>
        <w:t>专项资金使用绩效的自评得分如下简表：</w:t>
      </w:r>
    </w:p>
    <w:p>
      <w:pPr>
        <w:widowControl/>
        <w:jc w:val="left"/>
        <w:rPr>
          <w:rFonts w:ascii="仿宋_GB2312" w:hAnsi="Calibri" w:eastAsia="仿宋_GB2312" w:cs="Calibri"/>
          <w:sz w:val="32"/>
          <w:szCs w:val="32"/>
        </w:rPr>
      </w:pPr>
      <w:r>
        <w:rPr>
          <w:rFonts w:ascii="仿宋_GB2312" w:hAnsi="Calibri" w:eastAsia="仿宋_GB2312" w:cs="Calibri"/>
          <w:sz w:val="32"/>
          <w:szCs w:val="32"/>
        </w:rPr>
        <w:br w:type="page"/>
      </w:r>
    </w:p>
    <w:p>
      <w:pPr>
        <w:spacing w:line="360" w:lineRule="auto"/>
        <w:jc w:val="center"/>
        <w:rPr>
          <w:rFonts w:ascii="黑体" w:hAnsi="黑体" w:eastAsia="黑体" w:cs="Calibri"/>
          <w:sz w:val="28"/>
          <w:szCs w:val="28"/>
        </w:rPr>
      </w:pPr>
      <w:r>
        <w:rPr>
          <w:rFonts w:hint="eastAsia" w:ascii="黑体" w:hAnsi="黑体" w:eastAsia="黑体" w:cs="Calibri"/>
          <w:sz w:val="28"/>
          <w:szCs w:val="28"/>
          <w:lang w:eastAsia="zh-CN"/>
        </w:rPr>
        <w:t>环境监管能力建设</w:t>
      </w:r>
      <w:r>
        <w:rPr>
          <w:rFonts w:hint="eastAsia" w:ascii="黑体" w:hAnsi="黑体" w:eastAsia="黑体" w:cs="Calibri"/>
          <w:sz w:val="28"/>
          <w:szCs w:val="28"/>
        </w:rPr>
        <w:t>专项资金自评得分简表</w:t>
      </w:r>
    </w:p>
    <w:tbl>
      <w:tblPr>
        <w:tblStyle w:val="7"/>
        <w:tblW w:w="5213" w:type="pct"/>
        <w:tblInd w:w="-176" w:type="dxa"/>
        <w:tblLayout w:type="autofit"/>
        <w:tblCellMar>
          <w:top w:w="0" w:type="dxa"/>
          <w:left w:w="108" w:type="dxa"/>
          <w:bottom w:w="0" w:type="dxa"/>
          <w:right w:w="108" w:type="dxa"/>
        </w:tblCellMar>
      </w:tblPr>
      <w:tblGrid>
        <w:gridCol w:w="757"/>
        <w:gridCol w:w="1166"/>
        <w:gridCol w:w="1455"/>
        <w:gridCol w:w="2511"/>
        <w:gridCol w:w="763"/>
        <w:gridCol w:w="735"/>
        <w:gridCol w:w="978"/>
        <w:gridCol w:w="847"/>
      </w:tblGrid>
      <w:tr>
        <w:tblPrEx>
          <w:tblCellMar>
            <w:top w:w="0" w:type="dxa"/>
            <w:left w:w="108" w:type="dxa"/>
            <w:bottom w:w="0" w:type="dxa"/>
            <w:right w:w="108" w:type="dxa"/>
          </w:tblCellMar>
        </w:tblPrEx>
        <w:trPr>
          <w:trHeight w:val="360" w:hRule="atLeast"/>
          <w:tblHeader/>
        </w:trPr>
        <w:tc>
          <w:tcPr>
            <w:tcW w:w="3610" w:type="pct"/>
            <w:gridSpan w:val="5"/>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评价指标及满分分值</w:t>
            </w:r>
          </w:p>
        </w:tc>
        <w:tc>
          <w:tcPr>
            <w:tcW w:w="1390" w:type="pct"/>
            <w:gridSpan w:val="3"/>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自评结果</w:t>
            </w:r>
          </w:p>
        </w:tc>
      </w:tr>
      <w:tr>
        <w:tblPrEx>
          <w:tblCellMar>
            <w:top w:w="0" w:type="dxa"/>
            <w:left w:w="108" w:type="dxa"/>
            <w:bottom w:w="0" w:type="dxa"/>
            <w:right w:w="108" w:type="dxa"/>
          </w:tblCellMar>
        </w:tblPrEx>
        <w:trPr>
          <w:trHeight w:val="540" w:hRule="atLeast"/>
          <w:tblHeader/>
        </w:trPr>
        <w:tc>
          <w:tcPr>
            <w:tcW w:w="411" w:type="pct"/>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一级指标</w:t>
            </w:r>
          </w:p>
        </w:tc>
        <w:tc>
          <w:tcPr>
            <w:tcW w:w="633"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二级指标</w:t>
            </w:r>
          </w:p>
        </w:tc>
        <w:tc>
          <w:tcPr>
            <w:tcW w:w="790"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三级指标</w:t>
            </w:r>
          </w:p>
        </w:tc>
        <w:tc>
          <w:tcPr>
            <w:tcW w:w="1363"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四级指标</w:t>
            </w:r>
          </w:p>
        </w:tc>
        <w:tc>
          <w:tcPr>
            <w:tcW w:w="414"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满分</w:t>
            </w:r>
          </w:p>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分值</w:t>
            </w:r>
          </w:p>
        </w:tc>
        <w:tc>
          <w:tcPr>
            <w:tcW w:w="399"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扣分</w:t>
            </w:r>
          </w:p>
        </w:tc>
        <w:tc>
          <w:tcPr>
            <w:tcW w:w="531"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bCs/>
                <w:color w:val="000000"/>
                <w:kern w:val="0"/>
                <w:sz w:val="20"/>
                <w:szCs w:val="20"/>
              </w:rPr>
            </w:pPr>
            <w:r>
              <w:rPr>
                <w:rFonts w:hint="eastAsia" w:ascii="仿宋_GB2312" w:hAnsi="宋体" w:eastAsia="仿宋_GB2312" w:cs="宋体"/>
                <w:bCs/>
                <w:color w:val="000000"/>
                <w:kern w:val="0"/>
                <w:sz w:val="20"/>
                <w:szCs w:val="20"/>
              </w:rPr>
              <w:t>得分</w:t>
            </w:r>
          </w:p>
        </w:tc>
        <w:tc>
          <w:tcPr>
            <w:tcW w:w="460"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得分率</w:t>
            </w:r>
          </w:p>
        </w:tc>
      </w:tr>
      <w:tr>
        <w:tblPrEx>
          <w:tblCellMar>
            <w:top w:w="0" w:type="dxa"/>
            <w:left w:w="108" w:type="dxa"/>
            <w:bottom w:w="0" w:type="dxa"/>
            <w:right w:w="108" w:type="dxa"/>
          </w:tblCellMar>
        </w:tblPrEx>
        <w:trPr>
          <w:trHeight w:val="300" w:hRule="atLeast"/>
        </w:trPr>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7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136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41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①</w:t>
            </w:r>
          </w:p>
        </w:tc>
        <w:tc>
          <w:tcPr>
            <w:tcW w:w="39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②</w:t>
            </w:r>
          </w:p>
        </w:tc>
        <w:tc>
          <w:tcPr>
            <w:tcW w:w="5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18"/>
                <w:szCs w:val="18"/>
              </w:rPr>
            </w:pPr>
            <w:r>
              <w:rPr>
                <w:rFonts w:hint="eastAsia" w:ascii="仿宋_GB2312" w:hAnsi="宋体" w:eastAsia="仿宋_GB2312" w:cs="宋体"/>
                <w:color w:val="000000"/>
                <w:kern w:val="0"/>
                <w:sz w:val="18"/>
                <w:szCs w:val="18"/>
              </w:rPr>
              <w:t>③</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①</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②</w:t>
            </w:r>
          </w:p>
        </w:tc>
        <w:tc>
          <w:tcPr>
            <w:tcW w:w="46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④</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投入</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项目立项</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论证决策</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论证充分性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目标设置</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完整性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可衡量性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保障措施</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制度完整性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计划安排合理性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资金落实</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7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资金到位及时性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460"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过程</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资金支付</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资金支出率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事项管理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实施程序</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程序规范性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管理情况</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监管有效性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54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产出</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30</w:t>
            </w:r>
            <w:r>
              <w:rPr>
                <w:rFonts w:hint="eastAsia" w:ascii="仿宋_GB2312" w:hAnsi="宋体" w:eastAsia="仿宋_GB2312" w:cs="宋体"/>
                <w:kern w:val="0"/>
                <w:sz w:val="20"/>
                <w:szCs w:val="20"/>
              </w:rPr>
              <w:t>分）</w:t>
            </w: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经济性</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5</w:t>
            </w:r>
            <w:r>
              <w:rPr>
                <w:rFonts w:hint="eastAsia" w:ascii="仿宋_GB2312" w:hAnsi="宋体" w:eastAsia="仿宋_GB2312" w:cs="宋体"/>
                <w:kern w:val="0"/>
                <w:sz w:val="20"/>
                <w:szCs w:val="20"/>
              </w:rPr>
              <w:t>分）</w:t>
            </w: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预算控制</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支出与进度匹配，未超出预算</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7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成本控制</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预算执行率</w:t>
            </w:r>
            <w:r>
              <w:rPr>
                <w:rFonts w:ascii="仿宋_GB2312" w:hAnsi="Arial Narrow" w:eastAsia="仿宋_GB2312" w:cs="宋体"/>
                <w:kern w:val="0"/>
                <w:sz w:val="20"/>
                <w:szCs w:val="20"/>
              </w:rPr>
              <w:t>85%</w:t>
            </w:r>
            <w:r>
              <w:rPr>
                <w:rFonts w:hint="eastAsia" w:ascii="仿宋_GB2312" w:hAnsi="Arial Narrow" w:eastAsia="仿宋_GB2312" w:cs="宋体"/>
                <w:kern w:val="0"/>
                <w:sz w:val="20"/>
                <w:szCs w:val="20"/>
              </w:rPr>
              <w:t>以上</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4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效率性</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25</w:t>
            </w:r>
            <w:r>
              <w:rPr>
                <w:rFonts w:hint="eastAsia" w:ascii="仿宋_GB2312" w:hAnsi="宋体" w:eastAsia="仿宋_GB2312" w:cs="宋体"/>
                <w:kern w:val="0"/>
                <w:sz w:val="20"/>
                <w:szCs w:val="20"/>
              </w:rPr>
              <w:t>分）</w:t>
            </w:r>
          </w:p>
        </w:tc>
        <w:tc>
          <w:tcPr>
            <w:tcW w:w="790" w:type="pct"/>
            <w:vMerge w:val="restart"/>
            <w:tcBorders>
              <w:top w:val="nil"/>
              <w:left w:val="single" w:color="auto" w:sz="4" w:space="0"/>
              <w:right w:val="single" w:color="auto" w:sz="4" w:space="0"/>
            </w:tcBorders>
            <w:shd w:val="clear" w:color="auto" w:fill="auto"/>
            <w:vAlign w:val="center"/>
          </w:tcPr>
          <w:p>
            <w:pPr>
              <w:widowControl/>
              <w:rPr>
                <w:rFonts w:ascii="仿宋_GB2312" w:hAnsi="Arial Narrow" w:eastAsia="仿宋_GB2312" w:cs="宋体"/>
                <w:kern w:val="0"/>
                <w:sz w:val="20"/>
                <w:szCs w:val="20"/>
              </w:rPr>
            </w:pPr>
            <w:r>
              <w:rPr>
                <w:rFonts w:hint="eastAsia" w:ascii="仿宋_GB2312" w:hAnsi="宋体" w:eastAsia="仿宋_GB2312" w:cs="宋体"/>
                <w:kern w:val="0"/>
                <w:sz w:val="20"/>
                <w:szCs w:val="20"/>
              </w:rPr>
              <w:t>完成进度</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全省绿色建筑二星级、三星级标识评价项目数（个）</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1</w:t>
            </w:r>
            <w:r>
              <w:rPr>
                <w:rFonts w:ascii="仿宋_GB2312" w:hAnsi="Arial Narrow" w:eastAsia="仿宋_GB2312" w:cs="宋体"/>
                <w:kern w:val="0"/>
                <w:sz w:val="20"/>
                <w:szCs w:val="20"/>
              </w:rPr>
              <w:t>0</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790" w:type="pct"/>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省级绿色建筑相关技术研究和标准制订数（个）</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hint="eastAsia"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1</w:t>
            </w:r>
            <w:r>
              <w:rPr>
                <w:rFonts w:ascii="仿宋_GB2312" w:hAnsi="Arial Narrow" w:eastAsia="仿宋_GB2312" w:cs="宋体"/>
                <w:kern w:val="0"/>
                <w:sz w:val="20"/>
                <w:szCs w:val="20"/>
              </w:rPr>
              <w:t>00</w:t>
            </w:r>
            <w:r>
              <w:rPr>
                <w:rFonts w:hint="eastAsia" w:ascii="仿宋_GB2312" w:hAnsi="Arial Narrow" w:eastAsia="仿宋_GB2312" w:cs="宋体"/>
                <w:kern w:val="0"/>
                <w:sz w:val="20"/>
                <w:szCs w:val="20"/>
              </w:rPr>
              <w:t>%</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790" w:type="pc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ascii="仿宋_GB2312" w:hAnsi="Arial Narrow" w:eastAsia="仿宋_GB2312" w:cs="宋体"/>
                <w:kern w:val="0"/>
                <w:sz w:val="20"/>
                <w:szCs w:val="20"/>
              </w:rPr>
              <w:t>完成时效</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202</w:t>
            </w:r>
            <w:r>
              <w:rPr>
                <w:rFonts w:ascii="仿宋_GB2312" w:hAnsi="Arial Narrow" w:eastAsia="仿宋_GB2312" w:cs="宋体"/>
                <w:kern w:val="0"/>
                <w:sz w:val="20"/>
                <w:szCs w:val="20"/>
              </w:rPr>
              <w:t>1</w:t>
            </w:r>
            <w:r>
              <w:rPr>
                <w:rFonts w:hint="eastAsia" w:ascii="仿宋_GB2312" w:hAnsi="Arial Narrow" w:eastAsia="仿宋_GB2312" w:cs="宋体"/>
                <w:kern w:val="0"/>
                <w:sz w:val="20"/>
                <w:szCs w:val="20"/>
              </w:rPr>
              <w:t>年12月31日前完成</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43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790" w:type="pc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完成质量</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项目验收合格率（%）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效益</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30</w:t>
            </w:r>
            <w:r>
              <w:rPr>
                <w:rFonts w:hint="eastAsia" w:ascii="仿宋_GB2312" w:hAnsi="宋体" w:eastAsia="仿宋_GB2312" w:cs="宋体"/>
                <w:color w:val="000000"/>
                <w:kern w:val="0"/>
                <w:sz w:val="20"/>
                <w:szCs w:val="20"/>
              </w:rPr>
              <w:t>分）</w:t>
            </w:r>
          </w:p>
        </w:tc>
        <w:tc>
          <w:tcPr>
            <w:tcW w:w="633" w:type="pc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效果性</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790" w:type="pct"/>
            <w:tcBorders>
              <w:top w:val="nil"/>
              <w:left w:val="single" w:color="auto" w:sz="4" w:space="0"/>
              <w:bottom w:val="single" w:color="000000" w:sz="4" w:space="0"/>
              <w:right w:val="single" w:color="auto" w:sz="4" w:space="0"/>
            </w:tcBorders>
            <w:shd w:val="clear" w:color="auto" w:fill="auto"/>
            <w:vAlign w:val="center"/>
          </w:tcPr>
          <w:p>
            <w:pPr>
              <w:widowControl/>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可持续发展</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建筑运营期节能能力</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20</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2</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18</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r>
              <w:rPr>
                <w:rFonts w:hint="eastAsia" w:ascii="仿宋_GB2312" w:hAnsi="Arial Narrow" w:eastAsia="仿宋_GB2312" w:cs="宋体"/>
                <w:color w:val="000000"/>
                <w:kern w:val="0"/>
                <w:sz w:val="20"/>
                <w:szCs w:val="20"/>
              </w:rPr>
              <w:t>%</w:t>
            </w:r>
          </w:p>
        </w:tc>
      </w:tr>
      <w:tr>
        <w:tblPrEx>
          <w:tblCellMar>
            <w:top w:w="0" w:type="dxa"/>
            <w:left w:w="108" w:type="dxa"/>
            <w:bottom w:w="0" w:type="dxa"/>
            <w:right w:w="108" w:type="dxa"/>
          </w:tblCellMar>
        </w:tblPrEx>
        <w:trPr>
          <w:trHeight w:val="51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公平性</w:t>
            </w:r>
            <w:r>
              <w:rPr>
                <w:rFonts w:hint="eastAsia" w:ascii="仿宋_GB2312" w:hAnsi="宋体" w:eastAsia="仿宋_GB2312" w:cs="宋体"/>
                <w:color w:val="000000"/>
                <w:kern w:val="0"/>
                <w:sz w:val="20"/>
                <w:szCs w:val="20"/>
              </w:rPr>
              <w:t>（1</w:t>
            </w:r>
            <w:r>
              <w:rPr>
                <w:rFonts w:ascii="仿宋_GB2312" w:hAnsi="宋体" w:eastAsia="仿宋_GB2312" w:cs="宋体"/>
                <w:color w:val="000000"/>
                <w:kern w:val="0"/>
                <w:sz w:val="20"/>
                <w:szCs w:val="20"/>
              </w:rPr>
              <w:t>0</w:t>
            </w:r>
            <w:r>
              <w:rPr>
                <w:rFonts w:hint="eastAsia" w:ascii="仿宋_GB2312" w:hAnsi="宋体" w:eastAsia="仿宋_GB2312" w:cs="宋体"/>
                <w:color w:val="000000"/>
                <w:kern w:val="0"/>
                <w:sz w:val="20"/>
                <w:szCs w:val="20"/>
              </w:rPr>
              <w:t>分）</w:t>
            </w:r>
          </w:p>
        </w:tc>
        <w:tc>
          <w:tcPr>
            <w:tcW w:w="7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满意度</w:t>
            </w:r>
          </w:p>
        </w:tc>
        <w:tc>
          <w:tcPr>
            <w:tcW w:w="136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服务对象满意度</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1</w:t>
            </w:r>
            <w:r>
              <w:rPr>
                <w:rFonts w:ascii="仿宋_GB2312" w:hAnsi="Arial Narrow" w:eastAsia="仿宋_GB2312" w:cs="宋体"/>
                <w:color w:val="000000"/>
                <w:kern w:val="0"/>
                <w:sz w:val="20"/>
                <w:szCs w:val="20"/>
              </w:rPr>
              <w:t>0</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2</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w:t>
            </w:r>
          </w:p>
        </w:tc>
        <w:tc>
          <w:tcPr>
            <w:tcW w:w="46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CellMar>
            <w:top w:w="0" w:type="dxa"/>
            <w:left w:w="108" w:type="dxa"/>
            <w:bottom w:w="0" w:type="dxa"/>
            <w:right w:w="108" w:type="dxa"/>
          </w:tblCellMar>
        </w:tblPrEx>
        <w:trPr>
          <w:trHeight w:val="360" w:hRule="atLeast"/>
        </w:trPr>
        <w:tc>
          <w:tcPr>
            <w:tcW w:w="3197" w:type="pct"/>
            <w:gridSpan w:val="4"/>
            <w:tcBorders>
              <w:top w:val="single" w:color="auto" w:sz="4" w:space="0"/>
              <w:left w:val="single" w:color="auto" w:sz="4" w:space="0"/>
              <w:bottom w:val="single" w:color="auto" w:sz="4" w:space="0"/>
              <w:right w:val="single" w:color="000000"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hint="eastAsia" w:ascii="仿宋_GB2312" w:hAnsi="宋体" w:eastAsia="仿宋_GB2312" w:cs="宋体"/>
                <w:b/>
                <w:bCs/>
                <w:color w:val="000000"/>
                <w:kern w:val="0"/>
                <w:sz w:val="20"/>
                <w:szCs w:val="20"/>
              </w:rPr>
              <w:t>合计</w:t>
            </w:r>
          </w:p>
        </w:tc>
        <w:tc>
          <w:tcPr>
            <w:tcW w:w="414"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100</w:t>
            </w:r>
          </w:p>
        </w:tc>
        <w:tc>
          <w:tcPr>
            <w:tcW w:w="399"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iCs/>
                <w:color w:val="000000"/>
                <w:kern w:val="0"/>
                <w:sz w:val="20"/>
                <w:szCs w:val="20"/>
              </w:rPr>
            </w:pPr>
            <w:r>
              <w:rPr>
                <w:rFonts w:hint="eastAsia" w:ascii="仿宋_GB2312" w:hAnsi="Arial Narrow" w:eastAsia="仿宋_GB2312" w:cs="宋体"/>
                <w:b/>
                <w:iCs/>
                <w:color w:val="000000"/>
                <w:kern w:val="0"/>
                <w:sz w:val="20"/>
                <w:szCs w:val="20"/>
              </w:rPr>
              <w:t>4</w:t>
            </w:r>
          </w:p>
        </w:tc>
        <w:tc>
          <w:tcPr>
            <w:tcW w:w="531"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96</w:t>
            </w:r>
          </w:p>
        </w:tc>
        <w:tc>
          <w:tcPr>
            <w:tcW w:w="460"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color w:val="000000"/>
                <w:kern w:val="0"/>
                <w:sz w:val="20"/>
                <w:szCs w:val="20"/>
              </w:rPr>
            </w:pPr>
            <w:r>
              <w:rPr>
                <w:rFonts w:ascii="仿宋_GB2312" w:hAnsi="Arial Narrow" w:eastAsia="仿宋_GB2312" w:cs="宋体"/>
                <w:b/>
                <w:bCs/>
                <w:color w:val="000000"/>
                <w:kern w:val="0"/>
                <w:sz w:val="20"/>
                <w:szCs w:val="20"/>
              </w:rPr>
              <w:t>96</w:t>
            </w:r>
            <w:r>
              <w:rPr>
                <w:rFonts w:hint="eastAsia" w:ascii="仿宋_GB2312" w:hAnsi="Arial Narrow" w:eastAsia="仿宋_GB2312" w:cs="宋体"/>
                <w:b/>
                <w:bCs/>
                <w:color w:val="000000"/>
                <w:kern w:val="0"/>
                <w:sz w:val="20"/>
                <w:szCs w:val="20"/>
              </w:rPr>
              <w:t>%</w:t>
            </w:r>
          </w:p>
        </w:tc>
      </w:tr>
    </w:tbl>
    <w:p>
      <w:pPr>
        <w:spacing w:line="360" w:lineRule="auto"/>
        <w:ind w:firstLine="643" w:firstLineChars="200"/>
        <w:jc w:val="left"/>
        <w:outlineLvl w:val="2"/>
        <w:rPr>
          <w:rFonts w:ascii="仿宋_GB2312" w:eastAsia="仿宋_GB2312"/>
          <w:b/>
          <w:sz w:val="32"/>
          <w:szCs w:val="32"/>
        </w:rPr>
      </w:pPr>
      <w:r>
        <w:rPr>
          <w:rFonts w:hint="eastAsia" w:ascii="仿宋_GB2312" w:eastAsia="仿宋_GB2312"/>
          <w:b/>
          <w:sz w:val="32"/>
          <w:szCs w:val="32"/>
        </w:rPr>
        <w:t>2、绿色循环发展与节能降耗专项资金</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我厅科信处绿色循环发展与节能降耗专项资金使用绩效的自评得分为</w:t>
      </w:r>
      <w:r>
        <w:rPr>
          <w:rFonts w:ascii="仿宋_GB2312" w:eastAsia="仿宋_GB2312"/>
          <w:b/>
          <w:bCs/>
          <w:sz w:val="32"/>
          <w:szCs w:val="32"/>
        </w:rPr>
        <w:t>95</w:t>
      </w:r>
      <w:r>
        <w:rPr>
          <w:rFonts w:hint="eastAsia" w:ascii="仿宋_GB2312" w:eastAsia="仿宋_GB2312"/>
          <w:b/>
          <w:bCs/>
          <w:sz w:val="32"/>
          <w:szCs w:val="32"/>
        </w:rPr>
        <w:t>分</w:t>
      </w:r>
      <w:r>
        <w:rPr>
          <w:rFonts w:hint="eastAsia" w:ascii="仿宋_GB2312" w:eastAsia="仿宋_GB2312"/>
          <w:sz w:val="32"/>
          <w:szCs w:val="32"/>
        </w:rPr>
        <w:t>，自评的绩效等级为</w:t>
      </w:r>
      <w:r>
        <w:rPr>
          <w:rFonts w:hint="eastAsia" w:ascii="仿宋_GB2312" w:eastAsia="仿宋_GB2312"/>
          <w:b/>
          <w:bCs/>
          <w:sz w:val="32"/>
          <w:szCs w:val="32"/>
        </w:rPr>
        <w:t>“优”</w:t>
      </w:r>
      <w:r>
        <w:rPr>
          <w:rFonts w:hint="eastAsia" w:ascii="仿宋_GB2312" w:eastAsia="仿宋_GB2312"/>
          <w:sz w:val="32"/>
          <w:szCs w:val="32"/>
        </w:rPr>
        <w:t>。</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本项省级绿色循环发展与节能降耗专项资金使用绩效的自评得分如下表：</w:t>
      </w:r>
    </w:p>
    <w:p>
      <w:pPr>
        <w:spacing w:line="360" w:lineRule="auto"/>
        <w:jc w:val="center"/>
        <w:rPr>
          <w:rFonts w:ascii="仿宋_GB2312" w:eastAsia="仿宋_GB2312"/>
          <w:sz w:val="32"/>
          <w:szCs w:val="32"/>
        </w:rPr>
      </w:pPr>
      <w:r>
        <w:rPr>
          <w:rFonts w:hint="eastAsia" w:ascii="黑体" w:hAnsi="黑体" w:eastAsia="黑体" w:cs="Calibri"/>
          <w:sz w:val="28"/>
          <w:szCs w:val="28"/>
        </w:rPr>
        <w:t>绿色循环发展与节能降耗专项资金自评得分简表</w:t>
      </w:r>
    </w:p>
    <w:tbl>
      <w:tblPr>
        <w:tblStyle w:val="7"/>
        <w:tblW w:w="5213" w:type="pct"/>
        <w:tblInd w:w="-176" w:type="dxa"/>
        <w:tblLayout w:type="autofit"/>
        <w:tblCellMar>
          <w:top w:w="0" w:type="dxa"/>
          <w:left w:w="108" w:type="dxa"/>
          <w:bottom w:w="0" w:type="dxa"/>
          <w:right w:w="108" w:type="dxa"/>
        </w:tblCellMar>
      </w:tblPr>
      <w:tblGrid>
        <w:gridCol w:w="757"/>
        <w:gridCol w:w="1074"/>
        <w:gridCol w:w="1271"/>
        <w:gridCol w:w="2784"/>
        <w:gridCol w:w="763"/>
        <w:gridCol w:w="735"/>
        <w:gridCol w:w="978"/>
        <w:gridCol w:w="850"/>
      </w:tblGrid>
      <w:tr>
        <w:tblPrEx>
          <w:tblCellMar>
            <w:top w:w="0" w:type="dxa"/>
            <w:left w:w="108" w:type="dxa"/>
            <w:bottom w:w="0" w:type="dxa"/>
            <w:right w:w="108" w:type="dxa"/>
          </w:tblCellMar>
        </w:tblPrEx>
        <w:trPr>
          <w:trHeight w:val="360" w:hRule="atLeast"/>
          <w:tblHeader/>
        </w:trPr>
        <w:tc>
          <w:tcPr>
            <w:tcW w:w="3609" w:type="pct"/>
            <w:gridSpan w:val="5"/>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评价指标及满分分值</w:t>
            </w:r>
          </w:p>
        </w:tc>
        <w:tc>
          <w:tcPr>
            <w:tcW w:w="1391" w:type="pct"/>
            <w:gridSpan w:val="3"/>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自评结果</w:t>
            </w:r>
          </w:p>
        </w:tc>
      </w:tr>
      <w:tr>
        <w:tblPrEx>
          <w:tblCellMar>
            <w:top w:w="0" w:type="dxa"/>
            <w:left w:w="108" w:type="dxa"/>
            <w:bottom w:w="0" w:type="dxa"/>
            <w:right w:w="108" w:type="dxa"/>
          </w:tblCellMar>
        </w:tblPrEx>
        <w:trPr>
          <w:trHeight w:val="540" w:hRule="atLeast"/>
          <w:tblHeader/>
        </w:trPr>
        <w:tc>
          <w:tcPr>
            <w:tcW w:w="411" w:type="pct"/>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一级指标</w:t>
            </w:r>
          </w:p>
        </w:tc>
        <w:tc>
          <w:tcPr>
            <w:tcW w:w="583"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二级指标</w:t>
            </w:r>
          </w:p>
        </w:tc>
        <w:tc>
          <w:tcPr>
            <w:tcW w:w="690"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三级指标</w:t>
            </w:r>
          </w:p>
        </w:tc>
        <w:tc>
          <w:tcPr>
            <w:tcW w:w="1511"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四级指标</w:t>
            </w:r>
          </w:p>
        </w:tc>
        <w:tc>
          <w:tcPr>
            <w:tcW w:w="414"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满分</w:t>
            </w:r>
          </w:p>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分值</w:t>
            </w:r>
          </w:p>
        </w:tc>
        <w:tc>
          <w:tcPr>
            <w:tcW w:w="399"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扣分</w:t>
            </w:r>
          </w:p>
        </w:tc>
        <w:tc>
          <w:tcPr>
            <w:tcW w:w="531"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bCs/>
                <w:color w:val="000000"/>
                <w:kern w:val="0"/>
                <w:sz w:val="20"/>
                <w:szCs w:val="20"/>
              </w:rPr>
            </w:pPr>
            <w:r>
              <w:rPr>
                <w:rFonts w:hint="eastAsia" w:ascii="仿宋_GB2312" w:hAnsi="宋体" w:eastAsia="仿宋_GB2312" w:cs="宋体"/>
                <w:bCs/>
                <w:color w:val="000000"/>
                <w:kern w:val="0"/>
                <w:sz w:val="20"/>
                <w:szCs w:val="20"/>
              </w:rPr>
              <w:t>得分</w:t>
            </w:r>
          </w:p>
        </w:tc>
        <w:tc>
          <w:tcPr>
            <w:tcW w:w="461" w:type="pct"/>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得分率</w:t>
            </w:r>
          </w:p>
        </w:tc>
      </w:tr>
      <w:tr>
        <w:tblPrEx>
          <w:tblCellMar>
            <w:top w:w="0" w:type="dxa"/>
            <w:left w:w="108" w:type="dxa"/>
            <w:bottom w:w="0" w:type="dxa"/>
            <w:right w:w="108" w:type="dxa"/>
          </w:tblCellMar>
        </w:tblPrEx>
        <w:trPr>
          <w:trHeight w:val="300" w:hRule="atLeast"/>
        </w:trPr>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58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6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1511"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41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①</w:t>
            </w:r>
          </w:p>
        </w:tc>
        <w:tc>
          <w:tcPr>
            <w:tcW w:w="39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②</w:t>
            </w:r>
          </w:p>
        </w:tc>
        <w:tc>
          <w:tcPr>
            <w:tcW w:w="5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18"/>
                <w:szCs w:val="18"/>
              </w:rPr>
            </w:pPr>
            <w:r>
              <w:rPr>
                <w:rFonts w:hint="eastAsia" w:ascii="仿宋_GB2312" w:hAnsi="宋体" w:eastAsia="仿宋_GB2312" w:cs="宋体"/>
                <w:color w:val="000000"/>
                <w:kern w:val="0"/>
                <w:sz w:val="18"/>
                <w:szCs w:val="18"/>
              </w:rPr>
              <w:t>③</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①</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②</w:t>
            </w:r>
          </w:p>
        </w:tc>
        <w:tc>
          <w:tcPr>
            <w:tcW w:w="46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④</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投入</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项目立项</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论证决策</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论证充分性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目标设置</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完整性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可衡量性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保障措施</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制度完整性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计划安排合理性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资金落实</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69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资金到位及时性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资金分配合理性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461"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过程</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资金支付</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资金支出率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事项管理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实施程序</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程序规范性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管理情况</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监管有效性</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54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产出</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30</w:t>
            </w:r>
            <w:r>
              <w:rPr>
                <w:rFonts w:hint="eastAsia" w:ascii="仿宋_GB2312" w:hAnsi="宋体" w:eastAsia="仿宋_GB2312" w:cs="宋体"/>
                <w:kern w:val="0"/>
                <w:sz w:val="20"/>
                <w:szCs w:val="20"/>
              </w:rPr>
              <w:t>分）</w:t>
            </w: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经济性</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5</w:t>
            </w:r>
            <w:r>
              <w:rPr>
                <w:rFonts w:hint="eastAsia" w:ascii="仿宋_GB2312" w:hAnsi="宋体" w:eastAsia="仿宋_GB2312" w:cs="宋体"/>
                <w:kern w:val="0"/>
                <w:sz w:val="20"/>
                <w:szCs w:val="20"/>
              </w:rPr>
              <w:t>分）</w:t>
            </w: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预算控制</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支出与进度匹配，未超出预算</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7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成本控制</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预算执行率</w:t>
            </w:r>
            <w:r>
              <w:rPr>
                <w:rFonts w:ascii="仿宋_GB2312" w:hAnsi="Arial Narrow" w:eastAsia="仿宋_GB2312" w:cs="宋体"/>
                <w:kern w:val="0"/>
                <w:sz w:val="20"/>
                <w:szCs w:val="20"/>
              </w:rPr>
              <w:t>85%</w:t>
            </w:r>
            <w:r>
              <w:rPr>
                <w:rFonts w:hint="eastAsia" w:ascii="仿宋_GB2312" w:hAnsi="Arial Narrow" w:eastAsia="仿宋_GB2312" w:cs="宋体"/>
                <w:kern w:val="0"/>
                <w:sz w:val="20"/>
                <w:szCs w:val="20"/>
              </w:rPr>
              <w:t>以上</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4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效率性</w:t>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25</w:t>
            </w:r>
            <w:r>
              <w:rPr>
                <w:rFonts w:hint="eastAsia" w:ascii="仿宋_GB2312" w:hAnsi="宋体" w:eastAsia="仿宋_GB2312" w:cs="宋体"/>
                <w:kern w:val="0"/>
                <w:sz w:val="20"/>
                <w:szCs w:val="20"/>
              </w:rPr>
              <w:t>分）</w:t>
            </w:r>
          </w:p>
        </w:tc>
        <w:tc>
          <w:tcPr>
            <w:tcW w:w="69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Narrow" w:eastAsia="仿宋_GB2312" w:cs="宋体"/>
                <w:kern w:val="0"/>
                <w:sz w:val="20"/>
                <w:szCs w:val="20"/>
              </w:rPr>
            </w:pPr>
            <w:r>
              <w:rPr>
                <w:rFonts w:hint="eastAsia" w:ascii="仿宋_GB2312" w:hAnsi="宋体" w:eastAsia="仿宋_GB2312" w:cs="宋体"/>
                <w:kern w:val="0"/>
                <w:sz w:val="20"/>
                <w:szCs w:val="20"/>
              </w:rPr>
              <w:t>完成进度</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建成一星级及以上运行标识绿色建筑项目数（个）</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1</w:t>
            </w:r>
            <w:r>
              <w:rPr>
                <w:rFonts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90" w:type="pc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ascii="仿宋_GB2312" w:hAnsi="Arial Narrow" w:eastAsia="仿宋_GB2312" w:cs="宋体"/>
                <w:kern w:val="0"/>
                <w:sz w:val="20"/>
                <w:szCs w:val="20"/>
              </w:rPr>
              <w:t>完成时效</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202</w:t>
            </w:r>
            <w:r>
              <w:rPr>
                <w:rFonts w:ascii="仿宋_GB2312" w:hAnsi="Arial Narrow" w:eastAsia="仿宋_GB2312" w:cs="宋体"/>
                <w:kern w:val="0"/>
                <w:sz w:val="20"/>
                <w:szCs w:val="20"/>
              </w:rPr>
              <w:t>1</w:t>
            </w:r>
            <w:r>
              <w:rPr>
                <w:rFonts w:hint="eastAsia" w:ascii="仿宋_GB2312" w:hAnsi="Arial Narrow" w:eastAsia="仿宋_GB2312" w:cs="宋体"/>
                <w:kern w:val="0"/>
                <w:sz w:val="20"/>
                <w:szCs w:val="20"/>
              </w:rPr>
              <w:t>年12月31日前完成</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435"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kern w:val="0"/>
                <w:sz w:val="20"/>
                <w:szCs w:val="20"/>
              </w:rPr>
            </w:pPr>
          </w:p>
        </w:tc>
        <w:tc>
          <w:tcPr>
            <w:tcW w:w="690" w:type="pc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完成质量</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项目验收合格率（%）</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5</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CellMar>
            <w:top w:w="0" w:type="dxa"/>
            <w:left w:w="108" w:type="dxa"/>
            <w:bottom w:w="0" w:type="dxa"/>
            <w:right w:w="108" w:type="dxa"/>
          </w:tblCellMar>
        </w:tblPrEx>
        <w:trPr>
          <w:trHeight w:val="300" w:hRule="atLeast"/>
        </w:trPr>
        <w:tc>
          <w:tcPr>
            <w:tcW w:w="41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效益</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30</w:t>
            </w:r>
            <w:r>
              <w:rPr>
                <w:rFonts w:hint="eastAsia" w:ascii="仿宋_GB2312" w:hAnsi="宋体" w:eastAsia="仿宋_GB2312" w:cs="宋体"/>
                <w:color w:val="000000"/>
                <w:kern w:val="0"/>
                <w:sz w:val="20"/>
                <w:szCs w:val="20"/>
              </w:rPr>
              <w:t>分）</w:t>
            </w:r>
          </w:p>
        </w:tc>
        <w:tc>
          <w:tcPr>
            <w:tcW w:w="58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效果性</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24</w:t>
            </w:r>
            <w:r>
              <w:rPr>
                <w:rFonts w:hint="eastAsia" w:ascii="仿宋_GB2312" w:hAnsi="宋体" w:eastAsia="仿宋_GB2312" w:cs="宋体"/>
                <w:color w:val="000000"/>
                <w:kern w:val="0"/>
                <w:sz w:val="20"/>
                <w:szCs w:val="20"/>
              </w:rPr>
              <w:t>分）</w:t>
            </w:r>
          </w:p>
        </w:tc>
        <w:tc>
          <w:tcPr>
            <w:tcW w:w="690" w:type="pct"/>
            <w:tcBorders>
              <w:top w:val="nil"/>
              <w:left w:val="single" w:color="auto" w:sz="4" w:space="0"/>
              <w:bottom w:val="single" w:color="000000" w:sz="4" w:space="0"/>
              <w:right w:val="single" w:color="auto" w:sz="4" w:space="0"/>
            </w:tcBorders>
            <w:shd w:val="clear" w:color="auto" w:fill="auto"/>
            <w:vAlign w:val="center"/>
          </w:tcPr>
          <w:p>
            <w:pPr>
              <w:widowControl/>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经济效益</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提高能源使用效率，节约能源</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hint="eastAsia" w:ascii="仿宋_GB2312" w:hAnsi="Arial Narrow" w:eastAsia="仿宋_GB2312" w:cs="宋体"/>
                <w:iCs/>
                <w:color w:val="000000"/>
                <w:kern w:val="0"/>
                <w:sz w:val="20"/>
                <w:szCs w:val="20"/>
              </w:rPr>
              <w:t>0</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社会效益</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增强人民对建筑节能和绿色建筑的幸福感和获得感</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生态效益</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减少碳排放</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CellMar>
            <w:top w:w="0" w:type="dxa"/>
            <w:left w:w="108" w:type="dxa"/>
            <w:bottom w:w="0" w:type="dxa"/>
            <w:right w:w="108" w:type="dxa"/>
          </w:tblCellMar>
        </w:tblPrEx>
        <w:trPr>
          <w:trHeight w:val="30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690" w:type="pct"/>
            <w:tcBorders>
              <w:top w:val="nil"/>
              <w:left w:val="single" w:color="auto" w:sz="4" w:space="0"/>
              <w:bottom w:val="single" w:color="000000" w:sz="4" w:space="0"/>
              <w:right w:val="single" w:color="auto" w:sz="4" w:space="0"/>
            </w:tcBorders>
            <w:shd w:val="clear" w:color="auto" w:fill="auto"/>
            <w:vAlign w:val="center"/>
          </w:tcPr>
          <w:p>
            <w:pPr>
              <w:widowControl/>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可持续发展</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节约能源资源</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CellMar>
            <w:top w:w="0" w:type="dxa"/>
            <w:left w:w="108" w:type="dxa"/>
            <w:bottom w:w="0" w:type="dxa"/>
            <w:right w:w="108" w:type="dxa"/>
          </w:tblCellMar>
        </w:tblPrEx>
        <w:trPr>
          <w:trHeight w:val="510" w:hRule="atLeast"/>
        </w:trPr>
        <w:tc>
          <w:tcPr>
            <w:tcW w:w="411"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Arial Narrow" w:eastAsia="仿宋_GB2312" w:cs="宋体"/>
                <w:color w:val="000000"/>
                <w:kern w:val="0"/>
                <w:sz w:val="20"/>
                <w:szCs w:val="20"/>
              </w:rPr>
            </w:pPr>
          </w:p>
        </w:tc>
        <w:tc>
          <w:tcPr>
            <w:tcW w:w="58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公平性</w:t>
            </w:r>
            <w:r>
              <w:rPr>
                <w:rFonts w:hint="eastAsia" w:ascii="仿宋_GB2312" w:hAnsi="宋体" w:eastAsia="仿宋_GB2312" w:cs="宋体"/>
                <w:color w:val="000000"/>
                <w:kern w:val="0"/>
                <w:sz w:val="20"/>
                <w:szCs w:val="20"/>
              </w:rPr>
              <w:t>（6分）</w:t>
            </w:r>
          </w:p>
        </w:tc>
        <w:tc>
          <w:tcPr>
            <w:tcW w:w="69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满意度</w:t>
            </w:r>
          </w:p>
        </w:tc>
        <w:tc>
          <w:tcPr>
            <w:tcW w:w="1511" w:type="pct"/>
            <w:tcBorders>
              <w:top w:val="nil"/>
              <w:left w:val="nil"/>
              <w:bottom w:val="single" w:color="auto" w:sz="4" w:space="0"/>
              <w:right w:val="single" w:color="auto" w:sz="4" w:space="0"/>
            </w:tcBorders>
            <w:shd w:val="clear" w:color="auto" w:fill="auto"/>
            <w:vAlign w:val="center"/>
          </w:tcPr>
          <w:p>
            <w:pPr>
              <w:widowControl/>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服务对象满意度</w:t>
            </w:r>
          </w:p>
        </w:tc>
        <w:tc>
          <w:tcPr>
            <w:tcW w:w="41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3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53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4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CellMar>
            <w:top w:w="0" w:type="dxa"/>
            <w:left w:w="108" w:type="dxa"/>
            <w:bottom w:w="0" w:type="dxa"/>
            <w:right w:w="108" w:type="dxa"/>
          </w:tblCellMar>
        </w:tblPrEx>
        <w:trPr>
          <w:trHeight w:val="360" w:hRule="atLeast"/>
        </w:trPr>
        <w:tc>
          <w:tcPr>
            <w:tcW w:w="3195" w:type="pct"/>
            <w:gridSpan w:val="4"/>
            <w:tcBorders>
              <w:top w:val="single" w:color="auto" w:sz="4" w:space="0"/>
              <w:left w:val="single" w:color="auto" w:sz="4" w:space="0"/>
              <w:bottom w:val="single" w:color="auto" w:sz="4" w:space="0"/>
              <w:right w:val="single" w:color="000000"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hint="eastAsia" w:ascii="仿宋_GB2312" w:hAnsi="宋体" w:eastAsia="仿宋_GB2312" w:cs="宋体"/>
                <w:b/>
                <w:bCs/>
                <w:color w:val="000000"/>
                <w:kern w:val="0"/>
                <w:sz w:val="20"/>
                <w:szCs w:val="20"/>
              </w:rPr>
              <w:t>合计</w:t>
            </w:r>
          </w:p>
        </w:tc>
        <w:tc>
          <w:tcPr>
            <w:tcW w:w="414"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100</w:t>
            </w:r>
          </w:p>
        </w:tc>
        <w:tc>
          <w:tcPr>
            <w:tcW w:w="399"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iCs/>
                <w:color w:val="000000"/>
                <w:kern w:val="0"/>
                <w:sz w:val="20"/>
                <w:szCs w:val="20"/>
              </w:rPr>
            </w:pPr>
            <w:r>
              <w:rPr>
                <w:rFonts w:ascii="仿宋_GB2312" w:hAnsi="Arial Narrow" w:eastAsia="仿宋_GB2312" w:cs="宋体"/>
                <w:b/>
                <w:iCs/>
                <w:color w:val="000000"/>
                <w:kern w:val="0"/>
                <w:sz w:val="20"/>
                <w:szCs w:val="20"/>
              </w:rPr>
              <w:t>5</w:t>
            </w:r>
          </w:p>
        </w:tc>
        <w:tc>
          <w:tcPr>
            <w:tcW w:w="531"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95</w:t>
            </w:r>
          </w:p>
        </w:tc>
        <w:tc>
          <w:tcPr>
            <w:tcW w:w="461" w:type="pct"/>
            <w:tcBorders>
              <w:top w:val="nil"/>
              <w:left w:val="nil"/>
              <w:bottom w:val="single" w:color="auto" w:sz="4" w:space="0"/>
              <w:right w:val="single" w:color="auto" w:sz="4" w:space="0"/>
            </w:tcBorders>
            <w:shd w:val="clear" w:color="000000" w:fill="CCFFFF"/>
            <w:vAlign w:val="center"/>
          </w:tcPr>
          <w:p>
            <w:pPr>
              <w:widowControl/>
              <w:jc w:val="center"/>
              <w:rPr>
                <w:rFonts w:ascii="仿宋_GB2312" w:hAnsi="Arial Narrow" w:eastAsia="仿宋_GB2312" w:cs="宋体"/>
                <w:b/>
                <w:color w:val="000000"/>
                <w:kern w:val="0"/>
                <w:sz w:val="20"/>
                <w:szCs w:val="20"/>
              </w:rPr>
            </w:pPr>
            <w:r>
              <w:rPr>
                <w:rFonts w:ascii="仿宋_GB2312" w:hAnsi="Arial Narrow" w:eastAsia="仿宋_GB2312" w:cs="宋体"/>
                <w:b/>
                <w:bCs/>
                <w:color w:val="000000"/>
                <w:kern w:val="0"/>
                <w:sz w:val="20"/>
                <w:szCs w:val="20"/>
              </w:rPr>
              <w:t>95</w:t>
            </w:r>
            <w:r>
              <w:rPr>
                <w:rFonts w:hint="eastAsia" w:ascii="仿宋_GB2312" w:hAnsi="Arial Narrow" w:eastAsia="仿宋_GB2312" w:cs="宋体"/>
                <w:b/>
                <w:bCs/>
                <w:color w:val="000000"/>
                <w:kern w:val="0"/>
                <w:sz w:val="20"/>
                <w:szCs w:val="20"/>
              </w:rPr>
              <w:t>%</w:t>
            </w:r>
          </w:p>
        </w:tc>
      </w:tr>
    </w:tbl>
    <w:p>
      <w:pPr>
        <w:pStyle w:val="12"/>
        <w:numPr>
          <w:ilvl w:val="0"/>
          <w:numId w:val="2"/>
        </w:numPr>
        <w:spacing w:line="600" w:lineRule="exact"/>
        <w:ind w:left="0" w:firstLine="643" w:firstLineChars="200"/>
        <w:jc w:val="left"/>
        <w:outlineLvl w:val="1"/>
        <w:rPr>
          <w:rFonts w:ascii="楷体_GB2312" w:eastAsia="楷体_GB2312"/>
          <w:b/>
          <w:sz w:val="32"/>
          <w:szCs w:val="32"/>
        </w:rPr>
      </w:pPr>
      <w:r>
        <w:rPr>
          <w:rFonts w:hint="eastAsia" w:ascii="楷体_GB2312" w:eastAsia="楷体_GB2312"/>
          <w:b/>
          <w:sz w:val="32"/>
          <w:szCs w:val="32"/>
        </w:rPr>
        <w:t>专项资金使用绩效</w:t>
      </w:r>
    </w:p>
    <w:p>
      <w:pPr>
        <w:spacing w:line="600" w:lineRule="exact"/>
        <w:ind w:firstLine="643" w:firstLineChars="200"/>
        <w:jc w:val="left"/>
        <w:outlineLvl w:val="2"/>
        <w:rPr>
          <w:rFonts w:ascii="仿宋_GB2312" w:eastAsia="仿宋_GB2312"/>
          <w:b/>
          <w:sz w:val="32"/>
          <w:szCs w:val="32"/>
        </w:rPr>
      </w:pPr>
      <w:r>
        <w:rPr>
          <w:rFonts w:hint="eastAsia" w:ascii="仿宋_GB2312" w:eastAsia="仿宋_GB2312"/>
          <w:b/>
          <w:sz w:val="32"/>
          <w:szCs w:val="32"/>
        </w:rPr>
        <w:t>1、省级工作经费支出情况。</w:t>
      </w:r>
    </w:p>
    <w:p>
      <w:pPr>
        <w:spacing w:line="600" w:lineRule="exact"/>
        <w:ind w:firstLine="643" w:firstLineChars="200"/>
        <w:jc w:val="left"/>
        <w:outlineLvl w:val="3"/>
        <w:rPr>
          <w:rFonts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eastAsia="zh-CN"/>
        </w:rPr>
        <w:t>环境监管能力建设</w:t>
      </w:r>
      <w:r>
        <w:rPr>
          <w:rFonts w:hint="eastAsia" w:ascii="仿宋_GB2312" w:eastAsia="仿宋_GB2312"/>
          <w:b/>
          <w:sz w:val="32"/>
          <w:szCs w:val="32"/>
        </w:rPr>
        <w:t>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w:t>
      </w:r>
      <w:r>
        <w:rPr>
          <w:rFonts w:ascii="仿宋_GB2312" w:hAnsi="黑体" w:eastAsia="仿宋_GB2312" w:cs="Calibri"/>
          <w:sz w:val="32"/>
          <w:szCs w:val="32"/>
        </w:rPr>
        <w:t>1</w:t>
      </w:r>
      <w:r>
        <w:rPr>
          <w:rFonts w:hint="eastAsia" w:ascii="仿宋_GB2312" w:hAnsi="黑体" w:eastAsia="仿宋_GB2312" w:cs="Calibri"/>
          <w:sz w:val="32"/>
          <w:szCs w:val="32"/>
        </w:rPr>
        <w:t>年1月至12月,我厅科信处累计使用打好污染防治攻坚战—</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专项资金（省级工作经费）</w:t>
      </w:r>
      <w:r>
        <w:rPr>
          <w:rFonts w:ascii="仿宋_GB2312" w:hAnsi="黑体" w:eastAsia="仿宋_GB2312" w:cs="Calibri"/>
          <w:sz w:val="32"/>
          <w:szCs w:val="32"/>
        </w:rPr>
        <w:t>150</w:t>
      </w:r>
      <w:r>
        <w:rPr>
          <w:rFonts w:hint="eastAsia" w:ascii="仿宋_GB2312" w:hAnsi="黑体" w:eastAsia="仿宋_GB2312" w:cs="Calibri"/>
          <w:sz w:val="32"/>
          <w:szCs w:val="32"/>
        </w:rPr>
        <w:t>万元，专项资金支出率为1</w:t>
      </w:r>
      <w:r>
        <w:rPr>
          <w:rFonts w:ascii="仿宋_GB2312" w:hAnsi="黑体" w:eastAsia="仿宋_GB2312" w:cs="Calibri"/>
          <w:sz w:val="32"/>
          <w:szCs w:val="32"/>
        </w:rPr>
        <w:t>00</w:t>
      </w:r>
      <w:r>
        <w:rPr>
          <w:rFonts w:hint="eastAsia" w:ascii="仿宋_GB2312" w:hAnsi="黑体" w:eastAsia="仿宋_GB2312" w:cs="Calibri"/>
          <w:sz w:val="32"/>
          <w:szCs w:val="32"/>
        </w:rPr>
        <w:t>%。</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w:t>
      </w:r>
      <w:r>
        <w:rPr>
          <w:rFonts w:ascii="仿宋_GB2312" w:hAnsi="黑体" w:eastAsia="仿宋_GB2312" w:cs="Calibri"/>
          <w:b/>
          <w:sz w:val="32"/>
          <w:szCs w:val="32"/>
        </w:rPr>
        <w:t>2）绿色循环发展与节能降耗专项资金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w:t>
      </w:r>
      <w:r>
        <w:rPr>
          <w:rFonts w:ascii="仿宋_GB2312" w:hAnsi="黑体" w:eastAsia="仿宋_GB2312" w:cs="Calibri"/>
          <w:sz w:val="32"/>
          <w:szCs w:val="32"/>
        </w:rPr>
        <w:t>1</w:t>
      </w:r>
      <w:r>
        <w:rPr>
          <w:rFonts w:hint="eastAsia" w:ascii="仿宋_GB2312" w:hAnsi="黑体" w:eastAsia="仿宋_GB2312" w:cs="Calibri"/>
          <w:sz w:val="32"/>
          <w:szCs w:val="32"/>
        </w:rPr>
        <w:t>年1月至12月,我厅科信处累计使用打好污染防治攻坚战—</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-绿色循环发展与节能降耗专项资金（省级工作经费）</w:t>
      </w:r>
      <w:r>
        <w:rPr>
          <w:rFonts w:ascii="仿宋_GB2312" w:hAnsi="黑体" w:eastAsia="仿宋_GB2312" w:cs="Calibri"/>
          <w:sz w:val="32"/>
          <w:szCs w:val="32"/>
        </w:rPr>
        <w:t>957.50</w:t>
      </w:r>
      <w:r>
        <w:rPr>
          <w:rFonts w:hint="eastAsia" w:ascii="仿宋_GB2312" w:hAnsi="黑体" w:eastAsia="仿宋_GB2312" w:cs="Calibri"/>
          <w:sz w:val="32"/>
          <w:szCs w:val="32"/>
        </w:rPr>
        <w:t>万元，专项资金支出率为</w:t>
      </w:r>
      <w:r>
        <w:rPr>
          <w:rFonts w:ascii="仿宋_GB2312" w:hAnsi="黑体" w:eastAsia="仿宋_GB2312" w:cs="Calibri"/>
          <w:sz w:val="32"/>
          <w:szCs w:val="32"/>
        </w:rPr>
        <w:t>91.19</w:t>
      </w:r>
      <w:r>
        <w:rPr>
          <w:rFonts w:hint="eastAsia" w:ascii="仿宋_GB2312" w:hAnsi="黑体" w:eastAsia="仿宋_GB2312" w:cs="Calibri"/>
          <w:sz w:val="32"/>
          <w:szCs w:val="32"/>
        </w:rPr>
        <w:t>%。</w:t>
      </w:r>
    </w:p>
    <w:p>
      <w:pPr>
        <w:spacing w:line="600" w:lineRule="exact"/>
        <w:ind w:firstLine="643" w:firstLineChars="200"/>
        <w:outlineLvl w:val="2"/>
        <w:rPr>
          <w:rFonts w:ascii="仿宋_GB2312" w:hAnsi="黑体" w:eastAsia="仿宋_GB2312" w:cs="Calibri"/>
          <w:b/>
          <w:sz w:val="32"/>
          <w:szCs w:val="32"/>
        </w:rPr>
      </w:pPr>
      <w:r>
        <w:rPr>
          <w:rFonts w:hint="eastAsia" w:ascii="仿宋_GB2312" w:hAnsi="黑体" w:eastAsia="仿宋_GB2312" w:cs="Calibri"/>
          <w:b/>
          <w:sz w:val="32"/>
          <w:szCs w:val="32"/>
        </w:rPr>
        <w:t>2、省级工作经费绩效目标情况。</w:t>
      </w:r>
    </w:p>
    <w:p>
      <w:pPr>
        <w:spacing w:line="600" w:lineRule="exact"/>
        <w:ind w:firstLine="643" w:firstLineChars="200"/>
        <w:jc w:val="left"/>
        <w:outlineLvl w:val="3"/>
        <w:rPr>
          <w:rFonts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eastAsia="zh-CN"/>
        </w:rPr>
        <w:t>环境监管能力建设</w:t>
      </w:r>
      <w:r>
        <w:rPr>
          <w:rFonts w:hint="eastAsia" w:ascii="仿宋_GB2312" w:eastAsia="仿宋_GB2312"/>
          <w:b/>
          <w:sz w:val="32"/>
          <w:szCs w:val="32"/>
        </w:rPr>
        <w:t>专项资金</w:t>
      </w:r>
    </w:p>
    <w:p>
      <w:pPr>
        <w:spacing w:line="600" w:lineRule="exact"/>
        <w:ind w:firstLine="640" w:firstLineChars="200"/>
        <w:rPr>
          <w:rFonts w:ascii="仿宋_GB2312" w:hAnsi="Calibri" w:eastAsia="仿宋_GB2312" w:cs="Calibri"/>
          <w:sz w:val="32"/>
          <w:szCs w:val="32"/>
        </w:rPr>
      </w:pPr>
      <w:r>
        <w:rPr>
          <w:rFonts w:hint="eastAsia" w:ascii="仿宋_GB2312" w:hAnsi="黑体" w:eastAsia="仿宋_GB2312" w:cs="Calibri"/>
          <w:sz w:val="32"/>
          <w:szCs w:val="32"/>
        </w:rPr>
        <w:t>截至202</w:t>
      </w:r>
      <w:r>
        <w:rPr>
          <w:rFonts w:ascii="仿宋_GB2312" w:hAnsi="黑体" w:eastAsia="仿宋_GB2312" w:cs="Calibri"/>
          <w:sz w:val="32"/>
          <w:szCs w:val="32"/>
        </w:rPr>
        <w:t>1</w:t>
      </w:r>
      <w:r>
        <w:rPr>
          <w:rFonts w:hint="eastAsia" w:ascii="仿宋_GB2312" w:hAnsi="黑体" w:eastAsia="仿宋_GB2312" w:cs="Calibri"/>
          <w:sz w:val="32"/>
          <w:szCs w:val="32"/>
        </w:rPr>
        <w:t>年12月31日，我厅202</w:t>
      </w:r>
      <w:r>
        <w:rPr>
          <w:rFonts w:ascii="仿宋_GB2312" w:hAnsi="黑体" w:eastAsia="仿宋_GB2312" w:cs="Calibri"/>
          <w:sz w:val="32"/>
          <w:szCs w:val="32"/>
        </w:rPr>
        <w:t>1</w:t>
      </w:r>
      <w:r>
        <w:rPr>
          <w:rFonts w:hint="eastAsia" w:ascii="仿宋_GB2312" w:hAnsi="黑体" w:eastAsia="仿宋_GB2312" w:cs="Calibri"/>
          <w:sz w:val="32"/>
          <w:szCs w:val="32"/>
        </w:rPr>
        <w:t>年打好污染防治攻坚战—</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专项资金（省级工作经费）按照计划进度组织实施，进度符合项目特征和实际情况，基本完成202</w:t>
      </w:r>
      <w:r>
        <w:rPr>
          <w:rFonts w:ascii="仿宋_GB2312" w:hAnsi="黑体" w:eastAsia="仿宋_GB2312" w:cs="Calibri"/>
          <w:sz w:val="32"/>
          <w:szCs w:val="32"/>
        </w:rPr>
        <w:t>1</w:t>
      </w:r>
      <w:r>
        <w:rPr>
          <w:rFonts w:hint="eastAsia" w:ascii="仿宋_GB2312" w:hAnsi="黑体" w:eastAsia="仿宋_GB2312" w:cs="Calibri"/>
          <w:sz w:val="32"/>
          <w:szCs w:val="32"/>
        </w:rPr>
        <w:t>年省级工作经费绩效目标。如完成了</w:t>
      </w:r>
      <w:r>
        <w:rPr>
          <w:rFonts w:ascii="仿宋_GB2312" w:hAnsi="黑体" w:eastAsia="仿宋_GB2312" w:cs="Calibri"/>
          <w:sz w:val="32"/>
          <w:szCs w:val="32"/>
        </w:rPr>
        <w:t>300</w:t>
      </w:r>
      <w:r>
        <w:rPr>
          <w:rFonts w:hint="eastAsia" w:ascii="仿宋_GB2312" w:hAnsi="黑体" w:eastAsia="仿宋_GB2312" w:cs="Calibri"/>
          <w:sz w:val="32"/>
          <w:szCs w:val="32"/>
        </w:rPr>
        <w:t>个全省绿色建筑二星级、三星级标识评价；编制和修订《广东省绿色建筑专项规划编制技术导则》、《广东省绿色建筑后评估标准》、《公共建筑能耗限额》；对广东省建筑碳排放达峰路线进行了深入研究等。</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（2）绿色循环发展与节能降耗专项资金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截至202</w:t>
      </w:r>
      <w:r>
        <w:rPr>
          <w:rFonts w:ascii="仿宋_GB2312" w:hAnsi="Calibri" w:eastAsia="仿宋_GB2312" w:cs="Calibri"/>
          <w:sz w:val="32"/>
          <w:szCs w:val="32"/>
        </w:rPr>
        <w:t>1</w:t>
      </w:r>
      <w:r>
        <w:rPr>
          <w:rFonts w:hint="eastAsia" w:ascii="仿宋_GB2312" w:hAnsi="Calibri" w:eastAsia="仿宋_GB2312" w:cs="Calibri"/>
          <w:sz w:val="32"/>
          <w:szCs w:val="32"/>
        </w:rPr>
        <w:t>年12月31日，我厅202</w:t>
      </w:r>
      <w:r>
        <w:rPr>
          <w:rFonts w:ascii="仿宋_GB2312" w:hAnsi="Calibri" w:eastAsia="仿宋_GB2312" w:cs="Calibri"/>
          <w:sz w:val="32"/>
          <w:szCs w:val="32"/>
        </w:rPr>
        <w:t>1</w:t>
      </w:r>
      <w:r>
        <w:rPr>
          <w:rFonts w:hint="eastAsia" w:ascii="仿宋_GB2312" w:hAnsi="Calibri" w:eastAsia="仿宋_GB2312" w:cs="Calibri"/>
          <w:sz w:val="32"/>
          <w:szCs w:val="32"/>
        </w:rPr>
        <w:t>年打好污染防治攻坚战</w:t>
      </w:r>
      <w:r>
        <w:rPr>
          <w:rFonts w:hint="eastAsia" w:ascii="仿宋_GB2312" w:hAnsi="黑体" w:eastAsia="仿宋_GB2312" w:cs="Calibri"/>
          <w:sz w:val="32"/>
          <w:szCs w:val="32"/>
        </w:rPr>
        <w:t>—</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-绿色循环发展与节能降耗专项资金</w:t>
      </w:r>
      <w:r>
        <w:rPr>
          <w:rFonts w:hint="eastAsia" w:ascii="仿宋_GB2312" w:hAnsi="Calibri" w:eastAsia="仿宋_GB2312" w:cs="Calibri"/>
          <w:sz w:val="32"/>
          <w:szCs w:val="32"/>
        </w:rPr>
        <w:t>（省级工作经费）按照计划进度组织实施，进度符合项目特征和实际情况，基本完成202</w:t>
      </w:r>
      <w:r>
        <w:rPr>
          <w:rFonts w:ascii="仿宋_GB2312" w:hAnsi="Calibri" w:eastAsia="仿宋_GB2312" w:cs="Calibri"/>
          <w:sz w:val="32"/>
          <w:szCs w:val="32"/>
        </w:rPr>
        <w:t>1</w:t>
      </w:r>
      <w:r>
        <w:rPr>
          <w:rFonts w:hint="eastAsia" w:ascii="仿宋_GB2312" w:hAnsi="Calibri" w:eastAsia="仿宋_GB2312" w:cs="Calibri"/>
          <w:sz w:val="32"/>
          <w:szCs w:val="32"/>
        </w:rPr>
        <w:t>年省级工作经费绩效目标，具体任务完成情况如下：</w:t>
      </w:r>
    </w:p>
    <w:tbl>
      <w:tblPr>
        <w:tblStyle w:val="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992"/>
        <w:gridCol w:w="1134"/>
        <w:gridCol w:w="1134"/>
        <w:gridCol w:w="1134"/>
        <w:gridCol w:w="15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Align w:val="center"/>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项目</w:t>
            </w:r>
          </w:p>
        </w:tc>
        <w:tc>
          <w:tcPr>
            <w:tcW w:w="992" w:type="dxa"/>
            <w:vAlign w:val="center"/>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城市</w:t>
            </w:r>
          </w:p>
        </w:tc>
        <w:tc>
          <w:tcPr>
            <w:tcW w:w="1134" w:type="dxa"/>
            <w:vAlign w:val="center"/>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计划立项</w:t>
            </w:r>
          </w:p>
        </w:tc>
        <w:tc>
          <w:tcPr>
            <w:tcW w:w="1134" w:type="dxa"/>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实际立项</w:t>
            </w:r>
          </w:p>
        </w:tc>
        <w:tc>
          <w:tcPr>
            <w:tcW w:w="1134" w:type="dxa"/>
            <w:vAlign w:val="center"/>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预算金额</w:t>
            </w:r>
          </w:p>
        </w:tc>
        <w:tc>
          <w:tcPr>
            <w:tcW w:w="1559" w:type="dxa"/>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实际拨付金额</w:t>
            </w:r>
          </w:p>
        </w:tc>
        <w:tc>
          <w:tcPr>
            <w:tcW w:w="1418" w:type="dxa"/>
          </w:tcPr>
          <w:p>
            <w:pPr>
              <w:pStyle w:val="15"/>
              <w:tabs>
                <w:tab w:val="left" w:pos="1843"/>
              </w:tabs>
              <w:spacing w:line="360" w:lineRule="auto"/>
              <w:ind w:firstLine="0"/>
              <w:jc w:val="center"/>
              <w:rPr>
                <w:rFonts w:ascii="仿宋_GB2312" w:eastAsia="仿宋_GB2312"/>
                <w:b/>
                <w:color w:val="000000"/>
                <w:sz w:val="22"/>
              </w:rPr>
            </w:pPr>
            <w:r>
              <w:rPr>
                <w:rFonts w:hint="eastAsia" w:ascii="仿宋_GB2312" w:eastAsia="仿宋_GB2312"/>
                <w:b/>
                <w:color w:val="000000"/>
                <w:sz w:val="22"/>
              </w:rPr>
              <w:t>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restart"/>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建成一星级及以上运行标识绿色建筑项目</w:t>
            </w:r>
          </w:p>
        </w:tc>
        <w:tc>
          <w:tcPr>
            <w:tcW w:w="992" w:type="dxa"/>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4"/>
                <w:szCs w:val="24"/>
                <w:lang w:bidi="ar"/>
              </w:rPr>
              <w:t>惠州</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4"/>
                <w:szCs w:val="24"/>
                <w:lang w:bidi="ar"/>
              </w:rPr>
              <w:t>2</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4"/>
                <w:szCs w:val="24"/>
                <w:lang w:bidi="ar"/>
              </w:rPr>
              <w:t>2</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300.00</w:t>
            </w:r>
          </w:p>
        </w:tc>
        <w:tc>
          <w:tcPr>
            <w:tcW w:w="1559"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300.00</w:t>
            </w:r>
          </w:p>
        </w:tc>
        <w:tc>
          <w:tcPr>
            <w:tcW w:w="1418" w:type="dxa"/>
          </w:tcPr>
          <w:p>
            <w:pPr>
              <w:widowControl/>
              <w:spacing w:line="360" w:lineRule="auto"/>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continue"/>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4"/>
                <w:szCs w:val="24"/>
                <w:lang w:bidi="ar"/>
              </w:rPr>
              <w:t>东莞</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4"/>
                <w:szCs w:val="24"/>
              </w:rPr>
              <w:t>2</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4"/>
                <w:szCs w:val="24"/>
              </w:rPr>
              <w:t>2</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300.00</w:t>
            </w:r>
          </w:p>
        </w:tc>
        <w:tc>
          <w:tcPr>
            <w:tcW w:w="1559"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300.00</w:t>
            </w:r>
          </w:p>
        </w:tc>
        <w:tc>
          <w:tcPr>
            <w:tcW w:w="1418" w:type="dxa"/>
          </w:tcPr>
          <w:p>
            <w:pPr>
              <w:widowControl/>
              <w:spacing w:line="360" w:lineRule="auto"/>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continue"/>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4"/>
                <w:szCs w:val="24"/>
                <w:lang w:bidi="ar"/>
              </w:rPr>
              <w:t>中山</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4"/>
                <w:szCs w:val="24"/>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4"/>
                <w:szCs w:val="24"/>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150.00</w:t>
            </w:r>
          </w:p>
        </w:tc>
        <w:tc>
          <w:tcPr>
            <w:tcW w:w="1559"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150.00</w:t>
            </w:r>
          </w:p>
        </w:tc>
        <w:tc>
          <w:tcPr>
            <w:tcW w:w="1418" w:type="dxa"/>
          </w:tcPr>
          <w:p>
            <w:pPr>
              <w:widowControl/>
              <w:spacing w:line="360" w:lineRule="auto"/>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continue"/>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4"/>
                <w:szCs w:val="24"/>
                <w:lang w:bidi="ar"/>
              </w:rPr>
              <w:t>江门</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4"/>
                <w:szCs w:val="24"/>
                <w:lang w:bidi="ar"/>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4"/>
                <w:szCs w:val="24"/>
                <w:lang w:bidi="ar"/>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150.00</w:t>
            </w:r>
          </w:p>
        </w:tc>
        <w:tc>
          <w:tcPr>
            <w:tcW w:w="1559" w:type="dxa"/>
            <w:vAlign w:val="center"/>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57.50</w:t>
            </w:r>
          </w:p>
        </w:tc>
        <w:tc>
          <w:tcPr>
            <w:tcW w:w="1418" w:type="dxa"/>
          </w:tcPr>
          <w:p>
            <w:pPr>
              <w:widowControl/>
              <w:spacing w:line="360" w:lineRule="auto"/>
              <w:jc w:val="center"/>
              <w:textAlignment w:val="center"/>
              <w:rPr>
                <w:rFonts w:ascii="仿宋_GB2312" w:hAnsi="宋体" w:eastAsia="仿宋_GB2312" w:cs="仿宋_GB2312"/>
                <w:color w:val="000000"/>
                <w:sz w:val="22"/>
                <w:szCs w:val="24"/>
                <w:lang w:bidi="ar"/>
              </w:rPr>
            </w:pPr>
            <w:r>
              <w:rPr>
                <w:rFonts w:ascii="仿宋_GB2312" w:hAnsi="仿宋_GB2312" w:eastAsia="仿宋_GB2312" w:cs="仿宋_GB2312"/>
                <w:color w:val="000000"/>
                <w:sz w:val="22"/>
                <w:szCs w:val="24"/>
                <w:lang w:bidi="ar"/>
              </w:rPr>
              <w:t>38.33</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4"/>
                <w:szCs w:val="24"/>
                <w:lang w:bidi="ar"/>
              </w:rPr>
              <w:t>肇庆</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4"/>
                <w:szCs w:val="24"/>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4"/>
                <w:szCs w:val="24"/>
              </w:rPr>
              <w:t>1</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150.00</w:t>
            </w:r>
          </w:p>
        </w:tc>
        <w:tc>
          <w:tcPr>
            <w:tcW w:w="1559"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150.00</w:t>
            </w:r>
          </w:p>
        </w:tc>
        <w:tc>
          <w:tcPr>
            <w:tcW w:w="1418" w:type="dxa"/>
          </w:tcPr>
          <w:p>
            <w:pPr>
              <w:widowControl/>
              <w:spacing w:line="360" w:lineRule="auto"/>
              <w:jc w:val="center"/>
              <w:textAlignment w:val="center"/>
              <w:rPr>
                <w:rFonts w:ascii="仿宋_GB2312" w:hAnsi="宋体" w:eastAsia="仿宋_GB2312" w:cs="仿宋_GB2312"/>
                <w:color w:val="000000"/>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360" w:lineRule="auto"/>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360" w:lineRule="auto"/>
              <w:jc w:val="center"/>
              <w:textAlignment w:val="center"/>
              <w:rPr>
                <w:rFonts w:ascii="仿宋_GB2312" w:hAnsi="仿宋_GB2312" w:eastAsia="仿宋_GB2312" w:cs="仿宋_GB2312"/>
                <w:b/>
                <w:color w:val="000000"/>
                <w:sz w:val="22"/>
                <w:szCs w:val="24"/>
                <w:lang w:bidi="ar"/>
              </w:rPr>
            </w:pPr>
            <w:r>
              <w:rPr>
                <w:rFonts w:hint="eastAsia" w:ascii="仿宋_GB2312" w:hAnsi="仿宋_GB2312" w:eastAsia="仿宋_GB2312" w:cs="仿宋_GB2312"/>
                <w:b/>
                <w:color w:val="000000"/>
                <w:sz w:val="22"/>
                <w:szCs w:val="24"/>
                <w:lang w:bidi="ar"/>
              </w:rPr>
              <w:t>小计</w:t>
            </w:r>
          </w:p>
        </w:tc>
        <w:tc>
          <w:tcPr>
            <w:tcW w:w="1134" w:type="dxa"/>
            <w:vAlign w:val="center"/>
          </w:tcPr>
          <w:p>
            <w:pPr>
              <w:widowControl/>
              <w:spacing w:line="360" w:lineRule="auto"/>
              <w:jc w:val="center"/>
              <w:textAlignment w:val="center"/>
              <w:rPr>
                <w:rFonts w:ascii="仿宋_GB2312" w:hAnsi="宋体" w:eastAsia="仿宋_GB2312" w:cs="仿宋_GB2312"/>
                <w:b/>
                <w:color w:val="000000"/>
                <w:sz w:val="22"/>
                <w:szCs w:val="24"/>
              </w:rPr>
            </w:pPr>
            <w:r>
              <w:rPr>
                <w:rFonts w:ascii="仿宋_GB2312" w:hAnsi="宋体" w:eastAsia="仿宋_GB2312" w:cs="仿宋_GB2312"/>
                <w:b/>
                <w:color w:val="000000"/>
                <w:sz w:val="22"/>
                <w:szCs w:val="24"/>
              </w:rPr>
              <w:t>7</w:t>
            </w:r>
          </w:p>
        </w:tc>
        <w:tc>
          <w:tcPr>
            <w:tcW w:w="1134" w:type="dxa"/>
          </w:tcPr>
          <w:p>
            <w:pPr>
              <w:widowControl/>
              <w:spacing w:line="360" w:lineRule="auto"/>
              <w:jc w:val="center"/>
              <w:textAlignment w:val="center"/>
              <w:rPr>
                <w:rFonts w:ascii="仿宋_GB2312" w:hAnsi="宋体" w:eastAsia="仿宋_GB2312"/>
                <w:b/>
                <w:color w:val="000000"/>
                <w:sz w:val="22"/>
                <w:szCs w:val="24"/>
              </w:rPr>
            </w:pPr>
            <w:r>
              <w:rPr>
                <w:rFonts w:ascii="仿宋_GB2312" w:hAnsi="宋体" w:eastAsia="仿宋_GB2312"/>
                <w:b/>
                <w:color w:val="000000"/>
                <w:sz w:val="22"/>
                <w:szCs w:val="24"/>
              </w:rPr>
              <w:t>7</w:t>
            </w:r>
          </w:p>
        </w:tc>
        <w:tc>
          <w:tcPr>
            <w:tcW w:w="1134" w:type="dxa"/>
            <w:vAlign w:val="center"/>
          </w:tcPr>
          <w:p>
            <w:pPr>
              <w:widowControl/>
              <w:spacing w:line="360" w:lineRule="auto"/>
              <w:jc w:val="center"/>
              <w:textAlignment w:val="center"/>
              <w:rPr>
                <w:rFonts w:ascii="仿宋_GB2312" w:hAnsi="宋体" w:eastAsia="仿宋_GB2312" w:cs="仿宋_GB2312"/>
                <w:color w:val="000000"/>
                <w:sz w:val="22"/>
                <w:szCs w:val="24"/>
              </w:rPr>
            </w:pPr>
            <w:r>
              <w:rPr>
                <w:rFonts w:ascii="仿宋_GB2312" w:hAnsi="宋体" w:eastAsia="仿宋_GB2312"/>
                <w:b/>
                <w:color w:val="000000"/>
                <w:sz w:val="22"/>
                <w:szCs w:val="24"/>
              </w:rPr>
              <w:t>1,050.00</w:t>
            </w:r>
          </w:p>
        </w:tc>
        <w:tc>
          <w:tcPr>
            <w:tcW w:w="1559" w:type="dxa"/>
            <w:vAlign w:val="center"/>
          </w:tcPr>
          <w:p>
            <w:pPr>
              <w:widowControl/>
              <w:spacing w:line="360" w:lineRule="auto"/>
              <w:jc w:val="center"/>
              <w:textAlignment w:val="center"/>
              <w:rPr>
                <w:rFonts w:ascii="仿宋_GB2312" w:hAnsi="宋体" w:eastAsia="仿宋_GB2312"/>
                <w:b/>
                <w:color w:val="000000"/>
                <w:sz w:val="22"/>
                <w:szCs w:val="24"/>
              </w:rPr>
            </w:pPr>
            <w:r>
              <w:rPr>
                <w:rFonts w:ascii="仿宋_GB2312" w:hAnsi="宋体" w:eastAsia="仿宋_GB2312"/>
                <w:b/>
                <w:color w:val="000000"/>
                <w:sz w:val="22"/>
                <w:szCs w:val="24"/>
              </w:rPr>
              <w:t>957.50</w:t>
            </w:r>
          </w:p>
        </w:tc>
        <w:tc>
          <w:tcPr>
            <w:tcW w:w="1418" w:type="dxa"/>
          </w:tcPr>
          <w:p>
            <w:pPr>
              <w:widowControl/>
              <w:spacing w:line="360" w:lineRule="auto"/>
              <w:jc w:val="center"/>
              <w:textAlignment w:val="center"/>
              <w:rPr>
                <w:rFonts w:ascii="仿宋_GB2312" w:hAnsi="宋体" w:eastAsia="仿宋_GB2312"/>
                <w:b/>
                <w:color w:val="000000"/>
                <w:sz w:val="22"/>
                <w:szCs w:val="24"/>
              </w:rPr>
            </w:pPr>
            <w:r>
              <w:rPr>
                <w:rFonts w:ascii="仿宋_GB2312" w:hAnsi="仿宋_GB2312" w:eastAsia="仿宋_GB2312" w:cs="仿宋_GB2312"/>
                <w:color w:val="000000"/>
                <w:sz w:val="22"/>
                <w:szCs w:val="24"/>
                <w:lang w:bidi="ar"/>
              </w:rPr>
              <w:t>91.19</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40" w:type="dxa"/>
            <w:gridSpan w:val="4"/>
            <w:vAlign w:val="center"/>
          </w:tcPr>
          <w:p>
            <w:pPr>
              <w:pStyle w:val="15"/>
              <w:tabs>
                <w:tab w:val="left" w:pos="1843"/>
              </w:tabs>
              <w:spacing w:line="360" w:lineRule="auto"/>
              <w:ind w:firstLine="0"/>
              <w:jc w:val="center"/>
              <w:rPr>
                <w:rFonts w:ascii="仿宋_GB2312" w:hAnsi="宋体" w:eastAsia="仿宋_GB2312"/>
                <w:b/>
                <w:color w:val="000000"/>
                <w:sz w:val="22"/>
              </w:rPr>
            </w:pPr>
            <w:r>
              <w:rPr>
                <w:rFonts w:hint="eastAsia" w:ascii="仿宋_GB2312" w:hAnsi="仿宋_GB2312" w:eastAsia="仿宋_GB2312" w:cs="仿宋_GB2312"/>
                <w:b/>
                <w:color w:val="000000"/>
                <w:sz w:val="22"/>
              </w:rPr>
              <w:t>绿色循环发展与节能降耗专项资金合计</w:t>
            </w:r>
          </w:p>
        </w:tc>
        <w:tc>
          <w:tcPr>
            <w:tcW w:w="1134" w:type="dxa"/>
            <w:vAlign w:val="center"/>
          </w:tcPr>
          <w:p>
            <w:pPr>
              <w:pStyle w:val="15"/>
              <w:tabs>
                <w:tab w:val="left" w:pos="1843"/>
              </w:tabs>
              <w:spacing w:line="360" w:lineRule="auto"/>
              <w:ind w:firstLine="0"/>
              <w:jc w:val="center"/>
              <w:rPr>
                <w:rFonts w:ascii="仿宋_GB2312" w:hAnsi="宋体" w:eastAsia="仿宋_GB2312"/>
                <w:b/>
                <w:color w:val="000000"/>
                <w:sz w:val="22"/>
              </w:rPr>
            </w:pPr>
            <w:r>
              <w:rPr>
                <w:rFonts w:ascii="仿宋_GB2312" w:hAnsi="宋体" w:eastAsia="仿宋_GB2312"/>
                <w:b/>
                <w:color w:val="000000"/>
                <w:sz w:val="22"/>
              </w:rPr>
              <w:t>1,050.00</w:t>
            </w:r>
          </w:p>
        </w:tc>
        <w:tc>
          <w:tcPr>
            <w:tcW w:w="1559" w:type="dxa"/>
          </w:tcPr>
          <w:p>
            <w:pPr>
              <w:pStyle w:val="15"/>
              <w:tabs>
                <w:tab w:val="left" w:pos="1843"/>
              </w:tabs>
              <w:spacing w:line="360" w:lineRule="auto"/>
              <w:ind w:firstLine="0"/>
              <w:jc w:val="center"/>
              <w:rPr>
                <w:rFonts w:ascii="仿宋_GB2312" w:hAnsi="宋体" w:eastAsia="仿宋_GB2312"/>
                <w:b/>
                <w:color w:val="000000"/>
                <w:sz w:val="22"/>
              </w:rPr>
            </w:pPr>
            <w:r>
              <w:rPr>
                <w:rFonts w:ascii="仿宋_GB2312" w:hAnsi="宋体" w:eastAsia="仿宋_GB2312"/>
                <w:b/>
                <w:color w:val="000000"/>
                <w:sz w:val="22"/>
              </w:rPr>
              <w:t>957.50</w:t>
            </w:r>
          </w:p>
        </w:tc>
        <w:tc>
          <w:tcPr>
            <w:tcW w:w="1418" w:type="dxa"/>
          </w:tcPr>
          <w:p>
            <w:pPr>
              <w:pStyle w:val="15"/>
              <w:tabs>
                <w:tab w:val="left" w:pos="1843"/>
              </w:tabs>
              <w:spacing w:line="360" w:lineRule="auto"/>
              <w:ind w:firstLine="0"/>
              <w:jc w:val="center"/>
              <w:rPr>
                <w:rFonts w:ascii="仿宋_GB2312" w:hAnsi="宋体" w:eastAsia="仿宋_GB2312"/>
                <w:b/>
                <w:color w:val="000000"/>
                <w:sz w:val="22"/>
              </w:rPr>
            </w:pPr>
            <w:r>
              <w:rPr>
                <w:rFonts w:ascii="仿宋_GB2312" w:hAnsi="仿宋_GB2312" w:eastAsia="仿宋_GB2312" w:cs="仿宋_GB2312"/>
                <w:color w:val="000000"/>
                <w:sz w:val="22"/>
                <w:lang w:bidi="ar"/>
              </w:rPr>
              <w:t>91.19</w:t>
            </w:r>
            <w:r>
              <w:rPr>
                <w:rFonts w:hint="eastAsia" w:ascii="仿宋_GB2312" w:hAnsi="仿宋_GB2312" w:eastAsia="仿宋_GB2312" w:cs="仿宋_GB2312"/>
                <w:color w:val="000000"/>
                <w:sz w:val="22"/>
                <w:lang w:bidi="ar"/>
              </w:rPr>
              <w:t>%</w:t>
            </w:r>
          </w:p>
        </w:tc>
      </w:tr>
    </w:tbl>
    <w:p>
      <w:pPr>
        <w:spacing w:line="360" w:lineRule="auto"/>
        <w:ind w:firstLine="480" w:firstLineChars="200"/>
        <w:outlineLvl w:val="9"/>
        <w:rPr>
          <w:rFonts w:ascii="仿宋_GB2312" w:hAnsi="黑体" w:eastAsia="仿宋_GB2312" w:cs="Calibri"/>
          <w:b w:val="0"/>
          <w:sz w:val="24"/>
          <w:szCs w:val="24"/>
        </w:rPr>
      </w:pPr>
      <w:r>
        <w:rPr>
          <w:rFonts w:hint="eastAsia" w:ascii="仿宋_GB2312" w:hAnsi="黑体" w:eastAsia="仿宋_GB2312" w:cs="Calibri"/>
          <w:sz w:val="24"/>
          <w:szCs w:val="24"/>
        </w:rPr>
        <w:t>注：江门市新会万达广场项目实际支付金额为</w:t>
      </w:r>
      <w:r>
        <w:rPr>
          <w:rFonts w:ascii="仿宋_GB2312" w:hAnsi="黑体" w:eastAsia="仿宋_GB2312" w:cs="Calibri"/>
          <w:sz w:val="24"/>
          <w:szCs w:val="24"/>
        </w:rPr>
        <w:t>57.50</w:t>
      </w:r>
      <w:r>
        <w:rPr>
          <w:rFonts w:hint="eastAsia" w:ascii="仿宋_GB2312" w:hAnsi="黑体" w:eastAsia="仿宋_GB2312" w:cs="Calibri"/>
          <w:sz w:val="24"/>
          <w:szCs w:val="24"/>
        </w:rPr>
        <w:t>万元，相对于预算金额</w:t>
      </w:r>
      <w:r>
        <w:rPr>
          <w:rFonts w:ascii="仿宋_GB2312" w:hAnsi="黑体" w:eastAsia="仿宋_GB2312" w:cs="Calibri"/>
          <w:sz w:val="24"/>
          <w:szCs w:val="24"/>
        </w:rPr>
        <w:t>150.00</w:t>
      </w:r>
      <w:r>
        <w:rPr>
          <w:rFonts w:hint="eastAsia" w:ascii="仿宋_GB2312" w:hAnsi="黑体" w:eastAsia="仿宋_GB2312" w:cs="Calibri"/>
          <w:sz w:val="24"/>
          <w:szCs w:val="24"/>
        </w:rPr>
        <w:t>万元，资金支出率为</w:t>
      </w:r>
      <w:r>
        <w:rPr>
          <w:rFonts w:ascii="仿宋_GB2312" w:hAnsi="黑体" w:eastAsia="仿宋_GB2312" w:cs="Calibri"/>
          <w:sz w:val="24"/>
          <w:szCs w:val="24"/>
        </w:rPr>
        <w:t>38.33%</w:t>
      </w:r>
      <w:r>
        <w:rPr>
          <w:rFonts w:hint="eastAsia" w:ascii="仿宋_GB2312" w:hAnsi="黑体" w:eastAsia="仿宋_GB2312" w:cs="Calibri"/>
          <w:sz w:val="24"/>
          <w:szCs w:val="24"/>
        </w:rPr>
        <w:t>，剩余9</w:t>
      </w:r>
      <w:r>
        <w:rPr>
          <w:rFonts w:ascii="仿宋_GB2312" w:hAnsi="黑体" w:eastAsia="仿宋_GB2312" w:cs="Calibri"/>
          <w:sz w:val="24"/>
          <w:szCs w:val="24"/>
        </w:rPr>
        <w:t>2.50</w:t>
      </w:r>
      <w:r>
        <w:rPr>
          <w:rFonts w:hint="eastAsia" w:ascii="仿宋_GB2312" w:hAnsi="黑体" w:eastAsia="仿宋_GB2312" w:cs="Calibri"/>
          <w:sz w:val="24"/>
          <w:szCs w:val="24"/>
        </w:rPr>
        <w:t>万元已退回省</w:t>
      </w:r>
      <w:r>
        <w:rPr>
          <w:rFonts w:hint="eastAsia" w:ascii="仿宋_GB2312" w:hAnsi="黑体" w:eastAsia="仿宋_GB2312" w:cs="Calibri"/>
          <w:sz w:val="24"/>
          <w:szCs w:val="24"/>
          <w:lang w:val="en-US" w:eastAsia="zh-CN"/>
        </w:rPr>
        <w:t>财政</w:t>
      </w:r>
      <w:r>
        <w:rPr>
          <w:rFonts w:hint="eastAsia" w:ascii="仿宋_GB2312" w:hAnsi="黑体" w:eastAsia="仿宋_GB2312" w:cs="Calibri"/>
          <w:sz w:val="24"/>
          <w:szCs w:val="24"/>
        </w:rPr>
        <w:t>厅统筹。</w:t>
      </w:r>
    </w:p>
    <w:p>
      <w:pPr>
        <w:spacing w:line="600" w:lineRule="exact"/>
        <w:ind w:firstLine="643" w:firstLineChars="200"/>
        <w:outlineLvl w:val="2"/>
        <w:rPr>
          <w:rFonts w:ascii="仿宋_GB2312" w:hAnsi="黑体" w:eastAsia="仿宋_GB2312" w:cs="Calibri"/>
          <w:b/>
          <w:sz w:val="32"/>
          <w:szCs w:val="32"/>
        </w:rPr>
      </w:pPr>
      <w:r>
        <w:rPr>
          <w:rFonts w:hint="eastAsia" w:ascii="仿宋_GB2312" w:hAnsi="黑体" w:eastAsia="仿宋_GB2312" w:cs="Calibri"/>
          <w:b/>
          <w:sz w:val="32"/>
          <w:szCs w:val="32"/>
        </w:rPr>
        <w:t>3、专项资金使用绩效。</w:t>
      </w:r>
    </w:p>
    <w:p>
      <w:pPr>
        <w:spacing w:line="600" w:lineRule="exact"/>
        <w:ind w:firstLine="643" w:firstLineChars="200"/>
        <w:jc w:val="left"/>
        <w:outlineLvl w:val="3"/>
        <w:rPr>
          <w:rFonts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eastAsia="zh-CN"/>
        </w:rPr>
        <w:t>环境监管能力建设</w:t>
      </w:r>
      <w:r>
        <w:rPr>
          <w:rFonts w:hint="eastAsia" w:ascii="仿宋_GB2312" w:eastAsia="仿宋_GB2312"/>
          <w:b/>
          <w:sz w:val="32"/>
          <w:szCs w:val="32"/>
        </w:rPr>
        <w:t>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w:t>
      </w:r>
      <w:r>
        <w:rPr>
          <w:rFonts w:ascii="仿宋_GB2312" w:hAnsi="黑体" w:eastAsia="仿宋_GB2312" w:cs="Calibri"/>
          <w:sz w:val="32"/>
          <w:szCs w:val="32"/>
        </w:rPr>
        <w:t>1</w:t>
      </w:r>
      <w:r>
        <w:rPr>
          <w:rFonts w:hint="eastAsia" w:ascii="仿宋_GB2312" w:hAnsi="黑体" w:eastAsia="仿宋_GB2312" w:cs="Calibri"/>
          <w:sz w:val="32"/>
          <w:szCs w:val="32"/>
        </w:rPr>
        <w:t>年省财政安排专项资金</w:t>
      </w:r>
      <w:r>
        <w:rPr>
          <w:rFonts w:ascii="仿宋_GB2312" w:hAnsi="黑体" w:eastAsia="仿宋_GB2312" w:cs="Calibri"/>
          <w:sz w:val="32"/>
          <w:szCs w:val="32"/>
        </w:rPr>
        <w:t>150</w:t>
      </w:r>
      <w:r>
        <w:rPr>
          <w:rFonts w:hint="eastAsia" w:ascii="仿宋_GB2312" w:hAnsi="黑体" w:eastAsia="仿宋_GB2312" w:cs="Calibri"/>
          <w:sz w:val="32"/>
          <w:szCs w:val="32"/>
        </w:rPr>
        <w:t>万元，已实际支出</w:t>
      </w:r>
      <w:r>
        <w:rPr>
          <w:rFonts w:ascii="仿宋_GB2312" w:hAnsi="黑体" w:eastAsia="仿宋_GB2312" w:cs="Calibri"/>
          <w:sz w:val="32"/>
          <w:szCs w:val="32"/>
        </w:rPr>
        <w:t>150</w:t>
      </w:r>
      <w:r>
        <w:rPr>
          <w:rFonts w:hint="eastAsia" w:ascii="仿宋_GB2312" w:hAnsi="黑体" w:eastAsia="仿宋_GB2312" w:cs="Calibri"/>
          <w:sz w:val="32"/>
          <w:szCs w:val="32"/>
        </w:rPr>
        <w:t>万元，资金支付率</w:t>
      </w:r>
      <w:r>
        <w:rPr>
          <w:rFonts w:ascii="仿宋_GB2312" w:hAnsi="黑体" w:eastAsia="仿宋_GB2312" w:cs="Calibri"/>
          <w:sz w:val="32"/>
          <w:szCs w:val="32"/>
        </w:rPr>
        <w:t>100</w:t>
      </w:r>
      <w:r>
        <w:rPr>
          <w:rFonts w:hint="eastAsia" w:ascii="仿宋_GB2312" w:hAnsi="黑体" w:eastAsia="仿宋_GB2312" w:cs="Calibri"/>
          <w:sz w:val="32"/>
          <w:szCs w:val="32"/>
        </w:rPr>
        <w:t>%，结转资金</w:t>
      </w:r>
      <w:r>
        <w:rPr>
          <w:rFonts w:ascii="仿宋_GB2312" w:hAnsi="黑体" w:eastAsia="仿宋_GB2312" w:cs="Calibri"/>
          <w:sz w:val="32"/>
          <w:szCs w:val="32"/>
        </w:rPr>
        <w:t>0</w:t>
      </w:r>
      <w:r>
        <w:rPr>
          <w:rFonts w:hint="eastAsia" w:ascii="仿宋_GB2312" w:hAnsi="黑体" w:eastAsia="仿宋_GB2312" w:cs="Calibri"/>
          <w:sz w:val="32"/>
          <w:szCs w:val="32"/>
        </w:rPr>
        <w:t>元。通过专项资金的使用，202</w:t>
      </w:r>
      <w:r>
        <w:rPr>
          <w:rFonts w:ascii="仿宋_GB2312" w:hAnsi="黑体" w:eastAsia="仿宋_GB2312" w:cs="Calibri"/>
          <w:sz w:val="32"/>
          <w:szCs w:val="32"/>
        </w:rPr>
        <w:t>1</w:t>
      </w:r>
      <w:r>
        <w:rPr>
          <w:rFonts w:hint="eastAsia" w:ascii="仿宋_GB2312" w:hAnsi="黑体" w:eastAsia="仿宋_GB2312" w:cs="Calibri"/>
          <w:sz w:val="32"/>
          <w:szCs w:val="32"/>
        </w:rPr>
        <w:t>年的项目绩效目标基本完成，实现以下主要绩效：</w:t>
      </w:r>
    </w:p>
    <w:p>
      <w:pPr>
        <w:spacing w:line="600" w:lineRule="exact"/>
        <w:ind w:firstLine="643" w:firstLineChars="200"/>
        <w:rPr>
          <w:rFonts w:ascii="仿宋_GB2312" w:hAnsi="黑体" w:eastAsia="仿宋_GB2312" w:cs="Calibri"/>
          <w:b/>
          <w:bCs/>
          <w:sz w:val="32"/>
          <w:szCs w:val="32"/>
        </w:rPr>
      </w:pPr>
      <w:r>
        <w:rPr>
          <w:rFonts w:hint="eastAsia" w:ascii="仿宋_GB2312" w:hAnsi="黑体" w:eastAsia="仿宋_GB2312" w:cs="Calibri"/>
          <w:b/>
          <w:bCs/>
          <w:sz w:val="32"/>
          <w:szCs w:val="32"/>
        </w:rPr>
        <w:t>1）建立长效机制，健全绿色建筑政策标准体系。</w:t>
      </w:r>
    </w:p>
    <w:p>
      <w:pPr>
        <w:spacing w:line="600" w:lineRule="exact"/>
        <w:ind w:firstLine="643" w:firstLineChars="200"/>
        <w:rPr>
          <w:rFonts w:ascii="仿宋_GB2312" w:hAnsi="黑体" w:eastAsia="仿宋_GB2312" w:cs="Calibri"/>
          <w:sz w:val="32"/>
          <w:szCs w:val="32"/>
        </w:rPr>
      </w:pPr>
      <w:r>
        <w:rPr>
          <w:rFonts w:hint="eastAsia" w:ascii="仿宋_GB2312" w:hAnsi="黑体" w:eastAsia="仿宋_GB2312" w:cs="Calibri"/>
          <w:b/>
          <w:bCs/>
          <w:sz w:val="32"/>
          <w:szCs w:val="32"/>
        </w:rPr>
        <w:t>一是加快建立法规政策体系。</w:t>
      </w:r>
      <w:r>
        <w:rPr>
          <w:rFonts w:hint="eastAsia" w:ascii="仿宋_GB2312" w:hAnsi="黑体" w:eastAsia="仿宋_GB2312" w:cs="Calibri"/>
          <w:sz w:val="32"/>
          <w:szCs w:val="32"/>
        </w:rPr>
        <w:t>推动《广东省绿色建筑条例》（以下简称“条例”）出台，于1月1日起施行，为我省全面推行绿色建筑，建立健全绿色建筑全寿命期监管体制机制提供法治保障。联合省发展改革委、自然资源厅等13部门印发《广东省绿色建筑创建行动实施方案（2021-2023）》，以贯彻执行条例为抓手，立足建立长效机制，开展绿色建筑创建三年行动。将碳达峰碳中和目标融入“十四五”规划，编制了《广东省建筑节能与绿色建筑发展“十四五”规划》。扩大财政资金激励支持，组织全省建筑节能、绿色建筑、既有建筑节能改造、可再生能源建筑应用等优秀项目申报省级专项资金。</w:t>
      </w:r>
    </w:p>
    <w:p>
      <w:pPr>
        <w:spacing w:line="600" w:lineRule="exact"/>
        <w:ind w:firstLine="643" w:firstLineChars="200"/>
        <w:rPr>
          <w:rFonts w:ascii="仿宋_GB2312" w:hAnsi="黑体" w:eastAsia="仿宋_GB2312" w:cs="Calibri"/>
          <w:sz w:val="32"/>
          <w:szCs w:val="32"/>
        </w:rPr>
      </w:pPr>
      <w:r>
        <w:rPr>
          <w:rFonts w:hint="eastAsia" w:ascii="仿宋_GB2312" w:hAnsi="黑体" w:eastAsia="仿宋_GB2312" w:cs="Calibri"/>
          <w:b/>
          <w:bCs/>
          <w:sz w:val="32"/>
          <w:szCs w:val="32"/>
        </w:rPr>
        <w:t>二是逐步完善技术标准体系。</w:t>
      </w:r>
      <w:r>
        <w:rPr>
          <w:rFonts w:hint="eastAsia" w:ascii="仿宋_GB2312" w:hAnsi="黑体" w:eastAsia="仿宋_GB2312" w:cs="Calibri"/>
          <w:sz w:val="32"/>
          <w:szCs w:val="32"/>
        </w:rPr>
        <w:t>先后发布实施了《广东省绿色建筑设计规范》《广东省建筑节能与绿色建筑工程施工质量验收规范》《广东省绿色建筑检测标准》等技术标准，实现绿色建筑勘察设计、建设施工、验收管理全过程标准管控。开展既有建筑绿色化改造、绿色建筑后评估等技术标准以及农房建设绿色技术导则的制修订。启动编制我省绿色建筑工程计价办法，进一步加强绿色建筑计价依据体系建设。鼓励地市因地制宜，推动地方特色技术标准先行先试。惠州、东莞印发绿色建筑设计、施工图审查、验收各环节工作要点和指南，实现全流程闭环管理。省市协同发展绿色建筑全寿命期技术标准体系，为绿色建筑全面创新发展提供了有力的技术支撑。</w:t>
      </w:r>
    </w:p>
    <w:p>
      <w:pPr>
        <w:spacing w:line="600" w:lineRule="exact"/>
        <w:ind w:firstLine="643" w:firstLineChars="200"/>
        <w:rPr>
          <w:rFonts w:ascii="仿宋_GB2312" w:hAnsi="黑体" w:eastAsia="仿宋_GB2312" w:cs="Calibri"/>
          <w:sz w:val="32"/>
          <w:szCs w:val="32"/>
          <w:highlight w:val="yellow"/>
        </w:rPr>
      </w:pPr>
      <w:r>
        <w:rPr>
          <w:rFonts w:hint="eastAsia" w:ascii="仿宋_GB2312" w:hAnsi="黑体" w:eastAsia="仿宋_GB2312" w:cs="Calibri"/>
          <w:b/>
          <w:bCs/>
          <w:sz w:val="32"/>
          <w:szCs w:val="32"/>
        </w:rPr>
        <w:t>三是编制实施区域专项规划。</w:t>
      </w:r>
      <w:r>
        <w:rPr>
          <w:rFonts w:hint="eastAsia" w:ascii="仿宋_GB2312" w:hAnsi="黑体" w:eastAsia="仿宋_GB2312" w:cs="Calibri"/>
          <w:sz w:val="32"/>
          <w:szCs w:val="32"/>
        </w:rPr>
        <w:t>落实《广东省绿色建筑条例》规定，省级层面编制《广东省绿色建筑发展专项规划编制技术导则(试行)》，指导市县级层面编制绿色建筑专项规划，推动绿色建筑专项规划编制工作纳入法治化轨道。将绿色建筑发展要求纳入详细规划，将规划目标分解至各管理分区和目标单元。坚持因地制宜，坚持对接战略，坚持多点合一，坚持实践中完善，科学谋划高等级绿色建筑聚集化发展，粤港澳大湾区范围内珠三角九市划定一定区域建设二星级及以上绿色建筑。</w:t>
      </w:r>
    </w:p>
    <w:p>
      <w:pPr>
        <w:spacing w:line="600" w:lineRule="exact"/>
        <w:ind w:firstLine="643" w:firstLineChars="200"/>
        <w:rPr>
          <w:rFonts w:ascii="仿宋_GB2312" w:hAnsi="黑体" w:eastAsia="仿宋_GB2312" w:cs="Calibri"/>
          <w:b/>
          <w:bCs/>
          <w:sz w:val="32"/>
          <w:szCs w:val="32"/>
        </w:rPr>
      </w:pPr>
      <w:r>
        <w:rPr>
          <w:rFonts w:hint="eastAsia" w:ascii="仿宋_GB2312" w:hAnsi="黑体" w:eastAsia="仿宋_GB2312" w:cs="Calibri"/>
          <w:b/>
          <w:bCs/>
          <w:sz w:val="32"/>
          <w:szCs w:val="32"/>
        </w:rPr>
        <w:t>2）规范绿色建筑标识管理，积极部署碳达峰行动。</w:t>
      </w:r>
    </w:p>
    <w:p>
      <w:pPr>
        <w:spacing w:line="600" w:lineRule="exact"/>
        <w:ind w:firstLine="643" w:firstLineChars="200"/>
        <w:rPr>
          <w:rFonts w:ascii="仿宋_GB2312" w:hAnsi="黑体" w:eastAsia="仿宋_GB2312" w:cs="Calibri"/>
          <w:sz w:val="32"/>
          <w:szCs w:val="32"/>
        </w:rPr>
      </w:pPr>
      <w:r>
        <w:rPr>
          <w:rFonts w:hint="eastAsia" w:ascii="仿宋_GB2312" w:hAnsi="黑体" w:eastAsia="仿宋_GB2312" w:cs="Calibri"/>
          <w:b/>
          <w:bCs/>
          <w:sz w:val="32"/>
          <w:szCs w:val="32"/>
        </w:rPr>
        <w:t>一是规范绿色建筑标识管理。</w:t>
      </w:r>
      <w:r>
        <w:rPr>
          <w:rFonts w:hint="eastAsia" w:ascii="仿宋_GB2312" w:hAnsi="黑体" w:eastAsia="仿宋_GB2312" w:cs="Calibri"/>
          <w:sz w:val="32"/>
          <w:szCs w:val="32"/>
        </w:rPr>
        <w:t>围绕贯彻落实《绿色建筑标识管理办法》等系列文件精神，我省多措并举，规范开展绿色建筑标识工作。率先全面取消设计标识。于2月底完成已申报项目的评审和公示公告，短期内共集中完成绿色建筑评价标识项目836个，建筑面积共7</w:t>
      </w:r>
      <w:r>
        <w:rPr>
          <w:rFonts w:ascii="仿宋_GB2312" w:hAnsi="黑体" w:eastAsia="仿宋_GB2312" w:cs="Calibri"/>
          <w:sz w:val="32"/>
          <w:szCs w:val="32"/>
        </w:rPr>
        <w:t>,</w:t>
      </w:r>
      <w:r>
        <w:rPr>
          <w:rFonts w:hint="eastAsia" w:ascii="仿宋_GB2312" w:hAnsi="黑体" w:eastAsia="仿宋_GB2312" w:cs="Calibri"/>
          <w:sz w:val="32"/>
          <w:szCs w:val="32"/>
        </w:rPr>
        <w:t>723.43万平方米，二星级及以上绿色建筑标识评价面积4</w:t>
      </w:r>
      <w:r>
        <w:rPr>
          <w:rFonts w:ascii="仿宋_GB2312" w:hAnsi="黑体" w:eastAsia="仿宋_GB2312" w:cs="Calibri"/>
          <w:sz w:val="32"/>
          <w:szCs w:val="32"/>
        </w:rPr>
        <w:t>,</w:t>
      </w:r>
      <w:r>
        <w:rPr>
          <w:rFonts w:hint="eastAsia" w:ascii="仿宋_GB2312" w:hAnsi="黑体" w:eastAsia="仿宋_GB2312" w:cs="Calibri"/>
          <w:sz w:val="32"/>
          <w:szCs w:val="32"/>
        </w:rPr>
        <w:t>507.55万平方米，运行标识绿色建筑面积371.08万平方米。升级改造广东省绿色建筑信息平台。实现我省绿色建筑标识项目全过程网上办理，并集合绿色建筑宣传、监管、评审、统计、展示“五位一体”的功能，加大绿色建筑关键信息的公开力度，提高老百姓的参与度。梳理我省项目申报标识政策。印发《关于我省绿色建筑标识申报等相关工作的通知》，发布绿色建筑标识项目申报指南，修订我省绿色建筑标识管理办法，积极组织绿色建筑优秀项目申报绿色建筑标识，推荐2个三星级项目至住房城乡建设部，完成1个二星级项目的专审及惠州市博罗县城中心客运站一星级项目的认定，在全国绿色建筑标识认定工作中走在前列。</w:t>
      </w:r>
    </w:p>
    <w:p>
      <w:pPr>
        <w:spacing w:line="600" w:lineRule="exact"/>
        <w:ind w:firstLine="643" w:firstLineChars="200"/>
        <w:rPr>
          <w:rFonts w:ascii="仿宋_GB2312" w:hAnsi="黑体" w:eastAsia="仿宋_GB2312" w:cs="Calibri"/>
          <w:sz w:val="32"/>
          <w:szCs w:val="32"/>
        </w:rPr>
      </w:pPr>
      <w:r>
        <w:rPr>
          <w:rFonts w:hint="eastAsia" w:ascii="仿宋_GB2312" w:hAnsi="黑体" w:eastAsia="仿宋_GB2312" w:cs="Calibri"/>
          <w:b/>
          <w:bCs/>
          <w:sz w:val="32"/>
          <w:szCs w:val="32"/>
        </w:rPr>
        <w:t>二是积极部署碳达峰行动。</w:t>
      </w:r>
      <w:r>
        <w:rPr>
          <w:rFonts w:hint="eastAsia" w:ascii="仿宋_GB2312" w:hAnsi="黑体" w:eastAsia="仿宋_GB2312" w:cs="Calibri"/>
          <w:sz w:val="32"/>
          <w:szCs w:val="32"/>
        </w:rPr>
        <w:t>坚持问题导向，开展课题研究和实地调研。完成了“广东省建筑碳排放达峰路线研究”课题，编制《建筑碳排放计算导则》。实地走访中山市零碳排放示范社区，了解运行情况，总结可复制可推广的好经验。坚持上下联动，加强统筹联动。拜会住房城乡建设部标准定额司，对接城乡领域碳达峰碳中和重点工作。联动广州市住房和城乡建设局及有关科研机构，研讨建筑业的碳排放数据来源和核算范围、方法以及减排降碳措施。发挥专家智库作用，邀请省发展改革委等19家单位和机构的代表召开专家研讨会。积极会商省统计局、自然资源厅及相关行业主管部门，开展多次座谈调研，共同研究城乡建设领域的核算范围和业务分工。按照省统一部署，编制完成广东省城乡建设领域碳达峰行动实施方案初稿。</w:t>
      </w:r>
    </w:p>
    <w:p>
      <w:pPr>
        <w:spacing w:line="600" w:lineRule="exact"/>
        <w:ind w:firstLine="643" w:firstLineChars="200"/>
        <w:rPr>
          <w:rFonts w:ascii="仿宋_GB2312" w:hAnsi="黑体" w:eastAsia="仿宋_GB2312" w:cs="Calibri"/>
          <w:b/>
          <w:bCs/>
          <w:sz w:val="32"/>
          <w:szCs w:val="32"/>
        </w:rPr>
      </w:pPr>
      <w:r>
        <w:rPr>
          <w:rFonts w:hint="eastAsia" w:ascii="仿宋_GB2312" w:hAnsi="黑体" w:eastAsia="仿宋_GB2312" w:cs="Calibri"/>
          <w:b/>
          <w:bCs/>
          <w:sz w:val="32"/>
          <w:szCs w:val="32"/>
        </w:rPr>
        <w:t>3）以宣传培训示范为引领，营造节能减碳发展氛围。</w:t>
      </w:r>
    </w:p>
    <w:p>
      <w:pPr>
        <w:spacing w:line="600" w:lineRule="exact"/>
        <w:ind w:firstLine="643" w:firstLineChars="200"/>
        <w:rPr>
          <w:rFonts w:ascii="仿宋_GB2312" w:hAnsi="黑体" w:eastAsia="仿宋_GB2312" w:cs="Calibri"/>
          <w:sz w:val="32"/>
          <w:szCs w:val="32"/>
        </w:rPr>
      </w:pPr>
      <w:r>
        <w:rPr>
          <w:rFonts w:hint="eastAsia" w:ascii="仿宋_GB2312" w:hAnsi="黑体" w:eastAsia="仿宋_GB2312" w:cs="Calibri"/>
          <w:b/>
          <w:bCs/>
          <w:sz w:val="32"/>
          <w:szCs w:val="32"/>
        </w:rPr>
        <w:t>一是开展节能宣传月系列活动。</w:t>
      </w:r>
      <w:r>
        <w:rPr>
          <w:rFonts w:hint="eastAsia" w:ascii="仿宋_GB2312" w:hAnsi="黑体" w:eastAsia="仿宋_GB2312" w:cs="Calibri"/>
          <w:sz w:val="32"/>
          <w:szCs w:val="32"/>
        </w:rPr>
        <w:t>扎实开展我省建筑领域节能宣传月活动，精心策划宣传月启动仪式，开设碳达峰专家论坛，组织现场观摩绿色建筑优秀项目，开展有奖竞猜、建筑节能与绿色建筑走进民众活动，举办建筑节能与绿色建筑优秀项目及先进技术成果展，向全省各级建筑节能与绿色建筑相关主管部门、有关单位、社会团体以及学校、社区等人员普及绿色建筑知识，厚植绿色低碳发展理念。省市宣传联动，各地宣传精彩纷呈。例如，广州发布了《广州市“十三五”绿色建筑发展报告》，深圳形成常态化宣传机制，指导出品《新营造》专业期刊近60期，惠州通过电台《午间说法》栏目普及绿色建筑法律，东莞启动了“绿色校园 同心共建”——“绿协杯”东莞市第六届绿色建筑设计比赛等，各种线上线下活动相结合，达到了广泛宣传效果。</w:t>
      </w:r>
    </w:p>
    <w:p>
      <w:pPr>
        <w:spacing w:line="600" w:lineRule="exact"/>
        <w:ind w:firstLine="643" w:firstLineChars="200"/>
        <w:rPr>
          <w:rFonts w:ascii="仿宋_GB2312" w:hAnsi="黑体" w:eastAsia="仿宋_GB2312" w:cs="Calibri"/>
          <w:sz w:val="32"/>
          <w:szCs w:val="32"/>
          <w:highlight w:val="yellow"/>
        </w:rPr>
      </w:pPr>
      <w:r>
        <w:rPr>
          <w:rFonts w:hint="eastAsia" w:ascii="仿宋_GB2312" w:hAnsi="黑体" w:eastAsia="仿宋_GB2312" w:cs="Calibri"/>
          <w:b/>
          <w:bCs/>
          <w:sz w:val="32"/>
          <w:szCs w:val="32"/>
        </w:rPr>
        <w:t>二是切实做好宣传培训和政策解读。</w:t>
      </w:r>
      <w:r>
        <w:rPr>
          <w:rFonts w:hint="eastAsia" w:ascii="仿宋_GB2312" w:hAnsi="黑体" w:eastAsia="仿宋_GB2312" w:cs="Calibri"/>
          <w:sz w:val="32"/>
          <w:szCs w:val="32"/>
        </w:rPr>
        <w:t>积极做好《广东省绿色建筑条例》普法及宣传,制作绿色建筑专题宣传片和普法长图，结合世界环境日做“绿色建筑，‘筑’力人与自然和谐”主题宣传。配合省人大、省政府编撰《广东省绿色建筑条例释义》，多次组织编制会议，召开审查会议通过条例释义。多形式、多渠道、多岗位开展培训，提升行业绿色低碳发展能力。借助住房和城乡建设部视频培训的优势，组织全省连线参加学习，扩大宣传面。依托“粤建大讲堂”对干部职工作建筑领域碳达峰碳中和专题辅导。开设专家论坛探讨碳达峰碳中和大背景下绿色建筑与建筑节能发展，指导推进碳达峰碳中和相关工作。开展《广东省绿色建筑条例》线上线下同步宣贯，结合我省绿色建筑创建行动方案，全面深入适时做好政策解读和业务培训。组织专业技术讲座培训，解读我省绿色建筑发展专项规划编制技术导则和碳排放计算导则。举办全省绿色建筑标识管理暨广东省绿色建筑信息平台应用视频培训班，详细解读绿色建筑标识管理政策并进行在线答疑，指导规范开展绿色建筑标识工作。</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（2）绿色循环发展与节能降耗专项资金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1</w:t>
      </w:r>
      <w:r>
        <w:rPr>
          <w:rFonts w:hint="eastAsia" w:ascii="仿宋_GB2312" w:eastAsia="仿宋_GB2312"/>
          <w:sz w:val="32"/>
          <w:szCs w:val="32"/>
        </w:rPr>
        <w:t>年省财政安排专项资金</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050.00</w:t>
      </w:r>
      <w:r>
        <w:rPr>
          <w:rFonts w:hint="eastAsia" w:ascii="仿宋_GB2312" w:eastAsia="仿宋_GB2312"/>
          <w:sz w:val="32"/>
          <w:szCs w:val="32"/>
        </w:rPr>
        <w:t>万元，已实际支出</w:t>
      </w:r>
      <w:r>
        <w:rPr>
          <w:rFonts w:ascii="仿宋_GB2312" w:eastAsia="仿宋_GB2312"/>
          <w:sz w:val="32"/>
          <w:szCs w:val="32"/>
        </w:rPr>
        <w:t>957.50</w:t>
      </w:r>
      <w:r>
        <w:rPr>
          <w:rFonts w:hint="eastAsia" w:ascii="仿宋_GB2312" w:eastAsia="仿宋_GB2312"/>
          <w:sz w:val="32"/>
          <w:szCs w:val="32"/>
        </w:rPr>
        <w:t>万元，资金支付率</w:t>
      </w:r>
      <w:r>
        <w:rPr>
          <w:rFonts w:ascii="仿宋_GB2312" w:eastAsia="仿宋_GB2312"/>
          <w:sz w:val="32"/>
          <w:szCs w:val="32"/>
        </w:rPr>
        <w:t>91.19</w:t>
      </w:r>
      <w:r>
        <w:rPr>
          <w:rFonts w:hint="eastAsia" w:ascii="仿宋_GB2312" w:eastAsia="仿宋_GB2312"/>
          <w:sz w:val="32"/>
          <w:szCs w:val="32"/>
        </w:rPr>
        <w:t>%，退还省财政资金92.5</w:t>
      </w:r>
      <w:r>
        <w:rPr>
          <w:rFonts w:ascii="仿宋_GB2312" w:eastAsia="仿宋_GB2312"/>
          <w:sz w:val="32"/>
          <w:szCs w:val="32"/>
        </w:rPr>
        <w:t>0</w:t>
      </w:r>
      <w:r>
        <w:rPr>
          <w:rFonts w:hint="eastAsia" w:ascii="仿宋_GB2312" w:eastAsia="仿宋_GB2312"/>
          <w:sz w:val="32"/>
          <w:szCs w:val="32"/>
        </w:rPr>
        <w:t>万元。通过专项资金的使用，202</w:t>
      </w:r>
      <w:r>
        <w:rPr>
          <w:rFonts w:ascii="仿宋_GB2312" w:eastAsia="仿宋_GB2312"/>
          <w:sz w:val="32"/>
          <w:szCs w:val="32"/>
        </w:rPr>
        <w:t>1</w:t>
      </w:r>
      <w:r>
        <w:rPr>
          <w:rFonts w:hint="eastAsia" w:ascii="仿宋_GB2312" w:eastAsia="仿宋_GB2312"/>
          <w:sz w:val="32"/>
          <w:szCs w:val="32"/>
        </w:rPr>
        <w:t>年的项目绩效目标基本完成，实现以下主要绩效：</w:t>
      </w:r>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1）重点发展运行标识绿色建筑项目，</w:t>
      </w:r>
      <w:r>
        <w:rPr>
          <w:rFonts w:hint="eastAsia" w:ascii="仿宋_GB2312" w:eastAsia="仿宋_GB2312"/>
          <w:b/>
          <w:bCs/>
          <w:sz w:val="32"/>
          <w:szCs w:val="32"/>
          <w:highlight w:val="none"/>
        </w:rPr>
        <w:t>营造</w:t>
      </w:r>
      <w:r>
        <w:rPr>
          <w:rFonts w:hint="eastAsia" w:ascii="仿宋_GB2312" w:eastAsia="仿宋_GB2312"/>
          <w:b/>
          <w:bCs/>
          <w:sz w:val="32"/>
          <w:szCs w:val="32"/>
        </w:rPr>
        <w:t>崇尚绿色生活的社会氛围</w:t>
      </w:r>
      <w:r>
        <w:rPr>
          <w:rFonts w:hint="eastAsia" w:ascii="仿宋_GB2312" w:hAnsi="仿宋_GB2312" w:eastAsia="仿宋_GB2312" w:cs="仿宋_GB2312"/>
          <w:b/>
          <w:bCs/>
          <w:kern w:val="0"/>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按照《住房和城乡建设部 国家发展改革委 教育部 工业和信息化部 人民银行 国管局 银保监会关于印发绿色建筑创建行动方案的通知》（建标〔2020〕65号）规定，绿色建筑指在全寿命期内节约资源、保护环境、减少污染，为人们提供健康、适用、高效的使用空间，最大限度实现人与自然和谐共生的高质量建筑。党中央、国务院高度重视绿色建筑和建筑节能推广工作，习近平总书记多次作出重要指示批示，李克强总理对此项工作也有明确部署，省委、省政府对这项工作也非常重视，《广东省绿色建筑条例》已于2021年1月1日正式实施。大力推广绿色建筑和节能降耗是贯彻和落实习近平生态文明思想和党的十九大精神的重要举措，是满足人民群众美好生活需要的具体抓手，对惠民生扩内需、促进经济高质量发展、在全社会形成崇尚绿色生活的社会氛围具有十分重要的意义。</w:t>
      </w:r>
    </w:p>
    <w:p>
      <w:pPr>
        <w:spacing w:line="600" w:lineRule="exact"/>
        <w:ind w:firstLine="640" w:firstLineChars="200"/>
        <w:rPr>
          <w:rFonts w:ascii="仿宋_GB2312" w:eastAsia="仿宋_GB2312"/>
          <w:color w:val="000000"/>
          <w:sz w:val="32"/>
        </w:rPr>
      </w:pPr>
      <w:r>
        <w:rPr>
          <w:rFonts w:hint="eastAsia" w:ascii="仿宋_GB2312" w:eastAsia="仿宋_GB2312"/>
          <w:sz w:val="32"/>
          <w:szCs w:val="32"/>
        </w:rPr>
        <w:t>目前我省取得设计标识的绿色建筑较多，但获得运行标识的绿色建筑项目比较少，</w:t>
      </w:r>
      <w:r>
        <w:rPr>
          <w:rFonts w:hint="eastAsia" w:ascii="仿宋_GB2312" w:hAnsi="仿宋_GB2312" w:eastAsia="仿宋_GB2312" w:cs="仿宋_GB2312"/>
          <w:kern w:val="0"/>
          <w:sz w:val="32"/>
          <w:szCs w:val="32"/>
        </w:rPr>
        <w:t>2</w:t>
      </w:r>
      <w:r>
        <w:rPr>
          <w:rFonts w:ascii="仿宋_GB2312" w:hAnsi="仿宋_GB2312" w:eastAsia="仿宋_GB2312" w:cs="仿宋_GB2312"/>
          <w:kern w:val="0"/>
          <w:sz w:val="32"/>
          <w:szCs w:val="32"/>
        </w:rPr>
        <w:t>021</w:t>
      </w:r>
      <w:r>
        <w:rPr>
          <w:rFonts w:hint="eastAsia" w:ascii="仿宋_GB2312" w:hAnsi="仿宋_GB2312" w:eastAsia="仿宋_GB2312" w:cs="仿宋_GB2312"/>
          <w:kern w:val="0"/>
          <w:sz w:val="32"/>
          <w:szCs w:val="32"/>
        </w:rPr>
        <w:t>年在惠州、东莞、中山、江门、肇庆等城市共建成7个取得一星级及以上运行标识的绿色建筑项目，在推广绿色建筑和节能降耗、营造崇尚绿色生活的社会氛围方面取得新的成果。</w:t>
      </w:r>
    </w:p>
    <w:p>
      <w:pPr>
        <w:spacing w:line="600" w:lineRule="exact"/>
        <w:ind w:firstLine="640" w:firstLineChars="200"/>
        <w:rPr>
          <w:rFonts w:ascii="仿宋_GB2312" w:eastAsia="仿宋_GB2312"/>
          <w:color w:val="000000"/>
          <w:sz w:val="32"/>
        </w:rPr>
      </w:pPr>
      <w:r>
        <w:rPr>
          <w:rFonts w:hint="eastAsia" w:ascii="仿宋_GB2312" w:eastAsia="仿宋_GB2312"/>
          <w:color w:val="000000"/>
          <w:sz w:val="32"/>
        </w:rPr>
        <w:t>2）兼顾可再生能源应用和既有建筑节能改造，推动绿色循环低碳发展。</w:t>
      </w:r>
    </w:p>
    <w:p>
      <w:pPr>
        <w:spacing w:line="600" w:lineRule="exact"/>
        <w:ind w:firstLine="640" w:firstLineChars="200"/>
        <w:rPr>
          <w:rFonts w:ascii="仿宋_GB2312" w:hAnsi="仿宋_GB2312" w:eastAsia="仿宋_GB2312" w:cs="仿宋_GB2312"/>
          <w:kern w:val="0"/>
          <w:sz w:val="32"/>
          <w:szCs w:val="32"/>
          <w:highlight w:val="yellow"/>
        </w:rPr>
      </w:pPr>
      <w:r>
        <w:rPr>
          <w:rFonts w:hint="eastAsia" w:ascii="仿宋_GB2312" w:eastAsia="仿宋_GB2312"/>
          <w:sz w:val="32"/>
          <w:szCs w:val="32"/>
        </w:rPr>
        <w:t>《国务院关于印发“十三五”节能减排综合工作方案的通知》（国发〔2016〕74号）要求：加大对节能减排工作的资金支持力度，统筹安排相关专项资金，支持节能减排重点工程、能力建设和公益宣传。创新财政资金支持节能减排重点工程、项目的方式，发挥财政资金的杠杆作用。</w:t>
      </w:r>
      <w:r>
        <w:rPr>
          <w:rFonts w:hint="eastAsia" w:ascii="仿宋_GB2312" w:hAnsi="仿宋_GB2312" w:eastAsia="仿宋_GB2312" w:cs="仿宋_GB2312"/>
          <w:kern w:val="0"/>
          <w:sz w:val="32"/>
          <w:szCs w:val="32"/>
        </w:rPr>
        <w:t>通过省级补助资金支持绿色建筑和建筑节能示范项目建设，有利于强化引领示范作用，促进全省范围发展绿色建筑，提升建筑节能水平，有利于贯彻落实党中央、国务院决策部署和省委、省政府具体要求，是满足人民群众美好生活需要的具体抓手，对惠民生扩内需、促进经济高质量发展、在全社会形成崇尚绿色生活的社会氛围具有十分重要的意义。据统计，本年度全省新增节能建筑面积超过2亿</w:t>
      </w:r>
      <w:r>
        <w:rPr>
          <w:rFonts w:hint="eastAsia" w:ascii="Segoe UI Symbol" w:hAnsi="Segoe UI Symbol" w:eastAsia="Segoe UI Symbol" w:cs="Segoe UI Symbol"/>
          <w:kern w:val="0"/>
          <w:sz w:val="32"/>
          <w:szCs w:val="32"/>
        </w:rPr>
        <w:t>㎡</w:t>
      </w:r>
      <w:r>
        <w:rPr>
          <w:rFonts w:hint="eastAsia" w:ascii="仿宋_GB2312" w:hAnsi="仿宋_GB2312" w:eastAsia="仿宋_GB2312" w:cs="仿宋_GB2312"/>
          <w:kern w:val="0"/>
          <w:sz w:val="32"/>
          <w:szCs w:val="32"/>
        </w:rPr>
        <w:t>、新增绿色建筑面积超过1亿</w:t>
      </w:r>
      <w:r>
        <w:rPr>
          <w:rFonts w:hint="eastAsia" w:ascii="Segoe UI Symbol" w:hAnsi="Segoe UI Symbol" w:eastAsia="Segoe UI Symbol" w:cs="Segoe UI Symbol"/>
          <w:kern w:val="0"/>
          <w:sz w:val="32"/>
          <w:szCs w:val="32"/>
        </w:rPr>
        <w:t>㎡</w:t>
      </w:r>
      <w:r>
        <w:rPr>
          <w:rFonts w:hint="eastAsia" w:ascii="仿宋_GB2312" w:hAnsi="仿宋_GB2312" w:eastAsia="仿宋_GB2312" w:cs="仿宋_GB2312"/>
          <w:kern w:val="0"/>
          <w:sz w:val="32"/>
          <w:szCs w:val="32"/>
        </w:rPr>
        <w:t>，新增节能建筑的节能能力超过180万吨标准煤。</w:t>
      </w:r>
    </w:p>
    <w:p>
      <w:pPr>
        <w:pStyle w:val="12"/>
        <w:numPr>
          <w:ilvl w:val="0"/>
          <w:numId w:val="2"/>
        </w:numPr>
        <w:spacing w:line="600" w:lineRule="exact"/>
        <w:ind w:left="0" w:firstLine="200" w:firstLineChars="0"/>
        <w:outlineLvl w:val="1"/>
        <w:rPr>
          <w:rFonts w:ascii="楷体_GB2312" w:eastAsia="楷体_GB2312"/>
          <w:b/>
          <w:sz w:val="32"/>
          <w:szCs w:val="32"/>
        </w:rPr>
      </w:pPr>
      <w:r>
        <w:rPr>
          <w:rFonts w:hint="eastAsia" w:ascii="楷体_GB2312" w:eastAsia="楷体_GB2312"/>
          <w:b/>
          <w:sz w:val="32"/>
          <w:szCs w:val="32"/>
        </w:rPr>
        <w:t>专项资金使用绩效存在的问题</w:t>
      </w:r>
    </w:p>
    <w:p>
      <w:pPr>
        <w:spacing w:line="600" w:lineRule="exact"/>
        <w:ind w:firstLine="643" w:firstLineChars="200"/>
        <w:rPr>
          <w:rFonts w:ascii="仿宋_GB2312" w:hAnsi="黑体" w:eastAsia="仿宋_GB2312" w:cs="Calibri"/>
          <w:b/>
          <w:bCs/>
          <w:sz w:val="32"/>
          <w:szCs w:val="32"/>
        </w:rPr>
      </w:pPr>
      <w:r>
        <w:rPr>
          <w:rFonts w:hint="eastAsia" w:ascii="仿宋_GB2312" w:hAnsi="黑体" w:eastAsia="仿宋_GB2312" w:cs="Calibri"/>
          <w:b/>
          <w:bCs/>
          <w:sz w:val="32"/>
          <w:szCs w:val="32"/>
        </w:rPr>
        <w:t>1、个别考核指标与绩效目标之间直接相关性不强。</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在打好污染防治攻坚战-</w:t>
      </w:r>
      <w:r>
        <w:rPr>
          <w:rFonts w:hint="eastAsia" w:ascii="仿宋_GB2312" w:hAnsi="黑体" w:eastAsia="仿宋_GB2312" w:cs="Calibri"/>
          <w:sz w:val="32"/>
          <w:szCs w:val="32"/>
          <w:lang w:eastAsia="zh-CN"/>
        </w:rPr>
        <w:t>环境监管能力建设</w:t>
      </w:r>
      <w:r>
        <w:rPr>
          <w:rFonts w:hint="eastAsia" w:ascii="仿宋_GB2312" w:hAnsi="黑体" w:eastAsia="仿宋_GB2312" w:cs="Calibri"/>
          <w:sz w:val="32"/>
          <w:szCs w:val="32"/>
        </w:rPr>
        <w:t>项目中，绩效目标申报表中，效益三级考核指标为“建筑运营期节能能力”，考核目标值为“新增节能建筑的节能能力超过180万吨标准煤”。而从项目的实施内容和绩效目标来看，项目实施的内容主要为广东省绿色建筑性能等级评价和省级绿色建筑相关技术研究和标准制订，这与新增节能建筑的节能能力的数量没有直接关联。</w:t>
      </w:r>
    </w:p>
    <w:p>
      <w:pPr>
        <w:spacing w:line="600" w:lineRule="exact"/>
        <w:ind w:firstLine="643" w:firstLineChars="200"/>
        <w:rPr>
          <w:rFonts w:ascii="仿宋_GB2312" w:hAnsi="黑体" w:eastAsia="仿宋_GB2312" w:cs="Calibri"/>
          <w:b/>
          <w:bCs/>
          <w:sz w:val="32"/>
          <w:szCs w:val="32"/>
        </w:rPr>
      </w:pPr>
      <w:r>
        <w:rPr>
          <w:rFonts w:hint="eastAsia" w:ascii="仿宋_GB2312" w:hAnsi="黑体" w:eastAsia="仿宋_GB2312" w:cs="Calibri"/>
          <w:b/>
          <w:bCs/>
          <w:sz w:val="32"/>
          <w:szCs w:val="32"/>
        </w:rPr>
        <w:t>2、个别项目资金预算编制欠科学。</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我厅在个别项目的财政专项资金预算编制、使用计划以及资金分配方面存在一定的瑕疵，未能完全科学的按照项目的实际情况编制预算以及分配项目资金。例如绿色循环发展与节能降耗专项资金项目中，江门市预算资金分配为1</w:t>
      </w:r>
      <w:r>
        <w:rPr>
          <w:rFonts w:ascii="仿宋_GB2312" w:hAnsi="黑体" w:eastAsia="仿宋_GB2312" w:cs="Calibri"/>
          <w:sz w:val="32"/>
          <w:szCs w:val="32"/>
        </w:rPr>
        <w:t>50</w:t>
      </w:r>
      <w:r>
        <w:rPr>
          <w:rFonts w:hint="eastAsia" w:ascii="仿宋_GB2312" w:hAnsi="黑体" w:eastAsia="仿宋_GB2312" w:cs="Calibri"/>
          <w:sz w:val="32"/>
          <w:szCs w:val="32"/>
        </w:rPr>
        <w:t>万元，而江门市新会万达广场项目实际支付金额为57.50万元，剩余92.50万元已退回省</w:t>
      </w:r>
      <w:r>
        <w:rPr>
          <w:rFonts w:hint="eastAsia" w:ascii="仿宋_GB2312" w:hAnsi="黑体" w:eastAsia="仿宋_GB2312" w:cs="Calibri"/>
          <w:sz w:val="32"/>
          <w:szCs w:val="32"/>
          <w:lang w:val="en-US" w:eastAsia="zh-CN"/>
        </w:rPr>
        <w:t>财政</w:t>
      </w:r>
      <w:r>
        <w:rPr>
          <w:rFonts w:hint="eastAsia" w:ascii="仿宋_GB2312" w:hAnsi="黑体" w:eastAsia="仿宋_GB2312" w:cs="Calibri"/>
          <w:sz w:val="32"/>
          <w:szCs w:val="32"/>
        </w:rPr>
        <w:t>厅统筹，相对于预算金额150.00万元，项目预算资金支出率为38.33%，该项目的预算资金支出率偏低。</w:t>
      </w:r>
    </w:p>
    <w:p>
      <w:pPr>
        <w:spacing w:line="600" w:lineRule="exact"/>
        <w:ind w:firstLine="643" w:firstLineChars="200"/>
        <w:rPr>
          <w:rFonts w:ascii="仿宋_GB2312" w:hAnsi="黑体" w:eastAsia="仿宋_GB2312" w:cs="Calibri"/>
          <w:b/>
          <w:bCs/>
          <w:sz w:val="32"/>
          <w:szCs w:val="32"/>
        </w:rPr>
      </w:pPr>
      <w:r>
        <w:rPr>
          <w:rFonts w:ascii="仿宋_GB2312" w:hAnsi="黑体" w:eastAsia="仿宋_GB2312" w:cs="Calibri"/>
          <w:b/>
          <w:bCs/>
          <w:sz w:val="32"/>
          <w:szCs w:val="32"/>
        </w:rPr>
        <w:t>3</w:t>
      </w:r>
      <w:r>
        <w:rPr>
          <w:rFonts w:hint="eastAsia" w:ascii="仿宋_GB2312" w:hAnsi="黑体" w:eastAsia="仿宋_GB2312" w:cs="Calibri"/>
          <w:b/>
          <w:bCs/>
          <w:sz w:val="32"/>
          <w:szCs w:val="32"/>
        </w:rPr>
        <w:t>、绿色建筑的体验感仍有待加强。</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绿色建筑的发展逐步由评价制度转向建设全过程管控，但绿色建筑重设计轻运行、重新建轻改造、重技术轻体验的现象仍较为普遍，高品质绿色建筑仍然较少，区域发展仍不平衡，珠三角和粤东西北地区、城镇和农村发展差距较大，人民对绿色建筑的获得感仍有待加强。</w:t>
      </w:r>
    </w:p>
    <w:p>
      <w:pPr>
        <w:spacing w:line="600" w:lineRule="exact"/>
        <w:ind w:firstLine="643" w:firstLineChars="200"/>
        <w:rPr>
          <w:rFonts w:ascii="仿宋_GB2312" w:hAnsi="黑体" w:eastAsia="仿宋_GB2312" w:cs="Calibri"/>
          <w:b/>
          <w:bCs/>
          <w:sz w:val="32"/>
          <w:szCs w:val="32"/>
        </w:rPr>
      </w:pPr>
      <w:r>
        <w:rPr>
          <w:rFonts w:ascii="仿宋_GB2312" w:hAnsi="黑体" w:eastAsia="仿宋_GB2312" w:cs="Calibri"/>
          <w:b/>
          <w:bCs/>
          <w:sz w:val="32"/>
          <w:szCs w:val="32"/>
        </w:rPr>
        <w:t>4</w:t>
      </w:r>
      <w:r>
        <w:rPr>
          <w:rFonts w:hint="eastAsia" w:ascii="仿宋_GB2312" w:hAnsi="黑体" w:eastAsia="仿宋_GB2312" w:cs="Calibri"/>
          <w:b/>
          <w:bCs/>
          <w:sz w:val="32"/>
          <w:szCs w:val="32"/>
        </w:rPr>
        <w:t>、既有建筑的运行管理缺乏有效抓手。</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既有建筑存量大，部分建筑能效水平低，随着人民生活水平的提高，建筑运行阶段能耗进一步提升，大范围开展既有建筑节能改造非常有必要。当前节能改造资金来源单一，财政支持力度有限，采用合同能源管理方式进行节能改造的市场化机制尚不完善，在技术路线和实施路线上都有一定的挑战，总体推进缓慢，公共建筑执行公共建筑能耗限额仍缺乏基础研究和合力机制。</w:t>
      </w:r>
    </w:p>
    <w:p>
      <w:pPr>
        <w:spacing w:line="600" w:lineRule="exact"/>
        <w:ind w:firstLine="640" w:firstLineChars="200"/>
        <w:outlineLvl w:val="0"/>
        <w:rPr>
          <w:rFonts w:ascii="黑体" w:hAnsi="黑体" w:eastAsia="黑体" w:cs="Calibri"/>
          <w:sz w:val="32"/>
          <w:szCs w:val="32"/>
        </w:rPr>
      </w:pPr>
      <w:r>
        <w:rPr>
          <w:rFonts w:hint="eastAsia" w:ascii="黑体" w:hAnsi="黑体" w:eastAsia="黑体" w:cs="Calibri"/>
          <w:sz w:val="32"/>
          <w:szCs w:val="32"/>
        </w:rPr>
        <w:t>三、改进意见</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为改善和提高资金绩效管理水平，更好的发挥财政资金使用绩效，我厅针对本次自评过程中发现的问题，提出以下改进措施：</w:t>
      </w:r>
    </w:p>
    <w:p>
      <w:pPr>
        <w:spacing w:line="600" w:lineRule="exact"/>
        <w:ind w:firstLine="643" w:firstLineChars="200"/>
        <w:outlineLvl w:val="1"/>
        <w:rPr>
          <w:rFonts w:ascii="仿宋_GB2312" w:eastAsia="仿宋_GB2312"/>
          <w:b/>
          <w:sz w:val="32"/>
          <w:szCs w:val="32"/>
        </w:rPr>
      </w:pPr>
      <w:bookmarkStart w:id="0" w:name="_Toc12794511"/>
      <w:bookmarkStart w:id="1" w:name="_Toc8272"/>
      <w:bookmarkStart w:id="2" w:name="_Toc2682"/>
      <w:bookmarkStart w:id="3" w:name="_Toc19989"/>
      <w:bookmarkStart w:id="4" w:name="_Toc12785807"/>
      <w:bookmarkStart w:id="5" w:name="_Toc12793553"/>
      <w:bookmarkStart w:id="6" w:name="_Toc31255"/>
      <w:bookmarkStart w:id="7" w:name="_Hlk18048480"/>
      <w:bookmarkStart w:id="8" w:name="_Toc12793552"/>
      <w:bookmarkStart w:id="9" w:name="_Toc21700"/>
      <w:bookmarkStart w:id="10" w:name="_Toc12794510"/>
      <w:bookmarkStart w:id="11" w:name="_Toc12785806"/>
      <w:bookmarkStart w:id="12" w:name="_Toc17034"/>
      <w:bookmarkStart w:id="13" w:name="_Toc24662"/>
      <w:bookmarkStart w:id="14" w:name="_Toc19045"/>
      <w:bookmarkStart w:id="15" w:name="_Toc14332"/>
      <w:r>
        <w:rPr>
          <w:rFonts w:hint="eastAsia" w:ascii="仿宋_GB2312" w:eastAsia="仿宋_GB2312"/>
          <w:b/>
          <w:sz w:val="32"/>
          <w:szCs w:val="32"/>
        </w:rPr>
        <w:t>（一）</w:t>
      </w:r>
      <w:bookmarkEnd w:id="0"/>
      <w:bookmarkEnd w:id="1"/>
      <w:bookmarkEnd w:id="2"/>
      <w:bookmarkEnd w:id="3"/>
      <w:bookmarkEnd w:id="4"/>
      <w:bookmarkEnd w:id="5"/>
      <w:bookmarkEnd w:id="6"/>
      <w:r>
        <w:rPr>
          <w:rFonts w:hint="eastAsia" w:ascii="仿宋_GB2312" w:eastAsia="仿宋_GB2312"/>
          <w:b/>
          <w:sz w:val="32"/>
          <w:szCs w:val="32"/>
        </w:rPr>
        <w:t>优化绩效目标设定，使得目标更加科学、合理。</w:t>
      </w:r>
    </w:p>
    <w:bookmarkEnd w:id="7"/>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bCs/>
          <w:sz w:val="32"/>
        </w:rPr>
        <w:t>我厅应紧扣项目支出设定相关指标，充分体现项目主要支出内容。目标设置需充分体现支出内容及项目属性特点，作为经常性项目支出</w:t>
      </w:r>
      <w:r>
        <w:rPr>
          <w:rFonts w:hint="eastAsia" w:ascii="仿宋_GB2312" w:hAnsi="仿宋_GB2312" w:eastAsia="仿宋_GB2312" w:cs="仿宋_GB2312"/>
          <w:sz w:val="32"/>
        </w:rPr>
        <w:t>，可增加规范（或标准）完成制定数量，检查指导次数，编写相关研究报告数量，成果审查（或验收）一次性通过率等产出指标。</w:t>
      </w:r>
    </w:p>
    <w:p>
      <w:pPr>
        <w:spacing w:line="600" w:lineRule="exact"/>
        <w:ind w:firstLine="643" w:firstLineChars="200"/>
        <w:outlineLvl w:val="1"/>
        <w:rPr>
          <w:rFonts w:ascii="仿宋_GB2312" w:eastAsia="仿宋_GB2312" w:hAnsiTheme="minorHAnsi" w:cstheme="minorBidi"/>
          <w:b/>
          <w:sz w:val="32"/>
          <w:szCs w:val="32"/>
        </w:rPr>
      </w:pPr>
      <w:r>
        <w:rPr>
          <w:rFonts w:hint="eastAsia" w:ascii="仿宋_GB2312" w:eastAsia="仿宋_GB2312" w:hAnsiTheme="minorHAnsi" w:cstheme="minorBidi"/>
          <w:b/>
          <w:sz w:val="32"/>
          <w:szCs w:val="32"/>
        </w:rPr>
        <w:t>（二）</w:t>
      </w:r>
      <w:r>
        <w:rPr>
          <w:rFonts w:hint="eastAsia" w:ascii="仿宋_GB2312" w:eastAsia="仿宋_GB2312"/>
          <w:b/>
          <w:sz w:val="32"/>
          <w:szCs w:val="32"/>
        </w:rPr>
        <w:t>科学编制</w:t>
      </w:r>
      <w:r>
        <w:rPr>
          <w:rFonts w:hint="eastAsia" w:ascii="仿宋_GB2312" w:eastAsia="仿宋_GB2312" w:hAnsiTheme="minorHAnsi" w:cstheme="minorBidi"/>
          <w:b/>
          <w:sz w:val="32"/>
          <w:szCs w:val="32"/>
        </w:rPr>
        <w:t>项目支出年初预算，</w:t>
      </w:r>
      <w:r>
        <w:rPr>
          <w:rFonts w:hint="eastAsia" w:ascii="仿宋_GB2312" w:eastAsia="仿宋_GB2312"/>
          <w:b/>
          <w:sz w:val="32"/>
          <w:szCs w:val="32"/>
        </w:rPr>
        <w:t>提升项目</w:t>
      </w:r>
      <w:r>
        <w:rPr>
          <w:rFonts w:hint="eastAsia" w:ascii="仿宋_GB2312" w:eastAsia="仿宋_GB2312" w:hAnsiTheme="minorHAnsi" w:cstheme="minorBidi"/>
          <w:b/>
          <w:sz w:val="32"/>
          <w:szCs w:val="32"/>
        </w:rPr>
        <w:t>预算</w:t>
      </w:r>
      <w:r>
        <w:rPr>
          <w:rFonts w:hint="eastAsia" w:ascii="仿宋_GB2312" w:eastAsia="仿宋_GB2312"/>
          <w:b/>
          <w:sz w:val="32"/>
          <w:szCs w:val="32"/>
        </w:rPr>
        <w:t>编制准确性</w:t>
      </w:r>
      <w:r>
        <w:rPr>
          <w:rFonts w:hint="eastAsia" w:ascii="仿宋_GB2312" w:eastAsia="仿宋_GB2312" w:hAnsiTheme="minorHAnsi" w:cstheme="minorBidi"/>
          <w:b/>
          <w:sz w:val="32"/>
          <w:szCs w:val="32"/>
        </w:rPr>
        <w:t>。</w:t>
      </w:r>
    </w:p>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我厅应强化预算编制管理，按照省级财政专项资金管理办法的要求，更加合理地分配和使用专项资金。进一步做细、做实、做准项目预算，使得项目预算编制更加科学和精准，促进预算编制的精细化水平，提升项目支出预算的准确性，强化预算约束。</w:t>
      </w:r>
    </w:p>
    <w:bookmarkEnd w:id="8"/>
    <w:bookmarkEnd w:id="9"/>
    <w:bookmarkEnd w:id="10"/>
    <w:bookmarkEnd w:id="11"/>
    <w:bookmarkEnd w:id="12"/>
    <w:bookmarkEnd w:id="13"/>
    <w:bookmarkEnd w:id="14"/>
    <w:bookmarkEnd w:id="15"/>
    <w:p>
      <w:pPr>
        <w:spacing w:line="600" w:lineRule="exact"/>
        <w:ind w:firstLine="643" w:firstLineChars="200"/>
        <w:outlineLvl w:val="1"/>
        <w:rPr>
          <w:rFonts w:ascii="仿宋_GB2312" w:eastAsia="仿宋_GB2312"/>
          <w:b/>
          <w:sz w:val="32"/>
          <w:szCs w:val="32"/>
        </w:rPr>
      </w:pPr>
      <w:r>
        <w:rPr>
          <w:rFonts w:hint="eastAsia" w:ascii="仿宋_GB2312" w:eastAsia="仿宋_GB2312"/>
          <w:b/>
          <w:sz w:val="32"/>
          <w:szCs w:val="32"/>
        </w:rPr>
        <w:t>（三）按照顶层设计，加快推进城乡建设领域绿色发展和碳达峰行动。</w:t>
      </w:r>
    </w:p>
    <w:p>
      <w:pPr>
        <w:spacing w:line="600" w:lineRule="exact"/>
        <w:ind w:left="0" w:firstLine="640" w:firstLineChars="200"/>
        <w:rPr>
          <w:rFonts w:ascii="仿宋_GB2312" w:hAnsi="仿宋_GB2312" w:eastAsia="仿宋_GB2312" w:cs="仿宋_GB2312"/>
          <w:sz w:val="32"/>
        </w:rPr>
      </w:pPr>
      <w:r>
        <w:rPr>
          <w:rFonts w:hint="eastAsia" w:ascii="仿宋_GB2312" w:hAnsi="仿宋_GB2312" w:eastAsia="仿宋_GB2312" w:cs="仿宋_GB2312"/>
          <w:sz w:val="32"/>
        </w:rPr>
        <w:t>推进我省城乡建设领域绿色发展和碳达峰行动实施两个方案出台和相关配套文件制订，结合广东实际细化国家各项任务要求，确定发力重点，建立工作机制，研究提出相关产业、财政、技术创新和改造等政策措施。聚焦公共建筑能耗限额执行、既有建筑节能绿色化改造、超低能耗和近零能耗建筑建设、建筑纳入碳排放交易等重点，支持基础较好的地方探索试点示范发力，通过试点探索总结出可复制可推广的经验。</w:t>
      </w:r>
    </w:p>
    <w:p>
      <w:pPr>
        <w:spacing w:line="600" w:lineRule="exact"/>
        <w:ind w:firstLine="643" w:firstLineChars="200"/>
        <w:outlineLvl w:val="1"/>
        <w:rPr>
          <w:rFonts w:ascii="仿宋_GB2312" w:eastAsia="仿宋_GB2312"/>
          <w:b/>
          <w:sz w:val="32"/>
          <w:szCs w:val="32"/>
        </w:rPr>
      </w:pPr>
      <w:r>
        <w:rPr>
          <w:rFonts w:hint="eastAsia" w:ascii="仿宋_GB2312" w:eastAsia="仿宋_GB2312"/>
          <w:b/>
          <w:sz w:val="32"/>
          <w:szCs w:val="32"/>
        </w:rPr>
        <w:t>（四）坚持立足长远，扎实开展好绿色建筑创建行动。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持续扎实开展绿色建筑创建行动，建立绿色建筑常态化发展机制。贯彻执行《广东省绿色建筑条例》，建立绿色建筑全寿命期标准体系，进一步加强设计、施工图审查、施工、质量检测、验收等建设过程全流程管控，推进绿色建筑等级等重要信息及时向社会公开。加强绿色建筑运行管理，推行公共建筑能耗限额管理。建立绿色建筑用户评价和反馈机制，进一步改革完善绿色建筑认定管理机制。以提高绿色建筑性能品质和空间环境质量为目标，提高绿色建筑建设和管理水平，实现绿色建筑的普及化，推动绿色建筑由规模化发展迈向品质化发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另外，考虑不同建筑类型的建筑特点和运行业态差异较大，需区分建筑类型确定能耗限额基准线，推动各主管部门和行业协会及燃气、电力公司等能源公司构建建筑能耗数据库。</w:t>
      </w:r>
    </w:p>
    <w:p>
      <w:pPr>
        <w:spacing w:line="600" w:lineRule="exact"/>
        <w:ind w:firstLine="640" w:firstLineChars="200"/>
        <w:rPr>
          <w:rFonts w:ascii="仿宋_GB2312" w:eastAsia="仿宋_GB2312"/>
          <w:sz w:val="32"/>
          <w:szCs w:val="32"/>
        </w:rPr>
      </w:pPr>
    </w:p>
    <w:p>
      <w:pPr>
        <w:spacing w:line="600" w:lineRule="exact"/>
        <w:ind w:firstLine="643" w:firstLineChars="200"/>
        <w:jc w:val="left"/>
        <w:outlineLvl w:val="0"/>
        <w:rPr>
          <w:rFonts w:ascii="仿宋_GB2312" w:eastAsia="仿宋_GB2312"/>
          <w:b/>
          <w:sz w:val="32"/>
          <w:szCs w:val="32"/>
        </w:rPr>
      </w:pPr>
      <w:r>
        <w:rPr>
          <w:rFonts w:hint="eastAsia" w:ascii="仿宋_GB2312" w:eastAsia="仿宋_GB2312"/>
          <w:b/>
          <w:sz w:val="32"/>
          <w:szCs w:val="32"/>
        </w:rPr>
        <w:t>附件：</w:t>
      </w:r>
    </w:p>
    <w:p>
      <w:pPr>
        <w:spacing w:line="600" w:lineRule="exact"/>
        <w:ind w:firstLine="640" w:firstLineChars="20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《广东省财政厅关于提前下达2021年省住房城乡建设厅主管专项资金的通知》（粤财建〔2020〕86号）</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《广东省住房和城乡建设厅关于下达2021年绿色循环发展与节能降耗资金任务清单的通知》</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《关于切实加快2021年部门预算资金与2020年结转资金预算执行的通知》</w:t>
      </w:r>
    </w:p>
    <w:p>
      <w:pPr>
        <w:spacing w:line="600" w:lineRule="exact"/>
        <w:ind w:firstLine="640" w:firstLineChars="200"/>
        <w:jc w:val="left"/>
        <w:rPr>
          <w:rFonts w:ascii="仿宋_GB2312" w:eastAsia="仿宋_GB2312"/>
          <w:sz w:val="32"/>
          <w:szCs w:val="32"/>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 w:name="Arial Narrow">
    <w:altName w:val="Arial"/>
    <w:panose1 w:val="020B0606020202030204"/>
    <w:charset w:val="00"/>
    <w:family w:val="swiss"/>
    <w:pitch w:val="default"/>
    <w:sig w:usb0="00000000" w:usb1="00000000" w:usb2="00000000" w:usb3="00000000" w:csb0="0000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197AD4"/>
    <w:multiLevelType w:val="multilevel"/>
    <w:tmpl w:val="28197AD4"/>
    <w:lvl w:ilvl="0" w:tentative="0">
      <w:start w:val="1"/>
      <w:numFmt w:val="chineseCountingThousand"/>
      <w:suff w:val="nothing"/>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64B71849"/>
    <w:multiLevelType w:val="multilevel"/>
    <w:tmpl w:val="64B71849"/>
    <w:lvl w:ilvl="0" w:tentative="0">
      <w:start w:val="1"/>
      <w:numFmt w:val="chineseCountingThousand"/>
      <w:suff w:val="nothing"/>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xNjY1YWU0Y2M4ZDU0NmZmMGY0ZDRhZTU4ZmUyNmEifQ=="/>
  </w:docVars>
  <w:rsids>
    <w:rsidRoot w:val="006A66C7"/>
    <w:rsid w:val="00000021"/>
    <w:rsid w:val="000016CF"/>
    <w:rsid w:val="000061A5"/>
    <w:rsid w:val="000131EF"/>
    <w:rsid w:val="000168E4"/>
    <w:rsid w:val="00020E6D"/>
    <w:rsid w:val="00026140"/>
    <w:rsid w:val="000372D4"/>
    <w:rsid w:val="00037301"/>
    <w:rsid w:val="0003739B"/>
    <w:rsid w:val="00041339"/>
    <w:rsid w:val="00043075"/>
    <w:rsid w:val="0004625C"/>
    <w:rsid w:val="0005548B"/>
    <w:rsid w:val="00055E9C"/>
    <w:rsid w:val="00064154"/>
    <w:rsid w:val="00071D7D"/>
    <w:rsid w:val="00072D82"/>
    <w:rsid w:val="000754BC"/>
    <w:rsid w:val="000812AA"/>
    <w:rsid w:val="000821BA"/>
    <w:rsid w:val="00083D33"/>
    <w:rsid w:val="00087A32"/>
    <w:rsid w:val="00090331"/>
    <w:rsid w:val="00092ACE"/>
    <w:rsid w:val="00097B37"/>
    <w:rsid w:val="000A0344"/>
    <w:rsid w:val="000A25EE"/>
    <w:rsid w:val="000A5D58"/>
    <w:rsid w:val="000A7682"/>
    <w:rsid w:val="000B4925"/>
    <w:rsid w:val="000B58C6"/>
    <w:rsid w:val="000B7B7F"/>
    <w:rsid w:val="000C05C8"/>
    <w:rsid w:val="000C0BE0"/>
    <w:rsid w:val="000C1646"/>
    <w:rsid w:val="000D0872"/>
    <w:rsid w:val="000D4201"/>
    <w:rsid w:val="000D647F"/>
    <w:rsid w:val="000F17B0"/>
    <w:rsid w:val="000F2EFE"/>
    <w:rsid w:val="000F6C71"/>
    <w:rsid w:val="00104CD8"/>
    <w:rsid w:val="00104FB6"/>
    <w:rsid w:val="0010640F"/>
    <w:rsid w:val="00107AA4"/>
    <w:rsid w:val="00110437"/>
    <w:rsid w:val="00111FF9"/>
    <w:rsid w:val="00112B7A"/>
    <w:rsid w:val="00117E98"/>
    <w:rsid w:val="00122C3D"/>
    <w:rsid w:val="001232E3"/>
    <w:rsid w:val="001368E3"/>
    <w:rsid w:val="001375B3"/>
    <w:rsid w:val="00137F7B"/>
    <w:rsid w:val="00144813"/>
    <w:rsid w:val="001452A3"/>
    <w:rsid w:val="00145B3F"/>
    <w:rsid w:val="001467DF"/>
    <w:rsid w:val="00157D54"/>
    <w:rsid w:val="00160410"/>
    <w:rsid w:val="00161504"/>
    <w:rsid w:val="00161FC2"/>
    <w:rsid w:val="00176511"/>
    <w:rsid w:val="00181FD3"/>
    <w:rsid w:val="00182C6D"/>
    <w:rsid w:val="00187B93"/>
    <w:rsid w:val="00190F85"/>
    <w:rsid w:val="001912C9"/>
    <w:rsid w:val="00192558"/>
    <w:rsid w:val="00192ABC"/>
    <w:rsid w:val="00195852"/>
    <w:rsid w:val="001A22DA"/>
    <w:rsid w:val="001A6AE7"/>
    <w:rsid w:val="001A7616"/>
    <w:rsid w:val="001B00FB"/>
    <w:rsid w:val="001B2B0F"/>
    <w:rsid w:val="001B70DA"/>
    <w:rsid w:val="001C3B3A"/>
    <w:rsid w:val="001D1544"/>
    <w:rsid w:val="001D1E08"/>
    <w:rsid w:val="001D5E44"/>
    <w:rsid w:val="001E0312"/>
    <w:rsid w:val="001E0E5B"/>
    <w:rsid w:val="001E50D2"/>
    <w:rsid w:val="001E7200"/>
    <w:rsid w:val="001F66A3"/>
    <w:rsid w:val="001F7A1E"/>
    <w:rsid w:val="002004A8"/>
    <w:rsid w:val="002062D5"/>
    <w:rsid w:val="00211F3D"/>
    <w:rsid w:val="0021400C"/>
    <w:rsid w:val="00221372"/>
    <w:rsid w:val="00223302"/>
    <w:rsid w:val="00225B94"/>
    <w:rsid w:val="00230815"/>
    <w:rsid w:val="00233219"/>
    <w:rsid w:val="00235F9C"/>
    <w:rsid w:val="002400EE"/>
    <w:rsid w:val="0024222B"/>
    <w:rsid w:val="00243B8B"/>
    <w:rsid w:val="002456FC"/>
    <w:rsid w:val="0024727E"/>
    <w:rsid w:val="00254AFD"/>
    <w:rsid w:val="00255812"/>
    <w:rsid w:val="0026237C"/>
    <w:rsid w:val="002630E4"/>
    <w:rsid w:val="00264D6C"/>
    <w:rsid w:val="00267F44"/>
    <w:rsid w:val="00270EB6"/>
    <w:rsid w:val="0027617F"/>
    <w:rsid w:val="00280442"/>
    <w:rsid w:val="00280510"/>
    <w:rsid w:val="00280AB8"/>
    <w:rsid w:val="00283E79"/>
    <w:rsid w:val="00286043"/>
    <w:rsid w:val="00287269"/>
    <w:rsid w:val="002878D4"/>
    <w:rsid w:val="002934AA"/>
    <w:rsid w:val="00296F73"/>
    <w:rsid w:val="002A3311"/>
    <w:rsid w:val="002B3945"/>
    <w:rsid w:val="002C1028"/>
    <w:rsid w:val="002C35D3"/>
    <w:rsid w:val="002C5F7B"/>
    <w:rsid w:val="002C756C"/>
    <w:rsid w:val="002C78B8"/>
    <w:rsid w:val="002D0BA9"/>
    <w:rsid w:val="002D0E1F"/>
    <w:rsid w:val="002D208A"/>
    <w:rsid w:val="002E0B85"/>
    <w:rsid w:val="002E353F"/>
    <w:rsid w:val="002E63EE"/>
    <w:rsid w:val="002E73E0"/>
    <w:rsid w:val="002F6DCA"/>
    <w:rsid w:val="003008DF"/>
    <w:rsid w:val="00301CE0"/>
    <w:rsid w:val="00303124"/>
    <w:rsid w:val="00312FC4"/>
    <w:rsid w:val="003130E4"/>
    <w:rsid w:val="00313600"/>
    <w:rsid w:val="00315FC9"/>
    <w:rsid w:val="00316307"/>
    <w:rsid w:val="003242FA"/>
    <w:rsid w:val="0033371E"/>
    <w:rsid w:val="003348A0"/>
    <w:rsid w:val="00335BAC"/>
    <w:rsid w:val="0033793C"/>
    <w:rsid w:val="003379D4"/>
    <w:rsid w:val="00340A9F"/>
    <w:rsid w:val="003425AF"/>
    <w:rsid w:val="00342D0D"/>
    <w:rsid w:val="00344C87"/>
    <w:rsid w:val="00344DA6"/>
    <w:rsid w:val="00350E00"/>
    <w:rsid w:val="0035346F"/>
    <w:rsid w:val="00353550"/>
    <w:rsid w:val="00354147"/>
    <w:rsid w:val="00354D42"/>
    <w:rsid w:val="003551D7"/>
    <w:rsid w:val="00355A6F"/>
    <w:rsid w:val="00356933"/>
    <w:rsid w:val="00362B32"/>
    <w:rsid w:val="00366755"/>
    <w:rsid w:val="00374A58"/>
    <w:rsid w:val="00374A97"/>
    <w:rsid w:val="00375A55"/>
    <w:rsid w:val="00387307"/>
    <w:rsid w:val="00387B9B"/>
    <w:rsid w:val="00395B05"/>
    <w:rsid w:val="00396FBE"/>
    <w:rsid w:val="003A40E5"/>
    <w:rsid w:val="003A481B"/>
    <w:rsid w:val="003B22B3"/>
    <w:rsid w:val="003B28C8"/>
    <w:rsid w:val="003B6D89"/>
    <w:rsid w:val="003C23F4"/>
    <w:rsid w:val="003C339B"/>
    <w:rsid w:val="003C4657"/>
    <w:rsid w:val="003E28A1"/>
    <w:rsid w:val="003E5E47"/>
    <w:rsid w:val="003E6BA2"/>
    <w:rsid w:val="003E7ACC"/>
    <w:rsid w:val="003E7D88"/>
    <w:rsid w:val="003F1D4C"/>
    <w:rsid w:val="003F1F21"/>
    <w:rsid w:val="003F1FBC"/>
    <w:rsid w:val="003F2EA9"/>
    <w:rsid w:val="003F384A"/>
    <w:rsid w:val="0040358E"/>
    <w:rsid w:val="004050F6"/>
    <w:rsid w:val="00405A77"/>
    <w:rsid w:val="00407C01"/>
    <w:rsid w:val="00410250"/>
    <w:rsid w:val="004126D8"/>
    <w:rsid w:val="004144DB"/>
    <w:rsid w:val="00424140"/>
    <w:rsid w:val="00424F45"/>
    <w:rsid w:val="0044310F"/>
    <w:rsid w:val="0044740B"/>
    <w:rsid w:val="00450434"/>
    <w:rsid w:val="00450547"/>
    <w:rsid w:val="00453DCC"/>
    <w:rsid w:val="00454E16"/>
    <w:rsid w:val="00461DA5"/>
    <w:rsid w:val="004752B1"/>
    <w:rsid w:val="00475DDD"/>
    <w:rsid w:val="00475E0C"/>
    <w:rsid w:val="0047787B"/>
    <w:rsid w:val="00477A5C"/>
    <w:rsid w:val="0048504A"/>
    <w:rsid w:val="00493201"/>
    <w:rsid w:val="00494722"/>
    <w:rsid w:val="004A05B4"/>
    <w:rsid w:val="004A10A9"/>
    <w:rsid w:val="004A2D2F"/>
    <w:rsid w:val="004B017E"/>
    <w:rsid w:val="004B28C2"/>
    <w:rsid w:val="004B4533"/>
    <w:rsid w:val="004B792D"/>
    <w:rsid w:val="004C02CD"/>
    <w:rsid w:val="004C165B"/>
    <w:rsid w:val="004C786A"/>
    <w:rsid w:val="004D0950"/>
    <w:rsid w:val="004D5C2C"/>
    <w:rsid w:val="004D6498"/>
    <w:rsid w:val="004E0742"/>
    <w:rsid w:val="004E4AEE"/>
    <w:rsid w:val="004E4D81"/>
    <w:rsid w:val="004E75CF"/>
    <w:rsid w:val="004F51E9"/>
    <w:rsid w:val="004F5B49"/>
    <w:rsid w:val="004F5D65"/>
    <w:rsid w:val="00504400"/>
    <w:rsid w:val="00505843"/>
    <w:rsid w:val="00511284"/>
    <w:rsid w:val="00511F27"/>
    <w:rsid w:val="00514272"/>
    <w:rsid w:val="00514F8D"/>
    <w:rsid w:val="005159CD"/>
    <w:rsid w:val="0051653B"/>
    <w:rsid w:val="005165F2"/>
    <w:rsid w:val="005233CC"/>
    <w:rsid w:val="005269FE"/>
    <w:rsid w:val="005316E2"/>
    <w:rsid w:val="00532286"/>
    <w:rsid w:val="00540842"/>
    <w:rsid w:val="0054269D"/>
    <w:rsid w:val="005431DB"/>
    <w:rsid w:val="00550E51"/>
    <w:rsid w:val="0055124C"/>
    <w:rsid w:val="00555C85"/>
    <w:rsid w:val="00556823"/>
    <w:rsid w:val="00560D0C"/>
    <w:rsid w:val="00560D76"/>
    <w:rsid w:val="00561C3D"/>
    <w:rsid w:val="005631BD"/>
    <w:rsid w:val="005639A2"/>
    <w:rsid w:val="00571D04"/>
    <w:rsid w:val="00572171"/>
    <w:rsid w:val="00573CE9"/>
    <w:rsid w:val="00574046"/>
    <w:rsid w:val="00580D84"/>
    <w:rsid w:val="00586CDC"/>
    <w:rsid w:val="00587725"/>
    <w:rsid w:val="00587816"/>
    <w:rsid w:val="00587EED"/>
    <w:rsid w:val="00591B00"/>
    <w:rsid w:val="0059243B"/>
    <w:rsid w:val="005943B3"/>
    <w:rsid w:val="00595E49"/>
    <w:rsid w:val="005A1CBE"/>
    <w:rsid w:val="005A1FEC"/>
    <w:rsid w:val="005A67A0"/>
    <w:rsid w:val="005B1DA9"/>
    <w:rsid w:val="005B3617"/>
    <w:rsid w:val="005C3399"/>
    <w:rsid w:val="005C3EBA"/>
    <w:rsid w:val="005C5AAF"/>
    <w:rsid w:val="005C68AE"/>
    <w:rsid w:val="005D0627"/>
    <w:rsid w:val="005D32EC"/>
    <w:rsid w:val="005D5640"/>
    <w:rsid w:val="005D60C6"/>
    <w:rsid w:val="005E005D"/>
    <w:rsid w:val="005E214F"/>
    <w:rsid w:val="005E3FD5"/>
    <w:rsid w:val="005E6493"/>
    <w:rsid w:val="005E6874"/>
    <w:rsid w:val="005E721A"/>
    <w:rsid w:val="005E7E59"/>
    <w:rsid w:val="005F0283"/>
    <w:rsid w:val="005F1653"/>
    <w:rsid w:val="005F2577"/>
    <w:rsid w:val="005F2FC5"/>
    <w:rsid w:val="00606967"/>
    <w:rsid w:val="0061110A"/>
    <w:rsid w:val="00616E98"/>
    <w:rsid w:val="006243F1"/>
    <w:rsid w:val="00632003"/>
    <w:rsid w:val="00636E62"/>
    <w:rsid w:val="00641188"/>
    <w:rsid w:val="00642C7E"/>
    <w:rsid w:val="00643DD2"/>
    <w:rsid w:val="00645CF8"/>
    <w:rsid w:val="006476B7"/>
    <w:rsid w:val="00651DE9"/>
    <w:rsid w:val="006528D3"/>
    <w:rsid w:val="00656498"/>
    <w:rsid w:val="00664F72"/>
    <w:rsid w:val="00666372"/>
    <w:rsid w:val="006710F2"/>
    <w:rsid w:val="00671645"/>
    <w:rsid w:val="006732C1"/>
    <w:rsid w:val="006818E3"/>
    <w:rsid w:val="0068346A"/>
    <w:rsid w:val="006836D2"/>
    <w:rsid w:val="00685E27"/>
    <w:rsid w:val="00686C4E"/>
    <w:rsid w:val="00687088"/>
    <w:rsid w:val="0069155A"/>
    <w:rsid w:val="00695EA4"/>
    <w:rsid w:val="006A66C7"/>
    <w:rsid w:val="006B15AB"/>
    <w:rsid w:val="006B189E"/>
    <w:rsid w:val="006B2762"/>
    <w:rsid w:val="006B59E9"/>
    <w:rsid w:val="006B7A85"/>
    <w:rsid w:val="006C3990"/>
    <w:rsid w:val="006C63EA"/>
    <w:rsid w:val="006C7B5B"/>
    <w:rsid w:val="006D5014"/>
    <w:rsid w:val="006D5C56"/>
    <w:rsid w:val="006D772F"/>
    <w:rsid w:val="006E0A12"/>
    <w:rsid w:val="006F1418"/>
    <w:rsid w:val="006F1823"/>
    <w:rsid w:val="006F5A0B"/>
    <w:rsid w:val="00700DB6"/>
    <w:rsid w:val="00701927"/>
    <w:rsid w:val="00703B57"/>
    <w:rsid w:val="0070737F"/>
    <w:rsid w:val="007078DF"/>
    <w:rsid w:val="0071148A"/>
    <w:rsid w:val="00713921"/>
    <w:rsid w:val="00720293"/>
    <w:rsid w:val="00722642"/>
    <w:rsid w:val="00723B05"/>
    <w:rsid w:val="00724423"/>
    <w:rsid w:val="00727464"/>
    <w:rsid w:val="007277BB"/>
    <w:rsid w:val="00733D22"/>
    <w:rsid w:val="00733EE7"/>
    <w:rsid w:val="0073431C"/>
    <w:rsid w:val="00734814"/>
    <w:rsid w:val="00745471"/>
    <w:rsid w:val="00745AE2"/>
    <w:rsid w:val="00753EF1"/>
    <w:rsid w:val="00754926"/>
    <w:rsid w:val="00755AAB"/>
    <w:rsid w:val="00757B67"/>
    <w:rsid w:val="00757B6B"/>
    <w:rsid w:val="00760712"/>
    <w:rsid w:val="007663EC"/>
    <w:rsid w:val="00771AB3"/>
    <w:rsid w:val="00773F4F"/>
    <w:rsid w:val="00780203"/>
    <w:rsid w:val="00794979"/>
    <w:rsid w:val="007A2850"/>
    <w:rsid w:val="007A4746"/>
    <w:rsid w:val="007A5AE9"/>
    <w:rsid w:val="007B4679"/>
    <w:rsid w:val="007B48E6"/>
    <w:rsid w:val="007B550F"/>
    <w:rsid w:val="007C0094"/>
    <w:rsid w:val="007C0FF3"/>
    <w:rsid w:val="007C142F"/>
    <w:rsid w:val="007C1710"/>
    <w:rsid w:val="007C24D6"/>
    <w:rsid w:val="007C45A1"/>
    <w:rsid w:val="007C509A"/>
    <w:rsid w:val="007C6E49"/>
    <w:rsid w:val="007C78DB"/>
    <w:rsid w:val="007D4BA8"/>
    <w:rsid w:val="007D671F"/>
    <w:rsid w:val="007D7A32"/>
    <w:rsid w:val="007E0A0F"/>
    <w:rsid w:val="007E0E88"/>
    <w:rsid w:val="007E4D57"/>
    <w:rsid w:val="007F0C39"/>
    <w:rsid w:val="007F44B5"/>
    <w:rsid w:val="00804A60"/>
    <w:rsid w:val="00806174"/>
    <w:rsid w:val="00811CA1"/>
    <w:rsid w:val="00815486"/>
    <w:rsid w:val="008229F3"/>
    <w:rsid w:val="00822EAE"/>
    <w:rsid w:val="00825E2B"/>
    <w:rsid w:val="00827C7A"/>
    <w:rsid w:val="00842E26"/>
    <w:rsid w:val="00842FB0"/>
    <w:rsid w:val="008433CF"/>
    <w:rsid w:val="00845454"/>
    <w:rsid w:val="00852FB1"/>
    <w:rsid w:val="0085333C"/>
    <w:rsid w:val="00853750"/>
    <w:rsid w:val="00855422"/>
    <w:rsid w:val="00857E09"/>
    <w:rsid w:val="008610A9"/>
    <w:rsid w:val="00861758"/>
    <w:rsid w:val="00864AF9"/>
    <w:rsid w:val="00873E8F"/>
    <w:rsid w:val="00876E8B"/>
    <w:rsid w:val="00877512"/>
    <w:rsid w:val="008805BB"/>
    <w:rsid w:val="0088350F"/>
    <w:rsid w:val="008845ED"/>
    <w:rsid w:val="00890751"/>
    <w:rsid w:val="00894352"/>
    <w:rsid w:val="00896827"/>
    <w:rsid w:val="00896B0E"/>
    <w:rsid w:val="008A2C55"/>
    <w:rsid w:val="008A52E1"/>
    <w:rsid w:val="008A559E"/>
    <w:rsid w:val="008A6E53"/>
    <w:rsid w:val="008A6FAE"/>
    <w:rsid w:val="008B03E5"/>
    <w:rsid w:val="008B0404"/>
    <w:rsid w:val="008B047B"/>
    <w:rsid w:val="008B323F"/>
    <w:rsid w:val="008B66A7"/>
    <w:rsid w:val="008C1403"/>
    <w:rsid w:val="008C4461"/>
    <w:rsid w:val="008C5F2C"/>
    <w:rsid w:val="008C601A"/>
    <w:rsid w:val="008C6969"/>
    <w:rsid w:val="008C743E"/>
    <w:rsid w:val="008D0A1E"/>
    <w:rsid w:val="008D24D1"/>
    <w:rsid w:val="008D2CA3"/>
    <w:rsid w:val="008D312A"/>
    <w:rsid w:val="008D3131"/>
    <w:rsid w:val="008D43C1"/>
    <w:rsid w:val="008E20FF"/>
    <w:rsid w:val="0090548E"/>
    <w:rsid w:val="00906C5E"/>
    <w:rsid w:val="00914F53"/>
    <w:rsid w:val="00923601"/>
    <w:rsid w:val="00926CC2"/>
    <w:rsid w:val="00926FAA"/>
    <w:rsid w:val="00931820"/>
    <w:rsid w:val="00932B29"/>
    <w:rsid w:val="009340E5"/>
    <w:rsid w:val="009347FF"/>
    <w:rsid w:val="00934D50"/>
    <w:rsid w:val="0093649F"/>
    <w:rsid w:val="00936618"/>
    <w:rsid w:val="00936962"/>
    <w:rsid w:val="009448B0"/>
    <w:rsid w:val="00944D74"/>
    <w:rsid w:val="00950EF4"/>
    <w:rsid w:val="00952836"/>
    <w:rsid w:val="0095384E"/>
    <w:rsid w:val="00955587"/>
    <w:rsid w:val="00956D7B"/>
    <w:rsid w:val="00963035"/>
    <w:rsid w:val="009659A6"/>
    <w:rsid w:val="0096632D"/>
    <w:rsid w:val="009718B5"/>
    <w:rsid w:val="00974967"/>
    <w:rsid w:val="0097521B"/>
    <w:rsid w:val="00985479"/>
    <w:rsid w:val="00985ACC"/>
    <w:rsid w:val="0099211E"/>
    <w:rsid w:val="00993BAE"/>
    <w:rsid w:val="0099472E"/>
    <w:rsid w:val="009A13D4"/>
    <w:rsid w:val="009A1E3C"/>
    <w:rsid w:val="009A5F7F"/>
    <w:rsid w:val="009A60A1"/>
    <w:rsid w:val="009A6725"/>
    <w:rsid w:val="009B21FD"/>
    <w:rsid w:val="009B2F75"/>
    <w:rsid w:val="009B70E4"/>
    <w:rsid w:val="009C37BF"/>
    <w:rsid w:val="009C3859"/>
    <w:rsid w:val="009D0F13"/>
    <w:rsid w:val="009D1F0F"/>
    <w:rsid w:val="009D23CC"/>
    <w:rsid w:val="009D25E0"/>
    <w:rsid w:val="009D33FD"/>
    <w:rsid w:val="009D386B"/>
    <w:rsid w:val="009D4B8B"/>
    <w:rsid w:val="009D6376"/>
    <w:rsid w:val="009E53A7"/>
    <w:rsid w:val="009E59A0"/>
    <w:rsid w:val="009E5CDC"/>
    <w:rsid w:val="009F31D6"/>
    <w:rsid w:val="00A02610"/>
    <w:rsid w:val="00A04553"/>
    <w:rsid w:val="00A04979"/>
    <w:rsid w:val="00A04BBB"/>
    <w:rsid w:val="00A04E2A"/>
    <w:rsid w:val="00A064E5"/>
    <w:rsid w:val="00A071F7"/>
    <w:rsid w:val="00A13B82"/>
    <w:rsid w:val="00A15CCD"/>
    <w:rsid w:val="00A2412C"/>
    <w:rsid w:val="00A26656"/>
    <w:rsid w:val="00A26C34"/>
    <w:rsid w:val="00A27B93"/>
    <w:rsid w:val="00A300BA"/>
    <w:rsid w:val="00A319AF"/>
    <w:rsid w:val="00A341FA"/>
    <w:rsid w:val="00A44663"/>
    <w:rsid w:val="00A44AE2"/>
    <w:rsid w:val="00A470E2"/>
    <w:rsid w:val="00A478FA"/>
    <w:rsid w:val="00A50020"/>
    <w:rsid w:val="00A54927"/>
    <w:rsid w:val="00A550D5"/>
    <w:rsid w:val="00A636E4"/>
    <w:rsid w:val="00A6741B"/>
    <w:rsid w:val="00A7145C"/>
    <w:rsid w:val="00A87E81"/>
    <w:rsid w:val="00A91731"/>
    <w:rsid w:val="00A94440"/>
    <w:rsid w:val="00A95436"/>
    <w:rsid w:val="00A96522"/>
    <w:rsid w:val="00A969FD"/>
    <w:rsid w:val="00AA050F"/>
    <w:rsid w:val="00AA0BD9"/>
    <w:rsid w:val="00AB059B"/>
    <w:rsid w:val="00AB6819"/>
    <w:rsid w:val="00AC125B"/>
    <w:rsid w:val="00AC3417"/>
    <w:rsid w:val="00AC3738"/>
    <w:rsid w:val="00AC3DED"/>
    <w:rsid w:val="00AC4277"/>
    <w:rsid w:val="00AC5250"/>
    <w:rsid w:val="00AC5D6C"/>
    <w:rsid w:val="00AC7144"/>
    <w:rsid w:val="00AD0E1C"/>
    <w:rsid w:val="00AD10B1"/>
    <w:rsid w:val="00AD6C95"/>
    <w:rsid w:val="00AD7F05"/>
    <w:rsid w:val="00AE0E3F"/>
    <w:rsid w:val="00AE3A9D"/>
    <w:rsid w:val="00AE5275"/>
    <w:rsid w:val="00AF3427"/>
    <w:rsid w:val="00AF6F5A"/>
    <w:rsid w:val="00B014DF"/>
    <w:rsid w:val="00B06132"/>
    <w:rsid w:val="00B07E79"/>
    <w:rsid w:val="00B14FDB"/>
    <w:rsid w:val="00B153E4"/>
    <w:rsid w:val="00B15D12"/>
    <w:rsid w:val="00B163FE"/>
    <w:rsid w:val="00B2074D"/>
    <w:rsid w:val="00B23055"/>
    <w:rsid w:val="00B238C3"/>
    <w:rsid w:val="00B27EF2"/>
    <w:rsid w:val="00B31791"/>
    <w:rsid w:val="00B3620D"/>
    <w:rsid w:val="00B377F5"/>
    <w:rsid w:val="00B41BA4"/>
    <w:rsid w:val="00B4270E"/>
    <w:rsid w:val="00B427F9"/>
    <w:rsid w:val="00B47720"/>
    <w:rsid w:val="00B54B13"/>
    <w:rsid w:val="00B54D47"/>
    <w:rsid w:val="00B60ADA"/>
    <w:rsid w:val="00B6211A"/>
    <w:rsid w:val="00B655BF"/>
    <w:rsid w:val="00B675C9"/>
    <w:rsid w:val="00B71BB0"/>
    <w:rsid w:val="00B72ED5"/>
    <w:rsid w:val="00B737C6"/>
    <w:rsid w:val="00B7480C"/>
    <w:rsid w:val="00B7518E"/>
    <w:rsid w:val="00B763B4"/>
    <w:rsid w:val="00B8386F"/>
    <w:rsid w:val="00B840D4"/>
    <w:rsid w:val="00B915CE"/>
    <w:rsid w:val="00B96E06"/>
    <w:rsid w:val="00BA0557"/>
    <w:rsid w:val="00BB3217"/>
    <w:rsid w:val="00BB4742"/>
    <w:rsid w:val="00BB5193"/>
    <w:rsid w:val="00BC4897"/>
    <w:rsid w:val="00BC6483"/>
    <w:rsid w:val="00BD0B76"/>
    <w:rsid w:val="00BD10CF"/>
    <w:rsid w:val="00BD4890"/>
    <w:rsid w:val="00BE168E"/>
    <w:rsid w:val="00BF26C8"/>
    <w:rsid w:val="00BF31D9"/>
    <w:rsid w:val="00C03395"/>
    <w:rsid w:val="00C10398"/>
    <w:rsid w:val="00C11B12"/>
    <w:rsid w:val="00C1541F"/>
    <w:rsid w:val="00C15AAB"/>
    <w:rsid w:val="00C20486"/>
    <w:rsid w:val="00C21174"/>
    <w:rsid w:val="00C23E34"/>
    <w:rsid w:val="00C25A73"/>
    <w:rsid w:val="00C263DD"/>
    <w:rsid w:val="00C274DC"/>
    <w:rsid w:val="00C30998"/>
    <w:rsid w:val="00C31556"/>
    <w:rsid w:val="00C326FF"/>
    <w:rsid w:val="00C332BE"/>
    <w:rsid w:val="00C335E9"/>
    <w:rsid w:val="00C36A20"/>
    <w:rsid w:val="00C4058E"/>
    <w:rsid w:val="00C655D4"/>
    <w:rsid w:val="00C66005"/>
    <w:rsid w:val="00C6725A"/>
    <w:rsid w:val="00C708C9"/>
    <w:rsid w:val="00C71B90"/>
    <w:rsid w:val="00C777B4"/>
    <w:rsid w:val="00C81839"/>
    <w:rsid w:val="00C81A30"/>
    <w:rsid w:val="00C8246E"/>
    <w:rsid w:val="00C85BE1"/>
    <w:rsid w:val="00C9201D"/>
    <w:rsid w:val="00C92C73"/>
    <w:rsid w:val="00C95E55"/>
    <w:rsid w:val="00CA05B1"/>
    <w:rsid w:val="00CA09D2"/>
    <w:rsid w:val="00CA4E1E"/>
    <w:rsid w:val="00CB01F2"/>
    <w:rsid w:val="00CB384A"/>
    <w:rsid w:val="00CB3DEC"/>
    <w:rsid w:val="00CB7469"/>
    <w:rsid w:val="00CC22A8"/>
    <w:rsid w:val="00CC39C6"/>
    <w:rsid w:val="00CC458D"/>
    <w:rsid w:val="00CC77B0"/>
    <w:rsid w:val="00CD0310"/>
    <w:rsid w:val="00CD613F"/>
    <w:rsid w:val="00CD76D9"/>
    <w:rsid w:val="00CE0F3E"/>
    <w:rsid w:val="00CE5586"/>
    <w:rsid w:val="00CE6897"/>
    <w:rsid w:val="00CE6BFA"/>
    <w:rsid w:val="00CF0B98"/>
    <w:rsid w:val="00CF25D7"/>
    <w:rsid w:val="00CF31A9"/>
    <w:rsid w:val="00CF77A6"/>
    <w:rsid w:val="00D004A4"/>
    <w:rsid w:val="00D04378"/>
    <w:rsid w:val="00D104A6"/>
    <w:rsid w:val="00D10B6B"/>
    <w:rsid w:val="00D137D1"/>
    <w:rsid w:val="00D16F59"/>
    <w:rsid w:val="00D171AC"/>
    <w:rsid w:val="00D1737A"/>
    <w:rsid w:val="00D20D71"/>
    <w:rsid w:val="00D241E1"/>
    <w:rsid w:val="00D313F3"/>
    <w:rsid w:val="00D3150B"/>
    <w:rsid w:val="00D33973"/>
    <w:rsid w:val="00D33CB4"/>
    <w:rsid w:val="00D36E1D"/>
    <w:rsid w:val="00D37DA2"/>
    <w:rsid w:val="00D4326E"/>
    <w:rsid w:val="00D43441"/>
    <w:rsid w:val="00D44B91"/>
    <w:rsid w:val="00D46616"/>
    <w:rsid w:val="00D47AC1"/>
    <w:rsid w:val="00D51AF5"/>
    <w:rsid w:val="00D56077"/>
    <w:rsid w:val="00D625DA"/>
    <w:rsid w:val="00D73057"/>
    <w:rsid w:val="00D76C56"/>
    <w:rsid w:val="00D876D1"/>
    <w:rsid w:val="00D879D5"/>
    <w:rsid w:val="00D906D2"/>
    <w:rsid w:val="00D92390"/>
    <w:rsid w:val="00D92B8B"/>
    <w:rsid w:val="00D93051"/>
    <w:rsid w:val="00D94A18"/>
    <w:rsid w:val="00D95300"/>
    <w:rsid w:val="00D95F1C"/>
    <w:rsid w:val="00D96CB3"/>
    <w:rsid w:val="00DB019B"/>
    <w:rsid w:val="00DB2D5E"/>
    <w:rsid w:val="00DB3106"/>
    <w:rsid w:val="00DB3388"/>
    <w:rsid w:val="00DB5838"/>
    <w:rsid w:val="00DC1E10"/>
    <w:rsid w:val="00DC32AE"/>
    <w:rsid w:val="00DD46F0"/>
    <w:rsid w:val="00DD58A0"/>
    <w:rsid w:val="00DE14E4"/>
    <w:rsid w:val="00DE68A5"/>
    <w:rsid w:val="00DF16B6"/>
    <w:rsid w:val="00DF4B7A"/>
    <w:rsid w:val="00DF62A1"/>
    <w:rsid w:val="00DF7FC1"/>
    <w:rsid w:val="00E03BE3"/>
    <w:rsid w:val="00E04A71"/>
    <w:rsid w:val="00E0544C"/>
    <w:rsid w:val="00E1059A"/>
    <w:rsid w:val="00E119E0"/>
    <w:rsid w:val="00E1285F"/>
    <w:rsid w:val="00E131D9"/>
    <w:rsid w:val="00E151CF"/>
    <w:rsid w:val="00E1605D"/>
    <w:rsid w:val="00E16AF2"/>
    <w:rsid w:val="00E16DBF"/>
    <w:rsid w:val="00E21B3D"/>
    <w:rsid w:val="00E22219"/>
    <w:rsid w:val="00E3666F"/>
    <w:rsid w:val="00E47EA1"/>
    <w:rsid w:val="00E52A88"/>
    <w:rsid w:val="00E61C6B"/>
    <w:rsid w:val="00E62389"/>
    <w:rsid w:val="00E67302"/>
    <w:rsid w:val="00E72FDB"/>
    <w:rsid w:val="00E751D3"/>
    <w:rsid w:val="00E77D47"/>
    <w:rsid w:val="00E80148"/>
    <w:rsid w:val="00E80F76"/>
    <w:rsid w:val="00E812B3"/>
    <w:rsid w:val="00E87CA1"/>
    <w:rsid w:val="00EA09AE"/>
    <w:rsid w:val="00EA2DF0"/>
    <w:rsid w:val="00EA60ED"/>
    <w:rsid w:val="00EA66CD"/>
    <w:rsid w:val="00EA74FA"/>
    <w:rsid w:val="00EA760F"/>
    <w:rsid w:val="00EB0836"/>
    <w:rsid w:val="00EB1EAB"/>
    <w:rsid w:val="00EB2F75"/>
    <w:rsid w:val="00EB498C"/>
    <w:rsid w:val="00EB641E"/>
    <w:rsid w:val="00EC390B"/>
    <w:rsid w:val="00EC44AE"/>
    <w:rsid w:val="00EC5746"/>
    <w:rsid w:val="00EC5F14"/>
    <w:rsid w:val="00ED18D8"/>
    <w:rsid w:val="00ED1921"/>
    <w:rsid w:val="00ED4A7B"/>
    <w:rsid w:val="00EE0A54"/>
    <w:rsid w:val="00EE109C"/>
    <w:rsid w:val="00EF095E"/>
    <w:rsid w:val="00EF3185"/>
    <w:rsid w:val="00F00B44"/>
    <w:rsid w:val="00F034DD"/>
    <w:rsid w:val="00F03A68"/>
    <w:rsid w:val="00F05746"/>
    <w:rsid w:val="00F113FB"/>
    <w:rsid w:val="00F11E53"/>
    <w:rsid w:val="00F15175"/>
    <w:rsid w:val="00F1647B"/>
    <w:rsid w:val="00F1711B"/>
    <w:rsid w:val="00F17B70"/>
    <w:rsid w:val="00F23530"/>
    <w:rsid w:val="00F23D2A"/>
    <w:rsid w:val="00F271DC"/>
    <w:rsid w:val="00F31331"/>
    <w:rsid w:val="00F318E6"/>
    <w:rsid w:val="00F32230"/>
    <w:rsid w:val="00F36061"/>
    <w:rsid w:val="00F439E0"/>
    <w:rsid w:val="00F4577C"/>
    <w:rsid w:val="00F45856"/>
    <w:rsid w:val="00F45C62"/>
    <w:rsid w:val="00F519EA"/>
    <w:rsid w:val="00F56862"/>
    <w:rsid w:val="00F62B46"/>
    <w:rsid w:val="00F71D8C"/>
    <w:rsid w:val="00F75517"/>
    <w:rsid w:val="00F75A96"/>
    <w:rsid w:val="00F823DF"/>
    <w:rsid w:val="00F87109"/>
    <w:rsid w:val="00F87BE1"/>
    <w:rsid w:val="00F94425"/>
    <w:rsid w:val="00F97536"/>
    <w:rsid w:val="00FA636D"/>
    <w:rsid w:val="00FB0331"/>
    <w:rsid w:val="00FB40D8"/>
    <w:rsid w:val="00FB7AC1"/>
    <w:rsid w:val="00FC5B26"/>
    <w:rsid w:val="00FC73F9"/>
    <w:rsid w:val="00FD3DFD"/>
    <w:rsid w:val="00FD6CEC"/>
    <w:rsid w:val="00FE1C36"/>
    <w:rsid w:val="00FE23D6"/>
    <w:rsid w:val="00FE5FE9"/>
    <w:rsid w:val="00FF40FB"/>
    <w:rsid w:val="00FF4F6B"/>
    <w:rsid w:val="00FF6A7E"/>
    <w:rsid w:val="00FF785D"/>
    <w:rsid w:val="0CC20746"/>
    <w:rsid w:val="0F944EC3"/>
    <w:rsid w:val="1092145D"/>
    <w:rsid w:val="16DA4EAB"/>
    <w:rsid w:val="1A9E0E04"/>
    <w:rsid w:val="20AE62C2"/>
    <w:rsid w:val="20EA7165"/>
    <w:rsid w:val="286673CB"/>
    <w:rsid w:val="29DC35A8"/>
    <w:rsid w:val="2BD52E7F"/>
    <w:rsid w:val="2CAA6E60"/>
    <w:rsid w:val="321802F4"/>
    <w:rsid w:val="325D7760"/>
    <w:rsid w:val="33D11694"/>
    <w:rsid w:val="34AC3487"/>
    <w:rsid w:val="356A1AD9"/>
    <w:rsid w:val="369244E6"/>
    <w:rsid w:val="3AEF6C5B"/>
    <w:rsid w:val="3BA573C6"/>
    <w:rsid w:val="3F597F44"/>
    <w:rsid w:val="4BD72EDE"/>
    <w:rsid w:val="4EB1228F"/>
    <w:rsid w:val="4EE23070"/>
    <w:rsid w:val="50133E4A"/>
    <w:rsid w:val="560F634A"/>
    <w:rsid w:val="5B081B2E"/>
    <w:rsid w:val="5D671980"/>
    <w:rsid w:val="5EDA0588"/>
    <w:rsid w:val="6F75AF1E"/>
    <w:rsid w:val="739E6C64"/>
    <w:rsid w:val="7AEF61E9"/>
    <w:rsid w:val="7F280942"/>
    <w:rsid w:val="BDF15291"/>
    <w:rsid w:val="BF9AF544"/>
    <w:rsid w:val="FBDAC410"/>
    <w:rsid w:val="FBFFA2F4"/>
    <w:rsid w:val="FEAD6E45"/>
    <w:rsid w:val="FFAFE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_Style 1"/>
    <w:basedOn w:val="1"/>
    <w:qFormat/>
    <w:uiPriority w:val="0"/>
    <w:pPr>
      <w:widowControl/>
      <w:adjustRightInd w:val="0"/>
      <w:spacing w:after="160" w:line="240" w:lineRule="exact"/>
      <w:jc w:val="left"/>
    </w:pPr>
    <w:rPr>
      <w:rFonts w:ascii="Verdana" w:hAnsi="Verdana" w:eastAsia="宋体" w:cs="Times New Roman"/>
      <w:kern w:val="0"/>
      <w:sz w:val="20"/>
      <w:szCs w:val="20"/>
      <w:lang w:eastAsia="en-US"/>
    </w:rPr>
  </w:style>
  <w:style w:type="character" w:customStyle="1" w:styleId="14">
    <w:name w:val="批注框文本 字符"/>
    <w:basedOn w:val="8"/>
    <w:link w:val="3"/>
    <w:semiHidden/>
    <w:qFormat/>
    <w:uiPriority w:val="99"/>
    <w:rPr>
      <w:rFonts w:asciiTheme="minorHAnsi" w:hAnsiTheme="minorHAnsi" w:eastAsiaTheme="minorEastAsia" w:cstheme="minorBidi"/>
      <w:kern w:val="2"/>
      <w:sz w:val="18"/>
      <w:szCs w:val="18"/>
    </w:rPr>
  </w:style>
  <w:style w:type="paragraph" w:customStyle="1" w:styleId="15">
    <w:name w:val="列出段落1"/>
    <w:basedOn w:val="1"/>
    <w:qFormat/>
    <w:uiPriority w:val="0"/>
    <w:pPr>
      <w:ind w:firstLine="420"/>
    </w:pPr>
    <w:rPr>
      <w:rFonts w:ascii="Calibri" w:hAnsi="Calibri" w:eastAsia="宋体" w:cs="Times New Roman"/>
      <w:szCs w:val="24"/>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8844</Words>
  <Characters>9478</Characters>
  <Lines>74</Lines>
  <Paragraphs>20</Paragraphs>
  <TotalTime>51</TotalTime>
  <ScaleCrop>false</ScaleCrop>
  <LinksUpToDate>false</LinksUpToDate>
  <CharactersWithSpaces>9505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2022-06-16T19:15:00Z</dcterms:created>
  <dc:creator>user</dc:creator>
  <cp:lastModifiedBy>陌</cp:lastModifiedBy>
  <cp:lastPrinted>2022-07-02T15:15:00Z</cp:lastPrinted>
  <dcterms:modified xsi:type="dcterms:W3CDTF">2022-07-20T11:33:55Z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ribbonExt">
    <vt:lpwstr>{"WPSExtOfficeTab":{"OnGetEnabled":false,"OnGetVisible":false}}</vt:lpwstr>
  </property>
  <property fmtid="{D5CDD505-2E9C-101B-9397-08002B2CF9AE}" pid="4" name="ICV">
    <vt:lpwstr>51F810DF22B440C8808A4FAA3A281A90</vt:lpwstr>
  </property>
</Properties>
</file>