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eastAsia="黑体"/>
          <w:sz w:val="32"/>
          <w:szCs w:val="32"/>
        </w:rPr>
      </w:pPr>
      <w:r>
        <w:drawing>
          <wp:anchor distT="0" distB="0" distL="114300" distR="114300" simplePos="0" relativeHeight="251663360" behindDoc="0" locked="0" layoutInCell="1" allowOverlap="1">
            <wp:simplePos x="0" y="0"/>
            <wp:positionH relativeFrom="page">
              <wp:posOffset>4676775</wp:posOffset>
            </wp:positionH>
            <wp:positionV relativeFrom="page">
              <wp:posOffset>1254125</wp:posOffset>
            </wp:positionV>
            <wp:extent cx="1720215" cy="800100"/>
            <wp:effectExtent l="0" t="0" r="13335" b="0"/>
            <wp:wrapNone/>
            <wp:docPr id="9" name="图片 9"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G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a:ln>
                      <a:noFill/>
                    </a:ln>
                  </pic:spPr>
                </pic:pic>
              </a:graphicData>
            </a:graphic>
          </wp:anchor>
        </w:drawing>
      </w:r>
      <w:r>
        <w:rPr>
          <w:rFonts w:hint="eastAsia" w:eastAsia="黑体"/>
          <w:sz w:val="32"/>
          <w:szCs w:val="32"/>
        </w:rPr>
        <w:t xml:space="preserve">    </w:t>
      </w:r>
    </w:p>
    <w:p>
      <w:pPr>
        <w:spacing w:line="240" w:lineRule="auto"/>
        <w:rPr>
          <w:rFonts w:eastAsia="黑体"/>
          <w:sz w:val="32"/>
          <w:szCs w:val="32"/>
        </w:rPr>
      </w:pPr>
    </w:p>
    <w:p>
      <w:pPr>
        <w:ind w:firstLine="1608" w:firstLineChars="300"/>
        <w:rPr>
          <w:rFonts w:eastAsia="MS Gothic"/>
          <w:b/>
          <w:sz w:val="84"/>
          <w:szCs w:val="84"/>
        </w:rPr>
      </w:pPr>
      <w:r>
        <w:rPr>
          <w:rFonts w:eastAsia="黑体"/>
          <w:spacing w:val="28"/>
          <w:sz w:val="48"/>
          <w:szCs w:val="48"/>
        </w:rPr>
        <w:t>广东省标准</w:t>
      </w:r>
      <w:r>
        <w:rPr>
          <w:rFonts w:eastAsia="黑体"/>
          <w:sz w:val="32"/>
          <w:szCs w:val="32"/>
        </w:rPr>
        <w:t xml:space="preserve">     </w:t>
      </w:r>
      <w:r>
        <w:rPr>
          <w:rFonts w:hint="eastAsia"/>
          <w:sz w:val="52"/>
        </w:rPr>
        <w:t xml:space="preserve">   </w:t>
      </w:r>
    </w:p>
    <w:p>
      <w:r>
        <w:t xml:space="preserve">                              </w:t>
      </w:r>
      <w:bookmarkStart w:id="0" w:name="_Toc337542810"/>
      <w:r>
        <w:rPr>
          <w:rFonts w:hint="eastAsia"/>
        </w:rPr>
        <w:t xml:space="preserve">                                                        </w:t>
      </w:r>
    </w:p>
    <w:p>
      <w:pPr>
        <w:spacing w:line="400" w:lineRule="exact"/>
        <w:ind w:left="5520" w:hanging="5520" w:hangingChars="2300"/>
        <w:textAlignment w:val="auto"/>
        <w:rPr>
          <w:rFonts w:hint="default" w:ascii="Times New Roman" w:hAnsi="Times New Roman" w:eastAsia="黑体" w:cs="Times New Roman"/>
          <w:spacing w:val="17"/>
          <w:sz w:val="30"/>
          <w:szCs w:val="30"/>
          <w:lang w:eastAsia="zh-CN"/>
        </w:rPr>
      </w:pPr>
      <w:r>
        <w:rPr>
          <w:rFonts w:hint="eastAsia"/>
        </w:rPr>
        <w:t xml:space="preserve">                                             </w:t>
      </w:r>
      <w:r>
        <w:rPr>
          <w:rFonts w:hint="default" w:ascii="Times New Roman" w:hAnsi="Times New Roman" w:eastAsia="黑体" w:cs="Times New Roman"/>
          <w:lang w:val="en-US" w:eastAsia="zh-CN"/>
        </w:rPr>
        <w:t xml:space="preserve"> </w:t>
      </w:r>
      <w:r>
        <w:rPr>
          <w:rFonts w:hint="default" w:ascii="Times New Roman" w:hAnsi="Times New Roman" w:eastAsia="黑体" w:cs="Times New Roman"/>
          <w:spacing w:val="23"/>
          <w:sz w:val="30"/>
          <w:szCs w:val="30"/>
        </w:rPr>
        <w:t>DBJ</w:t>
      </w:r>
      <w:r>
        <w:rPr>
          <w:rFonts w:hint="default" w:ascii="Times New Roman" w:hAnsi="Times New Roman" w:eastAsia="黑体" w:cs="Times New Roman"/>
          <w:spacing w:val="23"/>
          <w:sz w:val="30"/>
          <w:szCs w:val="30"/>
          <w:lang w:val="en-US" w:eastAsia="zh-CN"/>
        </w:rPr>
        <w:t xml:space="preserve">/T </w:t>
      </w:r>
      <w:r>
        <w:rPr>
          <w:rFonts w:hint="default" w:ascii="Times New Roman" w:hAnsi="Times New Roman" w:eastAsia="黑体" w:cs="Times New Roman"/>
          <w:spacing w:val="23"/>
          <w:sz w:val="30"/>
          <w:szCs w:val="30"/>
        </w:rPr>
        <w:t>15－XX</w:t>
      </w:r>
      <w:r>
        <w:rPr>
          <w:rFonts w:hint="default" w:ascii="Times New Roman" w:hAnsi="Times New Roman" w:eastAsia="黑体" w:cs="Times New Roman"/>
          <w:sz w:val="30"/>
          <w:szCs w:val="30"/>
        </w:rPr>
        <w:t>X</w:t>
      </w:r>
      <w:bookmarkEnd w:id="0"/>
      <w:r>
        <w:rPr>
          <w:rFonts w:hint="default" w:ascii="Times New Roman" w:hAnsi="Times New Roman" w:eastAsia="黑体" w:cs="Times New Roman"/>
          <w:spacing w:val="23"/>
          <w:sz w:val="30"/>
          <w:szCs w:val="30"/>
        </w:rPr>
        <w:t>－</w:t>
      </w:r>
      <w:r>
        <w:rPr>
          <w:rFonts w:hint="default" w:ascii="Times New Roman" w:hAnsi="Times New Roman" w:eastAsia="黑体" w:cs="Times New Roman"/>
          <w:sz w:val="30"/>
          <w:szCs w:val="30"/>
        </w:rPr>
        <w:t>202</w:t>
      </w:r>
      <w:r>
        <w:rPr>
          <w:rFonts w:hint="default" w:ascii="Times New Roman" w:hAnsi="Times New Roman" w:eastAsia="黑体" w:cs="Times New Roman"/>
          <w:sz w:val="30"/>
          <w:szCs w:val="30"/>
          <w:lang w:val="en-US" w:eastAsia="zh-CN"/>
        </w:rPr>
        <w:t>2</w:t>
      </w:r>
    </w:p>
    <w:p>
      <w:pPr>
        <w:spacing w:line="400" w:lineRule="exact"/>
        <w:textAlignment w:val="auto"/>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rPr>
        <w:t xml:space="preserve">                                     </w:t>
      </w:r>
      <w:r>
        <w:rPr>
          <w:rFonts w:hint="default" w:ascii="Times New Roman" w:hAnsi="Times New Roman" w:eastAsia="黑体" w:cs="Times New Roman"/>
          <w:sz w:val="30"/>
          <w:szCs w:val="30"/>
        </w:rPr>
        <w:t xml:space="preserve">  备案号 J XXXXX</w:t>
      </w:r>
      <w:r>
        <w:rPr>
          <w:rFonts w:hint="default" w:ascii="Times New Roman" w:hAnsi="Times New Roman" w:eastAsia="黑体" w:cs="Times New Roman"/>
          <w:spacing w:val="23"/>
          <w:sz w:val="30"/>
          <w:szCs w:val="30"/>
        </w:rPr>
        <w:t>－</w:t>
      </w:r>
      <w:r>
        <w:rPr>
          <w:rFonts w:hint="default" w:ascii="Times New Roman" w:hAnsi="Times New Roman" w:eastAsia="黑体" w:cs="Times New Roman"/>
          <w:sz w:val="30"/>
          <w:szCs w:val="30"/>
        </w:rPr>
        <w:t>202</w:t>
      </w:r>
      <w:r>
        <w:rPr>
          <w:rFonts w:hint="default" w:ascii="Times New Roman" w:hAnsi="Times New Roman" w:eastAsia="黑体" w:cs="Times New Roman"/>
          <w:sz w:val="30"/>
          <w:szCs w:val="30"/>
          <w:lang w:val="en-US" w:eastAsia="zh-CN"/>
        </w:rPr>
        <w:t>2</w:t>
      </w:r>
    </w:p>
    <w:p>
      <w:pPr>
        <w:ind w:firstLine="560"/>
        <w:jc w:val="center"/>
        <w:rPr>
          <w:rFonts w:ascii="宋体" w:hAnsi="宋体"/>
          <w:b/>
          <w:sz w:val="48"/>
          <w:szCs w:val="4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118110</wp:posOffset>
                </wp:positionV>
                <wp:extent cx="6139180" cy="29210"/>
                <wp:effectExtent l="0" t="4445" r="2540" b="12065"/>
                <wp:wrapNone/>
                <wp:docPr id="85" name="直接连接符 85"/>
                <wp:cNvGraphicFramePr/>
                <a:graphic xmlns:a="http://schemas.openxmlformats.org/drawingml/2006/main">
                  <a:graphicData uri="http://schemas.microsoft.com/office/word/2010/wordprocessingShape">
                    <wps:wsp>
                      <wps:cNvCnPr/>
                      <wps:spPr>
                        <a:xfrm flipV="1">
                          <a:off x="0" y="0"/>
                          <a:ext cx="6139180" cy="292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05pt;margin-top:9.3pt;height:2.3pt;width:483.4pt;z-index:251659264;mso-width-relative:page;mso-height-relative:page;" filled="f" stroked="t" coordsize="21600,21600" o:gfxdata="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Qj341AAAAAcBAAAPAAAA&#10;AAAAAAEAIAAAACIAAABkcnMvZG93bnJldi54bWxQSwECFAAUAAAACACHTuJA6AHb0eABAACaAwAA&#10;DgAAAAAAAAABACAAAAAjAQAAZHJzL2Uyb0RvYy54bWxQSwUGAAAAAAYABgBZAQAAdQUAAAAA&#10;">
                <v:fill on="f" focussize="0,0"/>
                <v:stroke color="#000000" joinstyle="round"/>
                <v:imagedata o:title=""/>
                <o:lock v:ext="edit" aspectratio="f"/>
              </v:line>
            </w:pict>
          </mc:Fallback>
        </mc:AlternateContent>
      </w:r>
    </w:p>
    <w:p>
      <w:pPr>
        <w:ind w:firstLine="480"/>
      </w:pPr>
      <w:bookmarkStart w:id="1" w:name="_Toc375640674"/>
    </w:p>
    <w:p>
      <w:pPr>
        <w:jc w:val="center"/>
        <w:rPr>
          <w:b/>
          <w:bCs/>
          <w:sz w:val="48"/>
          <w:szCs w:val="48"/>
        </w:rPr>
      </w:pPr>
      <w:bookmarkStart w:id="2" w:name="_Toc12178"/>
      <w:bookmarkStart w:id="3" w:name="_Toc18682567"/>
      <w:bookmarkStart w:id="4" w:name="_Toc15694"/>
      <w:bookmarkStart w:id="5" w:name="_Toc32299"/>
      <w:bookmarkStart w:id="6" w:name="_Toc24242"/>
      <w:bookmarkStart w:id="7" w:name="_Toc6152"/>
      <w:bookmarkStart w:id="8" w:name="_Toc3166"/>
      <w:bookmarkStart w:id="9" w:name="_Toc10190"/>
      <w:bookmarkStart w:id="10" w:name="_Toc22869"/>
      <w:bookmarkStart w:id="11" w:name="_Toc17999"/>
      <w:bookmarkStart w:id="12" w:name="_Toc20677756"/>
      <w:bookmarkStart w:id="13" w:name="_Toc32068"/>
      <w:bookmarkStart w:id="14" w:name="_Toc20679871"/>
      <w:bookmarkStart w:id="15" w:name="_Toc18685699"/>
      <w:bookmarkStart w:id="16" w:name="_Toc21914"/>
      <w:bookmarkStart w:id="17" w:name="_Toc25170"/>
      <w:bookmarkStart w:id="18" w:name="_Toc13943"/>
      <w:bookmarkStart w:id="19" w:name="_Toc23168"/>
      <w:bookmarkStart w:id="20" w:name="_Toc20679066"/>
      <w:bookmarkStart w:id="21" w:name="_Toc22536"/>
      <w:bookmarkStart w:id="22" w:name="_Toc20675809"/>
      <w:bookmarkStart w:id="23" w:name="_Toc20678590"/>
      <w:bookmarkStart w:id="24" w:name="_Toc17030"/>
      <w:bookmarkStart w:id="25" w:name="_Toc11249"/>
      <w:bookmarkStart w:id="26" w:name="_Toc4137"/>
      <w:bookmarkStart w:id="27" w:name="_Toc25496"/>
      <w:bookmarkStart w:id="28" w:name="_Toc10438"/>
      <w:bookmarkStart w:id="29" w:name="_Toc29901"/>
      <w:bookmarkStart w:id="30" w:name="_Toc23576"/>
      <w:bookmarkStart w:id="31" w:name="_Toc3759"/>
      <w:bookmarkStart w:id="32" w:name="_Toc22494"/>
      <w:bookmarkStart w:id="33" w:name="_Toc18686312"/>
      <w:bookmarkStart w:id="34" w:name="_Toc22809"/>
      <w:bookmarkStart w:id="35" w:name="_Toc28704"/>
      <w:bookmarkStart w:id="36" w:name="_Toc6926"/>
      <w:r>
        <w:rPr>
          <w:rFonts w:hint="eastAsia"/>
          <w:b/>
          <w:bCs/>
          <w:sz w:val="48"/>
          <w:szCs w:val="48"/>
        </w:rPr>
        <w:t>装配式</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rFonts w:hint="eastAsia"/>
          <w:b/>
          <w:bCs/>
          <w:sz w:val="48"/>
          <w:szCs w:val="48"/>
        </w:rPr>
        <w:t>综合管廊施工及验收标准</w:t>
      </w:r>
    </w:p>
    <w:p>
      <w:pPr>
        <w:ind w:firstLine="480"/>
      </w:pPr>
    </w:p>
    <w:p>
      <w:pPr>
        <w:ind w:firstLine="562"/>
        <w:jc w:val="center"/>
        <w:rPr>
          <w:rFonts w:hint="default" w:eastAsia="宋体"/>
          <w:b/>
          <w:sz w:val="28"/>
          <w:szCs w:val="28"/>
          <w:lang w:val="en-US" w:eastAsia="zh-CN"/>
        </w:rPr>
      </w:pPr>
      <w:r>
        <w:rPr>
          <w:rFonts w:hint="eastAsia"/>
          <w:b/>
          <w:sz w:val="28"/>
          <w:szCs w:val="28"/>
        </w:rPr>
        <w:t xml:space="preserve">Standard for construction and acceptance of </w:t>
      </w:r>
      <w:r>
        <w:rPr>
          <w:rFonts w:hint="eastAsia"/>
          <w:b/>
          <w:sz w:val="28"/>
          <w:szCs w:val="28"/>
          <w:lang w:val="en-US" w:eastAsia="zh-CN"/>
        </w:rPr>
        <w:t>assembly utility tunnel</w:t>
      </w:r>
    </w:p>
    <w:p>
      <w:pPr>
        <w:jc w:val="center"/>
        <w:rPr>
          <w:b/>
          <w:sz w:val="30"/>
          <w:szCs w:val="30"/>
        </w:rPr>
      </w:pPr>
      <w:r>
        <w:rPr>
          <w:rFonts w:hint="eastAsia"/>
          <w:b/>
          <w:sz w:val="30"/>
          <w:szCs w:val="30"/>
        </w:rPr>
        <w:t>（</w:t>
      </w:r>
      <w:r>
        <w:rPr>
          <w:rFonts w:hint="eastAsia"/>
          <w:b/>
          <w:sz w:val="30"/>
          <w:szCs w:val="30"/>
          <w:lang w:val="en-US" w:eastAsia="zh-CN"/>
        </w:rPr>
        <w:t>公开征求意见</w:t>
      </w:r>
      <w:r>
        <w:rPr>
          <w:rFonts w:hint="eastAsia"/>
          <w:b/>
          <w:sz w:val="30"/>
          <w:szCs w:val="30"/>
        </w:rPr>
        <w:t>稿）</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rPr>
          <w:rFonts w:eastAsia="黑体"/>
          <w:sz w:val="28"/>
          <w:szCs w:val="28"/>
        </w:rPr>
      </w:pPr>
      <w:r>
        <w:rPr>
          <w:b/>
          <w:bCs/>
          <w:sz w:val="32"/>
        </w:rPr>
        <w:t xml:space="preserve">  </w:t>
      </w:r>
      <w:r>
        <w:rPr>
          <w:rFonts w:eastAsia="黑体"/>
          <w:sz w:val="28"/>
          <w:szCs w:val="28"/>
        </w:rPr>
        <w:t>20</w:t>
      </w:r>
      <w:r>
        <w:rPr>
          <w:rFonts w:hint="eastAsia" w:eastAsia="黑体"/>
          <w:sz w:val="28"/>
          <w:szCs w:val="28"/>
        </w:rPr>
        <w:t>2X</w:t>
      </w:r>
      <w:r>
        <w:rPr>
          <w:rFonts w:eastAsia="黑体"/>
          <w:sz w:val="28"/>
          <w:szCs w:val="28"/>
        </w:rPr>
        <w:t>-</w:t>
      </w:r>
      <w:r>
        <w:rPr>
          <w:rFonts w:hint="eastAsia" w:eastAsia="黑体"/>
          <w:sz w:val="28"/>
          <w:szCs w:val="28"/>
        </w:rPr>
        <w:t>XX</w:t>
      </w:r>
      <w:r>
        <w:rPr>
          <w:rFonts w:eastAsia="黑体"/>
          <w:sz w:val="28"/>
          <w:szCs w:val="28"/>
        </w:rPr>
        <w:t>-</w:t>
      </w:r>
      <w:r>
        <w:rPr>
          <w:rFonts w:hint="eastAsia" w:eastAsia="黑体"/>
          <w:sz w:val="28"/>
          <w:szCs w:val="28"/>
        </w:rPr>
        <w:t>XX</w:t>
      </w:r>
      <w:r>
        <w:rPr>
          <w:rFonts w:eastAsia="黑体"/>
          <w:sz w:val="28"/>
          <w:szCs w:val="28"/>
        </w:rPr>
        <w:t xml:space="preserve">  发布                   20</w:t>
      </w:r>
      <w:r>
        <w:rPr>
          <w:rFonts w:hint="eastAsia" w:eastAsia="黑体"/>
          <w:sz w:val="28"/>
          <w:szCs w:val="28"/>
        </w:rPr>
        <w:t>2X</w:t>
      </w:r>
      <w:r>
        <w:rPr>
          <w:rFonts w:eastAsia="黑体"/>
          <w:sz w:val="28"/>
          <w:szCs w:val="28"/>
        </w:rPr>
        <w:t>-</w:t>
      </w:r>
      <w:r>
        <w:rPr>
          <w:rFonts w:hint="eastAsia" w:eastAsia="黑体"/>
          <w:sz w:val="28"/>
          <w:szCs w:val="28"/>
        </w:rPr>
        <w:t>XX</w:t>
      </w:r>
      <w:r>
        <w:rPr>
          <w:rFonts w:eastAsia="黑体"/>
          <w:sz w:val="28"/>
          <w:szCs w:val="28"/>
        </w:rPr>
        <w:t>-</w:t>
      </w:r>
      <w:r>
        <w:rPr>
          <w:rFonts w:hint="eastAsia" w:eastAsia="黑体"/>
          <w:sz w:val="28"/>
          <w:szCs w:val="28"/>
        </w:rPr>
        <w:t xml:space="preserve">XX  </w:t>
      </w:r>
      <w:r>
        <w:rPr>
          <w:rFonts w:eastAsia="黑体"/>
          <w:sz w:val="28"/>
          <w:szCs w:val="28"/>
        </w:rPr>
        <w:t>实施</w:t>
      </w:r>
    </w:p>
    <w:p>
      <w:pPr>
        <w:tabs>
          <w:tab w:val="left" w:pos="8235"/>
        </w:tabs>
        <w:rPr>
          <w:rFonts w:eastAsia="黑体"/>
          <w:b/>
          <w:sz w:val="28"/>
          <w:szCs w:val="28"/>
        </w:rPr>
      </w:pPr>
      <w:r>
        <w:rPr>
          <w:rFonts w:eastAsia="黑体"/>
          <w:b/>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55880</wp:posOffset>
                </wp:positionV>
                <wp:extent cx="5600700" cy="26670"/>
                <wp:effectExtent l="0" t="4445" r="7620" b="14605"/>
                <wp:wrapNone/>
                <wp:docPr id="83" name="直接连接符 83"/>
                <wp:cNvGraphicFramePr/>
                <a:graphic xmlns:a="http://schemas.openxmlformats.org/drawingml/2006/main">
                  <a:graphicData uri="http://schemas.microsoft.com/office/word/2010/wordprocessingShape">
                    <wps:wsp>
                      <wps:cNvCnPr/>
                      <wps:spPr>
                        <a:xfrm>
                          <a:off x="0" y="0"/>
                          <a:ext cx="5600700" cy="266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4.4pt;height:2.1pt;width:441pt;z-index:251660288;mso-width-relative:page;mso-height-relative:page;" filled="f" stroked="t" coordsize="21600,21600" o:gfxdata="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TSiq+0gAAAAUBAAAPAAAAAAAAAAEAIAAA&#10;ACIAAABkcnMvZG93bnJldi54bWxQSwECFAAUAAAACACHTuJAvL0aUNkBAACQAwAADgAAAAAAAAAB&#10;ACAAAAAhAQAAZHJzL2Uyb0RvYy54bWxQSwUGAAAAAAYABgBZAQAAbAUAAAAA&#10;">
                <v:fill on="f" focussize="0,0"/>
                <v:stroke color="#000000" joinstyle="round"/>
                <v:imagedata o:title=""/>
                <o:lock v:ext="edit" aspectratio="f"/>
              </v:line>
            </w:pict>
          </mc:Fallback>
        </mc:AlternateContent>
      </w:r>
      <w:r>
        <w:rPr>
          <w:rFonts w:eastAsia="黑体"/>
          <w:b/>
          <w:sz w:val="28"/>
          <w:szCs w:val="28"/>
        </w:rPr>
        <w:tab/>
      </w:r>
    </w:p>
    <w:p>
      <w:pPr>
        <w:jc w:val="center"/>
        <w:rPr>
          <w:b/>
          <w:sz w:val="32"/>
          <w:szCs w:val="32"/>
        </w:rPr>
      </w:pPr>
      <w:r>
        <w:rPr>
          <w:rFonts w:eastAsia="黑体"/>
          <w:sz w:val="32"/>
          <w:szCs w:val="32"/>
        </w:rPr>
        <w:t>广东省住房和城乡建设厅</w:t>
      </w:r>
      <w:r>
        <w:rPr>
          <w:rFonts w:eastAsia="黑体"/>
          <w:spacing w:val="20"/>
          <w:sz w:val="28"/>
          <w:szCs w:val="28"/>
        </w:rPr>
        <w:t xml:space="preserve">  </w:t>
      </w:r>
      <w:r>
        <w:rPr>
          <w:rFonts w:eastAsia="黑体"/>
          <w:spacing w:val="20"/>
          <w:sz w:val="32"/>
          <w:szCs w:val="32"/>
        </w:rPr>
        <w:t>发布</w:t>
      </w:r>
    </w:p>
    <w:p>
      <w:pPr>
        <w:ind w:firstLine="6372" w:firstLineChars="2267"/>
        <w:rPr>
          <w:b/>
          <w:sz w:val="32"/>
          <w:szCs w:val="32"/>
        </w:rPr>
      </w:pPr>
      <w:r>
        <w:rPr>
          <w:rFonts w:hint="eastAsia" w:ascii="宋体" w:hAnsi="宋体" w:eastAsia="宋体" w:cs="宋体"/>
          <w:b/>
          <w:bCs/>
          <w:sz w:val="28"/>
          <w:szCs w:val="28"/>
          <w:lang w:eastAsia="zh-CN"/>
        </w:rPr>
        <w:t>（</w:t>
      </w:r>
      <w:r>
        <w:rPr>
          <w:rFonts w:hint="eastAsia" w:ascii="宋体" w:hAnsi="宋体" w:eastAsia="宋体" w:cs="宋体"/>
          <w:b/>
          <w:bCs/>
          <w:sz w:val="28"/>
          <w:szCs w:val="28"/>
        </w:rPr>
        <w:t>本标准不涉及专利</w:t>
      </w:r>
      <w:r>
        <w:rPr>
          <w:rFonts w:hint="eastAsia" w:ascii="宋体" w:hAnsi="宋体" w:eastAsia="宋体" w:cs="宋体"/>
          <w:b/>
          <w:bCs/>
          <w:sz w:val="28"/>
          <w:szCs w:val="28"/>
          <w:lang w:eastAsia="zh-CN"/>
        </w:rPr>
        <w:t>）</w:t>
      </w:r>
      <w:r>
        <w:rPr>
          <w:b/>
          <w:sz w:val="32"/>
          <w:szCs w:val="32"/>
        </w:rPr>
        <w:br w:type="page"/>
      </w:r>
    </w:p>
    <w:p>
      <w:pPr>
        <w:ind w:firstLine="482"/>
        <w:rPr>
          <w:b/>
          <w:szCs w:val="21"/>
        </w:rPr>
      </w:pPr>
    </w:p>
    <w:p>
      <w:pPr>
        <w:ind w:firstLine="482"/>
        <w:rPr>
          <w:b/>
          <w:szCs w:val="21"/>
        </w:rPr>
      </w:pPr>
    </w:p>
    <w:p>
      <w:pPr>
        <w:ind w:firstLine="482"/>
        <w:rPr>
          <w:b/>
          <w:szCs w:val="21"/>
        </w:rPr>
      </w:pPr>
    </w:p>
    <w:p>
      <w:pPr>
        <w:jc w:val="center"/>
        <w:rPr>
          <w:rFonts w:ascii="宋体" w:hAnsi="宋体" w:cs="黑体"/>
          <w:b/>
          <w:bCs/>
          <w:sz w:val="40"/>
          <w:szCs w:val="44"/>
        </w:rPr>
      </w:pPr>
      <w:r>
        <w:rPr>
          <w:rFonts w:hint="eastAsia" w:ascii="宋体" w:hAnsi="宋体" w:cs="黑体"/>
          <w:b/>
          <w:bCs/>
          <w:sz w:val="40"/>
          <w:szCs w:val="44"/>
        </w:rPr>
        <w:t>广东省住房和城乡建设厅关于发布广东省标准《装配式综合管廊施工及验收标准》的公告</w:t>
      </w:r>
    </w:p>
    <w:p>
      <w:pPr>
        <w:jc w:val="center"/>
        <w:rPr>
          <w:rFonts w:asciiTheme="majorEastAsia" w:hAnsiTheme="majorEastAsia" w:eastAsiaTheme="majorEastAsia" w:cstheme="majorEastAsia"/>
          <w:sz w:val="28"/>
          <w:szCs w:val="24"/>
        </w:rPr>
      </w:pPr>
      <w:r>
        <w:rPr>
          <w:rFonts w:hint="eastAsia" w:asciiTheme="majorEastAsia" w:hAnsiTheme="majorEastAsia" w:eastAsiaTheme="majorEastAsia" w:cstheme="majorEastAsia"/>
          <w:sz w:val="28"/>
          <w:szCs w:val="24"/>
        </w:rPr>
        <w:t>粤建公告</w:t>
      </w:r>
      <w:r>
        <w:rPr>
          <w:rFonts w:eastAsiaTheme="majorEastAsia"/>
          <w:sz w:val="28"/>
          <w:szCs w:val="24"/>
        </w:rPr>
        <w:t>〔20</w:t>
      </w:r>
      <w:r>
        <w:rPr>
          <w:rFonts w:hint="eastAsia" w:eastAsiaTheme="majorEastAsia"/>
          <w:sz w:val="28"/>
          <w:szCs w:val="24"/>
        </w:rPr>
        <w:t>2</w:t>
      </w:r>
      <w:r>
        <w:rPr>
          <w:rFonts w:hint="eastAsia"/>
          <w:sz w:val="28"/>
        </w:rPr>
        <w:t>X</w:t>
      </w:r>
      <w:r>
        <w:rPr>
          <w:rFonts w:eastAsiaTheme="majorEastAsia"/>
          <w:sz w:val="28"/>
          <w:szCs w:val="24"/>
        </w:rPr>
        <w:t>〕</w:t>
      </w:r>
      <w:r>
        <w:rPr>
          <w:rFonts w:hint="eastAsia" w:asciiTheme="majorEastAsia" w:hAnsiTheme="majorEastAsia" w:eastAsiaTheme="majorEastAsia" w:cstheme="majorEastAsia"/>
          <w:sz w:val="28"/>
          <w:szCs w:val="24"/>
        </w:rPr>
        <w:t>号</w:t>
      </w:r>
    </w:p>
    <w:p>
      <w:pPr>
        <w:jc w:val="center"/>
        <w:rPr>
          <w:rFonts w:asciiTheme="majorEastAsia" w:hAnsiTheme="majorEastAsia" w:eastAsiaTheme="majorEastAsia" w:cstheme="majorEastAsia"/>
          <w:szCs w:val="24"/>
        </w:rPr>
      </w:pPr>
    </w:p>
    <w:p>
      <w:pPr>
        <w:ind w:firstLine="560" w:firstLineChars="200"/>
        <w:rPr>
          <w:sz w:val="28"/>
          <w:szCs w:val="28"/>
        </w:rPr>
      </w:pPr>
      <w:r>
        <w:rPr>
          <w:rFonts w:hint="eastAsia"/>
          <w:sz w:val="28"/>
          <w:szCs w:val="28"/>
        </w:rPr>
        <w:t>经组织专家委员会审查，现批准《装配式综合管廊施工及验收标准》为广东省地方标准，编号为DBJ/T 15-</w:t>
      </w:r>
      <w:r>
        <w:rPr>
          <w:sz w:val="28"/>
          <w:szCs w:val="28"/>
        </w:rPr>
        <w:t>XXX</w:t>
      </w:r>
      <w:r>
        <w:rPr>
          <w:rFonts w:hint="eastAsia"/>
          <w:sz w:val="28"/>
          <w:szCs w:val="28"/>
        </w:rPr>
        <w:t>-202X。本标准自202X年  月 日起实施。</w:t>
      </w:r>
    </w:p>
    <w:p>
      <w:pPr>
        <w:ind w:firstLine="560" w:firstLineChars="200"/>
        <w:rPr>
          <w:sz w:val="28"/>
          <w:szCs w:val="28"/>
        </w:rPr>
      </w:pPr>
      <w:r>
        <w:rPr>
          <w:rFonts w:hint="eastAsia"/>
          <w:sz w:val="28"/>
          <w:szCs w:val="28"/>
        </w:rPr>
        <w:t>本标准由广东省住房和城乡建设厅负责管理，</w:t>
      </w:r>
      <w:r>
        <w:rPr>
          <w:sz w:val="28"/>
          <w:szCs w:val="28"/>
        </w:rPr>
        <w:t>由主编单位</w:t>
      </w:r>
      <w:r>
        <w:rPr>
          <w:rFonts w:hint="eastAsia"/>
          <w:sz w:val="28"/>
          <w:szCs w:val="28"/>
        </w:rPr>
        <w:t>广州市市政集团有限公司、广州建筑股份有限公司和广州市市政工程机械施工有限公司负责具体技术内容的解释，</w:t>
      </w:r>
      <w:r>
        <w:rPr>
          <w:sz w:val="28"/>
          <w:szCs w:val="28"/>
        </w:rPr>
        <w:t>并在广东省住房和</w:t>
      </w:r>
      <w:r>
        <w:rPr>
          <w:rFonts w:hint="eastAsia"/>
          <w:sz w:val="28"/>
          <w:szCs w:val="28"/>
        </w:rPr>
        <w:t>城乡</w:t>
      </w:r>
      <w:r>
        <w:rPr>
          <w:sz w:val="28"/>
          <w:szCs w:val="28"/>
        </w:rPr>
        <w:t>建设厅门户网站</w:t>
      </w:r>
      <w:r>
        <w:rPr>
          <w:rFonts w:hint="eastAsia"/>
          <w:sz w:val="28"/>
          <w:szCs w:val="28"/>
        </w:rPr>
        <w:t>站（http://zfcxjst.gd.gov.cn）</w:t>
      </w:r>
      <w:r>
        <w:rPr>
          <w:sz w:val="28"/>
          <w:szCs w:val="28"/>
        </w:rPr>
        <w:t>公</w:t>
      </w:r>
      <w:r>
        <w:rPr>
          <w:rFonts w:hint="eastAsia"/>
          <w:sz w:val="28"/>
          <w:szCs w:val="28"/>
        </w:rPr>
        <w:t>开。</w:t>
      </w:r>
    </w:p>
    <w:p>
      <w:pPr>
        <w:ind w:firstLine="560" w:firstLineChars="200"/>
        <w:rPr>
          <w:sz w:val="28"/>
          <w:szCs w:val="28"/>
        </w:rPr>
      </w:pPr>
    </w:p>
    <w:p>
      <w:pPr>
        <w:ind w:firstLine="560" w:firstLineChars="200"/>
        <w:jc w:val="right"/>
        <w:rPr>
          <w:sz w:val="28"/>
          <w:szCs w:val="28"/>
        </w:rPr>
      </w:pPr>
      <w:r>
        <w:rPr>
          <w:rFonts w:hint="eastAsia"/>
          <w:sz w:val="28"/>
          <w:szCs w:val="28"/>
        </w:rPr>
        <w:t xml:space="preserve">                                 广东省住房和城乡建设厅</w:t>
      </w:r>
    </w:p>
    <w:p>
      <w:pPr>
        <w:ind w:firstLine="560" w:firstLineChars="200"/>
        <w:jc w:val="right"/>
        <w:rPr>
          <w:sz w:val="28"/>
          <w:szCs w:val="28"/>
        </w:rPr>
      </w:pPr>
      <w:r>
        <w:rPr>
          <w:rFonts w:hint="eastAsia"/>
          <w:sz w:val="28"/>
          <w:szCs w:val="28"/>
        </w:rPr>
        <w:t xml:space="preserve">                                           年   月   日</w:t>
      </w:r>
    </w:p>
    <w:p>
      <w:pPr>
        <w:jc w:val="center"/>
        <w:rPr>
          <w:rFonts w:eastAsia="仿宋"/>
          <w:b/>
          <w:bCs/>
          <w:sz w:val="28"/>
          <w:szCs w:val="24"/>
        </w:rPr>
      </w:pPr>
    </w:p>
    <w:p>
      <w:pPr>
        <w:widowControl/>
        <w:spacing w:line="240" w:lineRule="auto"/>
        <w:jc w:val="left"/>
        <w:rPr>
          <w:rFonts w:eastAsiaTheme="minorEastAsia"/>
        </w:rPr>
      </w:pPr>
      <w:r>
        <w:rPr>
          <w:rFonts w:eastAsiaTheme="minorEastAsia"/>
        </w:rPr>
        <w:br w:type="page"/>
      </w:r>
    </w:p>
    <w:p>
      <w:pPr>
        <w:spacing w:after="156" w:afterLines="50"/>
        <w:jc w:val="center"/>
        <w:rPr>
          <w:rFonts w:ascii="宋体" w:hAnsi="宋体" w:cs="宋体"/>
          <w:b/>
          <w:sz w:val="32"/>
          <w:szCs w:val="32"/>
        </w:rPr>
      </w:pPr>
      <w:r>
        <w:rPr>
          <w:rFonts w:hint="eastAsia" w:ascii="宋体" w:hAnsi="宋体" w:cs="宋体"/>
          <w:b/>
          <w:sz w:val="32"/>
          <w:szCs w:val="32"/>
        </w:rPr>
        <w:t>前   言</w:t>
      </w:r>
    </w:p>
    <w:p>
      <w:pPr>
        <w:ind w:firstLine="480"/>
      </w:pPr>
      <w:r>
        <w:rPr>
          <w:rFonts w:hint="eastAsia"/>
        </w:rPr>
        <w:t>根据广东省住房和城乡建设厅《关于发布</w:t>
      </w:r>
      <w:r>
        <w:t>&lt;20</w:t>
      </w:r>
      <w:r>
        <w:rPr>
          <w:rFonts w:hint="eastAsia"/>
        </w:rPr>
        <w:t>20年广东省工程建设标准制(修)订计划</w:t>
      </w:r>
      <w:r>
        <w:t>&gt;</w:t>
      </w:r>
      <w:r>
        <w:rPr>
          <w:rFonts w:hint="eastAsia"/>
        </w:rPr>
        <w:t>的通知》（粤建科函〔</w:t>
      </w:r>
      <w:r>
        <w:t>20</w:t>
      </w:r>
      <w:r>
        <w:rPr>
          <w:rFonts w:hint="eastAsia"/>
        </w:rPr>
        <w:t>20〕397号）的要求，</w:t>
      </w:r>
      <w:r>
        <w:rPr>
          <w:rFonts w:hint="eastAsia"/>
          <w:lang w:eastAsia="zh-CN"/>
        </w:rPr>
        <w:t>本标准</w:t>
      </w:r>
      <w:r>
        <w:rPr>
          <w:rFonts w:hint="eastAsia"/>
        </w:rPr>
        <w:t>由广州市市政集团有限公司</w:t>
      </w:r>
      <w:r>
        <w:rPr>
          <w:rFonts w:hint="eastAsia"/>
          <w:lang w:eastAsia="zh-CN"/>
        </w:rPr>
        <w:t>、</w:t>
      </w:r>
      <w:r>
        <w:rPr>
          <w:rFonts w:hint="eastAsia"/>
        </w:rPr>
        <w:t>广州建筑股份有限公司和广州市市政工程机械施工有限公司会同有关单位经广泛调查研究，认真总结实践经验，参考有关国家标准和国内外先进经验，并在广泛征求意见的基础上制定</w:t>
      </w:r>
      <w:r>
        <w:rPr>
          <w:rFonts w:hint="eastAsia"/>
          <w:lang w:eastAsia="zh-CN"/>
        </w:rPr>
        <w:t>本标准</w:t>
      </w:r>
      <w:r>
        <w:rPr>
          <w:rFonts w:hint="eastAsia"/>
        </w:rPr>
        <w:t>。</w:t>
      </w:r>
      <w:r>
        <w:t xml:space="preserve"> </w:t>
      </w:r>
    </w:p>
    <w:p>
      <w:pPr>
        <w:ind w:firstLine="480"/>
      </w:pPr>
      <w:r>
        <w:rPr>
          <w:rFonts w:hint="eastAsia"/>
          <w:lang w:eastAsia="zh-CN"/>
        </w:rPr>
        <w:t>本标准</w:t>
      </w:r>
      <w:r>
        <w:rPr>
          <w:rFonts w:hint="eastAsia"/>
        </w:rPr>
        <w:t>的主要技术内容是：1.总则；2.术语；3.基本规定；4.混凝土构件的预制、存放和运输；5.基坑（槽）与地基基础；6. 节段预制管廊的装配；7. 叠合预制管廊的装配；8. 分块预制管廊的装配；9. 节段预制管廊的顶进；1</w:t>
      </w:r>
      <w:r>
        <w:rPr>
          <w:rFonts w:hint="eastAsia"/>
          <w:lang w:val="en-US" w:eastAsia="zh-CN"/>
        </w:rPr>
        <w:t>0</w:t>
      </w:r>
      <w:r>
        <w:rPr>
          <w:rFonts w:hint="eastAsia"/>
        </w:rPr>
        <w:t>.防水工程施工；1</w:t>
      </w:r>
      <w:r>
        <w:rPr>
          <w:rFonts w:hint="eastAsia"/>
          <w:lang w:val="en-US" w:eastAsia="zh-CN"/>
        </w:rPr>
        <w:t>1</w:t>
      </w:r>
      <w:r>
        <w:rPr>
          <w:rFonts w:hint="eastAsia"/>
        </w:rPr>
        <w:t>.工程验收。</w:t>
      </w:r>
    </w:p>
    <w:p>
      <w:pPr>
        <w:ind w:firstLine="480"/>
      </w:pPr>
      <w:r>
        <w:rPr>
          <w:rFonts w:hint="eastAsia"/>
          <w:lang w:eastAsia="zh-CN"/>
        </w:rPr>
        <w:t>本标准</w:t>
      </w:r>
      <w:r>
        <w:rPr>
          <w:rFonts w:hint="eastAsia"/>
        </w:rPr>
        <w:t>由广东省住房和城乡建设厅负责管理，由</w:t>
      </w:r>
      <w:r>
        <w:t>广州市市政集团有限公司</w:t>
      </w:r>
      <w:r>
        <w:rPr>
          <w:rFonts w:hint="eastAsia"/>
        </w:rPr>
        <w:t>负责具体技术内容的解释。执行过程中如有意见或建议，请寄送广州市市政集团有限公司（</w:t>
      </w:r>
      <w:r>
        <w:t>地址：广州市环市东路338号银政大厦</w:t>
      </w:r>
      <w:r>
        <w:rPr>
          <w:rFonts w:hint="eastAsia"/>
        </w:rPr>
        <w:t>西座</w:t>
      </w:r>
      <w:r>
        <w:t>，邮编：510060</w:t>
      </w:r>
      <w:r>
        <w:rPr>
          <w:rFonts w:hint="eastAsia"/>
        </w:rPr>
        <w:t>）</w:t>
      </w:r>
      <w:r>
        <w:t>。</w:t>
      </w:r>
    </w:p>
    <w:p>
      <w:pPr>
        <w:ind w:firstLine="480"/>
        <w:rPr>
          <w:szCs w:val="28"/>
        </w:rPr>
      </w:pPr>
      <w:r>
        <w:rPr>
          <w:rFonts w:hint="eastAsia"/>
          <w:szCs w:val="28"/>
          <w:lang w:eastAsia="zh-CN"/>
        </w:rPr>
        <w:t>本标准</w:t>
      </w:r>
      <w:r>
        <w:rPr>
          <w:szCs w:val="28"/>
        </w:rPr>
        <w:t>主编单位：</w:t>
      </w:r>
      <w:r>
        <w:rPr>
          <w:rFonts w:hint="eastAsia"/>
          <w:szCs w:val="28"/>
        </w:rPr>
        <w:t>广州市市政集团有限公司</w:t>
      </w:r>
    </w:p>
    <w:p>
      <w:pPr>
        <w:ind w:firstLine="2400" w:firstLineChars="1000"/>
      </w:pPr>
      <w:r>
        <w:rPr>
          <w:rFonts w:hint="eastAsia"/>
        </w:rPr>
        <w:t>广州建筑股份有限公司</w:t>
      </w:r>
    </w:p>
    <w:p>
      <w:pPr>
        <w:ind w:firstLine="2400" w:firstLineChars="1000"/>
      </w:pPr>
      <w:r>
        <w:rPr>
          <w:rFonts w:hint="eastAsia"/>
        </w:rPr>
        <w:t>广州市市政工程机械施工有限公司</w:t>
      </w:r>
    </w:p>
    <w:p>
      <w:pPr>
        <w:ind w:firstLine="480"/>
        <w:rPr>
          <w:szCs w:val="28"/>
        </w:rPr>
      </w:pPr>
      <w:r>
        <w:rPr>
          <w:rFonts w:hint="eastAsia"/>
          <w:szCs w:val="28"/>
          <w:lang w:eastAsia="zh-CN"/>
        </w:rPr>
        <w:t>本标准</w:t>
      </w:r>
      <w:r>
        <w:rPr>
          <w:szCs w:val="28"/>
        </w:rPr>
        <w:t>参编单位：</w:t>
      </w:r>
      <w:r>
        <w:rPr>
          <w:rFonts w:hint="eastAsia"/>
          <w:szCs w:val="28"/>
        </w:rPr>
        <w:t>广州市道路扩建工程管理中心</w:t>
      </w:r>
    </w:p>
    <w:p>
      <w:pPr>
        <w:ind w:firstLine="480"/>
        <w:rPr>
          <w:szCs w:val="28"/>
        </w:rPr>
      </w:pPr>
      <w:r>
        <w:rPr>
          <w:rFonts w:hint="eastAsia"/>
          <w:szCs w:val="28"/>
        </w:rPr>
        <w:t xml:space="preserve">                北京市市政工程设计研究总院有限公司广东分院</w:t>
      </w:r>
    </w:p>
    <w:p>
      <w:pPr>
        <w:ind w:firstLine="480"/>
        <w:rPr>
          <w:szCs w:val="28"/>
        </w:rPr>
      </w:pPr>
      <w:r>
        <w:rPr>
          <w:rFonts w:hint="eastAsia"/>
          <w:szCs w:val="28"/>
        </w:rPr>
        <w:t xml:space="preserve">                明达地下空间科技发展有限公司</w:t>
      </w:r>
    </w:p>
    <w:p>
      <w:pPr>
        <w:ind w:firstLine="480"/>
        <w:rPr>
          <w:szCs w:val="24"/>
        </w:rPr>
      </w:pPr>
      <w:r>
        <w:rPr>
          <w:rFonts w:hint="eastAsia"/>
          <w:szCs w:val="28"/>
        </w:rPr>
        <w:t xml:space="preserve">                </w:t>
      </w:r>
      <w:r>
        <w:rPr>
          <w:rFonts w:hint="eastAsia"/>
          <w:szCs w:val="24"/>
        </w:rPr>
        <w:t>广州市第二市政工程有限公司</w:t>
      </w:r>
    </w:p>
    <w:p>
      <w:pPr>
        <w:ind w:firstLine="480"/>
        <w:rPr>
          <w:szCs w:val="24"/>
        </w:rPr>
      </w:pPr>
      <w:r>
        <w:rPr>
          <w:rFonts w:hint="eastAsia"/>
          <w:szCs w:val="24"/>
        </w:rPr>
        <w:t xml:space="preserve">                华南理工大学</w:t>
      </w:r>
    </w:p>
    <w:p>
      <w:pPr>
        <w:ind w:firstLine="480"/>
        <w:rPr>
          <w:szCs w:val="24"/>
        </w:rPr>
      </w:pPr>
      <w:r>
        <w:rPr>
          <w:rFonts w:hint="eastAsia"/>
          <w:szCs w:val="24"/>
        </w:rPr>
        <w:t xml:space="preserve">                深圳市市政工程总公司</w:t>
      </w:r>
    </w:p>
    <w:p>
      <w:pPr>
        <w:ind w:firstLine="480"/>
        <w:rPr>
          <w:szCs w:val="24"/>
        </w:rPr>
      </w:pPr>
      <w:r>
        <w:rPr>
          <w:rFonts w:hint="eastAsia"/>
          <w:szCs w:val="24"/>
        </w:rPr>
        <w:t xml:space="preserve">                广州市第三市政工程有限公司</w:t>
      </w:r>
    </w:p>
    <w:p>
      <w:pPr>
        <w:ind w:firstLine="480"/>
        <w:rPr>
          <w:szCs w:val="24"/>
        </w:rPr>
      </w:pPr>
      <w:r>
        <w:rPr>
          <w:rFonts w:hint="eastAsia"/>
          <w:szCs w:val="24"/>
        </w:rPr>
        <w:t xml:space="preserve">                建华建材销售（广东）有限公司</w:t>
      </w:r>
    </w:p>
    <w:p>
      <w:pPr>
        <w:ind w:firstLine="480"/>
        <w:rPr>
          <w:rFonts w:ascii="Times New Roman" w:hAnsi="Times New Roman"/>
          <w:color w:val="auto"/>
          <w:sz w:val="24"/>
        </w:rPr>
      </w:pPr>
      <w:bookmarkStart w:id="37" w:name="_Toc385693134"/>
      <w:bookmarkStart w:id="38" w:name="_Toc374005868"/>
      <w:r>
        <w:rPr>
          <w:rFonts w:hint="eastAsia" w:ascii="宋体" w:hAnsi="宋体" w:cs="Times New Roman"/>
          <w:szCs w:val="28"/>
          <w:lang w:eastAsia="zh-CN"/>
        </w:rPr>
        <w:t>本标准</w:t>
      </w:r>
      <w:r>
        <w:rPr>
          <w:rFonts w:ascii="宋体" w:hAnsi="宋体" w:cs="Times New Roman"/>
          <w:szCs w:val="28"/>
        </w:rPr>
        <w:t>主要</w:t>
      </w:r>
      <w:r>
        <w:rPr>
          <w:szCs w:val="28"/>
        </w:rPr>
        <w:t>起草</w:t>
      </w:r>
      <w:r>
        <w:rPr>
          <w:rFonts w:ascii="宋体" w:hAnsi="宋体" w:cs="Times New Roman"/>
          <w:szCs w:val="28"/>
        </w:rPr>
        <w:t>人员：</w:t>
      </w:r>
      <w:bookmarkEnd w:id="37"/>
      <w:bookmarkEnd w:id="38"/>
      <w:r>
        <w:rPr>
          <w:rFonts w:hint="eastAsia" w:ascii="宋体" w:hAnsi="宋体" w:cs="Times New Roman"/>
          <w:szCs w:val="28"/>
          <w:lang w:eastAsia="zh-CN"/>
        </w:rPr>
        <w:t>安关峰</w:t>
      </w:r>
      <w:r>
        <w:rPr>
          <w:rFonts w:hint="eastAsia" w:ascii="宋体" w:hAnsi="宋体" w:cs="Times New Roman"/>
          <w:szCs w:val="28"/>
          <w:lang w:val="en-US" w:eastAsia="zh-CN"/>
        </w:rPr>
        <w:t xml:space="preserve">  唐孟雄  宋  琢  洪汉江  </w:t>
      </w:r>
      <w:r>
        <w:rPr>
          <w:rFonts w:ascii="Times New Roman" w:hAnsi="Times New Roman"/>
          <w:color w:val="auto"/>
          <w:sz w:val="24"/>
        </w:rPr>
        <w:t>梁建光</w:t>
      </w:r>
      <w:r>
        <w:rPr>
          <w:rFonts w:hint="eastAsia"/>
          <w:color w:val="auto"/>
          <w:sz w:val="24"/>
          <w:lang w:val="en-US" w:eastAsia="zh-CN"/>
        </w:rPr>
        <w:t xml:space="preserve">  </w:t>
      </w:r>
      <w:r>
        <w:rPr>
          <w:rFonts w:ascii="Times New Roman" w:hAnsi="Times New Roman"/>
          <w:color w:val="auto"/>
          <w:sz w:val="24"/>
        </w:rPr>
        <w:t>吕艳波</w:t>
      </w:r>
    </w:p>
    <w:p>
      <w:pPr>
        <w:ind w:firstLine="480"/>
        <w:rPr>
          <w:rFonts w:hint="eastAsia" w:ascii="Times New Roman" w:hAnsi="Times New Roman"/>
          <w:color w:val="auto"/>
          <w:sz w:val="24"/>
          <w:lang w:val="en-US" w:eastAsia="zh-CN"/>
        </w:rPr>
      </w:pPr>
      <w:r>
        <w:rPr>
          <w:rFonts w:hint="eastAsia"/>
          <w:color w:val="auto"/>
          <w:sz w:val="24"/>
          <w:lang w:val="en-US" w:eastAsia="zh-CN"/>
        </w:rPr>
        <w:t xml:space="preserve">                    </w:t>
      </w:r>
      <w:r>
        <w:rPr>
          <w:rFonts w:ascii="Times New Roman" w:hAnsi="Times New Roman"/>
          <w:color w:val="auto"/>
          <w:sz w:val="24"/>
        </w:rPr>
        <w:t>郭</w:t>
      </w:r>
      <w:r>
        <w:rPr>
          <w:rFonts w:hint="eastAsia"/>
          <w:color w:val="auto"/>
          <w:sz w:val="24"/>
          <w:lang w:val="en-US" w:eastAsia="zh-CN"/>
        </w:rPr>
        <w:t xml:space="preserve">  </w:t>
      </w:r>
      <w:r>
        <w:rPr>
          <w:rFonts w:ascii="Times New Roman" w:hAnsi="Times New Roman"/>
          <w:color w:val="auto"/>
          <w:sz w:val="24"/>
        </w:rPr>
        <w:t>飞</w:t>
      </w:r>
      <w:r>
        <w:rPr>
          <w:rFonts w:hint="eastAsia"/>
          <w:color w:val="auto"/>
          <w:sz w:val="24"/>
          <w:lang w:val="en-US" w:eastAsia="zh-CN"/>
        </w:rPr>
        <w:t xml:space="preserve">  </w:t>
      </w:r>
      <w:r>
        <w:rPr>
          <w:rFonts w:ascii="Times New Roman" w:hAnsi="Times New Roman"/>
          <w:color w:val="auto"/>
          <w:sz w:val="24"/>
        </w:rPr>
        <w:t>袁立群</w:t>
      </w:r>
      <w:r>
        <w:rPr>
          <w:rFonts w:hint="eastAsia"/>
          <w:color w:val="auto"/>
          <w:sz w:val="24"/>
          <w:lang w:val="en-US" w:eastAsia="zh-CN"/>
        </w:rPr>
        <w:t xml:space="preserve">  </w:t>
      </w:r>
      <w:r>
        <w:rPr>
          <w:rFonts w:ascii="Times New Roman" w:hAnsi="Times New Roman"/>
          <w:color w:val="auto"/>
          <w:sz w:val="24"/>
        </w:rPr>
        <w:t>孙会峰</w:t>
      </w:r>
      <w:r>
        <w:rPr>
          <w:rFonts w:hint="eastAsia"/>
          <w:color w:val="auto"/>
          <w:sz w:val="24"/>
          <w:lang w:val="en-US" w:eastAsia="zh-CN"/>
        </w:rPr>
        <w:t xml:space="preserve">  </w:t>
      </w:r>
      <w:r>
        <w:rPr>
          <w:rFonts w:ascii="Times New Roman" w:hAnsi="Times New Roman"/>
          <w:color w:val="auto"/>
          <w:sz w:val="24"/>
        </w:rPr>
        <w:t>罗</w:t>
      </w:r>
      <w:r>
        <w:rPr>
          <w:rFonts w:hint="eastAsia"/>
          <w:color w:val="auto"/>
          <w:sz w:val="24"/>
          <w:lang w:val="en-US" w:eastAsia="zh-CN"/>
        </w:rPr>
        <w:t xml:space="preserve">  </w:t>
      </w:r>
      <w:r>
        <w:rPr>
          <w:rFonts w:ascii="Times New Roman" w:hAnsi="Times New Roman"/>
          <w:color w:val="auto"/>
          <w:sz w:val="24"/>
        </w:rPr>
        <w:t>毅</w:t>
      </w:r>
      <w:r>
        <w:rPr>
          <w:rFonts w:hint="eastAsia"/>
          <w:color w:val="auto"/>
          <w:sz w:val="24"/>
          <w:lang w:val="en-US" w:eastAsia="zh-CN"/>
        </w:rPr>
        <w:t xml:space="preserve">  邵  泉  </w:t>
      </w:r>
      <w:r>
        <w:rPr>
          <w:rFonts w:hint="eastAsia" w:ascii="Times New Roman" w:hAnsi="Times New Roman"/>
          <w:color w:val="auto"/>
          <w:sz w:val="24"/>
          <w:lang w:val="en-US" w:eastAsia="zh-CN"/>
        </w:rPr>
        <w:t>卢德辉</w:t>
      </w:r>
    </w:p>
    <w:p>
      <w:pPr>
        <w:ind w:firstLine="2880" w:firstLineChars="1200"/>
        <w:rPr>
          <w:rFonts w:hint="eastAsia"/>
          <w:color w:val="auto"/>
          <w:sz w:val="24"/>
          <w:lang w:val="en-US" w:eastAsia="zh-CN"/>
        </w:rPr>
      </w:pPr>
      <w:r>
        <w:rPr>
          <w:rFonts w:ascii="Times New Roman" w:hAnsi="Times New Roman"/>
          <w:color w:val="auto"/>
          <w:sz w:val="24"/>
        </w:rPr>
        <w:t>司海峰</w:t>
      </w:r>
      <w:r>
        <w:rPr>
          <w:rFonts w:hint="eastAsia"/>
          <w:color w:val="auto"/>
          <w:sz w:val="24"/>
          <w:lang w:val="en-US" w:eastAsia="zh-CN"/>
        </w:rPr>
        <w:t xml:space="preserve">  </w:t>
      </w:r>
      <w:r>
        <w:rPr>
          <w:rFonts w:ascii="Times New Roman" w:hAnsi="Times New Roman"/>
          <w:color w:val="auto"/>
          <w:sz w:val="24"/>
        </w:rPr>
        <w:t>张发科</w:t>
      </w:r>
      <w:r>
        <w:rPr>
          <w:rFonts w:hint="eastAsia"/>
          <w:color w:val="auto"/>
          <w:sz w:val="24"/>
          <w:lang w:val="en-US" w:eastAsia="zh-CN"/>
        </w:rPr>
        <w:t xml:space="preserve">  </w:t>
      </w:r>
      <w:r>
        <w:rPr>
          <w:rFonts w:ascii="Times New Roman" w:hAnsi="Times New Roman"/>
          <w:color w:val="auto"/>
          <w:sz w:val="24"/>
        </w:rPr>
        <w:t>蒋</w:t>
      </w:r>
      <w:r>
        <w:rPr>
          <w:rFonts w:hint="eastAsia"/>
          <w:color w:val="auto"/>
          <w:sz w:val="24"/>
          <w:lang w:val="en-US" w:eastAsia="zh-CN"/>
        </w:rPr>
        <w:t xml:space="preserve">  </w:t>
      </w:r>
      <w:r>
        <w:rPr>
          <w:rFonts w:ascii="Times New Roman" w:hAnsi="Times New Roman"/>
          <w:color w:val="auto"/>
          <w:sz w:val="24"/>
        </w:rPr>
        <w:t>晖</w:t>
      </w:r>
      <w:r>
        <w:rPr>
          <w:rFonts w:hint="eastAsia"/>
          <w:color w:val="auto"/>
          <w:sz w:val="24"/>
          <w:lang w:val="en-US" w:eastAsia="zh-CN"/>
        </w:rPr>
        <w:t xml:space="preserve">  </w:t>
      </w:r>
      <w:r>
        <w:rPr>
          <w:rFonts w:ascii="Times New Roman" w:hAnsi="Times New Roman"/>
          <w:color w:val="auto"/>
          <w:sz w:val="24"/>
        </w:rPr>
        <w:t>陆文胜</w:t>
      </w:r>
      <w:r>
        <w:rPr>
          <w:rFonts w:hint="eastAsia"/>
          <w:color w:val="auto"/>
          <w:sz w:val="24"/>
          <w:lang w:val="en-US" w:eastAsia="zh-CN"/>
        </w:rPr>
        <w:t xml:space="preserve">  </w:t>
      </w:r>
      <w:r>
        <w:rPr>
          <w:rFonts w:hint="eastAsia" w:ascii="Times New Roman" w:hAnsi="Times New Roman"/>
          <w:color w:val="auto"/>
          <w:sz w:val="24"/>
        </w:rPr>
        <w:t>王贤鹏</w:t>
      </w:r>
      <w:r>
        <w:rPr>
          <w:rFonts w:hint="eastAsia"/>
          <w:color w:val="auto"/>
          <w:sz w:val="24"/>
          <w:lang w:val="en-US" w:eastAsia="zh-CN"/>
        </w:rPr>
        <w:t xml:space="preserve">  谭  琳</w:t>
      </w:r>
    </w:p>
    <w:p>
      <w:pPr>
        <w:ind w:firstLine="2880" w:firstLineChars="1200"/>
        <w:rPr>
          <w:rFonts w:hint="eastAsia"/>
          <w:color w:val="auto"/>
          <w:sz w:val="24"/>
          <w:lang w:val="en-US" w:eastAsia="zh-CN"/>
        </w:rPr>
      </w:pPr>
      <w:r>
        <w:rPr>
          <w:rFonts w:hint="eastAsia"/>
          <w:color w:val="auto"/>
          <w:sz w:val="24"/>
          <w:lang w:val="en-US" w:eastAsia="zh-CN"/>
        </w:rPr>
        <w:t xml:space="preserve">朱兴龙  李  明  黄绍基  </w:t>
      </w:r>
      <w:r>
        <w:rPr>
          <w:rFonts w:ascii="Times New Roman" w:hAnsi="Times New Roman"/>
          <w:color w:val="auto"/>
          <w:sz w:val="24"/>
        </w:rPr>
        <w:t>陈建宁</w:t>
      </w:r>
      <w:r>
        <w:rPr>
          <w:rFonts w:hint="eastAsia"/>
          <w:color w:val="auto"/>
          <w:sz w:val="24"/>
          <w:lang w:val="en-US" w:eastAsia="zh-CN"/>
        </w:rPr>
        <w:t xml:space="preserve">  毛永平  李  波</w:t>
      </w:r>
    </w:p>
    <w:p>
      <w:pPr>
        <w:ind w:firstLine="2880" w:firstLineChars="1200"/>
        <w:rPr>
          <w:rFonts w:hint="default"/>
          <w:color w:val="auto"/>
          <w:sz w:val="24"/>
          <w:lang w:val="en-US" w:eastAsia="zh-CN"/>
        </w:rPr>
      </w:pPr>
      <w:r>
        <w:rPr>
          <w:rFonts w:hint="eastAsia"/>
          <w:color w:val="auto"/>
          <w:sz w:val="24"/>
          <w:lang w:val="en-US" w:eastAsia="zh-CN"/>
        </w:rPr>
        <w:t xml:space="preserve">王  谭  侯照保  </w:t>
      </w:r>
      <w:r>
        <w:rPr>
          <w:rFonts w:hint="eastAsia" w:ascii="Times New Roman" w:hAnsi="Times New Roman"/>
          <w:color w:val="auto"/>
          <w:sz w:val="24"/>
          <w:lang w:val="en-US" w:eastAsia="zh-CN"/>
        </w:rPr>
        <w:t>凌</w:t>
      </w:r>
      <w:r>
        <w:rPr>
          <w:rFonts w:hint="eastAsia"/>
          <w:color w:val="auto"/>
          <w:sz w:val="24"/>
          <w:lang w:val="en-US" w:eastAsia="zh-CN"/>
        </w:rPr>
        <w:t xml:space="preserve">  </w:t>
      </w:r>
      <w:r>
        <w:rPr>
          <w:rFonts w:hint="eastAsia" w:ascii="Times New Roman" w:hAnsi="Times New Roman"/>
          <w:color w:val="auto"/>
          <w:sz w:val="24"/>
          <w:lang w:val="en-US" w:eastAsia="zh-CN"/>
        </w:rPr>
        <w:t>造</w:t>
      </w:r>
      <w:r>
        <w:rPr>
          <w:rFonts w:hint="eastAsia"/>
          <w:color w:val="auto"/>
          <w:sz w:val="24"/>
          <w:lang w:val="en-US" w:eastAsia="zh-CN"/>
        </w:rPr>
        <w:t xml:space="preserve">  李建明  李远文  桑  弘  </w:t>
      </w:r>
    </w:p>
    <w:p>
      <w:pPr>
        <w:ind w:firstLine="480"/>
        <w:rPr>
          <w:rFonts w:cs="Times New Roman"/>
          <w:szCs w:val="28"/>
        </w:rPr>
      </w:pPr>
      <w:r>
        <w:rPr>
          <w:rFonts w:hint="eastAsia" w:ascii="宋体" w:hAnsi="宋体" w:cs="Times New Roman"/>
          <w:szCs w:val="28"/>
          <w:lang w:eastAsia="zh-CN"/>
        </w:rPr>
        <w:t>本标准</w:t>
      </w:r>
      <w:r>
        <w:rPr>
          <w:rFonts w:ascii="宋体" w:hAnsi="宋体" w:cs="Times New Roman"/>
          <w:szCs w:val="28"/>
        </w:rPr>
        <w:t>主要</w:t>
      </w:r>
      <w:r>
        <w:rPr>
          <w:szCs w:val="28"/>
        </w:rPr>
        <w:t>审查</w:t>
      </w:r>
      <w:r>
        <w:rPr>
          <w:rFonts w:ascii="宋体" w:hAnsi="宋体" w:cs="Times New Roman"/>
          <w:szCs w:val="28"/>
        </w:rPr>
        <w:t>人员：</w:t>
      </w:r>
    </w:p>
    <w:p>
      <w:pPr>
        <w:ind w:firstLine="1920" w:firstLineChars="800"/>
        <w:rPr>
          <w:rFonts w:cs="Times New Roman"/>
          <w:szCs w:val="28"/>
        </w:rPr>
      </w:pPr>
    </w:p>
    <w:p>
      <w:pPr>
        <w:ind w:left="2400" w:hanging="2400" w:hangingChars="1000"/>
        <w:rPr>
          <w:rFonts w:cs="Times New Roman"/>
          <w:kern w:val="0"/>
          <w:szCs w:val="32"/>
        </w:rPr>
      </w:pPr>
      <w:r>
        <w:rPr>
          <w:rFonts w:cs="Times New Roman"/>
          <w:kern w:val="0"/>
          <w:szCs w:val="32"/>
        </w:rPr>
        <w:br w:type="page"/>
      </w:r>
    </w:p>
    <w:p>
      <w:pPr>
        <w:tabs>
          <w:tab w:val="left" w:pos="1134"/>
        </w:tabs>
        <w:jc w:val="center"/>
        <w:rPr>
          <w:rFonts w:cs="Times New Roman"/>
          <w:b/>
          <w:kern w:val="0"/>
          <w:sz w:val="32"/>
          <w:szCs w:val="32"/>
        </w:rPr>
      </w:pPr>
      <w:bookmarkStart w:id="39" w:name="OLE_LINK23"/>
      <w:r>
        <w:rPr>
          <w:rFonts w:cs="Times New Roman"/>
          <w:b/>
          <w:kern w:val="0"/>
          <w:sz w:val="32"/>
          <w:szCs w:val="32"/>
        </w:rPr>
        <w:t>目</w:t>
      </w:r>
      <w:r>
        <w:rPr>
          <w:rFonts w:hint="eastAsia" w:cs="Times New Roman"/>
          <w:b/>
          <w:kern w:val="0"/>
          <w:sz w:val="32"/>
          <w:szCs w:val="32"/>
        </w:rPr>
        <w:t xml:space="preserve">  </w:t>
      </w:r>
      <w:r>
        <w:rPr>
          <w:rFonts w:cs="Times New Roman"/>
          <w:b/>
          <w:kern w:val="0"/>
          <w:sz w:val="32"/>
          <w:szCs w:val="32"/>
        </w:rPr>
        <w:t>次</w:t>
      </w:r>
    </w:p>
    <w:bookmarkEnd w:id="39"/>
    <w:p>
      <w:pPr>
        <w:pStyle w:val="28"/>
        <w:tabs>
          <w:tab w:val="right" w:leader="dot" w:pos="9072"/>
        </w:tabs>
      </w:pPr>
      <w:r>
        <w:rPr>
          <w:rFonts w:cs="Times New Roman"/>
          <w:kern w:val="0"/>
          <w:szCs w:val="32"/>
        </w:rPr>
        <w:fldChar w:fldCharType="begin"/>
      </w:r>
      <w:r>
        <w:rPr>
          <w:rFonts w:cs="Times New Roman"/>
          <w:kern w:val="0"/>
          <w:szCs w:val="32"/>
        </w:rPr>
        <w:instrText xml:space="preserve"> TOC \o "1-2" \h \z \u </w:instrText>
      </w:r>
      <w:r>
        <w:rPr>
          <w:rFonts w:cs="Times New Roman"/>
          <w:kern w:val="0"/>
          <w:szCs w:val="32"/>
        </w:rPr>
        <w:fldChar w:fldCharType="separate"/>
      </w:r>
      <w:r>
        <w:rPr>
          <w:rFonts w:cs="Times New Roman"/>
          <w:kern w:val="0"/>
          <w:szCs w:val="32"/>
        </w:rPr>
        <w:fldChar w:fldCharType="begin"/>
      </w:r>
      <w:r>
        <w:rPr>
          <w:rFonts w:cs="Times New Roman"/>
          <w:kern w:val="0"/>
          <w:szCs w:val="32"/>
        </w:rPr>
        <w:instrText xml:space="preserve"> HYPERLINK \l _Toc11468 </w:instrText>
      </w:r>
      <w:r>
        <w:rPr>
          <w:rFonts w:cs="Times New Roman"/>
          <w:kern w:val="0"/>
          <w:szCs w:val="32"/>
        </w:rPr>
        <w:fldChar w:fldCharType="separate"/>
      </w:r>
      <w:r>
        <w:rPr>
          <w:rFonts w:cs="Times New Roman"/>
        </w:rPr>
        <w:t>1</w:t>
      </w:r>
      <w:r>
        <w:rPr>
          <w:rFonts w:hint="eastAsia" w:cs="Times New Roman"/>
        </w:rPr>
        <w:t xml:space="preserve">  </w:t>
      </w:r>
      <w:r>
        <w:rPr>
          <w:rFonts w:cs="Times New Roman"/>
        </w:rPr>
        <w:t>总则</w:t>
      </w:r>
      <w:r>
        <w:tab/>
      </w:r>
      <w:r>
        <w:fldChar w:fldCharType="begin"/>
      </w:r>
      <w:r>
        <w:instrText xml:space="preserve"> PAGEREF _Toc11468 \h </w:instrText>
      </w:r>
      <w:r>
        <w:fldChar w:fldCharType="separate"/>
      </w:r>
      <w:r>
        <w:t>8</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_Toc21697 </w:instrText>
      </w:r>
      <w:r>
        <w:rPr>
          <w:rFonts w:cs="Times New Roman"/>
          <w:kern w:val="0"/>
          <w:szCs w:val="32"/>
        </w:rPr>
        <w:fldChar w:fldCharType="separate"/>
      </w:r>
      <w:r>
        <w:rPr>
          <w:lang w:val="el-GR"/>
        </w:rPr>
        <w:t>2</w:t>
      </w:r>
      <w:r>
        <w:rPr>
          <w:rFonts w:hint="eastAsia"/>
        </w:rPr>
        <w:t xml:space="preserve">  </w:t>
      </w:r>
      <w:r>
        <w:rPr>
          <w:lang w:val="el-GR"/>
        </w:rPr>
        <w:t>术语</w:t>
      </w:r>
      <w:r>
        <w:tab/>
      </w:r>
      <w:r>
        <w:fldChar w:fldCharType="begin"/>
      </w:r>
      <w:r>
        <w:instrText xml:space="preserve"> PAGEREF _Toc21697 \h </w:instrText>
      </w:r>
      <w:r>
        <w:fldChar w:fldCharType="separate"/>
      </w:r>
      <w:r>
        <w:t>9</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_Toc13972 </w:instrText>
      </w:r>
      <w:r>
        <w:rPr>
          <w:rFonts w:cs="Times New Roman"/>
          <w:kern w:val="0"/>
          <w:szCs w:val="32"/>
        </w:rPr>
        <w:fldChar w:fldCharType="separate"/>
      </w:r>
      <w:r>
        <w:rPr>
          <w:rFonts w:cs="Times New Roman"/>
          <w:lang w:val="el-GR"/>
        </w:rPr>
        <w:t>3</w:t>
      </w:r>
      <w:r>
        <w:rPr>
          <w:rFonts w:hint="eastAsia" w:cs="Times New Roman"/>
        </w:rPr>
        <w:t xml:space="preserve">  </w:t>
      </w:r>
      <w:r>
        <w:rPr>
          <w:rFonts w:cs="Times New Roman"/>
          <w:lang w:val="el-GR"/>
        </w:rPr>
        <w:t>基本规定</w:t>
      </w:r>
      <w:r>
        <w:tab/>
      </w:r>
      <w:r>
        <w:fldChar w:fldCharType="begin"/>
      </w:r>
      <w:r>
        <w:instrText xml:space="preserve"> PAGEREF _Toc13972 \h </w:instrText>
      </w:r>
      <w:r>
        <w:fldChar w:fldCharType="separate"/>
      </w:r>
      <w:r>
        <w:t>11</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_Toc20790 </w:instrText>
      </w:r>
      <w:r>
        <w:rPr>
          <w:rFonts w:cs="Times New Roman"/>
          <w:kern w:val="0"/>
          <w:szCs w:val="32"/>
        </w:rPr>
        <w:fldChar w:fldCharType="separate"/>
      </w:r>
      <w:r>
        <w:rPr>
          <w:rFonts w:cs="Times New Roman" w:eastAsiaTheme="minorEastAsia"/>
          <w:szCs w:val="32"/>
        </w:rPr>
        <w:t>4</w:t>
      </w:r>
      <w:r>
        <w:rPr>
          <w:rFonts w:hint="eastAsia" w:asciiTheme="minorEastAsia" w:hAnsiTheme="minorEastAsia" w:eastAsiaTheme="minorEastAsia" w:cstheme="minorEastAsia"/>
          <w:szCs w:val="32"/>
        </w:rPr>
        <w:t xml:space="preserve">  混凝土构件的预制、存放和运输</w:t>
      </w:r>
      <w:r>
        <w:tab/>
      </w:r>
      <w:r>
        <w:fldChar w:fldCharType="begin"/>
      </w:r>
      <w:r>
        <w:instrText xml:space="preserve"> PAGEREF _Toc20790 \h </w:instrText>
      </w:r>
      <w:r>
        <w:fldChar w:fldCharType="separate"/>
      </w:r>
      <w:r>
        <w:t>12</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_Toc6511 </w:instrText>
      </w:r>
      <w:r>
        <w:rPr>
          <w:rFonts w:cs="Times New Roman"/>
          <w:kern w:val="0"/>
          <w:szCs w:val="32"/>
        </w:rPr>
        <w:fldChar w:fldCharType="separate"/>
      </w:r>
      <w:r>
        <w:rPr>
          <w:rFonts w:hint="eastAsia"/>
        </w:rPr>
        <w:t xml:space="preserve">4.1 </w:t>
      </w:r>
      <w:r>
        <w:t xml:space="preserve"> </w:t>
      </w:r>
      <w:r>
        <w:rPr>
          <w:rFonts w:hint="eastAsia"/>
        </w:rPr>
        <w:t>一般规定</w:t>
      </w:r>
      <w:r>
        <w:tab/>
      </w:r>
      <w:r>
        <w:fldChar w:fldCharType="begin"/>
      </w:r>
      <w:r>
        <w:instrText xml:space="preserve"> PAGEREF _Toc6511 \h </w:instrText>
      </w:r>
      <w:r>
        <w:fldChar w:fldCharType="separate"/>
      </w:r>
      <w:r>
        <w:t>12</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_Toc12059 </w:instrText>
      </w:r>
      <w:r>
        <w:rPr>
          <w:rFonts w:cs="Times New Roman"/>
          <w:kern w:val="0"/>
          <w:szCs w:val="32"/>
        </w:rPr>
        <w:fldChar w:fldCharType="separate"/>
      </w:r>
      <w:r>
        <w:rPr>
          <w:rFonts w:hint="eastAsia"/>
        </w:rPr>
        <w:t>4.2  材料</w:t>
      </w:r>
      <w:r>
        <w:tab/>
      </w:r>
      <w:r>
        <w:fldChar w:fldCharType="begin"/>
      </w:r>
      <w:r>
        <w:instrText xml:space="preserve"> PAGEREF _Toc12059 \h </w:instrText>
      </w:r>
      <w:r>
        <w:fldChar w:fldCharType="separate"/>
      </w:r>
      <w:r>
        <w:t>12</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_Toc16132 </w:instrText>
      </w:r>
      <w:r>
        <w:rPr>
          <w:rFonts w:cs="Times New Roman"/>
          <w:kern w:val="0"/>
          <w:szCs w:val="32"/>
        </w:rPr>
        <w:fldChar w:fldCharType="separate"/>
      </w:r>
      <w:r>
        <w:t>4.3</w:t>
      </w:r>
      <w:r>
        <w:rPr>
          <w:rFonts w:hint="eastAsia"/>
        </w:rPr>
        <w:t xml:space="preserve"> </w:t>
      </w:r>
      <w:r>
        <w:t xml:space="preserve"> 模具</w:t>
      </w:r>
      <w:r>
        <w:rPr>
          <w:rFonts w:hint="eastAsia"/>
          <w:lang w:val="en-US" w:eastAsia="zh-CN"/>
        </w:rPr>
        <w:t>安装</w:t>
      </w:r>
      <w:r>
        <w:tab/>
      </w:r>
      <w:r>
        <w:fldChar w:fldCharType="begin"/>
      </w:r>
      <w:r>
        <w:instrText xml:space="preserve"> PAGEREF _Toc16132 \h </w:instrText>
      </w:r>
      <w:r>
        <w:fldChar w:fldCharType="separate"/>
      </w:r>
      <w:r>
        <w:t>14</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_Toc2223 </w:instrText>
      </w:r>
      <w:r>
        <w:rPr>
          <w:rFonts w:cs="Times New Roman"/>
          <w:kern w:val="0"/>
          <w:szCs w:val="32"/>
        </w:rPr>
        <w:fldChar w:fldCharType="separate"/>
      </w:r>
      <w:r>
        <w:t xml:space="preserve">4.4 </w:t>
      </w:r>
      <w:r>
        <w:rPr>
          <w:rFonts w:hint="eastAsia"/>
        </w:rPr>
        <w:t xml:space="preserve"> </w:t>
      </w:r>
      <w:r>
        <w:t>钢筋</w:t>
      </w:r>
      <w:r>
        <w:rPr>
          <w:rFonts w:hint="eastAsia"/>
          <w:lang w:val="en-US" w:eastAsia="zh-CN"/>
        </w:rPr>
        <w:t>安装</w:t>
      </w:r>
      <w:r>
        <w:tab/>
      </w:r>
      <w:r>
        <w:fldChar w:fldCharType="begin"/>
      </w:r>
      <w:r>
        <w:instrText xml:space="preserve"> PAGEREF _Toc2223 \h </w:instrText>
      </w:r>
      <w:r>
        <w:fldChar w:fldCharType="separate"/>
      </w:r>
      <w:r>
        <w:t>15</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_Toc15077 </w:instrText>
      </w:r>
      <w:r>
        <w:rPr>
          <w:rFonts w:cs="Times New Roman"/>
          <w:kern w:val="0"/>
          <w:szCs w:val="32"/>
        </w:rPr>
        <w:fldChar w:fldCharType="separate"/>
      </w:r>
      <w:r>
        <w:t xml:space="preserve">4.5 </w:t>
      </w:r>
      <w:r>
        <w:rPr>
          <w:rFonts w:hint="eastAsia"/>
        </w:rPr>
        <w:t xml:space="preserve"> </w:t>
      </w:r>
      <w:r>
        <w:t>混凝土浇筑</w:t>
      </w:r>
      <w:r>
        <w:tab/>
      </w:r>
      <w:r>
        <w:fldChar w:fldCharType="begin"/>
      </w:r>
      <w:r>
        <w:instrText xml:space="preserve"> PAGEREF _Toc15077 \h </w:instrText>
      </w:r>
      <w:r>
        <w:fldChar w:fldCharType="separate"/>
      </w:r>
      <w:r>
        <w:t>16</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_Toc17484 </w:instrText>
      </w:r>
      <w:r>
        <w:rPr>
          <w:rFonts w:cs="Times New Roman"/>
          <w:kern w:val="0"/>
          <w:szCs w:val="32"/>
        </w:rPr>
        <w:fldChar w:fldCharType="separate"/>
      </w:r>
      <w:r>
        <w:t>4.6</w:t>
      </w:r>
      <w:r>
        <w:rPr>
          <w:rFonts w:hint="eastAsia"/>
        </w:rPr>
        <w:t xml:space="preserve"> </w:t>
      </w:r>
      <w:r>
        <w:t xml:space="preserve"> 构件养护</w:t>
      </w:r>
      <w:r>
        <w:tab/>
      </w:r>
      <w:r>
        <w:fldChar w:fldCharType="begin"/>
      </w:r>
      <w:r>
        <w:instrText xml:space="preserve"> PAGEREF _Toc17484 \h </w:instrText>
      </w:r>
      <w:r>
        <w:fldChar w:fldCharType="separate"/>
      </w:r>
      <w:r>
        <w:t>17</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_Toc7917 </w:instrText>
      </w:r>
      <w:r>
        <w:rPr>
          <w:rFonts w:cs="Times New Roman"/>
          <w:kern w:val="0"/>
          <w:szCs w:val="32"/>
        </w:rPr>
        <w:fldChar w:fldCharType="separate"/>
      </w:r>
      <w:r>
        <w:t xml:space="preserve">4.7 </w:t>
      </w:r>
      <w:r>
        <w:rPr>
          <w:rFonts w:hint="eastAsia"/>
        </w:rPr>
        <w:t xml:space="preserve"> </w:t>
      </w:r>
      <w:r>
        <w:t>构件</w:t>
      </w:r>
      <w:r>
        <w:rPr>
          <w:rFonts w:hint="eastAsia"/>
          <w:lang w:val="en-US" w:eastAsia="zh-CN"/>
        </w:rPr>
        <w:t>预制质量</w:t>
      </w:r>
      <w:r>
        <w:t>检验</w:t>
      </w:r>
      <w:r>
        <w:tab/>
      </w:r>
      <w:r>
        <w:fldChar w:fldCharType="begin"/>
      </w:r>
      <w:r>
        <w:instrText xml:space="preserve"> PAGEREF _Toc7917 \h </w:instrText>
      </w:r>
      <w:r>
        <w:fldChar w:fldCharType="separate"/>
      </w:r>
      <w:r>
        <w:t>17</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_Toc26043 </w:instrText>
      </w:r>
      <w:r>
        <w:rPr>
          <w:rFonts w:cs="Times New Roman"/>
          <w:kern w:val="0"/>
          <w:szCs w:val="32"/>
        </w:rPr>
        <w:fldChar w:fldCharType="separate"/>
      </w:r>
      <w:r>
        <w:t xml:space="preserve">4.8 </w:t>
      </w:r>
      <w:r>
        <w:rPr>
          <w:rFonts w:hint="eastAsia"/>
        </w:rPr>
        <w:t xml:space="preserve"> 存放</w:t>
      </w:r>
      <w:r>
        <w:rPr>
          <w:rFonts w:hint="eastAsia"/>
          <w:lang w:val="en-US" w:eastAsia="zh-CN"/>
        </w:rPr>
        <w:t>和</w:t>
      </w:r>
      <w:r>
        <w:t>运输</w:t>
      </w:r>
      <w:r>
        <w:tab/>
      </w:r>
      <w:r>
        <w:fldChar w:fldCharType="begin"/>
      </w:r>
      <w:r>
        <w:instrText xml:space="preserve"> PAGEREF _Toc26043 \h </w:instrText>
      </w:r>
      <w:r>
        <w:fldChar w:fldCharType="separate"/>
      </w:r>
      <w:r>
        <w:t>23</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_Toc7086 </w:instrText>
      </w:r>
      <w:r>
        <w:rPr>
          <w:rFonts w:cs="Times New Roman"/>
          <w:kern w:val="0"/>
          <w:szCs w:val="32"/>
        </w:rPr>
        <w:fldChar w:fldCharType="separate"/>
      </w:r>
      <w:r>
        <w:rPr>
          <w:rFonts w:hint="eastAsia" w:cs="Times New Roman"/>
        </w:rPr>
        <w:t>5  基坑（槽）与</w:t>
      </w:r>
      <w:r>
        <w:rPr>
          <w:rFonts w:cs="Times New Roman"/>
          <w:lang w:val="el-GR"/>
        </w:rPr>
        <w:t>地基基础</w:t>
      </w:r>
      <w:r>
        <w:tab/>
      </w:r>
      <w:r>
        <w:fldChar w:fldCharType="begin"/>
      </w:r>
      <w:r>
        <w:instrText xml:space="preserve"> PAGEREF _Toc7086 \h </w:instrText>
      </w:r>
      <w:r>
        <w:fldChar w:fldCharType="separate"/>
      </w:r>
      <w:r>
        <w:t>24</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_Toc28526 </w:instrText>
      </w:r>
      <w:r>
        <w:rPr>
          <w:rFonts w:cs="Times New Roman"/>
          <w:kern w:val="0"/>
          <w:szCs w:val="32"/>
        </w:rPr>
        <w:fldChar w:fldCharType="separate"/>
      </w:r>
      <w:r>
        <w:rPr>
          <w:rFonts w:cs="Times New Roman"/>
          <w:bCs w:val="0"/>
        </w:rPr>
        <w:t>5.1  一般规定</w:t>
      </w:r>
      <w:r>
        <w:tab/>
      </w:r>
      <w:r>
        <w:fldChar w:fldCharType="begin"/>
      </w:r>
      <w:r>
        <w:instrText xml:space="preserve"> PAGEREF _Toc28526 \h </w:instrText>
      </w:r>
      <w:r>
        <w:fldChar w:fldCharType="separate"/>
      </w:r>
      <w:r>
        <w:t>24</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_Toc5463 </w:instrText>
      </w:r>
      <w:r>
        <w:rPr>
          <w:rFonts w:cs="Times New Roman"/>
          <w:kern w:val="0"/>
          <w:szCs w:val="32"/>
        </w:rPr>
        <w:fldChar w:fldCharType="separate"/>
      </w:r>
      <w:r>
        <w:rPr>
          <w:rFonts w:cs="Times New Roman"/>
          <w:bCs w:val="0"/>
        </w:rPr>
        <w:t>5.2  基坑（槽）工程</w:t>
      </w:r>
      <w:r>
        <w:tab/>
      </w:r>
      <w:r>
        <w:fldChar w:fldCharType="begin"/>
      </w:r>
      <w:r>
        <w:instrText xml:space="preserve"> PAGEREF _Toc5463 \h </w:instrText>
      </w:r>
      <w:r>
        <w:fldChar w:fldCharType="separate"/>
      </w:r>
      <w:r>
        <w:t>24</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_Toc31312 </w:instrText>
      </w:r>
      <w:r>
        <w:rPr>
          <w:rFonts w:cs="Times New Roman"/>
          <w:kern w:val="0"/>
          <w:szCs w:val="32"/>
        </w:rPr>
        <w:fldChar w:fldCharType="separate"/>
      </w:r>
      <w:r>
        <w:rPr>
          <w:rFonts w:cs="Times New Roman"/>
          <w:bCs w:val="0"/>
        </w:rPr>
        <w:t>5.3  地基与基础工程</w:t>
      </w:r>
      <w:r>
        <w:tab/>
      </w:r>
      <w:r>
        <w:fldChar w:fldCharType="begin"/>
      </w:r>
      <w:r>
        <w:instrText xml:space="preserve"> PAGEREF _Toc31312 \h </w:instrText>
      </w:r>
      <w:r>
        <w:fldChar w:fldCharType="separate"/>
      </w:r>
      <w:r>
        <w:t>26</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_Toc22709 </w:instrText>
      </w:r>
      <w:r>
        <w:rPr>
          <w:rFonts w:cs="Times New Roman"/>
          <w:kern w:val="0"/>
          <w:szCs w:val="32"/>
        </w:rPr>
        <w:fldChar w:fldCharType="separate"/>
      </w:r>
      <w:r>
        <w:rPr>
          <w:rFonts w:cs="Times New Roman"/>
          <w:bCs w:val="0"/>
        </w:rPr>
        <w:t>5.4  基坑回填</w:t>
      </w:r>
      <w:r>
        <w:tab/>
      </w:r>
      <w:r>
        <w:fldChar w:fldCharType="begin"/>
      </w:r>
      <w:r>
        <w:instrText xml:space="preserve"> PAGEREF _Toc22709 \h </w:instrText>
      </w:r>
      <w:r>
        <w:fldChar w:fldCharType="separate"/>
      </w:r>
      <w:r>
        <w:t>26</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_Toc8521 </w:instrText>
      </w:r>
      <w:r>
        <w:rPr>
          <w:rFonts w:cs="Times New Roman"/>
          <w:kern w:val="0"/>
          <w:szCs w:val="32"/>
        </w:rPr>
        <w:fldChar w:fldCharType="separate"/>
      </w:r>
      <w:r>
        <w:rPr>
          <w:rFonts w:cs="Times New Roman"/>
          <w:bCs w:val="0"/>
        </w:rPr>
        <w:t>5.5  质量检验</w:t>
      </w:r>
      <w:r>
        <w:tab/>
      </w:r>
      <w:r>
        <w:fldChar w:fldCharType="begin"/>
      </w:r>
      <w:r>
        <w:instrText xml:space="preserve"> PAGEREF _Toc8521 \h </w:instrText>
      </w:r>
      <w:r>
        <w:fldChar w:fldCharType="separate"/>
      </w:r>
      <w:r>
        <w:t>27</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_Toc14645 </w:instrText>
      </w:r>
      <w:r>
        <w:rPr>
          <w:rFonts w:cs="Times New Roman"/>
          <w:kern w:val="0"/>
          <w:szCs w:val="32"/>
        </w:rPr>
        <w:fldChar w:fldCharType="separate"/>
      </w:r>
      <w:r>
        <w:rPr>
          <w:rFonts w:cs="Times New Roman" w:eastAsiaTheme="minorEastAsia"/>
          <w:szCs w:val="32"/>
        </w:rPr>
        <w:t xml:space="preserve">6 </w:t>
      </w:r>
      <w:r>
        <w:rPr>
          <w:rFonts w:hint="eastAsia" w:cs="Times New Roman" w:eastAsiaTheme="minorEastAsia"/>
          <w:szCs w:val="32"/>
        </w:rPr>
        <w:t xml:space="preserve"> </w:t>
      </w:r>
      <w:r>
        <w:rPr>
          <w:rFonts w:cs="Times New Roman" w:eastAsiaTheme="minorEastAsia"/>
          <w:szCs w:val="32"/>
        </w:rPr>
        <w:t>节段预制管廊的装配</w:t>
      </w:r>
      <w:r>
        <w:tab/>
      </w:r>
      <w:r>
        <w:fldChar w:fldCharType="begin"/>
      </w:r>
      <w:r>
        <w:instrText xml:space="preserve"> PAGEREF _Toc14645 \h </w:instrText>
      </w:r>
      <w:r>
        <w:fldChar w:fldCharType="separate"/>
      </w:r>
      <w:r>
        <w:t>31</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_Toc1449 </w:instrText>
      </w:r>
      <w:r>
        <w:rPr>
          <w:rFonts w:cs="Times New Roman"/>
          <w:kern w:val="0"/>
          <w:szCs w:val="32"/>
        </w:rPr>
        <w:fldChar w:fldCharType="separate"/>
      </w:r>
      <w:r>
        <w:t>6.1</w:t>
      </w:r>
      <w:r>
        <w:rPr>
          <w:rFonts w:hint="eastAsia"/>
        </w:rPr>
        <w:t xml:space="preserve"> </w:t>
      </w:r>
      <w:r>
        <w:t xml:space="preserve"> </w:t>
      </w:r>
      <w:r>
        <w:rPr>
          <w:rFonts w:hint="eastAsia"/>
        </w:rPr>
        <w:t>一般规定</w:t>
      </w:r>
      <w:r>
        <w:tab/>
      </w:r>
      <w:r>
        <w:fldChar w:fldCharType="begin"/>
      </w:r>
      <w:r>
        <w:instrText xml:space="preserve"> PAGEREF _Toc1449 \h </w:instrText>
      </w:r>
      <w:r>
        <w:fldChar w:fldCharType="separate"/>
      </w:r>
      <w:r>
        <w:t>31</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_Toc26650 </w:instrText>
      </w:r>
      <w:r>
        <w:rPr>
          <w:rFonts w:cs="Times New Roman"/>
          <w:kern w:val="0"/>
          <w:szCs w:val="32"/>
        </w:rPr>
        <w:fldChar w:fldCharType="separate"/>
      </w:r>
      <w:r>
        <w:t xml:space="preserve">6.2 </w:t>
      </w:r>
      <w:r>
        <w:rPr>
          <w:rFonts w:hint="eastAsia"/>
        </w:rPr>
        <w:t xml:space="preserve"> 节段管廊安装</w:t>
      </w:r>
      <w:r>
        <w:tab/>
      </w:r>
      <w:r>
        <w:fldChar w:fldCharType="begin"/>
      </w:r>
      <w:r>
        <w:instrText xml:space="preserve"> PAGEREF _Toc26650 \h </w:instrText>
      </w:r>
      <w:r>
        <w:fldChar w:fldCharType="separate"/>
      </w:r>
      <w:r>
        <w:t>31</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_Toc7183 </w:instrText>
      </w:r>
      <w:r>
        <w:rPr>
          <w:rFonts w:cs="Times New Roman"/>
          <w:kern w:val="0"/>
          <w:szCs w:val="32"/>
        </w:rPr>
        <w:fldChar w:fldCharType="separate"/>
      </w:r>
      <w:r>
        <w:t xml:space="preserve">6.3 </w:t>
      </w:r>
      <w:r>
        <w:rPr>
          <w:rFonts w:hint="eastAsia"/>
        </w:rPr>
        <w:t xml:space="preserve"> 节段管廊连接</w:t>
      </w:r>
      <w:r>
        <w:tab/>
      </w:r>
      <w:r>
        <w:fldChar w:fldCharType="begin"/>
      </w:r>
      <w:r>
        <w:instrText xml:space="preserve"> PAGEREF _Toc7183 \h </w:instrText>
      </w:r>
      <w:r>
        <w:fldChar w:fldCharType="separate"/>
      </w:r>
      <w:r>
        <w:t>34</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_Toc5700 </w:instrText>
      </w:r>
      <w:r>
        <w:rPr>
          <w:rFonts w:cs="Times New Roman"/>
          <w:kern w:val="0"/>
          <w:szCs w:val="32"/>
        </w:rPr>
        <w:fldChar w:fldCharType="separate"/>
      </w:r>
      <w:r>
        <w:rPr>
          <w:rFonts w:hint="eastAsia"/>
        </w:rPr>
        <w:t>6.4</w:t>
      </w:r>
      <w:r>
        <w:t xml:space="preserve"> </w:t>
      </w:r>
      <w:r>
        <w:rPr>
          <w:rFonts w:hint="eastAsia"/>
        </w:rPr>
        <w:t xml:space="preserve"> 质量检验</w:t>
      </w:r>
      <w:r>
        <w:tab/>
      </w:r>
      <w:r>
        <w:fldChar w:fldCharType="begin"/>
      </w:r>
      <w:r>
        <w:instrText xml:space="preserve"> PAGEREF _Toc5700 \h </w:instrText>
      </w:r>
      <w:r>
        <w:fldChar w:fldCharType="separate"/>
      </w:r>
      <w:r>
        <w:t>36</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_Toc11671 </w:instrText>
      </w:r>
      <w:r>
        <w:rPr>
          <w:rFonts w:cs="Times New Roman"/>
          <w:kern w:val="0"/>
          <w:szCs w:val="32"/>
        </w:rPr>
        <w:fldChar w:fldCharType="separate"/>
      </w:r>
      <w:r>
        <w:rPr>
          <w:rFonts w:hint="eastAsia"/>
        </w:rPr>
        <w:t>7  叠合预制管廊的装配</w:t>
      </w:r>
      <w:r>
        <w:tab/>
      </w:r>
      <w:r>
        <w:fldChar w:fldCharType="begin"/>
      </w:r>
      <w:r>
        <w:instrText xml:space="preserve"> PAGEREF _Toc11671 \h </w:instrText>
      </w:r>
      <w:r>
        <w:fldChar w:fldCharType="separate"/>
      </w:r>
      <w:r>
        <w:t>38</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_Toc15668 </w:instrText>
      </w:r>
      <w:r>
        <w:rPr>
          <w:rFonts w:cs="Times New Roman"/>
          <w:kern w:val="0"/>
          <w:szCs w:val="32"/>
        </w:rPr>
        <w:fldChar w:fldCharType="separate"/>
      </w:r>
      <w:r>
        <w:rPr>
          <w:rFonts w:cs="Times New Roman"/>
        </w:rPr>
        <w:t>7.1  一般规定</w:t>
      </w:r>
      <w:r>
        <w:tab/>
      </w:r>
      <w:r>
        <w:fldChar w:fldCharType="begin"/>
      </w:r>
      <w:r>
        <w:instrText xml:space="preserve"> PAGEREF _Toc15668 \h </w:instrText>
      </w:r>
      <w:r>
        <w:fldChar w:fldCharType="separate"/>
      </w:r>
      <w:r>
        <w:t>38</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_Toc5962 </w:instrText>
      </w:r>
      <w:r>
        <w:rPr>
          <w:rFonts w:cs="Times New Roman"/>
          <w:kern w:val="0"/>
          <w:szCs w:val="32"/>
        </w:rPr>
        <w:fldChar w:fldCharType="separate"/>
      </w:r>
      <w:r>
        <w:rPr>
          <w:rFonts w:hint="eastAsia"/>
        </w:rPr>
        <w:t xml:space="preserve">7.2 </w:t>
      </w:r>
      <w:r>
        <w:t xml:space="preserve"> </w:t>
      </w:r>
      <w:r>
        <w:rPr>
          <w:rFonts w:hint="eastAsia"/>
        </w:rPr>
        <w:t>叠合构件安装</w:t>
      </w:r>
      <w:r>
        <w:tab/>
      </w:r>
      <w:r>
        <w:fldChar w:fldCharType="begin"/>
      </w:r>
      <w:r>
        <w:instrText xml:space="preserve"> PAGEREF _Toc5962 \h </w:instrText>
      </w:r>
      <w:r>
        <w:fldChar w:fldCharType="separate"/>
      </w:r>
      <w:r>
        <w:t>38</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_Toc25116 </w:instrText>
      </w:r>
      <w:r>
        <w:rPr>
          <w:rFonts w:cs="Times New Roman"/>
          <w:kern w:val="0"/>
          <w:szCs w:val="32"/>
        </w:rPr>
        <w:fldChar w:fldCharType="separate"/>
      </w:r>
      <w:r>
        <w:rPr>
          <w:rFonts w:hint="eastAsia"/>
        </w:rPr>
        <w:t>7.3  钢筋和模板工程</w:t>
      </w:r>
      <w:r>
        <w:tab/>
      </w:r>
      <w:r>
        <w:fldChar w:fldCharType="begin"/>
      </w:r>
      <w:r>
        <w:instrText xml:space="preserve"> PAGEREF _Toc25116 \h </w:instrText>
      </w:r>
      <w:r>
        <w:fldChar w:fldCharType="separate"/>
      </w:r>
      <w:r>
        <w:t>39</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_Toc28119 </w:instrText>
      </w:r>
      <w:r>
        <w:rPr>
          <w:rFonts w:cs="Times New Roman"/>
          <w:kern w:val="0"/>
          <w:szCs w:val="32"/>
        </w:rPr>
        <w:fldChar w:fldCharType="separate"/>
      </w:r>
      <w:r>
        <w:rPr>
          <w:rFonts w:hint="eastAsia"/>
        </w:rPr>
        <w:t>7</w:t>
      </w:r>
      <w:r>
        <w:t>.</w:t>
      </w:r>
      <w:r>
        <w:rPr>
          <w:rFonts w:hint="eastAsia"/>
        </w:rPr>
        <w:t>4</w:t>
      </w:r>
      <w:r>
        <w:t xml:space="preserve">  </w:t>
      </w:r>
      <w:r>
        <w:rPr>
          <w:rFonts w:hint="eastAsia"/>
        </w:rPr>
        <w:t>混凝土浇筑</w:t>
      </w:r>
      <w:r>
        <w:tab/>
      </w:r>
      <w:r>
        <w:fldChar w:fldCharType="begin"/>
      </w:r>
      <w:r>
        <w:instrText xml:space="preserve"> PAGEREF _Toc28119 \h </w:instrText>
      </w:r>
      <w:r>
        <w:fldChar w:fldCharType="separate"/>
      </w:r>
      <w:r>
        <w:t>40</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_Toc24594 </w:instrText>
      </w:r>
      <w:r>
        <w:rPr>
          <w:rFonts w:cs="Times New Roman"/>
          <w:kern w:val="0"/>
          <w:szCs w:val="32"/>
        </w:rPr>
        <w:fldChar w:fldCharType="separate"/>
      </w:r>
      <w:r>
        <w:rPr>
          <w:rFonts w:hint="eastAsia"/>
        </w:rPr>
        <w:t>7</w:t>
      </w:r>
      <w:r>
        <w:t>.</w:t>
      </w:r>
      <w:r>
        <w:rPr>
          <w:rFonts w:hint="eastAsia"/>
        </w:rPr>
        <w:t xml:space="preserve">5 </w:t>
      </w:r>
      <w:r>
        <w:t xml:space="preserve"> </w:t>
      </w:r>
      <w:r>
        <w:rPr>
          <w:rFonts w:hint="eastAsia"/>
        </w:rPr>
        <w:t>质量检验</w:t>
      </w:r>
      <w:r>
        <w:tab/>
      </w:r>
      <w:r>
        <w:fldChar w:fldCharType="begin"/>
      </w:r>
      <w:r>
        <w:instrText xml:space="preserve"> PAGEREF _Toc24594 \h </w:instrText>
      </w:r>
      <w:r>
        <w:fldChar w:fldCharType="separate"/>
      </w:r>
      <w:r>
        <w:t>41</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_Toc22288 </w:instrText>
      </w:r>
      <w:r>
        <w:rPr>
          <w:rFonts w:cs="Times New Roman"/>
          <w:kern w:val="0"/>
          <w:szCs w:val="32"/>
        </w:rPr>
        <w:fldChar w:fldCharType="separate"/>
      </w:r>
      <w:r>
        <w:t>8.</w:t>
      </w:r>
      <w:r>
        <w:rPr>
          <w:rFonts w:hint="eastAsia"/>
        </w:rPr>
        <w:t xml:space="preserve"> 分块预制管廊的装配</w:t>
      </w:r>
      <w:r>
        <w:tab/>
      </w:r>
      <w:r>
        <w:fldChar w:fldCharType="begin"/>
      </w:r>
      <w:r>
        <w:instrText xml:space="preserve"> PAGEREF _Toc22288 \h </w:instrText>
      </w:r>
      <w:r>
        <w:fldChar w:fldCharType="separate"/>
      </w:r>
      <w:r>
        <w:t>43</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_Toc7990 </w:instrText>
      </w:r>
      <w:r>
        <w:rPr>
          <w:rFonts w:cs="Times New Roman"/>
          <w:kern w:val="0"/>
          <w:szCs w:val="32"/>
        </w:rPr>
        <w:fldChar w:fldCharType="separate"/>
      </w:r>
      <w:r>
        <w:rPr>
          <w:rFonts w:cs="Times New Roman"/>
          <w:szCs w:val="28"/>
        </w:rPr>
        <w:t xml:space="preserve">8.1 </w:t>
      </w:r>
      <w:r>
        <w:rPr>
          <w:rFonts w:hint="eastAsia" w:cs="Times New Roman"/>
          <w:szCs w:val="28"/>
        </w:rPr>
        <w:t xml:space="preserve"> </w:t>
      </w:r>
      <w:r>
        <w:rPr>
          <w:rFonts w:cs="Times New Roman"/>
          <w:szCs w:val="28"/>
        </w:rPr>
        <w:t>一般规定</w:t>
      </w:r>
      <w:r>
        <w:tab/>
      </w:r>
      <w:r>
        <w:fldChar w:fldCharType="begin"/>
      </w:r>
      <w:r>
        <w:instrText xml:space="preserve"> PAGEREF _Toc7990 \h </w:instrText>
      </w:r>
      <w:r>
        <w:fldChar w:fldCharType="separate"/>
      </w:r>
      <w:r>
        <w:t>43</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_Toc15570 </w:instrText>
      </w:r>
      <w:r>
        <w:rPr>
          <w:rFonts w:cs="Times New Roman"/>
          <w:kern w:val="0"/>
          <w:szCs w:val="32"/>
        </w:rPr>
        <w:fldChar w:fldCharType="separate"/>
      </w:r>
      <w:r>
        <w:rPr>
          <w:rFonts w:cs="Times New Roman"/>
          <w:szCs w:val="28"/>
        </w:rPr>
        <w:t xml:space="preserve">8.2 </w:t>
      </w:r>
      <w:r>
        <w:rPr>
          <w:rFonts w:hint="eastAsia" w:cs="Times New Roman"/>
          <w:szCs w:val="28"/>
        </w:rPr>
        <w:t xml:space="preserve"> </w:t>
      </w:r>
      <w:r>
        <w:rPr>
          <w:rFonts w:cs="Times New Roman"/>
          <w:szCs w:val="28"/>
        </w:rPr>
        <w:t>分块</w:t>
      </w:r>
      <w:r>
        <w:rPr>
          <w:rFonts w:hint="eastAsia" w:cs="Times New Roman"/>
          <w:szCs w:val="28"/>
        </w:rPr>
        <w:t>构件</w:t>
      </w:r>
      <w:r>
        <w:rPr>
          <w:rFonts w:cs="Times New Roman"/>
          <w:szCs w:val="28"/>
        </w:rPr>
        <w:t>安装</w:t>
      </w:r>
      <w:r>
        <w:tab/>
      </w:r>
      <w:r>
        <w:fldChar w:fldCharType="begin"/>
      </w:r>
      <w:r>
        <w:instrText xml:space="preserve"> PAGEREF _Toc15570 \h </w:instrText>
      </w:r>
      <w:r>
        <w:fldChar w:fldCharType="separate"/>
      </w:r>
      <w:r>
        <w:t>43</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_Toc18819 </w:instrText>
      </w:r>
      <w:r>
        <w:rPr>
          <w:rFonts w:cs="Times New Roman"/>
          <w:kern w:val="0"/>
          <w:szCs w:val="32"/>
        </w:rPr>
        <w:fldChar w:fldCharType="separate"/>
      </w:r>
      <w:r>
        <w:rPr>
          <w:rFonts w:cs="Times New Roman"/>
          <w:szCs w:val="28"/>
        </w:rPr>
        <w:t xml:space="preserve">8.3 </w:t>
      </w:r>
      <w:r>
        <w:rPr>
          <w:rFonts w:hint="eastAsia" w:cs="Times New Roman"/>
          <w:szCs w:val="28"/>
        </w:rPr>
        <w:t xml:space="preserve"> </w:t>
      </w:r>
      <w:r>
        <w:rPr>
          <w:rFonts w:cs="Times New Roman"/>
          <w:szCs w:val="28"/>
        </w:rPr>
        <w:t>分块</w:t>
      </w:r>
      <w:r>
        <w:rPr>
          <w:rFonts w:hint="eastAsia" w:cs="Times New Roman"/>
          <w:szCs w:val="28"/>
        </w:rPr>
        <w:t>构件</w:t>
      </w:r>
      <w:r>
        <w:rPr>
          <w:rFonts w:cs="Times New Roman"/>
          <w:szCs w:val="28"/>
        </w:rPr>
        <w:t>连接</w:t>
      </w:r>
      <w:r>
        <w:tab/>
      </w:r>
      <w:r>
        <w:fldChar w:fldCharType="begin"/>
      </w:r>
      <w:r>
        <w:instrText xml:space="preserve"> PAGEREF _Toc18819 \h </w:instrText>
      </w:r>
      <w:r>
        <w:fldChar w:fldCharType="separate"/>
      </w:r>
      <w:r>
        <w:t>44</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_Toc23505 </w:instrText>
      </w:r>
      <w:r>
        <w:rPr>
          <w:rFonts w:cs="Times New Roman"/>
          <w:kern w:val="0"/>
          <w:szCs w:val="32"/>
        </w:rPr>
        <w:fldChar w:fldCharType="separate"/>
      </w:r>
      <w:r>
        <w:rPr>
          <w:rFonts w:cs="Times New Roman"/>
          <w:szCs w:val="28"/>
        </w:rPr>
        <w:t xml:space="preserve">8.4 </w:t>
      </w:r>
      <w:r>
        <w:rPr>
          <w:rFonts w:hint="eastAsia" w:cs="Times New Roman"/>
          <w:szCs w:val="28"/>
          <w:lang w:val="en-US" w:eastAsia="zh-CN"/>
        </w:rPr>
        <w:t xml:space="preserve"> </w:t>
      </w:r>
      <w:r>
        <w:rPr>
          <w:rFonts w:cs="Times New Roman"/>
          <w:szCs w:val="28"/>
        </w:rPr>
        <w:t>质量检验</w:t>
      </w:r>
      <w:r>
        <w:tab/>
      </w:r>
      <w:r>
        <w:fldChar w:fldCharType="begin"/>
      </w:r>
      <w:r>
        <w:instrText xml:space="preserve"> PAGEREF _Toc23505 \h </w:instrText>
      </w:r>
      <w:r>
        <w:fldChar w:fldCharType="separate"/>
      </w:r>
      <w:r>
        <w:t>45</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_Toc249 </w:instrText>
      </w:r>
      <w:r>
        <w:rPr>
          <w:rFonts w:cs="Times New Roman"/>
          <w:kern w:val="0"/>
          <w:szCs w:val="32"/>
        </w:rPr>
        <w:fldChar w:fldCharType="separate"/>
      </w:r>
      <w:r>
        <w:rPr>
          <w:rFonts w:hint="eastAsia"/>
        </w:rPr>
        <w:t>9</w:t>
      </w:r>
      <w:r>
        <w:t xml:space="preserve"> </w:t>
      </w:r>
      <w:r>
        <w:rPr>
          <w:rFonts w:hint="eastAsia"/>
        </w:rPr>
        <w:t xml:space="preserve"> 节段预制管廊的顶进</w:t>
      </w:r>
      <w:r>
        <w:tab/>
      </w:r>
      <w:r>
        <w:fldChar w:fldCharType="begin"/>
      </w:r>
      <w:r>
        <w:instrText xml:space="preserve"> PAGEREF _Toc249 \h </w:instrText>
      </w:r>
      <w:r>
        <w:fldChar w:fldCharType="separate"/>
      </w:r>
      <w:r>
        <w:t>47</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_Toc11708 </w:instrText>
      </w:r>
      <w:r>
        <w:rPr>
          <w:rFonts w:cs="Times New Roman"/>
          <w:kern w:val="0"/>
          <w:szCs w:val="32"/>
        </w:rPr>
        <w:fldChar w:fldCharType="separate"/>
      </w:r>
      <w:r>
        <w:rPr>
          <w:rFonts w:cs="Times New Roman"/>
          <w:szCs w:val="32"/>
        </w:rPr>
        <w:t>9.1  一般规定</w:t>
      </w:r>
      <w:r>
        <w:tab/>
      </w:r>
      <w:r>
        <w:fldChar w:fldCharType="begin"/>
      </w:r>
      <w:r>
        <w:instrText xml:space="preserve"> PAGEREF _Toc11708 \h </w:instrText>
      </w:r>
      <w:r>
        <w:fldChar w:fldCharType="separate"/>
      </w:r>
      <w:r>
        <w:t>47</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_Toc366 </w:instrText>
      </w:r>
      <w:r>
        <w:rPr>
          <w:rFonts w:cs="Times New Roman"/>
          <w:kern w:val="0"/>
          <w:szCs w:val="32"/>
        </w:rPr>
        <w:fldChar w:fldCharType="separate"/>
      </w:r>
      <w:r>
        <w:rPr>
          <w:rFonts w:cs="Times New Roman"/>
          <w:szCs w:val="32"/>
        </w:rPr>
        <w:t>9.2  顶管始发与接收</w:t>
      </w:r>
      <w:r>
        <w:tab/>
      </w:r>
      <w:r>
        <w:fldChar w:fldCharType="begin"/>
      </w:r>
      <w:r>
        <w:instrText xml:space="preserve"> PAGEREF _Toc366 \h </w:instrText>
      </w:r>
      <w:r>
        <w:fldChar w:fldCharType="separate"/>
      </w:r>
      <w:r>
        <w:t>47</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_Toc11348 </w:instrText>
      </w:r>
      <w:r>
        <w:rPr>
          <w:rFonts w:cs="Times New Roman"/>
          <w:kern w:val="0"/>
          <w:szCs w:val="32"/>
        </w:rPr>
        <w:fldChar w:fldCharType="separate"/>
      </w:r>
      <w:r>
        <w:rPr>
          <w:rFonts w:cs="Times New Roman"/>
          <w:bCs/>
          <w:szCs w:val="32"/>
        </w:rPr>
        <w:t>9.3  顶管</w:t>
      </w:r>
      <w:r>
        <w:rPr>
          <w:rFonts w:hint="eastAsia" w:cs="Times New Roman"/>
          <w:bCs/>
          <w:szCs w:val="32"/>
          <w:lang w:eastAsia="zh-CN"/>
        </w:rPr>
        <w:t>顶进</w:t>
      </w:r>
      <w:r>
        <w:tab/>
      </w:r>
      <w:r>
        <w:fldChar w:fldCharType="begin"/>
      </w:r>
      <w:r>
        <w:instrText xml:space="preserve"> PAGEREF _Toc11348 \h </w:instrText>
      </w:r>
      <w:r>
        <w:fldChar w:fldCharType="separate"/>
      </w:r>
      <w:r>
        <w:t>48</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_Toc24032 </w:instrText>
      </w:r>
      <w:r>
        <w:rPr>
          <w:rFonts w:cs="Times New Roman"/>
          <w:kern w:val="0"/>
          <w:szCs w:val="32"/>
        </w:rPr>
        <w:fldChar w:fldCharType="separate"/>
      </w:r>
      <w:r>
        <w:rPr>
          <w:rFonts w:cs="Times New Roman"/>
          <w:bCs/>
          <w:szCs w:val="32"/>
        </w:rPr>
        <w:t>9.4</w:t>
      </w:r>
      <w:r>
        <w:rPr>
          <w:rFonts w:hint="eastAsia" w:cs="Times New Roman"/>
          <w:bCs/>
          <w:szCs w:val="32"/>
        </w:rPr>
        <w:t xml:space="preserve">  </w:t>
      </w:r>
      <w:r>
        <w:rPr>
          <w:rFonts w:cs="Times New Roman"/>
          <w:bCs/>
          <w:szCs w:val="32"/>
        </w:rPr>
        <w:t>质量</w:t>
      </w:r>
      <w:r>
        <w:rPr>
          <w:rFonts w:hint="eastAsia" w:cs="Times New Roman"/>
          <w:bCs/>
          <w:szCs w:val="32"/>
        </w:rPr>
        <w:t>检验</w:t>
      </w:r>
      <w:r>
        <w:tab/>
      </w:r>
      <w:r>
        <w:fldChar w:fldCharType="begin"/>
      </w:r>
      <w:r>
        <w:instrText xml:space="preserve"> PAGEREF _Toc24032 \h </w:instrText>
      </w:r>
      <w:r>
        <w:fldChar w:fldCharType="separate"/>
      </w:r>
      <w:r>
        <w:t>53</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_Toc1521 </w:instrText>
      </w:r>
      <w:r>
        <w:rPr>
          <w:rFonts w:cs="Times New Roman"/>
          <w:kern w:val="0"/>
          <w:szCs w:val="32"/>
        </w:rPr>
        <w:fldChar w:fldCharType="separate"/>
      </w:r>
      <w:r>
        <w:rPr>
          <w:rFonts w:hint="eastAsia"/>
        </w:rPr>
        <w:t>1</w:t>
      </w:r>
      <w:r>
        <w:rPr>
          <w:rFonts w:hint="eastAsia"/>
          <w:lang w:val="en-US" w:eastAsia="zh-CN"/>
        </w:rPr>
        <w:t>0</w:t>
      </w:r>
      <w:r>
        <w:rPr>
          <w:rFonts w:hint="eastAsia"/>
        </w:rPr>
        <w:t xml:space="preserve">  防水工程施工</w:t>
      </w:r>
      <w:r>
        <w:tab/>
      </w:r>
      <w:r>
        <w:fldChar w:fldCharType="begin"/>
      </w:r>
      <w:r>
        <w:instrText xml:space="preserve"> PAGEREF _Toc1521 \h </w:instrText>
      </w:r>
      <w:r>
        <w:fldChar w:fldCharType="separate"/>
      </w:r>
      <w:r>
        <w:t>55</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_Toc7503 </w:instrText>
      </w:r>
      <w:r>
        <w:rPr>
          <w:rFonts w:cs="Times New Roman"/>
          <w:kern w:val="0"/>
          <w:szCs w:val="32"/>
        </w:rPr>
        <w:fldChar w:fldCharType="separate"/>
      </w:r>
      <w:r>
        <w:rPr>
          <w:rFonts w:hint="default"/>
          <w:lang w:val="en-US" w:eastAsia="zh-CN"/>
        </w:rPr>
        <w:t>10.1  一般规定</w:t>
      </w:r>
      <w:r>
        <w:tab/>
      </w:r>
      <w:r>
        <w:fldChar w:fldCharType="begin"/>
      </w:r>
      <w:r>
        <w:instrText xml:space="preserve"> PAGEREF _Toc7503 \h </w:instrText>
      </w:r>
      <w:r>
        <w:fldChar w:fldCharType="separate"/>
      </w:r>
      <w:r>
        <w:t>55</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_Toc6007 </w:instrText>
      </w:r>
      <w:r>
        <w:rPr>
          <w:rFonts w:cs="Times New Roman"/>
          <w:kern w:val="0"/>
          <w:szCs w:val="32"/>
        </w:rPr>
        <w:fldChar w:fldCharType="separate"/>
      </w:r>
      <w:r>
        <w:rPr>
          <w:rFonts w:hint="default"/>
          <w:lang w:val="en-US" w:eastAsia="zh-CN"/>
        </w:rPr>
        <w:t>10.</w:t>
      </w:r>
      <w:r>
        <w:rPr>
          <w:rFonts w:hint="eastAsia"/>
          <w:lang w:val="en-US" w:eastAsia="zh-CN"/>
        </w:rPr>
        <w:t>2</w:t>
      </w:r>
      <w:r>
        <w:rPr>
          <w:rFonts w:hint="default"/>
          <w:lang w:val="en-US" w:eastAsia="zh-CN"/>
        </w:rPr>
        <w:t xml:space="preserve">  </w:t>
      </w:r>
      <w:r>
        <w:rPr>
          <w:rFonts w:hint="eastAsia"/>
          <w:lang w:val="en-US" w:eastAsia="zh-CN"/>
        </w:rPr>
        <w:t>防水施工</w:t>
      </w:r>
      <w:r>
        <w:tab/>
      </w:r>
      <w:r>
        <w:fldChar w:fldCharType="begin"/>
      </w:r>
      <w:r>
        <w:instrText xml:space="preserve"> PAGEREF _Toc6007 \h </w:instrText>
      </w:r>
      <w:r>
        <w:fldChar w:fldCharType="separate"/>
      </w:r>
      <w:r>
        <w:t>55</w:t>
      </w:r>
      <w:r>
        <w:fldChar w:fldCharType="end"/>
      </w:r>
      <w:r>
        <w:rPr>
          <w:rFonts w:cs="Times New Roman"/>
          <w:kern w:val="0"/>
          <w:szCs w:val="32"/>
        </w:rPr>
        <w:fldChar w:fldCharType="end"/>
      </w:r>
    </w:p>
    <w:p>
      <w:pPr>
        <w:pStyle w:val="32"/>
        <w:tabs>
          <w:tab w:val="right" w:leader="dot" w:pos="9072"/>
        </w:tabs>
      </w:pPr>
      <w:r>
        <w:rPr>
          <w:rFonts w:cs="Times New Roman"/>
          <w:kern w:val="0"/>
          <w:szCs w:val="32"/>
        </w:rPr>
        <w:fldChar w:fldCharType="begin"/>
      </w:r>
      <w:r>
        <w:rPr>
          <w:rFonts w:cs="Times New Roman"/>
          <w:kern w:val="0"/>
          <w:szCs w:val="32"/>
        </w:rPr>
        <w:instrText xml:space="preserve"> HYPERLINK \l _Toc23397 </w:instrText>
      </w:r>
      <w:r>
        <w:rPr>
          <w:rFonts w:cs="Times New Roman"/>
          <w:kern w:val="0"/>
          <w:szCs w:val="32"/>
        </w:rPr>
        <w:fldChar w:fldCharType="separate"/>
      </w:r>
      <w:r>
        <w:rPr>
          <w:rFonts w:hint="default"/>
          <w:lang w:val="en-US" w:eastAsia="zh-CN"/>
        </w:rPr>
        <w:t>10.</w:t>
      </w:r>
      <w:r>
        <w:rPr>
          <w:rFonts w:hint="eastAsia"/>
          <w:lang w:val="en-US" w:eastAsia="zh-CN"/>
        </w:rPr>
        <w:t>3</w:t>
      </w:r>
      <w:r>
        <w:rPr>
          <w:rFonts w:hint="default"/>
          <w:lang w:val="en-US" w:eastAsia="zh-CN"/>
        </w:rPr>
        <w:t xml:space="preserve">  </w:t>
      </w:r>
      <w:r>
        <w:rPr>
          <w:rFonts w:hint="eastAsia"/>
          <w:lang w:val="en-US" w:eastAsia="zh-CN"/>
        </w:rPr>
        <w:t>质量检验</w:t>
      </w:r>
      <w:r>
        <w:tab/>
      </w:r>
      <w:r>
        <w:fldChar w:fldCharType="begin"/>
      </w:r>
      <w:r>
        <w:instrText xml:space="preserve"> PAGEREF _Toc23397 \h </w:instrText>
      </w:r>
      <w:r>
        <w:fldChar w:fldCharType="separate"/>
      </w:r>
      <w:r>
        <w:t>58</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_Toc24279 </w:instrText>
      </w:r>
      <w:r>
        <w:rPr>
          <w:rFonts w:cs="Times New Roman"/>
          <w:kern w:val="0"/>
          <w:szCs w:val="32"/>
        </w:rPr>
        <w:fldChar w:fldCharType="separate"/>
      </w:r>
      <w:r>
        <w:t>1</w:t>
      </w:r>
      <w:r>
        <w:rPr>
          <w:rFonts w:hint="eastAsia"/>
          <w:lang w:val="en-US" w:eastAsia="zh-CN"/>
        </w:rPr>
        <w:t>1</w:t>
      </w:r>
      <w:r>
        <w:rPr>
          <w:rFonts w:hint="eastAsia"/>
        </w:rPr>
        <w:t xml:space="preserve">  工程验收</w:t>
      </w:r>
      <w:r>
        <w:tab/>
      </w:r>
      <w:r>
        <w:fldChar w:fldCharType="begin"/>
      </w:r>
      <w:r>
        <w:instrText xml:space="preserve"> PAGEREF _Toc24279 \h </w:instrText>
      </w:r>
      <w:r>
        <w:fldChar w:fldCharType="separate"/>
      </w:r>
      <w:r>
        <w:t>60</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_Toc29567 </w:instrText>
      </w:r>
      <w:r>
        <w:rPr>
          <w:rFonts w:cs="Times New Roman"/>
          <w:kern w:val="0"/>
          <w:szCs w:val="32"/>
        </w:rPr>
        <w:fldChar w:fldCharType="separate"/>
      </w:r>
      <w:r>
        <w:t>附录A</w:t>
      </w:r>
      <w:r>
        <w:rPr>
          <w:rFonts w:hint="eastAsia"/>
        </w:rPr>
        <w:t xml:space="preserve"> </w:t>
      </w:r>
      <w:r>
        <w:t xml:space="preserve"> 综合管廊分部、分项工程</w:t>
      </w:r>
      <w:r>
        <w:rPr>
          <w:rFonts w:hint="eastAsia"/>
        </w:rPr>
        <w:t>和检验批</w:t>
      </w:r>
      <w:r>
        <w:t>划分表</w:t>
      </w:r>
      <w:r>
        <w:tab/>
      </w:r>
      <w:r>
        <w:fldChar w:fldCharType="begin"/>
      </w:r>
      <w:r>
        <w:instrText xml:space="preserve"> PAGEREF _Toc29567 \h </w:instrText>
      </w:r>
      <w:r>
        <w:fldChar w:fldCharType="separate"/>
      </w:r>
      <w:r>
        <w:t>63</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_Toc29309 </w:instrText>
      </w:r>
      <w:r>
        <w:rPr>
          <w:rFonts w:cs="Times New Roman"/>
          <w:kern w:val="0"/>
          <w:szCs w:val="32"/>
        </w:rPr>
        <w:fldChar w:fldCharType="separate"/>
      </w:r>
      <w:r>
        <w:rPr>
          <w:rFonts w:hint="eastAsia"/>
        </w:rPr>
        <w:t>附录B</w:t>
      </w:r>
      <w:r>
        <w:t xml:space="preserve">  </w:t>
      </w:r>
      <w:r>
        <w:rPr>
          <w:rFonts w:hint="eastAsia"/>
        </w:rPr>
        <w:t>质量验收记录</w:t>
      </w:r>
      <w:r>
        <w:tab/>
      </w:r>
      <w:r>
        <w:fldChar w:fldCharType="begin"/>
      </w:r>
      <w:r>
        <w:instrText xml:space="preserve"> PAGEREF _Toc29309 \h </w:instrText>
      </w:r>
      <w:r>
        <w:fldChar w:fldCharType="separate"/>
      </w:r>
      <w:r>
        <w:t>64</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_Toc12495 </w:instrText>
      </w:r>
      <w:r>
        <w:rPr>
          <w:rFonts w:cs="Times New Roman"/>
          <w:kern w:val="0"/>
          <w:szCs w:val="32"/>
        </w:rPr>
        <w:fldChar w:fldCharType="separate"/>
      </w:r>
      <w:r>
        <w:rPr>
          <w:rFonts w:cs="Times New Roman"/>
        </w:rPr>
        <w:t>本</w:t>
      </w:r>
      <w:r>
        <w:rPr>
          <w:rFonts w:hint="eastAsia" w:cs="Times New Roman"/>
        </w:rPr>
        <w:t>标准</w:t>
      </w:r>
      <w:r>
        <w:rPr>
          <w:rFonts w:cs="Times New Roman"/>
        </w:rPr>
        <w:t>用词说明</w:t>
      </w:r>
      <w:r>
        <w:tab/>
      </w:r>
      <w:r>
        <w:fldChar w:fldCharType="begin"/>
      </w:r>
      <w:r>
        <w:instrText xml:space="preserve"> PAGEREF _Toc12495 \h </w:instrText>
      </w:r>
      <w:r>
        <w:fldChar w:fldCharType="separate"/>
      </w:r>
      <w:r>
        <w:t>67</w:t>
      </w:r>
      <w:r>
        <w:fldChar w:fldCharType="end"/>
      </w:r>
      <w:r>
        <w:rPr>
          <w:rFonts w:cs="Times New Roman"/>
          <w:kern w:val="0"/>
          <w:szCs w:val="32"/>
        </w:rPr>
        <w:fldChar w:fldCharType="end"/>
      </w:r>
    </w:p>
    <w:p>
      <w:pPr>
        <w:pStyle w:val="28"/>
        <w:tabs>
          <w:tab w:val="right" w:leader="dot" w:pos="9072"/>
        </w:tabs>
      </w:pPr>
      <w:r>
        <w:rPr>
          <w:rFonts w:cs="Times New Roman"/>
          <w:kern w:val="0"/>
          <w:szCs w:val="32"/>
        </w:rPr>
        <w:fldChar w:fldCharType="begin"/>
      </w:r>
      <w:r>
        <w:rPr>
          <w:rFonts w:cs="Times New Roman"/>
          <w:kern w:val="0"/>
          <w:szCs w:val="32"/>
        </w:rPr>
        <w:instrText xml:space="preserve"> HYPERLINK \l _Toc11622 </w:instrText>
      </w:r>
      <w:r>
        <w:rPr>
          <w:rFonts w:cs="Times New Roman"/>
          <w:kern w:val="0"/>
          <w:szCs w:val="32"/>
        </w:rPr>
        <w:fldChar w:fldCharType="separate"/>
      </w:r>
      <w:r>
        <w:rPr>
          <w:rFonts w:cs="Times New Roman"/>
          <w:bCs w:val="0"/>
          <w:kern w:val="0"/>
          <w:szCs w:val="20"/>
          <w:lang w:val="el-GR"/>
        </w:rPr>
        <w:t>引用标准名录</w:t>
      </w:r>
      <w:r>
        <w:tab/>
      </w:r>
      <w:r>
        <w:fldChar w:fldCharType="begin"/>
      </w:r>
      <w:r>
        <w:instrText xml:space="preserve"> PAGEREF _Toc11622 \h </w:instrText>
      </w:r>
      <w:r>
        <w:fldChar w:fldCharType="separate"/>
      </w:r>
      <w:r>
        <w:t>68</w:t>
      </w:r>
      <w:r>
        <w:fldChar w:fldCharType="end"/>
      </w:r>
      <w:r>
        <w:rPr>
          <w:rFonts w:cs="Times New Roman"/>
          <w:kern w:val="0"/>
          <w:szCs w:val="32"/>
        </w:rPr>
        <w:fldChar w:fldCharType="end"/>
      </w:r>
    </w:p>
    <w:p>
      <w:pPr>
        <w:autoSpaceDE w:val="0"/>
        <w:autoSpaceDN w:val="0"/>
        <w:adjustRightInd w:val="0"/>
        <w:spacing w:line="240" w:lineRule="auto"/>
        <w:jc w:val="center"/>
        <w:textAlignment w:val="auto"/>
        <w:rPr>
          <w:rFonts w:cs="Times New Roman" w:eastAsiaTheme="minorEastAsia"/>
          <w:kern w:val="0"/>
          <w:szCs w:val="32"/>
        </w:rPr>
      </w:pPr>
      <w:r>
        <w:rPr>
          <w:rFonts w:cs="Times New Roman"/>
          <w:kern w:val="0"/>
          <w:szCs w:val="32"/>
        </w:rPr>
        <w:fldChar w:fldCharType="end"/>
      </w:r>
      <w:r>
        <w:rPr>
          <w:rFonts w:cs="Times New Roman" w:eastAsiaTheme="minorEastAsia"/>
          <w:kern w:val="0"/>
          <w:szCs w:val="32"/>
        </w:rPr>
        <w:br w:type="page"/>
      </w:r>
    </w:p>
    <w:p>
      <w:pPr>
        <w:jc w:val="center"/>
        <w:rPr>
          <w:b/>
          <w:bCs/>
          <w:sz w:val="28"/>
          <w:szCs w:val="28"/>
        </w:rPr>
      </w:pPr>
      <w:r>
        <w:rPr>
          <w:b/>
          <w:bCs/>
          <w:sz w:val="28"/>
          <w:szCs w:val="28"/>
        </w:rPr>
        <w:t>Contents</w:t>
      </w:r>
    </w:p>
    <w:p>
      <w:pPr>
        <w:pStyle w:val="28"/>
        <w:tabs>
          <w:tab w:val="right" w:leader="dot" w:pos="8306"/>
        </w:tabs>
        <w:rPr>
          <w:rFonts w:cs="Times New Roman"/>
          <w:szCs w:val="24"/>
        </w:rPr>
      </w:pPr>
      <w:r>
        <w:rPr>
          <w:rFonts w:cs="Times New Roman"/>
          <w:szCs w:val="24"/>
        </w:rPr>
        <w:fldChar w:fldCharType="begin"/>
      </w:r>
      <w:r>
        <w:rPr>
          <w:rFonts w:cs="Times New Roman"/>
          <w:szCs w:val="24"/>
        </w:rPr>
        <w:instrText xml:space="preserve"> TOC \o "1-2" \h \z \u </w:instrText>
      </w:r>
      <w:r>
        <w:rPr>
          <w:rFonts w:cs="Times New Roman"/>
          <w:szCs w:val="24"/>
        </w:rPr>
        <w:fldChar w:fldCharType="separate"/>
      </w:r>
      <w:r>
        <w:fldChar w:fldCharType="begin"/>
      </w:r>
      <w:r>
        <w:instrText xml:space="preserve"> HYPERLINK \l "_Toc9811" </w:instrText>
      </w:r>
      <w:r>
        <w:fldChar w:fldCharType="separate"/>
      </w:r>
      <w:r>
        <w:rPr>
          <w:rFonts w:cs="Times New Roman"/>
          <w:szCs w:val="24"/>
        </w:rPr>
        <w:t>1  General provisions</w:t>
      </w:r>
      <w:r>
        <w:rPr>
          <w:rFonts w:cs="Times New Roman"/>
          <w:szCs w:val="24"/>
        </w:rPr>
        <w:tab/>
      </w:r>
      <w:r>
        <w:rPr>
          <w:rFonts w:hint="eastAsia" w:cs="Times New Roman"/>
          <w:szCs w:val="24"/>
          <w:lang w:val="en-US" w:eastAsia="zh-CN"/>
        </w:rPr>
        <w:t>8</w:t>
      </w:r>
      <w:r>
        <w:rPr>
          <w:rFonts w:cs="Times New Roman"/>
          <w:szCs w:val="24"/>
        </w:rPr>
        <w:fldChar w:fldCharType="end"/>
      </w:r>
    </w:p>
    <w:p>
      <w:pPr>
        <w:pStyle w:val="28"/>
        <w:tabs>
          <w:tab w:val="right" w:leader="dot" w:pos="8306"/>
        </w:tabs>
        <w:rPr>
          <w:rFonts w:cs="Times New Roman"/>
          <w:szCs w:val="24"/>
        </w:rPr>
      </w:pPr>
      <w:r>
        <w:fldChar w:fldCharType="begin"/>
      </w:r>
      <w:r>
        <w:instrText xml:space="preserve"> HYPERLINK \l "_Toc17044" </w:instrText>
      </w:r>
      <w:r>
        <w:fldChar w:fldCharType="separate"/>
      </w:r>
      <w:r>
        <w:rPr>
          <w:rFonts w:eastAsia="Times New Roman" w:cs="Times New Roman"/>
          <w:kern w:val="44"/>
          <w:szCs w:val="24"/>
        </w:rPr>
        <w:t xml:space="preserve">2  </w:t>
      </w:r>
      <w:r>
        <w:rPr>
          <w:rFonts w:cs="Times New Roman"/>
          <w:kern w:val="44"/>
          <w:szCs w:val="24"/>
        </w:rPr>
        <w:t>T</w:t>
      </w:r>
      <w:r>
        <w:rPr>
          <w:rFonts w:cs="Times New Roman"/>
          <w:szCs w:val="24"/>
        </w:rPr>
        <w:t>erms</w:t>
      </w:r>
      <w:r>
        <w:rPr>
          <w:rFonts w:cs="Times New Roman"/>
          <w:szCs w:val="24"/>
        </w:rPr>
        <w:tab/>
      </w:r>
      <w:r>
        <w:rPr>
          <w:rFonts w:hint="eastAsia" w:cs="Times New Roman"/>
          <w:szCs w:val="24"/>
          <w:lang w:val="en-US" w:eastAsia="zh-CN"/>
        </w:rPr>
        <w:t>9</w:t>
      </w:r>
      <w:r>
        <w:rPr>
          <w:rFonts w:cs="Times New Roman"/>
          <w:szCs w:val="24"/>
        </w:rPr>
        <w:fldChar w:fldCharType="end"/>
      </w:r>
    </w:p>
    <w:p>
      <w:pPr>
        <w:pStyle w:val="28"/>
        <w:tabs>
          <w:tab w:val="right" w:leader="dot" w:pos="8306"/>
        </w:tabs>
        <w:rPr>
          <w:rFonts w:hint="eastAsia" w:eastAsia="宋体" w:cs="Times New Roman"/>
          <w:szCs w:val="24"/>
          <w:lang w:val="en-US" w:eastAsia="zh-CN"/>
        </w:rPr>
      </w:pPr>
      <w:r>
        <w:fldChar w:fldCharType="begin"/>
      </w:r>
      <w:r>
        <w:instrText xml:space="preserve"> HYPERLINK \l "_Toc22395" </w:instrText>
      </w:r>
      <w:r>
        <w:fldChar w:fldCharType="separate"/>
      </w:r>
      <w:r>
        <w:rPr>
          <w:rFonts w:cs="Times New Roman"/>
          <w:szCs w:val="24"/>
        </w:rPr>
        <w:t>3  Basic requirements</w:t>
      </w:r>
      <w:r>
        <w:rPr>
          <w:rFonts w:cs="Times New Roman"/>
          <w:szCs w:val="24"/>
        </w:rPr>
        <w:tab/>
      </w:r>
      <w:r>
        <w:rPr>
          <w:rFonts w:hint="eastAsia" w:cs="Times New Roman"/>
          <w:szCs w:val="24"/>
          <w:lang w:val="en-US" w:eastAsia="zh-CN"/>
        </w:rPr>
        <w:t>1</w:t>
      </w:r>
      <w:r>
        <w:rPr>
          <w:rFonts w:cs="Times New Roman"/>
          <w:szCs w:val="24"/>
        </w:rPr>
        <w:fldChar w:fldCharType="end"/>
      </w:r>
      <w:r>
        <w:rPr>
          <w:rFonts w:hint="eastAsia" w:cs="Times New Roman"/>
          <w:szCs w:val="24"/>
          <w:lang w:val="en-US" w:eastAsia="zh-CN"/>
        </w:rPr>
        <w:t>1</w:t>
      </w:r>
    </w:p>
    <w:p>
      <w:pPr>
        <w:pStyle w:val="28"/>
        <w:tabs>
          <w:tab w:val="right" w:leader="dot" w:pos="8306"/>
        </w:tabs>
        <w:rPr>
          <w:rFonts w:hint="eastAsia" w:eastAsia="宋体" w:cs="Times New Roman"/>
          <w:szCs w:val="24"/>
          <w:lang w:val="en-US" w:eastAsia="zh-CN"/>
        </w:rPr>
      </w:pPr>
      <w:r>
        <w:fldChar w:fldCharType="begin"/>
      </w:r>
      <w:r>
        <w:instrText xml:space="preserve"> HYPERLINK \l "_Toc13196" </w:instrText>
      </w:r>
      <w:r>
        <w:fldChar w:fldCharType="separate"/>
      </w:r>
      <w:r>
        <w:rPr>
          <w:rFonts w:cs="Times New Roman"/>
          <w:szCs w:val="24"/>
        </w:rPr>
        <w:t xml:space="preserve">4  </w:t>
      </w:r>
      <w:r>
        <w:rPr>
          <w:rFonts w:hint="eastAsia" w:cs="Times New Roman"/>
          <w:szCs w:val="24"/>
        </w:rPr>
        <w:t>Concrete</w:t>
      </w:r>
      <w:r>
        <w:rPr>
          <w:rFonts w:hint="eastAsia" w:cs="Times New Roman"/>
          <w:szCs w:val="24"/>
          <w:lang w:val="en-US" w:eastAsia="zh-CN"/>
        </w:rPr>
        <w:t xml:space="preserve"> </w:t>
      </w:r>
      <w:r>
        <w:rPr>
          <w:rFonts w:hint="eastAsia"/>
          <w:b/>
          <w:bCs/>
          <w:lang w:val="en-US" w:eastAsia="zh-CN"/>
        </w:rPr>
        <w:t>member</w:t>
      </w:r>
      <w:r>
        <w:rPr>
          <w:rFonts w:cs="Times New Roman"/>
          <w:szCs w:val="24"/>
        </w:rPr>
        <w:t xml:space="preserve"> </w:t>
      </w:r>
      <w:r>
        <w:rPr>
          <w:rFonts w:hint="eastAsia"/>
          <w:b/>
          <w:bCs/>
          <w:lang w:val="en-US" w:eastAsia="zh-CN"/>
        </w:rPr>
        <w:t>p</w:t>
      </w:r>
      <w:r>
        <w:rPr>
          <w:rFonts w:hint="eastAsia"/>
          <w:b/>
          <w:bCs/>
        </w:rPr>
        <w:t>refabricating</w:t>
      </w:r>
      <w:r>
        <w:rPr>
          <w:rFonts w:hint="eastAsia"/>
          <w:b/>
          <w:bCs/>
          <w:lang w:eastAsia="zh-CN"/>
        </w:rPr>
        <w:t>、</w:t>
      </w:r>
      <w:r>
        <w:rPr>
          <w:rFonts w:hint="eastAsia"/>
          <w:b/>
          <w:bCs/>
          <w:lang w:val="en-US" w:eastAsia="zh-CN"/>
        </w:rPr>
        <w:t>storage and transporting</w:t>
      </w:r>
      <w:r>
        <w:rPr>
          <w:rFonts w:cs="Times New Roman"/>
          <w:szCs w:val="24"/>
        </w:rPr>
        <w:tab/>
      </w:r>
      <w:r>
        <w:rPr>
          <w:rFonts w:hint="eastAsia" w:cs="Times New Roman"/>
          <w:szCs w:val="24"/>
          <w:lang w:val="en-US" w:eastAsia="zh-CN"/>
        </w:rPr>
        <w:t>1</w:t>
      </w:r>
      <w:r>
        <w:rPr>
          <w:rFonts w:cs="Times New Roman"/>
          <w:szCs w:val="24"/>
        </w:rPr>
        <w:fldChar w:fldCharType="end"/>
      </w:r>
      <w:r>
        <w:rPr>
          <w:rFonts w:hint="eastAsia" w:cs="Times New Roman"/>
          <w:szCs w:val="24"/>
          <w:lang w:val="en-US" w:eastAsia="zh-CN"/>
        </w:rPr>
        <w:t>2</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"_Toc23322" </w:instrText>
      </w:r>
      <w:r>
        <w:fldChar w:fldCharType="separate"/>
      </w:r>
      <w:r>
        <w:rPr>
          <w:rFonts w:cs="Times New Roman"/>
          <w:szCs w:val="24"/>
        </w:rPr>
        <w:t>4.1  General requirements</w:t>
      </w:r>
      <w:r>
        <w:rPr>
          <w:rFonts w:cs="Times New Roman"/>
          <w:szCs w:val="24"/>
        </w:rPr>
        <w:tab/>
      </w:r>
      <w:r>
        <w:rPr>
          <w:rFonts w:cs="Times New Roman"/>
          <w:szCs w:val="24"/>
        </w:rPr>
        <w:fldChar w:fldCharType="end"/>
      </w:r>
      <w:r>
        <w:rPr>
          <w:rFonts w:hint="eastAsia" w:cs="Times New Roman"/>
          <w:szCs w:val="24"/>
          <w:lang w:val="en-US" w:eastAsia="zh-CN"/>
        </w:rPr>
        <w:t>12</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"_Toc18594" </w:instrText>
      </w:r>
      <w:r>
        <w:fldChar w:fldCharType="separate"/>
      </w:r>
      <w:r>
        <w:rPr>
          <w:rFonts w:cs="Times New Roman"/>
          <w:szCs w:val="24"/>
        </w:rPr>
        <w:t xml:space="preserve">4.2  </w:t>
      </w:r>
      <w:r>
        <w:rPr>
          <w:rFonts w:hint="eastAsia" w:cs="Times New Roman"/>
          <w:szCs w:val="24"/>
        </w:rPr>
        <w:t>Materials</w:t>
      </w:r>
      <w:r>
        <w:rPr>
          <w:rFonts w:cs="Times New Roman"/>
          <w:szCs w:val="24"/>
        </w:rPr>
        <w:tab/>
      </w:r>
      <w:r>
        <w:rPr>
          <w:rFonts w:cs="Times New Roman"/>
          <w:szCs w:val="24"/>
        </w:rPr>
        <w:fldChar w:fldCharType="end"/>
      </w:r>
      <w:r>
        <w:rPr>
          <w:rFonts w:hint="eastAsia" w:cs="Times New Roman"/>
          <w:szCs w:val="24"/>
          <w:lang w:val="en-US" w:eastAsia="zh-CN"/>
        </w:rPr>
        <w:t>12</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"_Toc19746" </w:instrText>
      </w:r>
      <w:r>
        <w:fldChar w:fldCharType="separate"/>
      </w:r>
      <w:r>
        <w:rPr>
          <w:rFonts w:cs="Times New Roman"/>
          <w:szCs w:val="24"/>
        </w:rPr>
        <w:t xml:space="preserve">4.3  </w:t>
      </w:r>
      <w:r>
        <w:t>Mold</w:t>
      </w:r>
      <w:r>
        <w:rPr>
          <w:rFonts w:hint="eastAsia"/>
        </w:rPr>
        <w:t xml:space="preserve"> installation</w:t>
      </w:r>
      <w:r>
        <w:rPr>
          <w:rFonts w:cs="Times New Roman"/>
          <w:szCs w:val="24"/>
        </w:rPr>
        <w:tab/>
      </w:r>
      <w:r>
        <w:rPr>
          <w:rFonts w:cs="Times New Roman"/>
          <w:szCs w:val="24"/>
        </w:rPr>
        <w:fldChar w:fldCharType="end"/>
      </w:r>
      <w:r>
        <w:rPr>
          <w:rFonts w:hint="eastAsia" w:cs="Times New Roman"/>
          <w:szCs w:val="24"/>
          <w:lang w:val="en-US" w:eastAsia="zh-CN"/>
        </w:rPr>
        <w:t>14</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"_Toc11082" </w:instrText>
      </w:r>
      <w:r>
        <w:fldChar w:fldCharType="separate"/>
      </w:r>
      <w:r>
        <w:rPr>
          <w:rFonts w:cs="Times New Roman"/>
          <w:szCs w:val="24"/>
        </w:rPr>
        <w:t xml:space="preserve">4.4  </w:t>
      </w:r>
      <w:r>
        <w:rPr>
          <w:rFonts w:hint="eastAsia" w:cs="Times New Roman"/>
          <w:lang w:val="en-US" w:eastAsia="zh-CN"/>
        </w:rPr>
        <w:t>R</w:t>
      </w:r>
      <w:r>
        <w:rPr>
          <w:rFonts w:hint="eastAsia" w:cs="Times New Roman"/>
        </w:rPr>
        <w:t xml:space="preserve">einforcement </w:t>
      </w:r>
      <w:r>
        <w:rPr>
          <w:rFonts w:hint="eastAsia"/>
        </w:rPr>
        <w:t>installation</w:t>
      </w:r>
      <w:r>
        <w:rPr>
          <w:rFonts w:cs="Times New Roman"/>
          <w:szCs w:val="24"/>
        </w:rPr>
        <w:tab/>
      </w:r>
      <w:r>
        <w:rPr>
          <w:rFonts w:cs="Times New Roman"/>
          <w:szCs w:val="24"/>
        </w:rPr>
        <w:fldChar w:fldCharType="end"/>
      </w:r>
      <w:r>
        <w:rPr>
          <w:rFonts w:hint="eastAsia" w:cs="Times New Roman"/>
          <w:szCs w:val="24"/>
          <w:lang w:val="en-US" w:eastAsia="zh-CN"/>
        </w:rPr>
        <w:t>15</w:t>
      </w:r>
    </w:p>
    <w:p>
      <w:pPr>
        <w:pStyle w:val="32"/>
        <w:tabs>
          <w:tab w:val="right" w:leader="dot" w:pos="8306"/>
        </w:tabs>
        <w:ind w:left="480"/>
        <w:rPr>
          <w:rFonts w:hint="eastAsia" w:eastAsia="宋体" w:cs="Times New Roman"/>
          <w:szCs w:val="24"/>
          <w:lang w:eastAsia="zh-CN"/>
        </w:rPr>
      </w:pPr>
      <w:r>
        <w:fldChar w:fldCharType="begin"/>
      </w:r>
      <w:r>
        <w:instrText xml:space="preserve"> HYPERLINK \l "_Toc5385" </w:instrText>
      </w:r>
      <w:r>
        <w:fldChar w:fldCharType="separate"/>
      </w:r>
      <w:r>
        <w:rPr>
          <w:rFonts w:cs="Times New Roman"/>
          <w:szCs w:val="24"/>
        </w:rPr>
        <w:t xml:space="preserve">4.5  </w:t>
      </w:r>
      <w:r>
        <w:rPr>
          <w:rFonts w:hint="eastAsia" w:cs="Times New Roman"/>
          <w:szCs w:val="24"/>
        </w:rPr>
        <w:t>Concrete pouring</w:t>
      </w:r>
      <w:r>
        <w:rPr>
          <w:rFonts w:cs="Times New Roman"/>
          <w:szCs w:val="24"/>
        </w:rPr>
        <w:tab/>
      </w:r>
      <w:r>
        <w:rPr>
          <w:rFonts w:cs="Times New Roman"/>
          <w:szCs w:val="24"/>
        </w:rPr>
        <w:t>1</w:t>
      </w:r>
      <w:r>
        <w:rPr>
          <w:rFonts w:cs="Times New Roman"/>
          <w:szCs w:val="24"/>
        </w:rPr>
        <w:fldChar w:fldCharType="end"/>
      </w:r>
      <w:r>
        <w:rPr>
          <w:rFonts w:hint="eastAsia" w:cs="Times New Roman"/>
          <w:szCs w:val="24"/>
          <w:lang w:val="en-US" w:eastAsia="zh-CN"/>
        </w:rPr>
        <w:t>6</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"_Toc19746" </w:instrText>
      </w:r>
      <w:r>
        <w:fldChar w:fldCharType="separate"/>
      </w:r>
      <w:r>
        <w:rPr>
          <w:rFonts w:cs="Times New Roman"/>
          <w:szCs w:val="24"/>
        </w:rPr>
        <w:t>4.</w:t>
      </w:r>
      <w:r>
        <w:rPr>
          <w:rFonts w:hint="eastAsia" w:cs="Times New Roman"/>
          <w:szCs w:val="24"/>
        </w:rPr>
        <w:t>6</w:t>
      </w:r>
      <w:r>
        <w:rPr>
          <w:rFonts w:cs="Times New Roman"/>
          <w:szCs w:val="24"/>
        </w:rPr>
        <w:t xml:space="preserve">  </w:t>
      </w:r>
      <w:r>
        <w:t>Member</w:t>
      </w:r>
      <w:r>
        <w:rPr>
          <w:rFonts w:hint="eastAsia"/>
        </w:rPr>
        <w:t>s</w:t>
      </w:r>
      <w:r>
        <w:t xml:space="preserve"> </w:t>
      </w:r>
      <w:r>
        <w:rPr>
          <w:rFonts w:hint="eastAsia"/>
        </w:rPr>
        <w:t>Curing</w:t>
      </w:r>
      <w:r>
        <w:rPr>
          <w:rFonts w:cs="Times New Roman"/>
          <w:szCs w:val="24"/>
        </w:rPr>
        <w:tab/>
      </w:r>
      <w:r>
        <w:rPr>
          <w:rFonts w:cs="Times New Roman"/>
          <w:szCs w:val="24"/>
        </w:rPr>
        <w:fldChar w:fldCharType="end"/>
      </w:r>
      <w:r>
        <w:rPr>
          <w:rFonts w:hint="eastAsia" w:cs="Times New Roman"/>
          <w:szCs w:val="24"/>
          <w:lang w:val="en-US" w:eastAsia="zh-CN"/>
        </w:rPr>
        <w:t>17</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"_Toc11082" </w:instrText>
      </w:r>
      <w:r>
        <w:fldChar w:fldCharType="separate"/>
      </w:r>
      <w:r>
        <w:rPr>
          <w:rFonts w:cs="Times New Roman"/>
          <w:szCs w:val="24"/>
        </w:rPr>
        <w:t>4.</w:t>
      </w:r>
      <w:r>
        <w:rPr>
          <w:rFonts w:hint="eastAsia" w:cs="Times New Roman"/>
          <w:szCs w:val="24"/>
        </w:rPr>
        <w:t>7</w:t>
      </w:r>
      <w:r>
        <w:rPr>
          <w:rFonts w:cs="Times New Roman"/>
          <w:szCs w:val="24"/>
        </w:rPr>
        <w:t xml:space="preserve">  </w:t>
      </w:r>
      <w:r>
        <w:t>Member</w:t>
      </w:r>
      <w:r>
        <w:rPr>
          <w:rFonts w:hint="eastAsia"/>
        </w:rPr>
        <w:t>s</w:t>
      </w:r>
      <w:r>
        <w:t xml:space="preserve"> </w:t>
      </w:r>
      <w:r>
        <w:rPr>
          <w:rFonts w:hint="eastAsia"/>
        </w:rPr>
        <w:t>prefabrication</w:t>
      </w:r>
      <w:r>
        <w:rPr>
          <w:rFonts w:hint="eastAsia"/>
          <w:lang w:val="en-US" w:eastAsia="zh-CN"/>
        </w:rPr>
        <w:t xml:space="preserve"> </w:t>
      </w:r>
      <w:r>
        <w:rPr>
          <w:rFonts w:hint="eastAsia" w:cs="Times New Roman"/>
          <w:szCs w:val="24"/>
        </w:rPr>
        <w:t>quality control</w:t>
      </w:r>
      <w:r>
        <w:rPr>
          <w:rFonts w:hint="eastAsia" w:cs="Times New Roman"/>
          <w:szCs w:val="24"/>
          <w:lang w:val="en-US" w:eastAsia="zh-CN"/>
        </w:rPr>
        <w:t xml:space="preserve"> </w:t>
      </w:r>
      <w:r>
        <w:rPr>
          <w:rFonts w:hint="eastAsia"/>
          <w:lang w:val="en-US" w:eastAsia="zh-CN"/>
        </w:rPr>
        <w:t>c</w:t>
      </w:r>
      <w:r>
        <w:rPr>
          <w:rFonts w:hint="eastAsia"/>
        </w:rPr>
        <w:t>heck</w:t>
      </w:r>
      <w:r>
        <w:rPr>
          <w:rFonts w:cs="Times New Roman"/>
          <w:szCs w:val="24"/>
        </w:rPr>
        <w:tab/>
      </w:r>
      <w:r>
        <w:rPr>
          <w:rFonts w:cs="Times New Roman"/>
          <w:szCs w:val="24"/>
        </w:rPr>
        <w:fldChar w:fldCharType="end"/>
      </w:r>
      <w:r>
        <w:rPr>
          <w:rFonts w:hint="eastAsia" w:cs="Times New Roman"/>
          <w:szCs w:val="24"/>
          <w:lang w:val="en-US" w:eastAsia="zh-CN"/>
        </w:rPr>
        <w:t>17</w:t>
      </w:r>
    </w:p>
    <w:p>
      <w:pPr>
        <w:pStyle w:val="32"/>
        <w:tabs>
          <w:tab w:val="right" w:leader="dot" w:pos="8306"/>
        </w:tabs>
        <w:ind w:left="480"/>
        <w:rPr>
          <w:rFonts w:cs="Times New Roman"/>
          <w:szCs w:val="24"/>
        </w:rPr>
      </w:pPr>
      <w:r>
        <w:fldChar w:fldCharType="begin"/>
      </w:r>
      <w:r>
        <w:instrText xml:space="preserve"> HYPERLINK \l "_Toc5385" </w:instrText>
      </w:r>
      <w:r>
        <w:fldChar w:fldCharType="separate"/>
      </w:r>
      <w:r>
        <w:rPr>
          <w:rFonts w:cs="Times New Roman"/>
          <w:szCs w:val="24"/>
        </w:rPr>
        <w:t>4.</w:t>
      </w:r>
      <w:r>
        <w:rPr>
          <w:rFonts w:hint="eastAsia" w:cs="Times New Roman"/>
          <w:szCs w:val="24"/>
        </w:rPr>
        <w:t>8</w:t>
      </w:r>
      <w:r>
        <w:rPr>
          <w:rFonts w:cs="Times New Roman"/>
          <w:szCs w:val="24"/>
        </w:rPr>
        <w:t xml:space="preserve">  </w:t>
      </w:r>
      <w:r>
        <w:rPr>
          <w:rFonts w:hint="eastAsia"/>
        </w:rPr>
        <w:t>Storage</w:t>
      </w:r>
      <w:r>
        <w:t xml:space="preserve"> </w:t>
      </w:r>
      <w:r>
        <w:rPr>
          <w:rFonts w:hint="eastAsia"/>
        </w:rPr>
        <w:t>and</w:t>
      </w:r>
      <w:r>
        <w:t xml:space="preserve"> </w:t>
      </w:r>
      <w:r>
        <w:rPr>
          <w:rFonts w:hint="eastAsia"/>
        </w:rPr>
        <w:t>transportation</w:t>
      </w:r>
      <w:r>
        <w:rPr>
          <w:rFonts w:cs="Times New Roman"/>
          <w:szCs w:val="24"/>
        </w:rPr>
        <w:tab/>
      </w:r>
      <w:r>
        <w:rPr>
          <w:rFonts w:hint="eastAsia" w:cs="Times New Roman"/>
          <w:szCs w:val="24"/>
          <w:lang w:val="en-US" w:eastAsia="zh-CN"/>
        </w:rPr>
        <w:t>2</w:t>
      </w:r>
      <w:r>
        <w:rPr>
          <w:rFonts w:cs="Times New Roman"/>
          <w:szCs w:val="24"/>
        </w:rPr>
        <w:fldChar w:fldCharType="end"/>
      </w:r>
      <w:r>
        <w:rPr>
          <w:rFonts w:hint="eastAsia" w:cs="Times New Roman"/>
          <w:szCs w:val="24"/>
          <w:lang w:val="en-US" w:eastAsia="zh-CN"/>
        </w:rPr>
        <w:t>3</w:t>
      </w:r>
    </w:p>
    <w:p>
      <w:pPr>
        <w:pStyle w:val="28"/>
        <w:tabs>
          <w:tab w:val="right" w:leader="dot" w:pos="8306"/>
        </w:tabs>
        <w:rPr>
          <w:rFonts w:cs="Times New Roman"/>
          <w:szCs w:val="24"/>
        </w:rPr>
      </w:pPr>
      <w:r>
        <w:fldChar w:fldCharType="begin"/>
      </w:r>
      <w:r>
        <w:instrText xml:space="preserve"> HYPERLINK \l "_Toc13719" </w:instrText>
      </w:r>
      <w:r>
        <w:fldChar w:fldCharType="separate"/>
      </w:r>
      <w:r>
        <w:rPr>
          <w:rFonts w:cs="Times New Roman" w:eastAsiaTheme="minorEastAsia"/>
          <w:szCs w:val="24"/>
        </w:rPr>
        <w:t xml:space="preserve">5  </w:t>
      </w:r>
      <w:r>
        <w:rPr>
          <w:rFonts w:hint="eastAsia" w:cs="Times New Roman" w:eastAsiaTheme="minorEastAsia"/>
          <w:szCs w:val="24"/>
        </w:rPr>
        <w:t>Trench and foundation</w:t>
      </w:r>
      <w:r>
        <w:rPr>
          <w:rFonts w:cs="Times New Roman"/>
          <w:szCs w:val="24"/>
        </w:rPr>
        <w:tab/>
      </w:r>
      <w:r>
        <w:rPr>
          <w:rFonts w:hint="eastAsia" w:cs="Times New Roman"/>
          <w:szCs w:val="24"/>
          <w:lang w:val="en-US" w:eastAsia="zh-CN"/>
        </w:rPr>
        <w:t>2</w:t>
      </w:r>
      <w:r>
        <w:rPr>
          <w:rFonts w:cs="Times New Roman"/>
          <w:szCs w:val="24"/>
        </w:rPr>
        <w:fldChar w:fldCharType="end"/>
      </w:r>
      <w:r>
        <w:rPr>
          <w:rFonts w:hint="eastAsia" w:cs="Times New Roman"/>
          <w:szCs w:val="24"/>
          <w:lang w:val="en-US" w:eastAsia="zh-CN"/>
        </w:rPr>
        <w:t>4</w:t>
      </w:r>
    </w:p>
    <w:p>
      <w:pPr>
        <w:pStyle w:val="32"/>
        <w:tabs>
          <w:tab w:val="right" w:leader="dot" w:pos="8306"/>
        </w:tabs>
        <w:ind w:left="480"/>
        <w:rPr>
          <w:rFonts w:cs="Times New Roman"/>
          <w:szCs w:val="24"/>
        </w:rPr>
      </w:pPr>
      <w:r>
        <w:fldChar w:fldCharType="begin"/>
      </w:r>
      <w:r>
        <w:instrText xml:space="preserve"> HYPERLINK \l "_Toc15171" </w:instrText>
      </w:r>
      <w:r>
        <w:fldChar w:fldCharType="separate"/>
      </w:r>
      <w:r>
        <w:rPr>
          <w:rFonts w:cs="Times New Roman"/>
          <w:szCs w:val="24"/>
        </w:rPr>
        <w:t>5.1  General requirements</w:t>
      </w:r>
      <w:r>
        <w:rPr>
          <w:rFonts w:cs="Times New Roman"/>
          <w:szCs w:val="24"/>
        </w:rPr>
        <w:tab/>
      </w:r>
      <w:r>
        <w:rPr>
          <w:rFonts w:cs="Times New Roman"/>
          <w:szCs w:val="24"/>
        </w:rPr>
        <w:fldChar w:fldCharType="end"/>
      </w:r>
      <w:r>
        <w:rPr>
          <w:rFonts w:hint="eastAsia" w:cs="Times New Roman"/>
          <w:szCs w:val="24"/>
          <w:lang w:val="en-US" w:eastAsia="zh-CN"/>
        </w:rPr>
        <w:t>24</w:t>
      </w:r>
    </w:p>
    <w:p>
      <w:pPr>
        <w:pStyle w:val="32"/>
        <w:tabs>
          <w:tab w:val="right" w:leader="dot" w:pos="8306"/>
        </w:tabs>
        <w:ind w:left="480"/>
        <w:rPr>
          <w:rFonts w:cs="Times New Roman"/>
          <w:szCs w:val="24"/>
        </w:rPr>
      </w:pPr>
      <w:r>
        <w:fldChar w:fldCharType="begin"/>
      </w:r>
      <w:r>
        <w:instrText xml:space="preserve"> HYPERLINK \l "_Toc12841" </w:instrText>
      </w:r>
      <w:r>
        <w:fldChar w:fldCharType="separate"/>
      </w:r>
      <w:r>
        <w:rPr>
          <w:rFonts w:cs="Times New Roman"/>
          <w:szCs w:val="24"/>
        </w:rPr>
        <w:t xml:space="preserve">5.2  </w:t>
      </w:r>
      <w:r>
        <w:rPr>
          <w:rFonts w:hint="eastAsia" w:cs="Times New Roman"/>
          <w:szCs w:val="24"/>
        </w:rPr>
        <w:t>Excavation engineering</w:t>
      </w:r>
      <w:r>
        <w:rPr>
          <w:rFonts w:cs="Times New Roman"/>
          <w:szCs w:val="24"/>
        </w:rPr>
        <w:tab/>
      </w:r>
      <w:r>
        <w:rPr>
          <w:rFonts w:hint="eastAsia" w:cs="Times New Roman"/>
          <w:szCs w:val="24"/>
          <w:lang w:val="en-US" w:eastAsia="zh-CN"/>
        </w:rPr>
        <w:t>2</w:t>
      </w:r>
      <w:r>
        <w:rPr>
          <w:rFonts w:cs="Times New Roman"/>
          <w:szCs w:val="24"/>
        </w:rPr>
        <w:fldChar w:fldCharType="end"/>
      </w:r>
      <w:r>
        <w:rPr>
          <w:rFonts w:hint="eastAsia" w:cs="Times New Roman"/>
          <w:szCs w:val="24"/>
          <w:lang w:val="en-US" w:eastAsia="zh-CN"/>
        </w:rPr>
        <w:t>4</w:t>
      </w:r>
    </w:p>
    <w:p>
      <w:pPr>
        <w:pStyle w:val="32"/>
        <w:tabs>
          <w:tab w:val="right" w:leader="dot" w:pos="8306"/>
        </w:tabs>
        <w:ind w:left="480"/>
        <w:rPr>
          <w:rFonts w:cs="Times New Roman"/>
          <w:szCs w:val="24"/>
        </w:rPr>
      </w:pPr>
      <w:r>
        <w:fldChar w:fldCharType="begin"/>
      </w:r>
      <w:r>
        <w:instrText xml:space="preserve"> HYPERLINK \l "_Toc15332" </w:instrText>
      </w:r>
      <w:r>
        <w:fldChar w:fldCharType="separate"/>
      </w:r>
      <w:r>
        <w:rPr>
          <w:rFonts w:cs="Times New Roman"/>
          <w:szCs w:val="24"/>
        </w:rPr>
        <w:t xml:space="preserve">5.3  </w:t>
      </w:r>
      <w:r>
        <w:rPr>
          <w:rFonts w:hint="eastAsia" w:cs="Times New Roman"/>
          <w:szCs w:val="24"/>
        </w:rPr>
        <w:t>Ground and foundation engineering</w:t>
      </w:r>
      <w:r>
        <w:rPr>
          <w:rFonts w:cs="Times New Roman"/>
          <w:szCs w:val="24"/>
        </w:rPr>
        <w:tab/>
      </w:r>
      <w:r>
        <w:rPr>
          <w:rFonts w:hint="eastAsia" w:cs="Times New Roman"/>
          <w:szCs w:val="24"/>
          <w:lang w:val="en-US" w:eastAsia="zh-CN"/>
        </w:rPr>
        <w:t>2</w:t>
      </w:r>
      <w:r>
        <w:rPr>
          <w:rFonts w:cs="Times New Roman"/>
          <w:szCs w:val="24"/>
        </w:rPr>
        <w:fldChar w:fldCharType="end"/>
      </w:r>
      <w:r>
        <w:rPr>
          <w:rFonts w:hint="eastAsia" w:cs="Times New Roman"/>
          <w:szCs w:val="24"/>
          <w:lang w:val="en-US" w:eastAsia="zh-CN"/>
        </w:rPr>
        <w:t>6</w:t>
      </w:r>
    </w:p>
    <w:p>
      <w:pPr>
        <w:pStyle w:val="32"/>
        <w:tabs>
          <w:tab w:val="right" w:leader="dot" w:pos="8306"/>
        </w:tabs>
        <w:ind w:left="480"/>
        <w:rPr>
          <w:rFonts w:cs="Times New Roman"/>
          <w:szCs w:val="24"/>
        </w:rPr>
      </w:pPr>
      <w:r>
        <w:fldChar w:fldCharType="begin"/>
      </w:r>
      <w:r>
        <w:instrText xml:space="preserve"> HYPERLINK \l "_Toc223" </w:instrText>
      </w:r>
      <w:r>
        <w:fldChar w:fldCharType="separate"/>
      </w:r>
      <w:r>
        <w:rPr>
          <w:rFonts w:cs="Times New Roman"/>
          <w:szCs w:val="24"/>
        </w:rPr>
        <w:t xml:space="preserve">5.4  </w:t>
      </w:r>
      <w:r>
        <w:rPr>
          <w:rFonts w:hint="eastAsia" w:cs="Times New Roman"/>
          <w:szCs w:val="24"/>
        </w:rPr>
        <w:t>Trench backfilling</w:t>
      </w:r>
      <w:r>
        <w:rPr>
          <w:rFonts w:cs="Times New Roman"/>
          <w:szCs w:val="24"/>
        </w:rPr>
        <w:tab/>
      </w:r>
      <w:r>
        <w:rPr>
          <w:rFonts w:hint="eastAsia" w:cs="Times New Roman"/>
          <w:szCs w:val="24"/>
          <w:lang w:val="en-US" w:eastAsia="zh-CN"/>
        </w:rPr>
        <w:t>2</w:t>
      </w:r>
      <w:r>
        <w:rPr>
          <w:rFonts w:cs="Times New Roman"/>
          <w:szCs w:val="24"/>
        </w:rPr>
        <w:fldChar w:fldCharType="end"/>
      </w:r>
      <w:r>
        <w:rPr>
          <w:rFonts w:hint="eastAsia" w:cs="Times New Roman"/>
          <w:szCs w:val="24"/>
          <w:lang w:val="en-US" w:eastAsia="zh-CN"/>
        </w:rPr>
        <w:t>6</w:t>
      </w:r>
    </w:p>
    <w:p>
      <w:pPr>
        <w:pStyle w:val="32"/>
        <w:tabs>
          <w:tab w:val="right" w:leader="dot" w:pos="8306"/>
        </w:tabs>
        <w:ind w:left="480"/>
        <w:rPr>
          <w:rFonts w:cs="Times New Roman"/>
          <w:szCs w:val="24"/>
        </w:rPr>
      </w:pPr>
      <w:r>
        <w:fldChar w:fldCharType="begin"/>
      </w:r>
      <w:r>
        <w:instrText xml:space="preserve"> HYPERLINK \l "_Toc17182" </w:instrText>
      </w:r>
      <w:r>
        <w:fldChar w:fldCharType="separate"/>
      </w:r>
      <w:r>
        <w:rPr>
          <w:rFonts w:cs="Times New Roman"/>
          <w:szCs w:val="24"/>
        </w:rPr>
        <w:fldChar w:fldCharType="end"/>
      </w:r>
      <w:r>
        <w:fldChar w:fldCharType="begin"/>
      </w:r>
      <w:r>
        <w:instrText xml:space="preserve"> HYPERLINK \l "_Toc19203" </w:instrText>
      </w:r>
      <w:r>
        <w:fldChar w:fldCharType="separate"/>
      </w:r>
      <w:r>
        <w:rPr>
          <w:rFonts w:cs="Times New Roman"/>
          <w:szCs w:val="24"/>
        </w:rPr>
        <w:t>5.</w:t>
      </w:r>
      <w:r>
        <w:rPr>
          <w:rFonts w:hint="eastAsia" w:cs="Times New Roman"/>
          <w:szCs w:val="24"/>
          <w:lang w:val="en-US" w:eastAsia="zh-CN"/>
        </w:rPr>
        <w:t>5</w:t>
      </w:r>
      <w:r>
        <w:rPr>
          <w:rFonts w:cs="Times New Roman"/>
          <w:szCs w:val="24"/>
        </w:rPr>
        <w:t xml:space="preserve">  </w:t>
      </w:r>
      <w:r>
        <w:rPr>
          <w:rFonts w:hint="eastAsia" w:cs="Times New Roman"/>
          <w:szCs w:val="24"/>
          <w:lang w:val="en-US" w:eastAsia="zh-CN"/>
        </w:rPr>
        <w:t>Q</w:t>
      </w:r>
      <w:r>
        <w:rPr>
          <w:rFonts w:hint="eastAsia" w:cs="Times New Roman"/>
          <w:szCs w:val="24"/>
        </w:rPr>
        <w:t>uality control</w:t>
      </w:r>
      <w:r>
        <w:rPr>
          <w:rFonts w:cs="Times New Roman"/>
          <w:szCs w:val="24"/>
        </w:rPr>
        <w:tab/>
      </w:r>
      <w:r>
        <w:rPr>
          <w:rFonts w:hint="eastAsia" w:cs="Times New Roman"/>
          <w:szCs w:val="24"/>
          <w:lang w:val="en-US" w:eastAsia="zh-CN"/>
        </w:rPr>
        <w:t>27</w:t>
      </w:r>
      <w:r>
        <w:rPr>
          <w:rFonts w:cs="Times New Roman"/>
          <w:szCs w:val="24"/>
        </w:rPr>
        <w:fldChar w:fldCharType="end"/>
      </w:r>
    </w:p>
    <w:p>
      <w:pPr>
        <w:pStyle w:val="28"/>
        <w:tabs>
          <w:tab w:val="right" w:leader="dot" w:pos="8306"/>
        </w:tabs>
        <w:rPr>
          <w:rFonts w:hint="default" w:eastAsia="宋体" w:cs="Times New Roman"/>
          <w:szCs w:val="24"/>
          <w:lang w:val="en-US" w:eastAsia="zh-CN"/>
        </w:rPr>
      </w:pPr>
      <w:r>
        <w:fldChar w:fldCharType="begin"/>
      </w:r>
      <w:r>
        <w:instrText xml:space="preserve"> HYPERLINK \l "_Toc32102" </w:instrText>
      </w:r>
      <w:r>
        <w:fldChar w:fldCharType="separate"/>
      </w:r>
      <w:r>
        <w:rPr>
          <w:rFonts w:cs="Times New Roman" w:eastAsiaTheme="minorEastAsia"/>
          <w:szCs w:val="24"/>
        </w:rPr>
        <w:t xml:space="preserve">6 </w:t>
      </w:r>
      <w:r>
        <w:t xml:space="preserve"> </w:t>
      </w:r>
      <w:r>
        <w:rPr>
          <w:rFonts w:cs="Times New Roman" w:eastAsiaTheme="minorEastAsia"/>
          <w:szCs w:val="24"/>
        </w:rPr>
        <w:t>S</w:t>
      </w:r>
      <w:r>
        <w:rPr>
          <w:rFonts w:cs="Times New Roman"/>
          <w:szCs w:val="24"/>
        </w:rPr>
        <w:t xml:space="preserve">egmental </w:t>
      </w:r>
      <w:r>
        <w:rPr>
          <w:rFonts w:hint="eastAsia" w:cs="Times New Roman"/>
          <w:szCs w:val="24"/>
        </w:rPr>
        <w:t xml:space="preserve">precast </w:t>
      </w:r>
      <w:r>
        <w:t>tunnel</w:t>
      </w:r>
      <w:r>
        <w:rPr>
          <w:rFonts w:hint="eastAsia"/>
        </w:rPr>
        <w:t xml:space="preserve"> </w:t>
      </w:r>
      <w:r>
        <w:rPr>
          <w:rFonts w:cs="Times New Roman"/>
          <w:szCs w:val="24"/>
        </w:rPr>
        <w:t>making</w:t>
      </w:r>
      <w:r>
        <w:rPr>
          <w:rFonts w:cs="Times New Roman"/>
          <w:szCs w:val="24"/>
        </w:rPr>
        <w:tab/>
      </w:r>
      <w:r>
        <w:rPr>
          <w:rFonts w:cs="Times New Roman"/>
          <w:szCs w:val="24"/>
        </w:rPr>
        <w:fldChar w:fldCharType="end"/>
      </w:r>
      <w:r>
        <w:rPr>
          <w:rFonts w:hint="eastAsia" w:cs="Times New Roman"/>
          <w:szCs w:val="24"/>
          <w:lang w:val="en-US" w:eastAsia="zh-CN"/>
        </w:rPr>
        <w:t>31</w:t>
      </w:r>
    </w:p>
    <w:p>
      <w:pPr>
        <w:pStyle w:val="32"/>
        <w:tabs>
          <w:tab w:val="right" w:leader="dot" w:pos="8306"/>
        </w:tabs>
        <w:ind w:left="480"/>
        <w:rPr>
          <w:rFonts w:hint="default" w:eastAsia="宋体" w:cs="Times New Roman"/>
          <w:szCs w:val="24"/>
          <w:lang w:val="en-US" w:eastAsia="zh-CN"/>
        </w:rPr>
      </w:pPr>
      <w:r>
        <w:fldChar w:fldCharType="begin"/>
      </w:r>
      <w:r>
        <w:instrText xml:space="preserve"> HYPERLINK \l "_Toc15253" </w:instrText>
      </w:r>
      <w:r>
        <w:fldChar w:fldCharType="separate"/>
      </w:r>
      <w:r>
        <w:rPr>
          <w:rFonts w:cs="Times New Roman"/>
          <w:szCs w:val="24"/>
        </w:rPr>
        <w:t>6.1  General requirements</w:t>
      </w:r>
      <w:r>
        <w:rPr>
          <w:rFonts w:cs="Times New Roman"/>
          <w:szCs w:val="24"/>
        </w:rPr>
        <w:tab/>
      </w:r>
      <w:r>
        <w:rPr>
          <w:rFonts w:cs="Times New Roman"/>
          <w:szCs w:val="24"/>
        </w:rPr>
        <w:fldChar w:fldCharType="end"/>
      </w:r>
      <w:r>
        <w:rPr>
          <w:rFonts w:hint="eastAsia" w:cs="Times New Roman"/>
          <w:szCs w:val="24"/>
          <w:lang w:val="en-US" w:eastAsia="zh-CN"/>
        </w:rPr>
        <w:t>31</w:t>
      </w:r>
    </w:p>
    <w:p>
      <w:pPr>
        <w:pStyle w:val="32"/>
        <w:tabs>
          <w:tab w:val="right" w:leader="dot" w:pos="8306"/>
        </w:tabs>
        <w:ind w:left="480"/>
        <w:rPr>
          <w:rFonts w:hint="eastAsia" w:eastAsia="宋体" w:cs="Times New Roman"/>
          <w:szCs w:val="24"/>
          <w:lang w:val="en-US" w:eastAsia="zh-CN"/>
        </w:rPr>
      </w:pPr>
      <w:r>
        <w:fldChar w:fldCharType="begin"/>
      </w:r>
      <w:r>
        <w:instrText xml:space="preserve"> HYPERLINK \l "_Toc21443" </w:instrText>
      </w:r>
      <w:r>
        <w:fldChar w:fldCharType="separate"/>
      </w:r>
      <w:r>
        <w:rPr>
          <w:rFonts w:cs="Times New Roman"/>
          <w:szCs w:val="24"/>
        </w:rPr>
        <w:t xml:space="preserve">6.2  </w:t>
      </w:r>
      <w:r>
        <w:rPr>
          <w:rFonts w:hint="eastAsia" w:cs="Times New Roman"/>
          <w:szCs w:val="24"/>
        </w:rPr>
        <w:t>Tunnel segmental installation</w:t>
      </w:r>
      <w:r>
        <w:rPr>
          <w:rFonts w:cs="Times New Roman"/>
          <w:szCs w:val="24"/>
        </w:rPr>
        <w:tab/>
      </w:r>
      <w:r>
        <w:rPr>
          <w:rFonts w:hint="eastAsia" w:cs="Times New Roman"/>
          <w:szCs w:val="24"/>
          <w:lang w:val="en-US" w:eastAsia="zh-CN"/>
        </w:rPr>
        <w:t>3</w:t>
      </w:r>
      <w:r>
        <w:rPr>
          <w:rFonts w:cs="Times New Roman"/>
          <w:szCs w:val="24"/>
        </w:rPr>
        <w:fldChar w:fldCharType="end"/>
      </w:r>
      <w:r>
        <w:rPr>
          <w:rFonts w:hint="eastAsia" w:cs="Times New Roman"/>
          <w:szCs w:val="24"/>
          <w:lang w:val="en-US" w:eastAsia="zh-CN"/>
        </w:rPr>
        <w:t>1</w:t>
      </w:r>
    </w:p>
    <w:p>
      <w:pPr>
        <w:pStyle w:val="32"/>
        <w:tabs>
          <w:tab w:val="right" w:leader="dot" w:pos="8306"/>
        </w:tabs>
        <w:ind w:left="480"/>
        <w:rPr>
          <w:rFonts w:hint="eastAsia" w:eastAsia="宋体" w:cs="Times New Roman"/>
          <w:szCs w:val="24"/>
          <w:lang w:val="en-US" w:eastAsia="zh-CN"/>
        </w:rPr>
      </w:pPr>
      <w:r>
        <w:fldChar w:fldCharType="begin"/>
      </w:r>
      <w:r>
        <w:instrText xml:space="preserve"> HYPERLINK \l "_Toc12793" </w:instrText>
      </w:r>
      <w:r>
        <w:fldChar w:fldCharType="separate"/>
      </w:r>
      <w:r>
        <w:rPr>
          <w:rFonts w:cs="Times New Roman"/>
          <w:szCs w:val="24"/>
        </w:rPr>
        <w:t xml:space="preserve">6.3  </w:t>
      </w:r>
      <w:r>
        <w:rPr>
          <w:rFonts w:hint="eastAsia" w:cs="Times New Roman"/>
        </w:rPr>
        <w:t>Tunnel segmental connection</w:t>
      </w:r>
      <w:r>
        <w:rPr>
          <w:rFonts w:cs="Times New Roman"/>
          <w:szCs w:val="24"/>
        </w:rPr>
        <w:tab/>
      </w:r>
      <w:r>
        <w:rPr>
          <w:rFonts w:hint="eastAsia" w:cs="Times New Roman"/>
          <w:szCs w:val="24"/>
          <w:lang w:val="en-US" w:eastAsia="zh-CN"/>
        </w:rPr>
        <w:t>3</w:t>
      </w:r>
      <w:r>
        <w:rPr>
          <w:rFonts w:cs="Times New Roman"/>
          <w:szCs w:val="24"/>
        </w:rPr>
        <w:fldChar w:fldCharType="end"/>
      </w:r>
      <w:r>
        <w:rPr>
          <w:rFonts w:hint="eastAsia" w:cs="Times New Roman"/>
          <w:szCs w:val="24"/>
          <w:lang w:val="en-US" w:eastAsia="zh-CN"/>
        </w:rPr>
        <w:t>4</w:t>
      </w:r>
    </w:p>
    <w:p>
      <w:pPr>
        <w:pStyle w:val="32"/>
        <w:tabs>
          <w:tab w:val="right" w:leader="dot" w:pos="8306"/>
        </w:tabs>
        <w:ind w:left="480"/>
        <w:rPr>
          <w:rFonts w:hint="eastAsia" w:eastAsia="宋体" w:cs="Times New Roman"/>
          <w:szCs w:val="24"/>
          <w:lang w:eastAsia="zh-CN"/>
        </w:rPr>
      </w:pPr>
      <w:r>
        <w:fldChar w:fldCharType="begin"/>
      </w:r>
      <w:r>
        <w:instrText xml:space="preserve"> HYPERLINK \l "_Toc1610" </w:instrText>
      </w:r>
      <w:r>
        <w:fldChar w:fldCharType="separate"/>
      </w:r>
      <w:r>
        <w:rPr>
          <w:rFonts w:cs="Times New Roman"/>
          <w:szCs w:val="24"/>
        </w:rPr>
        <w:t xml:space="preserve">6.4  </w:t>
      </w:r>
      <w:r>
        <w:rPr>
          <w:rFonts w:hint="eastAsia" w:cs="Times New Roman"/>
          <w:szCs w:val="24"/>
          <w:lang w:val="en-US" w:eastAsia="zh-CN"/>
        </w:rPr>
        <w:t>Q</w:t>
      </w:r>
      <w:r>
        <w:rPr>
          <w:rFonts w:hint="eastAsia" w:cs="Times New Roman"/>
          <w:szCs w:val="24"/>
        </w:rPr>
        <w:t>uality control</w:t>
      </w:r>
      <w:r>
        <w:rPr>
          <w:rFonts w:cs="Times New Roman"/>
          <w:szCs w:val="24"/>
        </w:rPr>
        <w:tab/>
      </w:r>
      <w:r>
        <w:rPr>
          <w:rFonts w:hint="eastAsia" w:cs="Times New Roman"/>
          <w:szCs w:val="24"/>
        </w:rPr>
        <w:t>3</w:t>
      </w:r>
      <w:r>
        <w:rPr>
          <w:rFonts w:hint="eastAsia" w:cs="Times New Roman"/>
          <w:szCs w:val="24"/>
        </w:rPr>
        <w:fldChar w:fldCharType="end"/>
      </w:r>
      <w:r>
        <w:rPr>
          <w:rFonts w:hint="eastAsia" w:cs="Times New Roman"/>
          <w:szCs w:val="24"/>
          <w:lang w:val="en-US" w:eastAsia="zh-CN"/>
        </w:rPr>
        <w:t>6</w:t>
      </w:r>
    </w:p>
    <w:p>
      <w:pPr>
        <w:pStyle w:val="28"/>
        <w:tabs>
          <w:tab w:val="right" w:leader="dot" w:pos="8306"/>
        </w:tabs>
        <w:rPr>
          <w:rFonts w:cs="Times New Roman"/>
          <w:szCs w:val="24"/>
        </w:rPr>
      </w:pPr>
      <w:r>
        <w:fldChar w:fldCharType="begin"/>
      </w:r>
      <w:r>
        <w:instrText xml:space="preserve"> HYPERLINK \l "_Toc14330" </w:instrText>
      </w:r>
      <w:r>
        <w:fldChar w:fldCharType="separate"/>
      </w:r>
      <w:r>
        <w:rPr>
          <w:rFonts w:cs="Times New Roman" w:eastAsiaTheme="minorEastAsia"/>
          <w:szCs w:val="24"/>
        </w:rPr>
        <w:t xml:space="preserve">7  </w:t>
      </w:r>
      <w:r>
        <w:rPr>
          <w:rFonts w:hint="eastAsia" w:cs="Times New Roman" w:eastAsiaTheme="minorEastAsia"/>
          <w:szCs w:val="24"/>
        </w:rPr>
        <w:t xml:space="preserve">Composite assembly tunnel </w:t>
      </w:r>
      <w:r>
        <w:rPr>
          <w:rFonts w:cs="Times New Roman"/>
          <w:szCs w:val="24"/>
        </w:rPr>
        <w:t>making</w:t>
      </w:r>
      <w:r>
        <w:rPr>
          <w:rFonts w:cs="Times New Roman"/>
          <w:szCs w:val="24"/>
        </w:rPr>
        <w:tab/>
      </w:r>
      <w:r>
        <w:rPr>
          <w:rFonts w:cs="Times New Roman"/>
          <w:szCs w:val="24"/>
        </w:rPr>
        <w:fldChar w:fldCharType="end"/>
      </w:r>
      <w:r>
        <w:rPr>
          <w:rFonts w:hint="eastAsia" w:cs="Times New Roman"/>
          <w:szCs w:val="24"/>
          <w:lang w:val="en-US" w:eastAsia="zh-CN"/>
        </w:rPr>
        <w:t>38</w:t>
      </w:r>
    </w:p>
    <w:p>
      <w:pPr>
        <w:pStyle w:val="32"/>
        <w:tabs>
          <w:tab w:val="right" w:leader="dot" w:pos="8306"/>
        </w:tabs>
        <w:ind w:left="480"/>
        <w:rPr>
          <w:rFonts w:cs="Times New Roman"/>
          <w:szCs w:val="24"/>
        </w:rPr>
      </w:pPr>
      <w:r>
        <w:fldChar w:fldCharType="begin"/>
      </w:r>
      <w:r>
        <w:instrText xml:space="preserve"> HYPERLINK \l "_Toc6715" </w:instrText>
      </w:r>
      <w:r>
        <w:fldChar w:fldCharType="separate"/>
      </w:r>
      <w:r>
        <w:rPr>
          <w:rFonts w:cs="Times New Roman"/>
          <w:szCs w:val="24"/>
        </w:rPr>
        <w:t>7.1  General requirements</w:t>
      </w:r>
      <w:r>
        <w:rPr>
          <w:rFonts w:cs="Times New Roman"/>
          <w:szCs w:val="24"/>
        </w:rPr>
        <w:tab/>
      </w:r>
      <w:r>
        <w:rPr>
          <w:rFonts w:hint="eastAsia" w:cs="Times New Roman"/>
          <w:szCs w:val="24"/>
          <w:lang w:val="en-US" w:eastAsia="zh-CN"/>
        </w:rPr>
        <w:t>3</w:t>
      </w:r>
      <w:r>
        <w:rPr>
          <w:rFonts w:cs="Times New Roman"/>
          <w:szCs w:val="24"/>
        </w:rPr>
        <w:fldChar w:fldCharType="end"/>
      </w:r>
      <w:r>
        <w:rPr>
          <w:rFonts w:hint="eastAsia" w:cs="Times New Roman"/>
          <w:szCs w:val="24"/>
          <w:lang w:val="en-US" w:eastAsia="zh-CN"/>
        </w:rPr>
        <w:t>8</w:t>
      </w:r>
    </w:p>
    <w:p>
      <w:pPr>
        <w:pStyle w:val="32"/>
        <w:tabs>
          <w:tab w:val="right" w:leader="dot" w:pos="8306"/>
        </w:tabs>
        <w:ind w:left="480"/>
        <w:rPr>
          <w:rFonts w:cs="Times New Roman"/>
          <w:szCs w:val="24"/>
        </w:rPr>
      </w:pPr>
      <w:r>
        <w:fldChar w:fldCharType="begin"/>
      </w:r>
      <w:r>
        <w:instrText xml:space="preserve"> HYPERLINK \l "_Toc15873" </w:instrText>
      </w:r>
      <w:r>
        <w:fldChar w:fldCharType="separate"/>
      </w:r>
      <w:r>
        <w:rPr>
          <w:rFonts w:cs="Times New Roman"/>
          <w:szCs w:val="24"/>
        </w:rPr>
        <w:t xml:space="preserve">7.2  </w:t>
      </w:r>
      <w:r>
        <w:rPr>
          <w:rFonts w:hint="eastAsia" w:cs="Times New Roman"/>
          <w:szCs w:val="24"/>
        </w:rPr>
        <w:t>C</w:t>
      </w:r>
      <w:r>
        <w:t>omposite members installation</w:t>
      </w:r>
      <w:r>
        <w:rPr>
          <w:rFonts w:cs="Times New Roman"/>
          <w:szCs w:val="24"/>
        </w:rPr>
        <w:tab/>
      </w:r>
      <w:r>
        <w:rPr>
          <w:rFonts w:cs="Times New Roman"/>
          <w:szCs w:val="24"/>
        </w:rPr>
        <w:fldChar w:fldCharType="end"/>
      </w:r>
      <w:r>
        <w:rPr>
          <w:rFonts w:hint="eastAsia" w:cs="Times New Roman"/>
          <w:szCs w:val="24"/>
          <w:lang w:val="en-US" w:eastAsia="zh-CN"/>
        </w:rPr>
        <w:t>38</w:t>
      </w:r>
    </w:p>
    <w:p>
      <w:pPr>
        <w:pStyle w:val="32"/>
        <w:tabs>
          <w:tab w:val="right" w:leader="dot" w:pos="8306"/>
        </w:tabs>
        <w:ind w:left="480"/>
        <w:rPr>
          <w:rFonts w:cs="Times New Roman"/>
          <w:szCs w:val="24"/>
        </w:rPr>
      </w:pPr>
      <w:r>
        <w:fldChar w:fldCharType="begin"/>
      </w:r>
      <w:r>
        <w:instrText xml:space="preserve"> HYPERLINK \l "_Toc18172" </w:instrText>
      </w:r>
      <w:r>
        <w:fldChar w:fldCharType="separate"/>
      </w:r>
      <w:r>
        <w:rPr>
          <w:rFonts w:cs="Times New Roman"/>
          <w:szCs w:val="24"/>
        </w:rPr>
        <w:t xml:space="preserve">7.3  </w:t>
      </w:r>
      <w:r>
        <w:rPr>
          <w:rFonts w:hint="eastAsia" w:cs="Times New Roman"/>
          <w:szCs w:val="24"/>
        </w:rPr>
        <w:t>S</w:t>
      </w:r>
      <w:r>
        <w:t>teel and moulds</w:t>
      </w:r>
      <w:r>
        <w:rPr>
          <w:rFonts w:hint="eastAsia"/>
        </w:rPr>
        <w:t xml:space="preserve"> </w:t>
      </w:r>
      <w:r>
        <w:rPr>
          <w:rFonts w:hint="eastAsia" w:cs="Times New Roman"/>
          <w:szCs w:val="24"/>
        </w:rPr>
        <w:t>engineering</w:t>
      </w:r>
      <w:r>
        <w:rPr>
          <w:rFonts w:cs="Times New Roman"/>
          <w:szCs w:val="24"/>
        </w:rPr>
        <w:tab/>
      </w:r>
      <w:r>
        <w:rPr>
          <w:rFonts w:hint="eastAsia" w:cs="Times New Roman"/>
          <w:szCs w:val="24"/>
          <w:lang w:val="en-US" w:eastAsia="zh-CN"/>
        </w:rPr>
        <w:t>3</w:t>
      </w:r>
      <w:r>
        <w:rPr>
          <w:rFonts w:cs="Times New Roman"/>
          <w:szCs w:val="24"/>
        </w:rPr>
        <w:fldChar w:fldCharType="end"/>
      </w:r>
      <w:r>
        <w:rPr>
          <w:rFonts w:hint="eastAsia" w:cs="Times New Roman"/>
          <w:szCs w:val="24"/>
          <w:lang w:val="en-US" w:eastAsia="zh-CN"/>
        </w:rPr>
        <w:t>9</w:t>
      </w:r>
    </w:p>
    <w:p>
      <w:pPr>
        <w:pStyle w:val="32"/>
        <w:tabs>
          <w:tab w:val="right" w:leader="dot" w:pos="8306"/>
        </w:tabs>
        <w:ind w:left="480"/>
        <w:rPr>
          <w:rFonts w:cs="Times New Roman"/>
          <w:szCs w:val="24"/>
        </w:rPr>
      </w:pPr>
      <w:r>
        <w:fldChar w:fldCharType="begin"/>
      </w:r>
      <w:r>
        <w:instrText xml:space="preserve"> HYPERLINK \l "_Toc15873" </w:instrText>
      </w:r>
      <w:r>
        <w:fldChar w:fldCharType="separate"/>
      </w:r>
      <w:r>
        <w:rPr>
          <w:rFonts w:cs="Times New Roman"/>
          <w:szCs w:val="24"/>
        </w:rPr>
        <w:t>7.</w:t>
      </w:r>
      <w:r>
        <w:rPr>
          <w:rFonts w:hint="eastAsia" w:cs="Times New Roman"/>
          <w:szCs w:val="24"/>
        </w:rPr>
        <w:t>4</w:t>
      </w:r>
      <w:r>
        <w:rPr>
          <w:rFonts w:cs="Times New Roman"/>
          <w:szCs w:val="24"/>
        </w:rPr>
        <w:t xml:space="preserve">  </w:t>
      </w:r>
      <w:r>
        <w:rPr>
          <w:rFonts w:hint="eastAsia" w:cs="Times New Roman"/>
          <w:szCs w:val="24"/>
        </w:rPr>
        <w:t>Concrete casting</w:t>
      </w:r>
      <w:r>
        <w:rPr>
          <w:rFonts w:cs="Times New Roman"/>
          <w:szCs w:val="24"/>
        </w:rPr>
        <w:tab/>
      </w:r>
      <w:r>
        <w:rPr>
          <w:rFonts w:cs="Times New Roman"/>
          <w:szCs w:val="24"/>
        </w:rPr>
        <w:fldChar w:fldCharType="end"/>
      </w:r>
      <w:r>
        <w:rPr>
          <w:rFonts w:cs="Times New Roman"/>
          <w:szCs w:val="24"/>
        </w:rPr>
        <w:t>40</w:t>
      </w:r>
    </w:p>
    <w:p>
      <w:pPr>
        <w:pStyle w:val="32"/>
        <w:tabs>
          <w:tab w:val="right" w:leader="dot" w:pos="8306"/>
        </w:tabs>
        <w:ind w:left="480"/>
        <w:rPr>
          <w:rFonts w:hint="eastAsia" w:eastAsia="宋体" w:cs="Times New Roman"/>
          <w:szCs w:val="24"/>
          <w:lang w:eastAsia="zh-CN"/>
        </w:rPr>
      </w:pPr>
      <w:r>
        <w:fldChar w:fldCharType="begin"/>
      </w:r>
      <w:r>
        <w:instrText xml:space="preserve"> HYPERLINK \l "_Toc15873" </w:instrText>
      </w:r>
      <w:r>
        <w:fldChar w:fldCharType="separate"/>
      </w:r>
      <w:r>
        <w:rPr>
          <w:rFonts w:cs="Times New Roman"/>
          <w:szCs w:val="24"/>
        </w:rPr>
        <w:t>7.</w:t>
      </w:r>
      <w:r>
        <w:rPr>
          <w:rFonts w:hint="eastAsia" w:cs="Times New Roman"/>
          <w:szCs w:val="24"/>
        </w:rPr>
        <w:t>5</w:t>
      </w:r>
      <w:r>
        <w:rPr>
          <w:rFonts w:cs="Times New Roman"/>
          <w:szCs w:val="24"/>
        </w:rPr>
        <w:t xml:space="preserve">  </w:t>
      </w:r>
      <w:r>
        <w:rPr>
          <w:rFonts w:hint="eastAsia" w:cs="Times New Roman"/>
          <w:szCs w:val="24"/>
          <w:lang w:val="en-US" w:eastAsia="zh-CN"/>
        </w:rPr>
        <w:t>Q</w:t>
      </w:r>
      <w:r>
        <w:rPr>
          <w:rFonts w:hint="eastAsia" w:cs="Times New Roman"/>
          <w:szCs w:val="24"/>
        </w:rPr>
        <w:t>uality control</w:t>
      </w:r>
      <w:r>
        <w:rPr>
          <w:rFonts w:cs="Times New Roman"/>
          <w:szCs w:val="24"/>
        </w:rPr>
        <w:tab/>
      </w:r>
      <w:r>
        <w:rPr>
          <w:rFonts w:cs="Times New Roman"/>
          <w:szCs w:val="24"/>
        </w:rPr>
        <w:fldChar w:fldCharType="end"/>
      </w:r>
      <w:r>
        <w:rPr>
          <w:rFonts w:cs="Times New Roman"/>
          <w:szCs w:val="24"/>
        </w:rPr>
        <w:t>4</w:t>
      </w:r>
      <w:r>
        <w:rPr>
          <w:rFonts w:hint="eastAsia" w:cs="Times New Roman"/>
          <w:szCs w:val="24"/>
          <w:lang w:val="en-US" w:eastAsia="zh-CN"/>
        </w:rPr>
        <w:t>1</w:t>
      </w:r>
    </w:p>
    <w:p>
      <w:pPr>
        <w:pStyle w:val="28"/>
        <w:tabs>
          <w:tab w:val="right" w:leader="dot" w:pos="8306"/>
        </w:tabs>
        <w:rPr>
          <w:rFonts w:hint="eastAsia" w:eastAsia="宋体" w:cs="Times New Roman"/>
          <w:szCs w:val="24"/>
          <w:lang w:eastAsia="zh-CN"/>
        </w:rPr>
      </w:pPr>
      <w:r>
        <w:fldChar w:fldCharType="begin"/>
      </w:r>
      <w:r>
        <w:instrText xml:space="preserve"> HYPERLINK \l "_Toc1339" </w:instrText>
      </w:r>
      <w:r>
        <w:fldChar w:fldCharType="separate"/>
      </w:r>
      <w:r>
        <w:rPr>
          <w:rFonts w:cs="Times New Roman"/>
          <w:szCs w:val="24"/>
        </w:rPr>
        <w:t xml:space="preserve">8  </w:t>
      </w:r>
      <w:r>
        <w:rPr>
          <w:rFonts w:cs="Times New Roman" w:eastAsiaTheme="minorEastAsia"/>
          <w:szCs w:val="24"/>
        </w:rPr>
        <w:t>S</w:t>
      </w:r>
      <w:r>
        <w:rPr>
          <w:rFonts w:cs="Times New Roman"/>
          <w:szCs w:val="24"/>
        </w:rPr>
        <w:t xml:space="preserve">egmental </w:t>
      </w:r>
      <w:r>
        <w:rPr>
          <w:rFonts w:hint="eastAsia" w:cs="Times New Roman"/>
          <w:szCs w:val="24"/>
        </w:rPr>
        <w:t>precast utility</w:t>
      </w:r>
      <w:r>
        <w:rPr>
          <w:rFonts w:hint="eastAsia" w:cs="Times New Roman" w:eastAsiaTheme="minorEastAsia"/>
          <w:szCs w:val="24"/>
        </w:rPr>
        <w:t xml:space="preserve"> tunnel</w:t>
      </w:r>
      <w:r>
        <w:rPr>
          <w:rFonts w:cs="Times New Roman"/>
          <w:szCs w:val="24"/>
        </w:rPr>
        <w:tab/>
      </w:r>
      <w:r>
        <w:rPr>
          <w:rFonts w:hint="eastAsia" w:cs="Times New Roman"/>
          <w:szCs w:val="24"/>
        </w:rPr>
        <w:t>4</w:t>
      </w:r>
      <w:r>
        <w:rPr>
          <w:rFonts w:hint="eastAsia" w:cs="Times New Roman"/>
          <w:szCs w:val="24"/>
        </w:rPr>
        <w:fldChar w:fldCharType="end"/>
      </w:r>
      <w:r>
        <w:rPr>
          <w:rFonts w:hint="eastAsia" w:cs="Times New Roman"/>
          <w:szCs w:val="24"/>
          <w:lang w:val="en-US" w:eastAsia="zh-CN"/>
        </w:rPr>
        <w:t>3</w:t>
      </w:r>
    </w:p>
    <w:p>
      <w:pPr>
        <w:pStyle w:val="32"/>
        <w:tabs>
          <w:tab w:val="right" w:leader="dot" w:pos="8306"/>
        </w:tabs>
        <w:ind w:left="480"/>
        <w:rPr>
          <w:rFonts w:hint="eastAsia" w:eastAsia="宋体" w:cs="Times New Roman"/>
          <w:szCs w:val="24"/>
          <w:lang w:eastAsia="zh-CN"/>
        </w:rPr>
      </w:pPr>
      <w:r>
        <w:fldChar w:fldCharType="begin"/>
      </w:r>
      <w:r>
        <w:instrText xml:space="preserve"> HYPERLINK \l "_Toc12445" </w:instrText>
      </w:r>
      <w:r>
        <w:fldChar w:fldCharType="separate"/>
      </w:r>
      <w:r>
        <w:rPr>
          <w:rFonts w:cs="Times New Roman"/>
          <w:szCs w:val="24"/>
        </w:rPr>
        <w:t>8.1  General requirements</w:t>
      </w:r>
      <w:r>
        <w:rPr>
          <w:rFonts w:cs="Times New Roman"/>
          <w:szCs w:val="24"/>
        </w:rPr>
        <w:tab/>
      </w:r>
      <w:r>
        <w:rPr>
          <w:rFonts w:cs="Times New Roman"/>
          <w:szCs w:val="24"/>
        </w:rPr>
        <w:fldChar w:fldCharType="end"/>
      </w:r>
      <w:r>
        <w:rPr>
          <w:rFonts w:hint="eastAsia" w:cs="Times New Roman"/>
          <w:szCs w:val="24"/>
        </w:rPr>
        <w:t>4</w:t>
      </w:r>
      <w:r>
        <w:rPr>
          <w:rFonts w:hint="eastAsia" w:cs="Times New Roman"/>
          <w:szCs w:val="24"/>
          <w:lang w:val="en-US" w:eastAsia="zh-CN"/>
        </w:rPr>
        <w:t>3</w:t>
      </w:r>
    </w:p>
    <w:p>
      <w:pPr>
        <w:pStyle w:val="32"/>
        <w:tabs>
          <w:tab w:val="right" w:leader="dot" w:pos="8306"/>
        </w:tabs>
        <w:ind w:left="480"/>
        <w:rPr>
          <w:rFonts w:hint="eastAsia" w:eastAsia="宋体" w:cs="Times New Roman"/>
          <w:szCs w:val="24"/>
          <w:lang w:eastAsia="zh-CN"/>
        </w:rPr>
      </w:pPr>
      <w:r>
        <w:fldChar w:fldCharType="begin"/>
      </w:r>
      <w:r>
        <w:instrText xml:space="preserve"> HYPERLINK \l "_Toc26380" </w:instrText>
      </w:r>
      <w:r>
        <w:fldChar w:fldCharType="separate"/>
      </w:r>
      <w:r>
        <w:rPr>
          <w:rFonts w:cs="Times New Roman"/>
          <w:szCs w:val="24"/>
        </w:rPr>
        <w:t xml:space="preserve">8.2  </w:t>
      </w:r>
      <w:r>
        <w:rPr>
          <w:rFonts w:hint="eastAsia" w:cs="Times New Roman"/>
          <w:szCs w:val="24"/>
          <w:lang w:val="en-US" w:eastAsia="zh-CN"/>
        </w:rPr>
        <w:t>M</w:t>
      </w:r>
      <w:r>
        <w:rPr>
          <w:rFonts w:hint="eastAsia" w:cs="Times New Roman"/>
          <w:szCs w:val="24"/>
        </w:rPr>
        <w:t>embers installation</w:t>
      </w:r>
      <w:r>
        <w:rPr>
          <w:rFonts w:cs="Times New Roman"/>
          <w:szCs w:val="24"/>
        </w:rPr>
        <w:tab/>
      </w:r>
      <w:r>
        <w:rPr>
          <w:rFonts w:hint="eastAsia" w:cs="Times New Roman"/>
          <w:szCs w:val="24"/>
        </w:rPr>
        <w:t>4</w:t>
      </w:r>
      <w:r>
        <w:rPr>
          <w:rFonts w:hint="eastAsia" w:cs="Times New Roman"/>
          <w:szCs w:val="24"/>
        </w:rPr>
        <w:fldChar w:fldCharType="end"/>
      </w:r>
      <w:r>
        <w:rPr>
          <w:rFonts w:hint="eastAsia" w:cs="Times New Roman"/>
          <w:szCs w:val="24"/>
          <w:lang w:val="en-US" w:eastAsia="zh-CN"/>
        </w:rPr>
        <w:t>3</w:t>
      </w:r>
    </w:p>
    <w:p>
      <w:pPr>
        <w:pStyle w:val="32"/>
        <w:tabs>
          <w:tab w:val="right" w:leader="dot" w:pos="8306"/>
        </w:tabs>
        <w:ind w:left="480"/>
        <w:rPr>
          <w:rFonts w:cs="Times New Roman"/>
          <w:szCs w:val="24"/>
        </w:rPr>
      </w:pPr>
      <w:r>
        <w:fldChar w:fldCharType="begin"/>
      </w:r>
      <w:r>
        <w:instrText xml:space="preserve"> HYPERLINK \l "_Toc6444" </w:instrText>
      </w:r>
      <w:r>
        <w:fldChar w:fldCharType="separate"/>
      </w:r>
      <w:r>
        <w:rPr>
          <w:rFonts w:cs="Times New Roman"/>
          <w:szCs w:val="24"/>
        </w:rPr>
        <w:t xml:space="preserve">8.3  </w:t>
      </w:r>
      <w:r>
        <w:rPr>
          <w:rFonts w:hint="eastAsia" w:cs="Times New Roman"/>
          <w:szCs w:val="24"/>
          <w:lang w:val="en-US" w:eastAsia="zh-CN"/>
        </w:rPr>
        <w:t>M</w:t>
      </w:r>
      <w:r>
        <w:rPr>
          <w:rFonts w:hint="eastAsia" w:cs="Times New Roman"/>
          <w:szCs w:val="24"/>
        </w:rPr>
        <w:t>embers</w:t>
      </w:r>
      <w:r>
        <w:rPr>
          <w:rFonts w:hint="eastAsia" w:cs="Times New Roman"/>
          <w:szCs w:val="24"/>
          <w:lang w:val="en-US" w:eastAsia="zh-CN"/>
        </w:rPr>
        <w:t xml:space="preserve"> </w:t>
      </w:r>
      <w:r>
        <w:rPr>
          <w:rFonts w:hint="eastAsia" w:cs="Times New Roman"/>
          <w:szCs w:val="24"/>
        </w:rPr>
        <w:t>connection</w:t>
      </w:r>
      <w:r>
        <w:rPr>
          <w:rFonts w:cs="Times New Roman"/>
          <w:szCs w:val="24"/>
        </w:rPr>
        <w:tab/>
      </w:r>
      <w:r>
        <w:rPr>
          <w:rFonts w:cs="Times New Roman"/>
          <w:szCs w:val="24"/>
        </w:rPr>
        <w:t>4</w:t>
      </w:r>
      <w:r>
        <w:rPr>
          <w:rFonts w:hint="eastAsia" w:cs="Times New Roman"/>
          <w:szCs w:val="24"/>
          <w:lang w:val="en-US" w:eastAsia="zh-CN"/>
        </w:rPr>
        <w:t>4</w:t>
      </w:r>
      <w:r>
        <w:rPr>
          <w:rFonts w:cs="Times New Roman"/>
          <w:szCs w:val="24"/>
        </w:rPr>
        <w:fldChar w:fldCharType="end"/>
      </w:r>
    </w:p>
    <w:p>
      <w:pPr>
        <w:pStyle w:val="32"/>
        <w:tabs>
          <w:tab w:val="right" w:leader="dot" w:pos="8306"/>
        </w:tabs>
        <w:ind w:left="480"/>
        <w:rPr>
          <w:rFonts w:cs="Times New Roman"/>
          <w:szCs w:val="24"/>
        </w:rPr>
      </w:pPr>
      <w:r>
        <w:fldChar w:fldCharType="begin"/>
      </w:r>
      <w:r>
        <w:instrText xml:space="preserve"> HYPERLINK \l "_Toc17651" </w:instrText>
      </w:r>
      <w:r>
        <w:fldChar w:fldCharType="separate"/>
      </w:r>
      <w:r>
        <w:rPr>
          <w:rFonts w:cs="Times New Roman"/>
          <w:szCs w:val="24"/>
        </w:rPr>
        <w:t xml:space="preserve">8.4  </w:t>
      </w:r>
      <w:r>
        <w:rPr>
          <w:rFonts w:hint="eastAsia" w:cs="Times New Roman"/>
          <w:szCs w:val="24"/>
          <w:lang w:val="en-US" w:eastAsia="zh-CN"/>
        </w:rPr>
        <w:t>Q</w:t>
      </w:r>
      <w:r>
        <w:rPr>
          <w:rFonts w:hint="eastAsia" w:cs="Times New Roman"/>
          <w:szCs w:val="24"/>
        </w:rPr>
        <w:t>uality control</w:t>
      </w:r>
      <w:r>
        <w:rPr>
          <w:rFonts w:cs="Times New Roman"/>
          <w:szCs w:val="24"/>
        </w:rPr>
        <w:tab/>
      </w:r>
      <w:r>
        <w:rPr>
          <w:rFonts w:cs="Times New Roman"/>
          <w:szCs w:val="24"/>
        </w:rPr>
        <w:t>4</w:t>
      </w:r>
      <w:r>
        <w:rPr>
          <w:rFonts w:hint="eastAsia" w:cs="Times New Roman"/>
          <w:szCs w:val="24"/>
          <w:lang w:val="en-US" w:eastAsia="zh-CN"/>
        </w:rPr>
        <w:t>5</w:t>
      </w:r>
      <w:r>
        <w:rPr>
          <w:rFonts w:cs="Times New Roman"/>
          <w:szCs w:val="24"/>
        </w:rPr>
        <w:fldChar w:fldCharType="end"/>
      </w:r>
    </w:p>
    <w:p>
      <w:pPr>
        <w:pStyle w:val="28"/>
        <w:tabs>
          <w:tab w:val="right" w:leader="dot" w:pos="8306"/>
        </w:tabs>
        <w:rPr>
          <w:rFonts w:cs="Times New Roman"/>
          <w:szCs w:val="24"/>
        </w:rPr>
      </w:pPr>
      <w:r>
        <w:fldChar w:fldCharType="begin"/>
      </w:r>
      <w:r>
        <w:instrText xml:space="preserve"> HYPERLINK \l "_Toc10280" </w:instrText>
      </w:r>
      <w:r>
        <w:fldChar w:fldCharType="separate"/>
      </w:r>
      <w:r>
        <w:rPr>
          <w:rFonts w:cs="Times New Roman"/>
          <w:szCs w:val="24"/>
        </w:rPr>
        <w:t xml:space="preserve">9  </w:t>
      </w:r>
      <w:r>
        <w:rPr>
          <w:rFonts w:cs="Times New Roman" w:eastAsiaTheme="minorEastAsia"/>
          <w:szCs w:val="24"/>
        </w:rPr>
        <w:t>S</w:t>
      </w:r>
      <w:r>
        <w:rPr>
          <w:rFonts w:cs="Times New Roman"/>
          <w:szCs w:val="24"/>
        </w:rPr>
        <w:t xml:space="preserve">egmental </w:t>
      </w:r>
      <w:r>
        <w:rPr>
          <w:rFonts w:hint="eastAsia" w:cs="Times New Roman"/>
          <w:szCs w:val="24"/>
        </w:rPr>
        <w:t xml:space="preserve">precast </w:t>
      </w:r>
      <w:r>
        <w:t>tunnel</w:t>
      </w:r>
      <w:r>
        <w:rPr>
          <w:rFonts w:cs="Times New Roman"/>
          <w:szCs w:val="24"/>
        </w:rPr>
        <w:t xml:space="preserve"> jacking</w:t>
      </w:r>
      <w:r>
        <w:rPr>
          <w:rFonts w:cs="Times New Roman"/>
          <w:szCs w:val="24"/>
        </w:rPr>
        <w:tab/>
      </w:r>
      <w:r>
        <w:rPr>
          <w:rFonts w:hint="eastAsia" w:cs="Times New Roman"/>
          <w:szCs w:val="24"/>
          <w:lang w:val="en-US" w:eastAsia="zh-CN"/>
        </w:rPr>
        <w:t>4</w:t>
      </w:r>
      <w:r>
        <w:rPr>
          <w:rFonts w:hint="eastAsia" w:cs="Times New Roman"/>
          <w:szCs w:val="24"/>
        </w:rPr>
        <w:fldChar w:fldCharType="end"/>
      </w:r>
      <w:r>
        <w:rPr>
          <w:rFonts w:hint="eastAsia" w:cs="Times New Roman"/>
          <w:szCs w:val="24"/>
          <w:lang w:val="en-US" w:eastAsia="zh-CN"/>
        </w:rPr>
        <w:t>7</w:t>
      </w:r>
    </w:p>
    <w:p>
      <w:pPr>
        <w:pStyle w:val="32"/>
        <w:tabs>
          <w:tab w:val="right" w:leader="dot" w:pos="8306"/>
        </w:tabs>
        <w:ind w:left="480"/>
        <w:rPr>
          <w:rFonts w:hint="eastAsia" w:eastAsia="宋体" w:cs="Times New Roman"/>
          <w:szCs w:val="24"/>
          <w:lang w:val="en-US" w:eastAsia="zh-CN"/>
        </w:rPr>
      </w:pPr>
      <w:r>
        <w:fldChar w:fldCharType="begin"/>
      </w:r>
      <w:r>
        <w:instrText xml:space="preserve"> HYPERLINK \l "_Toc29481" </w:instrText>
      </w:r>
      <w:r>
        <w:fldChar w:fldCharType="separate"/>
      </w:r>
      <w:r>
        <w:rPr>
          <w:rFonts w:cs="Times New Roman"/>
          <w:szCs w:val="24"/>
        </w:rPr>
        <w:t>9.1  General requirements</w:t>
      </w:r>
      <w:r>
        <w:rPr>
          <w:rFonts w:cs="Times New Roman"/>
          <w:szCs w:val="24"/>
        </w:rPr>
        <w:tab/>
      </w:r>
      <w:r>
        <w:rPr>
          <w:rFonts w:hint="eastAsia" w:cs="Times New Roman"/>
          <w:szCs w:val="24"/>
          <w:lang w:val="en-US" w:eastAsia="zh-CN"/>
        </w:rPr>
        <w:t>4</w:t>
      </w:r>
      <w:r>
        <w:rPr>
          <w:rFonts w:hint="eastAsia" w:cs="Times New Roman"/>
          <w:szCs w:val="24"/>
        </w:rPr>
        <w:fldChar w:fldCharType="end"/>
      </w:r>
      <w:r>
        <w:rPr>
          <w:rFonts w:hint="eastAsia" w:cs="Times New Roman"/>
          <w:szCs w:val="24"/>
          <w:lang w:val="en-US" w:eastAsia="zh-CN"/>
        </w:rPr>
        <w:t>7</w:t>
      </w:r>
    </w:p>
    <w:p>
      <w:pPr>
        <w:pStyle w:val="32"/>
        <w:tabs>
          <w:tab w:val="right" w:leader="dot" w:pos="8306"/>
        </w:tabs>
        <w:ind w:left="480"/>
        <w:rPr>
          <w:rFonts w:hint="eastAsia" w:eastAsia="宋体" w:cs="Times New Roman"/>
          <w:szCs w:val="24"/>
          <w:lang w:val="en-US" w:eastAsia="zh-CN"/>
        </w:rPr>
      </w:pPr>
      <w:r>
        <w:fldChar w:fldCharType="begin"/>
      </w:r>
      <w:r>
        <w:instrText xml:space="preserve"> HYPERLINK \l "_Toc20021" </w:instrText>
      </w:r>
      <w:r>
        <w:fldChar w:fldCharType="separate"/>
      </w:r>
      <w:r>
        <w:rPr>
          <w:rFonts w:cs="Times New Roman"/>
          <w:szCs w:val="24"/>
        </w:rPr>
        <w:t xml:space="preserve">9.2  </w:t>
      </w:r>
      <w:r>
        <w:rPr>
          <w:rFonts w:hint="eastAsia" w:cs="Times New Roman"/>
          <w:szCs w:val="24"/>
        </w:rPr>
        <w:t>Pipe jacking starting and receiving</w:t>
      </w:r>
      <w:r>
        <w:rPr>
          <w:rFonts w:cs="Times New Roman"/>
          <w:szCs w:val="24"/>
        </w:rPr>
        <w:tab/>
      </w:r>
      <w:r>
        <w:rPr>
          <w:rFonts w:hint="eastAsia" w:cs="Times New Roman"/>
          <w:szCs w:val="24"/>
          <w:lang w:val="en-US" w:eastAsia="zh-CN"/>
        </w:rPr>
        <w:t>4</w:t>
      </w:r>
      <w:r>
        <w:rPr>
          <w:rFonts w:hint="eastAsia" w:cs="Times New Roman"/>
          <w:szCs w:val="24"/>
        </w:rPr>
        <w:fldChar w:fldCharType="end"/>
      </w:r>
      <w:r>
        <w:rPr>
          <w:rFonts w:hint="eastAsia" w:cs="Times New Roman"/>
          <w:szCs w:val="24"/>
          <w:lang w:val="en-US" w:eastAsia="zh-CN"/>
        </w:rPr>
        <w:t>7</w:t>
      </w:r>
    </w:p>
    <w:p>
      <w:pPr>
        <w:pStyle w:val="32"/>
        <w:tabs>
          <w:tab w:val="right" w:leader="dot" w:pos="8306"/>
        </w:tabs>
        <w:ind w:left="480"/>
        <w:rPr>
          <w:rFonts w:hint="eastAsia" w:eastAsia="宋体" w:cs="Times New Roman"/>
          <w:szCs w:val="24"/>
          <w:lang w:val="en-US" w:eastAsia="zh-CN"/>
        </w:rPr>
      </w:pPr>
      <w:r>
        <w:fldChar w:fldCharType="begin"/>
      </w:r>
      <w:r>
        <w:instrText xml:space="preserve"> HYPERLINK \l "_Toc1239" </w:instrText>
      </w:r>
      <w:r>
        <w:fldChar w:fldCharType="separate"/>
      </w:r>
      <w:r>
        <w:rPr>
          <w:rFonts w:cs="Times New Roman"/>
          <w:szCs w:val="24"/>
        </w:rPr>
        <w:t>9.3  Pipe jacking</w:t>
      </w:r>
      <w:r>
        <w:rPr>
          <w:rFonts w:cs="Times New Roman"/>
          <w:szCs w:val="24"/>
        </w:rPr>
        <w:tab/>
      </w:r>
      <w:r>
        <w:rPr>
          <w:rFonts w:hint="eastAsia" w:cs="Times New Roman"/>
          <w:szCs w:val="24"/>
          <w:lang w:val="en-US" w:eastAsia="zh-CN"/>
        </w:rPr>
        <w:t>4</w:t>
      </w:r>
      <w:r>
        <w:rPr>
          <w:rFonts w:cs="Times New Roman"/>
          <w:szCs w:val="24"/>
        </w:rPr>
        <w:fldChar w:fldCharType="end"/>
      </w:r>
      <w:r>
        <w:rPr>
          <w:rFonts w:hint="eastAsia" w:cs="Times New Roman"/>
          <w:szCs w:val="24"/>
          <w:lang w:val="en-US" w:eastAsia="zh-CN"/>
        </w:rPr>
        <w:t>8</w:t>
      </w:r>
    </w:p>
    <w:p>
      <w:pPr>
        <w:pStyle w:val="32"/>
        <w:tabs>
          <w:tab w:val="right" w:leader="dot" w:pos="8306"/>
        </w:tabs>
        <w:ind w:left="480"/>
        <w:rPr>
          <w:rFonts w:cs="Times New Roman"/>
          <w:szCs w:val="24"/>
        </w:rPr>
      </w:pPr>
      <w:r>
        <w:fldChar w:fldCharType="begin"/>
      </w:r>
      <w:r>
        <w:instrText xml:space="preserve"> HYPERLINK \l "_Toc21969" </w:instrText>
      </w:r>
      <w:r>
        <w:fldChar w:fldCharType="separate"/>
      </w:r>
      <w:r>
        <w:rPr>
          <w:rFonts w:cs="Times New Roman"/>
          <w:szCs w:val="24"/>
        </w:rPr>
        <w:t xml:space="preserve">9.4  </w:t>
      </w:r>
      <w:r>
        <w:rPr>
          <w:rFonts w:hint="eastAsia" w:cs="Times New Roman"/>
          <w:szCs w:val="24"/>
          <w:lang w:val="en-US" w:eastAsia="zh-CN"/>
        </w:rPr>
        <w:t>Q</w:t>
      </w:r>
      <w:r>
        <w:rPr>
          <w:rFonts w:hint="eastAsia" w:cs="Times New Roman"/>
          <w:szCs w:val="24"/>
        </w:rPr>
        <w:t>uality control</w:t>
      </w:r>
      <w:r>
        <w:rPr>
          <w:rFonts w:cs="Times New Roman"/>
          <w:szCs w:val="24"/>
        </w:rPr>
        <w:tab/>
      </w:r>
      <w:r>
        <w:rPr>
          <w:rFonts w:cs="Times New Roman"/>
          <w:szCs w:val="24"/>
        </w:rPr>
        <w:t>5</w:t>
      </w:r>
      <w:r>
        <w:rPr>
          <w:rFonts w:hint="eastAsia" w:cs="Times New Roman"/>
          <w:szCs w:val="24"/>
          <w:lang w:val="en-US" w:eastAsia="zh-CN"/>
        </w:rPr>
        <w:t>3</w:t>
      </w:r>
      <w:r>
        <w:rPr>
          <w:rFonts w:cs="Times New Roman"/>
          <w:szCs w:val="24"/>
        </w:rPr>
        <w:fldChar w:fldCharType="end"/>
      </w:r>
    </w:p>
    <w:p>
      <w:pPr>
        <w:pStyle w:val="28"/>
        <w:tabs>
          <w:tab w:val="right" w:leader="dot" w:pos="8306"/>
        </w:tabs>
        <w:rPr>
          <w:rFonts w:cs="Times New Roman"/>
          <w:szCs w:val="24"/>
        </w:rPr>
      </w:pPr>
      <w:r>
        <w:fldChar w:fldCharType="begin"/>
      </w:r>
      <w:r>
        <w:instrText xml:space="preserve"> HYPERLINK \l "_Toc2496" </w:instrText>
      </w:r>
      <w:r>
        <w:fldChar w:fldCharType="separate"/>
      </w:r>
      <w:r>
        <w:rPr>
          <w:rFonts w:cs="Times New Roman"/>
          <w:szCs w:val="24"/>
        </w:rPr>
        <w:t xml:space="preserve">10  </w:t>
      </w:r>
      <w:r>
        <w:rPr>
          <w:rFonts w:hint="eastAsia"/>
          <w:b/>
          <w:bCs/>
        </w:rPr>
        <w:t xml:space="preserve">Waterproof </w:t>
      </w:r>
      <w:r>
        <w:rPr>
          <w:rFonts w:hint="eastAsia"/>
          <w:b/>
          <w:bCs/>
          <w:lang w:val="en-US" w:eastAsia="zh-CN"/>
        </w:rPr>
        <w:t>e</w:t>
      </w:r>
      <w:r>
        <w:rPr>
          <w:rFonts w:hint="eastAsia"/>
          <w:b/>
          <w:bCs/>
        </w:rPr>
        <w:t xml:space="preserve">ngineering </w:t>
      </w:r>
      <w:r>
        <w:rPr>
          <w:rFonts w:hint="eastAsia"/>
          <w:b/>
          <w:bCs/>
          <w:lang w:val="en-US" w:eastAsia="zh-CN"/>
        </w:rPr>
        <w:t>c</w:t>
      </w:r>
      <w:r>
        <w:rPr>
          <w:rFonts w:hint="eastAsia"/>
          <w:b/>
          <w:bCs/>
        </w:rPr>
        <w:t>onstruction</w:t>
      </w:r>
      <w:r>
        <w:rPr>
          <w:rFonts w:cs="Times New Roman"/>
          <w:szCs w:val="24"/>
        </w:rPr>
        <w:tab/>
      </w:r>
      <w:r>
        <w:rPr>
          <w:rFonts w:hint="eastAsia" w:cs="Times New Roman"/>
          <w:szCs w:val="24"/>
          <w:lang w:val="en-US" w:eastAsia="zh-CN"/>
        </w:rPr>
        <w:t>5</w:t>
      </w:r>
      <w:r>
        <w:rPr>
          <w:rFonts w:hint="eastAsia" w:cs="Times New Roman"/>
          <w:szCs w:val="24"/>
        </w:rPr>
        <w:fldChar w:fldCharType="end"/>
      </w:r>
      <w:r>
        <w:rPr>
          <w:rFonts w:hint="eastAsia" w:cs="Times New Roman"/>
          <w:szCs w:val="24"/>
          <w:lang w:val="en-US" w:eastAsia="zh-CN"/>
        </w:rPr>
        <w:t>5</w:t>
      </w:r>
    </w:p>
    <w:p>
      <w:pPr>
        <w:pStyle w:val="32"/>
        <w:tabs>
          <w:tab w:val="right" w:leader="dot" w:pos="8306"/>
        </w:tabs>
        <w:ind w:left="480"/>
        <w:rPr>
          <w:rFonts w:hint="eastAsia" w:eastAsia="宋体" w:cs="Times New Roman"/>
          <w:szCs w:val="24"/>
          <w:lang w:eastAsia="zh-CN"/>
        </w:rPr>
      </w:pPr>
      <w:r>
        <w:fldChar w:fldCharType="begin"/>
      </w:r>
      <w:r>
        <w:instrText xml:space="preserve"> HYPERLINK \l "_Toc29481" </w:instrText>
      </w:r>
      <w:r>
        <w:fldChar w:fldCharType="separate"/>
      </w:r>
      <w:r>
        <w:rPr>
          <w:rFonts w:hint="eastAsia" w:cs="Times New Roman"/>
          <w:szCs w:val="24"/>
        </w:rPr>
        <w:t>10</w:t>
      </w:r>
      <w:r>
        <w:rPr>
          <w:rFonts w:cs="Times New Roman"/>
          <w:szCs w:val="24"/>
        </w:rPr>
        <w:t>.1  General requirements</w:t>
      </w:r>
      <w:r>
        <w:rPr>
          <w:rFonts w:cs="Times New Roman"/>
          <w:szCs w:val="24"/>
        </w:rPr>
        <w:tab/>
      </w:r>
      <w:r>
        <w:rPr>
          <w:rFonts w:hint="eastAsia" w:cs="Times New Roman"/>
          <w:szCs w:val="24"/>
        </w:rPr>
        <w:t>5</w:t>
      </w:r>
      <w:r>
        <w:rPr>
          <w:rFonts w:hint="eastAsia" w:cs="Times New Roman"/>
          <w:szCs w:val="24"/>
        </w:rPr>
        <w:fldChar w:fldCharType="end"/>
      </w:r>
      <w:r>
        <w:rPr>
          <w:rFonts w:hint="eastAsia" w:cs="Times New Roman"/>
          <w:szCs w:val="24"/>
          <w:lang w:val="en-US" w:eastAsia="zh-CN"/>
        </w:rPr>
        <w:t>5</w:t>
      </w:r>
    </w:p>
    <w:p>
      <w:pPr>
        <w:pStyle w:val="32"/>
        <w:tabs>
          <w:tab w:val="right" w:leader="dot" w:pos="8306"/>
        </w:tabs>
        <w:ind w:left="480"/>
        <w:rPr>
          <w:rFonts w:hint="eastAsia" w:eastAsia="宋体" w:cs="Times New Roman"/>
          <w:szCs w:val="24"/>
          <w:lang w:eastAsia="zh-CN"/>
        </w:rPr>
      </w:pPr>
      <w:r>
        <w:fldChar w:fldCharType="begin"/>
      </w:r>
      <w:r>
        <w:instrText xml:space="preserve"> HYPERLINK \l "_Toc20021" </w:instrText>
      </w:r>
      <w:r>
        <w:fldChar w:fldCharType="separate"/>
      </w:r>
      <w:r>
        <w:rPr>
          <w:rFonts w:hint="eastAsia" w:cs="Times New Roman"/>
          <w:szCs w:val="24"/>
        </w:rPr>
        <w:t>10</w:t>
      </w:r>
      <w:r>
        <w:rPr>
          <w:rFonts w:cs="Times New Roman"/>
          <w:szCs w:val="24"/>
        </w:rPr>
        <w:t xml:space="preserve">.2  </w:t>
      </w:r>
      <w:r>
        <w:rPr>
          <w:rFonts w:hint="eastAsia" w:cs="Times New Roman"/>
          <w:szCs w:val="24"/>
        </w:rPr>
        <w:t>Waterproof construction</w:t>
      </w:r>
      <w:r>
        <w:rPr>
          <w:rFonts w:cs="Times New Roman"/>
          <w:szCs w:val="24"/>
        </w:rPr>
        <w:tab/>
      </w:r>
      <w:r>
        <w:rPr>
          <w:rFonts w:hint="eastAsia" w:cs="Times New Roman"/>
          <w:szCs w:val="24"/>
        </w:rPr>
        <w:t>5</w:t>
      </w:r>
      <w:r>
        <w:rPr>
          <w:rFonts w:hint="eastAsia" w:cs="Times New Roman"/>
          <w:szCs w:val="24"/>
        </w:rPr>
        <w:fldChar w:fldCharType="end"/>
      </w:r>
      <w:r>
        <w:rPr>
          <w:rFonts w:hint="eastAsia" w:cs="Times New Roman"/>
          <w:szCs w:val="24"/>
          <w:lang w:val="en-US" w:eastAsia="zh-CN"/>
        </w:rPr>
        <w:t>5</w:t>
      </w:r>
    </w:p>
    <w:p>
      <w:pPr>
        <w:pStyle w:val="32"/>
        <w:tabs>
          <w:tab w:val="right" w:leader="dot" w:pos="8306"/>
        </w:tabs>
        <w:ind w:left="480"/>
        <w:rPr>
          <w:rFonts w:hint="eastAsia" w:eastAsia="宋体" w:cs="Times New Roman"/>
          <w:szCs w:val="24"/>
          <w:lang w:eastAsia="zh-CN"/>
        </w:rPr>
      </w:pPr>
      <w:r>
        <w:fldChar w:fldCharType="begin"/>
      </w:r>
      <w:r>
        <w:instrText xml:space="preserve"> HYPERLINK \l "_Toc20021" </w:instrText>
      </w:r>
      <w:r>
        <w:fldChar w:fldCharType="separate"/>
      </w:r>
      <w:r>
        <w:rPr>
          <w:rFonts w:hint="eastAsia" w:cs="Times New Roman"/>
          <w:szCs w:val="24"/>
        </w:rPr>
        <w:t>10</w:t>
      </w:r>
      <w:r>
        <w:rPr>
          <w:rFonts w:cs="Times New Roman"/>
          <w:szCs w:val="24"/>
        </w:rPr>
        <w:t>.</w:t>
      </w:r>
      <w:r>
        <w:rPr>
          <w:rFonts w:hint="eastAsia" w:cs="Times New Roman"/>
          <w:szCs w:val="24"/>
          <w:lang w:val="en-US" w:eastAsia="zh-CN"/>
        </w:rPr>
        <w:t>3</w:t>
      </w:r>
      <w:r>
        <w:rPr>
          <w:rFonts w:cs="Times New Roman"/>
          <w:szCs w:val="24"/>
        </w:rPr>
        <w:t xml:space="preserve">  </w:t>
      </w:r>
      <w:r>
        <w:rPr>
          <w:rFonts w:hint="eastAsia" w:cs="Times New Roman"/>
          <w:szCs w:val="24"/>
          <w:lang w:val="en-US" w:eastAsia="zh-CN"/>
        </w:rPr>
        <w:t>Q</w:t>
      </w:r>
      <w:r>
        <w:rPr>
          <w:rFonts w:hint="eastAsia" w:cs="Times New Roman"/>
          <w:szCs w:val="24"/>
        </w:rPr>
        <w:t>uality control</w:t>
      </w:r>
      <w:r>
        <w:rPr>
          <w:rFonts w:cs="Times New Roman"/>
          <w:szCs w:val="24"/>
        </w:rPr>
        <w:tab/>
      </w:r>
      <w:r>
        <w:rPr>
          <w:rFonts w:hint="eastAsia" w:cs="Times New Roman"/>
          <w:szCs w:val="24"/>
        </w:rPr>
        <w:t>5</w:t>
      </w:r>
      <w:r>
        <w:rPr>
          <w:rFonts w:hint="eastAsia" w:cs="Times New Roman"/>
          <w:szCs w:val="24"/>
        </w:rPr>
        <w:fldChar w:fldCharType="end"/>
      </w:r>
      <w:r>
        <w:rPr>
          <w:rFonts w:hint="eastAsia" w:cs="Times New Roman"/>
          <w:szCs w:val="24"/>
          <w:lang w:val="en-US" w:eastAsia="zh-CN"/>
        </w:rPr>
        <w:t>8</w:t>
      </w:r>
    </w:p>
    <w:p>
      <w:pPr>
        <w:pStyle w:val="28"/>
        <w:tabs>
          <w:tab w:val="right" w:leader="dot" w:pos="8306"/>
        </w:tabs>
        <w:ind w:left="1928" w:hanging="1928" w:hangingChars="800"/>
        <w:rPr>
          <w:rFonts w:hint="eastAsia" w:eastAsia="宋体" w:cs="Times New Roman"/>
          <w:szCs w:val="24"/>
          <w:lang w:val="en-US" w:eastAsia="zh-CN"/>
        </w:rPr>
      </w:pPr>
      <w:r>
        <w:fldChar w:fldCharType="begin"/>
      </w:r>
      <w:r>
        <w:instrText xml:space="preserve"> HYPERLINK \l "_Toc9713" </w:instrText>
      </w:r>
      <w:r>
        <w:fldChar w:fldCharType="separate"/>
      </w:r>
      <w:r>
        <w:rPr>
          <w:rFonts w:cs="Times New Roman"/>
          <w:szCs w:val="24"/>
        </w:rPr>
        <w:t xml:space="preserve">Appendix A  </w:t>
      </w:r>
      <w:r>
        <w:rPr>
          <w:rFonts w:hint="eastAsia"/>
          <w:bCs/>
        </w:rPr>
        <w:t>Division, Sub-divisional and Inspection Batches Work Table of Utility Tunnel</w:t>
      </w:r>
      <w:r>
        <w:rPr>
          <w:rFonts w:cs="Times New Roman"/>
          <w:szCs w:val="24"/>
        </w:rPr>
        <w:tab/>
      </w:r>
      <w:r>
        <w:rPr>
          <w:rFonts w:cs="Times New Roman"/>
          <w:szCs w:val="24"/>
        </w:rPr>
        <w:t>6</w:t>
      </w:r>
      <w:r>
        <w:rPr>
          <w:rFonts w:cs="Times New Roman"/>
          <w:szCs w:val="24"/>
        </w:rPr>
        <w:fldChar w:fldCharType="end"/>
      </w:r>
      <w:r>
        <w:rPr>
          <w:rFonts w:hint="eastAsia" w:cs="Times New Roman"/>
          <w:szCs w:val="24"/>
          <w:lang w:val="en-US" w:eastAsia="zh-CN"/>
        </w:rPr>
        <w:t>0</w:t>
      </w:r>
    </w:p>
    <w:p>
      <w:pPr>
        <w:pStyle w:val="28"/>
        <w:tabs>
          <w:tab w:val="right" w:leader="dot" w:pos="8306"/>
        </w:tabs>
        <w:rPr>
          <w:rFonts w:hint="eastAsia" w:eastAsia="宋体" w:cs="Times New Roman"/>
          <w:szCs w:val="24"/>
          <w:lang w:val="en-US" w:eastAsia="zh-CN"/>
        </w:rPr>
      </w:pPr>
      <w:r>
        <w:fldChar w:fldCharType="begin"/>
      </w:r>
      <w:r>
        <w:instrText xml:space="preserve"> HYPERLINK \l "_Toc9029" </w:instrText>
      </w:r>
      <w:r>
        <w:fldChar w:fldCharType="separate"/>
      </w:r>
      <w:r>
        <w:rPr>
          <w:rFonts w:cs="Times New Roman"/>
          <w:szCs w:val="24"/>
        </w:rPr>
        <w:t xml:space="preserve">Appendix B  </w:t>
      </w:r>
      <w:r>
        <w:rPr>
          <w:rFonts w:hint="eastAsia" w:cs="Times New Roman"/>
          <w:szCs w:val="24"/>
        </w:rPr>
        <w:t>Quality acceptance record</w:t>
      </w:r>
      <w:r>
        <w:rPr>
          <w:rFonts w:cs="Times New Roman"/>
          <w:szCs w:val="24"/>
        </w:rPr>
        <w:tab/>
      </w:r>
      <w:r>
        <w:rPr>
          <w:rFonts w:hint="eastAsia" w:cs="Times New Roman"/>
          <w:szCs w:val="24"/>
          <w:lang w:val="en-US" w:eastAsia="zh-CN"/>
        </w:rPr>
        <w:t>6</w:t>
      </w:r>
      <w:r>
        <w:rPr>
          <w:rFonts w:cs="Times New Roman"/>
          <w:szCs w:val="24"/>
        </w:rPr>
        <w:fldChar w:fldCharType="end"/>
      </w:r>
      <w:r>
        <w:rPr>
          <w:rFonts w:hint="eastAsia" w:cs="Times New Roman"/>
          <w:szCs w:val="24"/>
          <w:lang w:val="en-US" w:eastAsia="zh-CN"/>
        </w:rPr>
        <w:t>3</w:t>
      </w:r>
    </w:p>
    <w:p>
      <w:pPr>
        <w:pStyle w:val="28"/>
        <w:tabs>
          <w:tab w:val="right" w:leader="dot" w:pos="8306"/>
        </w:tabs>
        <w:rPr>
          <w:rFonts w:hint="eastAsia" w:eastAsia="宋体" w:cs="Times New Roman"/>
          <w:szCs w:val="24"/>
          <w:lang w:val="en-US" w:eastAsia="zh-CN"/>
        </w:rPr>
      </w:pPr>
      <w:r>
        <w:fldChar w:fldCharType="begin"/>
      </w:r>
      <w:r>
        <w:instrText xml:space="preserve"> HYPERLINK \l "_Toc9713" </w:instrText>
      </w:r>
      <w:r>
        <w:fldChar w:fldCharType="separate"/>
      </w:r>
      <w:r>
        <w:rPr>
          <w:rFonts w:cs="Times New Roman"/>
          <w:szCs w:val="24"/>
        </w:rPr>
        <w:t>Explanation of wording in this specification</w:t>
      </w:r>
      <w:r>
        <w:rPr>
          <w:rFonts w:cs="Times New Roman"/>
          <w:szCs w:val="24"/>
        </w:rPr>
        <w:tab/>
      </w:r>
      <w:r>
        <w:rPr>
          <w:rFonts w:hint="eastAsia" w:cs="Times New Roman"/>
          <w:szCs w:val="24"/>
          <w:lang w:val="en-US" w:eastAsia="zh-CN"/>
        </w:rPr>
        <w:t>6</w:t>
      </w:r>
      <w:r>
        <w:rPr>
          <w:rFonts w:cs="Times New Roman"/>
          <w:szCs w:val="24"/>
        </w:rPr>
        <w:fldChar w:fldCharType="end"/>
      </w:r>
      <w:r>
        <w:rPr>
          <w:rFonts w:hint="eastAsia" w:cs="Times New Roman"/>
          <w:szCs w:val="24"/>
          <w:lang w:val="en-US" w:eastAsia="zh-CN"/>
        </w:rPr>
        <w:t>4</w:t>
      </w:r>
    </w:p>
    <w:p>
      <w:pPr>
        <w:pStyle w:val="28"/>
        <w:tabs>
          <w:tab w:val="right" w:leader="dot" w:pos="8306"/>
        </w:tabs>
        <w:rPr>
          <w:rFonts w:hint="eastAsia" w:eastAsia="宋体" w:cs="Times New Roman"/>
          <w:szCs w:val="24"/>
          <w:lang w:val="en-US" w:eastAsia="zh-CN"/>
        </w:rPr>
      </w:pPr>
      <w:r>
        <w:fldChar w:fldCharType="begin"/>
      </w:r>
      <w:r>
        <w:instrText xml:space="preserve"> HYPERLINK \l "_Toc9029" </w:instrText>
      </w:r>
      <w:r>
        <w:fldChar w:fldCharType="separate"/>
      </w:r>
      <w:r>
        <w:rPr>
          <w:rFonts w:cs="Times New Roman"/>
          <w:szCs w:val="24"/>
        </w:rPr>
        <w:t>List of quoted standards</w:t>
      </w:r>
      <w:r>
        <w:rPr>
          <w:rFonts w:cs="Times New Roman"/>
          <w:szCs w:val="24"/>
        </w:rPr>
        <w:tab/>
      </w:r>
      <w:r>
        <w:rPr>
          <w:rFonts w:hint="eastAsia" w:cs="Times New Roman"/>
          <w:szCs w:val="24"/>
          <w:lang w:val="en-US" w:eastAsia="zh-CN"/>
        </w:rPr>
        <w:t>6</w:t>
      </w:r>
      <w:r>
        <w:rPr>
          <w:rFonts w:cs="Times New Roman"/>
          <w:szCs w:val="24"/>
        </w:rPr>
        <w:fldChar w:fldCharType="end"/>
      </w:r>
      <w:r>
        <w:rPr>
          <w:rFonts w:hint="eastAsia" w:cs="Times New Roman"/>
          <w:szCs w:val="24"/>
          <w:lang w:val="en-US" w:eastAsia="zh-CN"/>
        </w:rPr>
        <w:t>7</w:t>
      </w:r>
    </w:p>
    <w:p>
      <w:pPr>
        <w:pStyle w:val="28"/>
        <w:tabs>
          <w:tab w:val="right" w:leader="dot" w:pos="8306"/>
        </w:tabs>
        <w:rPr>
          <w:rFonts w:hint="default" w:eastAsia="宋体" w:cs="Times New Roman"/>
          <w:szCs w:val="24"/>
          <w:lang w:val="en-US" w:eastAsia="zh-CN"/>
        </w:rPr>
      </w:pPr>
      <w:r>
        <w:fldChar w:fldCharType="begin"/>
      </w:r>
      <w:r>
        <w:instrText xml:space="preserve"> HYPERLINK \l "_Toc8516" </w:instrText>
      </w:r>
      <w:r>
        <w:fldChar w:fldCharType="separate"/>
      </w:r>
      <w:r>
        <w:rPr>
          <w:rFonts w:cs="Times New Roman"/>
          <w:szCs w:val="24"/>
        </w:rPr>
        <w:t>Addition：Explanation of provisions</w:t>
      </w:r>
      <w:r>
        <w:rPr>
          <w:rFonts w:cs="Times New Roman"/>
          <w:szCs w:val="24"/>
        </w:rPr>
        <w:tab/>
      </w:r>
      <w:r>
        <w:rPr>
          <w:rFonts w:cs="Times New Roman"/>
          <w:szCs w:val="24"/>
        </w:rPr>
        <w:fldChar w:fldCharType="end"/>
      </w:r>
      <w:r>
        <w:rPr>
          <w:rFonts w:hint="eastAsia" w:cs="Times New Roman"/>
          <w:szCs w:val="24"/>
          <w:lang w:val="en-US" w:eastAsia="zh-CN"/>
        </w:rPr>
        <w:t>68</w:t>
      </w:r>
    </w:p>
    <w:p>
      <w:pPr>
        <w:jc w:val="center"/>
        <w:rPr>
          <w:rFonts w:cs="Times New Roman"/>
          <w:b/>
          <w:kern w:val="0"/>
          <w:sz w:val="28"/>
          <w:szCs w:val="32"/>
        </w:rPr>
      </w:pPr>
      <w:r>
        <w:rPr>
          <w:szCs w:val="24"/>
        </w:rPr>
        <w:fldChar w:fldCharType="end"/>
      </w:r>
    </w:p>
    <w:p>
      <w:pPr>
        <w:textAlignment w:val="auto"/>
        <w:rPr>
          <w:rStyle w:val="46"/>
          <w:rFonts w:cs="Times New Roman"/>
          <w:bCs/>
          <w:color w:val="auto"/>
          <w:u w:val="none"/>
        </w:rPr>
      </w:pPr>
    </w:p>
    <w:p>
      <w:pPr>
        <w:pStyle w:val="2"/>
        <w:spacing w:before="312"/>
        <w:rPr>
          <w:rFonts w:cs="Times New Roman"/>
        </w:rPr>
        <w:sectPr>
          <w:headerReference r:id="rId5" w:type="first"/>
          <w:headerReference r:id="rId3" w:type="default"/>
          <w:headerReference r:id="rId4" w:type="even"/>
          <w:footerReference r:id="rId6" w:type="even"/>
          <w:pgSz w:w="11906" w:h="16838"/>
          <w:pgMar w:top="1134" w:right="1416" w:bottom="1134" w:left="1418" w:header="851" w:footer="757" w:gutter="0"/>
          <w:pgNumType w:start="1"/>
          <w:cols w:space="425" w:num="1"/>
          <w:docGrid w:type="lines" w:linePitch="312" w:charSpace="0"/>
        </w:sectPr>
      </w:pPr>
    </w:p>
    <w:p>
      <w:pPr>
        <w:pStyle w:val="2"/>
        <w:spacing w:before="332"/>
        <w:rPr>
          <w:rFonts w:cs="Times New Roman"/>
        </w:rPr>
      </w:pPr>
      <w:bookmarkStart w:id="40" w:name="_Toc29939"/>
      <w:bookmarkStart w:id="41" w:name="_Toc11468"/>
      <w:bookmarkStart w:id="42" w:name="_Toc13926"/>
      <w:bookmarkStart w:id="43" w:name="_Toc34312103"/>
      <w:bookmarkStart w:id="44" w:name="_Toc30177549"/>
      <w:bookmarkStart w:id="45" w:name="_Toc35004497"/>
      <w:bookmarkStart w:id="46" w:name="_Toc18210"/>
      <w:bookmarkStart w:id="47" w:name="_Toc35004164"/>
      <w:bookmarkStart w:id="48" w:name="_Toc38546153"/>
      <w:bookmarkStart w:id="49" w:name="_Toc29579"/>
      <w:bookmarkStart w:id="50" w:name="_Toc820"/>
      <w:bookmarkStart w:id="51" w:name="_Toc5773"/>
      <w:r>
        <w:rPr>
          <w:rFonts w:cs="Times New Roman"/>
        </w:rPr>
        <w:t>1</w:t>
      </w:r>
      <w:r>
        <w:rPr>
          <w:rFonts w:hint="eastAsia" w:cs="Times New Roman"/>
        </w:rPr>
        <w:t xml:space="preserve">  </w:t>
      </w:r>
      <w:r>
        <w:rPr>
          <w:rFonts w:cs="Times New Roman"/>
        </w:rPr>
        <w:t>总则</w:t>
      </w:r>
      <w:bookmarkEnd w:id="40"/>
      <w:bookmarkEnd w:id="41"/>
      <w:bookmarkEnd w:id="42"/>
      <w:bookmarkEnd w:id="43"/>
      <w:bookmarkEnd w:id="44"/>
      <w:bookmarkEnd w:id="45"/>
      <w:bookmarkEnd w:id="46"/>
      <w:bookmarkEnd w:id="47"/>
      <w:bookmarkEnd w:id="48"/>
      <w:bookmarkEnd w:id="49"/>
      <w:bookmarkEnd w:id="50"/>
      <w:bookmarkEnd w:id="51"/>
    </w:p>
    <w:p>
      <w:bookmarkStart w:id="52" w:name="_Toc11590"/>
      <w:bookmarkStart w:id="53" w:name="_Toc35004165"/>
      <w:bookmarkStart w:id="54" w:name="_Toc3645"/>
      <w:bookmarkStart w:id="55" w:name="_Toc35004498"/>
      <w:bookmarkStart w:id="56" w:name="_Toc30177550"/>
      <w:bookmarkStart w:id="57" w:name="_Toc38546154"/>
      <w:bookmarkStart w:id="58" w:name="_Toc34312104"/>
      <w:bookmarkStart w:id="59" w:name="_Toc31528"/>
      <w:bookmarkStart w:id="60" w:name="_Toc6024"/>
      <w:bookmarkStart w:id="61" w:name="_Toc495584121"/>
      <w:r>
        <w:rPr>
          <w:rFonts w:hint="eastAsia"/>
          <w:b/>
        </w:rPr>
        <w:t>1.0.1</w:t>
      </w:r>
      <w:r>
        <w:rPr>
          <w:rFonts w:hint="eastAsia"/>
          <w:bCs/>
        </w:rPr>
        <w:t xml:space="preserve"> </w:t>
      </w:r>
      <w:r>
        <w:rPr>
          <w:rFonts w:hint="eastAsia"/>
        </w:rPr>
        <w:t xml:space="preserve"> 为加强</w:t>
      </w:r>
      <w:r>
        <w:rPr>
          <w:rFonts w:hint="eastAsia" w:eastAsiaTheme="minorEastAsia"/>
        </w:rPr>
        <w:t>装配式</w:t>
      </w:r>
      <w:r>
        <w:rPr>
          <w:rFonts w:hint="eastAsia"/>
        </w:rPr>
        <w:t>综合管廊工程施工管理，规范施工技术要求，统一施工质量检验</w:t>
      </w:r>
      <w:r>
        <w:rPr>
          <w:rFonts w:hint="eastAsia"/>
          <w:lang w:eastAsia="zh-CN"/>
        </w:rPr>
        <w:t>及其</w:t>
      </w:r>
      <w:r>
        <w:rPr>
          <w:rFonts w:hint="eastAsia"/>
        </w:rPr>
        <w:t>验收标准，确保工程质量，制定本标准。</w:t>
      </w:r>
    </w:p>
    <w:p>
      <w:pPr>
        <w:rPr>
          <w:rFonts w:eastAsiaTheme="minorEastAsia"/>
        </w:rPr>
      </w:pPr>
      <w:r>
        <w:rPr>
          <w:rFonts w:hint="eastAsia" w:eastAsiaTheme="minorEastAsia"/>
          <w:b/>
        </w:rPr>
        <w:t>1.0.2</w:t>
      </w:r>
      <w:r>
        <w:rPr>
          <w:rFonts w:eastAsiaTheme="minorEastAsia"/>
          <w:b/>
        </w:rPr>
        <w:t xml:space="preserve"> </w:t>
      </w:r>
      <w:r>
        <w:rPr>
          <w:rFonts w:hint="eastAsia" w:eastAsiaTheme="minorEastAsia"/>
          <w:bCs/>
        </w:rPr>
        <w:t xml:space="preserve"> </w:t>
      </w:r>
      <w:r>
        <w:rPr>
          <w:rFonts w:hint="eastAsia" w:eastAsiaTheme="minorEastAsia"/>
        </w:rPr>
        <w:t>本标准适用于广东省采用装配式</w:t>
      </w:r>
      <w:r>
        <w:rPr>
          <w:rFonts w:hint="eastAsia" w:eastAsiaTheme="minorEastAsia"/>
          <w:lang w:val="en-US" w:eastAsia="zh-CN"/>
        </w:rPr>
        <w:t>钢筋混凝土</w:t>
      </w:r>
      <w:r>
        <w:rPr>
          <w:rFonts w:hint="eastAsia" w:eastAsiaTheme="minorEastAsia"/>
        </w:rPr>
        <w:t>综合管廊结构的施工及验收。</w:t>
      </w:r>
    </w:p>
    <w:p>
      <w:pPr>
        <w:rPr>
          <w:rFonts w:hint="eastAsia" w:eastAsiaTheme="minorEastAsia"/>
        </w:rPr>
      </w:pPr>
      <w:r>
        <w:rPr>
          <w:rFonts w:hint="eastAsia" w:eastAsiaTheme="minorEastAsia"/>
          <w:b/>
        </w:rPr>
        <w:t>1.0.3</w:t>
      </w:r>
      <w:r>
        <w:rPr>
          <w:rFonts w:eastAsiaTheme="minorEastAsia"/>
          <w:bCs/>
        </w:rPr>
        <w:t xml:space="preserve"> </w:t>
      </w:r>
      <w:r>
        <w:rPr>
          <w:rFonts w:hint="eastAsia" w:eastAsiaTheme="minorEastAsia"/>
          <w:bCs/>
        </w:rPr>
        <w:t xml:space="preserve"> </w:t>
      </w:r>
      <w:r>
        <w:rPr>
          <w:rFonts w:hint="eastAsia" w:eastAsiaTheme="minorEastAsia"/>
        </w:rPr>
        <w:t>装配式综合管廊工程的施工及验收，除应符合本标准外，尚应符合现行国家</w:t>
      </w:r>
      <w:r>
        <w:rPr>
          <w:rFonts w:hint="eastAsia" w:eastAsiaTheme="minorEastAsia"/>
          <w:lang w:eastAsia="zh-CN"/>
        </w:rPr>
        <w:t>、</w:t>
      </w:r>
      <w:r>
        <w:rPr>
          <w:rFonts w:hint="eastAsia" w:eastAsiaTheme="minorEastAsia"/>
        </w:rPr>
        <w:t>行业</w:t>
      </w:r>
      <w:r>
        <w:rPr>
          <w:rFonts w:hint="eastAsia" w:eastAsiaTheme="minorEastAsia"/>
          <w:lang w:eastAsia="zh-CN"/>
        </w:rPr>
        <w:t>和广东省</w:t>
      </w:r>
      <w:r>
        <w:rPr>
          <w:rFonts w:hint="eastAsia" w:eastAsiaTheme="minorEastAsia"/>
        </w:rPr>
        <w:t>有关标准的规定。</w:t>
      </w:r>
    </w:p>
    <w:p>
      <w:pPr>
        <w:bidi w:val="0"/>
        <w:rPr>
          <w:rFonts w:hint="eastAsia"/>
          <w:lang w:val="en-US" w:eastAsia="zh-CN"/>
        </w:rPr>
      </w:pPr>
    </w:p>
    <w:p>
      <w:pPr>
        <w:tabs>
          <w:tab w:val="left" w:pos="5929"/>
        </w:tabs>
        <w:bidi w:val="0"/>
        <w:jc w:val="left"/>
        <w:rPr>
          <w:rFonts w:hint="eastAsia"/>
          <w:lang w:val="en-US" w:eastAsia="zh-CN"/>
        </w:rPr>
      </w:pPr>
    </w:p>
    <w:p>
      <w:pPr>
        <w:pStyle w:val="2"/>
        <w:rPr>
          <w:lang w:val="el-GR"/>
        </w:rPr>
      </w:pPr>
      <w:bookmarkStart w:id="62" w:name="_Toc29841"/>
      <w:bookmarkStart w:id="63" w:name="_Toc17090"/>
      <w:bookmarkStart w:id="64" w:name="_Toc21697"/>
      <w:bookmarkStart w:id="65" w:name="_Toc2521"/>
      <w:bookmarkStart w:id="66" w:name="_Toc3308"/>
      <w:bookmarkStart w:id="67" w:name="_Toc24796"/>
      <w:r>
        <w:rPr>
          <w:lang w:val="el-GR"/>
        </w:rPr>
        <w:t>2</w:t>
      </w:r>
      <w:r>
        <w:rPr>
          <w:rFonts w:hint="eastAsia"/>
        </w:rPr>
        <w:t xml:space="preserve">  </w:t>
      </w:r>
      <w:r>
        <w:rPr>
          <w:lang w:val="el-GR"/>
        </w:rPr>
        <w:t>术语</w:t>
      </w:r>
      <w:bookmarkEnd w:id="52"/>
      <w:bookmarkEnd w:id="53"/>
      <w:bookmarkEnd w:id="54"/>
      <w:bookmarkEnd w:id="55"/>
      <w:bookmarkEnd w:id="56"/>
      <w:bookmarkEnd w:id="57"/>
      <w:bookmarkEnd w:id="58"/>
      <w:bookmarkEnd w:id="59"/>
      <w:bookmarkEnd w:id="60"/>
      <w:bookmarkEnd w:id="62"/>
      <w:bookmarkEnd w:id="63"/>
      <w:bookmarkEnd w:id="64"/>
      <w:bookmarkEnd w:id="65"/>
      <w:bookmarkEnd w:id="66"/>
      <w:bookmarkEnd w:id="67"/>
    </w:p>
    <w:p>
      <w:pPr>
        <w:rPr>
          <w:rFonts w:cs="Times New Roman" w:eastAsiaTheme="minorEastAsia"/>
          <w:bCs/>
          <w:lang w:val="el-GR"/>
        </w:rPr>
      </w:pPr>
      <w:bookmarkStart w:id="68" w:name="_Toc456112595"/>
      <w:bookmarkStart w:id="69" w:name="_Toc32695"/>
      <w:bookmarkStart w:id="70" w:name="_Toc4630"/>
      <w:r>
        <w:rPr>
          <w:rFonts w:cs="Times New Roman" w:eastAsiaTheme="minorEastAsia"/>
          <w:b/>
          <w:lang w:val="el-GR"/>
        </w:rPr>
        <w:t>2.0.1</w:t>
      </w:r>
      <w:r>
        <w:rPr>
          <w:rFonts w:cs="Times New Roman" w:eastAsiaTheme="minorEastAsia"/>
          <w:bCs/>
          <w:lang w:val="el-GR"/>
        </w:rPr>
        <w:t xml:space="preserve">  </w:t>
      </w:r>
      <w:r>
        <w:rPr>
          <w:rFonts w:cs="Times New Roman" w:eastAsiaTheme="minorEastAsia"/>
          <w:bCs/>
        </w:rPr>
        <w:t>装配式综合管廊</w:t>
      </w:r>
      <w:r>
        <w:rPr>
          <w:rFonts w:cs="Times New Roman" w:eastAsiaTheme="minorEastAsia"/>
          <w:bCs/>
          <w:lang w:val="el-GR"/>
        </w:rPr>
        <w:t xml:space="preserve">  </w:t>
      </w:r>
      <w:r>
        <w:rPr>
          <w:rFonts w:hint="eastAsia" w:cs="Times New Roman" w:eastAsiaTheme="minorEastAsia"/>
          <w:bCs/>
          <w:lang w:val="en-US" w:eastAsia="zh-CN"/>
        </w:rPr>
        <w:t>asembled</w:t>
      </w:r>
      <w:r>
        <w:rPr>
          <w:rFonts w:cs="Times New Roman" w:eastAsiaTheme="minorEastAsia"/>
          <w:bCs/>
          <w:lang w:val="el-GR"/>
        </w:rPr>
        <w:t xml:space="preserve"> utility tunnel</w:t>
      </w:r>
    </w:p>
    <w:p>
      <w:pPr>
        <w:ind w:firstLine="480"/>
        <w:rPr>
          <w:rFonts w:hint="default" w:eastAsia="宋体" w:cs="Times New Roman"/>
          <w:bCs/>
          <w:lang w:val="en-US" w:eastAsia="zh-CN"/>
        </w:rPr>
      </w:pPr>
      <w:r>
        <w:rPr>
          <w:rFonts w:hint="eastAsia" w:cs="Times New Roman"/>
          <w:bCs/>
          <w:lang w:val="en-US" w:eastAsia="zh-CN"/>
        </w:rPr>
        <w:t>由预制节段、块件或构件叠合现浇混凝土拼装而成的综合管廊。</w:t>
      </w:r>
    </w:p>
    <w:p>
      <w:pPr>
        <w:rPr>
          <w:rFonts w:cs="Times New Roman" w:eastAsiaTheme="minorEastAsia"/>
          <w:bCs/>
          <w:lang w:val="el-GR"/>
        </w:rPr>
      </w:pPr>
      <w:r>
        <w:rPr>
          <w:rFonts w:cs="Times New Roman" w:eastAsiaTheme="minorEastAsia"/>
          <w:b/>
          <w:lang w:val="el-GR"/>
        </w:rPr>
        <w:t>2.0.2</w:t>
      </w:r>
      <w:r>
        <w:rPr>
          <w:rFonts w:cs="Times New Roman" w:eastAsiaTheme="minorEastAsia"/>
          <w:bCs/>
          <w:lang w:val="el-GR"/>
        </w:rPr>
        <w:t xml:space="preserve">  </w:t>
      </w:r>
      <w:r>
        <w:rPr>
          <w:rFonts w:cs="Times New Roman" w:eastAsiaTheme="minorEastAsia"/>
          <w:bCs/>
        </w:rPr>
        <w:t>节段预制管廊</w:t>
      </w:r>
      <w:r>
        <w:rPr>
          <w:rFonts w:cs="Times New Roman" w:eastAsiaTheme="minorEastAsia"/>
          <w:bCs/>
          <w:lang w:val="el-GR"/>
        </w:rPr>
        <w:t xml:space="preserve">  </w:t>
      </w:r>
      <w:r>
        <w:rPr>
          <w:rFonts w:cs="Times New Roman" w:eastAsiaTheme="minorEastAsia"/>
          <w:bCs/>
        </w:rPr>
        <w:t>segmental</w:t>
      </w:r>
      <w:r>
        <w:rPr>
          <w:rFonts w:cs="Times New Roman" w:eastAsiaTheme="minorEastAsia"/>
          <w:bCs/>
          <w:lang w:val="el-GR"/>
        </w:rPr>
        <w:t xml:space="preserve"> </w:t>
      </w:r>
      <w:r>
        <w:rPr>
          <w:rFonts w:cs="Times New Roman" w:eastAsiaTheme="minorEastAsia"/>
          <w:bCs/>
        </w:rPr>
        <w:t>precast</w:t>
      </w:r>
      <w:r>
        <w:rPr>
          <w:rFonts w:cs="Times New Roman" w:eastAsiaTheme="minorEastAsia"/>
          <w:bCs/>
          <w:lang w:val="el-GR"/>
        </w:rPr>
        <w:t xml:space="preserve"> </w:t>
      </w:r>
      <w:r>
        <w:rPr>
          <w:rFonts w:cs="Times New Roman" w:eastAsiaTheme="minorEastAsia"/>
          <w:bCs/>
        </w:rPr>
        <w:t>utility</w:t>
      </w:r>
      <w:r>
        <w:rPr>
          <w:rFonts w:cs="Times New Roman" w:eastAsiaTheme="minorEastAsia"/>
          <w:bCs/>
          <w:lang w:val="el-GR"/>
        </w:rPr>
        <w:t xml:space="preserve"> </w:t>
      </w:r>
      <w:r>
        <w:rPr>
          <w:rFonts w:cs="Times New Roman" w:eastAsiaTheme="minorEastAsia"/>
          <w:bCs/>
        </w:rPr>
        <w:t>tunnel</w:t>
      </w:r>
    </w:p>
    <w:p>
      <w:pPr>
        <w:ind w:firstLine="480"/>
        <w:rPr>
          <w:rFonts w:cs="Times New Roman"/>
          <w:bCs/>
          <w:lang w:val="el-GR"/>
        </w:rPr>
      </w:pPr>
      <w:r>
        <w:rPr>
          <w:rFonts w:cs="Times New Roman"/>
          <w:bCs/>
        </w:rPr>
        <w:t>通过纵向可靠连接方式将若干个预制节段逐段装配而成的综合管廊。</w:t>
      </w:r>
    </w:p>
    <w:p>
      <w:pPr>
        <w:rPr>
          <w:rFonts w:cs="Times New Roman" w:eastAsiaTheme="minorEastAsia"/>
          <w:bCs/>
          <w:lang w:val="el-GR"/>
        </w:rPr>
      </w:pPr>
      <w:r>
        <w:rPr>
          <w:rFonts w:cs="Times New Roman" w:eastAsiaTheme="minorEastAsia"/>
          <w:b/>
          <w:lang w:val="el-GR"/>
        </w:rPr>
        <w:t>2.0.</w:t>
      </w:r>
      <w:r>
        <w:rPr>
          <w:rFonts w:hint="eastAsia" w:cs="Times New Roman" w:eastAsiaTheme="minorEastAsia"/>
          <w:b/>
          <w:lang w:val="en-US" w:eastAsia="zh-CN"/>
        </w:rPr>
        <w:t>3</w:t>
      </w:r>
      <w:r>
        <w:rPr>
          <w:rFonts w:cs="Times New Roman" w:eastAsiaTheme="minorEastAsia"/>
          <w:b/>
          <w:lang w:val="el-GR"/>
        </w:rPr>
        <w:t xml:space="preserve"> </w:t>
      </w:r>
      <w:r>
        <w:rPr>
          <w:rFonts w:cs="Times New Roman" w:eastAsiaTheme="minorEastAsia"/>
          <w:bCs/>
          <w:lang w:val="el-GR"/>
        </w:rPr>
        <w:t xml:space="preserve"> </w:t>
      </w:r>
      <w:r>
        <w:rPr>
          <w:rFonts w:cs="Times New Roman" w:eastAsiaTheme="minorEastAsia"/>
          <w:bCs/>
        </w:rPr>
        <w:t>叠合预制管廊</w:t>
      </w:r>
      <w:r>
        <w:rPr>
          <w:rFonts w:cs="Times New Roman" w:eastAsiaTheme="minorEastAsia"/>
          <w:bCs/>
          <w:lang w:val="el-GR"/>
        </w:rPr>
        <w:t xml:space="preserve">  </w:t>
      </w:r>
      <w:r>
        <w:rPr>
          <w:rFonts w:cs="Times New Roman" w:eastAsiaTheme="minorEastAsia"/>
          <w:bCs/>
        </w:rPr>
        <w:t>composite</w:t>
      </w:r>
      <w:r>
        <w:rPr>
          <w:rFonts w:cs="Times New Roman" w:eastAsiaTheme="minorEastAsia"/>
          <w:bCs/>
          <w:lang w:val="el-GR"/>
        </w:rPr>
        <w:t xml:space="preserve"> </w:t>
      </w:r>
      <w:r>
        <w:rPr>
          <w:rFonts w:cs="Times New Roman" w:eastAsiaTheme="minorEastAsia"/>
          <w:bCs/>
        </w:rPr>
        <w:t>precast</w:t>
      </w:r>
      <w:r>
        <w:rPr>
          <w:rFonts w:cs="Times New Roman" w:eastAsiaTheme="minorEastAsia"/>
          <w:bCs/>
          <w:lang w:val="el-GR"/>
        </w:rPr>
        <w:t xml:space="preserve"> </w:t>
      </w:r>
      <w:r>
        <w:rPr>
          <w:rFonts w:cs="Times New Roman" w:eastAsiaTheme="minorEastAsia"/>
          <w:bCs/>
        </w:rPr>
        <w:t>utility</w:t>
      </w:r>
      <w:r>
        <w:rPr>
          <w:rFonts w:cs="Times New Roman" w:eastAsiaTheme="minorEastAsia"/>
          <w:bCs/>
          <w:lang w:val="el-GR"/>
        </w:rPr>
        <w:t xml:space="preserve"> </w:t>
      </w:r>
      <w:r>
        <w:rPr>
          <w:rFonts w:cs="Times New Roman" w:eastAsiaTheme="minorEastAsia"/>
          <w:bCs/>
        </w:rPr>
        <w:t>tunnel</w:t>
      </w:r>
    </w:p>
    <w:p>
      <w:pPr>
        <w:ind w:firstLine="480" w:firstLineChars="200"/>
        <w:rPr>
          <w:rFonts w:cs="Times New Roman" w:eastAsiaTheme="minorEastAsia"/>
          <w:b/>
          <w:lang w:val="el-GR"/>
        </w:rPr>
      </w:pPr>
      <w:r>
        <w:rPr>
          <w:rFonts w:cs="Times New Roman"/>
          <w:bCs/>
          <w:lang w:val="el-GR"/>
        </w:rPr>
        <w:t>预制构件通过可靠方式连接，并与现浇混凝土形成整体</w:t>
      </w:r>
      <w:r>
        <w:rPr>
          <w:rFonts w:hint="eastAsia" w:cs="Times New Roman"/>
          <w:bCs/>
          <w:lang w:val="el-GR"/>
        </w:rPr>
        <w:t>结构</w:t>
      </w:r>
      <w:r>
        <w:rPr>
          <w:rFonts w:cs="Times New Roman"/>
          <w:bCs/>
          <w:lang w:val="el-GR"/>
        </w:rPr>
        <w:t>的综合管廊</w:t>
      </w:r>
      <w:r>
        <w:rPr>
          <w:rFonts w:cs="Times New Roman"/>
          <w:bCs/>
        </w:rPr>
        <w:t>。</w:t>
      </w:r>
    </w:p>
    <w:p>
      <w:pPr>
        <w:rPr>
          <w:rFonts w:cs="Times New Roman" w:eastAsiaTheme="minorEastAsia"/>
          <w:bCs/>
          <w:lang w:val="el-GR"/>
        </w:rPr>
      </w:pPr>
      <w:r>
        <w:rPr>
          <w:rFonts w:cs="Times New Roman" w:eastAsiaTheme="minorEastAsia"/>
          <w:b/>
          <w:lang w:val="el-GR"/>
        </w:rPr>
        <w:t>2.0.</w:t>
      </w:r>
      <w:r>
        <w:rPr>
          <w:rFonts w:hint="eastAsia" w:cs="Times New Roman" w:eastAsiaTheme="minorEastAsia"/>
          <w:b/>
          <w:lang w:val="en-US" w:eastAsia="zh-CN"/>
        </w:rPr>
        <w:t>4</w:t>
      </w:r>
      <w:r>
        <w:rPr>
          <w:rFonts w:cs="Times New Roman" w:eastAsiaTheme="minorEastAsia"/>
          <w:bCs/>
          <w:lang w:val="el-GR"/>
        </w:rPr>
        <w:t xml:space="preserve">  </w:t>
      </w:r>
      <w:r>
        <w:rPr>
          <w:rFonts w:cs="Times New Roman" w:eastAsiaTheme="minorEastAsia"/>
          <w:bCs/>
        </w:rPr>
        <w:t>分块预制管廊</w:t>
      </w:r>
      <w:r>
        <w:rPr>
          <w:rFonts w:cs="Times New Roman" w:eastAsiaTheme="minorEastAsia"/>
          <w:bCs/>
          <w:lang w:val="el-GR"/>
        </w:rPr>
        <w:t xml:space="preserve">  </w:t>
      </w:r>
      <w:r>
        <w:rPr>
          <w:rFonts w:cs="Times New Roman" w:eastAsiaTheme="minorEastAsia"/>
          <w:bCs/>
        </w:rPr>
        <w:t>blocked</w:t>
      </w:r>
      <w:r>
        <w:rPr>
          <w:rFonts w:cs="Times New Roman" w:eastAsiaTheme="minorEastAsia"/>
          <w:bCs/>
          <w:lang w:val="el-GR"/>
        </w:rPr>
        <w:t xml:space="preserve"> </w:t>
      </w:r>
      <w:r>
        <w:rPr>
          <w:rFonts w:cs="Times New Roman" w:eastAsiaTheme="minorEastAsia"/>
          <w:bCs/>
        </w:rPr>
        <w:t>precast</w:t>
      </w:r>
      <w:r>
        <w:rPr>
          <w:rFonts w:cs="Times New Roman" w:eastAsiaTheme="minorEastAsia"/>
          <w:bCs/>
          <w:lang w:val="el-GR"/>
        </w:rPr>
        <w:t xml:space="preserve"> </w:t>
      </w:r>
      <w:r>
        <w:rPr>
          <w:rFonts w:cs="Times New Roman" w:eastAsiaTheme="minorEastAsia"/>
          <w:bCs/>
        </w:rPr>
        <w:t>utility</w:t>
      </w:r>
      <w:r>
        <w:rPr>
          <w:rFonts w:cs="Times New Roman" w:eastAsiaTheme="minorEastAsia"/>
          <w:bCs/>
          <w:lang w:val="el-GR"/>
        </w:rPr>
        <w:t xml:space="preserve"> </w:t>
      </w:r>
      <w:r>
        <w:rPr>
          <w:rFonts w:cs="Times New Roman" w:eastAsiaTheme="minorEastAsia"/>
          <w:bCs/>
        </w:rPr>
        <w:t>tunnel</w:t>
      </w:r>
    </w:p>
    <w:p>
      <w:pPr>
        <w:ind w:firstLine="480"/>
        <w:rPr>
          <w:rFonts w:cs="Times New Roman"/>
          <w:bCs/>
        </w:rPr>
      </w:pPr>
      <w:r>
        <w:rPr>
          <w:rFonts w:cs="Times New Roman"/>
          <w:bCs/>
          <w:lang w:val="el-GR"/>
        </w:rPr>
        <w:t>由若干个</w:t>
      </w:r>
      <w:r>
        <w:rPr>
          <w:rFonts w:cs="Times New Roman"/>
          <w:bCs/>
        </w:rPr>
        <w:t>预制块件通过纵向、横向、竖向连接成的综合管廊。</w:t>
      </w:r>
    </w:p>
    <w:p>
      <w:pPr>
        <w:ind w:firstLine="0"/>
        <w:rPr>
          <w:rFonts w:cs="Times New Roman"/>
          <w:bCs/>
        </w:rPr>
      </w:pPr>
      <w:r>
        <w:rPr>
          <w:rFonts w:cs="Times New Roman"/>
          <w:b/>
        </w:rPr>
        <w:t>2.0.</w:t>
      </w:r>
      <w:r>
        <w:rPr>
          <w:rFonts w:hint="eastAsia" w:cs="Times New Roman"/>
          <w:b/>
          <w:lang w:val="en-US" w:eastAsia="zh-CN"/>
        </w:rPr>
        <w:t>5</w:t>
      </w:r>
      <w:r>
        <w:rPr>
          <w:rFonts w:cs="Times New Roman"/>
          <w:bCs/>
        </w:rPr>
        <w:t xml:space="preserve">  节段  segment</w:t>
      </w:r>
    </w:p>
    <w:p>
      <w:pPr>
        <w:ind w:firstLine="480"/>
        <w:rPr>
          <w:rFonts w:cs="Times New Roman"/>
        </w:rPr>
      </w:pPr>
      <w:r>
        <w:rPr>
          <w:rFonts w:cs="Times New Roman"/>
        </w:rPr>
        <w:t>一次制作而成的一段管廊，或预先制作的多个节段构件在横断面上组合而成的一段管廊。节段为</w:t>
      </w:r>
      <w:r>
        <w:rPr>
          <w:rFonts w:hint="eastAsia" w:cs="Times New Roman"/>
          <w:lang w:val="en-US" w:eastAsia="zh-CN"/>
        </w:rPr>
        <w:t>节段预制</w:t>
      </w:r>
      <w:r>
        <w:rPr>
          <w:rFonts w:cs="Times New Roman"/>
        </w:rPr>
        <w:t>管廊的基本装配单元。</w:t>
      </w:r>
    </w:p>
    <w:p>
      <w:pPr>
        <w:rPr>
          <w:rFonts w:cs="Times New Roman"/>
        </w:rPr>
      </w:pPr>
      <w:bookmarkStart w:id="71" w:name="_Toc7546_WPSOffice_Level1"/>
      <w:r>
        <w:rPr>
          <w:rFonts w:cs="Times New Roman"/>
          <w:b/>
          <w:bCs/>
        </w:rPr>
        <w:t>2.0.</w:t>
      </w:r>
      <w:r>
        <w:rPr>
          <w:rFonts w:hint="eastAsia" w:cs="Times New Roman"/>
          <w:b/>
          <w:bCs/>
          <w:lang w:val="en-US" w:eastAsia="zh-CN"/>
        </w:rPr>
        <w:t>6</w:t>
      </w:r>
      <w:r>
        <w:rPr>
          <w:rFonts w:cs="Times New Roman"/>
        </w:rPr>
        <w:t xml:space="preserve">  构件component</w:t>
      </w:r>
      <w:bookmarkEnd w:id="71"/>
    </w:p>
    <w:p>
      <w:pPr>
        <w:ind w:firstLine="480"/>
        <w:rPr>
          <w:rFonts w:cs="Times New Roman"/>
        </w:rPr>
      </w:pPr>
      <w:r>
        <w:rPr>
          <w:rFonts w:cs="Times New Roman"/>
        </w:rPr>
        <w:t>节段管廊、分块管廊、叠合</w:t>
      </w:r>
      <w:r>
        <w:rPr>
          <w:rFonts w:hint="eastAsia" w:cs="Times New Roman"/>
          <w:lang w:eastAsia="zh-CN"/>
        </w:rPr>
        <w:t>管廊</w:t>
      </w:r>
      <w:r>
        <w:rPr>
          <w:rFonts w:cs="Times New Roman"/>
        </w:rPr>
        <w:t>的一次预制完成的基本单元。</w:t>
      </w:r>
    </w:p>
    <w:p>
      <w:pPr>
        <w:rPr>
          <w:rFonts w:cs="Times New Roman"/>
        </w:rPr>
      </w:pPr>
      <w:r>
        <w:rPr>
          <w:rFonts w:cs="Times New Roman"/>
          <w:b/>
          <w:bCs/>
        </w:rPr>
        <w:t>2.0.</w:t>
      </w:r>
      <w:r>
        <w:rPr>
          <w:rFonts w:hint="eastAsia" w:cs="Times New Roman"/>
          <w:b/>
          <w:bCs/>
          <w:lang w:val="en-US" w:eastAsia="zh-CN"/>
        </w:rPr>
        <w:t>7</w:t>
      </w:r>
      <w:r>
        <w:rPr>
          <w:rFonts w:cs="Times New Roman"/>
          <w:b/>
          <w:bCs/>
        </w:rPr>
        <w:t xml:space="preserve"> </w:t>
      </w:r>
      <w:r>
        <w:rPr>
          <w:rFonts w:cs="Times New Roman"/>
        </w:rPr>
        <w:t xml:space="preserve"> 预应力筋连接  prestressed tendon connection of segment</w:t>
      </w:r>
    </w:p>
    <w:p>
      <w:pPr>
        <w:ind w:firstLine="480"/>
        <w:rPr>
          <w:rFonts w:cs="Times New Roman"/>
        </w:rPr>
      </w:pPr>
      <w:r>
        <w:rPr>
          <w:rFonts w:cs="Times New Roman"/>
        </w:rPr>
        <w:t>相组合的</w:t>
      </w:r>
      <w:r>
        <w:rPr>
          <w:rFonts w:hint="eastAsia" w:cs="Times New Roman"/>
          <w:lang w:eastAsia="zh-CN"/>
        </w:rPr>
        <w:t>节段</w:t>
      </w:r>
      <w:r>
        <w:rPr>
          <w:rFonts w:cs="Times New Roman"/>
        </w:rPr>
        <w:t>构件之间或相邻的节段之间采用预应力钢丝、预应力钢绞线、预应力螺纹钢筋或预应力钢棒组合成整体的连接方式。</w:t>
      </w:r>
    </w:p>
    <w:p>
      <w:pPr>
        <w:rPr>
          <w:rFonts w:cs="Times New Roman"/>
        </w:rPr>
      </w:pPr>
      <w:r>
        <w:rPr>
          <w:rFonts w:cs="Times New Roman"/>
          <w:b/>
          <w:bCs/>
        </w:rPr>
        <w:t>2.0.</w:t>
      </w:r>
      <w:r>
        <w:rPr>
          <w:rFonts w:hint="eastAsia" w:cs="Times New Roman"/>
          <w:b/>
          <w:bCs/>
          <w:lang w:val="en-US" w:eastAsia="zh-CN"/>
        </w:rPr>
        <w:t>8</w:t>
      </w:r>
      <w:r>
        <w:rPr>
          <w:rFonts w:cs="Times New Roman"/>
        </w:rPr>
        <w:t xml:space="preserve">  螺栓连接  bolted connection of segment</w:t>
      </w:r>
    </w:p>
    <w:p>
      <w:pPr>
        <w:ind w:firstLine="480"/>
        <w:rPr>
          <w:rFonts w:cs="Times New Roman"/>
        </w:rPr>
      </w:pPr>
      <w:r>
        <w:rPr>
          <w:rFonts w:cs="Times New Roman"/>
        </w:rPr>
        <w:t>相组合的</w:t>
      </w:r>
      <w:r>
        <w:rPr>
          <w:rFonts w:hint="eastAsia" w:cs="Times New Roman"/>
          <w:lang w:eastAsia="zh-CN"/>
        </w:rPr>
        <w:t>节段</w:t>
      </w:r>
      <w:r>
        <w:rPr>
          <w:rFonts w:cs="Times New Roman"/>
        </w:rPr>
        <w:t>构件之间或相邻的节段之间采用螺栓组合成整体的连接方式。</w:t>
      </w:r>
    </w:p>
    <w:p>
      <w:pPr>
        <w:rPr>
          <w:rFonts w:cs="Times New Roman"/>
        </w:rPr>
      </w:pPr>
      <w:r>
        <w:rPr>
          <w:rFonts w:cs="Times New Roman"/>
          <w:b/>
          <w:bCs/>
        </w:rPr>
        <w:t>2.0.</w:t>
      </w:r>
      <w:r>
        <w:rPr>
          <w:rFonts w:hint="eastAsia" w:cs="Times New Roman"/>
          <w:b/>
          <w:bCs/>
          <w:lang w:val="en-US" w:eastAsia="zh-CN"/>
        </w:rPr>
        <w:t>9</w:t>
      </w:r>
      <w:r>
        <w:rPr>
          <w:rFonts w:cs="Times New Roman"/>
          <w:b/>
          <w:bCs/>
        </w:rPr>
        <w:t xml:space="preserve"> </w:t>
      </w:r>
      <w:r>
        <w:rPr>
          <w:rFonts w:cs="Times New Roman"/>
        </w:rPr>
        <w:t xml:space="preserve"> 节段柔性承插口连接  flexible bell and spigot connection of segment</w:t>
      </w:r>
    </w:p>
    <w:p>
      <w:pPr>
        <w:ind w:firstLine="480"/>
        <w:rPr>
          <w:rFonts w:cs="Times New Roman"/>
        </w:rPr>
      </w:pPr>
      <w:r>
        <w:rPr>
          <w:rFonts w:cs="Times New Roman"/>
        </w:rPr>
        <w:t>相邻的节段端部设置承口与插口，承口与插口采用橡胶圈等材料密封组合成能够承受一定量线变位、角变位的连接方式。</w:t>
      </w:r>
    </w:p>
    <w:p>
      <w:pPr>
        <w:rPr>
          <w:rFonts w:cs="Times New Roman"/>
        </w:rPr>
      </w:pPr>
      <w:r>
        <w:rPr>
          <w:rFonts w:cs="Times New Roman"/>
          <w:b/>
          <w:bCs/>
        </w:rPr>
        <w:t>2.0.1</w:t>
      </w:r>
      <w:r>
        <w:rPr>
          <w:rFonts w:hint="eastAsia" w:cs="Times New Roman"/>
          <w:b/>
          <w:bCs/>
          <w:lang w:val="en-US" w:eastAsia="zh-CN"/>
        </w:rPr>
        <w:t>0</w:t>
      </w:r>
      <w:r>
        <w:rPr>
          <w:rFonts w:cs="Times New Roman"/>
          <w:b/>
          <w:bCs/>
        </w:rPr>
        <w:t xml:space="preserve"> </w:t>
      </w:r>
      <w:r>
        <w:rPr>
          <w:rFonts w:cs="Times New Roman"/>
        </w:rPr>
        <w:t xml:space="preserve"> 管廊安装车  utility tunnel installation vehicle</w:t>
      </w:r>
    </w:p>
    <w:p>
      <w:pPr>
        <w:ind w:firstLine="480"/>
        <w:rPr>
          <w:rFonts w:cs="Times New Roman"/>
        </w:rPr>
      </w:pPr>
      <w:r>
        <w:rPr>
          <w:rFonts w:cs="Times New Roman"/>
        </w:rPr>
        <w:t>由行走装置、支撑装置、车体结构、导向装置及顶升装置等组成的用于节段安装的特殊安装设备。</w:t>
      </w:r>
    </w:p>
    <w:p>
      <w:pPr>
        <w:rPr>
          <w:rFonts w:cs="Times New Roman"/>
        </w:rPr>
      </w:pPr>
      <w:r>
        <w:rPr>
          <w:rFonts w:cs="Times New Roman"/>
          <w:b/>
          <w:bCs/>
        </w:rPr>
        <w:t>2.0.1</w:t>
      </w:r>
      <w:r>
        <w:rPr>
          <w:rFonts w:hint="eastAsia" w:cs="Times New Roman"/>
          <w:b/>
          <w:bCs/>
          <w:lang w:val="en-US" w:eastAsia="zh-CN"/>
        </w:rPr>
        <w:t>1</w:t>
      </w:r>
      <w:r>
        <w:rPr>
          <w:rFonts w:cs="Times New Roman"/>
        </w:rPr>
        <w:t xml:space="preserve">  细部</w:t>
      </w:r>
      <w:r>
        <w:rPr>
          <w:rFonts w:hint="eastAsia" w:cs="Times New Roman"/>
          <w:lang w:val="en-US" w:eastAsia="zh-CN"/>
        </w:rPr>
        <w:t>防水</w:t>
      </w:r>
      <w:r>
        <w:rPr>
          <w:rFonts w:cs="Times New Roman"/>
        </w:rPr>
        <w:t>构造  detail structural position waterproof</w:t>
      </w:r>
    </w:p>
    <w:p>
      <w:pPr>
        <w:ind w:firstLine="480"/>
        <w:rPr>
          <w:rFonts w:cs="Times New Roman"/>
        </w:rPr>
      </w:pPr>
      <w:r>
        <w:rPr>
          <w:rFonts w:cs="Times New Roman"/>
        </w:rPr>
        <w:t>在结构物的变形缝、节段接缝、施工缝、穿墙管、预埋件、预留孔洞等较容易出现渗漏水的特殊部位防水</w:t>
      </w:r>
      <w:r>
        <w:rPr>
          <w:rFonts w:hint="eastAsia" w:cs="Times New Roman"/>
          <w:lang w:val="en-US" w:eastAsia="zh-CN"/>
        </w:rPr>
        <w:t>的</w:t>
      </w:r>
      <w:r>
        <w:rPr>
          <w:rFonts w:cs="Times New Roman"/>
        </w:rPr>
        <w:t>构造</w:t>
      </w:r>
      <w:r>
        <w:rPr>
          <w:rFonts w:hint="eastAsia" w:cs="Times New Roman"/>
          <w:lang w:val="en-US" w:eastAsia="zh-CN"/>
        </w:rPr>
        <w:t>措施</w:t>
      </w:r>
      <w:r>
        <w:rPr>
          <w:rFonts w:cs="Times New Roman"/>
        </w:rPr>
        <w:t>。</w:t>
      </w:r>
    </w:p>
    <w:p>
      <w:pPr>
        <w:rPr>
          <w:rFonts w:cs="Times New Roman"/>
        </w:rPr>
      </w:pPr>
      <w:r>
        <w:rPr>
          <w:rFonts w:cs="Times New Roman"/>
          <w:b/>
          <w:bCs/>
        </w:rPr>
        <w:t>2.0.1</w:t>
      </w:r>
      <w:r>
        <w:rPr>
          <w:rFonts w:hint="eastAsia" w:cs="Times New Roman"/>
          <w:b/>
          <w:bCs/>
          <w:lang w:val="en-US" w:eastAsia="zh-CN"/>
        </w:rPr>
        <w:t>2</w:t>
      </w:r>
      <w:r>
        <w:rPr>
          <w:rFonts w:cs="Times New Roman"/>
        </w:rPr>
        <w:t xml:space="preserve">  立式模具  vertical mould</w:t>
      </w:r>
    </w:p>
    <w:p>
      <w:pPr>
        <w:ind w:firstLine="480"/>
        <w:rPr>
          <w:rFonts w:cs="Times New Roman"/>
        </w:rPr>
      </w:pPr>
      <w:r>
        <w:rPr>
          <w:rFonts w:cs="Times New Roman"/>
        </w:rPr>
        <w:t>构件混凝土浇筑成型时，节段长度方向垂直于水平面布置的模具。</w:t>
      </w:r>
    </w:p>
    <w:p>
      <w:pPr>
        <w:rPr>
          <w:rFonts w:cs="Times New Roman"/>
        </w:rPr>
      </w:pPr>
      <w:r>
        <w:rPr>
          <w:rFonts w:cs="Times New Roman"/>
          <w:b/>
          <w:bCs/>
        </w:rPr>
        <w:t>2.0.1</w:t>
      </w:r>
      <w:r>
        <w:rPr>
          <w:rFonts w:hint="eastAsia" w:cs="Times New Roman"/>
          <w:b/>
          <w:bCs/>
          <w:lang w:val="en-US" w:eastAsia="zh-CN"/>
        </w:rPr>
        <w:t>3</w:t>
      </w:r>
      <w:r>
        <w:rPr>
          <w:rFonts w:cs="Times New Roman"/>
          <w:b/>
          <w:bCs/>
        </w:rPr>
        <w:t xml:space="preserve"> </w:t>
      </w:r>
      <w:r>
        <w:rPr>
          <w:rFonts w:cs="Times New Roman"/>
        </w:rPr>
        <w:t xml:space="preserve"> 卧式模具  horizontal mould</w:t>
      </w:r>
    </w:p>
    <w:p>
      <w:pPr>
        <w:ind w:firstLine="480"/>
        <w:rPr>
          <w:rFonts w:cs="Times New Roman"/>
        </w:rPr>
      </w:pPr>
      <w:r>
        <w:rPr>
          <w:rFonts w:cs="Times New Roman"/>
        </w:rPr>
        <w:t>构件混凝土浇筑成型时，节段长度方向平行于水平面布置的模具。</w:t>
      </w:r>
    </w:p>
    <w:p>
      <w:pPr>
        <w:rPr>
          <w:rFonts w:cs="Times New Roman" w:eastAsiaTheme="minorEastAsia"/>
          <w:bCs/>
        </w:rPr>
      </w:pPr>
      <w:r>
        <w:rPr>
          <w:rFonts w:cs="Times New Roman" w:eastAsiaTheme="minorEastAsia"/>
          <w:b/>
        </w:rPr>
        <w:t>2.0.1</w:t>
      </w:r>
      <w:r>
        <w:rPr>
          <w:rFonts w:hint="eastAsia" w:cs="Times New Roman" w:eastAsiaTheme="minorEastAsia"/>
          <w:b/>
          <w:lang w:val="en-US" w:eastAsia="zh-CN"/>
        </w:rPr>
        <w:t>4</w:t>
      </w:r>
      <w:r>
        <w:rPr>
          <w:rFonts w:cs="Times New Roman" w:eastAsiaTheme="minorEastAsia"/>
          <w:bCs/>
        </w:rPr>
        <w:t xml:space="preserve">  </w:t>
      </w:r>
      <w:r>
        <w:rPr>
          <w:rFonts w:cs="Times New Roman"/>
          <w:bCs/>
        </w:rPr>
        <w:t>过渡</w:t>
      </w:r>
      <w:r>
        <w:rPr>
          <w:rFonts w:cs="Times New Roman" w:eastAsiaTheme="minorEastAsia"/>
          <w:bCs/>
        </w:rPr>
        <w:t>节段  transition segment</w:t>
      </w:r>
    </w:p>
    <w:p>
      <w:pPr>
        <w:ind w:firstLine="480"/>
        <w:rPr>
          <w:rFonts w:hint="eastAsia"/>
          <w:bCs/>
        </w:rPr>
      </w:pPr>
      <w:r>
        <w:rPr>
          <w:rFonts w:hint="eastAsia" w:cs="Times New Roman"/>
          <w:bCs/>
          <w:lang w:val="en-US" w:eastAsia="zh-CN"/>
        </w:rPr>
        <w:t>在节段预制管廊中，</w:t>
      </w:r>
      <w:r>
        <w:rPr>
          <w:rFonts w:cs="Times New Roman"/>
          <w:bCs/>
        </w:rPr>
        <w:t>与现浇综合管廊</w:t>
      </w:r>
      <w:r>
        <w:rPr>
          <w:rFonts w:hint="eastAsia" w:cs="Times New Roman"/>
          <w:bCs/>
        </w:rPr>
        <w:t>或</w:t>
      </w:r>
      <w:r>
        <w:rPr>
          <w:rFonts w:hint="eastAsia" w:cs="Times New Roman"/>
          <w:bCs/>
          <w:lang w:val="en-US" w:eastAsia="zh-CN"/>
        </w:rPr>
        <w:t>其它</w:t>
      </w:r>
      <w:r>
        <w:rPr>
          <w:rFonts w:hint="eastAsia" w:cs="Times New Roman"/>
          <w:bCs/>
        </w:rPr>
        <w:t>型式管廊</w:t>
      </w:r>
      <w:r>
        <w:rPr>
          <w:rFonts w:cs="Times New Roman"/>
          <w:bCs/>
        </w:rPr>
        <w:t>相连接的预制</w:t>
      </w:r>
      <w:r>
        <w:rPr>
          <w:rFonts w:hint="eastAsia" w:cs="Times New Roman"/>
          <w:bCs/>
          <w:lang w:val="en-US" w:eastAsia="zh-CN"/>
        </w:rPr>
        <w:t>管廊</w:t>
      </w:r>
      <w:r>
        <w:rPr>
          <w:rFonts w:cs="Times New Roman"/>
          <w:bCs/>
        </w:rPr>
        <w:t>节段。</w:t>
      </w:r>
    </w:p>
    <w:p>
      <w:pPr>
        <w:rPr>
          <w:rFonts w:cs="Times New Roman" w:eastAsiaTheme="minorEastAsia"/>
          <w:bCs/>
          <w:color w:val="auto"/>
        </w:rPr>
      </w:pPr>
      <w:r>
        <w:rPr>
          <w:rFonts w:cs="Times New Roman" w:eastAsiaTheme="minorEastAsia"/>
          <w:b/>
          <w:color w:val="auto"/>
        </w:rPr>
        <w:t>2.0.1</w:t>
      </w:r>
      <w:r>
        <w:rPr>
          <w:rFonts w:hint="eastAsia" w:cs="Times New Roman" w:eastAsiaTheme="minorEastAsia"/>
          <w:b/>
          <w:color w:val="auto"/>
          <w:lang w:val="en-US" w:eastAsia="zh-CN"/>
        </w:rPr>
        <w:t>5</w:t>
      </w:r>
      <w:r>
        <w:rPr>
          <w:rFonts w:cs="Times New Roman" w:eastAsiaTheme="minorEastAsia"/>
          <w:bCs/>
          <w:color w:val="auto"/>
        </w:rPr>
        <w:t xml:space="preserve">  </w:t>
      </w:r>
      <w:r>
        <w:rPr>
          <w:rFonts w:cs="Times New Roman"/>
          <w:bCs/>
          <w:color w:val="auto"/>
        </w:rPr>
        <w:t xml:space="preserve">预拌流态固化土 </w:t>
      </w:r>
      <w:r>
        <w:rPr>
          <w:rFonts w:cs="Times New Roman" w:eastAsiaTheme="minorEastAsia"/>
          <w:bCs/>
          <w:color w:val="auto"/>
        </w:rPr>
        <w:t xml:space="preserve"> fluid filling material</w:t>
      </w:r>
    </w:p>
    <w:p>
      <w:pPr>
        <w:ind w:firstLine="480"/>
        <w:rPr>
          <w:rFonts w:cs="Times New Roman"/>
        </w:rPr>
      </w:pPr>
      <w:r>
        <w:rPr>
          <w:rFonts w:hint="eastAsia" w:cs="Times New Roman"/>
        </w:rPr>
        <w:t>由各类土、固化剂、适量的水以及必要的掺合料和外加剂拌和而成，具有一定的流动性，浇筑施工凝固后能达到一定强度的工程回填材料</w:t>
      </w:r>
      <w:r>
        <w:rPr>
          <w:rFonts w:cs="Times New Roman"/>
        </w:rPr>
        <w:t>。</w:t>
      </w:r>
    </w:p>
    <w:p>
      <w:pPr>
        <w:rPr>
          <w:rFonts w:hint="eastAsia" w:cs="Times New Roman"/>
        </w:rPr>
      </w:pPr>
    </w:p>
    <w:bookmarkEnd w:id="68"/>
    <w:bookmarkEnd w:id="69"/>
    <w:bookmarkEnd w:id="70"/>
    <w:p>
      <w:pPr>
        <w:pStyle w:val="2"/>
        <w:spacing w:before="332"/>
        <w:rPr>
          <w:rFonts w:cs="Times New Roman"/>
          <w:lang w:val="el-GR"/>
        </w:rPr>
      </w:pPr>
      <w:bookmarkStart w:id="72" w:name="_Toc35004501"/>
      <w:bookmarkStart w:id="73" w:name="_Toc13972"/>
      <w:bookmarkStart w:id="74" w:name="_Toc35004168"/>
      <w:bookmarkStart w:id="75" w:name="_Toc12634"/>
      <w:bookmarkStart w:id="76" w:name="_Toc171"/>
      <w:bookmarkStart w:id="77" w:name="_Toc38546157"/>
      <w:bookmarkStart w:id="78" w:name="_Toc22754"/>
      <w:bookmarkStart w:id="79" w:name="_Toc22344"/>
      <w:bookmarkStart w:id="80" w:name="_Toc513828297"/>
      <w:bookmarkStart w:id="81" w:name="_Toc15404"/>
      <w:bookmarkStart w:id="82" w:name="_Toc15337"/>
      <w:bookmarkStart w:id="83" w:name="_Toc32098"/>
      <w:bookmarkStart w:id="84" w:name="_Toc30177553"/>
      <w:bookmarkStart w:id="85" w:name="_Toc8659"/>
      <w:bookmarkStart w:id="86" w:name="_Toc20092"/>
      <w:bookmarkStart w:id="87" w:name="_Toc513828205"/>
      <w:bookmarkStart w:id="88" w:name="_Toc34312107"/>
      <w:r>
        <w:rPr>
          <w:rFonts w:cs="Times New Roman"/>
          <w:lang w:val="el-GR"/>
        </w:rPr>
        <w:t>3</w:t>
      </w:r>
      <w:r>
        <w:rPr>
          <w:rFonts w:hint="eastAsia" w:cs="Times New Roman"/>
        </w:rPr>
        <w:t xml:space="preserve">  </w:t>
      </w:r>
      <w:r>
        <w:rPr>
          <w:rFonts w:cs="Times New Roman"/>
          <w:lang w:val="el-GR"/>
        </w:rPr>
        <w:t>基本规定</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rPr>
          <w:rFonts w:hint="eastAsia"/>
        </w:rPr>
      </w:pPr>
      <w:r>
        <w:rPr>
          <w:rFonts w:hint="eastAsia"/>
          <w:b/>
          <w:bCs/>
          <w:lang w:val="en-US" w:eastAsia="zh-CN"/>
        </w:rPr>
        <w:t>3.0.1</w:t>
      </w:r>
      <w:r>
        <w:rPr>
          <w:rFonts w:hint="eastAsia"/>
        </w:rPr>
        <w:t xml:space="preserve">  施工前，应编制施工组织设计，对危险性较大的分部分项工程应编制专项施工方案。施工组织设计和专项施工方案应按规定程序审批后执行。</w:t>
      </w:r>
    </w:p>
    <w:p>
      <w:r>
        <w:rPr>
          <w:rFonts w:hint="eastAsia"/>
          <w:b/>
          <w:bCs/>
          <w:lang w:val="en-US" w:eastAsia="zh-CN"/>
        </w:rPr>
        <w:t>3.0.2</w:t>
      </w:r>
      <w:r>
        <w:rPr>
          <w:rFonts w:hint="eastAsia"/>
        </w:rPr>
        <w:t xml:space="preserve">  施工前，应组织相关单位对设计文件进行</w:t>
      </w:r>
      <w:r>
        <w:rPr>
          <w:rFonts w:hint="eastAsia"/>
          <w:lang w:eastAsia="zh-CN"/>
        </w:rPr>
        <w:t>会审和</w:t>
      </w:r>
      <w:r>
        <w:rPr>
          <w:rFonts w:hint="eastAsia"/>
        </w:rPr>
        <w:t>交底，并应对施工作业人员进行安全及技术交底。</w:t>
      </w:r>
    </w:p>
    <w:p>
      <w:pPr>
        <w:rPr>
          <w:rFonts w:hint="eastAsia"/>
        </w:rPr>
      </w:pPr>
      <w:r>
        <w:rPr>
          <w:rFonts w:hint="eastAsia"/>
          <w:b/>
          <w:bCs/>
          <w:lang w:val="en-US" w:eastAsia="zh-CN"/>
        </w:rPr>
        <w:t>3.0.3</w:t>
      </w:r>
      <w:r>
        <w:rPr>
          <w:rFonts w:hint="eastAsia"/>
        </w:rPr>
        <w:t xml:space="preserve">  主要原材料、半成品、成品、建筑构配件、器具和设备应具有相应的质量证明文件，并应进行现场检验。</w:t>
      </w:r>
    </w:p>
    <w:p>
      <w:r>
        <w:rPr>
          <w:rFonts w:hint="eastAsia"/>
          <w:b/>
          <w:bCs/>
          <w:lang w:val="en-US" w:eastAsia="zh-CN"/>
        </w:rPr>
        <w:t>3.0.4</w:t>
      </w:r>
      <w:r>
        <w:rPr>
          <w:rFonts w:hint="eastAsia"/>
          <w:lang w:val="en-US" w:eastAsia="zh-CN"/>
        </w:rPr>
        <w:t xml:space="preserve">  </w:t>
      </w:r>
      <w:r>
        <w:rPr>
          <w:rFonts w:hint="eastAsia"/>
        </w:rPr>
        <w:t>装配式综合管廊施工前应按设计要求和施工方案进行施工验算。施工验算应包括下列内容:</w:t>
      </w:r>
    </w:p>
    <w:p>
      <w:pPr>
        <w:ind w:firstLine="480"/>
        <w:rPr>
          <w:rFonts w:hint="eastAsia" w:eastAsia="宋体"/>
          <w:lang w:eastAsia="zh-CN"/>
        </w:rPr>
      </w:pPr>
      <w:r>
        <w:rPr>
          <w:rFonts w:hint="eastAsia"/>
        </w:rPr>
        <w:t>1  构件运输、</w:t>
      </w:r>
      <w:r>
        <w:rPr>
          <w:rFonts w:hint="eastAsia"/>
          <w:lang w:eastAsia="zh-CN"/>
        </w:rPr>
        <w:t>堆放</w:t>
      </w:r>
      <w:r>
        <w:rPr>
          <w:rFonts w:hint="eastAsia"/>
        </w:rPr>
        <w:t>及吊装过程中按吊装工况进行承载力验算</w:t>
      </w:r>
      <w:r>
        <w:rPr>
          <w:rFonts w:hint="eastAsia"/>
          <w:lang w:eastAsia="zh-CN"/>
        </w:rPr>
        <w:t>；</w:t>
      </w:r>
    </w:p>
    <w:p>
      <w:pPr>
        <w:ind w:firstLine="480"/>
      </w:pPr>
      <w:r>
        <w:rPr>
          <w:rFonts w:hint="eastAsia"/>
        </w:rPr>
        <w:t>2  构件安装过程中施工临时荷载作用下构件支架系统和临时固定装置的承载力验算。</w:t>
      </w:r>
    </w:p>
    <w:p>
      <w:pPr>
        <w:rPr>
          <w:rFonts w:hint="eastAsia"/>
          <w:lang w:eastAsia="zh-CN"/>
        </w:rPr>
      </w:pPr>
      <w:r>
        <w:rPr>
          <w:rFonts w:hint="eastAsia"/>
          <w:b/>
          <w:lang w:val="en-US" w:eastAsia="zh-CN"/>
        </w:rPr>
        <w:t>3.0.5</w:t>
      </w:r>
      <w:r>
        <w:rPr>
          <w:rFonts w:hint="eastAsia"/>
        </w:rPr>
        <w:t xml:space="preserve"> </w:t>
      </w:r>
      <w:r>
        <w:t xml:space="preserve"> 装配式综合管廊安装前应复核构件装配连接构造，包括装配位置、节点连接构造及临时支撑等</w:t>
      </w:r>
      <w:r>
        <w:rPr>
          <w:rFonts w:hint="eastAsia"/>
          <w:lang w:eastAsia="zh-CN"/>
        </w:rPr>
        <w:t>。</w:t>
      </w:r>
    </w:p>
    <w:p>
      <w:pPr>
        <w:rPr>
          <w:rFonts w:hint="eastAsia" w:cs="Times New Roman"/>
          <w:szCs w:val="21"/>
        </w:rPr>
      </w:pPr>
      <w:r>
        <w:rPr>
          <w:rFonts w:hint="eastAsia" w:cs="Times New Roman"/>
          <w:b/>
          <w:bCs/>
          <w:szCs w:val="21"/>
          <w:lang w:val="en-US" w:eastAsia="zh-CN"/>
        </w:rPr>
        <w:t>3.0.6</w:t>
      </w:r>
      <w:r>
        <w:rPr>
          <w:rFonts w:hint="eastAsia" w:cs="Times New Roman"/>
          <w:szCs w:val="21"/>
        </w:rPr>
        <w:t xml:space="preserve">  综合管廊的防水</w:t>
      </w:r>
      <w:r>
        <w:rPr>
          <w:rFonts w:hint="eastAsia"/>
          <w:lang w:val="el-GR"/>
        </w:rPr>
        <w:t>施工、质量检查验收</w:t>
      </w:r>
      <w:r>
        <w:rPr>
          <w:rFonts w:hint="eastAsia" w:cs="Times New Roman"/>
          <w:szCs w:val="21"/>
        </w:rPr>
        <w:t>除应满足本标准的相关要求外，尚应符合现行</w:t>
      </w:r>
      <w:r>
        <w:rPr>
          <w:rFonts w:cs="Times New Roman"/>
          <w:szCs w:val="21"/>
        </w:rPr>
        <w:t>国家标准《地下防水工程质量验收规范》GB 50208</w:t>
      </w:r>
      <w:r>
        <w:rPr>
          <w:rFonts w:hint="eastAsia"/>
          <w:lang w:val="el-GR"/>
        </w:rPr>
        <w:t>和《地下工程防水技术规范》GB 50108的有关规定</w:t>
      </w:r>
      <w:r>
        <w:rPr>
          <w:rFonts w:hint="eastAsia" w:cs="Times New Roman"/>
          <w:szCs w:val="21"/>
        </w:rPr>
        <w:t>。</w:t>
      </w:r>
    </w:p>
    <w:p>
      <w:r>
        <w:rPr>
          <w:rFonts w:hint="eastAsia"/>
          <w:b/>
          <w:lang w:val="en-US" w:eastAsia="zh-CN"/>
        </w:rPr>
        <w:t>3.0.7</w:t>
      </w:r>
      <w:r>
        <w:rPr>
          <w:rFonts w:hint="eastAsia"/>
        </w:rPr>
        <w:t xml:space="preserve">  施工应遵守国家和地方政府有关环境保护的法律、法规，应控制施工现场的扬尘、废气、建筑垃圾、污水、光污染、噪声等对环境造成污染和危害。</w:t>
      </w:r>
    </w:p>
    <w:p>
      <w:r>
        <w:rPr>
          <w:rFonts w:hint="eastAsia"/>
          <w:b/>
          <w:lang w:val="en-US" w:eastAsia="zh-CN"/>
        </w:rPr>
        <w:t>3.0.8</w:t>
      </w:r>
      <w:r>
        <w:rPr>
          <w:rFonts w:hint="eastAsia"/>
        </w:rPr>
        <w:t xml:space="preserve">  施工应遵守国家有关劳动保护的法规，应采取通风、防尘、照明、防辐射等措施，并配备专业作业工具。</w:t>
      </w:r>
    </w:p>
    <w:p>
      <w:pPr>
        <w:rPr>
          <w:rFonts w:hint="eastAsia"/>
        </w:rPr>
      </w:pPr>
      <w:r>
        <w:rPr>
          <w:rFonts w:hint="eastAsia"/>
          <w:b/>
          <w:lang w:val="en-US" w:eastAsia="zh-CN"/>
        </w:rPr>
        <w:t>3.0.9</w:t>
      </w:r>
      <w:r>
        <w:rPr>
          <w:rFonts w:hint="eastAsia"/>
        </w:rPr>
        <w:t xml:space="preserve">  管廊构件预制、装配等施工过程宜采用建筑信息模型（BIM）等信息技术。</w:t>
      </w:r>
    </w:p>
    <w:bookmarkEnd w:id="61"/>
    <w:p>
      <w:pPr>
        <w:pStyle w:val="2"/>
        <w:rPr>
          <w:rFonts w:asciiTheme="minorEastAsia" w:hAnsiTheme="minorEastAsia" w:eastAsiaTheme="minorEastAsia" w:cstheme="minorEastAsia"/>
          <w:szCs w:val="32"/>
        </w:rPr>
      </w:pPr>
      <w:bookmarkStart w:id="89" w:name="_Toc12539"/>
      <w:bookmarkStart w:id="90" w:name="_Toc14275"/>
      <w:bookmarkStart w:id="91" w:name="_Toc23204"/>
      <w:bookmarkStart w:id="92" w:name="_Toc20790"/>
      <w:bookmarkStart w:id="93" w:name="_Toc11492"/>
      <w:bookmarkStart w:id="94" w:name="_Toc16926"/>
      <w:r>
        <w:rPr>
          <w:rFonts w:cs="Times New Roman" w:eastAsiaTheme="minorEastAsia"/>
          <w:szCs w:val="32"/>
        </w:rPr>
        <w:t>4</w:t>
      </w:r>
      <w:r>
        <w:rPr>
          <w:rFonts w:hint="eastAsia" w:asciiTheme="minorEastAsia" w:hAnsiTheme="minorEastAsia" w:eastAsiaTheme="minorEastAsia" w:cstheme="minorEastAsia"/>
          <w:szCs w:val="32"/>
        </w:rPr>
        <w:t xml:space="preserve">  混凝土构件的预制、存放和运输</w:t>
      </w:r>
      <w:bookmarkEnd w:id="89"/>
      <w:bookmarkEnd w:id="90"/>
      <w:bookmarkEnd w:id="91"/>
      <w:bookmarkEnd w:id="92"/>
      <w:bookmarkEnd w:id="93"/>
      <w:bookmarkEnd w:id="94"/>
    </w:p>
    <w:p>
      <w:pPr>
        <w:pStyle w:val="3"/>
      </w:pPr>
      <w:bookmarkStart w:id="95" w:name="_Toc28517"/>
      <w:bookmarkStart w:id="96" w:name="_Toc824"/>
      <w:bookmarkStart w:id="97" w:name="_Toc14832"/>
      <w:bookmarkStart w:id="98" w:name="_Toc7546_WPSOffice_Level2"/>
      <w:bookmarkStart w:id="99" w:name="_Toc12468"/>
      <w:bookmarkStart w:id="100" w:name="_Toc735"/>
      <w:bookmarkStart w:id="101" w:name="_Toc26714"/>
      <w:bookmarkStart w:id="102" w:name="_Toc24071"/>
      <w:bookmarkStart w:id="103" w:name="_Toc6511"/>
      <w:bookmarkStart w:id="104" w:name="_Toc9032"/>
      <w:bookmarkStart w:id="105" w:name="_Toc32178"/>
      <w:bookmarkStart w:id="106" w:name="_Toc30580"/>
      <w:bookmarkStart w:id="107" w:name="_Toc15583"/>
      <w:bookmarkStart w:id="108" w:name="_Toc38546158"/>
      <w:bookmarkStart w:id="109" w:name="_Toc34312108"/>
      <w:bookmarkStart w:id="110" w:name="_Toc35004502"/>
      <w:bookmarkStart w:id="111" w:name="_Toc35004169"/>
      <w:bookmarkStart w:id="112" w:name="_Toc30177555"/>
      <w:bookmarkStart w:id="113" w:name="_Toc27380"/>
      <w:r>
        <w:rPr>
          <w:rFonts w:hint="eastAsia"/>
        </w:rPr>
        <w:t xml:space="preserve">4.1 </w:t>
      </w:r>
      <w:r>
        <w:t xml:space="preserve"> </w:t>
      </w:r>
      <w:r>
        <w:rPr>
          <w:rFonts w:hint="eastAsia"/>
        </w:rPr>
        <w:t>一般规定</w:t>
      </w:r>
      <w:bookmarkEnd w:id="95"/>
      <w:bookmarkEnd w:id="96"/>
      <w:bookmarkEnd w:id="97"/>
      <w:bookmarkEnd w:id="98"/>
      <w:bookmarkEnd w:id="99"/>
      <w:bookmarkEnd w:id="100"/>
      <w:bookmarkEnd w:id="101"/>
      <w:bookmarkEnd w:id="102"/>
      <w:bookmarkEnd w:id="103"/>
      <w:bookmarkEnd w:id="104"/>
      <w:bookmarkEnd w:id="105"/>
      <w:bookmarkEnd w:id="106"/>
      <w:bookmarkEnd w:id="107"/>
    </w:p>
    <w:p>
      <w:pPr>
        <w:rPr>
          <w:b/>
          <w:color w:val="000000"/>
          <w:szCs w:val="24"/>
        </w:rPr>
      </w:pPr>
      <w:r>
        <w:rPr>
          <w:rFonts w:hint="eastAsia" w:eastAsia="仿宋" w:cs="Times New Roman"/>
          <w:b/>
          <w:bCs/>
          <w:szCs w:val="24"/>
          <w:lang w:val="en-US" w:eastAsia="zh-CN"/>
        </w:rPr>
        <w:t>4.1.1</w:t>
      </w:r>
      <w:r>
        <w:rPr>
          <w:rFonts w:hint="eastAsia" w:eastAsia="仿宋" w:cs="Times New Roman"/>
          <w:szCs w:val="24"/>
          <w:lang w:val="en-US" w:eastAsia="zh-CN"/>
        </w:rPr>
        <w:t xml:space="preserve">  </w:t>
      </w:r>
      <w:r>
        <w:rPr>
          <w:rFonts w:hint="eastAsia" w:cs="宋体"/>
          <w:color w:val="000000"/>
          <w:szCs w:val="24"/>
          <w:lang w:val="en-US" w:eastAsia="zh-CN"/>
        </w:rPr>
        <w:t>预制构件制作前，应复核预制管廊的相关设计图纸，复核管廊预制构件的规格尺寸、数量及连接构造等。预制构件的规格应标准化、模数化。</w:t>
      </w:r>
    </w:p>
    <w:p>
      <w:pPr>
        <w:rPr>
          <w:rFonts w:cs="宋体"/>
          <w:color w:val="000000"/>
          <w:szCs w:val="24"/>
        </w:rPr>
      </w:pPr>
      <w:r>
        <w:rPr>
          <w:rFonts w:hint="eastAsia"/>
          <w:b/>
          <w:color w:val="000000"/>
          <w:szCs w:val="24"/>
          <w:lang w:val="en-US" w:eastAsia="zh-CN"/>
        </w:rPr>
        <w:t>4.1.2</w:t>
      </w:r>
      <w:r>
        <w:rPr>
          <w:rFonts w:hint="eastAsia"/>
          <w:b/>
          <w:color w:val="000000"/>
          <w:szCs w:val="24"/>
        </w:rPr>
        <w:t xml:space="preserve">  </w:t>
      </w:r>
      <w:r>
        <w:rPr>
          <w:rFonts w:cs="宋体"/>
          <w:color w:val="000000"/>
          <w:szCs w:val="24"/>
        </w:rPr>
        <w:t>预制构件制作前应进行深化设计，深化设计</w:t>
      </w:r>
      <w:r>
        <w:rPr>
          <w:rFonts w:hint="eastAsia" w:cs="宋体"/>
          <w:color w:val="000000"/>
          <w:szCs w:val="24"/>
        </w:rPr>
        <w:t>应</w:t>
      </w:r>
      <w:r>
        <w:rPr>
          <w:rFonts w:cs="宋体"/>
          <w:color w:val="000000"/>
          <w:szCs w:val="24"/>
        </w:rPr>
        <w:t>包括下列内容：</w:t>
      </w:r>
    </w:p>
    <w:p>
      <w:pPr>
        <w:rPr>
          <w:rFonts w:hint="eastAsia"/>
          <w:b/>
          <w:color w:val="000000"/>
          <w:szCs w:val="24"/>
        </w:rPr>
      </w:pPr>
      <w:r>
        <w:rPr>
          <w:rFonts w:hint="eastAsia"/>
          <w:b/>
          <w:color w:val="000000"/>
          <w:szCs w:val="24"/>
        </w:rPr>
        <w:t xml:space="preserve">    </w:t>
      </w:r>
      <w:r>
        <w:rPr>
          <w:b/>
          <w:color w:val="000000"/>
          <w:szCs w:val="24"/>
        </w:rPr>
        <w:t>1</w:t>
      </w:r>
      <w:r>
        <w:rPr>
          <w:rFonts w:hint="eastAsia"/>
          <w:b/>
          <w:color w:val="000000"/>
          <w:szCs w:val="24"/>
          <w:lang w:val="en-US" w:eastAsia="zh-CN"/>
        </w:rPr>
        <w:t xml:space="preserve">  </w:t>
      </w:r>
      <w:r>
        <w:rPr>
          <w:rFonts w:hint="eastAsia" w:cs="宋体"/>
          <w:color w:val="000000"/>
          <w:szCs w:val="24"/>
          <w:lang w:val="en-US" w:eastAsia="zh-CN"/>
        </w:rPr>
        <w:t>复核预制管廊的</w:t>
      </w:r>
      <w:r>
        <w:rPr>
          <w:rFonts w:cs="宋体"/>
          <w:color w:val="000000"/>
          <w:szCs w:val="24"/>
        </w:rPr>
        <w:t>设计</w:t>
      </w:r>
      <w:r>
        <w:rPr>
          <w:rFonts w:hint="eastAsia" w:cs="宋体"/>
          <w:color w:val="000000"/>
          <w:szCs w:val="24"/>
          <w:lang w:val="en-US" w:eastAsia="zh-CN"/>
        </w:rPr>
        <w:t>方案，针对不同工程</w:t>
      </w:r>
      <w:r>
        <w:rPr>
          <w:rFonts w:hint="eastAsia" w:cs="宋体"/>
          <w:color w:val="000000"/>
          <w:spacing w:val="-3"/>
          <w:szCs w:val="24"/>
          <w:lang w:val="en-US" w:eastAsia="zh-CN"/>
        </w:rPr>
        <w:t>部位及现场条件，</w:t>
      </w:r>
      <w:r>
        <w:rPr>
          <w:rFonts w:hint="eastAsia" w:cs="宋体"/>
          <w:color w:val="000000"/>
          <w:szCs w:val="24"/>
          <w:lang w:val="en-US" w:eastAsia="zh-CN"/>
        </w:rPr>
        <w:t>合理确定管廊构件的</w:t>
      </w:r>
      <w:r>
        <w:rPr>
          <w:rFonts w:cs="宋体"/>
          <w:color w:val="000000"/>
          <w:szCs w:val="24"/>
        </w:rPr>
        <w:t>拆分</w:t>
      </w:r>
      <w:r>
        <w:rPr>
          <w:rFonts w:hint="eastAsia" w:cs="宋体"/>
          <w:color w:val="000000"/>
          <w:szCs w:val="24"/>
          <w:lang w:val="en-US" w:eastAsia="zh-CN"/>
        </w:rPr>
        <w:t>方案</w:t>
      </w:r>
      <w:r>
        <w:rPr>
          <w:rFonts w:hint="eastAsia" w:cs="宋体"/>
          <w:color w:val="000000"/>
          <w:szCs w:val="24"/>
          <w:lang w:eastAsia="zh-CN"/>
        </w:rPr>
        <w:t>，</w:t>
      </w:r>
      <w:r>
        <w:rPr>
          <w:rFonts w:hint="eastAsia" w:cs="宋体"/>
          <w:color w:val="000000"/>
          <w:szCs w:val="24"/>
          <w:lang w:val="en-US" w:eastAsia="zh-CN"/>
        </w:rPr>
        <w:t>并对拆分构件进行编号</w:t>
      </w:r>
      <w:r>
        <w:rPr>
          <w:rFonts w:cs="宋体"/>
          <w:color w:val="000000"/>
          <w:szCs w:val="24"/>
        </w:rPr>
        <w:t>。</w:t>
      </w:r>
    </w:p>
    <w:p>
      <w:pPr>
        <w:ind w:firstLine="482" w:firstLineChars="200"/>
        <w:rPr>
          <w:color w:val="000000"/>
          <w:szCs w:val="24"/>
        </w:rPr>
      </w:pPr>
      <w:r>
        <w:rPr>
          <w:rFonts w:hint="eastAsia"/>
          <w:b/>
          <w:color w:val="000000"/>
          <w:szCs w:val="24"/>
          <w:lang w:val="en-US" w:eastAsia="zh-CN"/>
        </w:rPr>
        <w:t>2</w:t>
      </w:r>
      <w:r>
        <w:rPr>
          <w:rFonts w:hint="eastAsia"/>
          <w:b/>
          <w:color w:val="000000"/>
          <w:szCs w:val="24"/>
        </w:rPr>
        <w:t xml:space="preserve">  </w:t>
      </w:r>
      <w:r>
        <w:rPr>
          <w:rFonts w:hint="eastAsia" w:cs="宋体"/>
          <w:color w:val="000000"/>
          <w:spacing w:val="-3"/>
          <w:szCs w:val="24"/>
          <w:lang w:val="en-US" w:eastAsia="zh-CN"/>
        </w:rPr>
        <w:t>绘制</w:t>
      </w:r>
      <w:r>
        <w:rPr>
          <w:rFonts w:cs="宋体"/>
          <w:color w:val="000000"/>
          <w:spacing w:val="-3"/>
          <w:szCs w:val="24"/>
        </w:rPr>
        <w:t>预埋件</w:t>
      </w:r>
      <w:r>
        <w:rPr>
          <w:rFonts w:hint="eastAsia" w:cs="宋体"/>
          <w:color w:val="000000"/>
          <w:spacing w:val="-3"/>
          <w:szCs w:val="24"/>
          <w:lang w:eastAsia="zh-CN"/>
        </w:rPr>
        <w:t>、</w:t>
      </w:r>
      <w:r>
        <w:rPr>
          <w:rFonts w:hint="eastAsia" w:cs="宋体"/>
          <w:color w:val="000000"/>
          <w:spacing w:val="-3"/>
          <w:szCs w:val="24"/>
          <w:lang w:val="en-US" w:eastAsia="zh-CN"/>
        </w:rPr>
        <w:t>预留孔洞和预埋吊件等</w:t>
      </w:r>
      <w:r>
        <w:rPr>
          <w:rFonts w:cs="宋体"/>
          <w:color w:val="000000"/>
          <w:spacing w:val="-3"/>
          <w:szCs w:val="24"/>
        </w:rPr>
        <w:t>的</w:t>
      </w:r>
      <w:r>
        <w:rPr>
          <w:rFonts w:hint="eastAsia" w:cs="宋体"/>
          <w:color w:val="000000"/>
          <w:spacing w:val="-3"/>
          <w:szCs w:val="24"/>
          <w:lang w:val="en-US" w:eastAsia="zh-CN"/>
        </w:rPr>
        <w:t>施工放样</w:t>
      </w:r>
      <w:r>
        <w:rPr>
          <w:rFonts w:cs="宋体"/>
          <w:color w:val="000000"/>
          <w:spacing w:val="-3"/>
          <w:szCs w:val="24"/>
        </w:rPr>
        <w:t>图</w:t>
      </w:r>
      <w:r>
        <w:rPr>
          <w:rFonts w:cs="宋体"/>
          <w:color w:val="000000"/>
          <w:spacing w:val="1"/>
          <w:szCs w:val="24"/>
        </w:rPr>
        <w:t>；</w:t>
      </w:r>
    </w:p>
    <w:p>
      <w:pPr>
        <w:ind w:firstLine="480"/>
        <w:rPr>
          <w:rFonts w:hint="eastAsia" w:cs="宋体"/>
          <w:color w:val="000000"/>
          <w:szCs w:val="24"/>
          <w:lang w:val="en-US" w:eastAsia="zh-CN"/>
        </w:rPr>
      </w:pPr>
      <w:r>
        <w:rPr>
          <w:rFonts w:hint="eastAsia"/>
          <w:b/>
          <w:color w:val="000000"/>
          <w:szCs w:val="24"/>
          <w:lang w:val="en-US" w:eastAsia="zh-CN"/>
        </w:rPr>
        <w:t>3</w:t>
      </w:r>
      <w:r>
        <w:rPr>
          <w:rFonts w:hint="eastAsia"/>
          <w:b/>
          <w:color w:val="000000"/>
          <w:szCs w:val="24"/>
        </w:rPr>
        <w:t xml:space="preserve"> </w:t>
      </w:r>
      <w:r>
        <w:rPr>
          <w:rFonts w:hint="eastAsia" w:cs="宋体"/>
          <w:color w:val="000000"/>
          <w:szCs w:val="24"/>
          <w:lang w:val="en-US" w:eastAsia="zh-CN"/>
        </w:rPr>
        <w:t>深化预制构件的连接构造设计；</w:t>
      </w:r>
    </w:p>
    <w:p>
      <w:pPr>
        <w:ind w:firstLine="480"/>
        <w:rPr>
          <w:rFonts w:hint="default" w:cs="宋体"/>
          <w:color w:val="000000"/>
          <w:szCs w:val="24"/>
          <w:lang w:val="en-US" w:eastAsia="zh-CN"/>
        </w:rPr>
      </w:pPr>
      <w:r>
        <w:rPr>
          <w:rFonts w:hint="eastAsia" w:cs="宋体"/>
          <w:color w:val="000000"/>
          <w:szCs w:val="24"/>
          <w:lang w:val="en-US" w:eastAsia="zh-CN"/>
        </w:rPr>
        <w:t>4  深化细部防水构造设计。</w:t>
      </w:r>
    </w:p>
    <w:p>
      <w:pPr>
        <w:rPr>
          <w:color w:val="000000"/>
          <w:szCs w:val="24"/>
        </w:rPr>
      </w:pPr>
      <w:r>
        <w:rPr>
          <w:rFonts w:hint="eastAsia"/>
          <w:b/>
          <w:color w:val="000000"/>
          <w:szCs w:val="24"/>
          <w:lang w:val="en-US" w:eastAsia="zh-CN"/>
        </w:rPr>
        <w:t>4.1.3</w:t>
      </w:r>
      <w:r>
        <w:rPr>
          <w:rFonts w:hint="eastAsia"/>
          <w:b/>
          <w:color w:val="000000"/>
          <w:szCs w:val="24"/>
        </w:rPr>
        <w:t xml:space="preserve">  </w:t>
      </w:r>
      <w:r>
        <w:rPr>
          <w:rFonts w:cs="宋体"/>
          <w:color w:val="000000"/>
          <w:szCs w:val="24"/>
        </w:rPr>
        <w:t>预制构件制作前应编制生产加工方案，内容应包括：</w:t>
      </w:r>
    </w:p>
    <w:p>
      <w:pPr>
        <w:ind w:left="480" w:leftChars="200"/>
        <w:rPr>
          <w:color w:val="000000"/>
          <w:szCs w:val="24"/>
        </w:rPr>
      </w:pPr>
      <w:r>
        <w:rPr>
          <w:b/>
          <w:color w:val="000000"/>
          <w:szCs w:val="24"/>
        </w:rPr>
        <w:t>1</w:t>
      </w:r>
      <w:r>
        <w:rPr>
          <w:b/>
          <w:color w:val="000000"/>
          <w:spacing w:val="54"/>
          <w:szCs w:val="24"/>
        </w:rPr>
        <w:t xml:space="preserve"> </w:t>
      </w:r>
      <w:r>
        <w:rPr>
          <w:rFonts w:cs="宋体"/>
          <w:color w:val="000000"/>
          <w:szCs w:val="24"/>
        </w:rPr>
        <w:t>生产计划及生产工艺</w:t>
      </w:r>
      <w:r>
        <w:rPr>
          <w:rFonts w:hint="eastAsia" w:cs="宋体"/>
          <w:color w:val="000000"/>
          <w:szCs w:val="24"/>
          <w:lang w:val="en-US" w:eastAsia="zh-CN"/>
        </w:rPr>
        <w:t>流程</w:t>
      </w:r>
      <w:r>
        <w:rPr>
          <w:rFonts w:cs="宋体"/>
          <w:color w:val="000000"/>
          <w:szCs w:val="24"/>
        </w:rPr>
        <w:t>；</w:t>
      </w:r>
    </w:p>
    <w:p>
      <w:pPr>
        <w:ind w:left="480" w:leftChars="200"/>
        <w:rPr>
          <w:color w:val="000000"/>
          <w:szCs w:val="24"/>
        </w:rPr>
      </w:pPr>
      <w:r>
        <w:rPr>
          <w:b/>
          <w:color w:val="000000"/>
          <w:szCs w:val="24"/>
        </w:rPr>
        <w:t>2</w:t>
      </w:r>
      <w:r>
        <w:rPr>
          <w:b/>
          <w:color w:val="000000"/>
          <w:spacing w:val="54"/>
          <w:szCs w:val="24"/>
        </w:rPr>
        <w:t xml:space="preserve"> </w:t>
      </w:r>
      <w:r>
        <w:rPr>
          <w:rFonts w:hint="eastAsia" w:cs="宋体"/>
          <w:color w:val="000000"/>
          <w:szCs w:val="24"/>
          <w:lang w:val="en-US" w:eastAsia="zh-CN"/>
        </w:rPr>
        <w:t>模具加工方案及模具安拆工艺</w:t>
      </w:r>
      <w:r>
        <w:rPr>
          <w:rFonts w:cs="宋体"/>
          <w:color w:val="000000"/>
          <w:szCs w:val="24"/>
        </w:rPr>
        <w:t>；</w:t>
      </w:r>
    </w:p>
    <w:p>
      <w:pPr>
        <w:ind w:left="480" w:leftChars="200"/>
        <w:rPr>
          <w:color w:val="000000"/>
          <w:szCs w:val="24"/>
        </w:rPr>
      </w:pPr>
      <w:r>
        <w:rPr>
          <w:b/>
          <w:color w:val="000000"/>
          <w:szCs w:val="24"/>
        </w:rPr>
        <w:t>3</w:t>
      </w:r>
      <w:r>
        <w:rPr>
          <w:b/>
          <w:color w:val="000000"/>
          <w:spacing w:val="54"/>
          <w:szCs w:val="24"/>
        </w:rPr>
        <w:t xml:space="preserve"> </w:t>
      </w:r>
      <w:r>
        <w:rPr>
          <w:rFonts w:cs="宋体"/>
          <w:color w:val="000000"/>
          <w:szCs w:val="24"/>
        </w:rPr>
        <w:t>技术质量控制措施；</w:t>
      </w:r>
    </w:p>
    <w:p>
      <w:pPr>
        <w:ind w:left="480" w:leftChars="200"/>
        <w:rPr>
          <w:rFonts w:cs="宋体"/>
          <w:color w:val="000000"/>
          <w:szCs w:val="24"/>
        </w:rPr>
      </w:pPr>
      <w:r>
        <w:rPr>
          <w:b/>
          <w:color w:val="000000"/>
          <w:szCs w:val="24"/>
        </w:rPr>
        <w:t>4</w:t>
      </w:r>
      <w:r>
        <w:rPr>
          <w:b/>
          <w:color w:val="000000"/>
          <w:spacing w:val="54"/>
          <w:szCs w:val="24"/>
        </w:rPr>
        <w:t xml:space="preserve"> </w:t>
      </w:r>
      <w:r>
        <w:rPr>
          <w:rFonts w:cs="宋体"/>
          <w:color w:val="000000"/>
          <w:szCs w:val="24"/>
        </w:rPr>
        <w:t>成品保护及运输等内容。</w:t>
      </w:r>
    </w:p>
    <w:p>
      <w:pPr>
        <w:rPr>
          <w:rFonts w:hint="eastAsia" w:cs="宋体"/>
          <w:color w:val="000000"/>
          <w:szCs w:val="24"/>
          <w:lang w:val="en-US" w:eastAsia="zh-CN"/>
        </w:rPr>
      </w:pPr>
      <w:r>
        <w:rPr>
          <w:rFonts w:hint="eastAsia" w:cs="宋体"/>
          <w:b/>
          <w:bCs/>
          <w:color w:val="000000"/>
          <w:szCs w:val="24"/>
          <w:lang w:val="en-US" w:eastAsia="zh-CN"/>
        </w:rPr>
        <w:t xml:space="preserve">4.1.4 </w:t>
      </w:r>
      <w:r>
        <w:rPr>
          <w:rFonts w:hint="eastAsia" w:cs="宋体"/>
          <w:color w:val="000000"/>
          <w:szCs w:val="24"/>
          <w:lang w:val="en-US" w:eastAsia="zh-CN"/>
        </w:rPr>
        <w:t xml:space="preserve"> </w:t>
      </w:r>
      <w:r>
        <w:rPr>
          <w:rFonts w:hint="eastAsia"/>
          <w:lang w:eastAsia="zh-CN"/>
        </w:rPr>
        <w:t>装配式</w:t>
      </w:r>
      <w:r>
        <w:t>综合管廊工程应做好各种设备基础、预留孔洞、穿墙套管、缆线进出口、成品槽道、螺栓、预埋件等的预留预埋工作和各工序之间的衔接工作。</w:t>
      </w:r>
      <w:r>
        <w:rPr>
          <w:rFonts w:hint="eastAsia" w:cs="宋体"/>
          <w:color w:val="000000"/>
          <w:szCs w:val="24"/>
          <w:lang w:val="en-US" w:eastAsia="zh-CN"/>
        </w:rPr>
        <w:t>预制构件的预埋件材料、尺寸、位置和数量应符合设计要求。</w:t>
      </w:r>
    </w:p>
    <w:p>
      <w:pPr>
        <w:rPr>
          <w:rFonts w:cs="宋体"/>
          <w:color w:val="000000"/>
          <w:szCs w:val="24"/>
        </w:rPr>
      </w:pPr>
    </w:p>
    <w:p>
      <w:pPr>
        <w:pStyle w:val="3"/>
      </w:pPr>
      <w:bookmarkStart w:id="114" w:name="_Toc12131"/>
      <w:bookmarkStart w:id="115" w:name="_Toc12105"/>
      <w:bookmarkStart w:id="116" w:name="_Toc23200"/>
      <w:bookmarkStart w:id="117" w:name="_Toc7711"/>
      <w:bookmarkStart w:id="118" w:name="_Toc12059"/>
      <w:bookmarkStart w:id="119" w:name="_Toc7829"/>
      <w:r>
        <w:rPr>
          <w:rFonts w:hint="eastAsia"/>
        </w:rPr>
        <w:t>4.2  材料</w:t>
      </w:r>
      <w:bookmarkEnd w:id="114"/>
      <w:bookmarkEnd w:id="115"/>
      <w:bookmarkEnd w:id="116"/>
      <w:bookmarkEnd w:id="117"/>
      <w:bookmarkEnd w:id="118"/>
      <w:bookmarkEnd w:id="119"/>
    </w:p>
    <w:p>
      <w:pPr>
        <w:autoSpaceDE w:val="0"/>
        <w:autoSpaceDN w:val="0"/>
        <w:adjustRightInd w:val="0"/>
        <w:jc w:val="center"/>
        <w:rPr>
          <w:rFonts w:ascii="黑体" w:eastAsia="黑体" w:cs="黑体"/>
          <w:kern w:val="0"/>
          <w:szCs w:val="24"/>
        </w:rPr>
      </w:pPr>
      <w:r>
        <w:rPr>
          <w:rFonts w:eastAsiaTheme="minorEastAsia"/>
          <w:kern w:val="0"/>
          <w:szCs w:val="24"/>
        </w:rPr>
        <w:t xml:space="preserve">I </w:t>
      </w:r>
      <w:r>
        <w:rPr>
          <w:rFonts w:hint="eastAsia" w:ascii="黑体" w:eastAsia="黑体" w:cs="黑体"/>
          <w:kern w:val="0"/>
          <w:szCs w:val="24"/>
        </w:rPr>
        <w:t>混凝土</w:t>
      </w:r>
    </w:p>
    <w:p>
      <w:pPr>
        <w:autoSpaceDE w:val="0"/>
        <w:autoSpaceDN w:val="0"/>
        <w:adjustRightInd w:val="0"/>
        <w:jc w:val="left"/>
        <w:rPr>
          <w:rFonts w:ascii="宋体" w:cs="宋体"/>
          <w:kern w:val="0"/>
          <w:szCs w:val="24"/>
        </w:rPr>
      </w:pPr>
      <w:r>
        <w:rPr>
          <w:rFonts w:eastAsiaTheme="minorEastAsia"/>
          <w:b/>
          <w:bCs/>
          <w:kern w:val="0"/>
          <w:szCs w:val="24"/>
        </w:rPr>
        <w:t xml:space="preserve">4.2.1 </w:t>
      </w:r>
      <w:r>
        <w:rPr>
          <w:rFonts w:hint="eastAsia" w:eastAsiaTheme="minorEastAsia"/>
          <w:b/>
          <w:bCs/>
          <w:kern w:val="0"/>
          <w:szCs w:val="24"/>
        </w:rPr>
        <w:t xml:space="preserve"> </w:t>
      </w:r>
      <w:r>
        <w:rPr>
          <w:rFonts w:hint="eastAsia" w:ascii="宋体" w:cs="宋体"/>
          <w:kern w:val="0"/>
          <w:szCs w:val="24"/>
        </w:rPr>
        <w:t>管廊主要材料采用钢筋混凝土</w:t>
      </w:r>
      <w:r>
        <w:rPr>
          <w:rFonts w:hint="eastAsia" w:ascii="宋体" w:cs="宋体"/>
          <w:kern w:val="0"/>
          <w:szCs w:val="24"/>
          <w:lang w:eastAsia="zh-CN"/>
        </w:rPr>
        <w:t>时</w:t>
      </w:r>
      <w:r>
        <w:rPr>
          <w:rFonts w:hint="eastAsia" w:ascii="宋体" w:cs="宋体"/>
          <w:kern w:val="0"/>
          <w:szCs w:val="24"/>
        </w:rPr>
        <w:t>，应满足现行国家标准《混凝土结构耐久性设计规范》</w:t>
      </w:r>
      <w:r>
        <w:rPr>
          <w:rFonts w:eastAsiaTheme="minorEastAsia"/>
          <w:kern w:val="0"/>
          <w:szCs w:val="24"/>
        </w:rPr>
        <w:t>GB/T 50476</w:t>
      </w:r>
      <w:r>
        <w:rPr>
          <w:rFonts w:hint="eastAsia" w:ascii="宋体" w:cs="宋体"/>
          <w:kern w:val="0"/>
          <w:szCs w:val="24"/>
        </w:rPr>
        <w:t>中对环境作用的要求。</w:t>
      </w:r>
    </w:p>
    <w:p>
      <w:pPr>
        <w:autoSpaceDE w:val="0"/>
        <w:autoSpaceDN w:val="0"/>
        <w:adjustRightInd w:val="0"/>
        <w:jc w:val="left"/>
        <w:rPr>
          <w:rFonts w:ascii="宋体" w:cs="宋体"/>
          <w:kern w:val="0"/>
          <w:szCs w:val="24"/>
        </w:rPr>
      </w:pPr>
      <w:r>
        <w:rPr>
          <w:rFonts w:eastAsiaTheme="minorEastAsia"/>
          <w:b/>
          <w:bCs/>
          <w:kern w:val="0"/>
          <w:szCs w:val="24"/>
        </w:rPr>
        <w:t>4.2.2</w:t>
      </w:r>
      <w:r>
        <w:rPr>
          <w:rFonts w:hint="eastAsia" w:eastAsiaTheme="minorEastAsia"/>
          <w:b/>
          <w:bCs/>
          <w:kern w:val="0"/>
          <w:szCs w:val="24"/>
        </w:rPr>
        <w:t xml:space="preserve"> </w:t>
      </w:r>
      <w:r>
        <w:rPr>
          <w:rFonts w:eastAsiaTheme="minorEastAsia"/>
          <w:b/>
          <w:bCs/>
          <w:kern w:val="0"/>
          <w:szCs w:val="24"/>
        </w:rPr>
        <w:t xml:space="preserve"> </w:t>
      </w:r>
      <w:r>
        <w:rPr>
          <w:rFonts w:hint="eastAsia" w:ascii="宋体" w:cs="宋体"/>
          <w:kern w:val="0"/>
          <w:szCs w:val="24"/>
        </w:rPr>
        <w:t>装配式综合管廊结构的混凝土强度等级不应低于</w:t>
      </w:r>
      <w:r>
        <w:rPr>
          <w:rFonts w:eastAsiaTheme="minorEastAsia"/>
          <w:kern w:val="0"/>
          <w:szCs w:val="24"/>
        </w:rPr>
        <w:t>C40</w:t>
      </w:r>
      <w:r>
        <w:rPr>
          <w:rFonts w:hint="eastAsia" w:eastAsiaTheme="minorEastAsia"/>
          <w:kern w:val="0"/>
          <w:szCs w:val="24"/>
          <w:lang w:eastAsia="zh-CN"/>
        </w:rPr>
        <w:t>，抗渗等级不应低于P8</w:t>
      </w:r>
      <w:r>
        <w:rPr>
          <w:rFonts w:hint="eastAsia" w:ascii="宋体" w:cs="宋体"/>
          <w:kern w:val="0"/>
          <w:szCs w:val="24"/>
        </w:rPr>
        <w:t>。</w:t>
      </w:r>
    </w:p>
    <w:p>
      <w:pPr>
        <w:autoSpaceDE w:val="0"/>
        <w:autoSpaceDN w:val="0"/>
        <w:adjustRightInd w:val="0"/>
        <w:jc w:val="left"/>
        <w:rPr>
          <w:rFonts w:ascii="宋体" w:cs="宋体"/>
          <w:kern w:val="0"/>
          <w:szCs w:val="24"/>
        </w:rPr>
      </w:pPr>
      <w:r>
        <w:rPr>
          <w:rFonts w:eastAsiaTheme="minorEastAsia"/>
          <w:b/>
          <w:bCs/>
          <w:kern w:val="0"/>
          <w:szCs w:val="24"/>
        </w:rPr>
        <w:t xml:space="preserve">4.2.3 </w:t>
      </w:r>
      <w:r>
        <w:rPr>
          <w:rFonts w:hint="eastAsia" w:eastAsiaTheme="minorEastAsia"/>
          <w:b/>
          <w:bCs/>
          <w:kern w:val="0"/>
          <w:szCs w:val="24"/>
        </w:rPr>
        <w:t xml:space="preserve"> </w:t>
      </w:r>
      <w:r>
        <w:rPr>
          <w:rFonts w:hint="eastAsia" w:ascii="宋体" w:cs="宋体"/>
          <w:kern w:val="0"/>
          <w:szCs w:val="24"/>
        </w:rPr>
        <w:t>用于混凝土的水泥应符合下列规定：</w:t>
      </w:r>
    </w:p>
    <w:p>
      <w:pPr>
        <w:autoSpaceDE w:val="0"/>
        <w:autoSpaceDN w:val="0"/>
        <w:adjustRightInd w:val="0"/>
        <w:ind w:firstLine="482" w:firstLineChars="200"/>
        <w:jc w:val="left"/>
        <w:rPr>
          <w:rFonts w:ascii="宋体" w:cs="宋体"/>
          <w:kern w:val="0"/>
          <w:szCs w:val="24"/>
        </w:rPr>
      </w:pPr>
      <w:r>
        <w:rPr>
          <w:rFonts w:eastAsiaTheme="minorEastAsia"/>
          <w:b/>
          <w:bCs/>
          <w:kern w:val="0"/>
          <w:szCs w:val="24"/>
        </w:rPr>
        <w:t>1</w:t>
      </w:r>
      <w:r>
        <w:rPr>
          <w:rFonts w:hint="eastAsia" w:eastAsiaTheme="minorEastAsia"/>
          <w:b/>
          <w:bCs/>
          <w:kern w:val="0"/>
          <w:szCs w:val="24"/>
          <w:lang w:val="en-US" w:eastAsia="zh-CN"/>
        </w:rPr>
        <w:t xml:space="preserve"> </w:t>
      </w:r>
      <w:r>
        <w:rPr>
          <w:rFonts w:eastAsiaTheme="minorEastAsia"/>
          <w:b/>
          <w:bCs/>
          <w:kern w:val="0"/>
          <w:szCs w:val="24"/>
        </w:rPr>
        <w:t xml:space="preserve"> </w:t>
      </w:r>
      <w:r>
        <w:rPr>
          <w:rFonts w:hint="eastAsia" w:ascii="宋体" w:cs="宋体"/>
          <w:kern w:val="0"/>
          <w:szCs w:val="24"/>
        </w:rPr>
        <w:t>水泥应采用强度等级不低于</w:t>
      </w:r>
      <w:r>
        <w:rPr>
          <w:rFonts w:eastAsiaTheme="minorEastAsia"/>
          <w:kern w:val="0"/>
          <w:szCs w:val="24"/>
        </w:rPr>
        <w:t>42.5</w:t>
      </w:r>
      <w:r>
        <w:rPr>
          <w:rFonts w:hint="eastAsia" w:ascii="宋体" w:cs="宋体"/>
          <w:kern w:val="0"/>
          <w:szCs w:val="24"/>
        </w:rPr>
        <w:t>的硅酸盐水泥、普通硅酸盐水泥，也可采用抗硫酸盐硅酸盐水泥。水泥性能应符合现行国家标准《通用硅酸盐水泥》</w:t>
      </w:r>
      <w:r>
        <w:rPr>
          <w:rFonts w:eastAsiaTheme="minorEastAsia"/>
          <w:kern w:val="0"/>
          <w:szCs w:val="24"/>
        </w:rPr>
        <w:t>GB 175</w:t>
      </w:r>
      <w:r>
        <w:rPr>
          <w:rFonts w:hint="eastAsia" w:ascii="宋体" w:cs="宋体"/>
          <w:kern w:val="0"/>
          <w:szCs w:val="24"/>
        </w:rPr>
        <w:t>、《抗硫酸盐硅酸盐水泥》</w:t>
      </w:r>
      <w:r>
        <w:rPr>
          <w:rFonts w:eastAsiaTheme="minorEastAsia"/>
          <w:kern w:val="0"/>
          <w:szCs w:val="24"/>
        </w:rPr>
        <w:t>GB</w:t>
      </w:r>
      <w:r>
        <w:rPr>
          <w:rFonts w:hint="eastAsia" w:eastAsiaTheme="minorEastAsia"/>
          <w:kern w:val="0"/>
          <w:szCs w:val="24"/>
        </w:rPr>
        <w:t xml:space="preserve"> </w:t>
      </w:r>
      <w:r>
        <w:rPr>
          <w:rFonts w:eastAsiaTheme="minorEastAsia"/>
          <w:kern w:val="0"/>
          <w:szCs w:val="24"/>
        </w:rPr>
        <w:t>748</w:t>
      </w:r>
      <w:r>
        <w:rPr>
          <w:rFonts w:hint="eastAsia" w:ascii="宋体" w:cs="宋体"/>
          <w:kern w:val="0"/>
          <w:szCs w:val="24"/>
        </w:rPr>
        <w:t>的规定；</w:t>
      </w:r>
    </w:p>
    <w:p>
      <w:pPr>
        <w:autoSpaceDE w:val="0"/>
        <w:autoSpaceDN w:val="0"/>
        <w:adjustRightInd w:val="0"/>
        <w:ind w:firstLine="482" w:firstLineChars="200"/>
        <w:jc w:val="left"/>
        <w:rPr>
          <w:rFonts w:hint="eastAsia" w:ascii="宋体" w:eastAsia="宋体" w:cs="宋体"/>
          <w:kern w:val="0"/>
          <w:szCs w:val="24"/>
          <w:lang w:eastAsia="zh-CN"/>
        </w:rPr>
      </w:pPr>
      <w:r>
        <w:rPr>
          <w:rFonts w:eastAsiaTheme="minorEastAsia"/>
          <w:b/>
          <w:bCs/>
          <w:kern w:val="0"/>
          <w:szCs w:val="24"/>
        </w:rPr>
        <w:t xml:space="preserve">2 </w:t>
      </w:r>
      <w:r>
        <w:rPr>
          <w:rFonts w:hint="eastAsia" w:eastAsiaTheme="minorEastAsia"/>
          <w:b/>
          <w:bCs/>
          <w:kern w:val="0"/>
          <w:szCs w:val="24"/>
          <w:lang w:val="en-US" w:eastAsia="zh-CN"/>
        </w:rPr>
        <w:t xml:space="preserve"> </w:t>
      </w:r>
      <w:r>
        <w:rPr>
          <w:rFonts w:hint="eastAsia" w:ascii="宋体" w:cs="宋体"/>
          <w:kern w:val="0"/>
          <w:szCs w:val="24"/>
        </w:rPr>
        <w:t>进场水泥应有水泥生产厂提供的标注有生产许可证编号的质量合格证书或质量检验报告</w:t>
      </w:r>
      <w:r>
        <w:rPr>
          <w:rFonts w:hint="eastAsia" w:ascii="宋体" w:cs="宋体"/>
          <w:kern w:val="0"/>
          <w:szCs w:val="24"/>
          <w:lang w:eastAsia="zh-CN"/>
        </w:rPr>
        <w:t>。</w:t>
      </w:r>
    </w:p>
    <w:p>
      <w:pPr>
        <w:autoSpaceDE w:val="0"/>
        <w:autoSpaceDN w:val="0"/>
        <w:adjustRightInd w:val="0"/>
        <w:jc w:val="left"/>
        <w:rPr>
          <w:rFonts w:ascii="宋体" w:cs="宋体"/>
          <w:kern w:val="0"/>
          <w:szCs w:val="24"/>
        </w:rPr>
      </w:pPr>
      <w:r>
        <w:rPr>
          <w:rFonts w:eastAsiaTheme="minorEastAsia"/>
          <w:b/>
          <w:bCs/>
          <w:kern w:val="0"/>
          <w:szCs w:val="24"/>
        </w:rPr>
        <w:t>4.2.4</w:t>
      </w:r>
      <w:r>
        <w:rPr>
          <w:rFonts w:hint="eastAsia" w:eastAsiaTheme="minorEastAsia"/>
          <w:b/>
          <w:bCs/>
          <w:kern w:val="0"/>
          <w:szCs w:val="24"/>
        </w:rPr>
        <w:t xml:space="preserve"> </w:t>
      </w:r>
      <w:r>
        <w:rPr>
          <w:rFonts w:eastAsiaTheme="minorEastAsia"/>
          <w:b/>
          <w:bCs/>
          <w:kern w:val="0"/>
          <w:szCs w:val="24"/>
        </w:rPr>
        <w:t xml:space="preserve"> </w:t>
      </w:r>
      <w:r>
        <w:rPr>
          <w:rFonts w:hint="eastAsia" w:ascii="宋体" w:cs="宋体"/>
          <w:kern w:val="0"/>
          <w:szCs w:val="24"/>
        </w:rPr>
        <w:t>用于混凝土的骨料应符合下列规定：</w:t>
      </w:r>
    </w:p>
    <w:p>
      <w:pPr>
        <w:autoSpaceDE w:val="0"/>
        <w:autoSpaceDN w:val="0"/>
        <w:adjustRightInd w:val="0"/>
        <w:ind w:firstLine="482" w:firstLineChars="200"/>
        <w:jc w:val="left"/>
        <w:rPr>
          <w:rFonts w:ascii="宋体" w:cs="宋体"/>
          <w:kern w:val="0"/>
          <w:szCs w:val="24"/>
        </w:rPr>
      </w:pPr>
      <w:r>
        <w:rPr>
          <w:rFonts w:eastAsiaTheme="minorEastAsia"/>
          <w:b/>
          <w:bCs/>
          <w:kern w:val="0"/>
          <w:szCs w:val="24"/>
        </w:rPr>
        <w:t xml:space="preserve">1 </w:t>
      </w:r>
      <w:r>
        <w:rPr>
          <w:rFonts w:hint="eastAsia" w:eastAsiaTheme="minorEastAsia"/>
          <w:b/>
          <w:bCs/>
          <w:kern w:val="0"/>
          <w:szCs w:val="24"/>
        </w:rPr>
        <w:t xml:space="preserve"> </w:t>
      </w:r>
      <w:r>
        <w:rPr>
          <w:rFonts w:hint="eastAsia" w:ascii="宋体" w:cs="宋体"/>
          <w:kern w:val="0"/>
          <w:szCs w:val="24"/>
        </w:rPr>
        <w:t>细骨料宜选用细度模量为</w:t>
      </w:r>
      <w:r>
        <w:rPr>
          <w:rFonts w:eastAsiaTheme="minorEastAsia"/>
          <w:kern w:val="0"/>
          <w:szCs w:val="24"/>
        </w:rPr>
        <w:t>2.3</w:t>
      </w:r>
      <w:r>
        <w:rPr>
          <w:rFonts w:hint="eastAsia" w:ascii="宋体" w:cs="宋体"/>
          <w:kern w:val="0"/>
          <w:szCs w:val="24"/>
        </w:rPr>
        <w:t>～</w:t>
      </w:r>
      <w:r>
        <w:rPr>
          <w:rFonts w:eastAsiaTheme="minorEastAsia"/>
          <w:kern w:val="0"/>
          <w:szCs w:val="24"/>
        </w:rPr>
        <w:t>3.3</w:t>
      </w:r>
      <w:r>
        <w:rPr>
          <w:rFonts w:hint="eastAsia" w:ascii="宋体" w:cs="宋体"/>
          <w:kern w:val="0"/>
          <w:szCs w:val="24"/>
        </w:rPr>
        <w:t>的中粗砂，含泥量不大于</w:t>
      </w:r>
      <w:r>
        <w:rPr>
          <w:rFonts w:eastAsiaTheme="minorEastAsia"/>
          <w:kern w:val="0"/>
          <w:szCs w:val="24"/>
        </w:rPr>
        <w:t>2%</w:t>
      </w:r>
      <w:r>
        <w:rPr>
          <w:rFonts w:hint="eastAsia" w:ascii="宋体" w:cs="宋体"/>
          <w:kern w:val="0"/>
          <w:szCs w:val="24"/>
        </w:rPr>
        <w:t>，其性能应符合现行国家标准《建设用砂》</w:t>
      </w:r>
      <w:r>
        <w:rPr>
          <w:rFonts w:eastAsiaTheme="minorEastAsia"/>
          <w:kern w:val="0"/>
          <w:szCs w:val="24"/>
        </w:rPr>
        <w:t>GB/T 14684</w:t>
      </w:r>
      <w:r>
        <w:rPr>
          <w:rFonts w:hint="eastAsia" w:ascii="宋体" w:cs="宋体"/>
          <w:kern w:val="0"/>
          <w:szCs w:val="24"/>
        </w:rPr>
        <w:t>和现行行业标准《普通混凝土用砂、石质量及检验方法标准》</w:t>
      </w:r>
      <w:r>
        <w:rPr>
          <w:rFonts w:eastAsiaTheme="minorEastAsia"/>
          <w:kern w:val="0"/>
          <w:szCs w:val="24"/>
        </w:rPr>
        <w:t xml:space="preserve">JGJ 52 </w:t>
      </w:r>
      <w:r>
        <w:rPr>
          <w:rFonts w:hint="eastAsia" w:ascii="宋体" w:cs="宋体"/>
          <w:kern w:val="0"/>
          <w:szCs w:val="24"/>
        </w:rPr>
        <w:t>的规定；</w:t>
      </w:r>
      <w:r>
        <w:rPr>
          <w:rFonts w:hint="eastAsia" w:ascii="宋体" w:cs="宋体"/>
          <w:kern w:val="0"/>
          <w:szCs w:val="24"/>
          <w:lang w:val="en-US" w:eastAsia="zh-CN"/>
        </w:rPr>
        <w:t>砂</w:t>
      </w:r>
      <w:r>
        <w:rPr>
          <w:rFonts w:hint="eastAsia" w:ascii="宋体" w:cs="宋体"/>
          <w:kern w:val="0"/>
          <w:szCs w:val="24"/>
        </w:rPr>
        <w:t>的氯离子含量不应超过0.06%</w:t>
      </w:r>
      <w:r>
        <w:rPr>
          <w:rFonts w:hint="eastAsia" w:ascii="宋体" w:cs="宋体"/>
          <w:kern w:val="0"/>
          <w:szCs w:val="24"/>
          <w:lang w:eastAsia="zh-CN"/>
        </w:rPr>
        <w:t>（</w:t>
      </w:r>
      <w:r>
        <w:rPr>
          <w:rFonts w:hint="eastAsia" w:ascii="宋体" w:cs="宋体"/>
          <w:kern w:val="0"/>
          <w:szCs w:val="24"/>
          <w:lang w:val="en-US" w:eastAsia="zh-CN"/>
        </w:rPr>
        <w:t>以干砂的质量百分率计</w:t>
      </w:r>
      <w:r>
        <w:rPr>
          <w:rFonts w:hint="eastAsia" w:ascii="宋体" w:cs="宋体"/>
          <w:kern w:val="0"/>
          <w:szCs w:val="24"/>
          <w:lang w:eastAsia="zh-CN"/>
        </w:rPr>
        <w:t>）；</w:t>
      </w:r>
    </w:p>
    <w:p>
      <w:pPr>
        <w:autoSpaceDE w:val="0"/>
        <w:autoSpaceDN w:val="0"/>
        <w:adjustRightInd w:val="0"/>
        <w:ind w:firstLine="482" w:firstLineChars="200"/>
        <w:jc w:val="left"/>
        <w:rPr>
          <w:rFonts w:ascii="宋体" w:cs="宋体"/>
          <w:kern w:val="0"/>
          <w:szCs w:val="24"/>
        </w:rPr>
      </w:pPr>
      <w:r>
        <w:rPr>
          <w:rFonts w:eastAsiaTheme="minorEastAsia"/>
          <w:b/>
          <w:bCs/>
          <w:kern w:val="0"/>
          <w:szCs w:val="24"/>
        </w:rPr>
        <w:t>2</w:t>
      </w:r>
      <w:r>
        <w:rPr>
          <w:rFonts w:hint="eastAsia" w:eastAsiaTheme="minorEastAsia"/>
          <w:b/>
          <w:bCs/>
          <w:kern w:val="0"/>
          <w:szCs w:val="24"/>
        </w:rPr>
        <w:t xml:space="preserve"> </w:t>
      </w:r>
      <w:r>
        <w:rPr>
          <w:rFonts w:eastAsiaTheme="minorEastAsia"/>
          <w:b/>
          <w:bCs/>
          <w:kern w:val="0"/>
          <w:szCs w:val="24"/>
        </w:rPr>
        <w:t xml:space="preserve"> </w:t>
      </w:r>
      <w:r>
        <w:rPr>
          <w:rFonts w:hint="eastAsia" w:ascii="宋体" w:cs="宋体"/>
          <w:kern w:val="0"/>
          <w:szCs w:val="24"/>
        </w:rPr>
        <w:t>粗骨料宜选用</w:t>
      </w:r>
      <w:r>
        <w:rPr>
          <w:rFonts w:eastAsiaTheme="minorEastAsia"/>
          <w:kern w:val="0"/>
          <w:szCs w:val="24"/>
        </w:rPr>
        <w:t>5mm</w:t>
      </w:r>
      <w:r>
        <w:rPr>
          <w:rFonts w:hint="eastAsia" w:ascii="宋体" w:cs="宋体"/>
          <w:kern w:val="0"/>
          <w:szCs w:val="24"/>
        </w:rPr>
        <w:t>～</w:t>
      </w:r>
      <w:r>
        <w:rPr>
          <w:rFonts w:hint="eastAsia" w:eastAsiaTheme="minorEastAsia"/>
          <w:kern w:val="0"/>
          <w:szCs w:val="24"/>
          <w:lang w:val="en-US" w:eastAsia="zh-CN"/>
        </w:rPr>
        <w:t>20</w:t>
      </w:r>
      <w:r>
        <w:rPr>
          <w:rFonts w:eastAsiaTheme="minorEastAsia"/>
          <w:kern w:val="0"/>
          <w:szCs w:val="24"/>
        </w:rPr>
        <w:t>mm</w:t>
      </w:r>
      <w:r>
        <w:rPr>
          <w:rFonts w:hint="eastAsia" w:ascii="宋体" w:cs="宋体"/>
          <w:kern w:val="0"/>
          <w:szCs w:val="24"/>
        </w:rPr>
        <w:t>连续粒级的碎石，最大粒径不</w:t>
      </w:r>
      <w:r>
        <w:rPr>
          <w:rFonts w:hint="eastAsia" w:ascii="宋体" w:cs="宋体"/>
          <w:kern w:val="0"/>
          <w:szCs w:val="24"/>
          <w:lang w:val="en-US" w:eastAsia="zh-CN"/>
        </w:rPr>
        <w:t>应</w:t>
      </w:r>
      <w:r>
        <w:rPr>
          <w:rFonts w:hint="eastAsia" w:ascii="宋体" w:cs="宋体"/>
          <w:kern w:val="0"/>
          <w:szCs w:val="24"/>
        </w:rPr>
        <w:t>大于壁厚</w:t>
      </w:r>
      <w:r>
        <w:rPr>
          <w:rFonts w:eastAsiaTheme="minorEastAsia"/>
          <w:kern w:val="0"/>
          <w:szCs w:val="24"/>
        </w:rPr>
        <w:t>1/3</w:t>
      </w:r>
      <w:r>
        <w:rPr>
          <w:rFonts w:hint="eastAsia" w:ascii="宋体" w:cs="宋体"/>
          <w:kern w:val="0"/>
          <w:szCs w:val="24"/>
        </w:rPr>
        <w:t>和钢筋净间距的</w:t>
      </w:r>
      <w:r>
        <w:rPr>
          <w:rFonts w:eastAsiaTheme="minorEastAsia"/>
          <w:kern w:val="0"/>
          <w:szCs w:val="24"/>
        </w:rPr>
        <w:t>3/4</w:t>
      </w:r>
      <w:r>
        <w:rPr>
          <w:rFonts w:hint="eastAsia" w:ascii="宋体" w:cs="宋体"/>
          <w:kern w:val="0"/>
          <w:szCs w:val="24"/>
        </w:rPr>
        <w:t>；吸水率不应大于</w:t>
      </w:r>
      <w:r>
        <w:rPr>
          <w:rFonts w:eastAsiaTheme="minorEastAsia"/>
          <w:kern w:val="0"/>
          <w:szCs w:val="24"/>
        </w:rPr>
        <w:t>1.5%</w:t>
      </w:r>
      <w:r>
        <w:rPr>
          <w:rFonts w:hint="eastAsia" w:ascii="宋体" w:cs="宋体"/>
          <w:kern w:val="0"/>
          <w:szCs w:val="24"/>
        </w:rPr>
        <w:t>；</w:t>
      </w:r>
      <w:r>
        <w:rPr>
          <w:rFonts w:hint="eastAsia" w:ascii="宋体" w:cs="宋体"/>
          <w:kern w:val="0"/>
          <w:szCs w:val="24"/>
          <w:lang w:eastAsia="zh-CN"/>
        </w:rPr>
        <w:t>不应</w:t>
      </w:r>
      <w:r>
        <w:rPr>
          <w:rFonts w:hint="eastAsia" w:ascii="宋体" w:cs="宋体"/>
          <w:kern w:val="0"/>
          <w:szCs w:val="24"/>
        </w:rPr>
        <w:t>使用碱活性骨料；其性能应符合现行行业标准《普通混凝土用砂、石质量及检验方法标准》</w:t>
      </w:r>
      <w:r>
        <w:rPr>
          <w:rFonts w:eastAsiaTheme="minorEastAsia"/>
          <w:kern w:val="0"/>
          <w:szCs w:val="24"/>
        </w:rPr>
        <w:t>JGJ 52</w:t>
      </w:r>
      <w:r>
        <w:rPr>
          <w:rFonts w:hint="eastAsia" w:ascii="宋体" w:cs="宋体"/>
          <w:kern w:val="0"/>
          <w:szCs w:val="24"/>
        </w:rPr>
        <w:t>的规定。</w:t>
      </w:r>
    </w:p>
    <w:p>
      <w:pPr>
        <w:autoSpaceDE w:val="0"/>
        <w:autoSpaceDN w:val="0"/>
        <w:adjustRightInd w:val="0"/>
        <w:jc w:val="left"/>
        <w:rPr>
          <w:rFonts w:ascii="宋体" w:cs="宋体"/>
          <w:kern w:val="0"/>
          <w:szCs w:val="24"/>
        </w:rPr>
      </w:pPr>
      <w:r>
        <w:rPr>
          <w:rFonts w:eastAsiaTheme="minorEastAsia"/>
          <w:b/>
          <w:bCs/>
          <w:kern w:val="0"/>
          <w:szCs w:val="24"/>
        </w:rPr>
        <w:t xml:space="preserve">4.2.5 </w:t>
      </w:r>
      <w:r>
        <w:rPr>
          <w:rFonts w:hint="eastAsia" w:eastAsiaTheme="minorEastAsia"/>
          <w:b/>
          <w:bCs/>
          <w:kern w:val="0"/>
          <w:szCs w:val="24"/>
        </w:rPr>
        <w:t xml:space="preserve"> </w:t>
      </w:r>
      <w:r>
        <w:rPr>
          <w:rFonts w:hint="eastAsia" w:ascii="宋体" w:cs="宋体"/>
          <w:kern w:val="0"/>
          <w:szCs w:val="24"/>
        </w:rPr>
        <w:t>混凝土外加剂品种应通过试验室进行试配后确定，</w:t>
      </w:r>
      <w:r>
        <w:rPr>
          <w:rFonts w:hint="eastAsia" w:ascii="宋体" w:cs="宋体"/>
          <w:kern w:val="0"/>
          <w:szCs w:val="24"/>
          <w:lang w:eastAsia="zh-CN"/>
        </w:rPr>
        <w:t>不应</w:t>
      </w:r>
      <w:r>
        <w:rPr>
          <w:rFonts w:hint="eastAsia" w:ascii="宋体" w:cs="宋体"/>
          <w:kern w:val="0"/>
          <w:szCs w:val="24"/>
        </w:rPr>
        <w:t>使用氯盐类或对钢筋有腐蚀作用的外加剂</w:t>
      </w:r>
      <w:r>
        <w:rPr>
          <w:rFonts w:hint="eastAsia" w:ascii="宋体" w:cs="宋体"/>
          <w:kern w:val="0"/>
          <w:szCs w:val="24"/>
          <w:lang w:eastAsia="zh-CN"/>
        </w:rPr>
        <w:t>，</w:t>
      </w:r>
      <w:r>
        <w:rPr>
          <w:rFonts w:hint="eastAsia" w:ascii="宋体" w:cs="宋体"/>
          <w:kern w:val="0"/>
          <w:szCs w:val="24"/>
        </w:rPr>
        <w:t>外加剂进场应有质保书，质量应符合现行国家标准《混凝土外加剂》</w:t>
      </w:r>
      <w:r>
        <w:rPr>
          <w:rFonts w:eastAsiaTheme="minorEastAsia"/>
          <w:kern w:val="0"/>
          <w:szCs w:val="24"/>
        </w:rPr>
        <w:t>GB 8076</w:t>
      </w:r>
      <w:r>
        <w:rPr>
          <w:rFonts w:hint="eastAsia" w:eastAsiaTheme="minorEastAsia"/>
          <w:kern w:val="0"/>
          <w:szCs w:val="24"/>
          <w:lang w:eastAsia="zh-CN"/>
        </w:rPr>
        <w:t>和《混凝土外加剂应用技术规范》</w:t>
      </w:r>
      <w:r>
        <w:rPr>
          <w:rFonts w:hint="eastAsia" w:eastAsiaTheme="minorEastAsia"/>
          <w:kern w:val="0"/>
          <w:szCs w:val="24"/>
          <w:lang w:val="en-US" w:eastAsia="zh-CN"/>
        </w:rPr>
        <w:t>GB 50119</w:t>
      </w:r>
      <w:r>
        <w:rPr>
          <w:rFonts w:hint="eastAsia" w:ascii="宋体" w:cs="宋体"/>
          <w:kern w:val="0"/>
          <w:szCs w:val="24"/>
        </w:rPr>
        <w:t>的规定。</w:t>
      </w:r>
    </w:p>
    <w:p>
      <w:pPr>
        <w:autoSpaceDE w:val="0"/>
        <w:autoSpaceDN w:val="0"/>
        <w:adjustRightInd w:val="0"/>
        <w:jc w:val="left"/>
        <w:rPr>
          <w:rFonts w:ascii="宋体" w:cs="宋体"/>
          <w:kern w:val="0"/>
          <w:szCs w:val="24"/>
        </w:rPr>
      </w:pPr>
      <w:r>
        <w:rPr>
          <w:rFonts w:eastAsiaTheme="minorEastAsia"/>
          <w:b/>
          <w:bCs/>
          <w:kern w:val="0"/>
          <w:szCs w:val="24"/>
        </w:rPr>
        <w:t>4.2.6</w:t>
      </w:r>
      <w:r>
        <w:rPr>
          <w:rFonts w:hint="eastAsia" w:eastAsiaTheme="minorEastAsia"/>
          <w:b/>
          <w:bCs/>
          <w:kern w:val="0"/>
          <w:szCs w:val="24"/>
        </w:rPr>
        <w:t xml:space="preserve"> </w:t>
      </w:r>
      <w:r>
        <w:rPr>
          <w:rFonts w:eastAsiaTheme="minorEastAsia"/>
          <w:b/>
          <w:bCs/>
          <w:kern w:val="0"/>
          <w:szCs w:val="24"/>
        </w:rPr>
        <w:t xml:space="preserve"> </w:t>
      </w:r>
      <w:r>
        <w:rPr>
          <w:rFonts w:hint="eastAsia" w:ascii="宋体" w:cs="宋体"/>
          <w:kern w:val="0"/>
          <w:szCs w:val="24"/>
        </w:rPr>
        <w:t>在拌制混凝土时可掺入适量的粉煤灰、磨细矿渣粉等混凝土掺合料，粉煤灰</w:t>
      </w:r>
      <w:r>
        <w:rPr>
          <w:rFonts w:hint="eastAsia" w:ascii="宋体" w:cs="宋体"/>
          <w:kern w:val="0"/>
          <w:szCs w:val="24"/>
          <w:lang w:eastAsia="zh-CN"/>
        </w:rPr>
        <w:t>和</w:t>
      </w:r>
      <w:r>
        <w:rPr>
          <w:rFonts w:hint="eastAsia" w:ascii="宋体" w:cs="宋体"/>
          <w:kern w:val="0"/>
          <w:szCs w:val="24"/>
        </w:rPr>
        <w:t>磨细矿渣粉应符合现行国家标准《矿物掺合料应用技术规范》GB/T</w:t>
      </w:r>
      <w:r>
        <w:rPr>
          <w:rFonts w:hint="eastAsia" w:ascii="宋体" w:cs="宋体"/>
          <w:kern w:val="0"/>
          <w:szCs w:val="24"/>
          <w:lang w:val="en-US" w:eastAsia="zh-CN"/>
        </w:rPr>
        <w:t xml:space="preserve"> </w:t>
      </w:r>
      <w:r>
        <w:rPr>
          <w:rFonts w:hint="eastAsia" w:ascii="宋体" w:cs="宋体"/>
          <w:kern w:val="0"/>
          <w:szCs w:val="24"/>
        </w:rPr>
        <w:t>51003的规定。其他掺合料应符合相关标准要求。</w:t>
      </w:r>
    </w:p>
    <w:p>
      <w:pPr>
        <w:autoSpaceDE w:val="0"/>
        <w:autoSpaceDN w:val="0"/>
        <w:adjustRightInd w:val="0"/>
        <w:jc w:val="left"/>
        <w:rPr>
          <w:rFonts w:hint="eastAsia" w:ascii="宋体" w:cs="宋体"/>
          <w:kern w:val="0"/>
          <w:szCs w:val="24"/>
        </w:rPr>
      </w:pPr>
      <w:r>
        <w:rPr>
          <w:rFonts w:eastAsiaTheme="minorEastAsia"/>
          <w:b/>
          <w:bCs/>
          <w:kern w:val="0"/>
          <w:szCs w:val="24"/>
        </w:rPr>
        <w:t xml:space="preserve">4.2.7 </w:t>
      </w:r>
      <w:r>
        <w:rPr>
          <w:rFonts w:hint="eastAsia" w:eastAsiaTheme="minorEastAsia"/>
          <w:b/>
          <w:bCs/>
          <w:kern w:val="0"/>
          <w:szCs w:val="24"/>
        </w:rPr>
        <w:t xml:space="preserve"> </w:t>
      </w:r>
      <w:r>
        <w:rPr>
          <w:rFonts w:hint="eastAsia" w:ascii="宋体" w:cs="宋体"/>
          <w:kern w:val="0"/>
          <w:szCs w:val="24"/>
        </w:rPr>
        <w:t>混凝土拌合用水应符合现行行业标准《混凝土用水标准》</w:t>
      </w:r>
      <w:r>
        <w:rPr>
          <w:rFonts w:eastAsiaTheme="minorEastAsia"/>
          <w:kern w:val="0"/>
          <w:szCs w:val="24"/>
        </w:rPr>
        <w:t>JGJ</w:t>
      </w:r>
      <w:r>
        <w:rPr>
          <w:rFonts w:hint="eastAsia" w:eastAsiaTheme="minorEastAsia"/>
          <w:kern w:val="0"/>
          <w:szCs w:val="24"/>
          <w:lang w:val="en-US" w:eastAsia="zh-CN"/>
        </w:rPr>
        <w:t xml:space="preserve"> </w:t>
      </w:r>
      <w:r>
        <w:rPr>
          <w:rFonts w:eastAsiaTheme="minorEastAsia"/>
          <w:kern w:val="0"/>
          <w:szCs w:val="24"/>
        </w:rPr>
        <w:t>63</w:t>
      </w:r>
      <w:r>
        <w:rPr>
          <w:rFonts w:hint="eastAsia" w:ascii="宋体" w:cs="宋体"/>
          <w:kern w:val="0"/>
          <w:szCs w:val="24"/>
        </w:rPr>
        <w:t>的规定。</w:t>
      </w:r>
    </w:p>
    <w:p>
      <w:pPr>
        <w:autoSpaceDE w:val="0"/>
        <w:autoSpaceDN w:val="0"/>
        <w:adjustRightInd w:val="0"/>
        <w:jc w:val="left"/>
        <w:rPr>
          <w:rFonts w:hint="eastAsia" w:ascii="宋体" w:eastAsia="宋体" w:cs="宋体"/>
          <w:kern w:val="0"/>
          <w:szCs w:val="24"/>
          <w:lang w:val="en-US" w:eastAsia="zh-CN"/>
        </w:rPr>
      </w:pPr>
      <w:r>
        <w:rPr>
          <w:rFonts w:hint="default" w:ascii="Times New Roman" w:eastAsiaTheme="minorEastAsia" w:cstheme="minorBidi"/>
          <w:b/>
          <w:bCs/>
          <w:kern w:val="0"/>
          <w:szCs w:val="24"/>
          <w:lang w:val="en-US" w:eastAsia="zh-CN"/>
        </w:rPr>
        <w:t>4.2.8</w:t>
      </w:r>
      <w:r>
        <w:rPr>
          <w:rFonts w:hint="eastAsia" w:ascii="宋体" w:cs="宋体"/>
          <w:kern w:val="0"/>
          <w:szCs w:val="24"/>
          <w:lang w:val="en-US" w:eastAsia="zh-CN"/>
        </w:rPr>
        <w:t xml:space="preserve">  混凝土中</w:t>
      </w:r>
      <w:r>
        <w:rPr>
          <w:rFonts w:hint="eastAsia" w:ascii="宋体" w:cs="宋体"/>
          <w:kern w:val="0"/>
          <w:szCs w:val="24"/>
          <w:highlight w:val="none"/>
        </w:rPr>
        <w:t>碱含量</w:t>
      </w:r>
      <w:r>
        <w:rPr>
          <w:rFonts w:hint="eastAsia" w:ascii="宋体" w:cs="宋体"/>
          <w:kern w:val="0"/>
          <w:szCs w:val="24"/>
          <w:highlight w:val="none"/>
          <w:lang w:val="en-US" w:eastAsia="zh-CN"/>
        </w:rPr>
        <w:t>不应</w:t>
      </w:r>
      <w:r>
        <w:rPr>
          <w:rFonts w:hint="eastAsia" w:ascii="宋体" w:cs="宋体"/>
          <w:kern w:val="0"/>
          <w:szCs w:val="24"/>
          <w:highlight w:val="none"/>
        </w:rPr>
        <w:t>超过</w:t>
      </w:r>
      <w:r>
        <w:rPr>
          <w:rFonts w:hint="default" w:ascii="Times New Roman" w:hAnsi="Times New Roman" w:cs="Times New Roman"/>
          <w:kern w:val="0"/>
          <w:szCs w:val="24"/>
          <w:highlight w:val="none"/>
        </w:rPr>
        <w:t>3.0kg/m</w:t>
      </w:r>
      <w:r>
        <w:rPr>
          <w:rFonts w:hint="default" w:ascii="Times New Roman" w:hAnsi="Times New Roman" w:cs="Times New Roman"/>
          <w:kern w:val="0"/>
          <w:szCs w:val="24"/>
          <w:highlight w:val="none"/>
          <w:vertAlign w:val="superscript"/>
        </w:rPr>
        <w:t>3</w:t>
      </w:r>
      <w:r>
        <w:rPr>
          <w:rFonts w:hint="eastAsia" w:cs="Times New Roman"/>
          <w:kern w:val="0"/>
          <w:szCs w:val="24"/>
          <w:highlight w:val="none"/>
          <w:vertAlign w:val="baseline"/>
          <w:lang w:eastAsia="zh-CN"/>
        </w:rPr>
        <w:t>。</w:t>
      </w:r>
    </w:p>
    <w:p>
      <w:pPr>
        <w:autoSpaceDE w:val="0"/>
        <w:autoSpaceDN w:val="0"/>
        <w:adjustRightInd w:val="0"/>
        <w:jc w:val="center"/>
        <w:rPr>
          <w:rFonts w:eastAsiaTheme="minorEastAsia"/>
          <w:kern w:val="0"/>
          <w:szCs w:val="24"/>
        </w:rPr>
      </w:pPr>
    </w:p>
    <w:p>
      <w:pPr>
        <w:autoSpaceDE w:val="0"/>
        <w:autoSpaceDN w:val="0"/>
        <w:adjustRightInd w:val="0"/>
        <w:jc w:val="center"/>
        <w:rPr>
          <w:rFonts w:ascii="黑体" w:eastAsia="黑体" w:cs="黑体"/>
          <w:kern w:val="0"/>
          <w:szCs w:val="24"/>
        </w:rPr>
      </w:pPr>
      <w:r>
        <w:rPr>
          <w:rFonts w:eastAsiaTheme="minorEastAsia"/>
          <w:kern w:val="0"/>
          <w:szCs w:val="24"/>
        </w:rPr>
        <w:t xml:space="preserve">II </w:t>
      </w:r>
      <w:r>
        <w:rPr>
          <w:rFonts w:hint="eastAsia" w:ascii="黑体" w:eastAsia="黑体" w:cs="黑体"/>
          <w:kern w:val="0"/>
          <w:szCs w:val="24"/>
        </w:rPr>
        <w:t>钢材</w:t>
      </w:r>
    </w:p>
    <w:p>
      <w:pPr>
        <w:autoSpaceDE w:val="0"/>
        <w:autoSpaceDN w:val="0"/>
        <w:adjustRightInd w:val="0"/>
        <w:jc w:val="left"/>
        <w:rPr>
          <w:rFonts w:ascii="宋体" w:cs="宋体"/>
          <w:kern w:val="0"/>
          <w:szCs w:val="24"/>
        </w:rPr>
      </w:pPr>
      <w:r>
        <w:rPr>
          <w:b/>
          <w:bCs/>
          <w:kern w:val="0"/>
          <w:szCs w:val="24"/>
        </w:rPr>
        <w:t>4.2.</w:t>
      </w:r>
      <w:r>
        <w:rPr>
          <w:rFonts w:hint="eastAsia"/>
          <w:b/>
          <w:bCs/>
          <w:kern w:val="0"/>
          <w:szCs w:val="24"/>
        </w:rPr>
        <w:t>9</w:t>
      </w:r>
      <w:r>
        <w:rPr>
          <w:b/>
          <w:bCs/>
          <w:kern w:val="0"/>
          <w:szCs w:val="24"/>
        </w:rPr>
        <w:t xml:space="preserve"> </w:t>
      </w:r>
      <w:r>
        <w:rPr>
          <w:rFonts w:hint="eastAsia"/>
          <w:b/>
          <w:bCs/>
          <w:kern w:val="0"/>
          <w:szCs w:val="24"/>
        </w:rPr>
        <w:t xml:space="preserve"> </w:t>
      </w:r>
      <w:r>
        <w:rPr>
          <w:rFonts w:cs="Times New Roman"/>
          <w:kern w:val="0"/>
          <w:szCs w:val="24"/>
        </w:rPr>
        <w:t>选用</w:t>
      </w:r>
      <w:r>
        <w:rPr>
          <w:rFonts w:hint="eastAsia" w:cs="Times New Roman"/>
          <w:kern w:val="0"/>
          <w:szCs w:val="24"/>
        </w:rPr>
        <w:t>钢筋的</w:t>
      </w:r>
      <w:r>
        <w:rPr>
          <w:rFonts w:cs="Times New Roman"/>
          <w:kern w:val="0"/>
          <w:szCs w:val="24"/>
        </w:rPr>
        <w:t>型号、级别</w:t>
      </w:r>
      <w:r>
        <w:rPr>
          <w:rFonts w:hint="eastAsia" w:cs="Times New Roman"/>
          <w:kern w:val="0"/>
          <w:szCs w:val="24"/>
        </w:rPr>
        <w:t>和</w:t>
      </w:r>
      <w:r>
        <w:rPr>
          <w:rFonts w:cs="Times New Roman"/>
          <w:kern w:val="0"/>
          <w:szCs w:val="24"/>
        </w:rPr>
        <w:t>直径</w:t>
      </w:r>
      <w:r>
        <w:rPr>
          <w:rFonts w:hint="eastAsia" w:cs="Times New Roman"/>
          <w:kern w:val="0"/>
          <w:szCs w:val="24"/>
        </w:rPr>
        <w:t>等指标应满足</w:t>
      </w:r>
      <w:r>
        <w:rPr>
          <w:rFonts w:cs="Times New Roman"/>
          <w:kern w:val="0"/>
          <w:szCs w:val="24"/>
        </w:rPr>
        <w:t>设计图纸及规范要求，</w:t>
      </w:r>
      <w:r>
        <w:rPr>
          <w:rFonts w:hint="eastAsia" w:cs="Times New Roman"/>
          <w:kern w:val="0"/>
          <w:szCs w:val="24"/>
        </w:rPr>
        <w:t>并应</w:t>
      </w:r>
      <w:r>
        <w:rPr>
          <w:rFonts w:cs="Times New Roman"/>
          <w:kern w:val="0"/>
          <w:szCs w:val="24"/>
        </w:rPr>
        <w:t>符合现行国家标准《混凝土结构</w:t>
      </w:r>
      <w:r>
        <w:rPr>
          <w:rFonts w:hint="default" w:cs="Times New Roman"/>
          <w:kern w:val="0"/>
          <w:szCs w:val="24"/>
          <w:lang w:val="en-US"/>
        </w:rPr>
        <w:t>设计</w:t>
      </w:r>
      <w:r>
        <w:rPr>
          <w:rFonts w:cs="Times New Roman"/>
          <w:kern w:val="0"/>
          <w:szCs w:val="24"/>
        </w:rPr>
        <w:t>规范》GB 50</w:t>
      </w:r>
      <w:r>
        <w:rPr>
          <w:rFonts w:hint="default" w:cs="Times New Roman"/>
          <w:kern w:val="0"/>
          <w:szCs w:val="24"/>
          <w:lang w:val="en-US"/>
        </w:rPr>
        <w:t>010</w:t>
      </w:r>
      <w:r>
        <w:rPr>
          <w:rFonts w:cs="Times New Roman"/>
          <w:kern w:val="0"/>
          <w:szCs w:val="24"/>
        </w:rPr>
        <w:t>的相关规定。</w:t>
      </w:r>
    </w:p>
    <w:p>
      <w:pPr>
        <w:autoSpaceDE w:val="0"/>
        <w:autoSpaceDN w:val="0"/>
        <w:adjustRightInd w:val="0"/>
        <w:jc w:val="left"/>
        <w:rPr>
          <w:rFonts w:ascii="宋体" w:cs="宋体"/>
          <w:kern w:val="0"/>
          <w:szCs w:val="24"/>
        </w:rPr>
      </w:pPr>
      <w:r>
        <w:rPr>
          <w:b/>
          <w:bCs/>
          <w:kern w:val="0"/>
          <w:szCs w:val="24"/>
        </w:rPr>
        <w:t>4.2.1</w:t>
      </w:r>
      <w:r>
        <w:rPr>
          <w:rFonts w:hint="eastAsia"/>
          <w:b/>
          <w:bCs/>
          <w:kern w:val="0"/>
          <w:szCs w:val="24"/>
        </w:rPr>
        <w:t>0</w:t>
      </w:r>
      <w:r>
        <w:rPr>
          <w:b/>
          <w:bCs/>
          <w:kern w:val="0"/>
          <w:szCs w:val="24"/>
        </w:rPr>
        <w:t xml:space="preserve"> </w:t>
      </w:r>
      <w:r>
        <w:rPr>
          <w:rFonts w:hint="eastAsia"/>
          <w:b/>
          <w:bCs/>
          <w:kern w:val="0"/>
          <w:szCs w:val="24"/>
        </w:rPr>
        <w:t xml:space="preserve"> </w:t>
      </w:r>
      <w:r>
        <w:rPr>
          <w:rFonts w:hint="eastAsia" w:ascii="宋体" w:cs="宋体"/>
          <w:kern w:val="0"/>
          <w:szCs w:val="24"/>
        </w:rPr>
        <w:t>钢筋宜采用冷轧带肋钢筋、热轧带肋钢筋和热轧光圆钢筋，钢筋的性能应分别符合现行国家标准《冷轧带肋钢筋》</w:t>
      </w:r>
      <w:r>
        <w:rPr>
          <w:kern w:val="0"/>
          <w:szCs w:val="24"/>
        </w:rPr>
        <w:t>GB 13788</w:t>
      </w:r>
      <w:r>
        <w:rPr>
          <w:rFonts w:hint="eastAsia" w:ascii="宋体" w:cs="宋体"/>
          <w:kern w:val="0"/>
          <w:szCs w:val="24"/>
        </w:rPr>
        <w:t>、《钢筋混凝土用热轧带肋钢筋》</w:t>
      </w:r>
      <w:r>
        <w:rPr>
          <w:kern w:val="0"/>
          <w:szCs w:val="24"/>
        </w:rPr>
        <w:t>GB 1499</w:t>
      </w:r>
      <w:r>
        <w:rPr>
          <w:rFonts w:hint="eastAsia" w:ascii="宋体" w:cs="宋体"/>
          <w:kern w:val="0"/>
          <w:szCs w:val="24"/>
        </w:rPr>
        <w:t>和《钢筋混凝土用热轧光圆钢筋》</w:t>
      </w:r>
      <w:r>
        <w:rPr>
          <w:kern w:val="0"/>
          <w:szCs w:val="24"/>
        </w:rPr>
        <w:t>GB 1499.1</w:t>
      </w:r>
      <w:r>
        <w:rPr>
          <w:rFonts w:hint="eastAsia" w:ascii="宋体" w:cs="宋体"/>
          <w:kern w:val="0"/>
          <w:szCs w:val="24"/>
        </w:rPr>
        <w:t>的规定。</w:t>
      </w:r>
    </w:p>
    <w:p>
      <w:pPr>
        <w:autoSpaceDE w:val="0"/>
        <w:autoSpaceDN w:val="0"/>
        <w:adjustRightInd w:val="0"/>
        <w:jc w:val="left"/>
        <w:rPr>
          <w:rFonts w:ascii="宋体" w:cs="宋体"/>
          <w:kern w:val="0"/>
          <w:szCs w:val="24"/>
        </w:rPr>
      </w:pPr>
      <w:r>
        <w:rPr>
          <w:b/>
          <w:bCs/>
          <w:kern w:val="0"/>
          <w:szCs w:val="24"/>
        </w:rPr>
        <w:t>4.2.</w:t>
      </w:r>
      <w:r>
        <w:rPr>
          <w:rFonts w:hint="eastAsia"/>
          <w:b/>
          <w:bCs/>
          <w:kern w:val="0"/>
          <w:szCs w:val="24"/>
          <w:lang w:val="en-US" w:eastAsia="zh-CN"/>
        </w:rPr>
        <w:t>11</w:t>
      </w:r>
      <w:r>
        <w:rPr>
          <w:b/>
          <w:bCs/>
          <w:kern w:val="0"/>
          <w:szCs w:val="24"/>
        </w:rPr>
        <w:t xml:space="preserve"> </w:t>
      </w:r>
      <w:r>
        <w:rPr>
          <w:rFonts w:hint="eastAsia"/>
          <w:b/>
          <w:bCs/>
          <w:kern w:val="0"/>
          <w:szCs w:val="24"/>
        </w:rPr>
        <w:t xml:space="preserve"> </w:t>
      </w:r>
      <w:r>
        <w:rPr>
          <w:rFonts w:hint="eastAsia" w:ascii="宋体" w:cs="宋体"/>
          <w:kern w:val="0"/>
          <w:szCs w:val="24"/>
        </w:rPr>
        <w:t>纵向受力钢筋的强度应满足设计要求</w:t>
      </w:r>
      <w:r>
        <w:rPr>
          <w:rFonts w:hint="eastAsia" w:ascii="宋体" w:cs="宋体"/>
          <w:kern w:val="0"/>
          <w:szCs w:val="24"/>
          <w:lang w:eastAsia="zh-CN"/>
        </w:rPr>
        <w:t>。</w:t>
      </w:r>
      <w:r>
        <w:rPr>
          <w:rFonts w:hint="eastAsia" w:ascii="宋体" w:cs="宋体"/>
          <w:kern w:val="0"/>
          <w:szCs w:val="24"/>
        </w:rPr>
        <w:t>当设计无具体要求时，对一、二级抗震等级，检验所得的强度实测值应符合下列规定：</w:t>
      </w:r>
    </w:p>
    <w:p>
      <w:pPr>
        <w:autoSpaceDE w:val="0"/>
        <w:autoSpaceDN w:val="0"/>
        <w:adjustRightInd w:val="0"/>
        <w:ind w:left="480" w:leftChars="200"/>
        <w:jc w:val="left"/>
        <w:rPr>
          <w:rFonts w:ascii="宋体" w:cs="宋体"/>
          <w:kern w:val="0"/>
          <w:szCs w:val="24"/>
        </w:rPr>
      </w:pPr>
      <w:r>
        <w:rPr>
          <w:b/>
          <w:bCs/>
          <w:kern w:val="0"/>
          <w:szCs w:val="24"/>
        </w:rPr>
        <w:t xml:space="preserve">1 </w:t>
      </w:r>
      <w:r>
        <w:rPr>
          <w:rFonts w:hint="eastAsia"/>
          <w:b/>
          <w:bCs/>
          <w:kern w:val="0"/>
          <w:szCs w:val="24"/>
        </w:rPr>
        <w:t xml:space="preserve"> </w:t>
      </w:r>
      <w:r>
        <w:rPr>
          <w:rFonts w:hint="eastAsia" w:ascii="宋体" w:cs="宋体"/>
          <w:kern w:val="0"/>
          <w:szCs w:val="24"/>
        </w:rPr>
        <w:t>钢筋的抗拉强度实测值与</w:t>
      </w:r>
      <w:r>
        <w:rPr>
          <w:rFonts w:hint="eastAsia" w:ascii="宋体" w:cs="宋体"/>
          <w:kern w:val="0"/>
          <w:szCs w:val="24"/>
          <w:lang w:eastAsia="zh-CN"/>
        </w:rPr>
        <w:t>下</w:t>
      </w:r>
      <w:r>
        <w:rPr>
          <w:rFonts w:hint="eastAsia" w:ascii="宋体" w:cs="宋体"/>
          <w:kern w:val="0"/>
          <w:szCs w:val="24"/>
        </w:rPr>
        <w:t>屈服强度实测值的比值不应小于</w:t>
      </w:r>
      <w:r>
        <w:rPr>
          <w:kern w:val="0"/>
          <w:szCs w:val="24"/>
        </w:rPr>
        <w:t>1.25</w:t>
      </w:r>
      <w:r>
        <w:rPr>
          <w:rFonts w:hint="eastAsia" w:ascii="宋体" w:cs="宋体"/>
          <w:kern w:val="0"/>
          <w:szCs w:val="24"/>
        </w:rPr>
        <w:t>；</w:t>
      </w:r>
    </w:p>
    <w:p>
      <w:pPr>
        <w:autoSpaceDE w:val="0"/>
        <w:autoSpaceDN w:val="0"/>
        <w:adjustRightInd w:val="0"/>
        <w:ind w:left="480" w:leftChars="200"/>
        <w:jc w:val="left"/>
        <w:rPr>
          <w:rFonts w:ascii="宋体" w:cs="宋体"/>
          <w:kern w:val="0"/>
          <w:szCs w:val="24"/>
        </w:rPr>
      </w:pPr>
      <w:r>
        <w:rPr>
          <w:b/>
          <w:bCs/>
          <w:kern w:val="0"/>
          <w:szCs w:val="24"/>
        </w:rPr>
        <w:t>2</w:t>
      </w:r>
      <w:r>
        <w:rPr>
          <w:rFonts w:hint="eastAsia"/>
          <w:b/>
          <w:bCs/>
          <w:kern w:val="0"/>
          <w:szCs w:val="24"/>
        </w:rPr>
        <w:t xml:space="preserve"> </w:t>
      </w:r>
      <w:r>
        <w:rPr>
          <w:b/>
          <w:bCs/>
          <w:kern w:val="0"/>
          <w:szCs w:val="24"/>
        </w:rPr>
        <w:t xml:space="preserve"> </w:t>
      </w:r>
      <w:r>
        <w:rPr>
          <w:rFonts w:hint="eastAsia" w:ascii="宋体" w:cs="宋体"/>
          <w:kern w:val="0"/>
          <w:szCs w:val="24"/>
        </w:rPr>
        <w:t>钢筋的</w:t>
      </w:r>
      <w:r>
        <w:rPr>
          <w:rFonts w:hint="eastAsia" w:ascii="宋体" w:cs="宋体"/>
          <w:kern w:val="0"/>
          <w:szCs w:val="24"/>
          <w:lang w:eastAsia="zh-CN"/>
        </w:rPr>
        <w:t>下</w:t>
      </w:r>
      <w:r>
        <w:rPr>
          <w:rFonts w:hint="eastAsia" w:ascii="宋体" w:cs="宋体"/>
          <w:kern w:val="0"/>
          <w:szCs w:val="24"/>
        </w:rPr>
        <w:t>屈服强度实测值与强度标准值的比值不应大于</w:t>
      </w:r>
      <w:r>
        <w:rPr>
          <w:kern w:val="0"/>
          <w:szCs w:val="24"/>
        </w:rPr>
        <w:t>1.3</w:t>
      </w:r>
      <w:r>
        <w:rPr>
          <w:rFonts w:hint="eastAsia" w:ascii="宋体" w:cs="宋体"/>
          <w:kern w:val="0"/>
          <w:szCs w:val="24"/>
        </w:rPr>
        <w:t>；</w:t>
      </w:r>
    </w:p>
    <w:p>
      <w:pPr>
        <w:autoSpaceDE w:val="0"/>
        <w:autoSpaceDN w:val="0"/>
        <w:adjustRightInd w:val="0"/>
        <w:ind w:left="480" w:leftChars="200"/>
        <w:jc w:val="left"/>
        <w:rPr>
          <w:rFonts w:ascii="宋体" w:cs="宋体"/>
          <w:kern w:val="0"/>
          <w:szCs w:val="24"/>
        </w:rPr>
      </w:pPr>
      <w:r>
        <w:rPr>
          <w:b/>
          <w:bCs/>
          <w:kern w:val="0"/>
          <w:szCs w:val="24"/>
        </w:rPr>
        <w:t xml:space="preserve">3 </w:t>
      </w:r>
      <w:r>
        <w:rPr>
          <w:rFonts w:hint="eastAsia"/>
          <w:b/>
          <w:bCs/>
          <w:kern w:val="0"/>
          <w:szCs w:val="24"/>
          <w:lang w:val="en-US" w:eastAsia="zh-CN"/>
        </w:rPr>
        <w:t xml:space="preserve"> </w:t>
      </w:r>
      <w:r>
        <w:rPr>
          <w:rFonts w:hint="eastAsia" w:ascii="宋体" w:cs="宋体"/>
          <w:kern w:val="0"/>
          <w:szCs w:val="24"/>
        </w:rPr>
        <w:t>钢筋的最大力下总伸长率不应小于</w:t>
      </w:r>
      <w:r>
        <w:rPr>
          <w:kern w:val="0"/>
          <w:szCs w:val="24"/>
        </w:rPr>
        <w:t>9%</w:t>
      </w:r>
      <w:r>
        <w:rPr>
          <w:rFonts w:hint="eastAsia" w:ascii="宋体" w:cs="宋体"/>
          <w:kern w:val="0"/>
          <w:szCs w:val="24"/>
        </w:rPr>
        <w:t>。</w:t>
      </w:r>
    </w:p>
    <w:p>
      <w:pPr>
        <w:autoSpaceDE w:val="0"/>
        <w:autoSpaceDN w:val="0"/>
        <w:adjustRightInd w:val="0"/>
        <w:jc w:val="left"/>
        <w:rPr>
          <w:rFonts w:ascii="宋体" w:cs="宋体"/>
          <w:kern w:val="0"/>
          <w:szCs w:val="24"/>
        </w:rPr>
      </w:pPr>
      <w:r>
        <w:rPr>
          <w:b/>
          <w:bCs/>
          <w:kern w:val="0"/>
          <w:szCs w:val="24"/>
        </w:rPr>
        <w:t>4.2.</w:t>
      </w:r>
      <w:r>
        <w:rPr>
          <w:rFonts w:hint="eastAsia"/>
          <w:b/>
          <w:bCs/>
          <w:kern w:val="0"/>
          <w:szCs w:val="24"/>
          <w:lang w:val="en-US" w:eastAsia="zh-CN"/>
        </w:rPr>
        <w:t>12</w:t>
      </w:r>
      <w:r>
        <w:rPr>
          <w:rFonts w:hint="eastAsia"/>
          <w:b/>
          <w:bCs/>
          <w:kern w:val="0"/>
          <w:szCs w:val="24"/>
        </w:rPr>
        <w:t xml:space="preserve">  </w:t>
      </w:r>
      <w:r>
        <w:rPr>
          <w:rFonts w:hAnsiTheme="minorEastAsia" w:eastAsiaTheme="minorEastAsia"/>
          <w:szCs w:val="24"/>
        </w:rPr>
        <w:t>预应力钢棒进</w:t>
      </w:r>
      <w:r>
        <w:rPr>
          <w:rFonts w:hint="eastAsia" w:hAnsiTheme="minorEastAsia" w:eastAsiaTheme="minorEastAsia"/>
          <w:szCs w:val="24"/>
        </w:rPr>
        <w:t>厂</w:t>
      </w:r>
      <w:r>
        <w:rPr>
          <w:rFonts w:hAnsiTheme="minorEastAsia" w:eastAsiaTheme="minorEastAsia"/>
          <w:szCs w:val="24"/>
        </w:rPr>
        <w:t>时，应按批检查其直径、横截面积、每延米重量并抽取试件做拉伸试验、弯曲试验、应力松弛试验、疲劳试验，其质量应</w:t>
      </w:r>
      <w:r>
        <w:rPr>
          <w:rFonts w:hint="eastAsia" w:hAnsiTheme="minorEastAsia" w:eastAsiaTheme="minorEastAsia"/>
          <w:szCs w:val="24"/>
        </w:rPr>
        <w:t>满足</w:t>
      </w:r>
      <w:r>
        <w:rPr>
          <w:rFonts w:hAnsiTheme="minorEastAsia" w:eastAsiaTheme="minorEastAsia"/>
          <w:szCs w:val="24"/>
        </w:rPr>
        <w:t>《预应力混凝土用钢棒》</w:t>
      </w:r>
      <w:r>
        <w:rPr>
          <w:rFonts w:eastAsiaTheme="minorEastAsia"/>
          <w:szCs w:val="24"/>
        </w:rPr>
        <w:t>GBT 5223.3</w:t>
      </w:r>
      <w:r>
        <w:rPr>
          <w:rFonts w:hAnsiTheme="minorEastAsia" w:eastAsiaTheme="minorEastAsia"/>
          <w:szCs w:val="24"/>
        </w:rPr>
        <w:t>和设计</w:t>
      </w:r>
      <w:r>
        <w:rPr>
          <w:rFonts w:hint="eastAsia" w:hAnsiTheme="minorEastAsia" w:eastAsiaTheme="minorEastAsia"/>
          <w:szCs w:val="24"/>
        </w:rPr>
        <w:t>要求</w:t>
      </w:r>
      <w:r>
        <w:rPr>
          <w:rFonts w:hAnsiTheme="minorEastAsia" w:eastAsiaTheme="minorEastAsia"/>
          <w:szCs w:val="24"/>
        </w:rPr>
        <w:t>。</w:t>
      </w:r>
    </w:p>
    <w:p>
      <w:pPr>
        <w:autoSpaceDE w:val="0"/>
        <w:autoSpaceDN w:val="0"/>
        <w:adjustRightInd w:val="0"/>
        <w:jc w:val="left"/>
        <w:rPr>
          <w:rFonts w:ascii="宋体" w:cs="宋体"/>
          <w:kern w:val="0"/>
          <w:szCs w:val="24"/>
        </w:rPr>
      </w:pPr>
      <w:r>
        <w:rPr>
          <w:b/>
          <w:bCs/>
          <w:kern w:val="0"/>
          <w:szCs w:val="24"/>
        </w:rPr>
        <w:t>4.2.</w:t>
      </w:r>
      <w:r>
        <w:rPr>
          <w:rFonts w:hint="eastAsia"/>
          <w:b/>
          <w:bCs/>
          <w:kern w:val="0"/>
          <w:szCs w:val="24"/>
          <w:lang w:val="en-US" w:eastAsia="zh-CN"/>
        </w:rPr>
        <w:t>13</w:t>
      </w:r>
      <w:r>
        <w:rPr>
          <w:rFonts w:hint="eastAsia"/>
          <w:b/>
          <w:bCs/>
          <w:kern w:val="0"/>
          <w:szCs w:val="24"/>
        </w:rPr>
        <w:t xml:space="preserve">  </w:t>
      </w:r>
      <w:r>
        <w:rPr>
          <w:rFonts w:hint="eastAsia" w:ascii="宋体" w:cs="宋体"/>
          <w:kern w:val="0"/>
          <w:szCs w:val="24"/>
        </w:rPr>
        <w:t>预应力钢绞线进厂时，应按批抽取试件做破断负荷、屈服负荷、弹性模量、极限伸长率试验，其质量应满足</w:t>
      </w:r>
      <w:r>
        <w:rPr>
          <w:rFonts w:hint="eastAsia" w:ascii="宋体" w:cs="宋体"/>
          <w:kern w:val="0"/>
          <w:szCs w:val="24"/>
          <w:lang w:val="en-US" w:eastAsia="zh-CN"/>
        </w:rPr>
        <w:t>现行国家标准</w:t>
      </w:r>
      <w:r>
        <w:rPr>
          <w:rFonts w:hint="eastAsia" w:ascii="宋体" w:cs="宋体"/>
          <w:kern w:val="0"/>
          <w:szCs w:val="24"/>
        </w:rPr>
        <w:t>《预应力混凝土用钢绞线》GB/T 5224和设计要求。</w:t>
      </w:r>
    </w:p>
    <w:p>
      <w:pPr>
        <w:autoSpaceDE w:val="0"/>
        <w:autoSpaceDN w:val="0"/>
        <w:adjustRightInd w:val="0"/>
        <w:jc w:val="left"/>
        <w:rPr>
          <w:rFonts w:ascii="宋体" w:cs="宋体"/>
          <w:kern w:val="0"/>
          <w:szCs w:val="24"/>
        </w:rPr>
      </w:pPr>
      <w:r>
        <w:rPr>
          <w:b/>
          <w:bCs/>
          <w:kern w:val="0"/>
          <w:szCs w:val="24"/>
        </w:rPr>
        <w:t>4.2.</w:t>
      </w:r>
      <w:r>
        <w:rPr>
          <w:rFonts w:hint="eastAsia"/>
          <w:b/>
          <w:bCs/>
          <w:kern w:val="0"/>
          <w:szCs w:val="24"/>
          <w:lang w:val="en-US" w:eastAsia="zh-CN"/>
        </w:rPr>
        <w:t>14</w:t>
      </w:r>
      <w:r>
        <w:rPr>
          <w:b/>
          <w:bCs/>
          <w:kern w:val="0"/>
          <w:szCs w:val="24"/>
        </w:rPr>
        <w:t xml:space="preserve"> </w:t>
      </w:r>
      <w:r>
        <w:rPr>
          <w:rFonts w:hint="eastAsia"/>
          <w:b/>
          <w:bCs/>
          <w:kern w:val="0"/>
          <w:szCs w:val="24"/>
        </w:rPr>
        <w:t xml:space="preserve"> </w:t>
      </w:r>
      <w:r>
        <w:rPr>
          <w:rFonts w:hint="eastAsia" w:ascii="宋体" w:cs="宋体"/>
          <w:kern w:val="0"/>
          <w:szCs w:val="24"/>
        </w:rPr>
        <w:t>采用顶进施工技术的构件钢承口环钢板应根据设计要求选用。钢板的性能和技术要求应符合现行国家标准《碳素结构钢和低合金结构钢热轧厚钢板和钢带》</w:t>
      </w:r>
      <w:r>
        <w:rPr>
          <w:kern w:val="0"/>
          <w:szCs w:val="24"/>
        </w:rPr>
        <w:t>GB/T 3274</w:t>
      </w:r>
      <w:r>
        <w:rPr>
          <w:rFonts w:hint="eastAsia" w:ascii="宋体" w:cs="宋体"/>
          <w:kern w:val="0"/>
          <w:szCs w:val="24"/>
        </w:rPr>
        <w:t>和《碳素结构钢》</w:t>
      </w:r>
      <w:r>
        <w:rPr>
          <w:kern w:val="0"/>
          <w:szCs w:val="24"/>
        </w:rPr>
        <w:t>GB/T</w:t>
      </w:r>
      <w:r>
        <w:rPr>
          <w:rFonts w:hint="eastAsia"/>
          <w:kern w:val="0"/>
          <w:szCs w:val="24"/>
          <w:lang w:val="en-US" w:eastAsia="zh-CN"/>
        </w:rPr>
        <w:t xml:space="preserve"> </w:t>
      </w:r>
      <w:r>
        <w:rPr>
          <w:kern w:val="0"/>
          <w:szCs w:val="24"/>
        </w:rPr>
        <w:t>700</w:t>
      </w:r>
      <w:r>
        <w:rPr>
          <w:rFonts w:hint="eastAsia" w:ascii="宋体" w:cs="宋体"/>
          <w:kern w:val="0"/>
          <w:szCs w:val="24"/>
        </w:rPr>
        <w:t>的相关规定。</w:t>
      </w:r>
    </w:p>
    <w:p>
      <w:pPr>
        <w:rPr>
          <w:szCs w:val="21"/>
        </w:rPr>
      </w:pPr>
      <w:r>
        <w:rPr>
          <w:rFonts w:hint="eastAsia"/>
          <w:b/>
          <w:bCs/>
          <w:szCs w:val="21"/>
        </w:rPr>
        <w:t>4.2.</w:t>
      </w:r>
      <w:r>
        <w:rPr>
          <w:rFonts w:hint="eastAsia"/>
          <w:b/>
          <w:bCs/>
          <w:szCs w:val="21"/>
          <w:lang w:val="en-US" w:eastAsia="zh-CN"/>
        </w:rPr>
        <w:t>15</w:t>
      </w:r>
      <w:r>
        <w:rPr>
          <w:rFonts w:hint="eastAsia"/>
          <w:szCs w:val="21"/>
        </w:rPr>
        <w:t xml:space="preserve"> </w:t>
      </w:r>
      <w:r>
        <w:rPr>
          <w:szCs w:val="21"/>
        </w:rPr>
        <w:t xml:space="preserve"> </w:t>
      </w:r>
      <w:r>
        <w:rPr>
          <w:rFonts w:hint="eastAsia"/>
          <w:szCs w:val="21"/>
        </w:rPr>
        <w:t>预制构件的吊环应采用未经冷加工</w:t>
      </w:r>
      <w:r>
        <w:rPr>
          <w:rFonts w:hint="eastAsia"/>
          <w:szCs w:val="21"/>
          <w:lang w:eastAsia="zh-CN"/>
        </w:rPr>
        <w:t>的HPB300钢筋或Q235B圆钢</w:t>
      </w:r>
      <w:r>
        <w:rPr>
          <w:rFonts w:hint="eastAsia"/>
          <w:szCs w:val="21"/>
        </w:rPr>
        <w:t>制作</w:t>
      </w:r>
      <w:r>
        <w:rPr>
          <w:rFonts w:hint="eastAsia"/>
          <w:szCs w:val="21"/>
          <w:lang w:eastAsia="zh-CN"/>
        </w:rPr>
        <w:t>，并应进行专项设计</w:t>
      </w:r>
      <w:r>
        <w:rPr>
          <w:rFonts w:hint="eastAsia"/>
          <w:szCs w:val="21"/>
        </w:rPr>
        <w:t>。吊装用内埋式螺母或吊杆的材料应符合现行国家相关标准的规定。</w:t>
      </w:r>
    </w:p>
    <w:p>
      <w:pPr>
        <w:rPr>
          <w:rFonts w:hint="eastAsia" w:eastAsia="宋体"/>
          <w:szCs w:val="21"/>
          <w:lang w:eastAsia="zh-CN"/>
        </w:rPr>
      </w:pPr>
      <w:r>
        <w:rPr>
          <w:rFonts w:hint="eastAsia"/>
          <w:b/>
          <w:bCs/>
          <w:szCs w:val="21"/>
        </w:rPr>
        <w:t>4.2.</w:t>
      </w:r>
      <w:r>
        <w:rPr>
          <w:rFonts w:hint="eastAsia"/>
          <w:b/>
          <w:bCs/>
          <w:szCs w:val="21"/>
          <w:lang w:val="en-US" w:eastAsia="zh-CN"/>
        </w:rPr>
        <w:t>16</w:t>
      </w:r>
      <w:r>
        <w:rPr>
          <w:rFonts w:hint="eastAsia"/>
          <w:szCs w:val="21"/>
        </w:rPr>
        <w:t xml:space="preserve"> </w:t>
      </w:r>
      <w:r>
        <w:rPr>
          <w:szCs w:val="21"/>
        </w:rPr>
        <w:t xml:space="preserve"> </w:t>
      </w:r>
      <w:r>
        <w:rPr>
          <w:rFonts w:hint="eastAsia"/>
          <w:szCs w:val="21"/>
        </w:rPr>
        <w:t>受力预埋件的锚板及锚筋材料应符合现行国家标准《混凝土结构</w:t>
      </w:r>
      <w:r>
        <w:rPr>
          <w:rFonts w:hint="eastAsia"/>
          <w:szCs w:val="21"/>
          <w:lang w:val="en-US" w:eastAsia="zh-CN"/>
        </w:rPr>
        <w:t>工程施工质量验收</w:t>
      </w:r>
      <w:r>
        <w:rPr>
          <w:rFonts w:hint="eastAsia"/>
          <w:szCs w:val="21"/>
        </w:rPr>
        <w:t>规范》GB 50</w:t>
      </w:r>
      <w:r>
        <w:rPr>
          <w:rFonts w:hint="eastAsia"/>
          <w:szCs w:val="21"/>
          <w:lang w:val="en-US" w:eastAsia="zh-CN"/>
        </w:rPr>
        <w:t>204</w:t>
      </w:r>
      <w:r>
        <w:rPr>
          <w:rFonts w:hint="eastAsia"/>
          <w:szCs w:val="21"/>
        </w:rPr>
        <w:t>的有关规定。预埋件表面应进行热浸镀锌或环氧富锌漆处理</w:t>
      </w:r>
      <w:r>
        <w:rPr>
          <w:rFonts w:hint="eastAsia"/>
          <w:szCs w:val="21"/>
          <w:lang w:eastAsia="zh-CN"/>
        </w:rPr>
        <w:t>。</w:t>
      </w:r>
    </w:p>
    <w:p>
      <w:pPr>
        <w:rPr>
          <w:szCs w:val="21"/>
        </w:rPr>
      </w:pPr>
      <w:r>
        <w:rPr>
          <w:rFonts w:hint="eastAsia"/>
          <w:b/>
          <w:bCs/>
          <w:szCs w:val="21"/>
        </w:rPr>
        <w:t>4.2.</w:t>
      </w:r>
      <w:r>
        <w:rPr>
          <w:rFonts w:hint="eastAsia"/>
          <w:b/>
          <w:bCs/>
          <w:szCs w:val="21"/>
          <w:lang w:val="en-US" w:eastAsia="zh-CN"/>
        </w:rPr>
        <w:t>17</w:t>
      </w:r>
      <w:r>
        <w:rPr>
          <w:rFonts w:hint="eastAsia"/>
          <w:szCs w:val="21"/>
        </w:rPr>
        <w:t xml:space="preserve"> </w:t>
      </w:r>
      <w:r>
        <w:rPr>
          <w:szCs w:val="21"/>
        </w:rPr>
        <w:t xml:space="preserve"> </w:t>
      </w:r>
      <w:r>
        <w:rPr>
          <w:rFonts w:hint="eastAsia"/>
          <w:szCs w:val="21"/>
        </w:rPr>
        <w:t>连接用焊接材料，螺栓、锚栓和铆钉等紧固件的材料应分别符合国家现行标准《钢结构焊接规范》GB 50661和《钢筋焊接及验收规程》JGJ 18等的有关规定。</w:t>
      </w:r>
    </w:p>
    <w:p>
      <w:pPr>
        <w:autoSpaceDE w:val="0"/>
        <w:autoSpaceDN w:val="0"/>
        <w:adjustRightInd w:val="0"/>
        <w:jc w:val="left"/>
        <w:rPr>
          <w:rFonts w:ascii="宋体" w:cs="宋体"/>
          <w:kern w:val="0"/>
          <w:szCs w:val="24"/>
        </w:rPr>
      </w:pPr>
    </w:p>
    <w:p>
      <w:pPr>
        <w:pStyle w:val="3"/>
        <w:rPr>
          <w:rFonts w:hint="eastAsia" w:eastAsia="宋体"/>
          <w:lang w:val="en-US" w:eastAsia="zh-CN"/>
        </w:rPr>
      </w:pPr>
      <w:bookmarkStart w:id="120" w:name="_Toc512"/>
      <w:bookmarkStart w:id="121" w:name="_Toc28550"/>
      <w:bookmarkStart w:id="122" w:name="_Toc15112"/>
      <w:bookmarkStart w:id="123" w:name="_Toc15615"/>
      <w:bookmarkStart w:id="124" w:name="_Toc5167"/>
      <w:bookmarkStart w:id="125" w:name="_Toc16132"/>
      <w:r>
        <w:t>4.3</w:t>
      </w:r>
      <w:r>
        <w:rPr>
          <w:rFonts w:hint="eastAsia"/>
        </w:rPr>
        <w:t xml:space="preserve"> </w:t>
      </w:r>
      <w:r>
        <w:t xml:space="preserve"> 模具</w:t>
      </w:r>
      <w:bookmarkEnd w:id="120"/>
      <w:bookmarkEnd w:id="121"/>
      <w:r>
        <w:rPr>
          <w:rFonts w:hint="eastAsia"/>
          <w:lang w:val="en-US" w:eastAsia="zh-CN"/>
        </w:rPr>
        <w:t>安装</w:t>
      </w:r>
      <w:bookmarkEnd w:id="122"/>
      <w:bookmarkEnd w:id="123"/>
      <w:bookmarkEnd w:id="124"/>
      <w:bookmarkEnd w:id="125"/>
    </w:p>
    <w:p>
      <w:pPr>
        <w:spacing w:before="378"/>
        <w:rPr>
          <w:rFonts w:cs="宋体"/>
          <w:color w:val="000000"/>
          <w:szCs w:val="24"/>
        </w:rPr>
      </w:pPr>
      <w:r>
        <w:rPr>
          <w:b/>
          <w:color w:val="000000"/>
          <w:szCs w:val="24"/>
        </w:rPr>
        <w:t xml:space="preserve">4.3.1  </w:t>
      </w:r>
      <w:r>
        <w:rPr>
          <w:rFonts w:cs="宋体"/>
          <w:color w:val="000000"/>
          <w:szCs w:val="24"/>
        </w:rPr>
        <w:t>模具</w:t>
      </w:r>
      <w:r>
        <w:rPr>
          <w:rFonts w:hint="eastAsia" w:cs="宋体"/>
          <w:color w:val="000000"/>
          <w:szCs w:val="24"/>
        </w:rPr>
        <w:t>宜</w:t>
      </w:r>
      <w:r>
        <w:rPr>
          <w:rFonts w:cs="宋体"/>
          <w:color w:val="000000"/>
          <w:szCs w:val="24"/>
        </w:rPr>
        <w:t>采用钢模。模具表面应光滑，不能有划痕、生锈、氧化层脱落等现象。</w:t>
      </w:r>
    </w:p>
    <w:p>
      <w:pPr>
        <w:spacing w:before="84"/>
        <w:rPr>
          <w:color w:val="000000"/>
          <w:szCs w:val="24"/>
        </w:rPr>
      </w:pPr>
      <w:r>
        <w:rPr>
          <w:b/>
          <w:color w:val="000000"/>
          <w:szCs w:val="24"/>
        </w:rPr>
        <w:t xml:space="preserve">4.3.2  </w:t>
      </w:r>
      <w:r>
        <w:rPr>
          <w:rFonts w:hint="eastAsia" w:cs="宋体"/>
          <w:color w:val="000000"/>
          <w:szCs w:val="24"/>
        </w:rPr>
        <w:t>模具构造应满足混凝土浇筑、脱模、翻转、起吊时的刚度和稳定性要求。</w:t>
      </w:r>
    </w:p>
    <w:p>
      <w:pPr>
        <w:spacing w:before="84"/>
        <w:rPr>
          <w:color w:val="000000"/>
          <w:szCs w:val="24"/>
        </w:rPr>
      </w:pPr>
      <w:r>
        <w:rPr>
          <w:b/>
          <w:color w:val="000000"/>
          <w:szCs w:val="24"/>
        </w:rPr>
        <w:t>4.3.3</w:t>
      </w:r>
      <w:r>
        <w:rPr>
          <w:b/>
          <w:color w:val="000000"/>
          <w:spacing w:val="51"/>
          <w:szCs w:val="24"/>
        </w:rPr>
        <w:t xml:space="preserve"> </w:t>
      </w:r>
      <w:r>
        <w:rPr>
          <w:rFonts w:cs="宋体"/>
          <w:color w:val="000000"/>
          <w:spacing w:val="-3"/>
          <w:szCs w:val="24"/>
        </w:rPr>
        <w:t>模具应规格化、标准化、定型化，便于组装成多种尺寸形状。</w:t>
      </w:r>
    </w:p>
    <w:p>
      <w:pPr>
        <w:spacing w:before="68"/>
        <w:rPr>
          <w:color w:val="000000"/>
          <w:szCs w:val="24"/>
        </w:rPr>
      </w:pPr>
      <w:r>
        <w:rPr>
          <w:b/>
          <w:color w:val="000000"/>
          <w:szCs w:val="24"/>
        </w:rPr>
        <w:t>4.3.4</w:t>
      </w:r>
      <w:r>
        <w:rPr>
          <w:b/>
          <w:color w:val="000000"/>
          <w:spacing w:val="51"/>
          <w:szCs w:val="24"/>
        </w:rPr>
        <w:t xml:space="preserve"> </w:t>
      </w:r>
      <w:r>
        <w:rPr>
          <w:rFonts w:cs="宋体"/>
          <w:color w:val="000000"/>
          <w:szCs w:val="24"/>
        </w:rPr>
        <w:t>预制构件模具安装</w:t>
      </w:r>
      <w:r>
        <w:rPr>
          <w:rFonts w:hint="eastAsia" w:cs="宋体"/>
          <w:color w:val="000000"/>
          <w:szCs w:val="24"/>
          <w:lang w:val="en-US" w:eastAsia="zh-CN"/>
        </w:rPr>
        <w:t>前</w:t>
      </w:r>
      <w:r>
        <w:rPr>
          <w:rFonts w:cs="宋体"/>
          <w:color w:val="000000"/>
          <w:szCs w:val="24"/>
        </w:rPr>
        <w:t>应</w:t>
      </w:r>
      <w:r>
        <w:rPr>
          <w:rFonts w:hint="eastAsia" w:cs="宋体"/>
          <w:color w:val="000000"/>
          <w:szCs w:val="24"/>
          <w:lang w:val="en-US" w:eastAsia="zh-CN"/>
        </w:rPr>
        <w:t>做好下列准备工作</w:t>
      </w:r>
      <w:r>
        <w:rPr>
          <w:rFonts w:cs="宋体"/>
          <w:color w:val="000000"/>
          <w:szCs w:val="24"/>
        </w:rPr>
        <w:t>：</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rFonts w:cs="宋体"/>
          <w:bCs/>
          <w:color w:val="000000"/>
          <w:szCs w:val="24"/>
          <w:highlight w:val="none"/>
        </w:rPr>
      </w:pPr>
      <w:r>
        <w:rPr>
          <w:bCs/>
          <w:color w:val="000000"/>
          <w:szCs w:val="24"/>
          <w:highlight w:val="none"/>
        </w:rPr>
        <w:t xml:space="preserve">1  </w:t>
      </w:r>
      <w:r>
        <w:rPr>
          <w:rFonts w:cs="宋体"/>
          <w:bCs/>
          <w:color w:val="000000"/>
          <w:spacing w:val="-3"/>
          <w:szCs w:val="24"/>
          <w:highlight w:val="none"/>
        </w:rPr>
        <w:t>安装前</w:t>
      </w:r>
      <w:r>
        <w:rPr>
          <w:rFonts w:hint="eastAsia" w:cs="宋体"/>
          <w:bCs/>
          <w:color w:val="000000"/>
          <w:spacing w:val="-3"/>
          <w:szCs w:val="24"/>
          <w:highlight w:val="none"/>
        </w:rPr>
        <w:t>应</w:t>
      </w:r>
      <w:r>
        <w:rPr>
          <w:rFonts w:cs="宋体"/>
          <w:bCs/>
          <w:color w:val="000000"/>
          <w:spacing w:val="-3"/>
          <w:szCs w:val="24"/>
          <w:highlight w:val="none"/>
        </w:rPr>
        <w:t>进行清理，模具内表面清理时</w:t>
      </w:r>
      <w:r>
        <w:rPr>
          <w:rFonts w:hint="eastAsia" w:cs="宋体"/>
          <w:bCs/>
          <w:color w:val="000000"/>
          <w:spacing w:val="-3"/>
          <w:szCs w:val="24"/>
          <w:highlight w:val="none"/>
          <w:lang w:eastAsia="zh-CN"/>
        </w:rPr>
        <w:t>不应</w:t>
      </w:r>
      <w:r>
        <w:rPr>
          <w:rFonts w:cs="宋体"/>
          <w:bCs/>
          <w:color w:val="000000"/>
          <w:spacing w:val="-3"/>
          <w:szCs w:val="24"/>
          <w:highlight w:val="none"/>
        </w:rPr>
        <w:t>使用铁器</w:t>
      </w:r>
      <w:r>
        <w:rPr>
          <w:rFonts w:cs="宋体"/>
          <w:bCs/>
          <w:color w:val="000000"/>
          <w:szCs w:val="24"/>
          <w:highlight w:val="none"/>
        </w:rPr>
        <w:t>清刮，清理后的模具内表面的任何部位</w:t>
      </w:r>
      <w:r>
        <w:rPr>
          <w:rFonts w:hint="eastAsia" w:cs="宋体"/>
          <w:bCs/>
          <w:color w:val="000000"/>
          <w:szCs w:val="24"/>
          <w:highlight w:val="none"/>
          <w:lang w:eastAsia="zh-CN"/>
        </w:rPr>
        <w:t>不应</w:t>
      </w:r>
      <w:r>
        <w:rPr>
          <w:rFonts w:cs="宋体"/>
          <w:bCs/>
          <w:color w:val="000000"/>
          <w:szCs w:val="24"/>
          <w:highlight w:val="none"/>
        </w:rPr>
        <w:t>有残留杂物；</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rFonts w:hint="eastAsia" w:eastAsia="宋体"/>
          <w:color w:val="000000"/>
          <w:szCs w:val="24"/>
          <w:highlight w:val="none"/>
          <w:lang w:eastAsia="zh-CN"/>
        </w:rPr>
      </w:pPr>
      <w:r>
        <w:rPr>
          <w:rFonts w:hint="eastAsia"/>
          <w:bCs/>
          <w:color w:val="000000"/>
          <w:szCs w:val="24"/>
          <w:highlight w:val="none"/>
          <w:lang w:val="en-US" w:eastAsia="zh-CN"/>
        </w:rPr>
        <w:t>2</w:t>
      </w:r>
      <w:r>
        <w:rPr>
          <w:b/>
          <w:color w:val="000000"/>
          <w:spacing w:val="54"/>
          <w:szCs w:val="24"/>
          <w:highlight w:val="none"/>
        </w:rPr>
        <w:t xml:space="preserve"> </w:t>
      </w:r>
      <w:r>
        <w:rPr>
          <w:rFonts w:cs="宋体"/>
          <w:color w:val="000000"/>
          <w:spacing w:val="-3"/>
          <w:szCs w:val="24"/>
          <w:highlight w:val="none"/>
        </w:rPr>
        <w:t>脱模剂应选用质量稳定、适于喷涂、脱模效果好的水性脱模</w:t>
      </w:r>
      <w:r>
        <w:rPr>
          <w:rFonts w:cs="宋体"/>
          <w:color w:val="000000"/>
          <w:szCs w:val="24"/>
          <w:highlight w:val="none"/>
        </w:rPr>
        <w:t>剂，并应具有改善混凝土构件表观质量效果的功能</w:t>
      </w:r>
      <w:r>
        <w:rPr>
          <w:rFonts w:hint="eastAsia" w:cs="宋体"/>
          <w:color w:val="000000"/>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rFonts w:cs="宋体"/>
          <w:bCs/>
          <w:color w:val="000000"/>
          <w:szCs w:val="24"/>
        </w:rPr>
      </w:pPr>
      <w:r>
        <w:rPr>
          <w:rFonts w:hint="eastAsia"/>
          <w:bCs/>
          <w:color w:val="000000"/>
          <w:szCs w:val="24"/>
          <w:highlight w:val="none"/>
          <w:lang w:val="en-US" w:eastAsia="zh-CN"/>
        </w:rPr>
        <w:t>3</w:t>
      </w:r>
      <w:r>
        <w:rPr>
          <w:bCs/>
          <w:color w:val="000000"/>
          <w:spacing w:val="54"/>
          <w:szCs w:val="24"/>
          <w:highlight w:val="none"/>
        </w:rPr>
        <w:t xml:space="preserve"> </w:t>
      </w:r>
      <w:r>
        <w:rPr>
          <w:rFonts w:cs="宋体"/>
          <w:bCs/>
          <w:color w:val="000000"/>
          <w:spacing w:val="-7"/>
          <w:szCs w:val="24"/>
          <w:highlight w:val="none"/>
        </w:rPr>
        <w:t>模具验收合格后</w:t>
      </w:r>
      <w:r>
        <w:rPr>
          <w:rFonts w:hint="eastAsia" w:cs="宋体"/>
          <w:bCs/>
          <w:color w:val="000000"/>
          <w:spacing w:val="-7"/>
          <w:szCs w:val="24"/>
          <w:highlight w:val="none"/>
          <w:lang w:eastAsia="zh-CN"/>
        </w:rPr>
        <w:t>，</w:t>
      </w:r>
      <w:r>
        <w:rPr>
          <w:rFonts w:cs="宋体"/>
          <w:bCs/>
          <w:color w:val="000000"/>
          <w:spacing w:val="-7"/>
          <w:szCs w:val="24"/>
          <w:highlight w:val="none"/>
        </w:rPr>
        <w:t>模具</w:t>
      </w:r>
      <w:r>
        <w:rPr>
          <w:rFonts w:hint="eastAsia" w:cs="宋体"/>
          <w:bCs/>
          <w:color w:val="000000"/>
          <w:spacing w:val="-7"/>
          <w:szCs w:val="24"/>
          <w:highlight w:val="none"/>
          <w:lang w:val="en-US" w:eastAsia="zh-CN"/>
        </w:rPr>
        <w:t>表</w:t>
      </w:r>
      <w:r>
        <w:rPr>
          <w:rFonts w:cs="宋体"/>
          <w:bCs/>
          <w:color w:val="000000"/>
          <w:spacing w:val="-7"/>
          <w:szCs w:val="24"/>
          <w:highlight w:val="none"/>
        </w:rPr>
        <w:t>面</w:t>
      </w:r>
      <w:r>
        <w:rPr>
          <w:rFonts w:hint="eastAsia" w:cs="宋体"/>
          <w:bCs/>
          <w:color w:val="000000"/>
          <w:spacing w:val="-7"/>
          <w:szCs w:val="24"/>
          <w:highlight w:val="none"/>
          <w:lang w:val="en-US" w:eastAsia="zh-CN"/>
        </w:rPr>
        <w:t>应</w:t>
      </w:r>
      <w:r>
        <w:rPr>
          <w:rFonts w:cs="宋体"/>
          <w:bCs/>
          <w:color w:val="000000"/>
          <w:spacing w:val="-7"/>
          <w:szCs w:val="24"/>
          <w:highlight w:val="none"/>
        </w:rPr>
        <w:t>均匀涂刷脱模剂，</w:t>
      </w:r>
      <w:r>
        <w:rPr>
          <w:rFonts w:hint="eastAsia" w:cs="宋体"/>
          <w:bCs/>
          <w:color w:val="000000"/>
          <w:spacing w:val="-7"/>
          <w:szCs w:val="24"/>
          <w:highlight w:val="none"/>
          <w:lang w:eastAsia="zh-CN"/>
        </w:rPr>
        <w:t>不应</w:t>
      </w:r>
      <w:r>
        <w:rPr>
          <w:rFonts w:cs="宋体"/>
          <w:bCs/>
          <w:color w:val="000000"/>
          <w:spacing w:val="-7"/>
          <w:szCs w:val="24"/>
          <w:highlight w:val="none"/>
        </w:rPr>
        <w:t>有漏涂、积聚、</w:t>
      </w:r>
      <w:r>
        <w:rPr>
          <w:rFonts w:cs="宋体"/>
          <w:bCs/>
          <w:color w:val="000000"/>
          <w:szCs w:val="24"/>
          <w:highlight w:val="none"/>
        </w:rPr>
        <w:t>流淌的现象；钢筋、预埋件</w:t>
      </w:r>
      <w:r>
        <w:rPr>
          <w:rFonts w:hint="eastAsia" w:cs="宋体"/>
          <w:bCs/>
          <w:color w:val="000000"/>
          <w:szCs w:val="24"/>
          <w:highlight w:val="none"/>
          <w:lang w:eastAsia="zh-CN"/>
        </w:rPr>
        <w:t>不应</w:t>
      </w:r>
      <w:r>
        <w:rPr>
          <w:rFonts w:cs="宋体"/>
          <w:bCs/>
          <w:color w:val="000000"/>
          <w:szCs w:val="24"/>
          <w:highlight w:val="none"/>
        </w:rPr>
        <w:t>沾有脱模剂；</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rFonts w:hint="eastAsia" w:eastAsia="宋体" w:cs="宋体"/>
          <w:bCs/>
          <w:color w:val="000000"/>
          <w:szCs w:val="24"/>
          <w:lang w:val="en-US" w:eastAsia="zh-CN"/>
        </w:rPr>
      </w:pPr>
      <w:r>
        <w:rPr>
          <w:rFonts w:hint="eastAsia"/>
          <w:bCs/>
          <w:color w:val="000000"/>
          <w:szCs w:val="24"/>
          <w:lang w:val="en-US" w:eastAsia="zh-CN"/>
        </w:rPr>
        <w:t>4</w:t>
      </w:r>
      <w:r>
        <w:rPr>
          <w:bCs/>
          <w:color w:val="000000"/>
          <w:spacing w:val="54"/>
          <w:szCs w:val="24"/>
        </w:rPr>
        <w:t xml:space="preserve"> </w:t>
      </w:r>
      <w:r>
        <w:rPr>
          <w:rFonts w:cs="宋体"/>
          <w:bCs/>
          <w:color w:val="000000"/>
          <w:spacing w:val="-3"/>
          <w:szCs w:val="24"/>
        </w:rPr>
        <w:t>固定在模具上的预埋件、预留孔应位置准确、安装牢固，</w:t>
      </w:r>
      <w:r>
        <w:rPr>
          <w:rFonts w:hint="eastAsia" w:cs="宋体"/>
          <w:bCs/>
          <w:color w:val="000000"/>
          <w:spacing w:val="-3"/>
          <w:szCs w:val="24"/>
          <w:lang w:val="en-US" w:eastAsia="zh-CN"/>
        </w:rPr>
        <w:t>不应</w:t>
      </w:r>
      <w:r>
        <w:rPr>
          <w:rFonts w:cs="宋体"/>
          <w:bCs/>
          <w:color w:val="000000"/>
          <w:szCs w:val="24"/>
        </w:rPr>
        <w:t>遗漏</w:t>
      </w:r>
      <w:r>
        <w:rPr>
          <w:rFonts w:hint="eastAsia" w:cs="宋体"/>
          <w:bCs/>
          <w:color w:val="000000"/>
          <w:szCs w:val="24"/>
          <w:lang w:eastAsia="zh-CN"/>
        </w:rPr>
        <w:t>。</w:t>
      </w:r>
    </w:p>
    <w:p>
      <w:pPr>
        <w:spacing w:before="68"/>
        <w:rPr>
          <w:rFonts w:hint="default" w:cs="宋体"/>
          <w:bCs/>
          <w:color w:val="000000"/>
          <w:szCs w:val="24"/>
          <w:lang w:val="en-US"/>
        </w:rPr>
      </w:pPr>
      <w:r>
        <w:rPr>
          <w:rFonts w:hint="eastAsia" w:cs="宋体"/>
          <w:b/>
          <w:bCs/>
          <w:color w:val="000000"/>
          <w:szCs w:val="24"/>
          <w:lang w:val="en-US" w:eastAsia="zh-CN"/>
        </w:rPr>
        <w:t xml:space="preserve">4.3.5 </w:t>
      </w:r>
      <w:r>
        <w:rPr>
          <w:rFonts w:hint="eastAsia" w:cs="宋体"/>
          <w:color w:val="000000"/>
          <w:szCs w:val="24"/>
          <w:lang w:val="en-US" w:eastAsia="zh-CN"/>
        </w:rPr>
        <w:t xml:space="preserve"> </w:t>
      </w:r>
      <w:r>
        <w:rPr>
          <w:rFonts w:cs="宋体"/>
          <w:color w:val="000000"/>
          <w:szCs w:val="24"/>
        </w:rPr>
        <w:t>预制构件模具安装应</w:t>
      </w:r>
      <w:r>
        <w:rPr>
          <w:rFonts w:hint="eastAsia" w:cs="宋体"/>
          <w:color w:val="000000"/>
          <w:szCs w:val="24"/>
          <w:lang w:val="en-US" w:eastAsia="zh-CN"/>
        </w:rPr>
        <w:t>符合下列规定：</w:t>
      </w:r>
    </w:p>
    <w:p>
      <w:pPr>
        <w:spacing w:before="84"/>
        <w:ind w:left="422"/>
        <w:rPr>
          <w:bCs/>
          <w:color w:val="000000"/>
          <w:szCs w:val="24"/>
        </w:rPr>
      </w:pPr>
      <w:r>
        <w:rPr>
          <w:rFonts w:hint="eastAsia"/>
          <w:bCs/>
          <w:color w:val="000000"/>
          <w:szCs w:val="24"/>
          <w:lang w:val="en-US" w:eastAsia="zh-CN"/>
        </w:rPr>
        <w:t>1</w:t>
      </w:r>
      <w:r>
        <w:rPr>
          <w:bCs/>
          <w:color w:val="000000"/>
          <w:szCs w:val="24"/>
        </w:rPr>
        <w:t xml:space="preserve">  </w:t>
      </w:r>
      <w:r>
        <w:rPr>
          <w:rFonts w:cs="宋体"/>
          <w:bCs/>
          <w:color w:val="000000"/>
          <w:szCs w:val="24"/>
        </w:rPr>
        <w:t>应按模具安装方案要求的顺序进行；</w:t>
      </w:r>
    </w:p>
    <w:p>
      <w:pPr>
        <w:spacing w:before="84"/>
        <w:ind w:left="422"/>
        <w:rPr>
          <w:bCs/>
          <w:color w:val="000000"/>
          <w:szCs w:val="24"/>
        </w:rPr>
      </w:pPr>
      <w:r>
        <w:rPr>
          <w:rFonts w:hint="eastAsia"/>
          <w:bCs/>
          <w:color w:val="000000"/>
          <w:szCs w:val="24"/>
          <w:lang w:val="en-US" w:eastAsia="zh-CN"/>
        </w:rPr>
        <w:t>2</w:t>
      </w:r>
      <w:r>
        <w:rPr>
          <w:bCs/>
          <w:color w:val="000000"/>
          <w:spacing w:val="54"/>
          <w:szCs w:val="24"/>
        </w:rPr>
        <w:t xml:space="preserve"> </w:t>
      </w:r>
      <w:r>
        <w:rPr>
          <w:rFonts w:cs="宋体"/>
          <w:bCs/>
          <w:color w:val="000000"/>
          <w:spacing w:val="-3"/>
          <w:szCs w:val="24"/>
        </w:rPr>
        <w:t>模</w:t>
      </w:r>
      <w:r>
        <w:rPr>
          <w:rFonts w:hint="eastAsia" w:cs="宋体"/>
          <w:bCs/>
          <w:color w:val="000000"/>
          <w:spacing w:val="-3"/>
          <w:szCs w:val="24"/>
          <w:lang w:val="en-US" w:eastAsia="zh-CN"/>
        </w:rPr>
        <w:t>具</w:t>
      </w:r>
      <w:r>
        <w:rPr>
          <w:rFonts w:cs="宋体"/>
          <w:bCs/>
          <w:color w:val="000000"/>
          <w:spacing w:val="-3"/>
          <w:szCs w:val="24"/>
        </w:rPr>
        <w:t>安装时</w:t>
      </w:r>
      <w:r>
        <w:rPr>
          <w:rFonts w:hint="eastAsia" w:cs="宋体"/>
          <w:bCs/>
          <w:color w:val="000000"/>
          <w:spacing w:val="-3"/>
          <w:szCs w:val="24"/>
        </w:rPr>
        <w:t>应</w:t>
      </w:r>
      <w:r>
        <w:rPr>
          <w:rFonts w:cs="宋体"/>
          <w:bCs/>
          <w:color w:val="000000"/>
          <w:spacing w:val="-3"/>
          <w:szCs w:val="24"/>
        </w:rPr>
        <w:t>旋紧螺栓，并拧紧至牢固，避免在浇筑过程中</w:t>
      </w:r>
      <w:r>
        <w:rPr>
          <w:rFonts w:cs="宋体"/>
          <w:bCs/>
          <w:color w:val="000000"/>
          <w:szCs w:val="24"/>
        </w:rPr>
        <w:t>产生弯曲、歪斜；</w:t>
      </w:r>
    </w:p>
    <w:p>
      <w:pPr>
        <w:spacing w:before="84"/>
        <w:ind w:left="422"/>
        <w:rPr>
          <w:rFonts w:hint="eastAsia" w:eastAsia="宋体"/>
          <w:bCs/>
          <w:color w:val="000000"/>
          <w:szCs w:val="24"/>
          <w:lang w:val="en-US" w:eastAsia="zh-CN"/>
        </w:rPr>
      </w:pPr>
      <w:r>
        <w:rPr>
          <w:rFonts w:hint="eastAsia"/>
          <w:bCs/>
          <w:color w:val="000000"/>
          <w:szCs w:val="24"/>
          <w:lang w:val="en-US" w:eastAsia="zh-CN"/>
        </w:rPr>
        <w:t>3</w:t>
      </w:r>
      <w:r>
        <w:rPr>
          <w:bCs/>
          <w:color w:val="000000"/>
          <w:spacing w:val="54"/>
          <w:szCs w:val="24"/>
        </w:rPr>
        <w:t xml:space="preserve"> </w:t>
      </w:r>
      <w:r>
        <w:rPr>
          <w:rFonts w:cs="宋体"/>
          <w:bCs/>
          <w:color w:val="000000"/>
          <w:szCs w:val="24"/>
        </w:rPr>
        <w:t>模具安装后</w:t>
      </w:r>
      <w:r>
        <w:rPr>
          <w:rFonts w:hint="eastAsia" w:cs="宋体"/>
          <w:bCs/>
          <w:color w:val="000000"/>
          <w:szCs w:val="24"/>
          <w:lang w:eastAsia="zh-CN"/>
        </w:rPr>
        <w:t>，</w:t>
      </w:r>
      <w:r>
        <w:rPr>
          <w:rFonts w:cs="宋体"/>
          <w:bCs/>
          <w:color w:val="000000"/>
          <w:szCs w:val="24"/>
        </w:rPr>
        <w:t>相关人员应进行质量检验</w:t>
      </w:r>
      <w:r>
        <w:rPr>
          <w:rFonts w:hint="eastAsia" w:cs="宋体"/>
          <w:bCs/>
          <w:color w:val="000000"/>
          <w:szCs w:val="24"/>
          <w:lang w:eastAsia="zh-CN"/>
        </w:rPr>
        <w:t>。</w:t>
      </w:r>
    </w:p>
    <w:p>
      <w:pPr>
        <w:pStyle w:val="3"/>
        <w:rPr>
          <w:rFonts w:hint="eastAsia" w:eastAsia="宋体"/>
          <w:lang w:eastAsia="zh-CN"/>
        </w:rPr>
      </w:pPr>
      <w:bookmarkStart w:id="126" w:name="_Toc20584"/>
      <w:bookmarkStart w:id="127" w:name="_Toc3287"/>
      <w:bookmarkStart w:id="128" w:name="_Toc17086"/>
      <w:bookmarkStart w:id="129" w:name="_Toc2223"/>
      <w:bookmarkStart w:id="130" w:name="_Toc23564"/>
      <w:bookmarkStart w:id="131" w:name="_Toc23234"/>
      <w:r>
        <w:t xml:space="preserve">4.4 </w:t>
      </w:r>
      <w:r>
        <w:rPr>
          <w:rFonts w:hint="eastAsia"/>
        </w:rPr>
        <w:t xml:space="preserve"> </w:t>
      </w:r>
      <w:r>
        <w:t>钢筋</w:t>
      </w:r>
      <w:bookmarkEnd w:id="126"/>
      <w:bookmarkEnd w:id="127"/>
      <w:r>
        <w:rPr>
          <w:rFonts w:hint="eastAsia"/>
          <w:lang w:val="en-US" w:eastAsia="zh-CN"/>
        </w:rPr>
        <w:t>安装</w:t>
      </w:r>
      <w:bookmarkEnd w:id="128"/>
      <w:bookmarkEnd w:id="129"/>
      <w:bookmarkEnd w:id="130"/>
      <w:bookmarkEnd w:id="131"/>
    </w:p>
    <w:p>
      <w:pPr>
        <w:rPr>
          <w:szCs w:val="21"/>
        </w:rPr>
      </w:pPr>
      <w:r>
        <w:rPr>
          <w:rFonts w:hint="eastAsia"/>
          <w:b/>
          <w:bCs/>
          <w:szCs w:val="21"/>
        </w:rPr>
        <w:t>4.4.1</w:t>
      </w:r>
      <w:r>
        <w:rPr>
          <w:rFonts w:hint="eastAsia"/>
          <w:szCs w:val="21"/>
        </w:rPr>
        <w:t xml:space="preserve"> </w:t>
      </w:r>
      <w:r>
        <w:rPr>
          <w:szCs w:val="21"/>
        </w:rPr>
        <w:t xml:space="preserve"> </w:t>
      </w:r>
      <w:r>
        <w:rPr>
          <w:rFonts w:hint="eastAsia"/>
          <w:szCs w:val="21"/>
        </w:rPr>
        <w:t>钢筋</w:t>
      </w:r>
      <w:r>
        <w:rPr>
          <w:rFonts w:hint="eastAsia"/>
          <w:szCs w:val="21"/>
          <w:lang w:val="en-US" w:eastAsia="zh-CN"/>
        </w:rPr>
        <w:t>加工应</w:t>
      </w:r>
      <w:r>
        <w:rPr>
          <w:rFonts w:hint="eastAsia"/>
          <w:szCs w:val="21"/>
        </w:rPr>
        <w:t>采用自动化</w:t>
      </w:r>
      <w:r>
        <w:rPr>
          <w:rFonts w:hint="eastAsia"/>
          <w:szCs w:val="21"/>
          <w:lang w:val="en-US" w:eastAsia="zh-CN"/>
        </w:rPr>
        <w:t>钢筋</w:t>
      </w:r>
      <w:r>
        <w:rPr>
          <w:rFonts w:hint="eastAsia"/>
          <w:szCs w:val="21"/>
        </w:rPr>
        <w:t>加工设备，</w:t>
      </w:r>
      <w:r>
        <w:rPr>
          <w:rFonts w:hint="eastAsia"/>
          <w:szCs w:val="21"/>
          <w:lang w:val="en-US" w:eastAsia="zh-CN"/>
        </w:rPr>
        <w:t>钢筋加工</w:t>
      </w:r>
      <w:r>
        <w:rPr>
          <w:rFonts w:hint="eastAsia"/>
          <w:szCs w:val="21"/>
        </w:rPr>
        <w:t>应符合现行国家标准《混凝土结构工程施工规范》GB 50666的有关规定。</w:t>
      </w:r>
    </w:p>
    <w:p>
      <w:pPr>
        <w:spacing w:before="0"/>
        <w:rPr>
          <w:rFonts w:hint="default" w:eastAsia="宋体"/>
          <w:b w:val="0"/>
          <w:bCs/>
          <w:color w:val="000000"/>
          <w:szCs w:val="24"/>
          <w:lang w:val="en-US" w:eastAsia="zh-CN"/>
        </w:rPr>
      </w:pPr>
      <w:r>
        <w:rPr>
          <w:rFonts w:hint="eastAsia"/>
          <w:b/>
          <w:color w:val="000000"/>
          <w:szCs w:val="24"/>
          <w:lang w:val="en-US" w:eastAsia="zh-CN"/>
        </w:rPr>
        <w:t xml:space="preserve">4.4.2  </w:t>
      </w:r>
      <w:r>
        <w:rPr>
          <w:rFonts w:hint="eastAsia"/>
          <w:b w:val="0"/>
          <w:bCs/>
          <w:color w:val="000000"/>
          <w:szCs w:val="24"/>
          <w:lang w:val="en-US" w:eastAsia="zh-CN"/>
        </w:rPr>
        <w:t>钢筋加工前应将表面清理干净，表面有颗粒状、片状老锈或有损伤的钢筋不得使用；钢筋进入弯箍机时应保持平衡、匀速，防止平面翘曲，成型后表面应无裂纹。</w:t>
      </w:r>
    </w:p>
    <w:p>
      <w:pPr>
        <w:spacing w:before="113"/>
        <w:rPr>
          <w:color w:val="000000"/>
          <w:szCs w:val="24"/>
        </w:rPr>
      </w:pPr>
      <w:r>
        <w:rPr>
          <w:b/>
          <w:color w:val="000000"/>
          <w:szCs w:val="24"/>
        </w:rPr>
        <w:t>4.4.</w:t>
      </w:r>
      <w:r>
        <w:rPr>
          <w:rFonts w:hint="eastAsia"/>
          <w:b/>
          <w:color w:val="000000"/>
          <w:szCs w:val="24"/>
        </w:rPr>
        <w:t>3</w:t>
      </w:r>
      <w:r>
        <w:rPr>
          <w:b/>
          <w:color w:val="000000"/>
          <w:spacing w:val="51"/>
          <w:szCs w:val="24"/>
        </w:rPr>
        <w:t xml:space="preserve"> </w:t>
      </w:r>
      <w:r>
        <w:rPr>
          <w:rFonts w:cs="宋体"/>
          <w:color w:val="000000"/>
          <w:szCs w:val="24"/>
        </w:rPr>
        <w:t>钢筋骨架制作应符合下列规定：</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bCs/>
          <w:color w:val="000000"/>
          <w:szCs w:val="24"/>
        </w:rPr>
      </w:pPr>
      <w:r>
        <w:rPr>
          <w:bCs/>
          <w:color w:val="000000"/>
          <w:szCs w:val="24"/>
        </w:rPr>
        <w:t>1</w:t>
      </w:r>
      <w:r>
        <w:rPr>
          <w:bCs/>
          <w:color w:val="000000"/>
          <w:spacing w:val="54"/>
          <w:szCs w:val="24"/>
        </w:rPr>
        <w:t xml:space="preserve"> </w:t>
      </w:r>
      <w:r>
        <w:rPr>
          <w:rFonts w:cs="宋体"/>
          <w:bCs/>
          <w:color w:val="000000"/>
          <w:szCs w:val="24"/>
        </w:rPr>
        <w:t>钢筋的品种、等级、规格等</w:t>
      </w:r>
      <w:r>
        <w:rPr>
          <w:rFonts w:hint="eastAsia" w:cs="宋体"/>
          <w:bCs/>
          <w:color w:val="000000"/>
          <w:szCs w:val="24"/>
        </w:rPr>
        <w:t>应</w:t>
      </w:r>
      <w:r>
        <w:rPr>
          <w:rFonts w:cs="宋体"/>
          <w:bCs/>
          <w:color w:val="000000"/>
          <w:szCs w:val="24"/>
        </w:rPr>
        <w:t>符合设计</w:t>
      </w:r>
      <w:r>
        <w:rPr>
          <w:rFonts w:hint="eastAsia" w:cs="宋体"/>
          <w:bCs/>
          <w:color w:val="000000"/>
          <w:szCs w:val="24"/>
        </w:rPr>
        <w:t>规定</w:t>
      </w:r>
      <w:r>
        <w:rPr>
          <w:rFonts w:cs="宋体"/>
          <w:bCs/>
          <w:color w:val="000000"/>
          <w:szCs w:val="24"/>
        </w:rPr>
        <w:t>；</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bCs/>
          <w:color w:val="000000"/>
          <w:szCs w:val="24"/>
        </w:rPr>
      </w:pPr>
      <w:r>
        <w:rPr>
          <w:bCs/>
          <w:color w:val="000000"/>
          <w:szCs w:val="24"/>
        </w:rPr>
        <w:t>2</w:t>
      </w:r>
      <w:r>
        <w:rPr>
          <w:bCs/>
          <w:color w:val="000000"/>
          <w:spacing w:val="54"/>
          <w:szCs w:val="24"/>
        </w:rPr>
        <w:t xml:space="preserve"> </w:t>
      </w:r>
      <w:r>
        <w:rPr>
          <w:rFonts w:cs="宋体"/>
          <w:bCs/>
          <w:color w:val="000000"/>
          <w:szCs w:val="24"/>
        </w:rPr>
        <w:t>钢筋骨架制作宜在符合要求的胎膜上进行；</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bCs/>
          <w:color w:val="000000"/>
          <w:szCs w:val="24"/>
        </w:rPr>
      </w:pPr>
      <w:r>
        <w:rPr>
          <w:bCs/>
          <w:color w:val="000000"/>
          <w:szCs w:val="24"/>
        </w:rPr>
        <w:t>3</w:t>
      </w:r>
      <w:r>
        <w:rPr>
          <w:bCs/>
          <w:color w:val="000000"/>
          <w:spacing w:val="54"/>
          <w:szCs w:val="24"/>
        </w:rPr>
        <w:t xml:space="preserve"> </w:t>
      </w:r>
      <w:r>
        <w:rPr>
          <w:rFonts w:cs="宋体"/>
          <w:bCs/>
          <w:color w:val="000000"/>
          <w:szCs w:val="24"/>
        </w:rPr>
        <w:t>钢筋骨架制作应进行试生产，检验合格后方可批量制作；</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bCs/>
          <w:color w:val="000000"/>
          <w:szCs w:val="24"/>
        </w:rPr>
      </w:pPr>
      <w:r>
        <w:rPr>
          <w:bCs/>
          <w:color w:val="000000"/>
          <w:szCs w:val="24"/>
        </w:rPr>
        <w:t>4</w:t>
      </w:r>
      <w:r>
        <w:rPr>
          <w:bCs/>
          <w:color w:val="000000"/>
          <w:spacing w:val="54"/>
          <w:szCs w:val="24"/>
        </w:rPr>
        <w:t xml:space="preserve"> </w:t>
      </w:r>
      <w:r>
        <w:rPr>
          <w:rFonts w:cs="宋体"/>
          <w:bCs/>
          <w:color w:val="000000"/>
          <w:spacing w:val="-3"/>
          <w:szCs w:val="24"/>
        </w:rPr>
        <w:t>钢筋连接应符合现行国家标准《混凝土结构工程施工质量验</w:t>
      </w:r>
      <w:r>
        <w:rPr>
          <w:rFonts w:cs="宋体"/>
          <w:bCs/>
          <w:color w:val="000000"/>
          <w:szCs w:val="24"/>
        </w:rPr>
        <w:t>收规范》</w:t>
      </w:r>
      <w:r>
        <w:rPr>
          <w:bCs/>
          <w:color w:val="000000"/>
          <w:spacing w:val="2"/>
          <w:szCs w:val="24"/>
        </w:rPr>
        <w:t>GB</w:t>
      </w:r>
      <w:r>
        <w:rPr>
          <w:bCs/>
          <w:color w:val="000000"/>
          <w:spacing w:val="-2"/>
          <w:szCs w:val="24"/>
        </w:rPr>
        <w:t xml:space="preserve"> </w:t>
      </w:r>
      <w:r>
        <w:rPr>
          <w:bCs/>
          <w:color w:val="000000"/>
          <w:szCs w:val="24"/>
        </w:rPr>
        <w:t>50204</w:t>
      </w:r>
      <w:r>
        <w:rPr>
          <w:bCs/>
          <w:color w:val="000000"/>
          <w:spacing w:val="1"/>
          <w:szCs w:val="24"/>
        </w:rPr>
        <w:t xml:space="preserve"> </w:t>
      </w:r>
      <w:r>
        <w:rPr>
          <w:rFonts w:cs="宋体"/>
          <w:bCs/>
          <w:color w:val="000000"/>
          <w:szCs w:val="24"/>
        </w:rPr>
        <w:t>的规定；</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rFonts w:hint="eastAsia" w:eastAsia="宋体"/>
          <w:bCs/>
          <w:color w:val="000000"/>
          <w:szCs w:val="24"/>
          <w:lang w:eastAsia="zh-CN"/>
        </w:rPr>
      </w:pPr>
      <w:r>
        <w:rPr>
          <w:bCs/>
          <w:color w:val="000000"/>
          <w:szCs w:val="24"/>
        </w:rPr>
        <w:t>5</w:t>
      </w:r>
      <w:r>
        <w:rPr>
          <w:bCs/>
          <w:color w:val="000000"/>
          <w:spacing w:val="54"/>
          <w:szCs w:val="24"/>
        </w:rPr>
        <w:t xml:space="preserve"> </w:t>
      </w:r>
      <w:r>
        <w:rPr>
          <w:rFonts w:cs="宋体"/>
          <w:bCs/>
          <w:color w:val="000000"/>
          <w:spacing w:val="-3"/>
          <w:szCs w:val="24"/>
        </w:rPr>
        <w:t>当骨架采用绑扎连接时应选用不锈钢丝并绑扎牢固，并</w:t>
      </w:r>
      <w:r>
        <w:rPr>
          <w:rFonts w:hint="eastAsia" w:cs="宋体"/>
          <w:bCs/>
          <w:color w:val="000000"/>
          <w:spacing w:val="-3"/>
          <w:szCs w:val="24"/>
        </w:rPr>
        <w:t>应</w:t>
      </w:r>
      <w:r>
        <w:rPr>
          <w:rFonts w:cs="宋体"/>
          <w:bCs/>
          <w:color w:val="000000"/>
          <w:spacing w:val="-3"/>
          <w:szCs w:val="24"/>
        </w:rPr>
        <w:t>采取</w:t>
      </w:r>
      <w:r>
        <w:rPr>
          <w:rFonts w:cs="宋体"/>
          <w:bCs/>
          <w:color w:val="000000"/>
          <w:szCs w:val="24"/>
        </w:rPr>
        <w:t>可靠措施避免扎丝在混凝土浇筑成型后外露</w:t>
      </w:r>
      <w:r>
        <w:rPr>
          <w:rFonts w:hint="eastAsia" w:cs="宋体"/>
          <w:bCs/>
          <w:color w:val="000000"/>
          <w:szCs w:val="24"/>
          <w:lang w:eastAsia="zh-CN"/>
        </w:rPr>
        <w:t>。</w:t>
      </w:r>
    </w:p>
    <w:p>
      <w:pPr>
        <w:spacing w:before="84"/>
        <w:rPr>
          <w:color w:val="000000"/>
          <w:szCs w:val="24"/>
        </w:rPr>
      </w:pPr>
      <w:r>
        <w:rPr>
          <w:b/>
          <w:color w:val="000000"/>
          <w:szCs w:val="24"/>
        </w:rPr>
        <w:t>4.4.</w:t>
      </w:r>
      <w:r>
        <w:rPr>
          <w:rFonts w:hint="eastAsia"/>
          <w:b/>
          <w:color w:val="000000"/>
          <w:szCs w:val="24"/>
        </w:rPr>
        <w:t>4</w:t>
      </w:r>
      <w:r>
        <w:rPr>
          <w:b/>
          <w:color w:val="000000"/>
          <w:spacing w:val="51"/>
          <w:szCs w:val="24"/>
        </w:rPr>
        <w:t xml:space="preserve"> </w:t>
      </w:r>
      <w:r>
        <w:rPr>
          <w:rFonts w:cs="宋体"/>
          <w:color w:val="000000"/>
          <w:szCs w:val="24"/>
        </w:rPr>
        <w:t>钢筋骨架安装应</w:t>
      </w:r>
      <w:r>
        <w:rPr>
          <w:rFonts w:hint="eastAsia" w:cs="宋体"/>
          <w:color w:val="000000"/>
          <w:szCs w:val="24"/>
        </w:rPr>
        <w:t>符合下列</w:t>
      </w:r>
      <w:r>
        <w:rPr>
          <w:rFonts w:cs="宋体"/>
          <w:color w:val="000000"/>
          <w:szCs w:val="24"/>
        </w:rPr>
        <w:t>规定：</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bCs/>
          <w:color w:val="000000"/>
          <w:szCs w:val="24"/>
        </w:rPr>
      </w:pPr>
      <w:r>
        <w:rPr>
          <w:bCs/>
          <w:color w:val="000000"/>
          <w:szCs w:val="24"/>
        </w:rPr>
        <w:t xml:space="preserve">1 </w:t>
      </w:r>
      <w:r>
        <w:rPr>
          <w:rFonts w:hint="eastAsia"/>
          <w:bCs/>
          <w:color w:val="000000"/>
          <w:szCs w:val="24"/>
          <w:lang w:val="en-US" w:eastAsia="zh-CN"/>
        </w:rPr>
        <w:t xml:space="preserve"> </w:t>
      </w:r>
      <w:r>
        <w:rPr>
          <w:bCs/>
          <w:color w:val="000000"/>
          <w:szCs w:val="24"/>
        </w:rPr>
        <w:t>钢筋锚固长度应符合设计</w:t>
      </w:r>
      <w:r>
        <w:rPr>
          <w:rFonts w:hint="eastAsia"/>
          <w:bCs/>
          <w:color w:val="000000"/>
          <w:szCs w:val="24"/>
        </w:rPr>
        <w:t>规定</w:t>
      </w:r>
      <w:r>
        <w:rPr>
          <w:bCs/>
          <w:color w:val="000000"/>
          <w:szCs w:val="24"/>
        </w:rPr>
        <w:t>；</w:t>
      </w:r>
    </w:p>
    <w:p>
      <w:pPr>
        <w:keepNext w:val="0"/>
        <w:keepLines w:val="0"/>
        <w:pageBreakBefore w:val="0"/>
        <w:widowControl w:val="0"/>
        <w:kinsoku/>
        <w:wordWrap/>
        <w:overflowPunct/>
        <w:topLinePunct w:val="0"/>
        <w:autoSpaceDE/>
        <w:autoSpaceDN/>
        <w:bidi w:val="0"/>
        <w:adjustRightInd/>
        <w:snapToGrid/>
        <w:ind w:left="0" w:firstLine="480" w:firstLineChars="200"/>
        <w:textAlignment w:val="baseline"/>
        <w:rPr>
          <w:bCs/>
          <w:color w:val="000000"/>
          <w:szCs w:val="24"/>
        </w:rPr>
      </w:pPr>
      <w:r>
        <w:rPr>
          <w:rFonts w:hint="eastAsia"/>
          <w:bCs/>
          <w:color w:val="000000"/>
          <w:szCs w:val="24"/>
        </w:rPr>
        <w:t>2</w:t>
      </w:r>
      <w:r>
        <w:rPr>
          <w:bCs/>
          <w:color w:val="000000"/>
          <w:szCs w:val="24"/>
        </w:rPr>
        <w:t xml:space="preserve"> </w:t>
      </w:r>
      <w:r>
        <w:rPr>
          <w:rFonts w:hint="eastAsia"/>
          <w:bCs/>
          <w:color w:val="000000"/>
          <w:szCs w:val="24"/>
          <w:lang w:val="en-US" w:eastAsia="zh-CN"/>
        </w:rPr>
        <w:t xml:space="preserve"> </w:t>
      </w:r>
      <w:r>
        <w:rPr>
          <w:bCs/>
          <w:color w:val="000000"/>
          <w:szCs w:val="24"/>
        </w:rPr>
        <w:t>钢筋保护层厚度</w:t>
      </w:r>
      <w:r>
        <w:rPr>
          <w:rFonts w:hint="eastAsia"/>
          <w:bCs/>
          <w:color w:val="000000"/>
          <w:szCs w:val="24"/>
        </w:rPr>
        <w:t>应</w:t>
      </w:r>
      <w:r>
        <w:rPr>
          <w:bCs/>
          <w:color w:val="000000"/>
          <w:szCs w:val="24"/>
        </w:rPr>
        <w:t>符合</w:t>
      </w:r>
      <w:r>
        <w:rPr>
          <w:rFonts w:hint="eastAsia"/>
          <w:bCs/>
          <w:color w:val="000000"/>
          <w:szCs w:val="24"/>
        </w:rPr>
        <w:t>设计规定</w:t>
      </w:r>
      <w:r>
        <w:rPr>
          <w:bCs/>
          <w:color w:val="000000"/>
          <w:szCs w:val="24"/>
        </w:rPr>
        <w:t>；</w:t>
      </w:r>
    </w:p>
    <w:p>
      <w:pPr>
        <w:spacing w:before="0"/>
        <w:ind w:firstLine="480" w:firstLineChars="200"/>
        <w:rPr>
          <w:bCs/>
          <w:color w:val="000000"/>
          <w:szCs w:val="24"/>
        </w:rPr>
      </w:pPr>
      <w:r>
        <w:rPr>
          <w:rFonts w:hint="eastAsia"/>
          <w:bCs/>
          <w:color w:val="000000"/>
          <w:szCs w:val="24"/>
        </w:rPr>
        <w:t>3</w:t>
      </w:r>
      <w:r>
        <w:rPr>
          <w:rFonts w:hint="eastAsia"/>
          <w:bCs/>
          <w:color w:val="000000"/>
          <w:szCs w:val="24"/>
          <w:lang w:val="en-US" w:eastAsia="zh-CN"/>
        </w:rPr>
        <w:t xml:space="preserve"> </w:t>
      </w:r>
      <w:r>
        <w:rPr>
          <w:bCs/>
          <w:color w:val="000000"/>
          <w:szCs w:val="24"/>
        </w:rPr>
        <w:t xml:space="preserve"> 钢筋骨架应有足够的刚度，</w:t>
      </w:r>
      <w:r>
        <w:rPr>
          <w:rFonts w:hint="eastAsia"/>
          <w:bCs/>
          <w:color w:val="000000"/>
          <w:szCs w:val="24"/>
          <w:lang w:val="en-US" w:eastAsia="zh-CN"/>
        </w:rPr>
        <w:t>节</w:t>
      </w:r>
      <w:r>
        <w:rPr>
          <w:bCs/>
          <w:color w:val="000000"/>
          <w:szCs w:val="24"/>
        </w:rPr>
        <w:t>点牢固，不松散、下塌、倾斜，无明显的扭曲变形和大小头现象，在骨架运输、装模及成型过程中应保持其整体性。</w:t>
      </w:r>
    </w:p>
    <w:p>
      <w:pPr>
        <w:spacing w:before="0"/>
        <w:ind w:firstLine="0" w:firstLineChars="0"/>
        <w:rPr>
          <w:rFonts w:cs="宋体"/>
          <w:color w:val="000000"/>
          <w:szCs w:val="24"/>
        </w:rPr>
      </w:pPr>
      <w:r>
        <w:rPr>
          <w:b/>
          <w:color w:val="000000"/>
          <w:szCs w:val="24"/>
        </w:rPr>
        <w:t>4.4.</w:t>
      </w:r>
      <w:r>
        <w:rPr>
          <w:rFonts w:hint="eastAsia"/>
          <w:b/>
          <w:color w:val="000000"/>
          <w:szCs w:val="24"/>
          <w:lang w:val="en-US" w:eastAsia="zh-CN"/>
        </w:rPr>
        <w:t>5</w:t>
      </w:r>
      <w:r>
        <w:rPr>
          <w:b/>
          <w:color w:val="000000"/>
          <w:spacing w:val="51"/>
          <w:szCs w:val="24"/>
        </w:rPr>
        <w:t xml:space="preserve"> </w:t>
      </w:r>
      <w:r>
        <w:rPr>
          <w:rFonts w:cs="宋体"/>
          <w:color w:val="000000"/>
          <w:szCs w:val="24"/>
        </w:rPr>
        <w:t>焊缝</w:t>
      </w:r>
      <w:r>
        <w:rPr>
          <w:rFonts w:hint="eastAsia" w:cs="宋体"/>
          <w:color w:val="000000"/>
          <w:szCs w:val="24"/>
          <w:lang w:val="en-US" w:eastAsia="zh-CN"/>
        </w:rPr>
        <w:t>不应</w:t>
      </w:r>
      <w:r>
        <w:rPr>
          <w:rFonts w:cs="宋体"/>
          <w:color w:val="000000"/>
          <w:szCs w:val="24"/>
        </w:rPr>
        <w:t>出现过火烧伤、咬肉、气孔及夹渣现象</w:t>
      </w:r>
      <w:r>
        <w:rPr>
          <w:rFonts w:hint="eastAsia" w:cs="宋体"/>
          <w:color w:val="000000"/>
          <w:szCs w:val="24"/>
          <w:lang w:eastAsia="zh-CN"/>
        </w:rPr>
        <w:t>；</w:t>
      </w:r>
      <w:r>
        <w:rPr>
          <w:rFonts w:hint="eastAsia" w:cs="宋体"/>
          <w:color w:val="000000"/>
          <w:szCs w:val="24"/>
          <w:lang w:val="en-US" w:eastAsia="zh-CN"/>
        </w:rPr>
        <w:t>不应</w:t>
      </w:r>
      <w:r>
        <w:rPr>
          <w:rFonts w:cs="宋体"/>
          <w:color w:val="000000"/>
          <w:szCs w:val="24"/>
        </w:rPr>
        <w:t>有漏焊、脱焊</w:t>
      </w:r>
      <w:r>
        <w:rPr>
          <w:rFonts w:hint="eastAsia" w:cs="宋体"/>
          <w:color w:val="000000"/>
          <w:szCs w:val="24"/>
          <w:lang w:eastAsia="zh-CN"/>
        </w:rPr>
        <w:t>；</w:t>
      </w:r>
      <w:r>
        <w:rPr>
          <w:rFonts w:cs="宋体"/>
          <w:color w:val="000000"/>
          <w:szCs w:val="24"/>
        </w:rPr>
        <w:t>焊缝高度</w:t>
      </w:r>
      <w:r>
        <w:rPr>
          <w:rFonts w:hint="eastAsia" w:cs="宋体"/>
          <w:color w:val="000000"/>
          <w:szCs w:val="24"/>
        </w:rPr>
        <w:t>应</w:t>
      </w:r>
      <w:r>
        <w:rPr>
          <w:rFonts w:cs="宋体"/>
          <w:color w:val="000000"/>
          <w:szCs w:val="24"/>
        </w:rPr>
        <w:t>符合规范要求</w:t>
      </w:r>
      <w:r>
        <w:rPr>
          <w:rFonts w:hint="eastAsia" w:cs="宋体"/>
          <w:color w:val="000000"/>
          <w:szCs w:val="24"/>
          <w:lang w:eastAsia="zh-CN"/>
        </w:rPr>
        <w:t>；</w:t>
      </w:r>
      <w:r>
        <w:rPr>
          <w:rFonts w:cs="宋体"/>
          <w:color w:val="000000"/>
          <w:szCs w:val="24"/>
        </w:rPr>
        <w:t>焊接后焊丝及焊渣</w:t>
      </w:r>
      <w:r>
        <w:rPr>
          <w:rFonts w:hint="eastAsia" w:cs="宋体"/>
          <w:color w:val="000000"/>
          <w:szCs w:val="24"/>
        </w:rPr>
        <w:t>应及时</w:t>
      </w:r>
      <w:r>
        <w:rPr>
          <w:rFonts w:cs="宋体"/>
          <w:color w:val="000000"/>
          <w:szCs w:val="24"/>
        </w:rPr>
        <w:t>清除干净。</w:t>
      </w:r>
    </w:p>
    <w:p>
      <w:pPr>
        <w:spacing w:before="99"/>
        <w:rPr>
          <w:rFonts w:cs="宋体"/>
          <w:color w:val="000000"/>
          <w:szCs w:val="24"/>
        </w:rPr>
      </w:pPr>
    </w:p>
    <w:p>
      <w:pPr>
        <w:pStyle w:val="3"/>
      </w:pPr>
      <w:bookmarkStart w:id="132" w:name="_Toc28126"/>
      <w:bookmarkStart w:id="133" w:name="_Toc311"/>
      <w:bookmarkStart w:id="134" w:name="_Toc9851"/>
      <w:bookmarkStart w:id="135" w:name="_Toc15077"/>
      <w:bookmarkStart w:id="136" w:name="_Toc6123"/>
      <w:bookmarkStart w:id="137" w:name="_Toc20496"/>
      <w:r>
        <w:t xml:space="preserve">4.5 </w:t>
      </w:r>
      <w:r>
        <w:rPr>
          <w:rFonts w:hint="eastAsia"/>
        </w:rPr>
        <w:t xml:space="preserve"> </w:t>
      </w:r>
      <w:r>
        <w:t>混凝土浇筑</w:t>
      </w:r>
      <w:bookmarkEnd w:id="132"/>
      <w:bookmarkEnd w:id="133"/>
      <w:bookmarkEnd w:id="134"/>
      <w:bookmarkEnd w:id="135"/>
      <w:bookmarkEnd w:id="136"/>
      <w:bookmarkEnd w:id="137"/>
    </w:p>
    <w:p>
      <w:pPr>
        <w:rPr>
          <w:color w:val="000000"/>
          <w:szCs w:val="24"/>
        </w:rPr>
      </w:pPr>
      <w:r>
        <w:rPr>
          <w:b/>
          <w:color w:val="000000"/>
          <w:szCs w:val="24"/>
        </w:rPr>
        <w:t>4.5.1</w:t>
      </w:r>
      <w:r>
        <w:rPr>
          <w:b/>
          <w:color w:val="000000"/>
          <w:spacing w:val="51"/>
          <w:szCs w:val="24"/>
        </w:rPr>
        <w:t xml:space="preserve"> </w:t>
      </w:r>
      <w:r>
        <w:rPr>
          <w:rFonts w:cs="宋体"/>
          <w:color w:val="000000"/>
          <w:szCs w:val="24"/>
        </w:rPr>
        <w:t>混凝土浇筑前应检查辅助振动器及送料系统是否正常，并对</w:t>
      </w:r>
      <w:r>
        <w:rPr>
          <w:rFonts w:cs="宋体"/>
          <w:color w:val="000000"/>
          <w:spacing w:val="-6"/>
          <w:szCs w:val="24"/>
        </w:rPr>
        <w:t>钢筋骨架、模具、预埋件</w:t>
      </w:r>
      <w:r>
        <w:rPr>
          <w:rFonts w:hint="eastAsia" w:cs="宋体"/>
          <w:color w:val="000000"/>
          <w:spacing w:val="-6"/>
          <w:szCs w:val="24"/>
          <w:lang w:val="en-US" w:eastAsia="zh-CN"/>
        </w:rPr>
        <w:t>等</w:t>
      </w:r>
      <w:r>
        <w:rPr>
          <w:rFonts w:cs="宋体"/>
          <w:color w:val="000000"/>
          <w:spacing w:val="-6"/>
          <w:szCs w:val="24"/>
        </w:rPr>
        <w:t>的安装进行检查，</w:t>
      </w:r>
      <w:r>
        <w:rPr>
          <w:rFonts w:cs="宋体"/>
          <w:color w:val="000000"/>
          <w:szCs w:val="24"/>
        </w:rPr>
        <w:t>合格后方能进行混凝土浇筑。</w:t>
      </w:r>
    </w:p>
    <w:p>
      <w:pPr>
        <w:spacing w:before="84"/>
        <w:rPr>
          <w:color w:val="000000"/>
          <w:szCs w:val="24"/>
        </w:rPr>
      </w:pPr>
      <w:r>
        <w:rPr>
          <w:b/>
          <w:color w:val="000000"/>
          <w:szCs w:val="24"/>
        </w:rPr>
        <w:t>4.5.2</w:t>
      </w:r>
      <w:r>
        <w:rPr>
          <w:b/>
          <w:color w:val="000000"/>
          <w:spacing w:val="51"/>
          <w:szCs w:val="24"/>
        </w:rPr>
        <w:t xml:space="preserve"> </w:t>
      </w:r>
      <w:r>
        <w:rPr>
          <w:rFonts w:cs="宋体"/>
          <w:color w:val="000000"/>
          <w:szCs w:val="24"/>
        </w:rPr>
        <w:t>混凝土浇筑、振捣应符合下列</w:t>
      </w:r>
      <w:r>
        <w:rPr>
          <w:rFonts w:hint="eastAsia" w:cs="宋体"/>
          <w:color w:val="000000"/>
          <w:szCs w:val="24"/>
        </w:rPr>
        <w:t>规定</w:t>
      </w:r>
      <w:r>
        <w:rPr>
          <w:rFonts w:cs="宋体"/>
          <w:color w:val="000000"/>
          <w:szCs w:val="24"/>
        </w:rPr>
        <w:t>：</w:t>
      </w:r>
    </w:p>
    <w:p>
      <w:pPr>
        <w:ind w:firstLine="480" w:firstLineChars="200"/>
        <w:rPr>
          <w:bCs/>
          <w:color w:val="000000"/>
          <w:szCs w:val="24"/>
        </w:rPr>
      </w:pPr>
      <w:r>
        <w:rPr>
          <w:bCs/>
          <w:color w:val="000000"/>
          <w:szCs w:val="24"/>
        </w:rPr>
        <w:t>1</w:t>
      </w:r>
      <w:r>
        <w:rPr>
          <w:bCs/>
          <w:color w:val="000000"/>
          <w:spacing w:val="54"/>
          <w:szCs w:val="24"/>
        </w:rPr>
        <w:t xml:space="preserve"> </w:t>
      </w:r>
      <w:r>
        <w:rPr>
          <w:rFonts w:cs="宋体"/>
          <w:bCs/>
          <w:color w:val="000000"/>
          <w:szCs w:val="24"/>
        </w:rPr>
        <w:t>混凝土应分层加料，分层振捣密实。每层加料厚度</w:t>
      </w:r>
      <w:r>
        <w:rPr>
          <w:rFonts w:hint="eastAsia" w:cs="宋体"/>
          <w:bCs/>
          <w:color w:val="000000"/>
          <w:szCs w:val="24"/>
        </w:rPr>
        <w:t>应</w:t>
      </w:r>
      <w:r>
        <w:rPr>
          <w:rFonts w:cs="宋体"/>
          <w:bCs/>
          <w:color w:val="000000"/>
          <w:szCs w:val="24"/>
        </w:rPr>
        <w:t>控制在</w:t>
      </w:r>
      <w:r>
        <w:rPr>
          <w:bCs/>
          <w:color w:val="000000"/>
          <w:spacing w:val="-1"/>
          <w:szCs w:val="24"/>
        </w:rPr>
        <w:t>250mm</w:t>
      </w:r>
      <w:r>
        <w:rPr>
          <w:rFonts w:cs="宋体"/>
          <w:bCs/>
          <w:color w:val="000000"/>
          <w:spacing w:val="1"/>
          <w:szCs w:val="24"/>
        </w:rPr>
        <w:t>～</w:t>
      </w:r>
      <w:r>
        <w:rPr>
          <w:rFonts w:hint="eastAsia"/>
          <w:bCs/>
          <w:color w:val="000000"/>
          <w:szCs w:val="24"/>
          <w:lang w:val="en-US" w:eastAsia="zh-CN"/>
        </w:rPr>
        <w:t>400</w:t>
      </w:r>
      <w:r>
        <w:rPr>
          <w:bCs/>
          <w:color w:val="000000"/>
          <w:szCs w:val="24"/>
        </w:rPr>
        <w:t>mm</w:t>
      </w:r>
      <w:r>
        <w:rPr>
          <w:rFonts w:cs="宋体"/>
          <w:bCs/>
          <w:color w:val="000000"/>
          <w:szCs w:val="24"/>
        </w:rPr>
        <w:t>，上端面最后一层料厚度应不少于</w:t>
      </w:r>
      <w:r>
        <w:rPr>
          <w:bCs/>
          <w:color w:val="000000"/>
          <w:spacing w:val="-1"/>
          <w:szCs w:val="24"/>
        </w:rPr>
        <w:t>250mm</w:t>
      </w:r>
      <w:r>
        <w:rPr>
          <w:rFonts w:cs="宋体"/>
          <w:bCs/>
          <w:color w:val="000000"/>
          <w:spacing w:val="1"/>
          <w:szCs w:val="24"/>
        </w:rPr>
        <w:t>。加料</w:t>
      </w:r>
      <w:r>
        <w:rPr>
          <w:rFonts w:cs="宋体"/>
          <w:bCs/>
          <w:color w:val="000000"/>
          <w:szCs w:val="24"/>
        </w:rPr>
        <w:t>时应使送料斗出口处于加料中心位置，以使加料均匀；</w:t>
      </w:r>
    </w:p>
    <w:p>
      <w:pPr>
        <w:ind w:firstLine="480" w:firstLineChars="200"/>
        <w:rPr>
          <w:bCs/>
          <w:color w:val="000000"/>
          <w:szCs w:val="24"/>
        </w:rPr>
      </w:pPr>
      <w:r>
        <w:rPr>
          <w:bCs/>
          <w:color w:val="000000"/>
          <w:szCs w:val="24"/>
        </w:rPr>
        <w:t>2</w:t>
      </w:r>
      <w:r>
        <w:rPr>
          <w:bCs/>
          <w:color w:val="000000"/>
          <w:spacing w:val="54"/>
          <w:szCs w:val="24"/>
        </w:rPr>
        <w:t xml:space="preserve"> </w:t>
      </w:r>
      <w:r>
        <w:rPr>
          <w:rFonts w:hint="eastAsia"/>
          <w:bCs/>
          <w:color w:val="000000"/>
          <w:spacing w:val="0"/>
          <w:szCs w:val="24"/>
          <w:lang w:val="en-US" w:eastAsia="zh-CN"/>
        </w:rPr>
        <w:t>采用插入式振捣时，</w:t>
      </w:r>
      <w:r>
        <w:rPr>
          <w:rFonts w:cs="宋体"/>
          <w:bCs/>
          <w:color w:val="000000"/>
          <w:spacing w:val="0"/>
          <w:szCs w:val="24"/>
        </w:rPr>
        <w:t>振捣</w:t>
      </w:r>
      <w:r>
        <w:rPr>
          <w:rFonts w:hint="eastAsia" w:cs="宋体"/>
          <w:bCs/>
          <w:color w:val="000000"/>
          <w:spacing w:val="0"/>
          <w:szCs w:val="24"/>
          <w:lang w:val="en-US" w:eastAsia="zh-CN"/>
        </w:rPr>
        <w:t>棒应</w:t>
      </w:r>
      <w:r>
        <w:rPr>
          <w:rFonts w:cs="宋体"/>
          <w:bCs/>
          <w:color w:val="000000"/>
          <w:spacing w:val="-3"/>
          <w:szCs w:val="24"/>
        </w:rPr>
        <w:t>快插</w:t>
      </w:r>
      <w:r>
        <w:rPr>
          <w:rFonts w:hint="eastAsia" w:ascii="宋体" w:hAnsi="宋体" w:eastAsia="宋体" w:cs="宋体"/>
          <w:bCs/>
          <w:color w:val="000000"/>
          <w:spacing w:val="-3"/>
          <w:szCs w:val="24"/>
          <w:lang w:eastAsia="zh-CN"/>
        </w:rPr>
        <w:t>慢拔</w:t>
      </w:r>
      <w:r>
        <w:rPr>
          <w:rFonts w:cs="宋体"/>
          <w:bCs/>
          <w:color w:val="000000"/>
          <w:spacing w:val="-3"/>
          <w:szCs w:val="24"/>
        </w:rPr>
        <w:t>，先大面后小面；每次插入深度控制在进入</w:t>
      </w:r>
      <w:r>
        <w:rPr>
          <w:rFonts w:cs="宋体"/>
          <w:bCs/>
          <w:color w:val="000000"/>
          <w:spacing w:val="1"/>
          <w:szCs w:val="24"/>
        </w:rPr>
        <w:t>下层</w:t>
      </w:r>
      <w:r>
        <w:rPr>
          <w:bCs/>
          <w:color w:val="000000"/>
          <w:spacing w:val="-1"/>
          <w:szCs w:val="24"/>
        </w:rPr>
        <w:t>50</w:t>
      </w:r>
      <w:r>
        <w:rPr>
          <w:rFonts w:hint="eastAsia"/>
          <w:bCs/>
          <w:color w:val="000000"/>
          <w:spacing w:val="-1"/>
          <w:szCs w:val="24"/>
          <w:lang w:val="en-US" w:eastAsia="zh-CN"/>
        </w:rPr>
        <w:t>mm</w:t>
      </w:r>
      <w:r>
        <w:rPr>
          <w:rFonts w:cs="宋体"/>
          <w:bCs/>
          <w:color w:val="000000"/>
          <w:spacing w:val="1"/>
          <w:szCs w:val="24"/>
        </w:rPr>
        <w:t>～</w:t>
      </w:r>
      <w:r>
        <w:rPr>
          <w:bCs/>
          <w:color w:val="000000"/>
          <w:spacing w:val="-1"/>
          <w:szCs w:val="24"/>
        </w:rPr>
        <w:t>100mm</w:t>
      </w:r>
      <w:r>
        <w:rPr>
          <w:rFonts w:cs="宋体"/>
          <w:bCs/>
          <w:color w:val="000000"/>
          <w:spacing w:val="1"/>
          <w:szCs w:val="24"/>
        </w:rPr>
        <w:t>；振点间距不超过</w:t>
      </w:r>
      <w:r>
        <w:rPr>
          <w:bCs/>
          <w:color w:val="000000"/>
          <w:spacing w:val="-1"/>
          <w:szCs w:val="24"/>
        </w:rPr>
        <w:t>300mm</w:t>
      </w:r>
      <w:r>
        <w:rPr>
          <w:rFonts w:cs="宋体"/>
          <w:bCs/>
          <w:color w:val="000000"/>
          <w:szCs w:val="24"/>
        </w:rPr>
        <w:t>，振点应按一定方向移</w:t>
      </w:r>
      <w:r>
        <w:rPr>
          <w:rFonts w:cs="宋体"/>
          <w:bCs/>
          <w:color w:val="000000"/>
          <w:spacing w:val="-3"/>
          <w:szCs w:val="24"/>
        </w:rPr>
        <w:t>动，</w:t>
      </w:r>
      <w:r>
        <w:rPr>
          <w:rFonts w:hint="eastAsia" w:cs="宋体"/>
          <w:bCs/>
          <w:color w:val="000000"/>
          <w:spacing w:val="-3"/>
          <w:szCs w:val="24"/>
          <w:lang w:eastAsia="zh-CN"/>
        </w:rPr>
        <w:t>不应</w:t>
      </w:r>
      <w:r>
        <w:rPr>
          <w:rFonts w:cs="宋体"/>
          <w:bCs/>
          <w:color w:val="000000"/>
          <w:spacing w:val="-3"/>
          <w:szCs w:val="24"/>
        </w:rPr>
        <w:t>漏振；混凝土浇筑应连续完成，每层振捣时间间隔不宜大</w:t>
      </w:r>
      <w:r>
        <w:rPr>
          <w:rFonts w:cs="宋体"/>
          <w:bCs/>
          <w:color w:val="000000"/>
          <w:szCs w:val="24"/>
        </w:rPr>
        <w:t>于</w:t>
      </w:r>
      <w:r>
        <w:rPr>
          <w:bCs/>
          <w:color w:val="000000"/>
          <w:szCs w:val="24"/>
        </w:rPr>
        <w:t>30min</w:t>
      </w:r>
      <w:r>
        <w:rPr>
          <w:rFonts w:cs="宋体"/>
          <w:bCs/>
          <w:color w:val="000000"/>
          <w:szCs w:val="24"/>
        </w:rPr>
        <w:t>；</w:t>
      </w:r>
    </w:p>
    <w:p>
      <w:pPr>
        <w:ind w:firstLine="480" w:firstLineChars="200"/>
        <w:rPr>
          <w:bCs/>
          <w:color w:val="000000"/>
          <w:szCs w:val="24"/>
        </w:rPr>
      </w:pPr>
      <w:r>
        <w:rPr>
          <w:bCs/>
          <w:color w:val="000000"/>
          <w:szCs w:val="24"/>
        </w:rPr>
        <w:t>3</w:t>
      </w:r>
      <w:r>
        <w:rPr>
          <w:bCs/>
          <w:color w:val="000000"/>
          <w:spacing w:val="54"/>
          <w:szCs w:val="24"/>
        </w:rPr>
        <w:t xml:space="preserve"> </w:t>
      </w:r>
      <w:r>
        <w:rPr>
          <w:rFonts w:cs="宋体"/>
          <w:bCs/>
          <w:color w:val="000000"/>
          <w:spacing w:val="-3"/>
          <w:szCs w:val="24"/>
        </w:rPr>
        <w:t>振捣过程中振捣棒</w:t>
      </w:r>
      <w:r>
        <w:rPr>
          <w:rFonts w:hint="eastAsia" w:cs="宋体"/>
          <w:bCs/>
          <w:color w:val="000000"/>
          <w:spacing w:val="-3"/>
          <w:szCs w:val="24"/>
          <w:lang w:eastAsia="zh-CN"/>
        </w:rPr>
        <w:t>不应</w:t>
      </w:r>
      <w:r>
        <w:rPr>
          <w:rFonts w:cs="宋体"/>
          <w:bCs/>
          <w:color w:val="000000"/>
          <w:spacing w:val="-3"/>
          <w:szCs w:val="24"/>
        </w:rPr>
        <w:t>碰撞模具</w:t>
      </w:r>
      <w:r>
        <w:rPr>
          <w:rFonts w:hint="eastAsia" w:cs="宋体"/>
          <w:bCs/>
          <w:color w:val="000000"/>
          <w:spacing w:val="-3"/>
          <w:szCs w:val="24"/>
        </w:rPr>
        <w:t>、</w:t>
      </w:r>
      <w:r>
        <w:rPr>
          <w:rFonts w:cs="宋体"/>
          <w:bCs/>
          <w:color w:val="000000"/>
          <w:szCs w:val="24"/>
        </w:rPr>
        <w:t>吊装口、注浆孔和其他预埋件；</w:t>
      </w:r>
      <w:r>
        <w:rPr>
          <w:bCs/>
          <w:color w:val="000000"/>
          <w:szCs w:val="24"/>
        </w:rPr>
        <w:t xml:space="preserve"> </w:t>
      </w:r>
    </w:p>
    <w:p>
      <w:pPr>
        <w:ind w:firstLine="480" w:firstLineChars="200"/>
        <w:rPr>
          <w:bCs/>
          <w:color w:val="000000"/>
          <w:szCs w:val="24"/>
        </w:rPr>
      </w:pPr>
      <w:r>
        <w:rPr>
          <w:bCs/>
          <w:color w:val="000000"/>
          <w:szCs w:val="24"/>
        </w:rPr>
        <w:t>4</w:t>
      </w:r>
      <w:r>
        <w:rPr>
          <w:bCs/>
          <w:color w:val="000000"/>
          <w:spacing w:val="54"/>
          <w:szCs w:val="24"/>
        </w:rPr>
        <w:t xml:space="preserve"> </w:t>
      </w:r>
      <w:r>
        <w:rPr>
          <w:rFonts w:cs="宋体"/>
          <w:bCs/>
          <w:color w:val="000000"/>
          <w:spacing w:val="-3"/>
          <w:szCs w:val="24"/>
        </w:rPr>
        <w:t>振捣时长应随气候和混凝土拌合物性能而变化。一般以混凝</w:t>
      </w:r>
      <w:r>
        <w:rPr>
          <w:rFonts w:cs="宋体"/>
          <w:bCs/>
          <w:color w:val="000000"/>
          <w:szCs w:val="24"/>
        </w:rPr>
        <w:t>土与侧板接触处不再有喷射状气、水泡，表面浮浆不再下沉为止；</w:t>
      </w:r>
    </w:p>
    <w:p>
      <w:pPr>
        <w:ind w:firstLine="480" w:firstLineChars="200"/>
        <w:rPr>
          <w:bCs/>
          <w:color w:val="000000"/>
          <w:szCs w:val="24"/>
        </w:rPr>
      </w:pPr>
      <w:r>
        <w:rPr>
          <w:bCs/>
          <w:color w:val="000000"/>
          <w:szCs w:val="24"/>
        </w:rPr>
        <w:t>5</w:t>
      </w:r>
      <w:r>
        <w:rPr>
          <w:bCs/>
          <w:color w:val="000000"/>
          <w:spacing w:val="54"/>
          <w:szCs w:val="24"/>
        </w:rPr>
        <w:t xml:space="preserve"> </w:t>
      </w:r>
      <w:r>
        <w:rPr>
          <w:rFonts w:cs="宋体"/>
          <w:bCs/>
          <w:color w:val="000000"/>
          <w:spacing w:val="-3"/>
          <w:szCs w:val="24"/>
        </w:rPr>
        <w:t>混凝土</w:t>
      </w:r>
      <w:r>
        <w:rPr>
          <w:rFonts w:hint="eastAsia" w:cs="宋体"/>
          <w:bCs/>
          <w:color w:val="000000"/>
          <w:spacing w:val="-3"/>
          <w:szCs w:val="24"/>
        </w:rPr>
        <w:t>不应过</w:t>
      </w:r>
      <w:r>
        <w:rPr>
          <w:rFonts w:cs="宋体"/>
          <w:bCs/>
          <w:color w:val="000000"/>
          <w:spacing w:val="-3"/>
          <w:szCs w:val="24"/>
        </w:rPr>
        <w:t>振</w:t>
      </w:r>
      <w:r>
        <w:rPr>
          <w:rFonts w:hint="eastAsia" w:cs="宋体"/>
          <w:bCs/>
          <w:color w:val="000000"/>
          <w:spacing w:val="-3"/>
          <w:szCs w:val="24"/>
        </w:rPr>
        <w:t>。当</w:t>
      </w:r>
      <w:r>
        <w:rPr>
          <w:rFonts w:cs="宋体"/>
          <w:bCs/>
          <w:color w:val="000000"/>
          <w:spacing w:val="-3"/>
          <w:szCs w:val="24"/>
        </w:rPr>
        <w:t>混凝土内已无</w:t>
      </w:r>
      <w:r>
        <w:rPr>
          <w:rFonts w:cs="宋体"/>
          <w:bCs/>
          <w:color w:val="000000"/>
          <w:szCs w:val="24"/>
        </w:rPr>
        <w:t>气泡冒出，应立即停振该位置的混凝土；</w:t>
      </w:r>
    </w:p>
    <w:p>
      <w:pPr>
        <w:ind w:firstLine="480" w:firstLineChars="200"/>
        <w:rPr>
          <w:color w:val="000000"/>
          <w:szCs w:val="24"/>
        </w:rPr>
      </w:pPr>
      <w:r>
        <w:rPr>
          <w:bCs/>
          <w:color w:val="000000"/>
          <w:szCs w:val="24"/>
        </w:rPr>
        <w:t>6</w:t>
      </w:r>
      <w:r>
        <w:rPr>
          <w:bCs/>
          <w:color w:val="000000"/>
          <w:spacing w:val="54"/>
          <w:szCs w:val="24"/>
        </w:rPr>
        <w:t xml:space="preserve"> </w:t>
      </w:r>
      <w:r>
        <w:rPr>
          <w:rFonts w:cs="宋体"/>
          <w:color w:val="000000"/>
          <w:szCs w:val="24"/>
        </w:rPr>
        <w:t>振捣混凝土时，应避免钢筋、模板等振松。</w:t>
      </w:r>
    </w:p>
    <w:p>
      <w:pPr>
        <w:spacing w:before="68"/>
        <w:rPr>
          <w:color w:val="000000"/>
          <w:szCs w:val="24"/>
        </w:rPr>
      </w:pPr>
      <w:r>
        <w:rPr>
          <w:b/>
          <w:color w:val="000000"/>
          <w:szCs w:val="24"/>
        </w:rPr>
        <w:t>4.5.3</w:t>
      </w:r>
      <w:r>
        <w:rPr>
          <w:b/>
          <w:color w:val="000000"/>
          <w:spacing w:val="51"/>
          <w:szCs w:val="24"/>
        </w:rPr>
        <w:t xml:space="preserve"> </w:t>
      </w:r>
      <w:r>
        <w:rPr>
          <w:rFonts w:cs="宋体"/>
          <w:color w:val="000000"/>
          <w:szCs w:val="24"/>
        </w:rPr>
        <w:t>混凝土浇注全部完成后，</w:t>
      </w:r>
      <w:r>
        <w:rPr>
          <w:rFonts w:hint="eastAsia" w:cs="宋体"/>
          <w:color w:val="000000"/>
          <w:szCs w:val="24"/>
        </w:rPr>
        <w:t>应</w:t>
      </w:r>
      <w:r>
        <w:rPr>
          <w:rFonts w:cs="宋体"/>
          <w:color w:val="000000"/>
          <w:szCs w:val="24"/>
        </w:rPr>
        <w:t>及时清除上端面余料，抹平上部混</w:t>
      </w:r>
      <w:r>
        <w:rPr>
          <w:rFonts w:cs="宋体"/>
          <w:color w:val="000000"/>
          <w:spacing w:val="-3"/>
          <w:szCs w:val="24"/>
        </w:rPr>
        <w:t>凝土，进行一次抹面。根据气温和混凝土凝结硬化情况，在混凝土终凝前，上端面</w:t>
      </w:r>
      <w:r>
        <w:rPr>
          <w:rFonts w:hint="eastAsia" w:cs="宋体"/>
          <w:color w:val="000000"/>
          <w:spacing w:val="-3"/>
          <w:szCs w:val="24"/>
        </w:rPr>
        <w:t>宜</w:t>
      </w:r>
      <w:r>
        <w:rPr>
          <w:rFonts w:cs="宋体"/>
          <w:color w:val="000000"/>
          <w:spacing w:val="-3"/>
          <w:szCs w:val="24"/>
        </w:rPr>
        <w:t>进行不少于二次的收水抹面，应使上端面与钢模</w:t>
      </w:r>
      <w:r>
        <w:rPr>
          <w:rFonts w:cs="宋体"/>
          <w:color w:val="000000"/>
          <w:szCs w:val="24"/>
        </w:rPr>
        <w:t>上端基准面平齐，且端面光洁、平整。</w:t>
      </w:r>
    </w:p>
    <w:p>
      <w:pPr>
        <w:spacing w:before="68"/>
        <w:rPr>
          <w:color w:val="000000"/>
          <w:szCs w:val="24"/>
        </w:rPr>
      </w:pPr>
      <w:r>
        <w:rPr>
          <w:b/>
          <w:color w:val="000000"/>
          <w:szCs w:val="24"/>
        </w:rPr>
        <w:t>4.5.</w:t>
      </w:r>
      <w:r>
        <w:rPr>
          <w:rFonts w:hint="eastAsia"/>
          <w:b/>
          <w:color w:val="000000"/>
          <w:szCs w:val="24"/>
          <w:lang w:val="en-US" w:eastAsia="zh-CN"/>
        </w:rPr>
        <w:t>4</w:t>
      </w:r>
      <w:r>
        <w:rPr>
          <w:b/>
          <w:color w:val="000000"/>
          <w:spacing w:val="51"/>
          <w:szCs w:val="24"/>
        </w:rPr>
        <w:t xml:space="preserve"> </w:t>
      </w:r>
      <w:r>
        <w:rPr>
          <w:rFonts w:cs="宋体"/>
          <w:color w:val="000000"/>
          <w:szCs w:val="24"/>
        </w:rPr>
        <w:t>脱模应</w:t>
      </w:r>
      <w:r>
        <w:rPr>
          <w:rFonts w:hint="eastAsia" w:cs="宋体"/>
          <w:color w:val="000000"/>
          <w:szCs w:val="24"/>
        </w:rPr>
        <w:t>符合</w:t>
      </w:r>
      <w:r>
        <w:rPr>
          <w:rFonts w:cs="宋体"/>
          <w:color w:val="000000"/>
          <w:szCs w:val="24"/>
        </w:rPr>
        <w:t>下列</w:t>
      </w:r>
      <w:r>
        <w:rPr>
          <w:rFonts w:hint="eastAsia" w:cs="宋体"/>
          <w:color w:val="000000"/>
          <w:szCs w:val="24"/>
        </w:rPr>
        <w:t>规定</w:t>
      </w:r>
      <w:r>
        <w:rPr>
          <w:rFonts w:cs="宋体"/>
          <w:color w:val="000000"/>
          <w:szCs w:val="24"/>
        </w:rPr>
        <w:t>：</w:t>
      </w:r>
    </w:p>
    <w:p>
      <w:pPr>
        <w:ind w:firstLine="480" w:firstLineChars="200"/>
        <w:rPr>
          <w:bCs/>
          <w:color w:val="000000"/>
          <w:szCs w:val="24"/>
        </w:rPr>
      </w:pPr>
      <w:r>
        <w:rPr>
          <w:bCs/>
          <w:color w:val="000000"/>
          <w:szCs w:val="24"/>
        </w:rPr>
        <w:t>1</w:t>
      </w:r>
      <w:r>
        <w:rPr>
          <w:bCs/>
          <w:color w:val="000000"/>
          <w:spacing w:val="54"/>
          <w:szCs w:val="24"/>
        </w:rPr>
        <w:t xml:space="preserve"> </w:t>
      </w:r>
      <w:r>
        <w:rPr>
          <w:rFonts w:cs="宋体"/>
          <w:bCs/>
          <w:color w:val="000000"/>
          <w:szCs w:val="24"/>
        </w:rPr>
        <w:t>模具拆除时混凝土强度应符合设计要求；当设计无要求时，</w:t>
      </w:r>
      <w:r>
        <w:rPr>
          <w:rFonts w:hint="eastAsia" w:cs="宋体"/>
          <w:bCs/>
          <w:color w:val="000000"/>
          <w:szCs w:val="24"/>
          <w:lang w:val="en-US" w:eastAsia="zh-CN"/>
        </w:rPr>
        <w:t>模具拆除</w:t>
      </w:r>
      <w:r>
        <w:rPr>
          <w:rFonts w:cs="宋体"/>
          <w:bCs/>
          <w:color w:val="000000"/>
          <w:szCs w:val="24"/>
        </w:rPr>
        <w:t>应</w:t>
      </w:r>
      <w:r>
        <w:rPr>
          <w:rFonts w:hint="eastAsia" w:cs="宋体"/>
          <w:bCs/>
          <w:color w:val="000000"/>
          <w:szCs w:val="24"/>
          <w:lang w:val="en-US" w:eastAsia="zh-CN"/>
        </w:rPr>
        <w:t>符合</w:t>
      </w:r>
      <w:r>
        <w:rPr>
          <w:rFonts w:cs="宋体"/>
          <w:bCs/>
          <w:color w:val="000000"/>
          <w:szCs w:val="24"/>
        </w:rPr>
        <w:t>现行国家标准《混凝土结构工程施工规范》</w:t>
      </w:r>
      <w:r>
        <w:rPr>
          <w:bCs/>
          <w:color w:val="000000"/>
          <w:szCs w:val="24"/>
        </w:rPr>
        <w:t>GB</w:t>
      </w:r>
      <w:r>
        <w:rPr>
          <w:rFonts w:hint="eastAsia"/>
          <w:bCs/>
          <w:color w:val="000000"/>
          <w:szCs w:val="24"/>
        </w:rPr>
        <w:t xml:space="preserve"> </w:t>
      </w:r>
      <w:r>
        <w:rPr>
          <w:bCs/>
          <w:color w:val="000000"/>
          <w:szCs w:val="24"/>
        </w:rPr>
        <w:t>50</w:t>
      </w:r>
      <w:r>
        <w:rPr>
          <w:rFonts w:hint="eastAsia"/>
          <w:bCs/>
          <w:color w:val="000000"/>
          <w:szCs w:val="24"/>
          <w:lang w:val="en-US" w:eastAsia="zh-CN"/>
        </w:rPr>
        <w:t>666</w:t>
      </w:r>
      <w:r>
        <w:rPr>
          <w:rFonts w:cs="宋体"/>
          <w:bCs/>
          <w:color w:val="000000"/>
          <w:szCs w:val="24"/>
        </w:rPr>
        <w:t>的</w:t>
      </w:r>
      <w:r>
        <w:rPr>
          <w:rFonts w:hint="eastAsia" w:cs="宋体"/>
          <w:bCs/>
          <w:color w:val="000000"/>
          <w:szCs w:val="24"/>
          <w:lang w:val="en-US" w:eastAsia="zh-CN"/>
        </w:rPr>
        <w:t>相关规定</w:t>
      </w:r>
      <w:r>
        <w:rPr>
          <w:rFonts w:cs="宋体"/>
          <w:bCs/>
          <w:color w:val="000000"/>
          <w:szCs w:val="24"/>
        </w:rPr>
        <w:t>；</w:t>
      </w:r>
    </w:p>
    <w:p>
      <w:pPr>
        <w:ind w:firstLine="480" w:firstLineChars="200"/>
        <w:rPr>
          <w:bCs/>
          <w:color w:val="000000"/>
          <w:szCs w:val="24"/>
        </w:rPr>
      </w:pPr>
      <w:r>
        <w:rPr>
          <w:rFonts w:hint="eastAsia"/>
          <w:bCs/>
          <w:color w:val="000000"/>
          <w:szCs w:val="24"/>
          <w:lang w:val="en-US" w:eastAsia="zh-CN"/>
        </w:rPr>
        <w:t>2</w:t>
      </w:r>
      <w:r>
        <w:rPr>
          <w:bCs/>
          <w:color w:val="000000"/>
          <w:spacing w:val="54"/>
          <w:szCs w:val="24"/>
        </w:rPr>
        <w:t xml:space="preserve"> </w:t>
      </w:r>
      <w:r>
        <w:rPr>
          <w:rFonts w:cs="宋体"/>
          <w:bCs/>
          <w:color w:val="000000"/>
          <w:szCs w:val="24"/>
        </w:rPr>
        <w:t>脱模时，应能保证混凝土预制构件表面及棱角不受损伤；</w:t>
      </w:r>
    </w:p>
    <w:p>
      <w:pPr>
        <w:ind w:firstLine="480" w:firstLineChars="200"/>
        <w:rPr>
          <w:bCs/>
          <w:color w:val="000000"/>
          <w:szCs w:val="24"/>
        </w:rPr>
      </w:pPr>
      <w:r>
        <w:rPr>
          <w:rFonts w:hint="eastAsia"/>
          <w:bCs/>
          <w:color w:val="000000"/>
          <w:szCs w:val="24"/>
          <w:lang w:val="en-US" w:eastAsia="zh-CN"/>
        </w:rPr>
        <w:t>3</w:t>
      </w:r>
      <w:r>
        <w:rPr>
          <w:bCs/>
          <w:color w:val="000000"/>
          <w:spacing w:val="54"/>
          <w:szCs w:val="24"/>
        </w:rPr>
        <w:t xml:space="preserve"> </w:t>
      </w:r>
      <w:r>
        <w:rPr>
          <w:rFonts w:cs="宋体"/>
          <w:bCs/>
          <w:color w:val="000000"/>
          <w:szCs w:val="24"/>
        </w:rPr>
        <w:t>模具吊离模位时，模板和混凝土结构之间的连接应全部拆除，移动模板时</w:t>
      </w:r>
      <w:r>
        <w:rPr>
          <w:rFonts w:hint="eastAsia" w:cs="宋体"/>
          <w:bCs/>
          <w:color w:val="000000"/>
          <w:szCs w:val="24"/>
          <w:lang w:eastAsia="zh-CN"/>
        </w:rPr>
        <w:t>不应</w:t>
      </w:r>
      <w:r>
        <w:rPr>
          <w:rFonts w:cs="宋体"/>
          <w:bCs/>
          <w:color w:val="000000"/>
          <w:szCs w:val="24"/>
        </w:rPr>
        <w:t>碰撞构件；</w:t>
      </w:r>
    </w:p>
    <w:p>
      <w:pPr>
        <w:ind w:firstLine="480" w:firstLineChars="200"/>
        <w:rPr>
          <w:bCs/>
          <w:color w:val="000000"/>
          <w:szCs w:val="24"/>
        </w:rPr>
      </w:pPr>
      <w:r>
        <w:rPr>
          <w:rFonts w:hint="eastAsia"/>
          <w:bCs/>
          <w:color w:val="000000"/>
          <w:szCs w:val="24"/>
          <w:lang w:val="en-US" w:eastAsia="zh-CN"/>
        </w:rPr>
        <w:t>4</w:t>
      </w:r>
      <w:r>
        <w:rPr>
          <w:bCs/>
          <w:color w:val="000000"/>
          <w:spacing w:val="54"/>
          <w:szCs w:val="24"/>
        </w:rPr>
        <w:t xml:space="preserve"> </w:t>
      </w:r>
      <w:r>
        <w:rPr>
          <w:rFonts w:cs="宋体"/>
          <w:bCs/>
          <w:color w:val="000000"/>
          <w:szCs w:val="24"/>
        </w:rPr>
        <w:t>模板的拆除顺序应按模板</w:t>
      </w:r>
      <w:r>
        <w:rPr>
          <w:rFonts w:hint="eastAsia" w:cs="宋体"/>
          <w:bCs/>
          <w:color w:val="000000"/>
          <w:szCs w:val="24"/>
          <w:lang w:val="en-US" w:eastAsia="zh-CN"/>
        </w:rPr>
        <w:t>拆除</w:t>
      </w:r>
      <w:r>
        <w:rPr>
          <w:rFonts w:cs="宋体"/>
          <w:bCs/>
          <w:color w:val="000000"/>
          <w:szCs w:val="24"/>
        </w:rPr>
        <w:t>方案进行；</w:t>
      </w:r>
    </w:p>
    <w:p>
      <w:pPr>
        <w:ind w:firstLine="480" w:firstLineChars="200"/>
        <w:rPr>
          <w:rFonts w:hint="eastAsia" w:eastAsia="宋体" w:cs="宋体"/>
          <w:color w:val="000000"/>
          <w:szCs w:val="24"/>
          <w:lang w:eastAsia="zh-CN"/>
        </w:rPr>
      </w:pPr>
      <w:r>
        <w:rPr>
          <w:rFonts w:hint="eastAsia"/>
          <w:bCs/>
          <w:color w:val="000000"/>
          <w:szCs w:val="24"/>
          <w:lang w:val="en-US" w:eastAsia="zh-CN"/>
        </w:rPr>
        <w:t>5</w:t>
      </w:r>
      <w:r>
        <w:rPr>
          <w:bCs/>
          <w:color w:val="000000"/>
          <w:spacing w:val="54"/>
          <w:szCs w:val="24"/>
        </w:rPr>
        <w:t xml:space="preserve"> </w:t>
      </w:r>
      <w:r>
        <w:rPr>
          <w:rFonts w:cs="宋体"/>
          <w:bCs/>
          <w:color w:val="000000"/>
          <w:spacing w:val="-7"/>
          <w:szCs w:val="24"/>
        </w:rPr>
        <w:t>模</w:t>
      </w:r>
      <w:r>
        <w:rPr>
          <w:rFonts w:cs="宋体"/>
          <w:color w:val="000000"/>
          <w:spacing w:val="-7"/>
          <w:szCs w:val="24"/>
        </w:rPr>
        <w:t>板拆除后，应及时清理板面，并涂刷脱模剂；对变形部位，</w:t>
      </w:r>
      <w:r>
        <w:rPr>
          <w:rFonts w:cs="宋体"/>
          <w:color w:val="000000"/>
          <w:szCs w:val="24"/>
        </w:rPr>
        <w:t>应及时修复</w:t>
      </w:r>
      <w:r>
        <w:rPr>
          <w:rFonts w:hint="eastAsia" w:cs="宋体"/>
          <w:color w:val="000000"/>
          <w:szCs w:val="24"/>
          <w:lang w:eastAsia="zh-CN"/>
        </w:rPr>
        <w:t>。</w:t>
      </w:r>
    </w:p>
    <w:p>
      <w:pPr>
        <w:ind w:firstLine="480" w:firstLineChars="200"/>
        <w:rPr>
          <w:rFonts w:cs="宋体"/>
          <w:color w:val="000000"/>
          <w:szCs w:val="24"/>
        </w:rPr>
      </w:pPr>
    </w:p>
    <w:p>
      <w:pPr>
        <w:rPr>
          <w:rFonts w:eastAsia="仿宋" w:cs="Times New Roman"/>
          <w:szCs w:val="24"/>
        </w:rPr>
      </w:pPr>
    </w:p>
    <w:p>
      <w:pPr>
        <w:pStyle w:val="3"/>
      </w:pPr>
      <w:bookmarkStart w:id="138" w:name="_Toc30930"/>
      <w:bookmarkStart w:id="139" w:name="_Toc6050"/>
      <w:bookmarkStart w:id="140" w:name="_Toc30515"/>
      <w:bookmarkStart w:id="141" w:name="_Toc17484"/>
      <w:bookmarkStart w:id="142" w:name="_Toc7094"/>
      <w:bookmarkStart w:id="143" w:name="_Toc2067"/>
      <w:r>
        <w:t>4.6</w:t>
      </w:r>
      <w:r>
        <w:rPr>
          <w:rFonts w:hint="eastAsia"/>
        </w:rPr>
        <w:t xml:space="preserve"> </w:t>
      </w:r>
      <w:r>
        <w:t xml:space="preserve"> 构件养护</w:t>
      </w:r>
      <w:bookmarkEnd w:id="138"/>
      <w:bookmarkEnd w:id="139"/>
      <w:bookmarkEnd w:id="140"/>
      <w:bookmarkEnd w:id="141"/>
      <w:bookmarkEnd w:id="142"/>
      <w:bookmarkEnd w:id="143"/>
    </w:p>
    <w:p>
      <w:pPr>
        <w:rPr>
          <w:color w:val="000000"/>
          <w:szCs w:val="24"/>
        </w:rPr>
      </w:pPr>
      <w:r>
        <w:rPr>
          <w:b/>
          <w:color w:val="000000"/>
          <w:szCs w:val="24"/>
        </w:rPr>
        <w:t>4.6.1</w:t>
      </w:r>
      <w:r>
        <w:rPr>
          <w:b/>
          <w:color w:val="000000"/>
          <w:spacing w:val="51"/>
          <w:szCs w:val="24"/>
        </w:rPr>
        <w:t xml:space="preserve"> </w:t>
      </w:r>
      <w:r>
        <w:rPr>
          <w:rFonts w:hint="eastAsia" w:cs="宋体"/>
          <w:color w:val="000000"/>
          <w:szCs w:val="24"/>
          <w:lang w:val="en-US" w:eastAsia="zh-CN"/>
        </w:rPr>
        <w:t>构件</w:t>
      </w:r>
      <w:r>
        <w:rPr>
          <w:rFonts w:cs="宋体"/>
          <w:color w:val="000000"/>
          <w:szCs w:val="24"/>
        </w:rPr>
        <w:t>养护</w:t>
      </w:r>
      <w:r>
        <w:rPr>
          <w:rFonts w:hint="eastAsia" w:cs="宋体"/>
          <w:color w:val="000000"/>
          <w:szCs w:val="24"/>
        </w:rPr>
        <w:t>宜</w:t>
      </w:r>
      <w:r>
        <w:rPr>
          <w:rFonts w:cs="宋体"/>
          <w:color w:val="000000"/>
          <w:szCs w:val="24"/>
        </w:rPr>
        <w:t>采用蒸汽养护方法。</w:t>
      </w:r>
    </w:p>
    <w:p>
      <w:pPr>
        <w:rPr>
          <w:color w:val="000000"/>
          <w:szCs w:val="24"/>
        </w:rPr>
      </w:pPr>
      <w:r>
        <w:rPr>
          <w:b/>
          <w:color w:val="000000"/>
          <w:szCs w:val="24"/>
        </w:rPr>
        <w:t>4.6.2</w:t>
      </w:r>
      <w:r>
        <w:rPr>
          <w:b/>
          <w:color w:val="000000"/>
          <w:spacing w:val="51"/>
          <w:szCs w:val="24"/>
        </w:rPr>
        <w:t xml:space="preserve"> </w:t>
      </w:r>
      <w:r>
        <w:rPr>
          <w:rFonts w:hint="eastAsia" w:cs="宋体"/>
          <w:color w:val="000000"/>
          <w:szCs w:val="24"/>
          <w:lang w:eastAsia="zh-CN"/>
        </w:rPr>
        <w:t>当采用</w:t>
      </w:r>
      <w:r>
        <w:rPr>
          <w:rFonts w:cs="宋体"/>
          <w:color w:val="000000"/>
          <w:szCs w:val="24"/>
        </w:rPr>
        <w:t>蒸汽养护</w:t>
      </w:r>
      <w:r>
        <w:rPr>
          <w:rFonts w:hint="eastAsia" w:cs="宋体"/>
          <w:color w:val="000000"/>
          <w:szCs w:val="24"/>
          <w:lang w:eastAsia="zh-CN"/>
        </w:rPr>
        <w:t>时，</w:t>
      </w:r>
      <w:r>
        <w:rPr>
          <w:rFonts w:cs="宋体"/>
          <w:color w:val="000000"/>
          <w:szCs w:val="24"/>
        </w:rPr>
        <w:t>应符合下列规定：</w:t>
      </w:r>
    </w:p>
    <w:p>
      <w:pPr>
        <w:ind w:firstLine="480" w:firstLineChars="200"/>
        <w:rPr>
          <w:bCs/>
          <w:color w:val="000000"/>
          <w:szCs w:val="24"/>
        </w:rPr>
      </w:pPr>
      <w:r>
        <w:rPr>
          <w:bCs/>
          <w:color w:val="000000"/>
          <w:szCs w:val="24"/>
        </w:rPr>
        <w:t>1</w:t>
      </w:r>
      <w:r>
        <w:rPr>
          <w:bCs/>
          <w:color w:val="000000"/>
          <w:spacing w:val="54"/>
          <w:szCs w:val="24"/>
        </w:rPr>
        <w:t xml:space="preserve"> </w:t>
      </w:r>
      <w:r>
        <w:rPr>
          <w:rFonts w:cs="宋体"/>
          <w:bCs/>
          <w:color w:val="000000"/>
          <w:szCs w:val="24"/>
        </w:rPr>
        <w:t>静停时间</w:t>
      </w:r>
      <w:r>
        <w:rPr>
          <w:rFonts w:hint="eastAsia" w:cs="宋体"/>
          <w:bCs/>
          <w:color w:val="000000"/>
          <w:szCs w:val="24"/>
          <w:lang w:eastAsia="zh-CN"/>
        </w:rPr>
        <w:t>：</w:t>
      </w:r>
      <w:r>
        <w:rPr>
          <w:rFonts w:hint="eastAsia" w:cs="宋体"/>
          <w:bCs/>
          <w:color w:val="000000"/>
          <w:szCs w:val="24"/>
          <w:lang w:val="en-US" w:eastAsia="zh-CN"/>
        </w:rPr>
        <w:t>当</w:t>
      </w:r>
      <w:r>
        <w:rPr>
          <w:rFonts w:cs="宋体"/>
          <w:bCs/>
          <w:color w:val="000000"/>
          <w:szCs w:val="24"/>
        </w:rPr>
        <w:t>环境温度大于</w:t>
      </w:r>
      <w:r>
        <w:rPr>
          <w:bCs/>
          <w:color w:val="000000"/>
          <w:spacing w:val="1"/>
          <w:szCs w:val="24"/>
        </w:rPr>
        <w:t xml:space="preserve"> </w:t>
      </w:r>
      <w:r>
        <w:rPr>
          <w:bCs/>
          <w:color w:val="000000"/>
          <w:spacing w:val="-1"/>
          <w:szCs w:val="24"/>
        </w:rPr>
        <w:t>20</w:t>
      </w:r>
      <w:r>
        <w:rPr>
          <w:rFonts w:cs="宋体"/>
          <w:bCs/>
          <w:color w:val="000000"/>
          <w:szCs w:val="24"/>
        </w:rPr>
        <w:t>℃时，静停时间不宜少于</w:t>
      </w:r>
      <w:r>
        <w:rPr>
          <w:bCs/>
          <w:color w:val="000000"/>
          <w:spacing w:val="-1"/>
          <w:szCs w:val="24"/>
        </w:rPr>
        <w:t>1h</w:t>
      </w:r>
      <w:r>
        <w:rPr>
          <w:rFonts w:cs="宋体"/>
          <w:bCs/>
          <w:color w:val="000000"/>
          <w:szCs w:val="24"/>
        </w:rPr>
        <w:t>；</w:t>
      </w:r>
      <w:r>
        <w:rPr>
          <w:rFonts w:hint="eastAsia" w:cs="宋体"/>
          <w:bCs/>
          <w:color w:val="000000"/>
          <w:szCs w:val="24"/>
          <w:lang w:val="en-US" w:eastAsia="zh-CN"/>
        </w:rPr>
        <w:t>当</w:t>
      </w:r>
      <w:r>
        <w:rPr>
          <w:rFonts w:cs="宋体"/>
          <w:bCs/>
          <w:color w:val="000000"/>
          <w:szCs w:val="24"/>
        </w:rPr>
        <w:t>环境温度</w:t>
      </w:r>
      <w:r>
        <w:rPr>
          <w:rFonts w:hint="eastAsia" w:cs="宋体"/>
          <w:bCs/>
          <w:color w:val="000000"/>
          <w:szCs w:val="24"/>
          <w:lang w:val="en-US" w:eastAsia="zh-CN"/>
        </w:rPr>
        <w:t>处于5</w:t>
      </w:r>
      <w:r>
        <w:rPr>
          <w:rFonts w:cs="宋体"/>
          <w:bCs/>
          <w:color w:val="000000"/>
          <w:szCs w:val="24"/>
        </w:rPr>
        <w:t>℃</w:t>
      </w:r>
      <w:r>
        <w:rPr>
          <w:rFonts w:hint="eastAsia" w:cs="宋体"/>
          <w:bCs/>
          <w:color w:val="000000"/>
          <w:szCs w:val="24"/>
          <w:lang w:val="en-US" w:eastAsia="zh-CN"/>
        </w:rPr>
        <w:t>~</w:t>
      </w:r>
      <w:r>
        <w:rPr>
          <w:bCs/>
          <w:color w:val="000000"/>
          <w:spacing w:val="1"/>
          <w:szCs w:val="24"/>
        </w:rPr>
        <w:t xml:space="preserve"> </w:t>
      </w:r>
      <w:r>
        <w:rPr>
          <w:bCs/>
          <w:color w:val="000000"/>
          <w:spacing w:val="-1"/>
          <w:szCs w:val="24"/>
        </w:rPr>
        <w:t>20</w:t>
      </w:r>
      <w:r>
        <w:rPr>
          <w:rFonts w:cs="宋体"/>
          <w:bCs/>
          <w:color w:val="000000"/>
          <w:szCs w:val="24"/>
        </w:rPr>
        <w:t>℃时，静停时间不宜少于</w:t>
      </w:r>
      <w:r>
        <w:rPr>
          <w:bCs/>
          <w:color w:val="000000"/>
          <w:spacing w:val="-1"/>
          <w:szCs w:val="24"/>
        </w:rPr>
        <w:t>2h</w:t>
      </w:r>
      <w:r>
        <w:rPr>
          <w:rFonts w:cs="宋体"/>
          <w:bCs/>
          <w:color w:val="000000"/>
          <w:szCs w:val="24"/>
        </w:rPr>
        <w:t>；</w:t>
      </w:r>
      <w:r>
        <w:rPr>
          <w:rFonts w:hint="eastAsia" w:cs="宋体"/>
          <w:bCs/>
          <w:color w:val="000000"/>
          <w:szCs w:val="24"/>
          <w:lang w:val="en-US" w:eastAsia="zh-CN"/>
        </w:rPr>
        <w:t>当</w:t>
      </w:r>
      <w:r>
        <w:rPr>
          <w:rFonts w:cs="宋体"/>
          <w:bCs/>
          <w:color w:val="000000"/>
          <w:szCs w:val="24"/>
        </w:rPr>
        <w:t>环境温度低于</w:t>
      </w:r>
      <w:r>
        <w:rPr>
          <w:bCs/>
          <w:color w:val="000000"/>
          <w:spacing w:val="-2"/>
          <w:szCs w:val="24"/>
        </w:rPr>
        <w:t>5</w:t>
      </w:r>
      <w:r>
        <w:rPr>
          <w:rFonts w:cs="宋体"/>
          <w:bCs/>
          <w:color w:val="000000"/>
          <w:szCs w:val="24"/>
        </w:rPr>
        <w:t>℃时，</w:t>
      </w:r>
      <w:r>
        <w:rPr>
          <w:rFonts w:hint="eastAsia" w:cs="宋体"/>
          <w:bCs/>
          <w:color w:val="000000"/>
          <w:szCs w:val="24"/>
          <w:lang w:val="en-US" w:eastAsia="zh-CN"/>
        </w:rPr>
        <w:t>静停时间不宜少于5h</w:t>
      </w:r>
      <w:r>
        <w:rPr>
          <w:rFonts w:hint="eastAsia" w:cs="宋体"/>
          <w:bCs/>
          <w:color w:val="000000"/>
          <w:spacing w:val="-1"/>
          <w:szCs w:val="24"/>
          <w:lang w:eastAsia="zh-CN"/>
        </w:rPr>
        <w:t>。</w:t>
      </w:r>
      <w:r>
        <w:rPr>
          <w:rFonts w:hint="eastAsia" w:cs="宋体"/>
          <w:bCs/>
          <w:color w:val="000000"/>
          <w:spacing w:val="-1"/>
          <w:szCs w:val="24"/>
          <w:lang w:val="en-US" w:eastAsia="zh-CN"/>
        </w:rPr>
        <w:t>混凝土表面</w:t>
      </w:r>
      <w:r>
        <w:rPr>
          <w:rFonts w:cs="宋体"/>
          <w:bCs/>
          <w:color w:val="000000"/>
          <w:spacing w:val="-1"/>
          <w:szCs w:val="24"/>
        </w:rPr>
        <w:t>收水结束后，可放微量蒸汽进行预养，预养</w:t>
      </w:r>
      <w:r>
        <w:rPr>
          <w:rFonts w:hint="eastAsia" w:cs="宋体"/>
          <w:bCs/>
          <w:color w:val="000000"/>
          <w:spacing w:val="-1"/>
          <w:szCs w:val="24"/>
        </w:rPr>
        <w:t>升温</w:t>
      </w:r>
      <w:r>
        <w:rPr>
          <w:rFonts w:cs="宋体"/>
          <w:bCs/>
          <w:color w:val="000000"/>
          <w:spacing w:val="-1"/>
          <w:szCs w:val="24"/>
        </w:rPr>
        <w:t>速度不宜大于</w:t>
      </w:r>
      <w:r>
        <w:rPr>
          <w:bCs/>
          <w:color w:val="000000"/>
          <w:spacing w:val="1"/>
          <w:szCs w:val="24"/>
        </w:rPr>
        <w:t>5</w:t>
      </w:r>
      <w:r>
        <w:rPr>
          <w:rFonts w:cs="宋体"/>
          <w:bCs/>
          <w:color w:val="000000"/>
          <w:spacing w:val="1"/>
          <w:szCs w:val="24"/>
        </w:rPr>
        <w:t>℃</w:t>
      </w:r>
      <w:r>
        <w:rPr>
          <w:bCs/>
          <w:color w:val="000000"/>
          <w:szCs w:val="24"/>
        </w:rPr>
        <w:t>/h</w:t>
      </w:r>
      <w:r>
        <w:rPr>
          <w:rFonts w:cs="宋体"/>
          <w:bCs/>
          <w:color w:val="000000"/>
          <w:szCs w:val="24"/>
        </w:rPr>
        <w:t>；</w:t>
      </w:r>
    </w:p>
    <w:p>
      <w:pPr>
        <w:ind w:firstLine="480" w:firstLineChars="200"/>
        <w:rPr>
          <w:bCs/>
          <w:color w:val="000000"/>
          <w:szCs w:val="24"/>
        </w:rPr>
      </w:pPr>
      <w:r>
        <w:rPr>
          <w:bCs/>
          <w:color w:val="000000"/>
          <w:szCs w:val="24"/>
        </w:rPr>
        <w:t>2</w:t>
      </w:r>
      <w:r>
        <w:rPr>
          <w:bCs/>
          <w:color w:val="000000"/>
          <w:spacing w:val="54"/>
          <w:szCs w:val="24"/>
        </w:rPr>
        <w:t xml:space="preserve"> </w:t>
      </w:r>
      <w:r>
        <w:rPr>
          <w:rFonts w:hint="eastAsia" w:cs="宋体"/>
          <w:bCs/>
          <w:color w:val="000000"/>
          <w:szCs w:val="24"/>
          <w:lang w:val="en-US" w:eastAsia="zh-CN"/>
        </w:rPr>
        <w:t>养护</w:t>
      </w:r>
      <w:r>
        <w:rPr>
          <w:rFonts w:cs="宋体"/>
          <w:bCs/>
          <w:color w:val="000000"/>
          <w:szCs w:val="24"/>
        </w:rPr>
        <w:t>升温速度不宜大于</w:t>
      </w:r>
      <w:r>
        <w:rPr>
          <w:bCs/>
          <w:color w:val="000000"/>
          <w:spacing w:val="-1"/>
          <w:szCs w:val="24"/>
        </w:rPr>
        <w:t>20</w:t>
      </w:r>
      <w:r>
        <w:rPr>
          <w:rFonts w:cs="宋体"/>
          <w:bCs/>
          <w:color w:val="000000"/>
          <w:spacing w:val="1"/>
          <w:szCs w:val="24"/>
        </w:rPr>
        <w:t>℃</w:t>
      </w:r>
      <w:r>
        <w:rPr>
          <w:bCs/>
          <w:color w:val="000000"/>
          <w:szCs w:val="24"/>
        </w:rPr>
        <w:t>/h</w:t>
      </w:r>
      <w:r>
        <w:rPr>
          <w:rFonts w:cs="宋体"/>
          <w:bCs/>
          <w:color w:val="000000"/>
          <w:szCs w:val="24"/>
        </w:rPr>
        <w:t>；</w:t>
      </w:r>
    </w:p>
    <w:p>
      <w:pPr>
        <w:ind w:firstLine="480" w:firstLineChars="200"/>
        <w:rPr>
          <w:rFonts w:hint="eastAsia" w:eastAsia="宋体"/>
          <w:bCs/>
          <w:color w:val="000000"/>
          <w:szCs w:val="24"/>
          <w:lang w:eastAsia="zh-CN"/>
        </w:rPr>
      </w:pPr>
      <w:r>
        <w:rPr>
          <w:bCs/>
          <w:color w:val="000000"/>
          <w:szCs w:val="24"/>
        </w:rPr>
        <w:t>3</w:t>
      </w:r>
      <w:r>
        <w:rPr>
          <w:bCs/>
          <w:color w:val="000000"/>
          <w:spacing w:val="54"/>
          <w:szCs w:val="24"/>
        </w:rPr>
        <w:t xml:space="preserve"> </w:t>
      </w:r>
      <w:r>
        <w:rPr>
          <w:rFonts w:cs="宋体"/>
          <w:bCs/>
          <w:color w:val="000000"/>
          <w:spacing w:val="-3"/>
          <w:szCs w:val="24"/>
        </w:rPr>
        <w:t>恒温最高温度</w:t>
      </w:r>
      <w:r>
        <w:rPr>
          <w:rFonts w:hint="eastAsia" w:cs="宋体"/>
          <w:bCs/>
          <w:color w:val="000000"/>
          <w:spacing w:val="-3"/>
          <w:szCs w:val="24"/>
          <w:lang w:val="en-US" w:eastAsia="zh-CN"/>
        </w:rPr>
        <w:t>宜</w:t>
      </w:r>
      <w:r>
        <w:rPr>
          <w:rFonts w:cs="宋体"/>
          <w:bCs/>
          <w:color w:val="000000"/>
          <w:spacing w:val="-3"/>
          <w:szCs w:val="24"/>
        </w:rPr>
        <w:t>为（</w:t>
      </w:r>
      <w:r>
        <w:rPr>
          <w:rFonts w:cs="TSSBUF+TimesNewRomanPSMT"/>
          <w:bCs/>
          <w:color w:val="000000"/>
          <w:szCs w:val="24"/>
        </w:rPr>
        <w:t>60±5</w:t>
      </w:r>
      <w:r>
        <w:rPr>
          <w:rFonts w:cs="宋体"/>
          <w:bCs/>
          <w:color w:val="000000"/>
          <w:spacing w:val="-6"/>
          <w:szCs w:val="24"/>
        </w:rPr>
        <w:t>）℃；恒温时间以</w:t>
      </w:r>
      <w:r>
        <w:rPr>
          <w:rFonts w:cs="宋体"/>
          <w:bCs/>
          <w:color w:val="000000"/>
          <w:szCs w:val="24"/>
        </w:rPr>
        <w:t>保证构件达到脱摸、起吊强度为原则，不宜少于</w:t>
      </w:r>
      <w:r>
        <w:rPr>
          <w:bCs/>
          <w:color w:val="000000"/>
          <w:spacing w:val="1"/>
          <w:szCs w:val="24"/>
        </w:rPr>
        <w:t xml:space="preserve"> </w:t>
      </w:r>
      <w:r>
        <w:rPr>
          <w:bCs/>
          <w:color w:val="000000"/>
          <w:spacing w:val="-2"/>
          <w:szCs w:val="24"/>
        </w:rPr>
        <w:t>3h</w:t>
      </w:r>
      <w:r>
        <w:rPr>
          <w:rFonts w:cs="宋体"/>
          <w:bCs/>
          <w:color w:val="000000"/>
          <w:szCs w:val="24"/>
        </w:rPr>
        <w:t>；恒温温度达不到要求时，应按度</w:t>
      </w:r>
      <w:r>
        <w:rPr>
          <w:rFonts w:cs="TSSBUF+TimesNewRomanPSMT"/>
          <w:bCs/>
          <w:color w:val="000000"/>
          <w:spacing w:val="-1"/>
          <w:szCs w:val="24"/>
        </w:rPr>
        <w:t>×</w:t>
      </w:r>
      <w:r>
        <w:rPr>
          <w:rFonts w:cs="宋体"/>
          <w:bCs/>
          <w:color w:val="000000"/>
          <w:szCs w:val="24"/>
        </w:rPr>
        <w:t>小时（即度时积）折算，延长恒温时间</w:t>
      </w:r>
      <w:r>
        <w:rPr>
          <w:rFonts w:hint="eastAsia" w:cs="宋体"/>
          <w:bCs/>
          <w:color w:val="000000"/>
          <w:szCs w:val="24"/>
          <w:lang w:eastAsia="zh-CN"/>
        </w:rPr>
        <w:t>；</w:t>
      </w:r>
    </w:p>
    <w:p>
      <w:pPr>
        <w:ind w:firstLine="480" w:firstLineChars="200"/>
        <w:rPr>
          <w:bCs/>
          <w:color w:val="000000"/>
          <w:szCs w:val="24"/>
        </w:rPr>
      </w:pPr>
      <w:r>
        <w:rPr>
          <w:bCs/>
          <w:color w:val="000000"/>
          <w:szCs w:val="24"/>
        </w:rPr>
        <w:t>4</w:t>
      </w:r>
      <w:r>
        <w:rPr>
          <w:bCs/>
          <w:color w:val="000000"/>
          <w:spacing w:val="54"/>
          <w:szCs w:val="24"/>
        </w:rPr>
        <w:t xml:space="preserve"> </w:t>
      </w:r>
      <w:r>
        <w:rPr>
          <w:rFonts w:hint="eastAsia" w:cs="宋体"/>
          <w:bCs/>
          <w:color w:val="000000"/>
          <w:szCs w:val="24"/>
          <w:lang w:val="en-US" w:eastAsia="zh-CN"/>
        </w:rPr>
        <w:t>养护</w:t>
      </w:r>
      <w:r>
        <w:rPr>
          <w:rFonts w:cs="宋体"/>
          <w:bCs/>
          <w:color w:val="000000"/>
          <w:szCs w:val="24"/>
        </w:rPr>
        <w:t>降温速度不宜大于</w:t>
      </w:r>
      <w:r>
        <w:rPr>
          <w:bCs/>
          <w:color w:val="000000"/>
          <w:spacing w:val="1"/>
          <w:szCs w:val="24"/>
        </w:rPr>
        <w:t>20</w:t>
      </w:r>
      <w:r>
        <w:rPr>
          <w:rFonts w:cs="宋体"/>
          <w:bCs/>
          <w:color w:val="000000"/>
          <w:spacing w:val="1"/>
          <w:szCs w:val="24"/>
        </w:rPr>
        <w:t>℃</w:t>
      </w:r>
      <w:r>
        <w:rPr>
          <w:bCs/>
          <w:color w:val="000000"/>
          <w:spacing w:val="-1"/>
          <w:szCs w:val="24"/>
        </w:rPr>
        <w:t>/h</w:t>
      </w:r>
      <w:r>
        <w:rPr>
          <w:rFonts w:cs="宋体"/>
          <w:bCs/>
          <w:color w:val="000000"/>
          <w:szCs w:val="24"/>
        </w:rPr>
        <w:t>；</w:t>
      </w:r>
    </w:p>
    <w:p>
      <w:pPr>
        <w:ind w:firstLine="480" w:firstLineChars="200"/>
        <w:rPr>
          <w:color w:val="000000"/>
          <w:szCs w:val="24"/>
        </w:rPr>
      </w:pPr>
      <w:r>
        <w:rPr>
          <w:bCs/>
          <w:color w:val="000000"/>
          <w:szCs w:val="24"/>
        </w:rPr>
        <w:t>5</w:t>
      </w:r>
      <w:r>
        <w:rPr>
          <w:b/>
          <w:color w:val="000000"/>
          <w:spacing w:val="54"/>
          <w:szCs w:val="24"/>
        </w:rPr>
        <w:t xml:space="preserve"> </w:t>
      </w:r>
      <w:r>
        <w:rPr>
          <w:rFonts w:cs="宋体"/>
          <w:color w:val="000000"/>
          <w:szCs w:val="24"/>
        </w:rPr>
        <w:t>蒸汽养护应定时测量温度，并做好记录。</w:t>
      </w:r>
    </w:p>
    <w:p>
      <w:pPr>
        <w:ind w:left="0"/>
        <w:rPr>
          <w:rFonts w:hint="eastAsia" w:eastAsia="宋体"/>
          <w:bCs/>
          <w:color w:val="000000"/>
          <w:szCs w:val="24"/>
          <w:lang w:eastAsia="zh-CN"/>
        </w:rPr>
      </w:pPr>
      <w:r>
        <w:rPr>
          <w:b/>
          <w:color w:val="000000"/>
          <w:szCs w:val="24"/>
        </w:rPr>
        <w:t>4.6.3</w:t>
      </w:r>
      <w:r>
        <w:rPr>
          <w:b/>
          <w:color w:val="000000"/>
          <w:spacing w:val="51"/>
          <w:szCs w:val="24"/>
        </w:rPr>
        <w:t xml:space="preserve"> </w:t>
      </w:r>
      <w:r>
        <w:rPr>
          <w:rFonts w:hint="eastAsia" w:cs="宋体"/>
          <w:bCs/>
          <w:color w:val="000000"/>
          <w:spacing w:val="-3"/>
          <w:szCs w:val="24"/>
          <w:lang w:val="en-US" w:eastAsia="zh-CN"/>
        </w:rPr>
        <w:t>构件</w:t>
      </w:r>
      <w:r>
        <w:rPr>
          <w:rFonts w:cs="宋体"/>
          <w:bCs/>
          <w:color w:val="000000"/>
          <w:spacing w:val="-3"/>
          <w:szCs w:val="24"/>
        </w:rPr>
        <w:t>脱模后堆放期间，白天宜每隔两小时淋水养护一次</w:t>
      </w:r>
      <w:r>
        <w:rPr>
          <w:rFonts w:hint="eastAsia" w:cs="宋体"/>
          <w:bCs/>
          <w:color w:val="000000"/>
          <w:spacing w:val="-3"/>
          <w:szCs w:val="24"/>
          <w:lang w:eastAsia="zh-CN"/>
        </w:rPr>
        <w:t>，</w:t>
      </w:r>
      <w:r>
        <w:rPr>
          <w:rFonts w:hint="eastAsia" w:cs="宋体"/>
          <w:bCs/>
          <w:color w:val="000000"/>
          <w:spacing w:val="-3"/>
          <w:szCs w:val="24"/>
          <w:lang w:val="en-US" w:eastAsia="zh-CN"/>
        </w:rPr>
        <w:t>淋水时间不宜少于7d</w:t>
      </w:r>
      <w:r>
        <w:rPr>
          <w:rFonts w:cs="宋体"/>
          <w:bCs/>
          <w:color w:val="000000"/>
          <w:spacing w:val="-3"/>
          <w:szCs w:val="24"/>
        </w:rPr>
        <w:t>；如</w:t>
      </w:r>
      <w:r>
        <w:rPr>
          <w:rFonts w:cs="宋体"/>
          <w:bCs/>
          <w:color w:val="000000"/>
          <w:szCs w:val="24"/>
        </w:rPr>
        <w:t>天气炎热或冬季干燥时</w:t>
      </w:r>
      <w:r>
        <w:rPr>
          <w:rFonts w:hint="eastAsia" w:cs="宋体"/>
          <w:bCs/>
          <w:color w:val="000000"/>
          <w:szCs w:val="24"/>
          <w:lang w:eastAsia="zh-CN"/>
        </w:rPr>
        <w:t>，</w:t>
      </w:r>
      <w:r>
        <w:rPr>
          <w:rFonts w:cs="宋体"/>
          <w:bCs/>
          <w:color w:val="000000"/>
          <w:szCs w:val="24"/>
        </w:rPr>
        <w:t>适当增加淋水次数或覆盖麻袋保湿</w:t>
      </w:r>
      <w:r>
        <w:rPr>
          <w:rFonts w:hint="eastAsia" w:cs="宋体"/>
          <w:bCs/>
          <w:color w:val="000000"/>
          <w:szCs w:val="24"/>
          <w:lang w:eastAsia="zh-CN"/>
        </w:rPr>
        <w:t>。</w:t>
      </w:r>
    </w:p>
    <w:p>
      <w:pPr>
        <w:ind w:left="422"/>
        <w:rPr>
          <w:rFonts w:cs="宋体"/>
          <w:color w:val="000000"/>
          <w:szCs w:val="24"/>
        </w:rPr>
      </w:pPr>
    </w:p>
    <w:p>
      <w:pPr>
        <w:pStyle w:val="3"/>
        <w:rPr>
          <w:rFonts w:hint="eastAsia"/>
          <w:b/>
          <w:szCs w:val="24"/>
          <w:lang w:eastAsia="zh-CN"/>
        </w:rPr>
      </w:pPr>
      <w:bookmarkStart w:id="144" w:name="_Toc1168"/>
      <w:bookmarkStart w:id="145" w:name="_Toc30155"/>
      <w:bookmarkStart w:id="146" w:name="_Toc21679"/>
      <w:bookmarkStart w:id="147" w:name="_Toc24434"/>
      <w:bookmarkStart w:id="148" w:name="_Toc7917"/>
      <w:bookmarkStart w:id="149" w:name="_Toc9468"/>
      <w:r>
        <w:t xml:space="preserve">4.7 </w:t>
      </w:r>
      <w:r>
        <w:rPr>
          <w:rFonts w:hint="eastAsia"/>
        </w:rPr>
        <w:t xml:space="preserve"> </w:t>
      </w:r>
      <w:r>
        <w:t>构件</w:t>
      </w:r>
      <w:r>
        <w:rPr>
          <w:rFonts w:hint="eastAsia"/>
          <w:lang w:val="en-US" w:eastAsia="zh-CN"/>
        </w:rPr>
        <w:t>预制质量</w:t>
      </w:r>
      <w:r>
        <w:t>检验</w:t>
      </w:r>
      <w:bookmarkEnd w:id="144"/>
      <w:bookmarkEnd w:id="145"/>
      <w:bookmarkEnd w:id="146"/>
      <w:bookmarkEnd w:id="147"/>
      <w:bookmarkEnd w:id="148"/>
      <w:bookmarkEnd w:id="149"/>
    </w:p>
    <w:p>
      <w:pPr>
        <w:jc w:val="center"/>
        <w:rPr>
          <w:rFonts w:hint="eastAsia"/>
          <w:b/>
          <w:bCs/>
          <w:sz w:val="28"/>
          <w:szCs w:val="24"/>
          <w:lang w:val="en-US" w:eastAsia="zh-CN"/>
        </w:rPr>
      </w:pPr>
      <w:r>
        <w:rPr>
          <w:rFonts w:hint="eastAsia"/>
          <w:b/>
          <w:bCs/>
          <w:sz w:val="28"/>
          <w:szCs w:val="24"/>
        </w:rPr>
        <w:t>Ⅰ</w:t>
      </w:r>
      <w:r>
        <w:rPr>
          <w:b/>
          <w:bCs/>
          <w:sz w:val="28"/>
          <w:szCs w:val="24"/>
        </w:rPr>
        <w:t xml:space="preserve">  模具</w:t>
      </w:r>
      <w:r>
        <w:rPr>
          <w:rFonts w:hint="eastAsia"/>
          <w:b/>
          <w:bCs/>
          <w:sz w:val="28"/>
          <w:szCs w:val="24"/>
          <w:lang w:val="en-US" w:eastAsia="zh-CN"/>
        </w:rPr>
        <w:t>安装</w:t>
      </w:r>
    </w:p>
    <w:p>
      <w:pPr>
        <w:jc w:val="center"/>
        <w:rPr>
          <w:b/>
          <w:bCs/>
          <w:szCs w:val="24"/>
        </w:rPr>
      </w:pPr>
      <w:bookmarkStart w:id="150" w:name="_Toc2309"/>
      <w:r>
        <w:rPr>
          <w:rFonts w:hint="eastAsia"/>
          <w:b/>
          <w:bCs/>
          <w:szCs w:val="24"/>
        </w:rPr>
        <w:t>主控项目</w:t>
      </w:r>
      <w:bookmarkEnd w:id="150"/>
    </w:p>
    <w:p>
      <w:pPr>
        <w:rPr>
          <w:szCs w:val="24"/>
        </w:rPr>
      </w:pPr>
      <w:r>
        <w:rPr>
          <w:b/>
          <w:bCs/>
          <w:szCs w:val="24"/>
        </w:rPr>
        <w:t>4.7.</w:t>
      </w:r>
      <w:r>
        <w:rPr>
          <w:rFonts w:hint="eastAsia"/>
          <w:b/>
          <w:bCs/>
          <w:szCs w:val="24"/>
          <w:lang w:val="en-US" w:eastAsia="zh-CN"/>
        </w:rPr>
        <w:t>1</w:t>
      </w:r>
      <w:r>
        <w:rPr>
          <w:szCs w:val="24"/>
        </w:rPr>
        <w:t xml:space="preserve"> </w:t>
      </w:r>
      <w:r>
        <w:rPr>
          <w:rFonts w:hint="eastAsia"/>
          <w:szCs w:val="24"/>
        </w:rPr>
        <w:t xml:space="preserve"> 模具及所用材料、配件的品种、规格等应符合设计的规定。</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检验方法：观察，尺量，检查质量证明文件。</w:t>
      </w:r>
    </w:p>
    <w:p>
      <w:pPr>
        <w:rPr>
          <w:szCs w:val="24"/>
        </w:rPr>
      </w:pPr>
      <w:r>
        <w:rPr>
          <w:b/>
          <w:bCs/>
          <w:szCs w:val="24"/>
        </w:rPr>
        <w:t>4.7.</w:t>
      </w:r>
      <w:r>
        <w:rPr>
          <w:rFonts w:hint="eastAsia"/>
          <w:b/>
          <w:bCs/>
          <w:szCs w:val="24"/>
          <w:lang w:val="en-US" w:eastAsia="zh-CN"/>
        </w:rPr>
        <w:t>2</w:t>
      </w:r>
      <w:r>
        <w:rPr>
          <w:b/>
          <w:szCs w:val="24"/>
        </w:rPr>
        <w:t xml:space="preserve"> </w:t>
      </w:r>
      <w:r>
        <w:rPr>
          <w:rFonts w:hint="eastAsia"/>
          <w:b/>
          <w:szCs w:val="24"/>
        </w:rPr>
        <w:t xml:space="preserve"> </w:t>
      </w:r>
      <w:r>
        <w:rPr>
          <w:rFonts w:hint="eastAsia"/>
          <w:szCs w:val="24"/>
        </w:rPr>
        <w:t>模具的部件与部件之间应连接牢固；安装在模具上的预埋件应有可靠固定措施。</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检验方法：观察，摇动检查。</w:t>
      </w:r>
    </w:p>
    <w:p>
      <w:pPr>
        <w:rPr>
          <w:szCs w:val="24"/>
        </w:rPr>
      </w:pPr>
      <w:r>
        <w:rPr>
          <w:b/>
          <w:bCs/>
          <w:szCs w:val="24"/>
        </w:rPr>
        <w:t>4.7.</w:t>
      </w:r>
      <w:r>
        <w:rPr>
          <w:rFonts w:hint="eastAsia"/>
          <w:b/>
          <w:bCs/>
          <w:szCs w:val="24"/>
          <w:lang w:val="en-US" w:eastAsia="zh-CN"/>
        </w:rPr>
        <w:t>3</w:t>
      </w:r>
      <w:r>
        <w:rPr>
          <w:rFonts w:hint="eastAsia"/>
          <w:b/>
          <w:szCs w:val="24"/>
        </w:rPr>
        <w:t xml:space="preserve"> </w:t>
      </w:r>
      <w:r>
        <w:rPr>
          <w:b/>
          <w:szCs w:val="24"/>
        </w:rPr>
        <w:t xml:space="preserve"> </w:t>
      </w:r>
      <w:r>
        <w:rPr>
          <w:rFonts w:hint="eastAsia"/>
          <w:szCs w:val="24"/>
        </w:rPr>
        <w:t>模具接缝应紧密，清水混凝土构件的模具不应漏浆、漏水。</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w:t>
      </w:r>
      <w:r>
        <w:rPr>
          <w:rFonts w:hint="eastAsia"/>
          <w:color w:val="auto"/>
          <w:szCs w:val="24"/>
          <w:highlight w:val="none"/>
          <w:lang w:val="en-US" w:eastAsia="zh-CN"/>
        </w:rPr>
        <w:t>盛水</w:t>
      </w:r>
      <w:r>
        <w:rPr>
          <w:rFonts w:hint="eastAsia"/>
          <w:szCs w:val="24"/>
          <w:lang w:val="en-US" w:eastAsia="zh-CN"/>
        </w:rPr>
        <w:t>试验</w:t>
      </w:r>
      <w:r>
        <w:rPr>
          <w:rFonts w:hint="eastAsia"/>
          <w:szCs w:val="24"/>
        </w:rPr>
        <w:t>检查。</w:t>
      </w:r>
    </w:p>
    <w:p>
      <w:pPr>
        <w:jc w:val="center"/>
        <w:rPr>
          <w:b/>
          <w:bCs/>
          <w:szCs w:val="24"/>
        </w:rPr>
      </w:pPr>
      <w:bookmarkStart w:id="151" w:name="_Toc21546"/>
      <w:r>
        <w:rPr>
          <w:b/>
          <w:bCs/>
          <w:szCs w:val="24"/>
        </w:rPr>
        <w:t>一般项目</w:t>
      </w:r>
      <w:bookmarkEnd w:id="151"/>
    </w:p>
    <w:p>
      <w:pPr>
        <w:rPr>
          <w:szCs w:val="24"/>
        </w:rPr>
      </w:pPr>
      <w:r>
        <w:rPr>
          <w:b/>
          <w:bCs/>
          <w:szCs w:val="24"/>
        </w:rPr>
        <w:t>4.7.</w:t>
      </w:r>
      <w:r>
        <w:rPr>
          <w:rFonts w:hint="eastAsia"/>
          <w:b/>
          <w:bCs/>
          <w:szCs w:val="24"/>
          <w:lang w:val="en-US" w:eastAsia="zh-CN"/>
        </w:rPr>
        <w:t>4</w:t>
      </w:r>
      <w:r>
        <w:rPr>
          <w:b/>
          <w:szCs w:val="24"/>
        </w:rPr>
        <w:t xml:space="preserve"> </w:t>
      </w:r>
      <w:r>
        <w:rPr>
          <w:rFonts w:hint="eastAsia"/>
          <w:b/>
          <w:szCs w:val="24"/>
        </w:rPr>
        <w:t xml:space="preserve"> </w:t>
      </w:r>
      <w:r>
        <w:rPr>
          <w:rFonts w:hint="eastAsia"/>
          <w:szCs w:val="24"/>
        </w:rPr>
        <w:t>内表面的脱模剂应涂刷均匀、无堆积，且不应沾污钢筋；在浇筑混凝土前，模具内应无杂物。</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w:t>
      </w:r>
      <w:r>
        <w:rPr>
          <w:szCs w:val="24"/>
        </w:rPr>
        <w:t>。</w:t>
      </w:r>
    </w:p>
    <w:p>
      <w:pPr>
        <w:rPr>
          <w:szCs w:val="24"/>
        </w:rPr>
      </w:pPr>
      <w:r>
        <w:rPr>
          <w:b/>
          <w:bCs/>
          <w:szCs w:val="24"/>
        </w:rPr>
        <w:t>4.7.</w:t>
      </w:r>
      <w:r>
        <w:rPr>
          <w:rFonts w:hint="eastAsia"/>
          <w:b/>
          <w:bCs/>
          <w:szCs w:val="24"/>
          <w:lang w:val="en-US" w:eastAsia="zh-CN"/>
        </w:rPr>
        <w:t>5</w:t>
      </w:r>
      <w:r>
        <w:rPr>
          <w:b/>
          <w:szCs w:val="24"/>
        </w:rPr>
        <w:t xml:space="preserve"> </w:t>
      </w:r>
      <w:r>
        <w:rPr>
          <w:rFonts w:hint="eastAsia"/>
          <w:b/>
          <w:szCs w:val="24"/>
        </w:rPr>
        <w:t xml:space="preserve"> </w:t>
      </w:r>
      <w:r>
        <w:rPr>
          <w:rFonts w:hint="eastAsia"/>
          <w:szCs w:val="24"/>
        </w:rPr>
        <w:t>构件模具尺寸的允许偏差和检验方法应满足表</w:t>
      </w:r>
      <w:r>
        <w:rPr>
          <w:szCs w:val="24"/>
        </w:rPr>
        <w:t>4.7.</w:t>
      </w:r>
      <w:r>
        <w:rPr>
          <w:rFonts w:hint="eastAsia"/>
          <w:szCs w:val="24"/>
          <w:lang w:val="en-US" w:eastAsia="zh-CN"/>
        </w:rPr>
        <w:t>5</w:t>
      </w:r>
      <w:r>
        <w:rPr>
          <w:rFonts w:hint="eastAsia"/>
          <w:szCs w:val="24"/>
        </w:rPr>
        <w:t>的要求。</w:t>
      </w:r>
    </w:p>
    <w:p>
      <w:pPr>
        <w:ind w:firstLine="480" w:firstLineChars="200"/>
        <w:rPr>
          <w:szCs w:val="24"/>
        </w:rPr>
      </w:pPr>
      <w:r>
        <w:rPr>
          <w:rFonts w:hint="eastAsia"/>
          <w:szCs w:val="24"/>
        </w:rPr>
        <w:t>检查数量：全数检查。</w:t>
      </w:r>
    </w:p>
    <w:p>
      <w:pPr>
        <w:pStyle w:val="193"/>
        <w:spacing w:line="360" w:lineRule="auto"/>
        <w:jc w:val="center"/>
        <w:rPr>
          <w:b/>
          <w:color w:val="000000"/>
          <w:sz w:val="21"/>
          <w:szCs w:val="21"/>
        </w:rPr>
      </w:pPr>
      <w:r>
        <w:rPr>
          <w:b/>
          <w:color w:val="000000"/>
          <w:sz w:val="21"/>
          <w:szCs w:val="21"/>
        </w:rPr>
        <w:t>表4.7.</w:t>
      </w:r>
      <w:r>
        <w:rPr>
          <w:rFonts w:hint="eastAsia"/>
          <w:b/>
          <w:color w:val="000000"/>
          <w:sz w:val="21"/>
          <w:szCs w:val="21"/>
          <w:lang w:val="en-US" w:eastAsia="zh-CN"/>
        </w:rPr>
        <w:t>5</w:t>
      </w:r>
      <w:r>
        <w:rPr>
          <w:b/>
          <w:color w:val="000000"/>
          <w:sz w:val="21"/>
          <w:szCs w:val="21"/>
        </w:rPr>
        <w:t xml:space="preserve">  预制构件模具尺寸的允许偏差及检验方法</w:t>
      </w:r>
    </w:p>
    <w:tbl>
      <w:tblPr>
        <w:tblStyle w:val="39"/>
        <w:tblW w:w="8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322"/>
        <w:gridCol w:w="1776"/>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项次</w:t>
            </w:r>
          </w:p>
        </w:tc>
        <w:tc>
          <w:tcPr>
            <w:tcW w:w="2322" w:type="dxa"/>
            <w:vAlign w:val="center"/>
          </w:tcPr>
          <w:p>
            <w:pPr>
              <w:widowControl/>
              <w:adjustRightInd w:val="0"/>
              <w:spacing w:line="240" w:lineRule="auto"/>
              <w:jc w:val="center"/>
              <w:rPr>
                <w:color w:val="000000"/>
                <w:kern w:val="0"/>
                <w:sz w:val="21"/>
                <w:szCs w:val="21"/>
              </w:rPr>
            </w:pPr>
            <w:r>
              <w:rPr>
                <w:color w:val="000000"/>
                <w:kern w:val="0"/>
                <w:sz w:val="21"/>
                <w:szCs w:val="21"/>
              </w:rPr>
              <w:t>检验项目</w:t>
            </w:r>
          </w:p>
        </w:tc>
        <w:tc>
          <w:tcPr>
            <w:tcW w:w="1776" w:type="dxa"/>
            <w:vAlign w:val="center"/>
          </w:tcPr>
          <w:p>
            <w:pPr>
              <w:widowControl/>
              <w:adjustRightInd w:val="0"/>
              <w:spacing w:line="240" w:lineRule="auto"/>
              <w:jc w:val="center"/>
              <w:rPr>
                <w:color w:val="000000"/>
                <w:kern w:val="0"/>
                <w:sz w:val="21"/>
                <w:szCs w:val="21"/>
              </w:rPr>
            </w:pPr>
            <w:r>
              <w:rPr>
                <w:color w:val="000000"/>
                <w:kern w:val="0"/>
                <w:sz w:val="21"/>
                <w:szCs w:val="21"/>
              </w:rPr>
              <w:t>允许偏差（mm）</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1</w:t>
            </w:r>
          </w:p>
        </w:tc>
        <w:tc>
          <w:tcPr>
            <w:tcW w:w="2322"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lang w:val="en-US" w:eastAsia="zh-CN"/>
              </w:rPr>
              <w:t>构件</w:t>
            </w:r>
            <w:r>
              <w:rPr>
                <w:color w:val="000000"/>
                <w:kern w:val="0"/>
                <w:sz w:val="21"/>
                <w:szCs w:val="21"/>
              </w:rPr>
              <w:t>长度</w:t>
            </w:r>
          </w:p>
        </w:tc>
        <w:tc>
          <w:tcPr>
            <w:tcW w:w="1776" w:type="dxa"/>
            <w:vAlign w:val="center"/>
          </w:tcPr>
          <w:p>
            <w:pPr>
              <w:widowControl/>
              <w:adjustRightInd w:val="0"/>
              <w:spacing w:line="240" w:lineRule="auto"/>
              <w:jc w:val="center"/>
              <w:rPr>
                <w:color w:val="000000"/>
                <w:kern w:val="0"/>
                <w:sz w:val="21"/>
                <w:szCs w:val="21"/>
              </w:rPr>
            </w:pPr>
            <w:r>
              <w:rPr>
                <w:color w:val="000000"/>
                <w:kern w:val="0"/>
                <w:sz w:val="21"/>
                <w:szCs w:val="21"/>
              </w:rPr>
              <w:t>0，</w:t>
            </w:r>
            <w:r>
              <w:rPr>
                <w:rFonts w:hint="eastAsia"/>
                <w:color w:val="000000"/>
                <w:kern w:val="0"/>
                <w:sz w:val="21"/>
                <w:szCs w:val="21"/>
              </w:rPr>
              <w:t>-</w:t>
            </w:r>
            <w:r>
              <w:rPr>
                <w:color w:val="000000"/>
                <w:kern w:val="0"/>
                <w:sz w:val="21"/>
                <w:szCs w:val="21"/>
              </w:rPr>
              <w:t>2</w:t>
            </w:r>
          </w:p>
        </w:tc>
        <w:tc>
          <w:tcPr>
            <w:tcW w:w="3246"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用钢尺量四角部分，取其中偏差绝对值较大处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2322" w:type="dxa"/>
            <w:vAlign w:val="center"/>
          </w:tcPr>
          <w:p>
            <w:pPr>
              <w:adjustRightInd w:val="0"/>
              <w:spacing w:line="240" w:lineRule="auto"/>
              <w:jc w:val="center"/>
              <w:rPr>
                <w:color w:val="000000"/>
                <w:kern w:val="0"/>
                <w:sz w:val="21"/>
                <w:szCs w:val="21"/>
              </w:rPr>
            </w:pPr>
            <w:r>
              <w:rPr>
                <w:color w:val="000000"/>
                <w:kern w:val="0"/>
                <w:sz w:val="21"/>
                <w:szCs w:val="21"/>
              </w:rPr>
              <w:t>截面尺寸</w:t>
            </w:r>
          </w:p>
        </w:tc>
        <w:tc>
          <w:tcPr>
            <w:tcW w:w="1776" w:type="dxa"/>
            <w:vAlign w:val="center"/>
          </w:tcPr>
          <w:p>
            <w:pPr>
              <w:adjustRightInd w:val="0"/>
              <w:spacing w:line="240" w:lineRule="auto"/>
              <w:jc w:val="center"/>
              <w:rPr>
                <w:color w:val="000000"/>
                <w:kern w:val="0"/>
                <w:sz w:val="21"/>
                <w:szCs w:val="21"/>
              </w:rPr>
            </w:pPr>
            <w:r>
              <w:rPr>
                <w:color w:val="000000"/>
                <w:kern w:val="0"/>
                <w:sz w:val="21"/>
                <w:szCs w:val="21"/>
              </w:rPr>
              <w:t>±2</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用钢尺量两侧或端部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2322" w:type="dxa"/>
            <w:vAlign w:val="center"/>
          </w:tcPr>
          <w:p>
            <w:pPr>
              <w:widowControl/>
              <w:adjustRightInd w:val="0"/>
              <w:spacing w:line="240" w:lineRule="auto"/>
              <w:jc w:val="center"/>
              <w:rPr>
                <w:kern w:val="0"/>
                <w:sz w:val="21"/>
                <w:szCs w:val="21"/>
              </w:rPr>
            </w:pPr>
            <w:r>
              <w:rPr>
                <w:kern w:val="0"/>
                <w:sz w:val="21"/>
                <w:szCs w:val="21"/>
              </w:rPr>
              <w:t>对角线差</w:t>
            </w:r>
          </w:p>
        </w:tc>
        <w:tc>
          <w:tcPr>
            <w:tcW w:w="1776" w:type="dxa"/>
            <w:vAlign w:val="center"/>
          </w:tcPr>
          <w:p>
            <w:pPr>
              <w:widowControl/>
              <w:adjustRightInd w:val="0"/>
              <w:spacing w:line="240" w:lineRule="auto"/>
              <w:jc w:val="center"/>
              <w:rPr>
                <w:kern w:val="0"/>
                <w:sz w:val="21"/>
                <w:szCs w:val="21"/>
              </w:rPr>
            </w:pPr>
            <w:r>
              <w:rPr>
                <w:rFonts w:hint="eastAsia"/>
                <w:kern w:val="0"/>
                <w:sz w:val="21"/>
                <w:szCs w:val="21"/>
              </w:rPr>
              <w:t>3</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用钢尺量纵、横两个方向对角线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4</w:t>
            </w:r>
          </w:p>
        </w:tc>
        <w:tc>
          <w:tcPr>
            <w:tcW w:w="2322" w:type="dxa"/>
            <w:vAlign w:val="center"/>
          </w:tcPr>
          <w:p>
            <w:pPr>
              <w:widowControl/>
              <w:adjustRightInd w:val="0"/>
              <w:spacing w:line="240" w:lineRule="auto"/>
              <w:jc w:val="center"/>
              <w:rPr>
                <w:kern w:val="0"/>
                <w:sz w:val="21"/>
                <w:szCs w:val="21"/>
              </w:rPr>
            </w:pPr>
            <w:r>
              <w:rPr>
                <w:kern w:val="0"/>
                <w:sz w:val="21"/>
                <w:szCs w:val="21"/>
              </w:rPr>
              <w:t>侧向弯曲</w:t>
            </w:r>
          </w:p>
        </w:tc>
        <w:tc>
          <w:tcPr>
            <w:tcW w:w="1776" w:type="dxa"/>
            <w:vAlign w:val="center"/>
          </w:tcPr>
          <w:p>
            <w:pPr>
              <w:widowControl/>
              <w:adjustRightInd w:val="0"/>
              <w:spacing w:line="240" w:lineRule="auto"/>
              <w:jc w:val="center"/>
              <w:rPr>
                <w:rFonts w:hint="eastAsia" w:eastAsia="宋体"/>
                <w:kern w:val="0"/>
                <w:sz w:val="21"/>
                <w:szCs w:val="21"/>
                <w:lang w:eastAsia="zh-CN"/>
              </w:rPr>
            </w:pPr>
            <w:r>
              <w:rPr>
                <w:kern w:val="0"/>
                <w:sz w:val="21"/>
                <w:szCs w:val="21"/>
              </w:rPr>
              <w:t>L/1500且≤</w:t>
            </w:r>
            <w:r>
              <w:rPr>
                <w:rFonts w:hint="eastAsia"/>
                <w:kern w:val="0"/>
                <w:sz w:val="21"/>
                <w:szCs w:val="21"/>
                <w:lang w:val="en-US" w:eastAsia="zh-CN"/>
              </w:rPr>
              <w:t>3</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拉线，用钢尺量侧向弯曲最大处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5</w:t>
            </w:r>
          </w:p>
        </w:tc>
        <w:tc>
          <w:tcPr>
            <w:tcW w:w="2322" w:type="dxa"/>
            <w:vAlign w:val="center"/>
          </w:tcPr>
          <w:p>
            <w:pPr>
              <w:widowControl/>
              <w:adjustRightInd w:val="0"/>
              <w:spacing w:line="240" w:lineRule="auto"/>
              <w:jc w:val="center"/>
              <w:rPr>
                <w:kern w:val="0"/>
                <w:sz w:val="21"/>
                <w:szCs w:val="21"/>
              </w:rPr>
            </w:pPr>
            <w:r>
              <w:rPr>
                <w:kern w:val="0"/>
                <w:sz w:val="21"/>
                <w:szCs w:val="21"/>
              </w:rPr>
              <w:t>翘曲</w:t>
            </w:r>
          </w:p>
        </w:tc>
        <w:tc>
          <w:tcPr>
            <w:tcW w:w="1776" w:type="dxa"/>
            <w:vAlign w:val="center"/>
          </w:tcPr>
          <w:p>
            <w:pPr>
              <w:widowControl/>
              <w:adjustRightInd w:val="0"/>
              <w:spacing w:line="240" w:lineRule="auto"/>
              <w:jc w:val="center"/>
              <w:rPr>
                <w:rFonts w:hint="eastAsia" w:eastAsia="宋体"/>
                <w:kern w:val="0"/>
                <w:sz w:val="21"/>
                <w:szCs w:val="21"/>
                <w:lang w:eastAsia="zh-CN"/>
              </w:rPr>
            </w:pPr>
            <w:r>
              <w:rPr>
                <w:kern w:val="0"/>
                <w:sz w:val="21"/>
                <w:szCs w:val="21"/>
              </w:rPr>
              <w:t>L/1500</w:t>
            </w:r>
            <w:r>
              <w:rPr>
                <w:rFonts w:hint="eastAsia"/>
                <w:kern w:val="0"/>
                <w:sz w:val="21"/>
                <w:szCs w:val="21"/>
              </w:rPr>
              <w:t>且</w:t>
            </w:r>
            <w:r>
              <w:rPr>
                <w:kern w:val="0"/>
                <w:sz w:val="21"/>
                <w:szCs w:val="21"/>
              </w:rPr>
              <w:t>≤</w:t>
            </w:r>
            <w:r>
              <w:rPr>
                <w:rFonts w:hint="eastAsia"/>
                <w:kern w:val="0"/>
                <w:sz w:val="21"/>
                <w:szCs w:val="21"/>
                <w:lang w:val="en-US" w:eastAsia="zh-CN"/>
              </w:rPr>
              <w:t>3</w:t>
            </w:r>
          </w:p>
        </w:tc>
        <w:tc>
          <w:tcPr>
            <w:tcW w:w="3246"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调平尺在两端量测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6</w:t>
            </w:r>
          </w:p>
        </w:tc>
        <w:tc>
          <w:tcPr>
            <w:tcW w:w="2322"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模板</w:t>
            </w:r>
            <w:r>
              <w:rPr>
                <w:color w:val="000000"/>
                <w:kern w:val="0"/>
                <w:sz w:val="21"/>
                <w:szCs w:val="21"/>
              </w:rPr>
              <w:t>表面平整度</w:t>
            </w:r>
          </w:p>
        </w:tc>
        <w:tc>
          <w:tcPr>
            <w:tcW w:w="1776"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用2m靠尺和塞尺量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7</w:t>
            </w:r>
          </w:p>
        </w:tc>
        <w:tc>
          <w:tcPr>
            <w:tcW w:w="2322" w:type="dxa"/>
            <w:vAlign w:val="center"/>
          </w:tcPr>
          <w:p>
            <w:pPr>
              <w:widowControl/>
              <w:adjustRightInd w:val="0"/>
              <w:spacing w:line="240" w:lineRule="auto"/>
              <w:jc w:val="center"/>
              <w:rPr>
                <w:color w:val="000000"/>
                <w:kern w:val="0"/>
                <w:sz w:val="21"/>
                <w:szCs w:val="21"/>
              </w:rPr>
            </w:pPr>
            <w:r>
              <w:rPr>
                <w:color w:val="000000"/>
                <w:kern w:val="0"/>
                <w:sz w:val="21"/>
                <w:szCs w:val="21"/>
              </w:rPr>
              <w:t>组装缝隙</w:t>
            </w:r>
          </w:p>
        </w:tc>
        <w:tc>
          <w:tcPr>
            <w:tcW w:w="1776" w:type="dxa"/>
            <w:vAlign w:val="center"/>
          </w:tcPr>
          <w:p>
            <w:pPr>
              <w:widowControl/>
              <w:adjustRightInd w:val="0"/>
              <w:spacing w:line="240" w:lineRule="auto"/>
              <w:jc w:val="center"/>
              <w:rPr>
                <w:color w:val="000000"/>
                <w:kern w:val="0"/>
                <w:sz w:val="21"/>
                <w:szCs w:val="21"/>
              </w:rPr>
            </w:pPr>
            <w:r>
              <w:rPr>
                <w:color w:val="000000"/>
                <w:kern w:val="0"/>
                <w:sz w:val="21"/>
                <w:szCs w:val="21"/>
              </w:rPr>
              <w:t>1</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用塞片或塞尺量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color w:val="000000"/>
                <w:kern w:val="0"/>
                <w:sz w:val="21"/>
                <w:szCs w:val="21"/>
              </w:rPr>
              <w:t>8</w:t>
            </w:r>
          </w:p>
        </w:tc>
        <w:tc>
          <w:tcPr>
            <w:tcW w:w="2322"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相邻模板表面高</w:t>
            </w:r>
            <w:r>
              <w:rPr>
                <w:color w:val="000000"/>
                <w:kern w:val="0"/>
                <w:sz w:val="21"/>
                <w:szCs w:val="21"/>
              </w:rPr>
              <w:t>差</w:t>
            </w:r>
          </w:p>
        </w:tc>
        <w:tc>
          <w:tcPr>
            <w:tcW w:w="1776" w:type="dxa"/>
            <w:vAlign w:val="center"/>
          </w:tcPr>
          <w:p>
            <w:pPr>
              <w:widowControl/>
              <w:adjustRightInd w:val="0"/>
              <w:spacing w:line="240" w:lineRule="auto"/>
              <w:jc w:val="center"/>
              <w:rPr>
                <w:color w:val="000000"/>
                <w:kern w:val="0"/>
                <w:sz w:val="21"/>
                <w:szCs w:val="21"/>
              </w:rPr>
            </w:pPr>
            <w:r>
              <w:rPr>
                <w:color w:val="000000"/>
                <w:kern w:val="0"/>
                <w:sz w:val="21"/>
                <w:szCs w:val="21"/>
              </w:rPr>
              <w:t>1</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9"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9</w:t>
            </w:r>
          </w:p>
        </w:tc>
        <w:tc>
          <w:tcPr>
            <w:tcW w:w="2322"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承插口尺寸</w:t>
            </w:r>
          </w:p>
        </w:tc>
        <w:tc>
          <w:tcPr>
            <w:tcW w:w="1776"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3246" w:type="dxa"/>
            <w:vAlign w:val="center"/>
          </w:tcPr>
          <w:p>
            <w:pPr>
              <w:widowControl/>
              <w:adjustRightInd w:val="0"/>
              <w:spacing w:line="240" w:lineRule="auto"/>
              <w:jc w:val="center"/>
              <w:rPr>
                <w:color w:val="000000"/>
                <w:kern w:val="0"/>
                <w:sz w:val="21"/>
                <w:szCs w:val="21"/>
              </w:rPr>
            </w:pPr>
            <w:r>
              <w:rPr>
                <w:color w:val="000000"/>
                <w:kern w:val="0"/>
                <w:sz w:val="21"/>
                <w:szCs w:val="21"/>
              </w:rPr>
              <w:t>用钢尺量</w:t>
            </w:r>
          </w:p>
        </w:tc>
      </w:tr>
    </w:tbl>
    <w:p>
      <w:pPr>
        <w:ind w:firstLine="630" w:firstLineChars="300"/>
        <w:rPr>
          <w:color w:val="000000"/>
          <w:kern w:val="0"/>
          <w:sz w:val="21"/>
          <w:szCs w:val="21"/>
        </w:rPr>
      </w:pPr>
      <w:bookmarkStart w:id="152" w:name="_Toc30162"/>
      <w:r>
        <w:rPr>
          <w:color w:val="000000"/>
          <w:kern w:val="0"/>
          <w:sz w:val="21"/>
          <w:szCs w:val="21"/>
        </w:rPr>
        <w:t>注：L为模具与混凝土接触面中最长边的尺寸（mm）。</w:t>
      </w:r>
    </w:p>
    <w:p>
      <w:pPr>
        <w:ind w:firstLine="240" w:firstLineChars="100"/>
        <w:rPr>
          <w:color w:val="000000"/>
          <w:kern w:val="0"/>
          <w:szCs w:val="24"/>
        </w:rPr>
      </w:pPr>
    </w:p>
    <w:p>
      <w:pPr>
        <w:jc w:val="center"/>
        <w:rPr>
          <w:rFonts w:hint="eastAsia" w:eastAsia="宋体"/>
          <w:b/>
          <w:bCs/>
          <w:szCs w:val="24"/>
          <w:lang w:eastAsia="zh-CN"/>
        </w:rPr>
      </w:pPr>
      <w:r>
        <w:rPr>
          <w:b/>
          <w:bCs/>
          <w:szCs w:val="24"/>
        </w:rPr>
        <w:t>Ⅱ  钢</w:t>
      </w:r>
      <w:r>
        <w:rPr>
          <w:rFonts w:hint="eastAsia"/>
          <w:b/>
          <w:bCs/>
          <w:szCs w:val="24"/>
        </w:rPr>
        <w:t>材</w:t>
      </w:r>
      <w:bookmarkEnd w:id="152"/>
      <w:r>
        <w:rPr>
          <w:rFonts w:hint="eastAsia"/>
          <w:b/>
          <w:bCs/>
          <w:szCs w:val="24"/>
          <w:lang w:val="en-US" w:eastAsia="zh-CN"/>
        </w:rPr>
        <w:t>安装</w:t>
      </w:r>
    </w:p>
    <w:p>
      <w:pPr>
        <w:jc w:val="center"/>
        <w:rPr>
          <w:b/>
          <w:bCs/>
          <w:szCs w:val="24"/>
        </w:rPr>
      </w:pPr>
      <w:bookmarkStart w:id="153" w:name="_Toc11780"/>
      <w:r>
        <w:rPr>
          <w:rFonts w:hint="eastAsia"/>
          <w:b/>
          <w:bCs/>
          <w:szCs w:val="24"/>
        </w:rPr>
        <w:t>主控项目</w:t>
      </w:r>
      <w:bookmarkEnd w:id="153"/>
    </w:p>
    <w:p>
      <w:pPr>
        <w:rPr>
          <w:szCs w:val="24"/>
        </w:rPr>
      </w:pPr>
      <w:r>
        <w:rPr>
          <w:b/>
          <w:bCs/>
          <w:szCs w:val="24"/>
        </w:rPr>
        <w:t>4.7.</w:t>
      </w:r>
      <w:r>
        <w:rPr>
          <w:rFonts w:hint="eastAsia"/>
          <w:b/>
          <w:bCs/>
          <w:szCs w:val="24"/>
          <w:lang w:val="en-US" w:eastAsia="zh-CN"/>
        </w:rPr>
        <w:t>6</w:t>
      </w:r>
      <w:r>
        <w:rPr>
          <w:b/>
          <w:szCs w:val="24"/>
        </w:rPr>
        <w:t xml:space="preserve"> </w:t>
      </w:r>
      <w:r>
        <w:rPr>
          <w:rFonts w:hint="eastAsia"/>
          <w:b/>
          <w:szCs w:val="24"/>
        </w:rPr>
        <w:t xml:space="preserve"> </w:t>
      </w:r>
      <w:r>
        <w:rPr>
          <w:rFonts w:hint="eastAsia"/>
          <w:szCs w:val="24"/>
        </w:rPr>
        <w:t>钢筋的屈服强度、抗拉强度、伸长率、弯曲性能和重量偏差等物理力学性能应符合设计的规定。</w:t>
      </w:r>
    </w:p>
    <w:p>
      <w:pPr>
        <w:ind w:firstLine="480" w:firstLineChars="200"/>
        <w:rPr>
          <w:szCs w:val="24"/>
        </w:rPr>
      </w:pPr>
      <w:r>
        <w:rPr>
          <w:rFonts w:hint="eastAsia"/>
          <w:szCs w:val="24"/>
        </w:rPr>
        <w:t>检查数量：按批检验。</w:t>
      </w:r>
    </w:p>
    <w:p>
      <w:pPr>
        <w:ind w:firstLine="480" w:firstLineChars="200"/>
        <w:rPr>
          <w:szCs w:val="24"/>
        </w:rPr>
      </w:pPr>
      <w:r>
        <w:rPr>
          <w:rFonts w:hint="eastAsia"/>
          <w:szCs w:val="24"/>
        </w:rPr>
        <w:t>检验方法：检查出厂合格证和进厂复验报告</w:t>
      </w:r>
      <w:r>
        <w:rPr>
          <w:szCs w:val="24"/>
        </w:rPr>
        <w:t>。</w:t>
      </w:r>
    </w:p>
    <w:p>
      <w:pPr>
        <w:rPr>
          <w:szCs w:val="24"/>
        </w:rPr>
      </w:pPr>
      <w:r>
        <w:rPr>
          <w:b/>
          <w:bCs/>
          <w:szCs w:val="24"/>
        </w:rPr>
        <w:t>4.7.</w:t>
      </w:r>
      <w:r>
        <w:rPr>
          <w:rFonts w:hint="eastAsia"/>
          <w:b/>
          <w:bCs/>
          <w:szCs w:val="24"/>
          <w:lang w:val="en-US" w:eastAsia="zh-CN"/>
        </w:rPr>
        <w:t>7</w:t>
      </w:r>
      <w:r>
        <w:rPr>
          <w:b/>
          <w:szCs w:val="24"/>
        </w:rPr>
        <w:t xml:space="preserve"> </w:t>
      </w:r>
      <w:r>
        <w:rPr>
          <w:rFonts w:hint="eastAsia"/>
          <w:b/>
          <w:szCs w:val="24"/>
        </w:rPr>
        <w:t xml:space="preserve"> </w:t>
      </w:r>
      <w:r>
        <w:rPr>
          <w:rFonts w:hint="eastAsia"/>
          <w:szCs w:val="24"/>
        </w:rPr>
        <w:t>预应力筋应进行抗拉强度、伸长率检验等，其检验结果应符合设计和标准规定。</w:t>
      </w:r>
    </w:p>
    <w:p>
      <w:pPr>
        <w:ind w:firstLine="480" w:firstLineChars="200"/>
        <w:rPr>
          <w:szCs w:val="24"/>
        </w:rPr>
      </w:pPr>
      <w:r>
        <w:rPr>
          <w:rFonts w:hint="eastAsia"/>
          <w:szCs w:val="24"/>
        </w:rPr>
        <w:t>检查数量：按批检验。</w:t>
      </w:r>
    </w:p>
    <w:p>
      <w:pPr>
        <w:ind w:firstLine="480" w:firstLineChars="200"/>
        <w:rPr>
          <w:szCs w:val="24"/>
        </w:rPr>
      </w:pPr>
      <w:r>
        <w:rPr>
          <w:rFonts w:hint="eastAsia"/>
          <w:szCs w:val="24"/>
        </w:rPr>
        <w:t>检验方法：检查出厂合格证和进厂复验报告</w:t>
      </w:r>
      <w:r>
        <w:rPr>
          <w:szCs w:val="24"/>
        </w:rPr>
        <w:t>。</w:t>
      </w:r>
    </w:p>
    <w:p>
      <w:pPr>
        <w:rPr>
          <w:szCs w:val="24"/>
        </w:rPr>
      </w:pPr>
      <w:r>
        <w:rPr>
          <w:b/>
          <w:bCs/>
          <w:szCs w:val="24"/>
        </w:rPr>
        <w:t>4.7.</w:t>
      </w:r>
      <w:r>
        <w:rPr>
          <w:rFonts w:hint="eastAsia"/>
          <w:b/>
          <w:bCs/>
          <w:szCs w:val="24"/>
          <w:lang w:val="en-US" w:eastAsia="zh-CN"/>
        </w:rPr>
        <w:t>8</w:t>
      </w:r>
      <w:r>
        <w:rPr>
          <w:b/>
          <w:szCs w:val="24"/>
        </w:rPr>
        <w:t xml:space="preserve"> </w:t>
      </w:r>
      <w:r>
        <w:rPr>
          <w:rFonts w:hint="eastAsia"/>
          <w:b/>
          <w:szCs w:val="24"/>
        </w:rPr>
        <w:t xml:space="preserve"> </w:t>
      </w:r>
      <w:r>
        <w:rPr>
          <w:szCs w:val="24"/>
        </w:rPr>
        <w:t>预应力筋用锚具、夹具和连接器应进行检验，其性能应符合设计规定。</w:t>
      </w:r>
    </w:p>
    <w:p>
      <w:pPr>
        <w:ind w:firstLine="480" w:firstLineChars="200"/>
        <w:rPr>
          <w:szCs w:val="24"/>
        </w:rPr>
      </w:pPr>
      <w:r>
        <w:rPr>
          <w:szCs w:val="24"/>
        </w:rPr>
        <w:t>检查数量：按批检验</w:t>
      </w:r>
      <w:r>
        <w:rPr>
          <w:rFonts w:hint="eastAsia"/>
          <w:szCs w:val="24"/>
        </w:rPr>
        <w:t>。</w:t>
      </w:r>
    </w:p>
    <w:p>
      <w:pPr>
        <w:ind w:firstLine="480" w:firstLineChars="200"/>
        <w:rPr>
          <w:szCs w:val="24"/>
        </w:rPr>
      </w:pPr>
      <w:r>
        <w:rPr>
          <w:szCs w:val="24"/>
        </w:rPr>
        <w:t>检验方法：检查出厂合格证和进厂复验报告。</w:t>
      </w:r>
    </w:p>
    <w:p>
      <w:pPr>
        <w:rPr>
          <w:szCs w:val="24"/>
        </w:rPr>
      </w:pPr>
      <w:r>
        <w:rPr>
          <w:b/>
          <w:bCs/>
          <w:szCs w:val="24"/>
        </w:rPr>
        <w:t>4.7.</w:t>
      </w:r>
      <w:r>
        <w:rPr>
          <w:rFonts w:hint="eastAsia"/>
          <w:b/>
          <w:bCs/>
          <w:szCs w:val="24"/>
          <w:lang w:val="en-US" w:eastAsia="zh-CN"/>
        </w:rPr>
        <w:t>9</w:t>
      </w:r>
      <w:r>
        <w:rPr>
          <w:b/>
          <w:szCs w:val="24"/>
        </w:rPr>
        <w:t xml:space="preserve"> </w:t>
      </w:r>
      <w:r>
        <w:rPr>
          <w:rFonts w:hint="eastAsia"/>
          <w:b/>
          <w:szCs w:val="24"/>
        </w:rPr>
        <w:t xml:space="preserve"> </w:t>
      </w:r>
      <w:r>
        <w:rPr>
          <w:szCs w:val="24"/>
        </w:rPr>
        <w:t>预埋件用钢材及焊条的性能应</w:t>
      </w:r>
      <w:r>
        <w:rPr>
          <w:rFonts w:hint="eastAsia"/>
          <w:szCs w:val="24"/>
        </w:rPr>
        <w:t>满足</w:t>
      </w:r>
      <w:r>
        <w:rPr>
          <w:szCs w:val="24"/>
        </w:rPr>
        <w:t>设计要求，永久受力预埋件用钢板应做原材抽样复检，焊缝施工质量应</w:t>
      </w:r>
      <w:r>
        <w:rPr>
          <w:rFonts w:hint="eastAsia"/>
          <w:szCs w:val="24"/>
        </w:rPr>
        <w:t>符合</w:t>
      </w:r>
      <w:r>
        <w:rPr>
          <w:szCs w:val="24"/>
        </w:rPr>
        <w:t>设计及</w:t>
      </w:r>
      <w:r>
        <w:rPr>
          <w:rFonts w:hint="eastAsia"/>
          <w:szCs w:val="24"/>
        </w:rPr>
        <w:t>现行国家标准《钢结构工程施工质量验收规范》GB 50205的规定</w:t>
      </w:r>
      <w:r>
        <w:rPr>
          <w:szCs w:val="24"/>
        </w:rPr>
        <w:t>。</w:t>
      </w:r>
    </w:p>
    <w:p>
      <w:pPr>
        <w:ind w:firstLine="480" w:firstLineChars="200"/>
        <w:rPr>
          <w:szCs w:val="24"/>
        </w:rPr>
      </w:pPr>
      <w:r>
        <w:rPr>
          <w:szCs w:val="24"/>
        </w:rPr>
        <w:t>检查数量：按批检验</w:t>
      </w:r>
      <w:r>
        <w:rPr>
          <w:rFonts w:hint="eastAsia"/>
          <w:szCs w:val="24"/>
        </w:rPr>
        <w:t>。</w:t>
      </w:r>
    </w:p>
    <w:p>
      <w:pPr>
        <w:ind w:firstLine="480" w:firstLineChars="200"/>
        <w:rPr>
          <w:szCs w:val="24"/>
        </w:rPr>
      </w:pPr>
      <w:r>
        <w:rPr>
          <w:szCs w:val="24"/>
        </w:rPr>
        <w:t>检验方法：</w:t>
      </w:r>
      <w:r>
        <w:rPr>
          <w:rFonts w:hint="eastAsia"/>
          <w:szCs w:val="24"/>
        </w:rPr>
        <w:t>观察检查；</w:t>
      </w:r>
      <w:r>
        <w:rPr>
          <w:szCs w:val="24"/>
        </w:rPr>
        <w:t>检查出厂合格证和进厂复验报告。</w:t>
      </w:r>
    </w:p>
    <w:p>
      <w:pPr>
        <w:rPr>
          <w:szCs w:val="24"/>
        </w:rPr>
      </w:pPr>
      <w:r>
        <w:rPr>
          <w:b/>
          <w:bCs/>
          <w:szCs w:val="24"/>
        </w:rPr>
        <w:t>4.7.1</w:t>
      </w:r>
      <w:r>
        <w:rPr>
          <w:rFonts w:hint="eastAsia"/>
          <w:b/>
          <w:bCs/>
          <w:szCs w:val="24"/>
          <w:lang w:val="en-US" w:eastAsia="zh-CN"/>
        </w:rPr>
        <w:t>0</w:t>
      </w:r>
      <w:r>
        <w:rPr>
          <w:b/>
          <w:szCs w:val="24"/>
        </w:rPr>
        <w:t xml:space="preserve"> </w:t>
      </w:r>
      <w:r>
        <w:rPr>
          <w:rFonts w:hint="eastAsia"/>
          <w:b/>
          <w:szCs w:val="24"/>
        </w:rPr>
        <w:t xml:space="preserve"> </w:t>
      </w:r>
      <w:r>
        <w:rPr>
          <w:szCs w:val="24"/>
        </w:rPr>
        <w:t>钢筋焊接接头及钢筋制品的焊接性能应进行抽样检验，检验结果应符合</w:t>
      </w:r>
      <w:r>
        <w:rPr>
          <w:rFonts w:hint="eastAsia"/>
          <w:szCs w:val="24"/>
        </w:rPr>
        <w:t>现行行业标准《钢筋焊接及验收规程》JGJ 18的</w:t>
      </w:r>
      <w:r>
        <w:rPr>
          <w:szCs w:val="24"/>
        </w:rPr>
        <w:t>规定。</w:t>
      </w:r>
    </w:p>
    <w:p>
      <w:pPr>
        <w:ind w:firstLine="480" w:firstLineChars="200"/>
        <w:rPr>
          <w:szCs w:val="24"/>
        </w:rPr>
      </w:pPr>
      <w:r>
        <w:rPr>
          <w:szCs w:val="24"/>
        </w:rPr>
        <w:t>检查数量：按批检验</w:t>
      </w:r>
      <w:r>
        <w:rPr>
          <w:rFonts w:hint="eastAsia"/>
          <w:szCs w:val="24"/>
        </w:rPr>
        <w:t>。</w:t>
      </w:r>
    </w:p>
    <w:p>
      <w:pPr>
        <w:ind w:firstLine="480" w:firstLineChars="200"/>
        <w:rPr>
          <w:szCs w:val="24"/>
        </w:rPr>
      </w:pPr>
      <w:r>
        <w:rPr>
          <w:szCs w:val="24"/>
        </w:rPr>
        <w:t>检验方法：检查焊接试件检验报告。</w:t>
      </w:r>
    </w:p>
    <w:p>
      <w:pPr>
        <w:rPr>
          <w:szCs w:val="24"/>
        </w:rPr>
      </w:pPr>
      <w:r>
        <w:rPr>
          <w:b/>
          <w:bCs/>
          <w:szCs w:val="24"/>
        </w:rPr>
        <w:t>4.7.1</w:t>
      </w:r>
      <w:r>
        <w:rPr>
          <w:rFonts w:hint="eastAsia"/>
          <w:b/>
          <w:bCs/>
          <w:szCs w:val="24"/>
          <w:lang w:val="en-US" w:eastAsia="zh-CN"/>
        </w:rPr>
        <w:t>1</w:t>
      </w:r>
      <w:r>
        <w:rPr>
          <w:b/>
          <w:szCs w:val="24"/>
        </w:rPr>
        <w:t xml:space="preserve"> </w:t>
      </w:r>
      <w:r>
        <w:rPr>
          <w:rFonts w:hint="eastAsia"/>
          <w:b/>
          <w:szCs w:val="24"/>
        </w:rPr>
        <w:t xml:space="preserve"> </w:t>
      </w:r>
      <w:r>
        <w:rPr>
          <w:szCs w:val="24"/>
        </w:rPr>
        <w:t>钢筋采用机械连接时，应进行检验，其接头质量应符合</w:t>
      </w:r>
      <w:r>
        <w:rPr>
          <w:rFonts w:hint="eastAsia"/>
          <w:szCs w:val="24"/>
        </w:rPr>
        <w:t>现行行业标准《钢筋机械连接技术规程》JGJ 107的规定</w:t>
      </w:r>
      <w:r>
        <w:rPr>
          <w:szCs w:val="24"/>
        </w:rPr>
        <w:t>。</w:t>
      </w:r>
    </w:p>
    <w:p>
      <w:pPr>
        <w:ind w:firstLine="480" w:firstLineChars="200"/>
        <w:rPr>
          <w:szCs w:val="24"/>
        </w:rPr>
      </w:pPr>
      <w:r>
        <w:rPr>
          <w:szCs w:val="24"/>
        </w:rPr>
        <w:t>检查数量：</w:t>
      </w:r>
      <w:r>
        <w:rPr>
          <w:rFonts w:hint="eastAsia"/>
          <w:szCs w:val="24"/>
        </w:rPr>
        <w:t>按批检验。</w:t>
      </w:r>
    </w:p>
    <w:p>
      <w:pPr>
        <w:ind w:firstLine="480" w:firstLineChars="200"/>
        <w:rPr>
          <w:szCs w:val="24"/>
        </w:rPr>
      </w:pPr>
      <w:r>
        <w:rPr>
          <w:szCs w:val="24"/>
        </w:rPr>
        <w:t>检验方法：检查质量证明文件、施工记录及平行加工试件的检验报告。</w:t>
      </w:r>
    </w:p>
    <w:p>
      <w:pPr>
        <w:rPr>
          <w:szCs w:val="24"/>
        </w:rPr>
      </w:pPr>
      <w:r>
        <w:rPr>
          <w:b/>
          <w:bCs/>
          <w:szCs w:val="24"/>
        </w:rPr>
        <w:t>4.7.1</w:t>
      </w:r>
      <w:r>
        <w:rPr>
          <w:rFonts w:hint="eastAsia"/>
          <w:b/>
          <w:bCs/>
          <w:szCs w:val="24"/>
          <w:lang w:val="en-US" w:eastAsia="zh-CN"/>
        </w:rPr>
        <w:t>2</w:t>
      </w:r>
      <w:r>
        <w:rPr>
          <w:b/>
          <w:szCs w:val="24"/>
        </w:rPr>
        <w:t xml:space="preserve"> </w:t>
      </w:r>
      <w:r>
        <w:rPr>
          <w:rFonts w:hint="eastAsia"/>
          <w:b/>
          <w:szCs w:val="24"/>
        </w:rPr>
        <w:t xml:space="preserve"> </w:t>
      </w:r>
      <w:r>
        <w:rPr>
          <w:rFonts w:hint="eastAsia"/>
          <w:szCs w:val="24"/>
        </w:rPr>
        <w:t>钢筋接头的方式、位置、同一截面受力钢筋的接头面积百分率、钢筋的搭接长度及锚固长度等应符合设计的规定。</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检验方法：观察和量测</w:t>
      </w:r>
      <w:r>
        <w:rPr>
          <w:szCs w:val="24"/>
        </w:rPr>
        <w:t>。</w:t>
      </w:r>
    </w:p>
    <w:p>
      <w:pPr>
        <w:jc w:val="center"/>
        <w:rPr>
          <w:b/>
          <w:bCs/>
          <w:szCs w:val="24"/>
        </w:rPr>
      </w:pPr>
      <w:bookmarkStart w:id="154" w:name="_Toc31389"/>
      <w:r>
        <w:rPr>
          <w:rFonts w:hint="eastAsia"/>
          <w:b/>
          <w:bCs/>
          <w:szCs w:val="24"/>
        </w:rPr>
        <w:t>一般项目</w:t>
      </w:r>
      <w:bookmarkEnd w:id="154"/>
    </w:p>
    <w:p>
      <w:pPr>
        <w:rPr>
          <w:szCs w:val="24"/>
        </w:rPr>
      </w:pPr>
      <w:r>
        <w:rPr>
          <w:b/>
          <w:bCs/>
          <w:szCs w:val="24"/>
        </w:rPr>
        <w:t>4.7.1</w:t>
      </w:r>
      <w:r>
        <w:rPr>
          <w:rFonts w:hint="eastAsia"/>
          <w:b/>
          <w:bCs/>
          <w:szCs w:val="24"/>
          <w:lang w:val="en-US" w:eastAsia="zh-CN"/>
        </w:rPr>
        <w:t>3</w:t>
      </w:r>
      <w:r>
        <w:rPr>
          <w:b/>
          <w:szCs w:val="24"/>
        </w:rPr>
        <w:t xml:space="preserve"> </w:t>
      </w:r>
      <w:r>
        <w:rPr>
          <w:rFonts w:hint="eastAsia"/>
          <w:b/>
          <w:szCs w:val="24"/>
        </w:rPr>
        <w:t xml:space="preserve"> </w:t>
      </w:r>
      <w:r>
        <w:rPr>
          <w:rFonts w:hint="eastAsia"/>
          <w:szCs w:val="24"/>
        </w:rPr>
        <w:t>钢筋、预应力筋表面应无损伤、裂纹、油污、颗粒状或片状老锈。</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w:t>
      </w:r>
    </w:p>
    <w:p>
      <w:pPr>
        <w:rPr>
          <w:szCs w:val="24"/>
        </w:rPr>
      </w:pPr>
      <w:r>
        <w:rPr>
          <w:b/>
          <w:bCs/>
          <w:szCs w:val="24"/>
        </w:rPr>
        <w:t>4.7.1</w:t>
      </w:r>
      <w:r>
        <w:rPr>
          <w:rFonts w:hint="eastAsia"/>
          <w:b/>
          <w:bCs/>
          <w:szCs w:val="24"/>
          <w:lang w:val="en-US" w:eastAsia="zh-CN"/>
        </w:rPr>
        <w:t>4</w:t>
      </w:r>
      <w:r>
        <w:rPr>
          <w:b/>
          <w:szCs w:val="24"/>
        </w:rPr>
        <w:t xml:space="preserve"> </w:t>
      </w:r>
      <w:r>
        <w:rPr>
          <w:rFonts w:hint="eastAsia"/>
          <w:b/>
          <w:szCs w:val="24"/>
        </w:rPr>
        <w:t xml:space="preserve"> </w:t>
      </w:r>
      <w:r>
        <w:rPr>
          <w:rFonts w:hint="eastAsia"/>
          <w:szCs w:val="24"/>
        </w:rPr>
        <w:t>锚具、夹具、连接器、预埋件等配件的外观应无污物、锈蚀、机械损伤和裂纹。</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w:t>
      </w:r>
      <w:r>
        <w:rPr>
          <w:szCs w:val="24"/>
        </w:rPr>
        <w:t>。</w:t>
      </w:r>
    </w:p>
    <w:p>
      <w:pPr>
        <w:rPr>
          <w:szCs w:val="24"/>
        </w:rPr>
      </w:pPr>
      <w:r>
        <w:rPr>
          <w:b/>
          <w:bCs/>
          <w:szCs w:val="24"/>
        </w:rPr>
        <w:t>4.7.1</w:t>
      </w:r>
      <w:r>
        <w:rPr>
          <w:rFonts w:hint="eastAsia"/>
          <w:b/>
          <w:bCs/>
          <w:szCs w:val="24"/>
          <w:lang w:val="en-US" w:eastAsia="zh-CN"/>
        </w:rPr>
        <w:t>5</w:t>
      </w:r>
      <w:r>
        <w:rPr>
          <w:b/>
          <w:szCs w:val="24"/>
        </w:rPr>
        <w:t xml:space="preserve"> </w:t>
      </w:r>
      <w:r>
        <w:rPr>
          <w:rFonts w:hint="eastAsia"/>
          <w:b/>
          <w:szCs w:val="24"/>
        </w:rPr>
        <w:t xml:space="preserve"> </w:t>
      </w:r>
      <w:r>
        <w:rPr>
          <w:rFonts w:hint="eastAsia"/>
          <w:szCs w:val="24"/>
        </w:rPr>
        <w:t>钢筋半成品的尺寸偏差及检验方法应满足表</w:t>
      </w:r>
      <w:r>
        <w:rPr>
          <w:szCs w:val="24"/>
        </w:rPr>
        <w:t>4.7.1</w:t>
      </w:r>
      <w:r>
        <w:rPr>
          <w:rFonts w:hint="eastAsia"/>
          <w:szCs w:val="24"/>
          <w:lang w:val="en-US" w:eastAsia="zh-CN"/>
        </w:rPr>
        <w:t>5</w:t>
      </w:r>
      <w:r>
        <w:rPr>
          <w:rFonts w:hint="eastAsia"/>
          <w:szCs w:val="24"/>
        </w:rPr>
        <w:t>的要求。</w:t>
      </w:r>
    </w:p>
    <w:p>
      <w:pPr>
        <w:ind w:firstLine="480" w:firstLineChars="200"/>
        <w:rPr>
          <w:szCs w:val="24"/>
        </w:rPr>
      </w:pPr>
      <w:r>
        <w:rPr>
          <w:rFonts w:hint="eastAsia"/>
          <w:szCs w:val="24"/>
        </w:rPr>
        <w:t>检查数量：每一工作班检验次数不少于一次，以同一设备加工的同一类型的钢筋半成品为一批，每批随机抽件数量不少于3件</w:t>
      </w:r>
      <w:r>
        <w:rPr>
          <w:szCs w:val="24"/>
        </w:rPr>
        <w:t>。</w:t>
      </w:r>
    </w:p>
    <w:p>
      <w:pPr>
        <w:pStyle w:val="193"/>
        <w:spacing w:line="360" w:lineRule="auto"/>
        <w:jc w:val="center"/>
        <w:rPr>
          <w:b/>
          <w:color w:val="000000"/>
          <w:sz w:val="21"/>
          <w:szCs w:val="21"/>
        </w:rPr>
      </w:pPr>
      <w:r>
        <w:rPr>
          <w:b/>
          <w:color w:val="000000"/>
          <w:sz w:val="21"/>
          <w:szCs w:val="21"/>
        </w:rPr>
        <w:t>表4.7.1</w:t>
      </w:r>
      <w:r>
        <w:rPr>
          <w:rFonts w:hint="eastAsia"/>
          <w:b/>
          <w:color w:val="000000"/>
          <w:sz w:val="21"/>
          <w:szCs w:val="21"/>
          <w:lang w:val="en-US" w:eastAsia="zh-CN"/>
        </w:rPr>
        <w:t>5</w:t>
      </w:r>
      <w:r>
        <w:rPr>
          <w:b/>
          <w:color w:val="000000"/>
          <w:sz w:val="21"/>
          <w:szCs w:val="21"/>
        </w:rPr>
        <w:t xml:space="preserve">  钢筋</w:t>
      </w:r>
      <w:r>
        <w:rPr>
          <w:rFonts w:hint="eastAsia"/>
          <w:b/>
          <w:color w:val="000000"/>
          <w:sz w:val="21"/>
          <w:szCs w:val="21"/>
        </w:rPr>
        <w:t>半成品尺寸</w:t>
      </w:r>
      <w:r>
        <w:rPr>
          <w:b/>
          <w:color w:val="000000"/>
          <w:sz w:val="21"/>
          <w:szCs w:val="21"/>
        </w:rPr>
        <w:t>允许偏差和检验方法</w:t>
      </w:r>
    </w:p>
    <w:tbl>
      <w:tblPr>
        <w:tblStyle w:val="39"/>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3402"/>
        <w:gridCol w:w="2294"/>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widowControl/>
              <w:adjustRightInd w:val="0"/>
              <w:jc w:val="center"/>
              <w:rPr>
                <w:color w:val="000000"/>
                <w:kern w:val="0"/>
                <w:sz w:val="21"/>
                <w:szCs w:val="21"/>
              </w:rPr>
            </w:pPr>
            <w:r>
              <w:rPr>
                <w:color w:val="000000"/>
                <w:kern w:val="0"/>
                <w:sz w:val="21"/>
                <w:szCs w:val="21"/>
              </w:rPr>
              <w:t>项次</w:t>
            </w:r>
          </w:p>
        </w:tc>
        <w:tc>
          <w:tcPr>
            <w:tcW w:w="3402" w:type="dxa"/>
            <w:vAlign w:val="center"/>
          </w:tcPr>
          <w:p>
            <w:pPr>
              <w:widowControl/>
              <w:adjustRightInd w:val="0"/>
              <w:jc w:val="center"/>
              <w:rPr>
                <w:color w:val="000000"/>
                <w:kern w:val="0"/>
                <w:sz w:val="21"/>
                <w:szCs w:val="21"/>
              </w:rPr>
            </w:pPr>
            <w:r>
              <w:rPr>
                <w:color w:val="000000"/>
                <w:kern w:val="0"/>
                <w:sz w:val="21"/>
                <w:szCs w:val="21"/>
              </w:rPr>
              <w:t>检验项目</w:t>
            </w:r>
          </w:p>
        </w:tc>
        <w:tc>
          <w:tcPr>
            <w:tcW w:w="2294" w:type="dxa"/>
            <w:vAlign w:val="center"/>
          </w:tcPr>
          <w:p>
            <w:pPr>
              <w:widowControl/>
              <w:adjustRightInd w:val="0"/>
              <w:jc w:val="center"/>
              <w:rPr>
                <w:color w:val="000000"/>
                <w:kern w:val="0"/>
                <w:sz w:val="21"/>
                <w:szCs w:val="21"/>
              </w:rPr>
            </w:pPr>
            <w:r>
              <w:rPr>
                <w:color w:val="000000"/>
                <w:kern w:val="0"/>
                <w:sz w:val="21"/>
                <w:szCs w:val="21"/>
              </w:rPr>
              <w:t>允许偏差（mm）</w:t>
            </w:r>
          </w:p>
        </w:tc>
        <w:tc>
          <w:tcPr>
            <w:tcW w:w="1742" w:type="dxa"/>
            <w:vAlign w:val="center"/>
          </w:tcPr>
          <w:p>
            <w:pPr>
              <w:widowControl/>
              <w:adjustRightInd w:val="0"/>
              <w:jc w:val="center"/>
              <w:rPr>
                <w:color w:val="000000"/>
                <w:kern w:val="0"/>
                <w:sz w:val="21"/>
                <w:szCs w:val="21"/>
              </w:rPr>
            </w:pPr>
            <w:r>
              <w:rPr>
                <w:color w:val="000000"/>
                <w:kern w:val="0"/>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widowControl/>
              <w:adjustRightInd w:val="0"/>
              <w:jc w:val="center"/>
              <w:rPr>
                <w:color w:val="000000"/>
                <w:kern w:val="0"/>
                <w:sz w:val="21"/>
                <w:szCs w:val="21"/>
              </w:rPr>
            </w:pPr>
            <w:r>
              <w:rPr>
                <w:color w:val="000000"/>
                <w:kern w:val="0"/>
                <w:sz w:val="21"/>
                <w:szCs w:val="21"/>
              </w:rPr>
              <w:t>1</w:t>
            </w:r>
          </w:p>
        </w:tc>
        <w:tc>
          <w:tcPr>
            <w:tcW w:w="3402" w:type="dxa"/>
            <w:vAlign w:val="center"/>
          </w:tcPr>
          <w:p>
            <w:pPr>
              <w:widowControl/>
              <w:adjustRightInd w:val="0"/>
              <w:jc w:val="center"/>
              <w:rPr>
                <w:color w:val="000000"/>
                <w:kern w:val="0"/>
                <w:sz w:val="21"/>
                <w:szCs w:val="21"/>
              </w:rPr>
            </w:pPr>
            <w:r>
              <w:rPr>
                <w:color w:val="000000"/>
                <w:kern w:val="0"/>
                <w:sz w:val="21"/>
                <w:szCs w:val="21"/>
              </w:rPr>
              <w:t>受力钢筋沿长度方向的尺寸</w:t>
            </w:r>
          </w:p>
        </w:tc>
        <w:tc>
          <w:tcPr>
            <w:tcW w:w="2294" w:type="dxa"/>
            <w:vAlign w:val="center"/>
          </w:tcPr>
          <w:p>
            <w:pPr>
              <w:widowControl/>
              <w:adjustRightInd w:val="0"/>
              <w:jc w:val="center"/>
              <w:rPr>
                <w:color w:val="000000"/>
                <w:kern w:val="0"/>
                <w:sz w:val="21"/>
                <w:szCs w:val="21"/>
              </w:rPr>
            </w:pPr>
            <w:r>
              <w:rPr>
                <w:color w:val="000000"/>
                <w:kern w:val="0"/>
                <w:sz w:val="21"/>
                <w:szCs w:val="21"/>
              </w:rPr>
              <w:t>±5</w:t>
            </w:r>
          </w:p>
        </w:tc>
        <w:tc>
          <w:tcPr>
            <w:tcW w:w="1742" w:type="dxa"/>
            <w:vMerge w:val="restart"/>
            <w:vAlign w:val="center"/>
          </w:tcPr>
          <w:p>
            <w:pPr>
              <w:adjustRightInd w:val="0"/>
              <w:jc w:val="center"/>
              <w:rPr>
                <w:color w:val="000000"/>
                <w:kern w:val="0"/>
                <w:sz w:val="21"/>
                <w:szCs w:val="21"/>
              </w:rPr>
            </w:pPr>
            <w:r>
              <w:rPr>
                <w:color w:val="000000"/>
                <w:kern w:val="0"/>
                <w:sz w:val="21"/>
                <w:szCs w:val="21"/>
              </w:rPr>
              <w:t>用钢尺量测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widowControl/>
              <w:adjustRightInd w:val="0"/>
              <w:jc w:val="center"/>
              <w:rPr>
                <w:color w:val="000000"/>
                <w:kern w:val="0"/>
                <w:sz w:val="21"/>
                <w:szCs w:val="21"/>
              </w:rPr>
            </w:pPr>
            <w:r>
              <w:rPr>
                <w:color w:val="000000"/>
                <w:kern w:val="0"/>
                <w:sz w:val="21"/>
                <w:szCs w:val="21"/>
              </w:rPr>
              <w:t>2</w:t>
            </w:r>
          </w:p>
        </w:tc>
        <w:tc>
          <w:tcPr>
            <w:tcW w:w="3402" w:type="dxa"/>
            <w:vAlign w:val="center"/>
          </w:tcPr>
          <w:p>
            <w:pPr>
              <w:widowControl/>
              <w:adjustRightInd w:val="0"/>
              <w:jc w:val="center"/>
              <w:rPr>
                <w:color w:val="000000"/>
                <w:kern w:val="0"/>
                <w:sz w:val="21"/>
                <w:szCs w:val="21"/>
              </w:rPr>
            </w:pPr>
            <w:r>
              <w:rPr>
                <w:color w:val="000000"/>
                <w:kern w:val="0"/>
                <w:sz w:val="21"/>
                <w:szCs w:val="21"/>
              </w:rPr>
              <w:t>弯起钢筋的弯折位置</w:t>
            </w:r>
          </w:p>
        </w:tc>
        <w:tc>
          <w:tcPr>
            <w:tcW w:w="2294" w:type="dxa"/>
            <w:vAlign w:val="center"/>
          </w:tcPr>
          <w:p>
            <w:pPr>
              <w:widowControl/>
              <w:adjustRightInd w:val="0"/>
              <w:jc w:val="center"/>
              <w:rPr>
                <w:color w:val="000000"/>
                <w:kern w:val="0"/>
                <w:sz w:val="21"/>
                <w:szCs w:val="21"/>
              </w:rPr>
            </w:pPr>
            <w:r>
              <w:rPr>
                <w:rFonts w:hint="eastAsia"/>
                <w:color w:val="000000"/>
                <w:kern w:val="0"/>
                <w:sz w:val="21"/>
                <w:szCs w:val="21"/>
              </w:rPr>
              <w:t>10</w:t>
            </w:r>
          </w:p>
        </w:tc>
        <w:tc>
          <w:tcPr>
            <w:tcW w:w="1742" w:type="dxa"/>
            <w:vMerge w:val="continue"/>
            <w:vAlign w:val="center"/>
          </w:tcPr>
          <w:p>
            <w:pPr>
              <w:widowControl/>
              <w:adjustRightInd w:val="0"/>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5" w:type="dxa"/>
            <w:vAlign w:val="center"/>
          </w:tcPr>
          <w:p>
            <w:pPr>
              <w:widowControl/>
              <w:adjustRightInd w:val="0"/>
              <w:jc w:val="center"/>
              <w:rPr>
                <w:color w:val="000000"/>
                <w:kern w:val="0"/>
                <w:sz w:val="21"/>
                <w:szCs w:val="21"/>
              </w:rPr>
            </w:pPr>
            <w:r>
              <w:rPr>
                <w:color w:val="000000"/>
                <w:kern w:val="0"/>
                <w:sz w:val="21"/>
                <w:szCs w:val="21"/>
              </w:rPr>
              <w:t>3</w:t>
            </w:r>
          </w:p>
        </w:tc>
        <w:tc>
          <w:tcPr>
            <w:tcW w:w="3402" w:type="dxa"/>
            <w:vAlign w:val="center"/>
          </w:tcPr>
          <w:p>
            <w:pPr>
              <w:widowControl/>
              <w:adjustRightInd w:val="0"/>
              <w:jc w:val="center"/>
              <w:rPr>
                <w:color w:val="000000"/>
                <w:kern w:val="0"/>
                <w:sz w:val="21"/>
                <w:szCs w:val="21"/>
              </w:rPr>
            </w:pPr>
            <w:r>
              <w:rPr>
                <w:color w:val="000000"/>
                <w:kern w:val="0"/>
                <w:sz w:val="21"/>
                <w:szCs w:val="21"/>
              </w:rPr>
              <w:t>箍筋外廓尺寸</w:t>
            </w:r>
          </w:p>
        </w:tc>
        <w:tc>
          <w:tcPr>
            <w:tcW w:w="2294" w:type="dxa"/>
            <w:vAlign w:val="center"/>
          </w:tcPr>
          <w:p>
            <w:pPr>
              <w:widowControl/>
              <w:adjustRightInd w:val="0"/>
              <w:jc w:val="center"/>
              <w:rPr>
                <w:color w:val="000000"/>
                <w:kern w:val="0"/>
                <w:sz w:val="21"/>
                <w:szCs w:val="21"/>
              </w:rPr>
            </w:pPr>
            <w:r>
              <w:rPr>
                <w:color w:val="000000"/>
                <w:kern w:val="0"/>
                <w:sz w:val="21"/>
                <w:szCs w:val="21"/>
              </w:rPr>
              <w:t>±5</w:t>
            </w:r>
          </w:p>
        </w:tc>
        <w:tc>
          <w:tcPr>
            <w:tcW w:w="1742" w:type="dxa"/>
            <w:vMerge w:val="continue"/>
            <w:vAlign w:val="center"/>
          </w:tcPr>
          <w:p>
            <w:pPr>
              <w:widowControl/>
              <w:adjustRightInd w:val="0"/>
              <w:jc w:val="center"/>
              <w:rPr>
                <w:color w:val="000000"/>
                <w:kern w:val="0"/>
                <w:sz w:val="21"/>
                <w:szCs w:val="21"/>
              </w:rPr>
            </w:pPr>
          </w:p>
        </w:tc>
      </w:tr>
    </w:tbl>
    <w:p>
      <w:pPr>
        <w:rPr>
          <w:szCs w:val="24"/>
        </w:rPr>
      </w:pPr>
      <w:r>
        <w:rPr>
          <w:b/>
          <w:szCs w:val="24"/>
        </w:rPr>
        <w:t>4.7.1</w:t>
      </w:r>
      <w:r>
        <w:rPr>
          <w:rFonts w:hint="eastAsia"/>
          <w:b/>
          <w:szCs w:val="24"/>
          <w:lang w:val="en-US" w:eastAsia="zh-CN"/>
        </w:rPr>
        <w:t>6</w:t>
      </w:r>
      <w:r>
        <w:rPr>
          <w:b/>
          <w:szCs w:val="24"/>
        </w:rPr>
        <w:t xml:space="preserve"> </w:t>
      </w:r>
      <w:r>
        <w:rPr>
          <w:rFonts w:hint="eastAsia"/>
          <w:b/>
          <w:szCs w:val="24"/>
        </w:rPr>
        <w:t xml:space="preserve"> </w:t>
      </w:r>
      <w:r>
        <w:rPr>
          <w:rFonts w:hint="eastAsia"/>
          <w:szCs w:val="24"/>
        </w:rPr>
        <w:t>预制构件上的预埋件和预留孔洞宜通过模具进行定位，并安装牢固，其安装偏差应满足表</w:t>
      </w:r>
      <w:r>
        <w:rPr>
          <w:szCs w:val="24"/>
        </w:rPr>
        <w:t>4.7.1</w:t>
      </w:r>
      <w:r>
        <w:rPr>
          <w:rFonts w:hint="eastAsia"/>
          <w:szCs w:val="24"/>
          <w:lang w:val="en-US" w:eastAsia="zh-CN"/>
        </w:rPr>
        <w:t>6</w:t>
      </w:r>
      <w:r>
        <w:rPr>
          <w:rFonts w:hint="eastAsia"/>
          <w:szCs w:val="24"/>
        </w:rPr>
        <w:t>的要求。</w:t>
      </w:r>
    </w:p>
    <w:p>
      <w:pPr>
        <w:ind w:firstLine="480" w:firstLineChars="200"/>
        <w:rPr>
          <w:b/>
          <w:color w:val="000000"/>
          <w:szCs w:val="24"/>
        </w:rPr>
      </w:pPr>
      <w:r>
        <w:rPr>
          <w:rFonts w:hint="eastAsia"/>
          <w:szCs w:val="24"/>
        </w:rPr>
        <w:t>检查数量：按部位、类型抽检1</w:t>
      </w:r>
      <w:r>
        <w:rPr>
          <w:szCs w:val="24"/>
        </w:rPr>
        <w:t>0</w:t>
      </w:r>
      <w:r>
        <w:rPr>
          <w:rFonts w:hint="eastAsia"/>
          <w:szCs w:val="24"/>
        </w:rPr>
        <w:t>%</w:t>
      </w:r>
      <w:r>
        <w:rPr>
          <w:szCs w:val="24"/>
        </w:rPr>
        <w:t>。</w:t>
      </w:r>
    </w:p>
    <w:p>
      <w:pPr>
        <w:pStyle w:val="193"/>
        <w:spacing w:line="360" w:lineRule="auto"/>
        <w:jc w:val="center"/>
        <w:rPr>
          <w:b/>
          <w:color w:val="000000"/>
          <w:sz w:val="21"/>
          <w:szCs w:val="21"/>
        </w:rPr>
      </w:pPr>
      <w:r>
        <w:rPr>
          <w:b/>
          <w:color w:val="000000"/>
          <w:sz w:val="21"/>
          <w:szCs w:val="21"/>
        </w:rPr>
        <w:t>表4.7.1</w:t>
      </w:r>
      <w:r>
        <w:rPr>
          <w:rFonts w:hint="eastAsia"/>
          <w:b/>
          <w:color w:val="000000"/>
          <w:sz w:val="21"/>
          <w:szCs w:val="21"/>
          <w:lang w:val="en-US" w:eastAsia="zh-CN"/>
        </w:rPr>
        <w:t>6</w:t>
      </w:r>
      <w:r>
        <w:rPr>
          <w:b/>
          <w:color w:val="000000"/>
          <w:sz w:val="21"/>
          <w:szCs w:val="21"/>
        </w:rPr>
        <w:t xml:space="preserve">  模具上预埋件、预留孔洞安装允许偏差</w:t>
      </w:r>
    </w:p>
    <w:tbl>
      <w:tblPr>
        <w:tblStyle w:val="39"/>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62"/>
        <w:gridCol w:w="1276"/>
        <w:gridCol w:w="1985"/>
        <w:gridCol w:w="141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pacing w:line="240" w:lineRule="auto"/>
              <w:jc w:val="center"/>
              <w:rPr>
                <w:color w:val="000000"/>
                <w:kern w:val="0"/>
                <w:sz w:val="21"/>
                <w:szCs w:val="21"/>
              </w:rPr>
            </w:pPr>
            <w:r>
              <w:rPr>
                <w:color w:val="000000"/>
                <w:kern w:val="0"/>
                <w:sz w:val="21"/>
                <w:szCs w:val="21"/>
              </w:rPr>
              <w:t>项次</w:t>
            </w:r>
          </w:p>
        </w:tc>
        <w:tc>
          <w:tcPr>
            <w:tcW w:w="3261" w:type="dxa"/>
            <w:gridSpan w:val="2"/>
            <w:vAlign w:val="center"/>
          </w:tcPr>
          <w:p>
            <w:pPr>
              <w:widowControl/>
              <w:adjustRightInd w:val="0"/>
              <w:spacing w:line="240" w:lineRule="auto"/>
              <w:jc w:val="center"/>
              <w:rPr>
                <w:color w:val="000000"/>
                <w:kern w:val="0"/>
                <w:sz w:val="21"/>
                <w:szCs w:val="21"/>
              </w:rPr>
            </w:pPr>
            <w:r>
              <w:rPr>
                <w:color w:val="000000"/>
                <w:kern w:val="0"/>
                <w:sz w:val="21"/>
                <w:szCs w:val="21"/>
              </w:rPr>
              <w:t>检验项目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允许偏差（mm）</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1</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预埋槽</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平面高差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预埋钢板</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rFonts w:hint="eastAsia"/>
                <w:color w:val="000000"/>
                <w:kern w:val="0"/>
                <w:sz w:val="21"/>
                <w:szCs w:val="21"/>
              </w:rPr>
              <w:t>与</w:t>
            </w:r>
            <w:r>
              <w:rPr>
                <w:color w:val="000000"/>
                <w:kern w:val="0"/>
                <w:sz w:val="21"/>
                <w:szCs w:val="21"/>
              </w:rPr>
              <w:t>混凝土表面高差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扭转角度</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10°</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用直角尺和钢尺量测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预埋钢筋</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外露长度</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0</w:t>
            </w:r>
            <w:r>
              <w:rPr>
                <w:rFonts w:hint="eastAsia"/>
                <w:color w:val="000000"/>
                <w:kern w:val="0"/>
                <w:sz w:val="21"/>
                <w:szCs w:val="21"/>
              </w:rPr>
              <w:t>，+</w:t>
            </w:r>
            <w:r>
              <w:rPr>
                <w:color w:val="000000"/>
                <w:kern w:val="0"/>
                <w:sz w:val="21"/>
                <w:szCs w:val="21"/>
              </w:rPr>
              <w:t>10</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4</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预埋吊件</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外露长度</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0，-5</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5</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预埋螺栓</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外露长度</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0，2</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6</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预埋螺母</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2</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平面高差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0，-2</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7</w:t>
            </w:r>
          </w:p>
        </w:tc>
        <w:tc>
          <w:tcPr>
            <w:tcW w:w="1276" w:type="dxa"/>
            <w:vMerge w:val="restart"/>
            <w:vAlign w:val="center"/>
          </w:tcPr>
          <w:p>
            <w:pPr>
              <w:widowControl/>
              <w:adjustRightInd w:val="0"/>
              <w:spacing w:line="240" w:lineRule="auto"/>
              <w:jc w:val="center"/>
              <w:rPr>
                <w:color w:val="000000"/>
                <w:kern w:val="0"/>
                <w:sz w:val="21"/>
                <w:szCs w:val="21"/>
              </w:rPr>
            </w:pPr>
            <w:r>
              <w:rPr>
                <w:color w:val="000000"/>
                <w:kern w:val="0"/>
                <w:sz w:val="21"/>
                <w:szCs w:val="21"/>
              </w:rPr>
              <w:t>预留孔洞</w:t>
            </w: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中心线位置</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3</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pacing w:line="240" w:lineRule="auto"/>
              <w:jc w:val="center"/>
              <w:rPr>
                <w:color w:val="000000"/>
                <w:kern w:val="0"/>
                <w:sz w:val="21"/>
                <w:szCs w:val="21"/>
              </w:rPr>
            </w:pPr>
          </w:p>
        </w:tc>
        <w:tc>
          <w:tcPr>
            <w:tcW w:w="1276" w:type="dxa"/>
            <w:vMerge w:val="continue"/>
            <w:vAlign w:val="center"/>
          </w:tcPr>
          <w:p>
            <w:pPr>
              <w:widowControl/>
              <w:adjustRightInd w:val="0"/>
              <w:spacing w:line="240" w:lineRule="auto"/>
              <w:jc w:val="center"/>
              <w:rPr>
                <w:color w:val="000000"/>
                <w:kern w:val="0"/>
                <w:sz w:val="21"/>
                <w:szCs w:val="21"/>
              </w:rPr>
            </w:pPr>
          </w:p>
        </w:tc>
        <w:tc>
          <w:tcPr>
            <w:tcW w:w="1985" w:type="dxa"/>
            <w:vAlign w:val="center"/>
          </w:tcPr>
          <w:p>
            <w:pPr>
              <w:widowControl/>
              <w:adjustRightInd w:val="0"/>
              <w:spacing w:line="240" w:lineRule="auto"/>
              <w:jc w:val="center"/>
              <w:rPr>
                <w:color w:val="000000"/>
                <w:kern w:val="0"/>
                <w:sz w:val="21"/>
                <w:szCs w:val="21"/>
              </w:rPr>
            </w:pPr>
            <w:r>
              <w:rPr>
                <w:color w:val="000000"/>
                <w:kern w:val="0"/>
                <w:sz w:val="21"/>
                <w:szCs w:val="21"/>
              </w:rPr>
              <w:t>尺寸</w:t>
            </w:r>
          </w:p>
        </w:tc>
        <w:tc>
          <w:tcPr>
            <w:tcW w:w="1417" w:type="dxa"/>
            <w:vAlign w:val="center"/>
          </w:tcPr>
          <w:p>
            <w:pPr>
              <w:widowControl/>
              <w:adjustRightInd w:val="0"/>
              <w:spacing w:line="240" w:lineRule="auto"/>
              <w:jc w:val="center"/>
              <w:rPr>
                <w:color w:val="000000"/>
                <w:kern w:val="0"/>
                <w:sz w:val="21"/>
                <w:szCs w:val="21"/>
              </w:rPr>
            </w:pPr>
            <w:r>
              <w:rPr>
                <w:color w:val="000000"/>
                <w:kern w:val="0"/>
                <w:sz w:val="21"/>
                <w:szCs w:val="21"/>
              </w:rPr>
              <w:t>0，+3</w:t>
            </w:r>
          </w:p>
        </w:tc>
        <w:tc>
          <w:tcPr>
            <w:tcW w:w="2835" w:type="dxa"/>
            <w:vAlign w:val="center"/>
          </w:tcPr>
          <w:p>
            <w:pPr>
              <w:widowControl/>
              <w:adjustRightInd w:val="0"/>
              <w:spacing w:line="240" w:lineRule="auto"/>
              <w:jc w:val="center"/>
              <w:rPr>
                <w:color w:val="000000"/>
                <w:kern w:val="0"/>
                <w:sz w:val="21"/>
                <w:szCs w:val="21"/>
              </w:rPr>
            </w:pPr>
            <w:r>
              <w:rPr>
                <w:color w:val="000000"/>
                <w:kern w:val="0"/>
                <w:sz w:val="21"/>
                <w:szCs w:val="21"/>
              </w:rPr>
              <w:t>用尺量测纵横两个方向尺寸，取其中较大值</w:t>
            </w:r>
          </w:p>
        </w:tc>
      </w:tr>
    </w:tbl>
    <w:p>
      <w:pPr>
        <w:rPr>
          <w:szCs w:val="24"/>
        </w:rPr>
      </w:pPr>
      <w:r>
        <w:rPr>
          <w:b/>
          <w:bCs/>
          <w:szCs w:val="24"/>
        </w:rPr>
        <w:t>4.7.1</w:t>
      </w:r>
      <w:r>
        <w:rPr>
          <w:rFonts w:hint="eastAsia"/>
          <w:b/>
          <w:bCs/>
          <w:szCs w:val="24"/>
          <w:lang w:val="en-US" w:eastAsia="zh-CN"/>
        </w:rPr>
        <w:t>7</w:t>
      </w:r>
      <w:r>
        <w:rPr>
          <w:b/>
          <w:szCs w:val="24"/>
        </w:rPr>
        <w:t xml:space="preserve"> </w:t>
      </w:r>
      <w:r>
        <w:rPr>
          <w:rFonts w:hint="eastAsia"/>
          <w:b/>
          <w:szCs w:val="24"/>
        </w:rPr>
        <w:t xml:space="preserve"> </w:t>
      </w:r>
      <w:r>
        <w:rPr>
          <w:rFonts w:hint="eastAsia"/>
          <w:szCs w:val="24"/>
        </w:rPr>
        <w:t>焊接成型的钢筋骨架应牢固、无变形。钢筋骨架漏焊、开焊的焊点数量不应超过焊点总数的4%，且不应有相邻两点漏焊或开焊。</w:t>
      </w:r>
    </w:p>
    <w:p>
      <w:pPr>
        <w:ind w:firstLine="480" w:firstLineChars="200"/>
        <w:rPr>
          <w:szCs w:val="24"/>
        </w:rPr>
      </w:pPr>
      <w:r>
        <w:rPr>
          <w:rFonts w:hint="eastAsia"/>
          <w:szCs w:val="24"/>
        </w:rPr>
        <w:t>检查数量：全数检查。</w:t>
      </w:r>
    </w:p>
    <w:p>
      <w:pPr>
        <w:ind w:firstLine="480" w:firstLineChars="200"/>
        <w:rPr>
          <w:szCs w:val="24"/>
        </w:rPr>
      </w:pPr>
      <w:r>
        <w:rPr>
          <w:rFonts w:hint="eastAsia"/>
          <w:szCs w:val="24"/>
        </w:rPr>
        <w:t>检验方法：观察，摇动检查</w:t>
      </w:r>
      <w:r>
        <w:rPr>
          <w:szCs w:val="24"/>
        </w:rPr>
        <w:t>。</w:t>
      </w:r>
    </w:p>
    <w:p>
      <w:pPr>
        <w:spacing w:before="84"/>
        <w:rPr>
          <w:color w:val="auto"/>
          <w:szCs w:val="24"/>
        </w:rPr>
      </w:pPr>
      <w:bookmarkStart w:id="155" w:name="_Toc3897"/>
      <w:r>
        <w:rPr>
          <w:rFonts w:hint="eastAsia"/>
          <w:b/>
          <w:color w:val="auto"/>
          <w:szCs w:val="24"/>
          <w:lang w:val="en-US" w:eastAsia="zh-CN"/>
        </w:rPr>
        <w:t>4.7.18</w:t>
      </w:r>
      <w:r>
        <w:rPr>
          <w:b/>
          <w:color w:val="auto"/>
          <w:spacing w:val="51"/>
          <w:szCs w:val="24"/>
        </w:rPr>
        <w:t xml:space="preserve"> </w:t>
      </w:r>
      <w:r>
        <w:rPr>
          <w:rFonts w:cs="宋体"/>
          <w:color w:val="auto"/>
          <w:szCs w:val="24"/>
        </w:rPr>
        <w:t>钢筋</w:t>
      </w:r>
      <w:r>
        <w:rPr>
          <w:rFonts w:hint="eastAsia" w:cs="宋体"/>
          <w:color w:val="auto"/>
          <w:szCs w:val="24"/>
        </w:rPr>
        <w:t>安装应保证</w:t>
      </w:r>
      <w:r>
        <w:rPr>
          <w:rFonts w:cs="宋体"/>
          <w:color w:val="auto"/>
          <w:szCs w:val="24"/>
        </w:rPr>
        <w:t>整体尺寸准确，</w:t>
      </w:r>
      <w:r>
        <w:rPr>
          <w:rFonts w:hint="eastAsia" w:cs="宋体"/>
          <w:color w:val="auto"/>
          <w:szCs w:val="24"/>
        </w:rPr>
        <w:t>并</w:t>
      </w:r>
      <w:r>
        <w:rPr>
          <w:rFonts w:cs="宋体"/>
          <w:color w:val="auto"/>
          <w:szCs w:val="24"/>
        </w:rPr>
        <w:t>应符合现行国家标准《混凝土结构工程施工质量验收规范》</w:t>
      </w:r>
      <w:r>
        <w:rPr>
          <w:color w:val="auto"/>
          <w:spacing w:val="2"/>
          <w:szCs w:val="24"/>
        </w:rPr>
        <w:t>GB</w:t>
      </w:r>
      <w:r>
        <w:rPr>
          <w:color w:val="auto"/>
          <w:spacing w:val="-2"/>
          <w:szCs w:val="24"/>
        </w:rPr>
        <w:t xml:space="preserve"> </w:t>
      </w:r>
      <w:r>
        <w:rPr>
          <w:color w:val="auto"/>
          <w:szCs w:val="24"/>
        </w:rPr>
        <w:t>50204</w:t>
      </w:r>
      <w:r>
        <w:rPr>
          <w:rFonts w:cs="宋体"/>
          <w:color w:val="auto"/>
          <w:szCs w:val="24"/>
        </w:rPr>
        <w:t>的</w:t>
      </w:r>
      <w:r>
        <w:rPr>
          <w:rFonts w:hint="eastAsia" w:cs="宋体"/>
          <w:color w:val="auto"/>
          <w:szCs w:val="24"/>
        </w:rPr>
        <w:t>有关</w:t>
      </w:r>
      <w:r>
        <w:rPr>
          <w:rFonts w:cs="宋体"/>
          <w:color w:val="auto"/>
          <w:szCs w:val="24"/>
        </w:rPr>
        <w:t>规定。预制构件钢筋安装尺寸允许偏差应符合表</w:t>
      </w:r>
      <w:r>
        <w:rPr>
          <w:rFonts w:hint="eastAsia"/>
          <w:color w:val="auto"/>
          <w:szCs w:val="24"/>
          <w:lang w:val="en-US" w:eastAsia="zh-CN"/>
        </w:rPr>
        <w:t>4.7.18</w:t>
      </w:r>
      <w:r>
        <w:rPr>
          <w:rFonts w:cs="宋体"/>
          <w:color w:val="auto"/>
          <w:szCs w:val="24"/>
        </w:rPr>
        <w:t>的规定。</w:t>
      </w:r>
    </w:p>
    <w:p>
      <w:pPr>
        <w:spacing w:before="68" w:line="244" w:lineRule="exact"/>
        <w:jc w:val="center"/>
        <w:rPr>
          <w:rFonts w:cs="宋体"/>
          <w:b/>
          <w:bCs/>
          <w:color w:val="auto"/>
          <w:sz w:val="21"/>
          <w:szCs w:val="21"/>
        </w:rPr>
      </w:pPr>
      <w:r>
        <w:rPr>
          <w:rFonts w:cs="宋体"/>
          <w:b/>
          <w:bCs/>
          <w:color w:val="auto"/>
          <w:sz w:val="21"/>
          <w:szCs w:val="21"/>
        </w:rPr>
        <w:t>表</w:t>
      </w:r>
      <w:r>
        <w:rPr>
          <w:b/>
          <w:bCs/>
          <w:color w:val="auto"/>
          <w:sz w:val="21"/>
          <w:szCs w:val="21"/>
        </w:rPr>
        <w:t>4.</w:t>
      </w:r>
      <w:r>
        <w:rPr>
          <w:rFonts w:hint="eastAsia"/>
          <w:b/>
          <w:bCs/>
          <w:color w:val="auto"/>
          <w:sz w:val="21"/>
          <w:szCs w:val="21"/>
          <w:lang w:val="en-US" w:eastAsia="zh-CN"/>
        </w:rPr>
        <w:t>7</w:t>
      </w:r>
      <w:r>
        <w:rPr>
          <w:b/>
          <w:bCs/>
          <w:color w:val="auto"/>
          <w:sz w:val="21"/>
          <w:szCs w:val="21"/>
        </w:rPr>
        <w:t>.</w:t>
      </w:r>
      <w:r>
        <w:rPr>
          <w:rFonts w:hint="eastAsia"/>
          <w:b/>
          <w:bCs/>
          <w:color w:val="auto"/>
          <w:sz w:val="21"/>
          <w:szCs w:val="21"/>
          <w:lang w:val="en-US" w:eastAsia="zh-CN"/>
        </w:rPr>
        <w:t>18</w:t>
      </w:r>
      <w:r>
        <w:rPr>
          <w:b/>
          <w:bCs/>
          <w:color w:val="auto"/>
          <w:spacing w:val="104"/>
          <w:sz w:val="21"/>
          <w:szCs w:val="21"/>
        </w:rPr>
        <w:t xml:space="preserve"> </w:t>
      </w:r>
      <w:r>
        <w:rPr>
          <w:rFonts w:cs="宋体"/>
          <w:b/>
          <w:bCs/>
          <w:color w:val="auto"/>
          <w:sz w:val="21"/>
          <w:szCs w:val="21"/>
        </w:rPr>
        <w:t>钢筋安装的允许偏差</w:t>
      </w:r>
    </w:p>
    <w:tbl>
      <w:tblPr>
        <w:tblStyle w:val="38"/>
        <w:tblW w:w="6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2212"/>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4" w:type="dxa"/>
            <w:gridSpan w:val="2"/>
            <w:shd w:val="clear" w:color="auto" w:fill="auto"/>
            <w:vAlign w:val="center"/>
          </w:tcPr>
          <w:p>
            <w:pPr>
              <w:spacing w:before="68" w:line="240" w:lineRule="auto"/>
              <w:ind w:left="142" w:leftChars="59"/>
              <w:jc w:val="center"/>
              <w:rPr>
                <w:color w:val="auto"/>
                <w:sz w:val="21"/>
                <w:szCs w:val="21"/>
              </w:rPr>
            </w:pPr>
            <w:r>
              <w:rPr>
                <w:rFonts w:cs="宋体"/>
                <w:color w:val="auto"/>
                <w:sz w:val="21"/>
                <w:szCs w:val="21"/>
              </w:rPr>
              <w:t>项目</w:t>
            </w:r>
          </w:p>
        </w:tc>
        <w:tc>
          <w:tcPr>
            <w:tcW w:w="2039" w:type="dxa"/>
            <w:shd w:val="clear" w:color="auto" w:fill="auto"/>
            <w:vAlign w:val="center"/>
          </w:tcPr>
          <w:p>
            <w:pPr>
              <w:spacing w:before="110" w:line="240" w:lineRule="auto"/>
              <w:jc w:val="center"/>
              <w:rPr>
                <w:color w:val="auto"/>
                <w:sz w:val="21"/>
                <w:szCs w:val="21"/>
              </w:rPr>
            </w:pPr>
            <w:r>
              <w:rPr>
                <w:rFonts w:cs="宋体"/>
                <w:color w:val="auto"/>
                <w:sz w:val="21"/>
                <w:szCs w:val="21"/>
              </w:rPr>
              <w:t>允许偏差（</w:t>
            </w:r>
            <w:r>
              <w:rPr>
                <w:color w:val="auto"/>
                <w:spacing w:val="-1"/>
                <w:sz w:val="21"/>
                <w:szCs w:val="21"/>
              </w:rPr>
              <w:t>mm</w:t>
            </w:r>
            <w:r>
              <w:rPr>
                <w:rFonts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restart"/>
            <w:shd w:val="clear" w:color="auto" w:fill="auto"/>
            <w:vAlign w:val="center"/>
          </w:tcPr>
          <w:p>
            <w:pPr>
              <w:spacing w:before="68" w:line="240" w:lineRule="auto"/>
              <w:jc w:val="center"/>
              <w:rPr>
                <w:color w:val="auto"/>
                <w:sz w:val="21"/>
                <w:szCs w:val="21"/>
              </w:rPr>
            </w:pPr>
            <w:r>
              <w:rPr>
                <w:rFonts w:cs="宋体"/>
                <w:color w:val="auto"/>
                <w:sz w:val="21"/>
                <w:szCs w:val="21"/>
              </w:rPr>
              <w:t>绑扎钢筋网</w:t>
            </w:r>
          </w:p>
        </w:tc>
        <w:tc>
          <w:tcPr>
            <w:tcW w:w="2212" w:type="dxa"/>
            <w:shd w:val="clear" w:color="auto" w:fill="auto"/>
            <w:vAlign w:val="center"/>
          </w:tcPr>
          <w:p>
            <w:pPr>
              <w:spacing w:before="68" w:line="240" w:lineRule="auto"/>
              <w:jc w:val="center"/>
              <w:rPr>
                <w:color w:val="auto"/>
                <w:sz w:val="21"/>
                <w:szCs w:val="21"/>
              </w:rPr>
            </w:pPr>
            <w:r>
              <w:rPr>
                <w:rFonts w:cs="宋体"/>
                <w:color w:val="auto"/>
                <w:sz w:val="21"/>
                <w:szCs w:val="21"/>
              </w:rPr>
              <w:t>长、宽</w:t>
            </w:r>
          </w:p>
        </w:tc>
        <w:tc>
          <w:tcPr>
            <w:tcW w:w="2039" w:type="dxa"/>
            <w:shd w:val="clear" w:color="auto" w:fill="auto"/>
            <w:vAlign w:val="center"/>
          </w:tcPr>
          <w:p>
            <w:pPr>
              <w:spacing w:before="68" w:line="240" w:lineRule="auto"/>
              <w:jc w:val="center"/>
              <w:rPr>
                <w:color w:val="auto"/>
                <w:sz w:val="21"/>
                <w:szCs w:val="21"/>
              </w:rPr>
            </w:pPr>
            <w:r>
              <w:rPr>
                <w:rFonts w:cs="FHDNAG+TimesNewRomanPSMT"/>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continue"/>
            <w:shd w:val="clear" w:color="auto" w:fill="auto"/>
            <w:vAlign w:val="center"/>
          </w:tcPr>
          <w:p>
            <w:pPr>
              <w:spacing w:before="68" w:line="240" w:lineRule="auto"/>
              <w:jc w:val="center"/>
              <w:rPr>
                <w:color w:val="auto"/>
                <w:sz w:val="21"/>
                <w:szCs w:val="21"/>
              </w:rPr>
            </w:pPr>
          </w:p>
        </w:tc>
        <w:tc>
          <w:tcPr>
            <w:tcW w:w="2212" w:type="dxa"/>
            <w:shd w:val="clear" w:color="auto" w:fill="auto"/>
            <w:vAlign w:val="center"/>
          </w:tcPr>
          <w:p>
            <w:pPr>
              <w:spacing w:before="68" w:line="240" w:lineRule="auto"/>
              <w:jc w:val="center"/>
              <w:rPr>
                <w:color w:val="auto"/>
                <w:sz w:val="21"/>
                <w:szCs w:val="21"/>
              </w:rPr>
            </w:pPr>
            <w:r>
              <w:rPr>
                <w:rFonts w:cs="宋体"/>
                <w:color w:val="auto"/>
                <w:sz w:val="21"/>
                <w:szCs w:val="21"/>
              </w:rPr>
              <w:t>网眼尺寸</w:t>
            </w:r>
          </w:p>
        </w:tc>
        <w:tc>
          <w:tcPr>
            <w:tcW w:w="2039" w:type="dxa"/>
            <w:shd w:val="clear" w:color="auto" w:fill="auto"/>
            <w:vAlign w:val="center"/>
          </w:tcPr>
          <w:p>
            <w:pPr>
              <w:spacing w:before="68" w:line="240" w:lineRule="auto"/>
              <w:jc w:val="center"/>
              <w:rPr>
                <w:color w:val="auto"/>
                <w:sz w:val="21"/>
                <w:szCs w:val="21"/>
              </w:rPr>
            </w:pPr>
            <w:r>
              <w:rPr>
                <w:rFonts w:cs="FHDNAG+TimesNewRomanPSMT"/>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restart"/>
            <w:shd w:val="clear" w:color="auto" w:fill="auto"/>
            <w:vAlign w:val="center"/>
          </w:tcPr>
          <w:p>
            <w:pPr>
              <w:spacing w:before="68" w:line="240" w:lineRule="auto"/>
              <w:jc w:val="center"/>
              <w:rPr>
                <w:color w:val="auto"/>
                <w:sz w:val="21"/>
                <w:szCs w:val="21"/>
              </w:rPr>
            </w:pPr>
            <w:r>
              <w:rPr>
                <w:rFonts w:cs="宋体"/>
                <w:color w:val="auto"/>
                <w:sz w:val="21"/>
                <w:szCs w:val="21"/>
                <w:lang w:eastAsia="en-US"/>
              </w:rPr>
              <w:t>绑扎钢筋骨架</w:t>
            </w:r>
          </w:p>
        </w:tc>
        <w:tc>
          <w:tcPr>
            <w:tcW w:w="2212" w:type="dxa"/>
            <w:shd w:val="clear" w:color="auto" w:fill="auto"/>
            <w:vAlign w:val="center"/>
          </w:tcPr>
          <w:p>
            <w:pPr>
              <w:spacing w:before="68" w:line="240" w:lineRule="auto"/>
              <w:jc w:val="center"/>
              <w:rPr>
                <w:color w:val="auto"/>
                <w:sz w:val="21"/>
                <w:szCs w:val="21"/>
              </w:rPr>
            </w:pPr>
            <w:r>
              <w:rPr>
                <w:rFonts w:cs="宋体"/>
                <w:color w:val="auto"/>
                <w:sz w:val="21"/>
                <w:szCs w:val="21"/>
                <w:lang w:eastAsia="en-US"/>
              </w:rPr>
              <w:t>长</w:t>
            </w:r>
          </w:p>
        </w:tc>
        <w:tc>
          <w:tcPr>
            <w:tcW w:w="2039" w:type="dxa"/>
            <w:shd w:val="clear" w:color="auto" w:fill="auto"/>
            <w:vAlign w:val="center"/>
          </w:tcPr>
          <w:p>
            <w:pPr>
              <w:spacing w:line="240" w:lineRule="auto"/>
              <w:ind w:left="180"/>
              <w:jc w:val="center"/>
              <w:rPr>
                <w:rFonts w:hint="eastAsia" w:eastAsia="宋体"/>
                <w:color w:val="auto"/>
                <w:sz w:val="21"/>
                <w:szCs w:val="21"/>
                <w:lang w:eastAsia="zh-CN"/>
              </w:rPr>
            </w:pPr>
            <w:r>
              <w:rPr>
                <w:rFonts w:cs="FHDNAG+TimesNewRomanPSMT"/>
                <w:color w:val="auto"/>
                <w:sz w:val="21"/>
                <w:szCs w:val="21"/>
                <w:lang w:eastAsia="en-US"/>
              </w:rPr>
              <w:t>±</w:t>
            </w:r>
            <w:r>
              <w:rPr>
                <w:rFonts w:hint="eastAsia" w:cs="FHDNAG+TimesNewRomanPSMT"/>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continue"/>
            <w:shd w:val="clear" w:color="auto" w:fill="auto"/>
            <w:vAlign w:val="center"/>
          </w:tcPr>
          <w:p>
            <w:pPr>
              <w:spacing w:before="68" w:line="240" w:lineRule="auto"/>
              <w:jc w:val="center"/>
              <w:rPr>
                <w:color w:val="auto"/>
                <w:sz w:val="21"/>
                <w:szCs w:val="21"/>
              </w:rPr>
            </w:pPr>
          </w:p>
        </w:tc>
        <w:tc>
          <w:tcPr>
            <w:tcW w:w="2212" w:type="dxa"/>
            <w:shd w:val="clear" w:color="auto" w:fill="auto"/>
            <w:vAlign w:val="center"/>
          </w:tcPr>
          <w:p>
            <w:pPr>
              <w:spacing w:before="68" w:line="240" w:lineRule="auto"/>
              <w:jc w:val="center"/>
              <w:rPr>
                <w:color w:val="auto"/>
                <w:sz w:val="21"/>
                <w:szCs w:val="21"/>
              </w:rPr>
            </w:pPr>
            <w:r>
              <w:rPr>
                <w:rFonts w:cs="宋体"/>
                <w:color w:val="auto"/>
                <w:sz w:val="21"/>
                <w:szCs w:val="21"/>
                <w:lang w:eastAsia="en-US"/>
              </w:rPr>
              <w:t>宽、高</w:t>
            </w:r>
          </w:p>
        </w:tc>
        <w:tc>
          <w:tcPr>
            <w:tcW w:w="2039" w:type="dxa"/>
            <w:shd w:val="clear" w:color="auto" w:fill="auto"/>
            <w:vAlign w:val="center"/>
          </w:tcPr>
          <w:p>
            <w:pPr>
              <w:spacing w:before="68" w:line="240" w:lineRule="auto"/>
              <w:jc w:val="center"/>
              <w:rPr>
                <w:color w:val="auto"/>
                <w:sz w:val="21"/>
                <w:szCs w:val="21"/>
              </w:rPr>
            </w:pPr>
            <w:r>
              <w:rPr>
                <w:rFonts w:hint="eastAsia"/>
                <w:color w:val="auto"/>
                <w:sz w:val="21"/>
                <w:szCs w:val="21"/>
              </w:rPr>
              <w:t>±</w:t>
            </w: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restart"/>
            <w:shd w:val="clear" w:color="auto" w:fill="auto"/>
            <w:vAlign w:val="center"/>
          </w:tcPr>
          <w:p>
            <w:pPr>
              <w:spacing w:before="68" w:line="240" w:lineRule="auto"/>
              <w:jc w:val="center"/>
              <w:rPr>
                <w:color w:val="auto"/>
                <w:sz w:val="21"/>
                <w:szCs w:val="21"/>
              </w:rPr>
            </w:pPr>
            <w:r>
              <w:rPr>
                <w:rFonts w:cs="宋体"/>
                <w:color w:val="auto"/>
                <w:sz w:val="21"/>
                <w:szCs w:val="21"/>
              </w:rPr>
              <w:t>受力钢筋</w:t>
            </w:r>
          </w:p>
        </w:tc>
        <w:tc>
          <w:tcPr>
            <w:tcW w:w="2212" w:type="dxa"/>
            <w:shd w:val="clear" w:color="auto" w:fill="auto"/>
            <w:vAlign w:val="center"/>
          </w:tcPr>
          <w:p>
            <w:pPr>
              <w:spacing w:before="68" w:line="240" w:lineRule="auto"/>
              <w:jc w:val="center"/>
              <w:rPr>
                <w:color w:val="auto"/>
                <w:sz w:val="21"/>
                <w:szCs w:val="21"/>
              </w:rPr>
            </w:pPr>
            <w:r>
              <w:rPr>
                <w:rFonts w:cs="宋体"/>
                <w:color w:val="auto"/>
                <w:sz w:val="21"/>
                <w:szCs w:val="21"/>
              </w:rPr>
              <w:t>间距</w:t>
            </w:r>
          </w:p>
        </w:tc>
        <w:tc>
          <w:tcPr>
            <w:tcW w:w="2039" w:type="dxa"/>
            <w:shd w:val="clear" w:color="auto" w:fill="auto"/>
            <w:vAlign w:val="center"/>
          </w:tcPr>
          <w:p>
            <w:pPr>
              <w:spacing w:before="68" w:line="240" w:lineRule="auto"/>
              <w:jc w:val="center"/>
              <w:rPr>
                <w:color w:val="auto"/>
                <w:sz w:val="21"/>
                <w:szCs w:val="21"/>
              </w:rPr>
            </w:pPr>
            <w:r>
              <w:rPr>
                <w:rFonts w:cs="FHDNAG+TimesNewRomanPSMT"/>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continue"/>
            <w:shd w:val="clear" w:color="auto" w:fill="auto"/>
            <w:vAlign w:val="center"/>
          </w:tcPr>
          <w:p>
            <w:pPr>
              <w:spacing w:before="68" w:line="240" w:lineRule="auto"/>
              <w:jc w:val="center"/>
              <w:rPr>
                <w:color w:val="auto"/>
                <w:sz w:val="21"/>
                <w:szCs w:val="21"/>
              </w:rPr>
            </w:pPr>
          </w:p>
        </w:tc>
        <w:tc>
          <w:tcPr>
            <w:tcW w:w="2212" w:type="dxa"/>
            <w:shd w:val="clear" w:color="auto" w:fill="auto"/>
            <w:vAlign w:val="center"/>
          </w:tcPr>
          <w:p>
            <w:pPr>
              <w:spacing w:before="68" w:line="240" w:lineRule="auto"/>
              <w:jc w:val="center"/>
              <w:rPr>
                <w:color w:val="auto"/>
                <w:sz w:val="21"/>
                <w:szCs w:val="21"/>
              </w:rPr>
            </w:pPr>
            <w:r>
              <w:rPr>
                <w:rFonts w:cs="宋体"/>
                <w:color w:val="auto"/>
                <w:sz w:val="21"/>
                <w:szCs w:val="21"/>
              </w:rPr>
              <w:t>排距</w:t>
            </w:r>
          </w:p>
        </w:tc>
        <w:tc>
          <w:tcPr>
            <w:tcW w:w="2039" w:type="dxa"/>
            <w:shd w:val="clear" w:color="auto" w:fill="auto"/>
            <w:vAlign w:val="center"/>
          </w:tcPr>
          <w:p>
            <w:pPr>
              <w:spacing w:before="68" w:line="240" w:lineRule="auto"/>
              <w:jc w:val="center"/>
              <w:rPr>
                <w:color w:val="auto"/>
                <w:sz w:val="21"/>
                <w:szCs w:val="21"/>
              </w:rPr>
            </w:pPr>
            <w:r>
              <w:rPr>
                <w:rFonts w:cs="FHDNAG+TimesNewRomanPSMT"/>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2" w:type="dxa"/>
            <w:vMerge w:val="continue"/>
            <w:shd w:val="clear" w:color="auto" w:fill="auto"/>
            <w:vAlign w:val="center"/>
          </w:tcPr>
          <w:p>
            <w:pPr>
              <w:spacing w:before="68" w:line="240" w:lineRule="auto"/>
              <w:jc w:val="center"/>
              <w:rPr>
                <w:color w:val="auto"/>
                <w:sz w:val="21"/>
                <w:szCs w:val="21"/>
              </w:rPr>
            </w:pPr>
          </w:p>
        </w:tc>
        <w:tc>
          <w:tcPr>
            <w:tcW w:w="2212" w:type="dxa"/>
            <w:shd w:val="clear" w:color="auto" w:fill="auto"/>
            <w:vAlign w:val="center"/>
          </w:tcPr>
          <w:p>
            <w:pPr>
              <w:spacing w:before="68" w:line="240" w:lineRule="auto"/>
              <w:jc w:val="center"/>
              <w:rPr>
                <w:rFonts w:hint="default" w:eastAsia="宋体"/>
                <w:color w:val="auto"/>
                <w:sz w:val="21"/>
                <w:szCs w:val="21"/>
                <w:lang w:val="en-US" w:eastAsia="zh-CN"/>
              </w:rPr>
            </w:pPr>
            <w:r>
              <w:rPr>
                <w:rFonts w:hint="eastAsia"/>
                <w:color w:val="auto"/>
                <w:sz w:val="21"/>
                <w:szCs w:val="21"/>
                <w:lang w:val="en-US" w:eastAsia="zh-CN"/>
              </w:rPr>
              <w:t>保护层厚度</w:t>
            </w:r>
          </w:p>
        </w:tc>
        <w:tc>
          <w:tcPr>
            <w:tcW w:w="2039" w:type="dxa"/>
            <w:shd w:val="clear" w:color="auto" w:fill="auto"/>
            <w:vAlign w:val="center"/>
          </w:tcPr>
          <w:p>
            <w:pPr>
              <w:spacing w:before="68" w:line="240" w:lineRule="auto"/>
              <w:jc w:val="center"/>
              <w:rPr>
                <w:rFonts w:hint="default" w:eastAsia="宋体"/>
                <w:color w:val="auto"/>
                <w:sz w:val="21"/>
                <w:szCs w:val="21"/>
                <w:lang w:val="en-US" w:eastAsia="zh-CN"/>
              </w:rPr>
            </w:pPr>
            <w:r>
              <w:rPr>
                <w:rFonts w:hint="eastAsia" w:cs="FHDNAG+TimesNewRomanPSMT"/>
                <w:color w:val="auto"/>
                <w:sz w:val="21"/>
                <w:szCs w:val="21"/>
              </w:rPr>
              <w:t>±</w:t>
            </w: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4" w:type="dxa"/>
            <w:gridSpan w:val="2"/>
            <w:shd w:val="clear" w:color="auto" w:fill="auto"/>
            <w:vAlign w:val="center"/>
          </w:tcPr>
          <w:p>
            <w:pPr>
              <w:spacing w:before="68" w:line="240" w:lineRule="auto"/>
              <w:jc w:val="center"/>
              <w:rPr>
                <w:rFonts w:cs="宋体"/>
                <w:color w:val="auto"/>
                <w:sz w:val="21"/>
                <w:szCs w:val="21"/>
              </w:rPr>
            </w:pPr>
            <w:r>
              <w:rPr>
                <w:rFonts w:hint="eastAsia" w:cs="宋体"/>
                <w:color w:val="auto"/>
                <w:sz w:val="21"/>
                <w:szCs w:val="21"/>
              </w:rPr>
              <w:t>绑扎箍筋、横向钢筋间距</w:t>
            </w:r>
          </w:p>
        </w:tc>
        <w:tc>
          <w:tcPr>
            <w:tcW w:w="2039" w:type="dxa"/>
            <w:shd w:val="clear" w:color="auto" w:fill="auto"/>
            <w:vAlign w:val="center"/>
          </w:tcPr>
          <w:p>
            <w:pPr>
              <w:spacing w:before="68" w:line="240" w:lineRule="auto"/>
              <w:jc w:val="center"/>
              <w:rPr>
                <w:rFonts w:cs="FHDNAG+TimesNewRomanPSMT"/>
                <w:color w:val="auto"/>
                <w:sz w:val="21"/>
                <w:szCs w:val="21"/>
              </w:rPr>
            </w:pPr>
            <w:r>
              <w:rPr>
                <w:rFonts w:hint="eastAsia" w:cs="FHDNAG+TimesNewRomanPSMT"/>
                <w:color w:val="auto"/>
                <w:sz w:val="21"/>
                <w:szCs w:val="21"/>
              </w:rPr>
              <w:t>±</w:t>
            </w:r>
            <w:r>
              <w:rPr>
                <w:rFonts w:cs="FHDNAG+TimesNewRomanPSMT"/>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34" w:type="dxa"/>
            <w:gridSpan w:val="2"/>
            <w:shd w:val="clear" w:color="auto" w:fill="auto"/>
            <w:vAlign w:val="center"/>
          </w:tcPr>
          <w:p>
            <w:pPr>
              <w:spacing w:before="68" w:line="240" w:lineRule="auto"/>
              <w:jc w:val="center"/>
              <w:rPr>
                <w:rFonts w:cs="宋体"/>
                <w:color w:val="auto"/>
                <w:sz w:val="21"/>
                <w:szCs w:val="21"/>
              </w:rPr>
            </w:pPr>
            <w:r>
              <w:rPr>
                <w:rFonts w:cs="宋体"/>
                <w:color w:val="auto"/>
                <w:sz w:val="21"/>
                <w:szCs w:val="21"/>
              </w:rPr>
              <w:t>钢筋弯起点位置</w:t>
            </w:r>
          </w:p>
        </w:tc>
        <w:tc>
          <w:tcPr>
            <w:tcW w:w="2039" w:type="dxa"/>
            <w:shd w:val="clear" w:color="auto" w:fill="auto"/>
            <w:vAlign w:val="center"/>
          </w:tcPr>
          <w:p>
            <w:pPr>
              <w:spacing w:before="68" w:line="240" w:lineRule="auto"/>
              <w:jc w:val="center"/>
              <w:rPr>
                <w:rFonts w:hint="default" w:eastAsia="宋体" w:cs="FHDNAG+TimesNewRomanPSMT"/>
                <w:color w:val="auto"/>
                <w:sz w:val="21"/>
                <w:szCs w:val="21"/>
                <w:lang w:val="en-US" w:eastAsia="zh-CN"/>
              </w:rPr>
            </w:pPr>
            <w:r>
              <w:rPr>
                <w:rFonts w:hint="eastAsia"/>
                <w:color w:val="auto"/>
                <w:spacing w:val="1"/>
                <w:sz w:val="21"/>
                <w:szCs w:val="21"/>
                <w:lang w:val="en-US" w:eastAsia="zh-CN"/>
              </w:rPr>
              <w:t>10</w:t>
            </w:r>
          </w:p>
        </w:tc>
      </w:tr>
    </w:tbl>
    <w:p>
      <w:pPr>
        <w:jc w:val="center"/>
        <w:rPr>
          <w:b/>
          <w:bCs/>
        </w:rPr>
      </w:pPr>
    </w:p>
    <w:p>
      <w:pPr>
        <w:jc w:val="center"/>
        <w:rPr>
          <w:rFonts w:hint="eastAsia" w:eastAsia="宋体"/>
          <w:b/>
          <w:bCs/>
          <w:lang w:val="en-US" w:eastAsia="zh-CN"/>
        </w:rPr>
      </w:pPr>
      <w:r>
        <w:rPr>
          <w:b/>
          <w:bCs/>
        </w:rPr>
        <w:t xml:space="preserve">Ⅲ </w:t>
      </w:r>
      <w:r>
        <w:rPr>
          <w:rFonts w:hint="eastAsia"/>
          <w:b/>
          <w:bCs/>
        </w:rPr>
        <w:t xml:space="preserve"> </w:t>
      </w:r>
      <w:r>
        <w:rPr>
          <w:b/>
          <w:bCs/>
        </w:rPr>
        <w:t>混凝土</w:t>
      </w:r>
      <w:bookmarkEnd w:id="155"/>
      <w:r>
        <w:rPr>
          <w:rFonts w:hint="eastAsia"/>
          <w:b/>
          <w:bCs/>
          <w:lang w:val="en-US" w:eastAsia="zh-CN"/>
        </w:rPr>
        <w:t>浇筑</w:t>
      </w:r>
    </w:p>
    <w:p>
      <w:pPr>
        <w:jc w:val="center"/>
        <w:rPr>
          <w:b/>
          <w:bCs/>
        </w:rPr>
      </w:pPr>
      <w:bookmarkStart w:id="156" w:name="_Toc5216"/>
      <w:r>
        <w:rPr>
          <w:rFonts w:hint="eastAsia"/>
          <w:b/>
          <w:bCs/>
        </w:rPr>
        <w:t>主控项目</w:t>
      </w:r>
      <w:bookmarkEnd w:id="156"/>
    </w:p>
    <w:p>
      <w:r>
        <w:rPr>
          <w:b/>
          <w:bCs/>
        </w:rPr>
        <w:t>4.7.</w:t>
      </w:r>
      <w:r>
        <w:rPr>
          <w:rFonts w:hint="eastAsia"/>
          <w:b/>
          <w:bCs/>
          <w:lang w:val="en-US" w:eastAsia="zh-CN"/>
        </w:rPr>
        <w:t>19</w:t>
      </w:r>
      <w:r>
        <w:rPr>
          <w:b/>
        </w:rPr>
        <w:t xml:space="preserve"> </w:t>
      </w:r>
      <w:r>
        <w:rPr>
          <w:rFonts w:hint="eastAsia"/>
          <w:b/>
        </w:rPr>
        <w:t xml:space="preserve"> </w:t>
      </w:r>
      <w:r>
        <w:rPr>
          <w:rFonts w:hint="eastAsia"/>
        </w:rPr>
        <w:t>混凝土用的水泥、外加剂、掺合料等应有产品合格证，并应按有关标准的规定进行复验检测；骨料（砂、石）应按批次复检，并定期送第三方检测单位检测。检测质量应符合国家现行有关标准的规定。</w:t>
      </w:r>
    </w:p>
    <w:p>
      <w:pPr>
        <w:ind w:firstLine="480" w:firstLineChars="200"/>
      </w:pPr>
      <w:r>
        <w:rPr>
          <w:rFonts w:hint="eastAsia"/>
        </w:rPr>
        <w:t>检查数量：按批检验。</w:t>
      </w:r>
    </w:p>
    <w:p>
      <w:pPr>
        <w:ind w:firstLine="480" w:firstLineChars="200"/>
      </w:pPr>
      <w:r>
        <w:rPr>
          <w:rFonts w:hint="eastAsia"/>
        </w:rPr>
        <w:t>检验方法：检查出厂合格证和进厂复验报告</w:t>
      </w:r>
      <w:r>
        <w:t>。</w:t>
      </w:r>
    </w:p>
    <w:p>
      <w:r>
        <w:rPr>
          <w:b/>
          <w:bCs/>
        </w:rPr>
        <w:t>4.7.2</w:t>
      </w:r>
      <w:r>
        <w:rPr>
          <w:rFonts w:hint="eastAsia"/>
          <w:b/>
          <w:bCs/>
          <w:lang w:val="en-US" w:eastAsia="zh-CN"/>
        </w:rPr>
        <w:t>0</w:t>
      </w:r>
      <w:r>
        <w:rPr>
          <w:b/>
        </w:rPr>
        <w:t xml:space="preserve"> </w:t>
      </w:r>
      <w:r>
        <w:rPr>
          <w:rFonts w:hint="eastAsia"/>
          <w:b/>
        </w:rPr>
        <w:t xml:space="preserve"> </w:t>
      </w:r>
      <w:r>
        <w:rPr>
          <w:rFonts w:hint="eastAsia"/>
        </w:rPr>
        <w:t>采用预拌混凝土时，其质量应符合现行国家标准《预拌混凝土》GB/T 14902的规定。</w:t>
      </w:r>
    </w:p>
    <w:p>
      <w:r>
        <w:rPr>
          <w:b/>
          <w:bCs/>
        </w:rPr>
        <w:t>4.7.2</w:t>
      </w:r>
      <w:r>
        <w:rPr>
          <w:rFonts w:hint="eastAsia"/>
          <w:b/>
          <w:bCs/>
          <w:lang w:val="en-US" w:eastAsia="zh-CN"/>
        </w:rPr>
        <w:t>1</w:t>
      </w:r>
      <w:r>
        <w:rPr>
          <w:b/>
        </w:rPr>
        <w:t xml:space="preserve"> </w:t>
      </w:r>
      <w:r>
        <w:rPr>
          <w:rFonts w:hint="eastAsia"/>
          <w:b/>
        </w:rPr>
        <w:t xml:space="preserve"> </w:t>
      </w:r>
      <w:r>
        <w:rPr>
          <w:rFonts w:hint="eastAsia"/>
        </w:rPr>
        <w:t>混凝土的强度等级应满足设计要求。用于检验混凝土强度的试件应在浇筑地点随机抽取。</w:t>
      </w:r>
    </w:p>
    <w:p>
      <w:pPr>
        <w:ind w:firstLine="480" w:firstLineChars="200"/>
      </w:pPr>
      <w:r>
        <w:rPr>
          <w:rFonts w:hint="eastAsia"/>
        </w:rPr>
        <w:t>检查数量：对同一配合比混凝土，取样与试件留置应符合下列规定：</w:t>
      </w:r>
    </w:p>
    <w:p>
      <w:pPr>
        <w:ind w:firstLine="480" w:firstLineChars="200"/>
        <w:rPr>
          <w:rFonts w:hint="eastAsia" w:eastAsia="宋体"/>
          <w:bCs/>
          <w:lang w:eastAsia="zh-CN"/>
        </w:rPr>
      </w:pPr>
      <w:r>
        <w:rPr>
          <w:rFonts w:hint="eastAsia"/>
          <w:bCs/>
        </w:rPr>
        <w:t>1</w:t>
      </w:r>
      <w:r>
        <w:rPr>
          <w:bCs/>
        </w:rPr>
        <w:t xml:space="preserve">  </w:t>
      </w:r>
      <w:r>
        <w:rPr>
          <w:rFonts w:hint="eastAsia"/>
          <w:bCs/>
        </w:rPr>
        <w:t>每拌制不超过100m</w:t>
      </w:r>
      <w:r>
        <w:rPr>
          <w:bCs/>
          <w:vertAlign w:val="superscript"/>
        </w:rPr>
        <w:t>3</w:t>
      </w:r>
      <w:r>
        <w:rPr>
          <w:rFonts w:hint="eastAsia"/>
          <w:bCs/>
        </w:rPr>
        <w:t>时，取样</w:t>
      </w:r>
      <w:r>
        <w:rPr>
          <w:rFonts w:hint="eastAsia"/>
          <w:bCs/>
          <w:lang w:eastAsia="zh-CN"/>
        </w:rPr>
        <w:t>不应</w:t>
      </w:r>
      <w:r>
        <w:rPr>
          <w:rFonts w:hint="eastAsia"/>
          <w:bCs/>
        </w:rPr>
        <w:t>少于1次</w:t>
      </w:r>
      <w:r>
        <w:rPr>
          <w:rFonts w:hint="eastAsia"/>
          <w:bCs/>
          <w:lang w:eastAsia="zh-CN"/>
        </w:rPr>
        <w:t>；</w:t>
      </w:r>
    </w:p>
    <w:p>
      <w:pPr>
        <w:ind w:firstLine="480" w:firstLineChars="200"/>
        <w:rPr>
          <w:rFonts w:hint="eastAsia" w:eastAsia="宋体"/>
          <w:bCs/>
          <w:lang w:eastAsia="zh-CN"/>
        </w:rPr>
      </w:pPr>
      <w:r>
        <w:rPr>
          <w:rFonts w:hint="eastAsia"/>
          <w:bCs/>
        </w:rPr>
        <w:t>2</w:t>
      </w:r>
      <w:r>
        <w:rPr>
          <w:bCs/>
        </w:rPr>
        <w:t xml:space="preserve">  </w:t>
      </w:r>
      <w:r>
        <w:rPr>
          <w:rFonts w:hint="eastAsia"/>
          <w:bCs/>
        </w:rPr>
        <w:t>连续浇筑超过1000m</w:t>
      </w:r>
      <w:r>
        <w:rPr>
          <w:bCs/>
          <w:vertAlign w:val="superscript"/>
        </w:rPr>
        <w:t>3</w:t>
      </w:r>
      <w:r>
        <w:rPr>
          <w:rFonts w:hint="eastAsia"/>
          <w:bCs/>
        </w:rPr>
        <w:t>时，每200m</w:t>
      </w:r>
      <w:r>
        <w:rPr>
          <w:bCs/>
          <w:vertAlign w:val="superscript"/>
        </w:rPr>
        <w:t>3</w:t>
      </w:r>
      <w:r>
        <w:rPr>
          <w:rFonts w:hint="eastAsia"/>
          <w:bCs/>
        </w:rPr>
        <w:t>取样</w:t>
      </w:r>
      <w:r>
        <w:rPr>
          <w:rFonts w:hint="eastAsia"/>
          <w:bCs/>
          <w:lang w:eastAsia="zh-CN"/>
        </w:rPr>
        <w:t>不应</w:t>
      </w:r>
      <w:r>
        <w:rPr>
          <w:rFonts w:hint="eastAsia"/>
          <w:bCs/>
        </w:rPr>
        <w:t>少于1次</w:t>
      </w:r>
      <w:r>
        <w:rPr>
          <w:rFonts w:hint="eastAsia"/>
          <w:bCs/>
          <w:lang w:eastAsia="zh-CN"/>
        </w:rPr>
        <w:t>；</w:t>
      </w:r>
    </w:p>
    <w:p>
      <w:pPr>
        <w:ind w:firstLine="480" w:firstLineChars="200"/>
        <w:rPr>
          <w:rFonts w:hint="eastAsia" w:eastAsia="宋体"/>
          <w:lang w:eastAsia="zh-CN"/>
        </w:rPr>
      </w:pPr>
      <w:r>
        <w:rPr>
          <w:rFonts w:hint="eastAsia"/>
          <w:bCs/>
        </w:rPr>
        <w:t xml:space="preserve">3 </w:t>
      </w:r>
      <w:r>
        <w:t xml:space="preserve"> </w:t>
      </w:r>
      <w:r>
        <w:rPr>
          <w:rFonts w:hint="eastAsia"/>
        </w:rPr>
        <w:t>每次取样应至少留置一组试件</w:t>
      </w:r>
      <w:r>
        <w:rPr>
          <w:rFonts w:hint="eastAsia"/>
          <w:lang w:eastAsia="zh-CN"/>
        </w:rPr>
        <w:t>；</w:t>
      </w:r>
    </w:p>
    <w:p>
      <w:pPr>
        <w:ind w:firstLine="480" w:firstLineChars="200"/>
        <w:rPr>
          <w:rFonts w:hint="eastAsia" w:eastAsia="宋体"/>
          <w:lang w:eastAsia="zh-CN"/>
        </w:rPr>
      </w:pPr>
      <w:r>
        <w:rPr>
          <w:rFonts w:hint="eastAsia"/>
        </w:rPr>
        <w:t>检验方法：检查施工记录及混凝土强度试验报告</w:t>
      </w:r>
      <w:r>
        <w:rPr>
          <w:rFonts w:hint="eastAsia"/>
          <w:lang w:eastAsia="zh-CN"/>
        </w:rPr>
        <w:t>。</w:t>
      </w:r>
    </w:p>
    <w:p>
      <w:r>
        <w:rPr>
          <w:b/>
          <w:bCs/>
        </w:rPr>
        <w:t>4.7.2</w:t>
      </w:r>
      <w:r>
        <w:rPr>
          <w:rFonts w:hint="eastAsia"/>
          <w:b/>
          <w:bCs/>
          <w:lang w:val="en-US" w:eastAsia="zh-CN"/>
        </w:rPr>
        <w:t>2</w:t>
      </w:r>
      <w:r>
        <w:rPr>
          <w:rFonts w:hint="eastAsia"/>
        </w:rPr>
        <w:t xml:space="preserve">  混凝土的抗渗性能应满足设计要求。</w:t>
      </w:r>
    </w:p>
    <w:p>
      <w:pPr>
        <w:ind w:firstLine="480" w:firstLineChars="200"/>
      </w:pPr>
      <w:r>
        <w:rPr>
          <w:rFonts w:hint="eastAsia"/>
        </w:rPr>
        <w:t>检查数量：按现行国家标准《地下防水工程施工质量验收规范》G</w:t>
      </w:r>
      <w:r>
        <w:t>B 50208</w:t>
      </w:r>
      <w:r>
        <w:rPr>
          <w:rFonts w:hint="eastAsia"/>
        </w:rPr>
        <w:t>的规定。</w:t>
      </w:r>
    </w:p>
    <w:p>
      <w:pPr>
        <w:ind w:firstLine="480" w:firstLineChars="200"/>
      </w:pPr>
      <w:r>
        <w:rPr>
          <w:rFonts w:hint="eastAsia"/>
        </w:rPr>
        <w:t>检验方法：检查抗渗性能检验报告。</w:t>
      </w:r>
    </w:p>
    <w:p>
      <w:pPr>
        <w:jc w:val="center"/>
        <w:rPr>
          <w:b/>
          <w:bCs/>
        </w:rPr>
      </w:pPr>
      <w:bookmarkStart w:id="157" w:name="_Toc25958"/>
      <w:r>
        <w:rPr>
          <w:rFonts w:hint="eastAsia"/>
          <w:b/>
          <w:bCs/>
        </w:rPr>
        <w:t>一般项目</w:t>
      </w:r>
      <w:bookmarkEnd w:id="157"/>
    </w:p>
    <w:p>
      <w:r>
        <w:rPr>
          <w:b/>
          <w:bCs/>
        </w:rPr>
        <w:t>4.7.2</w:t>
      </w:r>
      <w:r>
        <w:rPr>
          <w:rFonts w:hint="eastAsia"/>
          <w:b/>
          <w:bCs/>
          <w:lang w:val="en-US" w:eastAsia="zh-CN"/>
        </w:rPr>
        <w:t>3</w:t>
      </w:r>
      <w:r>
        <w:rPr>
          <w:b/>
        </w:rPr>
        <w:t xml:space="preserve"> </w:t>
      </w:r>
      <w:r>
        <w:rPr>
          <w:rFonts w:hint="eastAsia"/>
          <w:b/>
        </w:rPr>
        <w:t xml:space="preserve"> </w:t>
      </w:r>
      <w:r>
        <w:rPr>
          <w:rFonts w:hint="eastAsia"/>
        </w:rPr>
        <w:t>混凝土拌合物坍落度应满足设计及施工工艺的要求。</w:t>
      </w:r>
    </w:p>
    <w:p>
      <w:pPr>
        <w:ind w:firstLine="480" w:firstLineChars="200"/>
      </w:pPr>
      <w:r>
        <w:rPr>
          <w:rFonts w:hint="eastAsia"/>
        </w:rPr>
        <w:t>检查数量：每工作班不少于一次。</w:t>
      </w:r>
    </w:p>
    <w:p>
      <w:pPr>
        <w:ind w:firstLine="480" w:firstLineChars="200"/>
      </w:pPr>
      <w:r>
        <w:rPr>
          <w:rFonts w:hint="eastAsia"/>
        </w:rPr>
        <w:t>检验方法：检查坍落度检验记录。</w:t>
      </w:r>
    </w:p>
    <w:p>
      <w:r>
        <w:rPr>
          <w:b/>
          <w:bCs/>
        </w:rPr>
        <w:t>4.7.2</w:t>
      </w:r>
      <w:r>
        <w:rPr>
          <w:rFonts w:hint="eastAsia"/>
          <w:b/>
          <w:bCs/>
          <w:lang w:val="en-US" w:eastAsia="zh-CN"/>
        </w:rPr>
        <w:t>4</w:t>
      </w:r>
      <w:r>
        <w:rPr>
          <w:b/>
        </w:rPr>
        <w:t xml:space="preserve"> </w:t>
      </w:r>
      <w:r>
        <w:rPr>
          <w:rFonts w:hint="eastAsia"/>
          <w:b/>
        </w:rPr>
        <w:t xml:space="preserve"> </w:t>
      </w:r>
      <w:r>
        <w:rPr>
          <w:rFonts w:hint="eastAsia"/>
        </w:rPr>
        <w:t>混凝土浇筑后应按设计要求和施工方案规定的养护方法和时间进行养护；当采用蒸汽养护时，升温速度、降温速度等不应超过设计和方案规定的数值。</w:t>
      </w:r>
    </w:p>
    <w:p>
      <w:pPr>
        <w:ind w:firstLine="480" w:firstLineChars="200"/>
      </w:pPr>
      <w:r>
        <w:rPr>
          <w:rFonts w:hint="eastAsia"/>
        </w:rPr>
        <w:t>检查数量：全数检查。</w:t>
      </w:r>
    </w:p>
    <w:p>
      <w:pPr>
        <w:ind w:firstLine="480" w:firstLineChars="200"/>
      </w:pPr>
      <w:r>
        <w:rPr>
          <w:rFonts w:hint="eastAsia"/>
        </w:rPr>
        <w:t>检验方法：观察，检查养护及测温记录</w:t>
      </w:r>
      <w:r>
        <w:t>。</w:t>
      </w:r>
    </w:p>
    <w:p>
      <w:pPr>
        <w:ind w:firstLine="0"/>
      </w:pPr>
      <w:r>
        <w:rPr>
          <w:rFonts w:hint="eastAsia"/>
          <w:b/>
          <w:lang w:val="en-US" w:eastAsia="zh-CN"/>
        </w:rPr>
        <w:t>4</w:t>
      </w:r>
      <w:r>
        <w:rPr>
          <w:rFonts w:hint="eastAsia"/>
          <w:b/>
        </w:rPr>
        <w:t>.</w:t>
      </w:r>
      <w:r>
        <w:rPr>
          <w:rFonts w:hint="eastAsia"/>
          <w:b/>
          <w:lang w:val="en-US" w:eastAsia="zh-CN"/>
        </w:rPr>
        <w:t>7</w:t>
      </w:r>
      <w:r>
        <w:rPr>
          <w:rFonts w:hint="eastAsia"/>
          <w:b/>
        </w:rPr>
        <w:t>.</w:t>
      </w:r>
      <w:r>
        <w:rPr>
          <w:rFonts w:hint="eastAsia"/>
          <w:b/>
          <w:lang w:val="en-US" w:eastAsia="zh-CN"/>
        </w:rPr>
        <w:t>25</w:t>
      </w:r>
      <w:r>
        <w:rPr>
          <w:rFonts w:hint="eastAsia"/>
        </w:rPr>
        <w:t xml:space="preserve">  </w:t>
      </w:r>
      <w:r>
        <w:t>构件的外观质量不宜有一般缺陷。</w:t>
      </w:r>
    </w:p>
    <w:p>
      <w:pPr>
        <w:ind w:firstLine="480"/>
      </w:pPr>
      <w:r>
        <w:t xml:space="preserve">检查数量：全数检查 </w:t>
      </w:r>
    </w:p>
    <w:p>
      <w:pPr>
        <w:ind w:firstLine="480"/>
      </w:pPr>
      <w:r>
        <w:t>检验方法：观察，检查技术处理方案</w:t>
      </w:r>
    </w:p>
    <w:p>
      <w:pPr>
        <w:rPr>
          <w:rFonts w:hint="eastAsia" w:eastAsia="宋体"/>
          <w:highlight w:val="none"/>
          <w:lang w:eastAsia="zh-CN"/>
        </w:rPr>
      </w:pPr>
      <w:bookmarkStart w:id="158" w:name="_Toc5261"/>
      <w:bookmarkStart w:id="159" w:name="_Toc25864"/>
      <w:r>
        <w:rPr>
          <w:b/>
          <w:bCs/>
        </w:rPr>
        <w:t>4.7.</w:t>
      </w:r>
      <w:r>
        <w:rPr>
          <w:rFonts w:hint="eastAsia"/>
          <w:b/>
          <w:bCs/>
          <w:lang w:val="en-US" w:eastAsia="zh-CN"/>
        </w:rPr>
        <w:t>26</w:t>
      </w:r>
      <w:r>
        <w:rPr>
          <w:rFonts w:hint="eastAsia"/>
          <w:b/>
          <w:bCs/>
        </w:rPr>
        <w:t xml:space="preserve"> </w:t>
      </w:r>
      <w:r>
        <w:rPr>
          <w:rFonts w:hint="eastAsia"/>
        </w:rPr>
        <w:t xml:space="preserve"> 预制构件位置、尺寸偏差及检验方法应满足设计要求；当设计无具体要求时，应</w:t>
      </w:r>
      <w:r>
        <w:rPr>
          <w:rFonts w:hint="eastAsia"/>
          <w:lang w:val="en-US" w:eastAsia="zh-CN"/>
        </w:rPr>
        <w:t>符合</w:t>
      </w:r>
      <w:r>
        <w:rPr>
          <w:rFonts w:hint="eastAsia"/>
        </w:rPr>
        <w:t>表</w:t>
      </w:r>
      <w:r>
        <w:t>4.7.</w:t>
      </w:r>
      <w:r>
        <w:rPr>
          <w:rFonts w:hint="eastAsia"/>
          <w:lang w:val="en-US" w:eastAsia="zh-CN"/>
        </w:rPr>
        <w:t>26</w:t>
      </w:r>
      <w:r>
        <w:rPr>
          <w:rFonts w:hint="eastAsia"/>
        </w:rPr>
        <w:t>的</w:t>
      </w:r>
      <w:r>
        <w:rPr>
          <w:rFonts w:hint="eastAsia"/>
          <w:highlight w:val="none"/>
          <w:lang w:val="en-US" w:eastAsia="zh-CN"/>
        </w:rPr>
        <w:t>规定</w:t>
      </w:r>
      <w:r>
        <w:rPr>
          <w:rFonts w:hint="eastAsia"/>
          <w:highlight w:val="none"/>
        </w:rPr>
        <w:t>。</w:t>
      </w:r>
      <w:bookmarkEnd w:id="158"/>
      <w:bookmarkEnd w:id="159"/>
    </w:p>
    <w:p>
      <w:pPr>
        <w:jc w:val="center"/>
        <w:rPr>
          <w:b/>
          <w:bCs/>
          <w:sz w:val="21"/>
          <w:szCs w:val="18"/>
          <w:highlight w:val="none"/>
        </w:rPr>
      </w:pPr>
      <w:r>
        <w:rPr>
          <w:b/>
          <w:bCs/>
          <w:sz w:val="21"/>
          <w:szCs w:val="18"/>
          <w:highlight w:val="none"/>
        </w:rPr>
        <w:t>表4.7.</w:t>
      </w:r>
      <w:r>
        <w:rPr>
          <w:rFonts w:hint="eastAsia"/>
          <w:b/>
          <w:bCs/>
          <w:sz w:val="21"/>
          <w:szCs w:val="18"/>
          <w:highlight w:val="none"/>
          <w:lang w:val="en-US" w:eastAsia="zh-CN"/>
        </w:rPr>
        <w:t>26</w:t>
      </w:r>
      <w:r>
        <w:rPr>
          <w:b/>
          <w:bCs/>
          <w:sz w:val="21"/>
          <w:szCs w:val="18"/>
          <w:highlight w:val="none"/>
        </w:rPr>
        <w:t xml:space="preserve">  预制</w:t>
      </w:r>
      <w:r>
        <w:rPr>
          <w:rFonts w:hint="eastAsia"/>
          <w:b/>
          <w:bCs/>
          <w:sz w:val="21"/>
          <w:szCs w:val="18"/>
          <w:highlight w:val="none"/>
        </w:rPr>
        <w:t>节段</w:t>
      </w:r>
      <w:r>
        <w:rPr>
          <w:b/>
          <w:bCs/>
          <w:sz w:val="21"/>
          <w:szCs w:val="18"/>
          <w:highlight w:val="none"/>
        </w:rPr>
        <w:t>构件尺寸的允许偏差及检验方法</w:t>
      </w:r>
    </w:p>
    <w:tbl>
      <w:tblPr>
        <w:tblStyle w:val="39"/>
        <w:tblW w:w="85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3" w:type="dxa"/>
          <w:bottom w:w="0" w:type="dxa"/>
          <w:right w:w="23" w:type="dxa"/>
        </w:tblCellMar>
      </w:tblPr>
      <w:tblGrid>
        <w:gridCol w:w="562"/>
        <w:gridCol w:w="851"/>
        <w:gridCol w:w="709"/>
        <w:gridCol w:w="1559"/>
        <w:gridCol w:w="850"/>
        <w:gridCol w:w="851"/>
        <w:gridCol w:w="31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项次</w:t>
            </w:r>
          </w:p>
        </w:tc>
        <w:tc>
          <w:tcPr>
            <w:tcW w:w="1560" w:type="dxa"/>
            <w:gridSpan w:val="2"/>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检验项目</w:t>
            </w:r>
          </w:p>
        </w:tc>
        <w:tc>
          <w:tcPr>
            <w:tcW w:w="1559" w:type="dxa"/>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允许偏差（mm）</w:t>
            </w:r>
          </w:p>
        </w:tc>
        <w:tc>
          <w:tcPr>
            <w:tcW w:w="1701" w:type="dxa"/>
            <w:gridSpan w:val="2"/>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检查数量</w:t>
            </w:r>
          </w:p>
        </w:tc>
        <w:tc>
          <w:tcPr>
            <w:tcW w:w="3140" w:type="dxa"/>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检验方法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napToGrid w:val="0"/>
              <w:spacing w:line="240" w:lineRule="auto"/>
              <w:jc w:val="center"/>
              <w:rPr>
                <w:color w:val="000000"/>
                <w:kern w:val="0"/>
                <w:sz w:val="21"/>
                <w:highlight w:val="none"/>
              </w:rPr>
            </w:pPr>
          </w:p>
        </w:tc>
        <w:tc>
          <w:tcPr>
            <w:tcW w:w="1560" w:type="dxa"/>
            <w:gridSpan w:val="2"/>
            <w:vMerge w:val="continue"/>
            <w:vAlign w:val="center"/>
          </w:tcPr>
          <w:p>
            <w:pPr>
              <w:widowControl/>
              <w:adjustRightInd w:val="0"/>
              <w:snapToGrid w:val="0"/>
              <w:spacing w:line="240" w:lineRule="auto"/>
              <w:jc w:val="center"/>
              <w:rPr>
                <w:color w:val="000000"/>
                <w:kern w:val="0"/>
                <w:sz w:val="21"/>
                <w:highlight w:val="none"/>
              </w:rPr>
            </w:pPr>
          </w:p>
        </w:tc>
        <w:tc>
          <w:tcPr>
            <w:tcW w:w="1559" w:type="dxa"/>
            <w:vMerge w:val="continue"/>
            <w:vAlign w:val="center"/>
          </w:tcPr>
          <w:p>
            <w:pPr>
              <w:widowControl/>
              <w:adjustRightInd w:val="0"/>
              <w:snapToGrid w:val="0"/>
              <w:spacing w:line="240" w:lineRule="auto"/>
              <w:jc w:val="center"/>
              <w:rPr>
                <w:color w:val="000000"/>
                <w:kern w:val="0"/>
                <w:sz w:val="21"/>
                <w:highlight w:val="none"/>
              </w:rPr>
            </w:pPr>
          </w:p>
        </w:tc>
        <w:tc>
          <w:tcPr>
            <w:tcW w:w="85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范围</w:t>
            </w:r>
          </w:p>
        </w:tc>
        <w:tc>
          <w:tcPr>
            <w:tcW w:w="851"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点数</w:t>
            </w:r>
          </w:p>
        </w:tc>
        <w:tc>
          <w:tcPr>
            <w:tcW w:w="3140" w:type="dxa"/>
            <w:vMerge w:val="continue"/>
            <w:vAlign w:val="center"/>
          </w:tcPr>
          <w:p>
            <w:pPr>
              <w:widowControl/>
              <w:adjustRightInd w:val="0"/>
              <w:snapToGrid w:val="0"/>
              <w:spacing w:line="240" w:lineRule="auto"/>
              <w:jc w:val="center"/>
              <w:rPr>
                <w:color w:val="000000"/>
                <w:kern w:val="0"/>
                <w:sz w:val="21"/>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1</w:t>
            </w:r>
          </w:p>
        </w:tc>
        <w:tc>
          <w:tcPr>
            <w:tcW w:w="1560" w:type="dxa"/>
            <w:gridSpan w:val="2"/>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长度</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±5</w:t>
            </w:r>
          </w:p>
        </w:tc>
        <w:tc>
          <w:tcPr>
            <w:tcW w:w="850" w:type="dxa"/>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每构件</w:t>
            </w: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用钢直尺量测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2</w:t>
            </w:r>
          </w:p>
        </w:tc>
        <w:tc>
          <w:tcPr>
            <w:tcW w:w="851" w:type="dxa"/>
            <w:vMerge w:val="restart"/>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横截面尺寸</w:t>
            </w:r>
          </w:p>
        </w:tc>
        <w:tc>
          <w:tcPr>
            <w:tcW w:w="70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宽</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0，±</w:t>
            </w:r>
            <w:r>
              <w:rPr>
                <w:rFonts w:hint="eastAsia"/>
                <w:color w:val="000000"/>
                <w:kern w:val="0"/>
                <w:sz w:val="21"/>
                <w:highlight w:val="none"/>
                <w:lang w:val="en-US" w:eastAsia="zh-CN"/>
              </w:rPr>
              <w:t>3</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用钢直尺量测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Merge w:val="continue"/>
            <w:vAlign w:val="center"/>
          </w:tcPr>
          <w:p>
            <w:pPr>
              <w:widowControl/>
              <w:adjustRightInd w:val="0"/>
              <w:snapToGrid w:val="0"/>
              <w:spacing w:line="240" w:lineRule="auto"/>
              <w:jc w:val="center"/>
              <w:rPr>
                <w:color w:val="000000"/>
                <w:kern w:val="0"/>
                <w:sz w:val="21"/>
                <w:highlight w:val="none"/>
              </w:rPr>
            </w:pPr>
          </w:p>
        </w:tc>
        <w:tc>
          <w:tcPr>
            <w:tcW w:w="70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高</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±5</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用钢直尺量测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Merge w:val="continue"/>
            <w:vAlign w:val="center"/>
          </w:tcPr>
          <w:p>
            <w:pPr>
              <w:widowControl/>
              <w:adjustRightInd w:val="0"/>
              <w:snapToGrid w:val="0"/>
              <w:spacing w:line="240" w:lineRule="auto"/>
              <w:jc w:val="center"/>
              <w:rPr>
                <w:color w:val="000000"/>
                <w:kern w:val="0"/>
                <w:sz w:val="21"/>
                <w:highlight w:val="none"/>
              </w:rPr>
            </w:pPr>
          </w:p>
        </w:tc>
        <w:tc>
          <w:tcPr>
            <w:tcW w:w="70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厚</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w:t>
            </w:r>
            <w:r>
              <w:rPr>
                <w:rFonts w:hint="eastAsia"/>
                <w:color w:val="000000"/>
                <w:kern w:val="0"/>
                <w:sz w:val="21"/>
                <w:highlight w:val="none"/>
                <w:lang w:val="en-US" w:eastAsia="zh-CN"/>
              </w:rPr>
              <w:t>3</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用钢直尺量测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3</w:t>
            </w:r>
          </w:p>
        </w:tc>
        <w:tc>
          <w:tcPr>
            <w:tcW w:w="1560" w:type="dxa"/>
            <w:gridSpan w:val="2"/>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对角线差</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5</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用钢直尺量测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4</w:t>
            </w:r>
          </w:p>
        </w:tc>
        <w:tc>
          <w:tcPr>
            <w:tcW w:w="1560" w:type="dxa"/>
            <w:gridSpan w:val="2"/>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表面平整度</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3</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 2m 直尺、塞尺量测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5</w:t>
            </w:r>
          </w:p>
        </w:tc>
        <w:tc>
          <w:tcPr>
            <w:tcW w:w="1560" w:type="dxa"/>
            <w:gridSpan w:val="2"/>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侧向弯曲</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L/1000，且</w:t>
            </w:r>
            <w:r>
              <w:rPr>
                <w:rFonts w:hint="eastAsia"/>
                <w:color w:val="000000"/>
                <w:kern w:val="0"/>
                <w:sz w:val="21"/>
                <w:highlight w:val="none"/>
              </w:rPr>
              <w:t>≤</w:t>
            </w:r>
            <w:r>
              <w:rPr>
                <w:color w:val="000000"/>
                <w:kern w:val="0"/>
                <w:sz w:val="21"/>
                <w:highlight w:val="none"/>
              </w:rPr>
              <w:t>3</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拉线，用钢尺量侧向弯曲最大处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6</w:t>
            </w:r>
          </w:p>
        </w:tc>
        <w:tc>
          <w:tcPr>
            <w:tcW w:w="1560" w:type="dxa"/>
            <w:gridSpan w:val="2"/>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翘曲</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L/1000，且</w:t>
            </w:r>
            <w:r>
              <w:rPr>
                <w:rFonts w:hint="eastAsia"/>
                <w:color w:val="000000"/>
                <w:kern w:val="0"/>
                <w:sz w:val="21"/>
                <w:highlight w:val="none"/>
              </w:rPr>
              <w:t>≤</w:t>
            </w:r>
            <w:r>
              <w:rPr>
                <w:color w:val="000000"/>
                <w:kern w:val="0"/>
                <w:sz w:val="21"/>
                <w:highlight w:val="none"/>
              </w:rPr>
              <w:t>3</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调平尺在两端量测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62"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7</w:t>
            </w:r>
          </w:p>
        </w:tc>
        <w:tc>
          <w:tcPr>
            <w:tcW w:w="1560" w:type="dxa"/>
            <w:gridSpan w:val="2"/>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承插口尺寸</w:t>
            </w:r>
          </w:p>
        </w:tc>
        <w:tc>
          <w:tcPr>
            <w:tcW w:w="1559"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±2</w:t>
            </w:r>
          </w:p>
        </w:tc>
        <w:tc>
          <w:tcPr>
            <w:tcW w:w="850" w:type="dxa"/>
            <w:vMerge w:val="continue"/>
            <w:vAlign w:val="center"/>
          </w:tcPr>
          <w:p>
            <w:pPr>
              <w:widowControl/>
              <w:adjustRightInd w:val="0"/>
              <w:snapToGrid w:val="0"/>
              <w:spacing w:line="240" w:lineRule="auto"/>
              <w:jc w:val="center"/>
              <w:rPr>
                <w:color w:val="000000"/>
                <w:kern w:val="0"/>
                <w:sz w:val="21"/>
                <w:highlight w:val="none"/>
              </w:rPr>
            </w:pPr>
          </w:p>
        </w:tc>
        <w:tc>
          <w:tcPr>
            <w:tcW w:w="851" w:type="dxa"/>
            <w:vAlign w:val="center"/>
          </w:tcPr>
          <w:p>
            <w:pPr>
              <w:widowControl/>
              <w:adjustRightInd w:val="0"/>
              <w:snapToGrid w:val="0"/>
              <w:spacing w:line="240" w:lineRule="auto"/>
              <w:jc w:val="center"/>
              <w:rPr>
                <w:color w:val="000000"/>
                <w:kern w:val="0"/>
                <w:sz w:val="21"/>
                <w:highlight w:val="none"/>
              </w:rPr>
            </w:pPr>
            <w:r>
              <w:rPr>
                <w:rFonts w:hint="eastAsia"/>
                <w:color w:val="000000"/>
                <w:kern w:val="0"/>
                <w:sz w:val="21"/>
                <w:highlight w:val="none"/>
              </w:rPr>
              <w:t>2</w:t>
            </w:r>
          </w:p>
        </w:tc>
        <w:tc>
          <w:tcPr>
            <w:tcW w:w="3140" w:type="dxa"/>
            <w:vAlign w:val="center"/>
          </w:tcPr>
          <w:p>
            <w:pPr>
              <w:widowControl/>
              <w:adjustRightInd w:val="0"/>
              <w:snapToGrid w:val="0"/>
              <w:spacing w:line="240" w:lineRule="auto"/>
              <w:jc w:val="center"/>
              <w:rPr>
                <w:color w:val="000000"/>
                <w:kern w:val="0"/>
                <w:sz w:val="21"/>
                <w:highlight w:val="none"/>
              </w:rPr>
            </w:pPr>
            <w:r>
              <w:rPr>
                <w:color w:val="000000"/>
                <w:kern w:val="0"/>
                <w:sz w:val="21"/>
                <w:highlight w:val="none"/>
              </w:rPr>
              <w:t>用钢直尺量测</w:t>
            </w:r>
          </w:p>
        </w:tc>
      </w:tr>
    </w:tbl>
    <w:p>
      <w:pPr>
        <w:ind w:firstLine="525" w:firstLineChars="250"/>
        <w:rPr>
          <w:color w:val="000000"/>
          <w:kern w:val="0"/>
          <w:sz w:val="21"/>
        </w:rPr>
      </w:pPr>
      <w:r>
        <w:rPr>
          <w:rFonts w:hint="eastAsia"/>
          <w:color w:val="000000"/>
          <w:kern w:val="0"/>
          <w:sz w:val="21"/>
        </w:rPr>
        <w:t>注：L为构件最长边的尺寸（mm）。</w:t>
      </w:r>
    </w:p>
    <w:p>
      <w:pPr>
        <w:ind w:firstLine="525" w:firstLineChars="250"/>
        <w:rPr>
          <w:color w:val="000000"/>
          <w:kern w:val="0"/>
          <w:sz w:val="21"/>
        </w:rPr>
      </w:pPr>
    </w:p>
    <w:p>
      <w:pPr>
        <w:pStyle w:val="3"/>
      </w:pPr>
      <w:bookmarkStart w:id="160" w:name="_Toc5177"/>
      <w:bookmarkStart w:id="161" w:name="_Toc14891"/>
      <w:bookmarkStart w:id="162" w:name="_Toc6156"/>
      <w:bookmarkStart w:id="163" w:name="_Toc27050"/>
      <w:bookmarkStart w:id="164" w:name="_Toc26043"/>
      <w:bookmarkStart w:id="165" w:name="_Toc28052"/>
      <w:r>
        <w:t xml:space="preserve">4.8 </w:t>
      </w:r>
      <w:r>
        <w:rPr>
          <w:rFonts w:hint="eastAsia"/>
        </w:rPr>
        <w:t xml:space="preserve"> 存放</w:t>
      </w:r>
      <w:r>
        <w:rPr>
          <w:rFonts w:hint="eastAsia"/>
          <w:lang w:val="en-US" w:eastAsia="zh-CN"/>
        </w:rPr>
        <w:t>和</w:t>
      </w:r>
      <w:r>
        <w:t>运输</w:t>
      </w:r>
      <w:bookmarkEnd w:id="160"/>
      <w:bookmarkEnd w:id="161"/>
      <w:bookmarkEnd w:id="162"/>
      <w:bookmarkEnd w:id="163"/>
      <w:bookmarkEnd w:id="164"/>
      <w:bookmarkEnd w:id="165"/>
    </w:p>
    <w:p>
      <w:pPr>
        <w:rPr>
          <w:color w:val="000000"/>
          <w:szCs w:val="24"/>
        </w:rPr>
      </w:pPr>
      <w:r>
        <w:rPr>
          <w:b/>
          <w:color w:val="000000"/>
          <w:szCs w:val="24"/>
        </w:rPr>
        <w:t>4.8.1</w:t>
      </w:r>
      <w:r>
        <w:rPr>
          <w:b/>
          <w:color w:val="000000"/>
          <w:spacing w:val="51"/>
          <w:szCs w:val="24"/>
        </w:rPr>
        <w:t xml:space="preserve"> </w:t>
      </w:r>
      <w:r>
        <w:rPr>
          <w:rFonts w:hint="eastAsia" w:cs="宋体"/>
          <w:color w:val="000000"/>
          <w:szCs w:val="24"/>
          <w:lang w:val="en-US" w:eastAsia="zh-CN"/>
        </w:rPr>
        <w:t>构件运输时</w:t>
      </w:r>
      <w:r>
        <w:rPr>
          <w:rFonts w:cs="宋体"/>
          <w:color w:val="000000"/>
          <w:szCs w:val="24"/>
        </w:rPr>
        <w:t>应制订运输计划及方案，包括运输时间、次序、</w:t>
      </w:r>
      <w:r>
        <w:rPr>
          <w:rFonts w:cs="宋体"/>
          <w:color w:val="000000"/>
          <w:spacing w:val="-6"/>
          <w:szCs w:val="24"/>
        </w:rPr>
        <w:t>存放场地、运输线路、码放支垫及成品保护措施等内容。</w:t>
      </w:r>
      <w:r>
        <w:rPr>
          <w:rFonts w:cs="宋体"/>
          <w:color w:val="000000"/>
          <w:spacing w:val="-3"/>
          <w:szCs w:val="24"/>
        </w:rPr>
        <w:t>对于超高、超宽、形状特殊的大型构件的运输和</w:t>
      </w:r>
      <w:r>
        <w:rPr>
          <w:rFonts w:hint="eastAsia" w:cs="宋体"/>
          <w:color w:val="000000"/>
          <w:spacing w:val="-3"/>
          <w:szCs w:val="24"/>
        </w:rPr>
        <w:t>存</w:t>
      </w:r>
      <w:r>
        <w:rPr>
          <w:rFonts w:cs="宋体"/>
          <w:color w:val="000000"/>
          <w:spacing w:val="-3"/>
          <w:szCs w:val="24"/>
        </w:rPr>
        <w:t>放应采取专门</w:t>
      </w:r>
      <w:r>
        <w:rPr>
          <w:rFonts w:cs="宋体"/>
          <w:color w:val="000000"/>
          <w:szCs w:val="24"/>
        </w:rPr>
        <w:t>措施。</w:t>
      </w:r>
    </w:p>
    <w:p>
      <w:pPr>
        <w:spacing w:before="84"/>
        <w:rPr>
          <w:color w:val="000000"/>
          <w:szCs w:val="24"/>
        </w:rPr>
      </w:pPr>
      <w:r>
        <w:rPr>
          <w:b/>
          <w:color w:val="000000"/>
          <w:szCs w:val="24"/>
        </w:rPr>
        <w:t>4.8.2</w:t>
      </w:r>
      <w:r>
        <w:rPr>
          <w:b/>
          <w:color w:val="000000"/>
          <w:spacing w:val="51"/>
          <w:szCs w:val="24"/>
        </w:rPr>
        <w:t xml:space="preserve"> </w:t>
      </w:r>
      <w:r>
        <w:rPr>
          <w:rFonts w:cs="宋体"/>
          <w:color w:val="000000"/>
          <w:szCs w:val="24"/>
        </w:rPr>
        <w:t>混凝土构件厂内起吊、运输时，</w:t>
      </w:r>
      <w:r>
        <w:rPr>
          <w:rFonts w:hint="eastAsia"/>
          <w:lang w:eastAsia="zh-CN"/>
        </w:rPr>
        <w:t>应计算满足</w:t>
      </w:r>
      <w:r>
        <w:rPr>
          <w:rFonts w:hint="eastAsia"/>
        </w:rPr>
        <w:t>混凝土强度</w:t>
      </w:r>
      <w:r>
        <w:rPr>
          <w:rFonts w:hint="eastAsia"/>
          <w:lang w:eastAsia="zh-CN"/>
        </w:rPr>
        <w:t>要求和设计要求</w:t>
      </w:r>
      <w:r>
        <w:rPr>
          <w:rFonts w:cs="宋体"/>
          <w:color w:val="000000"/>
          <w:spacing w:val="-3"/>
          <w:szCs w:val="24"/>
        </w:rPr>
        <w:t>；当设计无要求时，</w:t>
      </w:r>
      <w:r>
        <w:rPr>
          <w:rFonts w:cs="宋体"/>
          <w:color w:val="000000"/>
          <w:szCs w:val="24"/>
        </w:rPr>
        <w:t>不应低于混凝土设计强度等级值的</w:t>
      </w:r>
      <w:r>
        <w:rPr>
          <w:color w:val="000000"/>
          <w:szCs w:val="24"/>
        </w:rPr>
        <w:t>75%</w:t>
      </w:r>
      <w:r>
        <w:rPr>
          <w:rFonts w:cs="宋体"/>
          <w:color w:val="000000"/>
          <w:szCs w:val="24"/>
        </w:rPr>
        <w:t>。</w:t>
      </w:r>
    </w:p>
    <w:p>
      <w:pPr>
        <w:spacing w:before="68"/>
        <w:rPr>
          <w:color w:val="000000"/>
          <w:szCs w:val="24"/>
        </w:rPr>
      </w:pPr>
      <w:r>
        <w:rPr>
          <w:b/>
          <w:color w:val="000000"/>
          <w:szCs w:val="24"/>
        </w:rPr>
        <w:t>4.8.3</w:t>
      </w:r>
      <w:r>
        <w:rPr>
          <w:b/>
          <w:color w:val="000000"/>
          <w:spacing w:val="51"/>
          <w:szCs w:val="24"/>
        </w:rPr>
        <w:t xml:space="preserve"> </w:t>
      </w:r>
      <w:r>
        <w:rPr>
          <w:rFonts w:cs="宋体"/>
          <w:color w:val="000000"/>
          <w:szCs w:val="24"/>
        </w:rPr>
        <w:t>构件</w:t>
      </w:r>
      <w:r>
        <w:rPr>
          <w:rFonts w:hint="eastAsia" w:cs="宋体"/>
          <w:color w:val="000000"/>
          <w:szCs w:val="24"/>
        </w:rPr>
        <w:t>存</w:t>
      </w:r>
      <w:r>
        <w:rPr>
          <w:rFonts w:cs="宋体"/>
          <w:color w:val="000000"/>
          <w:szCs w:val="24"/>
        </w:rPr>
        <w:t>放应符合下列规定：</w:t>
      </w:r>
    </w:p>
    <w:p>
      <w:pPr>
        <w:ind w:firstLine="480" w:firstLineChars="200"/>
        <w:rPr>
          <w:bCs/>
          <w:color w:val="000000"/>
          <w:szCs w:val="24"/>
        </w:rPr>
      </w:pPr>
      <w:r>
        <w:rPr>
          <w:bCs/>
          <w:color w:val="000000"/>
          <w:szCs w:val="24"/>
        </w:rPr>
        <w:t>1</w:t>
      </w:r>
      <w:r>
        <w:rPr>
          <w:bCs/>
          <w:color w:val="000000"/>
          <w:spacing w:val="54"/>
          <w:szCs w:val="24"/>
        </w:rPr>
        <w:t xml:space="preserve"> </w:t>
      </w:r>
      <w:r>
        <w:rPr>
          <w:rFonts w:cs="宋体"/>
          <w:bCs/>
          <w:color w:val="000000"/>
          <w:spacing w:val="-3"/>
          <w:szCs w:val="24"/>
        </w:rPr>
        <w:t>存放场地应平整、坚实，并应有排水措施；堆放构件的支垫</w:t>
      </w:r>
      <w:r>
        <w:rPr>
          <w:rFonts w:cs="宋体"/>
          <w:bCs/>
          <w:color w:val="000000"/>
          <w:szCs w:val="24"/>
        </w:rPr>
        <w:t>应坚实；</w:t>
      </w:r>
    </w:p>
    <w:p>
      <w:pPr>
        <w:ind w:firstLine="480" w:firstLineChars="200"/>
        <w:rPr>
          <w:bCs/>
          <w:color w:val="000000"/>
          <w:szCs w:val="24"/>
        </w:rPr>
      </w:pPr>
      <w:r>
        <w:rPr>
          <w:bCs/>
          <w:color w:val="000000"/>
          <w:szCs w:val="24"/>
        </w:rPr>
        <w:t>2</w:t>
      </w:r>
      <w:r>
        <w:rPr>
          <w:bCs/>
          <w:color w:val="000000"/>
          <w:spacing w:val="54"/>
          <w:szCs w:val="24"/>
        </w:rPr>
        <w:t xml:space="preserve"> </w:t>
      </w:r>
      <w:r>
        <w:rPr>
          <w:rFonts w:cs="宋体"/>
          <w:bCs/>
          <w:color w:val="000000"/>
          <w:spacing w:val="-3"/>
          <w:szCs w:val="24"/>
        </w:rPr>
        <w:t>预制构件的堆放应预埋吊件向上，标志向外；垫木或垫块在</w:t>
      </w:r>
      <w:r>
        <w:rPr>
          <w:rFonts w:cs="宋体"/>
          <w:bCs/>
          <w:color w:val="000000"/>
          <w:szCs w:val="24"/>
        </w:rPr>
        <w:t>构件下的位置宜与脱模、吊装时的起吊位置一致；</w:t>
      </w:r>
    </w:p>
    <w:p>
      <w:pPr>
        <w:ind w:firstLine="480" w:firstLineChars="200"/>
        <w:rPr>
          <w:bCs/>
          <w:color w:val="000000"/>
          <w:szCs w:val="24"/>
        </w:rPr>
      </w:pPr>
      <w:r>
        <w:rPr>
          <w:bCs/>
          <w:color w:val="000000"/>
          <w:szCs w:val="24"/>
        </w:rPr>
        <w:t>3</w:t>
      </w:r>
      <w:r>
        <w:rPr>
          <w:bCs/>
          <w:color w:val="000000"/>
          <w:spacing w:val="54"/>
          <w:szCs w:val="24"/>
        </w:rPr>
        <w:t xml:space="preserve"> </w:t>
      </w:r>
      <w:r>
        <w:rPr>
          <w:rFonts w:cs="宋体"/>
          <w:bCs/>
          <w:color w:val="000000"/>
          <w:spacing w:val="-3"/>
          <w:szCs w:val="24"/>
        </w:rPr>
        <w:t>重叠</w:t>
      </w:r>
      <w:r>
        <w:rPr>
          <w:rFonts w:hint="eastAsia" w:cs="宋体"/>
          <w:bCs/>
          <w:color w:val="000000"/>
          <w:szCs w:val="24"/>
        </w:rPr>
        <w:t>存</w:t>
      </w:r>
      <w:r>
        <w:rPr>
          <w:rFonts w:cs="宋体"/>
          <w:bCs/>
          <w:color w:val="000000"/>
          <w:szCs w:val="24"/>
        </w:rPr>
        <w:t>放</w:t>
      </w:r>
      <w:r>
        <w:rPr>
          <w:rFonts w:cs="宋体"/>
          <w:bCs/>
          <w:color w:val="000000"/>
          <w:spacing w:val="-3"/>
          <w:szCs w:val="24"/>
        </w:rPr>
        <w:t>构件时，每层构件间的垫木或垫块应在同一垂直线</w:t>
      </w:r>
      <w:r>
        <w:rPr>
          <w:rFonts w:cs="宋体"/>
          <w:bCs/>
          <w:color w:val="000000"/>
          <w:spacing w:val="1"/>
          <w:szCs w:val="24"/>
        </w:rPr>
        <w:t>上；</w:t>
      </w:r>
    </w:p>
    <w:p>
      <w:pPr>
        <w:ind w:firstLine="480" w:firstLineChars="200"/>
        <w:rPr>
          <w:color w:val="000000"/>
          <w:szCs w:val="24"/>
        </w:rPr>
      </w:pPr>
      <w:r>
        <w:rPr>
          <w:bCs/>
          <w:color w:val="000000"/>
          <w:szCs w:val="24"/>
        </w:rPr>
        <w:t>4</w:t>
      </w:r>
      <w:r>
        <w:rPr>
          <w:bCs/>
          <w:color w:val="000000"/>
          <w:spacing w:val="54"/>
          <w:szCs w:val="24"/>
        </w:rPr>
        <w:t xml:space="preserve"> </w:t>
      </w:r>
      <w:r>
        <w:rPr>
          <w:rFonts w:cs="宋体"/>
          <w:color w:val="000000"/>
          <w:spacing w:val="-3"/>
          <w:szCs w:val="24"/>
        </w:rPr>
        <w:t>堆垛层数应根据构件、垫木或垫块的承载能力及堆垛的稳定</w:t>
      </w:r>
      <w:r>
        <w:rPr>
          <w:rFonts w:cs="宋体"/>
          <w:color w:val="000000"/>
          <w:szCs w:val="24"/>
        </w:rPr>
        <w:t>性确定。</w:t>
      </w:r>
    </w:p>
    <w:p>
      <w:pPr>
        <w:spacing w:before="84"/>
        <w:rPr>
          <w:color w:val="000000"/>
          <w:szCs w:val="24"/>
        </w:rPr>
      </w:pPr>
      <w:r>
        <w:rPr>
          <w:b/>
          <w:color w:val="000000"/>
          <w:szCs w:val="24"/>
        </w:rPr>
        <w:t>4.8.4</w:t>
      </w:r>
      <w:r>
        <w:rPr>
          <w:b/>
          <w:color w:val="000000"/>
          <w:spacing w:val="51"/>
          <w:szCs w:val="24"/>
        </w:rPr>
        <w:t xml:space="preserve"> </w:t>
      </w:r>
      <w:r>
        <w:rPr>
          <w:rFonts w:cs="宋体"/>
          <w:color w:val="000000"/>
          <w:szCs w:val="24"/>
        </w:rPr>
        <w:t>预制构件的运输车辆应满足构件尺寸和载重的要求，装车运输时应满足下列要求：</w:t>
      </w:r>
    </w:p>
    <w:p>
      <w:pPr>
        <w:ind w:firstLine="480" w:firstLineChars="200"/>
        <w:rPr>
          <w:bCs/>
          <w:color w:val="000000"/>
          <w:szCs w:val="24"/>
        </w:rPr>
      </w:pPr>
      <w:r>
        <w:rPr>
          <w:bCs/>
          <w:color w:val="000000"/>
          <w:szCs w:val="24"/>
        </w:rPr>
        <w:t>1</w:t>
      </w:r>
      <w:r>
        <w:rPr>
          <w:bCs/>
          <w:color w:val="000000"/>
          <w:spacing w:val="54"/>
          <w:szCs w:val="24"/>
        </w:rPr>
        <w:t xml:space="preserve"> </w:t>
      </w:r>
      <w:r>
        <w:rPr>
          <w:rFonts w:cs="宋体"/>
          <w:bCs/>
          <w:color w:val="000000"/>
          <w:spacing w:val="-3"/>
          <w:szCs w:val="24"/>
        </w:rPr>
        <w:t>运输宜选用底平板车，车上应设有专用架，且有可靠的稳定</w:t>
      </w:r>
      <w:r>
        <w:rPr>
          <w:rFonts w:cs="宋体"/>
          <w:bCs/>
          <w:color w:val="000000"/>
          <w:spacing w:val="1"/>
          <w:szCs w:val="24"/>
        </w:rPr>
        <w:t>措施；</w:t>
      </w:r>
    </w:p>
    <w:p>
      <w:pPr>
        <w:ind w:firstLine="480" w:firstLineChars="200"/>
        <w:rPr>
          <w:bCs/>
          <w:color w:val="000000"/>
          <w:szCs w:val="24"/>
        </w:rPr>
      </w:pPr>
      <w:r>
        <w:rPr>
          <w:rFonts w:hint="eastAsia"/>
          <w:bCs/>
          <w:color w:val="000000"/>
          <w:szCs w:val="24"/>
          <w:lang w:val="en-US" w:eastAsia="zh-CN"/>
        </w:rPr>
        <w:t>2</w:t>
      </w:r>
      <w:r>
        <w:rPr>
          <w:bCs/>
          <w:color w:val="000000"/>
          <w:spacing w:val="54"/>
          <w:szCs w:val="24"/>
        </w:rPr>
        <w:t xml:space="preserve"> </w:t>
      </w:r>
      <w:r>
        <w:rPr>
          <w:rFonts w:cs="宋体"/>
          <w:bCs/>
          <w:color w:val="000000"/>
          <w:spacing w:val="-3"/>
          <w:szCs w:val="24"/>
        </w:rPr>
        <w:t>预制混凝土管廊构件支承的位置和方法，应根据其受力情况</w:t>
      </w:r>
      <w:r>
        <w:rPr>
          <w:rFonts w:cs="宋体"/>
          <w:bCs/>
          <w:color w:val="000000"/>
          <w:szCs w:val="24"/>
        </w:rPr>
        <w:t>设计确定，</w:t>
      </w:r>
      <w:r>
        <w:rPr>
          <w:rFonts w:hint="eastAsia" w:cs="宋体"/>
          <w:bCs/>
          <w:color w:val="000000"/>
          <w:szCs w:val="24"/>
          <w:lang w:eastAsia="zh-CN"/>
        </w:rPr>
        <w:t>不应</w:t>
      </w:r>
      <w:r>
        <w:rPr>
          <w:rFonts w:cs="宋体"/>
          <w:bCs/>
          <w:color w:val="000000"/>
          <w:szCs w:val="24"/>
        </w:rPr>
        <w:t>引起混凝土的超应力或损伤；</w:t>
      </w:r>
    </w:p>
    <w:p>
      <w:pPr>
        <w:ind w:firstLine="480" w:firstLineChars="200"/>
        <w:rPr>
          <w:rFonts w:hint="eastAsia" w:eastAsia="宋体" w:cs="宋体"/>
          <w:color w:val="000000"/>
          <w:szCs w:val="24"/>
          <w:lang w:eastAsia="zh-CN"/>
        </w:rPr>
      </w:pPr>
      <w:r>
        <w:rPr>
          <w:rFonts w:hint="eastAsia"/>
          <w:bCs/>
          <w:color w:val="000000"/>
          <w:szCs w:val="24"/>
          <w:lang w:val="en-US" w:eastAsia="zh-CN"/>
        </w:rPr>
        <w:t>3</w:t>
      </w:r>
      <w:r>
        <w:rPr>
          <w:b/>
          <w:color w:val="000000"/>
          <w:spacing w:val="54"/>
          <w:szCs w:val="24"/>
        </w:rPr>
        <w:t xml:space="preserve"> </w:t>
      </w:r>
      <w:r>
        <w:rPr>
          <w:rFonts w:cs="宋体"/>
          <w:color w:val="000000"/>
          <w:szCs w:val="24"/>
        </w:rPr>
        <w:t>预制混凝土管廊构件装运时应连接牢固，防止移动或倾倒；</w:t>
      </w:r>
      <w:r>
        <w:rPr>
          <w:rFonts w:hint="eastAsia"/>
          <w:bCs/>
          <w:color w:val="000000"/>
          <w:szCs w:val="24"/>
        </w:rPr>
        <w:t>对</w:t>
      </w:r>
      <w:r>
        <w:rPr>
          <w:rFonts w:cs="宋体"/>
          <w:color w:val="000000"/>
          <w:szCs w:val="24"/>
        </w:rPr>
        <w:t>部品边缘或与链索接触处应采用衬垫加以保护</w:t>
      </w:r>
      <w:r>
        <w:rPr>
          <w:rFonts w:hint="eastAsia" w:cs="宋体"/>
          <w:color w:val="000000"/>
          <w:szCs w:val="24"/>
          <w:lang w:eastAsia="zh-CN"/>
        </w:rPr>
        <w:t>；</w:t>
      </w:r>
    </w:p>
    <w:p>
      <w:pPr>
        <w:ind w:firstLine="480" w:firstLineChars="200"/>
        <w:rPr>
          <w:rFonts w:hint="default" w:eastAsia="宋体" w:cs="宋体"/>
          <w:color w:val="000000"/>
          <w:szCs w:val="24"/>
          <w:lang w:val="en-US" w:eastAsia="zh-CN"/>
        </w:rPr>
      </w:pPr>
      <w:r>
        <w:rPr>
          <w:rFonts w:hint="eastAsia" w:cs="宋体"/>
          <w:color w:val="000000"/>
          <w:szCs w:val="24"/>
          <w:lang w:val="en-US" w:eastAsia="zh-CN"/>
        </w:rPr>
        <w:t>4  预制构件边角等容易碰撞部位应采用柔性衬垫材料进行保护。</w:t>
      </w:r>
    </w:p>
    <w:p>
      <w:pPr>
        <w:rPr>
          <w:szCs w:val="24"/>
        </w:rPr>
      </w:pPr>
    </w:p>
    <w:p>
      <w:pPr>
        <w:pStyle w:val="2"/>
        <w:rPr>
          <w:rFonts w:cs="Times New Roman"/>
          <w:bCs w:val="0"/>
          <w:sz w:val="28"/>
        </w:rPr>
      </w:pPr>
      <w:bookmarkStart w:id="166" w:name="_Toc8590"/>
      <w:bookmarkStart w:id="167" w:name="_Toc27244"/>
      <w:bookmarkStart w:id="168" w:name="_Toc7086"/>
      <w:bookmarkStart w:id="169" w:name="_Toc19103"/>
      <w:bookmarkStart w:id="170" w:name="_Toc23311"/>
      <w:bookmarkStart w:id="171" w:name="_Toc5008"/>
      <w:r>
        <w:rPr>
          <w:rFonts w:hint="eastAsia" w:cs="Times New Roman"/>
        </w:rPr>
        <w:t>5  基坑（槽）与</w:t>
      </w:r>
      <w:r>
        <w:rPr>
          <w:rFonts w:cs="Times New Roman"/>
          <w:lang w:val="el-GR"/>
        </w:rPr>
        <w:t>地基基础</w:t>
      </w:r>
      <w:bookmarkEnd w:id="166"/>
      <w:bookmarkEnd w:id="167"/>
      <w:bookmarkEnd w:id="168"/>
      <w:bookmarkEnd w:id="169"/>
      <w:bookmarkEnd w:id="170"/>
      <w:bookmarkEnd w:id="171"/>
    </w:p>
    <w:bookmarkEnd w:id="108"/>
    <w:bookmarkEnd w:id="109"/>
    <w:bookmarkEnd w:id="110"/>
    <w:bookmarkEnd w:id="111"/>
    <w:bookmarkEnd w:id="112"/>
    <w:bookmarkEnd w:id="113"/>
    <w:p>
      <w:pPr>
        <w:pStyle w:val="3"/>
        <w:rPr>
          <w:rFonts w:cs="Times New Roman"/>
          <w:bCs w:val="0"/>
        </w:rPr>
      </w:pPr>
      <w:bookmarkStart w:id="172" w:name="_Toc28526"/>
      <w:bookmarkStart w:id="173" w:name="_Toc15693"/>
      <w:bookmarkStart w:id="174" w:name="_Toc31544"/>
      <w:bookmarkStart w:id="175" w:name="_Toc3652"/>
      <w:bookmarkStart w:id="176" w:name="_Toc21898"/>
      <w:bookmarkStart w:id="177" w:name="_Toc20020"/>
      <w:r>
        <w:rPr>
          <w:rFonts w:cs="Times New Roman"/>
          <w:bCs w:val="0"/>
        </w:rPr>
        <w:t>5.1  一般规定</w:t>
      </w:r>
      <w:bookmarkEnd w:id="172"/>
      <w:bookmarkEnd w:id="173"/>
      <w:bookmarkEnd w:id="174"/>
      <w:bookmarkEnd w:id="175"/>
      <w:bookmarkEnd w:id="176"/>
      <w:bookmarkEnd w:id="177"/>
    </w:p>
    <w:p>
      <w:pPr>
        <w:numPr>
          <w:ilvl w:val="2"/>
          <w:numId w:val="5"/>
        </w:numPr>
      </w:pPr>
      <w:r>
        <w:rPr>
          <w:rFonts w:hint="eastAsia"/>
        </w:rPr>
        <w:t>施工前，应取得施工区域的管线等周边环境资料，应测量和复核地基平面位置与标高，必要时进行复勘，并应采取措施保护地下及周边管线、建（构）筑物安全。</w:t>
      </w:r>
    </w:p>
    <w:p>
      <w:pPr>
        <w:numPr>
          <w:ilvl w:val="2"/>
          <w:numId w:val="5"/>
        </w:numPr>
      </w:pPr>
      <w:r>
        <w:rPr>
          <w:rFonts w:hint="eastAsia"/>
        </w:rPr>
        <w:t>施工过程中，发现地质情况或环境条件与原设计不符，或环境条件发生变化时，应暂停施工，及时会同设计、勘察单位经过补充勘察、设计验算或设计修改后方可恢复施工。</w:t>
      </w:r>
    </w:p>
    <w:p>
      <w:pPr>
        <w:numPr>
          <w:ilvl w:val="2"/>
          <w:numId w:val="5"/>
        </w:numPr>
      </w:pPr>
      <w:r>
        <w:rPr>
          <w:rFonts w:hint="eastAsia"/>
        </w:rPr>
        <w:t>综合管廊地基基础施工时，应按设计要求采取防止管廊上浮的措施。</w:t>
      </w:r>
    </w:p>
    <w:p>
      <w:pPr>
        <w:numPr>
          <w:ilvl w:val="2"/>
          <w:numId w:val="5"/>
        </w:numPr>
      </w:pPr>
      <w:r>
        <w:rPr>
          <w:rFonts w:hint="eastAsia"/>
        </w:rPr>
        <w:t>土石方爆破应由具有相应资质的单位进行施工，并应符合国家现行标准《土方与爆破工程施工及验收规范》GB 50201</w:t>
      </w:r>
      <w:r>
        <w:rPr>
          <w:rFonts w:hint="eastAsia"/>
          <w:lang w:eastAsia="zh-CN"/>
        </w:rPr>
        <w:t>和</w:t>
      </w:r>
      <w:r>
        <w:rPr>
          <w:rFonts w:hint="eastAsia"/>
        </w:rPr>
        <w:t>《建筑施工土石方工程安全技术规范》JGJ 180的相关规定。</w:t>
      </w:r>
    </w:p>
    <w:p>
      <w:pPr>
        <w:numPr>
          <w:ilvl w:val="2"/>
          <w:numId w:val="5"/>
        </w:numPr>
      </w:pPr>
      <w:r>
        <w:rPr>
          <w:rFonts w:hint="eastAsia"/>
        </w:rPr>
        <w:t>综合管廊基坑（槽）施工应进行基坑监测，并应符合国家现行标准《建筑基坑工程监测技术规范》GB50497</w:t>
      </w:r>
      <w:r>
        <w:rPr>
          <w:rFonts w:hint="eastAsia"/>
          <w:lang w:eastAsia="zh-CN"/>
        </w:rPr>
        <w:t>和</w:t>
      </w:r>
      <w:r>
        <w:rPr>
          <w:rFonts w:hint="eastAsia"/>
        </w:rPr>
        <w:t>《建筑基坑支护技术规程》JGJ 120的相关规定。</w:t>
      </w:r>
    </w:p>
    <w:p>
      <w:pPr>
        <w:numPr>
          <w:ilvl w:val="2"/>
          <w:numId w:val="5"/>
        </w:numPr>
        <w:rPr>
          <w:bCs/>
        </w:rPr>
      </w:pPr>
      <w:r>
        <w:rPr>
          <w:rFonts w:hint="eastAsia"/>
          <w:bCs/>
        </w:rPr>
        <w:t>综合管廊地基基础施工及验收除应符合</w:t>
      </w:r>
      <w:r>
        <w:rPr>
          <w:rFonts w:hint="eastAsia"/>
          <w:bCs/>
          <w:lang w:eastAsia="zh-CN"/>
        </w:rPr>
        <w:t>本标准</w:t>
      </w:r>
      <w:r>
        <w:rPr>
          <w:rFonts w:hint="eastAsia"/>
          <w:bCs/>
        </w:rPr>
        <w:t>的规定外，尚应符合现行国家标准《建筑地基基础工程施工质量验收标准》G</w:t>
      </w:r>
      <w:r>
        <w:rPr>
          <w:bCs/>
        </w:rPr>
        <w:t>B 50202</w:t>
      </w:r>
      <w:r>
        <w:rPr>
          <w:rFonts w:hint="eastAsia"/>
          <w:bCs/>
        </w:rPr>
        <w:t>、广东省标准</w:t>
      </w:r>
      <w:r>
        <w:rPr>
          <w:rFonts w:hint="eastAsia"/>
        </w:rPr>
        <w:t>《</w:t>
      </w:r>
      <w:r>
        <w:rPr>
          <w:rFonts w:hint="eastAsia"/>
          <w:spacing w:val="-3"/>
        </w:rPr>
        <w:t>建</w:t>
      </w:r>
      <w:r>
        <w:rPr>
          <w:rFonts w:hint="eastAsia"/>
        </w:rPr>
        <w:t>筑地基基</w:t>
      </w:r>
      <w:r>
        <w:rPr>
          <w:rFonts w:hint="eastAsia"/>
          <w:spacing w:val="-3"/>
        </w:rPr>
        <w:t>础</w:t>
      </w:r>
      <w:r>
        <w:rPr>
          <w:rFonts w:hint="eastAsia"/>
        </w:rPr>
        <w:t>检</w:t>
      </w:r>
      <w:r>
        <w:rPr>
          <w:rFonts w:hint="eastAsia"/>
          <w:spacing w:val="-3"/>
        </w:rPr>
        <w:t>测</w:t>
      </w:r>
      <w:r>
        <w:rPr>
          <w:rFonts w:hint="eastAsia"/>
        </w:rPr>
        <w:t>规</w:t>
      </w:r>
      <w:r>
        <w:rPr>
          <w:rFonts w:hint="eastAsia"/>
          <w:spacing w:val="-3"/>
        </w:rPr>
        <w:t>范</w:t>
      </w:r>
      <w:r>
        <w:rPr>
          <w:rFonts w:hint="eastAsia"/>
          <w:spacing w:val="-1"/>
        </w:rPr>
        <w:t>》</w:t>
      </w:r>
      <w:r>
        <w:t>D</w:t>
      </w:r>
      <w:r>
        <w:rPr>
          <w:spacing w:val="-3"/>
        </w:rPr>
        <w:t>B</w:t>
      </w:r>
      <w:r>
        <w:t>J 1</w:t>
      </w:r>
      <w:r>
        <w:rPr>
          <w:spacing w:val="-1"/>
        </w:rPr>
        <w:t>5</w:t>
      </w:r>
      <w:r>
        <w:rPr>
          <w:spacing w:val="-3"/>
        </w:rPr>
        <w:t>-6</w:t>
      </w:r>
      <w:r>
        <w:t>0</w:t>
      </w:r>
      <w:r>
        <w:rPr>
          <w:rFonts w:hint="eastAsia"/>
        </w:rPr>
        <w:t>等</w:t>
      </w:r>
      <w:r>
        <w:rPr>
          <w:rFonts w:hint="eastAsia"/>
          <w:spacing w:val="-3"/>
        </w:rPr>
        <w:t>相</w:t>
      </w:r>
      <w:r>
        <w:rPr>
          <w:rFonts w:hint="eastAsia"/>
        </w:rPr>
        <w:t>关</w:t>
      </w:r>
      <w:r>
        <w:rPr>
          <w:rFonts w:hint="eastAsia"/>
          <w:spacing w:val="-3"/>
        </w:rPr>
        <w:t>标</w:t>
      </w:r>
      <w:r>
        <w:rPr>
          <w:rFonts w:hint="eastAsia"/>
        </w:rPr>
        <w:t>准</w:t>
      </w:r>
      <w:r>
        <w:rPr>
          <w:rFonts w:hint="eastAsia"/>
          <w:spacing w:val="-3"/>
        </w:rPr>
        <w:t>及</w:t>
      </w:r>
      <w:r>
        <w:rPr>
          <w:rFonts w:hint="eastAsia"/>
        </w:rPr>
        <w:t>规</w:t>
      </w:r>
      <w:r>
        <w:rPr>
          <w:rFonts w:hint="eastAsia"/>
          <w:spacing w:val="-3"/>
        </w:rPr>
        <w:t>范的</w:t>
      </w:r>
      <w:r>
        <w:rPr>
          <w:rFonts w:hint="eastAsia"/>
        </w:rPr>
        <w:t>规</w:t>
      </w:r>
      <w:r>
        <w:rPr>
          <w:rFonts w:hint="eastAsia"/>
          <w:spacing w:val="-3"/>
        </w:rPr>
        <w:t>定</w:t>
      </w:r>
      <w:r>
        <w:rPr>
          <w:rFonts w:hint="eastAsia"/>
          <w:bCs/>
        </w:rPr>
        <w:t>。</w:t>
      </w:r>
    </w:p>
    <w:p>
      <w:pPr>
        <w:pStyle w:val="16"/>
        <w:rPr>
          <w:lang w:val="en-US"/>
        </w:rPr>
      </w:pPr>
      <w:bookmarkStart w:id="178" w:name="_Hlk59011164"/>
    </w:p>
    <w:bookmarkEnd w:id="178"/>
    <w:p>
      <w:pPr>
        <w:pStyle w:val="3"/>
        <w:rPr>
          <w:rFonts w:cs="Times New Roman"/>
          <w:bCs w:val="0"/>
        </w:rPr>
      </w:pPr>
      <w:bookmarkStart w:id="179" w:name="_Toc5463"/>
      <w:bookmarkStart w:id="180" w:name="_Toc25555"/>
      <w:bookmarkStart w:id="181" w:name="_Toc10198"/>
      <w:bookmarkStart w:id="182" w:name="_Toc4157"/>
      <w:bookmarkStart w:id="183" w:name="_Toc3508"/>
      <w:bookmarkStart w:id="184" w:name="_Toc26108"/>
      <w:r>
        <w:rPr>
          <w:rFonts w:cs="Times New Roman"/>
          <w:bCs w:val="0"/>
        </w:rPr>
        <w:t>5.2  基坑（槽）工程</w:t>
      </w:r>
      <w:bookmarkEnd w:id="179"/>
      <w:bookmarkEnd w:id="180"/>
      <w:bookmarkEnd w:id="181"/>
      <w:bookmarkEnd w:id="182"/>
      <w:bookmarkEnd w:id="183"/>
      <w:bookmarkEnd w:id="184"/>
    </w:p>
    <w:p>
      <w:pPr>
        <w:numPr>
          <w:ilvl w:val="2"/>
          <w:numId w:val="6"/>
        </w:numPr>
      </w:pPr>
      <w:r>
        <w:rPr>
          <w:rFonts w:hint="eastAsia"/>
          <w:bCs/>
        </w:rPr>
        <w:t>基坑（槽）工程施工前，</w:t>
      </w:r>
      <w:r>
        <w:rPr>
          <w:rFonts w:hint="eastAsia"/>
        </w:rPr>
        <w:t>应根据支护结构的类型、工程水文地质条件、周边环境、施工工艺等因素编制基坑</w:t>
      </w:r>
      <w:r>
        <w:rPr>
          <w:rFonts w:hint="eastAsia"/>
          <w:bCs/>
        </w:rPr>
        <w:t>（槽）</w:t>
      </w:r>
      <w:r>
        <w:rPr>
          <w:rFonts w:hint="eastAsia"/>
        </w:rPr>
        <w:t>工程专项施工方案，经审</w:t>
      </w:r>
      <w:r>
        <w:rPr>
          <w:rFonts w:hint="eastAsia"/>
          <w:spacing w:val="-3"/>
        </w:rPr>
        <w:t>批</w:t>
      </w:r>
      <w:r>
        <w:rPr>
          <w:rFonts w:hint="eastAsia"/>
        </w:rPr>
        <w:t>后</w:t>
      </w:r>
      <w:r>
        <w:rPr>
          <w:rFonts w:hint="eastAsia"/>
          <w:spacing w:val="-3"/>
        </w:rPr>
        <w:t>方</w:t>
      </w:r>
      <w:r>
        <w:rPr>
          <w:rFonts w:hint="eastAsia"/>
        </w:rPr>
        <w:t>可</w:t>
      </w:r>
      <w:r>
        <w:rPr>
          <w:rFonts w:hint="eastAsia"/>
          <w:spacing w:val="-3"/>
        </w:rPr>
        <w:t>施</w:t>
      </w:r>
      <w:r>
        <w:rPr>
          <w:rFonts w:hint="eastAsia"/>
        </w:rPr>
        <w:t>工</w:t>
      </w:r>
      <w:r>
        <w:rPr>
          <w:rFonts w:hint="eastAsia"/>
          <w:bCs/>
        </w:rPr>
        <w:t>。</w:t>
      </w:r>
    </w:p>
    <w:p>
      <w:pPr>
        <w:numPr>
          <w:ilvl w:val="2"/>
          <w:numId w:val="6"/>
        </w:numPr>
      </w:pPr>
      <w:r>
        <w:rPr>
          <w:rFonts w:hint="eastAsia"/>
        </w:rPr>
        <w:t>基坑支护结构施工前应进行试验性施工，评估施工工艺和各项参数对基坑及周边环境的影响程度</w:t>
      </w:r>
      <w:r>
        <w:rPr>
          <w:rFonts w:hint="eastAsia"/>
          <w:lang w:eastAsia="zh-CN"/>
        </w:rPr>
        <w:t>，并</w:t>
      </w:r>
      <w:r>
        <w:rPr>
          <w:rFonts w:hint="eastAsia"/>
        </w:rPr>
        <w:t>应根据试验结果调整参数、工法或反馈修改设计方案。</w:t>
      </w:r>
    </w:p>
    <w:p>
      <w:pPr>
        <w:numPr>
          <w:ilvl w:val="2"/>
          <w:numId w:val="6"/>
        </w:numPr>
      </w:pPr>
      <w:r>
        <w:rPr>
          <w:rFonts w:hint="eastAsia"/>
        </w:rPr>
        <w:t>钢板桩的施工应符合现行广东省标准《深基坑钢板桩支护技术规程》DBJ/T 15-214的相关规定，并应符合下列规定：</w:t>
      </w:r>
    </w:p>
    <w:p>
      <w:pPr>
        <w:ind w:firstLine="480"/>
        <w:rPr>
          <w:rFonts w:hint="eastAsia" w:eastAsia="宋体"/>
          <w:lang w:eastAsia="zh-CN"/>
        </w:rPr>
      </w:pPr>
      <w:r>
        <w:rPr>
          <w:rFonts w:hint="eastAsia"/>
        </w:rPr>
        <w:t>1  钢板桩的平面布置宜平直，转角宜为直角</w:t>
      </w:r>
      <w:r>
        <w:rPr>
          <w:rFonts w:hint="eastAsia"/>
          <w:lang w:eastAsia="zh-CN"/>
        </w:rPr>
        <w:t>；</w:t>
      </w:r>
    </w:p>
    <w:p>
      <w:pPr>
        <w:ind w:firstLine="480"/>
        <w:rPr>
          <w:rFonts w:hint="eastAsia" w:eastAsia="宋体"/>
          <w:lang w:eastAsia="zh-CN"/>
        </w:rPr>
      </w:pPr>
      <w:r>
        <w:rPr>
          <w:rFonts w:hint="eastAsia"/>
        </w:rPr>
        <w:t>2  钢板桩的沉桩及拔桩方法应根据岩土工程条件、现场作业环境、噪声及振动控制要求、钢板桩类型、沉桩深度等因素确定，一般可采用振动打拔法和静力压拔法</w:t>
      </w:r>
      <w:r>
        <w:rPr>
          <w:rFonts w:hint="eastAsia"/>
          <w:lang w:eastAsia="zh-CN"/>
        </w:rPr>
        <w:t>；</w:t>
      </w:r>
    </w:p>
    <w:p>
      <w:pPr>
        <w:ind w:firstLine="480"/>
        <w:rPr>
          <w:rFonts w:hint="eastAsia" w:eastAsia="宋体"/>
          <w:lang w:eastAsia="zh-CN"/>
        </w:rPr>
      </w:pPr>
      <w:r>
        <w:rPr>
          <w:rFonts w:hint="eastAsia"/>
        </w:rPr>
        <w:t>3  钢板桩沉桩及拔桩施工可能影响邻近建筑物正常使用和安全时，应采取减少振动和挤土影响的措施；必要时，应采取隔离措施或对邻近建筑物进行加固处理</w:t>
      </w:r>
      <w:r>
        <w:rPr>
          <w:rFonts w:hint="eastAsia"/>
          <w:lang w:eastAsia="zh-CN"/>
        </w:rPr>
        <w:t>；</w:t>
      </w:r>
    </w:p>
    <w:p>
      <w:pPr>
        <w:ind w:firstLine="480"/>
        <w:rPr>
          <w:highlight w:val="yellow"/>
        </w:rPr>
      </w:pPr>
      <w:r>
        <w:rPr>
          <w:rFonts w:hint="eastAsia"/>
        </w:rPr>
        <w:t>4  钢板桩拔出后，应按设计要求对桩孔填充处理。桩孔填充材料可采用砂土，也可采用水泥与水玻璃双液浆、水泥浆或水泥砂浆。填充方法可采用振动法、挤密填入法及注入法等，应填充密实。</w:t>
      </w:r>
    </w:p>
    <w:p>
      <w:pPr>
        <w:numPr>
          <w:ilvl w:val="2"/>
          <w:numId w:val="6"/>
        </w:numPr>
      </w:pPr>
      <w:r>
        <w:rPr>
          <w:rFonts w:hint="eastAsia"/>
        </w:rPr>
        <w:t>基坑开挖</w:t>
      </w:r>
      <w:r>
        <w:rPr>
          <w:rFonts w:hint="eastAsia"/>
          <w:lang w:val="en-US" w:eastAsia="zh-CN"/>
        </w:rPr>
        <w:t>时</w:t>
      </w:r>
      <w:r>
        <w:rPr>
          <w:rFonts w:hint="eastAsia"/>
        </w:rPr>
        <w:t>，应采取有效的地下水控制措施；基坑内地下水位应降至拟开挖面以下不小于0.5m。</w:t>
      </w:r>
    </w:p>
    <w:p>
      <w:pPr>
        <w:numPr>
          <w:ilvl w:val="2"/>
          <w:numId w:val="6"/>
        </w:numPr>
      </w:pPr>
      <w:r>
        <w:rPr>
          <w:rFonts w:hint="eastAsia"/>
        </w:rPr>
        <w:t>基坑土方开挖应遵循“对称平衡、分层分段（块）、限时挖土、限时支撑”的原则；设有支撑的基坑，应遵循“开槽支撑、先撑后挖、分层开挖、</w:t>
      </w:r>
      <w:r>
        <w:rPr>
          <w:rFonts w:hint="eastAsia"/>
          <w:lang w:eastAsia="zh-CN"/>
        </w:rPr>
        <w:t>不应</w:t>
      </w:r>
      <w:r>
        <w:rPr>
          <w:rFonts w:hint="eastAsia"/>
        </w:rPr>
        <w:t>超挖”的原则开挖；基坑边堆载</w:t>
      </w:r>
      <w:r>
        <w:rPr>
          <w:rFonts w:hint="eastAsia"/>
          <w:lang w:eastAsia="zh-CN"/>
        </w:rPr>
        <w:t>不应</w:t>
      </w:r>
      <w:r>
        <w:rPr>
          <w:rFonts w:hint="eastAsia"/>
        </w:rPr>
        <w:t>超过设计值。</w:t>
      </w:r>
    </w:p>
    <w:p>
      <w:pPr>
        <w:numPr>
          <w:ilvl w:val="2"/>
          <w:numId w:val="6"/>
        </w:numPr>
      </w:pPr>
      <w:r>
        <w:rPr>
          <w:rFonts w:hint="eastAsia"/>
        </w:rPr>
        <w:t xml:space="preserve">基坑的支撑结构、支撑构件的施工应符合下列规定： </w:t>
      </w:r>
    </w:p>
    <w:p>
      <w:pPr>
        <w:ind w:firstLine="480"/>
      </w:pPr>
      <w:r>
        <w:rPr>
          <w:rFonts w:hint="eastAsia"/>
        </w:rPr>
        <w:t>1  支撑系统的施工顺序应与支护结构的设计工况一致；</w:t>
      </w:r>
    </w:p>
    <w:p>
      <w:pPr>
        <w:ind w:firstLine="480"/>
      </w:pPr>
      <w:r>
        <w:rPr>
          <w:rFonts w:hint="eastAsia"/>
        </w:rPr>
        <w:t>2  内支撑的施工应符合《建筑地基基础施工规范》DBJT 15-152的相关规定，钢支撑的安装应符合《钢结构工程施工质量验收规》GB50205的规定；</w:t>
      </w:r>
    </w:p>
    <w:p>
      <w:pPr>
        <w:ind w:firstLine="480"/>
        <w:rPr>
          <w:rFonts w:hint="eastAsia" w:eastAsia="宋体"/>
          <w:lang w:eastAsia="zh-CN"/>
        </w:rPr>
      </w:pPr>
      <w:r>
        <w:t>3</w:t>
      </w:r>
      <w:r>
        <w:rPr>
          <w:rFonts w:hint="eastAsia"/>
        </w:rPr>
        <w:t xml:space="preserve">  开挖至围檩及支撑位置后，安装围檩，然后施工安装内支撑</w:t>
      </w:r>
      <w:r>
        <w:rPr>
          <w:rFonts w:hint="eastAsia"/>
          <w:lang w:eastAsia="zh-CN"/>
        </w:rPr>
        <w:t>；</w:t>
      </w:r>
    </w:p>
    <w:p>
      <w:pPr>
        <w:ind w:firstLine="480"/>
        <w:rPr>
          <w:rFonts w:hint="eastAsia"/>
        </w:rPr>
      </w:pPr>
      <w:r>
        <w:t>4</w:t>
      </w:r>
      <w:r>
        <w:rPr>
          <w:rFonts w:hint="eastAsia"/>
        </w:rPr>
        <w:t xml:space="preserve">  支撑体系上不应存放材料或运行施工机械，</w:t>
      </w:r>
      <w:r>
        <w:rPr>
          <w:rFonts w:hint="eastAsia"/>
          <w:lang w:eastAsia="zh-CN"/>
        </w:rPr>
        <w:t>不应</w:t>
      </w:r>
      <w:r>
        <w:rPr>
          <w:rFonts w:hint="eastAsia"/>
        </w:rPr>
        <w:t>碰撞支撑。</w:t>
      </w:r>
    </w:p>
    <w:p>
      <w:pPr>
        <w:numPr>
          <w:ilvl w:val="2"/>
          <w:numId w:val="6"/>
        </w:numPr>
      </w:pPr>
      <w:r>
        <w:rPr>
          <w:rFonts w:hint="eastAsia"/>
        </w:rPr>
        <w:t>基坑土方开挖应符合下列规定：</w:t>
      </w:r>
    </w:p>
    <w:p>
      <w:pPr>
        <w:pStyle w:val="133"/>
        <w:ind w:firstLine="480" w:firstLineChars="200"/>
        <w:textAlignment w:val="auto"/>
        <w:rPr>
          <w:rFonts w:hint="eastAsia" w:eastAsia="宋体"/>
          <w:bCs/>
          <w:lang w:eastAsia="zh-CN"/>
        </w:rPr>
      </w:pPr>
      <w:r>
        <w:rPr>
          <w:rFonts w:hint="eastAsia"/>
          <w:bCs/>
        </w:rPr>
        <w:t>1  当发现支护结构、周边建（构）筑物、地下管线、道路、地面的变形和位移超过控制值或发生异常情况时，应立即停止开挖，采取控制或加固措施</w:t>
      </w:r>
      <w:r>
        <w:rPr>
          <w:rFonts w:hint="eastAsia"/>
          <w:bCs/>
          <w:lang w:eastAsia="zh-CN"/>
        </w:rPr>
        <w:t>；</w:t>
      </w:r>
    </w:p>
    <w:p>
      <w:pPr>
        <w:pStyle w:val="133"/>
        <w:ind w:firstLine="480" w:firstLineChars="200"/>
        <w:textAlignment w:val="auto"/>
        <w:rPr>
          <w:rFonts w:hint="eastAsia" w:eastAsia="宋体"/>
          <w:bCs/>
          <w:lang w:eastAsia="zh-CN"/>
        </w:rPr>
      </w:pPr>
      <w:r>
        <w:rPr>
          <w:rFonts w:hint="eastAsia"/>
        </w:rPr>
        <w:t xml:space="preserve">2  </w:t>
      </w:r>
      <w:r>
        <w:rPr>
          <w:rFonts w:hint="eastAsia"/>
          <w:lang w:eastAsia="zh-CN"/>
        </w:rPr>
        <w:t>不得</w:t>
      </w:r>
      <w:r>
        <w:rPr>
          <w:rFonts w:hint="eastAsia"/>
        </w:rPr>
        <w:t>超挖</w:t>
      </w:r>
      <w:r>
        <w:rPr>
          <w:rFonts w:hint="eastAsia"/>
          <w:lang w:eastAsia="zh-CN"/>
        </w:rPr>
        <w:t>；</w:t>
      </w:r>
    </w:p>
    <w:p>
      <w:pPr>
        <w:pStyle w:val="133"/>
        <w:ind w:firstLine="480" w:firstLineChars="200"/>
        <w:textAlignment w:val="auto"/>
        <w:rPr>
          <w:rFonts w:hint="eastAsia" w:eastAsia="宋体"/>
          <w:bCs/>
          <w:lang w:eastAsia="zh-CN"/>
        </w:rPr>
      </w:pPr>
      <w:r>
        <w:rPr>
          <w:rFonts w:hint="eastAsia"/>
        </w:rPr>
        <w:t xml:space="preserve">3  </w:t>
      </w:r>
      <w:r>
        <w:rPr>
          <w:rFonts w:hint="eastAsia"/>
          <w:bCs/>
        </w:rPr>
        <w:t>应采取措施对支护结构、工程桩和基坑（槽）底进行防护，</w:t>
      </w:r>
      <w:r>
        <w:rPr>
          <w:rFonts w:hint="eastAsia"/>
        </w:rPr>
        <w:t>不应扰动基坑底原状土。当采用机械开挖土方时，</w:t>
      </w:r>
      <w:r>
        <w:rPr>
          <w:rFonts w:hint="eastAsia"/>
          <w:lang w:val="en-US" w:eastAsia="zh-CN"/>
        </w:rPr>
        <w:t>宜</w:t>
      </w:r>
      <w:r>
        <w:rPr>
          <w:rFonts w:hint="eastAsia"/>
        </w:rPr>
        <w:t>在基坑底预留150mm～300mm厚的土层，由人工挖掘修整</w:t>
      </w:r>
      <w:r>
        <w:rPr>
          <w:rFonts w:hint="eastAsia"/>
          <w:lang w:eastAsia="zh-CN"/>
        </w:rPr>
        <w:t>；</w:t>
      </w:r>
    </w:p>
    <w:p>
      <w:pPr>
        <w:pStyle w:val="133"/>
        <w:ind w:firstLine="480" w:firstLineChars="200"/>
        <w:textAlignment w:val="auto"/>
        <w:rPr>
          <w:rFonts w:hint="eastAsia" w:eastAsia="宋体"/>
          <w:bCs/>
          <w:lang w:eastAsia="zh-CN"/>
        </w:rPr>
      </w:pPr>
      <w:r>
        <w:rPr>
          <w:rFonts w:hint="eastAsia"/>
        </w:rPr>
        <w:t>4  基坑开挖至设计标高，各相关方应进行验槽并及时施工垫层</w:t>
      </w:r>
      <w:r>
        <w:rPr>
          <w:rFonts w:hint="eastAsia"/>
          <w:lang w:eastAsia="zh-CN"/>
        </w:rPr>
        <w:t>。</w:t>
      </w:r>
    </w:p>
    <w:p>
      <w:pPr>
        <w:numPr>
          <w:ilvl w:val="2"/>
          <w:numId w:val="6"/>
        </w:numPr>
      </w:pPr>
      <w:r>
        <w:rPr>
          <w:rFonts w:hint="eastAsia"/>
        </w:rPr>
        <w:t>基坑内支撑的水平间距应大于</w:t>
      </w:r>
      <w:r>
        <w:rPr>
          <w:rFonts w:hint="eastAsia"/>
          <w:lang w:val="en-US" w:eastAsia="zh-CN"/>
        </w:rPr>
        <w:t>预制构件</w:t>
      </w:r>
      <w:r>
        <w:rPr>
          <w:rFonts w:hint="eastAsia"/>
        </w:rPr>
        <w:t>长度；</w:t>
      </w:r>
      <w:r>
        <w:t>构件安装</w:t>
      </w:r>
      <w:r>
        <w:rPr>
          <w:rFonts w:hint="eastAsia"/>
        </w:rPr>
        <w:t>时，构件顶部至内支撑的净空不应小于0.5m。</w:t>
      </w:r>
    </w:p>
    <w:p>
      <w:pPr>
        <w:numPr>
          <w:ilvl w:val="2"/>
          <w:numId w:val="6"/>
        </w:numPr>
      </w:pPr>
      <w:r>
        <w:rPr>
          <w:rFonts w:hint="eastAsia"/>
        </w:rPr>
        <w:t>应根据吊装工况对基坑安全进行验算。</w:t>
      </w:r>
    </w:p>
    <w:p>
      <w:pPr>
        <w:numPr>
          <w:ilvl w:val="2"/>
          <w:numId w:val="6"/>
        </w:numPr>
      </w:pPr>
      <w:r>
        <w:rPr>
          <w:rFonts w:hint="eastAsia"/>
        </w:rPr>
        <w:t>支撑拆除应符合下列规定：</w:t>
      </w:r>
    </w:p>
    <w:p>
      <w:pPr>
        <w:ind w:firstLine="480"/>
        <w:rPr>
          <w:rFonts w:hint="eastAsia" w:eastAsia="宋体"/>
          <w:lang w:eastAsia="zh-CN"/>
        </w:rPr>
      </w:pPr>
      <w:r>
        <w:rPr>
          <w:rFonts w:hint="eastAsia"/>
        </w:rPr>
        <w:t>1  支撑的拆除过程中，须遵循“先换撑、后拆除”的原则进行施工；当换撑及永久结构达到设计强度的90%后，并且对应部位基坑两侧回填完毕后，可拆除钢支撑</w:t>
      </w:r>
      <w:r>
        <w:rPr>
          <w:rFonts w:hint="eastAsia"/>
          <w:lang w:eastAsia="zh-CN"/>
        </w:rPr>
        <w:t>；</w:t>
      </w:r>
    </w:p>
    <w:p>
      <w:pPr>
        <w:ind w:firstLine="480"/>
        <w:rPr>
          <w:rFonts w:hint="eastAsia" w:eastAsia="宋体"/>
          <w:lang w:eastAsia="zh-CN"/>
        </w:rPr>
      </w:pPr>
      <w:r>
        <w:rPr>
          <w:rFonts w:hint="eastAsia"/>
        </w:rPr>
        <w:t>2  支撑的拆除应根据支撑材料、型式、尺寸等具体情况采用人工、机械和爆破等方法</w:t>
      </w:r>
      <w:r>
        <w:rPr>
          <w:rFonts w:hint="eastAsia"/>
          <w:lang w:eastAsia="zh-CN"/>
        </w:rPr>
        <w:t>；</w:t>
      </w:r>
    </w:p>
    <w:p>
      <w:pPr>
        <w:ind w:firstLine="480"/>
        <w:rPr>
          <w:rFonts w:hint="eastAsia" w:eastAsia="宋体"/>
          <w:lang w:eastAsia="zh-CN"/>
        </w:rPr>
      </w:pPr>
      <w:r>
        <w:rPr>
          <w:rFonts w:hint="eastAsia"/>
        </w:rPr>
        <w:t>3  钢支撑拆除应先释放预应力，再拧卸螺栓或切割拆除</w:t>
      </w:r>
      <w:r>
        <w:rPr>
          <w:rFonts w:hint="eastAsia"/>
          <w:lang w:eastAsia="zh-CN"/>
        </w:rPr>
        <w:t>；</w:t>
      </w:r>
    </w:p>
    <w:p>
      <w:pPr>
        <w:ind w:firstLine="480"/>
        <w:rPr>
          <w:rFonts w:hint="eastAsia" w:eastAsia="宋体"/>
          <w:lang w:eastAsia="zh-CN"/>
        </w:rPr>
      </w:pPr>
      <w:r>
        <w:rPr>
          <w:rFonts w:hint="eastAsia"/>
        </w:rPr>
        <w:t>4  混凝土支撑爆破拆除时，应先切断支撑与围檩的连接，设置安全可靠的防护措施和作业空间，并对永久结构及周边环境采取保护措施</w:t>
      </w:r>
      <w:r>
        <w:rPr>
          <w:rFonts w:hint="eastAsia"/>
          <w:lang w:eastAsia="zh-CN"/>
        </w:rPr>
        <w:t>；</w:t>
      </w:r>
    </w:p>
    <w:p>
      <w:pPr>
        <w:ind w:firstLine="480"/>
        <w:rPr>
          <w:rFonts w:hint="eastAsia"/>
        </w:rPr>
      </w:pPr>
      <w:r>
        <w:rPr>
          <w:rFonts w:hint="eastAsia"/>
        </w:rPr>
        <w:t>5  基坑回填完成，且管廊采取抗浮措施后，钢板桩方可进行拔桩施工。</w:t>
      </w:r>
    </w:p>
    <w:p>
      <w:pPr>
        <w:ind w:firstLine="0"/>
        <w:rPr>
          <w:rFonts w:hint="default" w:eastAsia="宋体"/>
          <w:lang w:val="en-US" w:eastAsia="zh-CN"/>
        </w:rPr>
      </w:pPr>
      <w:r>
        <w:rPr>
          <w:rFonts w:hint="eastAsia"/>
          <w:b/>
          <w:bCs/>
          <w:lang w:val="en-US" w:eastAsia="zh-CN"/>
        </w:rPr>
        <w:t>5.2.11</w:t>
      </w:r>
      <w:r>
        <w:rPr>
          <w:rFonts w:hint="eastAsia"/>
          <w:lang w:val="en-US" w:eastAsia="zh-CN"/>
        </w:rPr>
        <w:t xml:space="preserve">  雨季和冬季施工应符合现行国家有关标准的规定。</w:t>
      </w:r>
    </w:p>
    <w:p>
      <w:pPr>
        <w:ind w:firstLine="480"/>
      </w:pPr>
    </w:p>
    <w:p>
      <w:pPr>
        <w:pStyle w:val="3"/>
        <w:rPr>
          <w:rFonts w:cs="Times New Roman"/>
          <w:bCs w:val="0"/>
        </w:rPr>
      </w:pPr>
      <w:bookmarkStart w:id="185" w:name="_Toc20315"/>
      <w:bookmarkStart w:id="186" w:name="_Toc11010"/>
      <w:bookmarkStart w:id="187" w:name="_Toc8107"/>
      <w:bookmarkStart w:id="188" w:name="_Toc19801"/>
      <w:bookmarkStart w:id="189" w:name="_Toc31312"/>
      <w:bookmarkStart w:id="190" w:name="_Toc17095"/>
      <w:r>
        <w:rPr>
          <w:rFonts w:cs="Times New Roman"/>
          <w:bCs w:val="0"/>
        </w:rPr>
        <w:t>5.3  地基与基础工程</w:t>
      </w:r>
      <w:bookmarkEnd w:id="185"/>
      <w:bookmarkEnd w:id="186"/>
      <w:bookmarkEnd w:id="187"/>
      <w:bookmarkEnd w:id="188"/>
      <w:bookmarkEnd w:id="189"/>
      <w:bookmarkEnd w:id="190"/>
    </w:p>
    <w:p>
      <w:pPr>
        <w:numPr>
          <w:ilvl w:val="2"/>
          <w:numId w:val="7"/>
        </w:numPr>
      </w:pPr>
      <w:r>
        <w:rPr>
          <w:rFonts w:hint="eastAsia"/>
        </w:rPr>
        <w:t>管廊地基</w:t>
      </w:r>
      <w:r>
        <w:rPr>
          <w:rFonts w:hint="eastAsia"/>
          <w:lang w:val="en-US" w:eastAsia="zh-CN"/>
        </w:rPr>
        <w:t>与基础</w:t>
      </w:r>
      <w:r>
        <w:rPr>
          <w:rFonts w:hint="eastAsia"/>
        </w:rPr>
        <w:t>应按设计要求进行施工</w:t>
      </w:r>
      <w:r>
        <w:rPr>
          <w:rFonts w:hint="eastAsia"/>
          <w:lang w:eastAsia="zh-CN"/>
        </w:rPr>
        <w:t>。</w:t>
      </w:r>
      <w:r>
        <w:rPr>
          <w:rFonts w:hint="eastAsia"/>
        </w:rPr>
        <w:t>天然地基的强度或变形不能满足工程要求时</w:t>
      </w:r>
      <w:r>
        <w:rPr>
          <w:rFonts w:hint="eastAsia"/>
          <w:lang w:eastAsia="zh-CN"/>
        </w:rPr>
        <w:t>，</w:t>
      </w:r>
      <w:r>
        <w:rPr>
          <w:rFonts w:hint="eastAsia"/>
        </w:rPr>
        <w:t>应按设计要求进行地基处理。</w:t>
      </w:r>
    </w:p>
    <w:p>
      <w:pPr>
        <w:numPr>
          <w:ilvl w:val="2"/>
          <w:numId w:val="7"/>
        </w:numPr>
      </w:pPr>
      <w:r>
        <w:rPr>
          <w:rFonts w:hint="eastAsia"/>
        </w:rPr>
        <w:t>排水不良造成地基土扰动时，</w:t>
      </w:r>
      <w:r>
        <w:rPr>
          <w:rFonts w:hint="eastAsia"/>
          <w:lang w:val="en-US" w:eastAsia="zh-CN"/>
        </w:rPr>
        <w:t>应进行</w:t>
      </w:r>
      <w:r>
        <w:rPr>
          <w:rFonts w:hint="eastAsia"/>
        </w:rPr>
        <w:t>地基处理，</w:t>
      </w:r>
      <w:r>
        <w:rPr>
          <w:rFonts w:hint="eastAsia"/>
          <w:lang w:val="en-US" w:eastAsia="zh-CN"/>
        </w:rPr>
        <w:t>并</w:t>
      </w:r>
      <w:r>
        <w:rPr>
          <w:rFonts w:hint="eastAsia"/>
        </w:rPr>
        <w:t>应满足国家有关规范规定和设计要求</w:t>
      </w:r>
      <w:r>
        <w:rPr>
          <w:rFonts w:hint="eastAsia"/>
          <w:lang w:eastAsia="zh-CN"/>
        </w:rPr>
        <w:t>。</w:t>
      </w:r>
    </w:p>
    <w:p>
      <w:pPr>
        <w:numPr>
          <w:ilvl w:val="2"/>
          <w:numId w:val="7"/>
        </w:numPr>
      </w:pPr>
      <w:r>
        <w:rPr>
          <w:rFonts w:hint="eastAsia"/>
          <w:spacing w:val="-3"/>
        </w:rPr>
        <w:t>管</w:t>
      </w:r>
      <w:r>
        <w:rPr>
          <w:rFonts w:hint="eastAsia"/>
        </w:rPr>
        <w:t>廊</w:t>
      </w:r>
      <w:r>
        <w:rPr>
          <w:rFonts w:hint="eastAsia"/>
          <w:spacing w:val="-3"/>
        </w:rPr>
        <w:t>建</w:t>
      </w:r>
      <w:r>
        <w:rPr>
          <w:rFonts w:hint="eastAsia"/>
        </w:rPr>
        <w:t>设</w:t>
      </w:r>
      <w:r>
        <w:rPr>
          <w:rFonts w:hint="eastAsia"/>
          <w:spacing w:val="-3"/>
        </w:rPr>
        <w:t>范</w:t>
      </w:r>
      <w:r>
        <w:rPr>
          <w:rFonts w:hint="eastAsia"/>
        </w:rPr>
        <w:t>围</w:t>
      </w:r>
      <w:r>
        <w:rPr>
          <w:rFonts w:hint="eastAsia"/>
          <w:spacing w:val="-3"/>
        </w:rPr>
        <w:t>内地</w:t>
      </w:r>
      <w:r>
        <w:rPr>
          <w:rFonts w:hint="eastAsia"/>
        </w:rPr>
        <w:t>基遇</w:t>
      </w:r>
      <w:r>
        <w:rPr>
          <w:rFonts w:hint="eastAsia"/>
          <w:spacing w:val="-3"/>
        </w:rPr>
        <w:t>到</w:t>
      </w:r>
      <w:r>
        <w:rPr>
          <w:rFonts w:hint="eastAsia"/>
        </w:rPr>
        <w:t>不</w:t>
      </w:r>
      <w:r>
        <w:rPr>
          <w:rFonts w:hint="eastAsia"/>
          <w:spacing w:val="-3"/>
        </w:rPr>
        <w:t>良</w:t>
      </w:r>
      <w:r>
        <w:rPr>
          <w:rFonts w:hint="eastAsia"/>
        </w:rPr>
        <w:t>地</w:t>
      </w:r>
      <w:r>
        <w:rPr>
          <w:rFonts w:hint="eastAsia"/>
          <w:spacing w:val="-3"/>
        </w:rPr>
        <w:t>层</w:t>
      </w:r>
      <w:r>
        <w:rPr>
          <w:rFonts w:hint="eastAsia"/>
          <w:spacing w:val="-34"/>
        </w:rPr>
        <w:t>，</w:t>
      </w:r>
      <w:r>
        <w:rPr>
          <w:rFonts w:hint="eastAsia"/>
          <w:spacing w:val="-3"/>
        </w:rPr>
        <w:t>设</w:t>
      </w:r>
      <w:r>
        <w:rPr>
          <w:rFonts w:hint="eastAsia"/>
        </w:rPr>
        <w:t>计</w:t>
      </w:r>
      <w:r>
        <w:rPr>
          <w:rFonts w:hint="eastAsia"/>
          <w:spacing w:val="-3"/>
        </w:rPr>
        <w:t>未</w:t>
      </w:r>
      <w:r>
        <w:rPr>
          <w:rFonts w:hint="eastAsia"/>
        </w:rPr>
        <w:t>做处</w:t>
      </w:r>
      <w:r>
        <w:rPr>
          <w:rFonts w:hint="eastAsia"/>
          <w:spacing w:val="-3"/>
        </w:rPr>
        <w:t>理</w:t>
      </w:r>
      <w:r>
        <w:rPr>
          <w:rFonts w:hint="eastAsia"/>
        </w:rPr>
        <w:t>时</w:t>
      </w:r>
      <w:r>
        <w:rPr>
          <w:rFonts w:hint="eastAsia"/>
          <w:spacing w:val="-36"/>
        </w:rPr>
        <w:t>，</w:t>
      </w:r>
      <w:r>
        <w:rPr>
          <w:rFonts w:hint="eastAsia"/>
        </w:rPr>
        <w:t>应</w:t>
      </w:r>
      <w:r>
        <w:rPr>
          <w:rFonts w:hint="eastAsia"/>
          <w:spacing w:val="-3"/>
        </w:rPr>
        <w:t>进</w:t>
      </w:r>
      <w:r>
        <w:rPr>
          <w:rFonts w:hint="eastAsia"/>
        </w:rPr>
        <w:t>行</w:t>
      </w:r>
      <w:r>
        <w:rPr>
          <w:rFonts w:hint="eastAsia"/>
          <w:spacing w:val="-3"/>
        </w:rPr>
        <w:t>设</w:t>
      </w:r>
      <w:r>
        <w:rPr>
          <w:rFonts w:hint="eastAsia"/>
        </w:rPr>
        <w:t>计</w:t>
      </w:r>
      <w:r>
        <w:rPr>
          <w:rFonts w:hint="eastAsia"/>
          <w:spacing w:val="-3"/>
        </w:rPr>
        <w:t>变</w:t>
      </w:r>
      <w:r>
        <w:rPr>
          <w:rFonts w:hint="eastAsia"/>
        </w:rPr>
        <w:t>更</w:t>
      </w:r>
      <w:r>
        <w:rPr>
          <w:rFonts w:hint="eastAsia"/>
          <w:spacing w:val="-36"/>
        </w:rPr>
        <w:t>，</w:t>
      </w:r>
      <w:r>
        <w:rPr>
          <w:rFonts w:hint="eastAsia"/>
        </w:rPr>
        <w:t>并</w:t>
      </w:r>
      <w:r>
        <w:rPr>
          <w:rFonts w:hint="eastAsia"/>
          <w:spacing w:val="-3"/>
        </w:rPr>
        <w:t>制</w:t>
      </w:r>
      <w:r>
        <w:rPr>
          <w:rFonts w:hint="eastAsia"/>
        </w:rPr>
        <w:t>定专项</w:t>
      </w:r>
      <w:r>
        <w:rPr>
          <w:rFonts w:hint="eastAsia"/>
          <w:spacing w:val="-3"/>
        </w:rPr>
        <w:t>施</w:t>
      </w:r>
      <w:r>
        <w:rPr>
          <w:rFonts w:hint="eastAsia"/>
        </w:rPr>
        <w:t>工</w:t>
      </w:r>
      <w:r>
        <w:rPr>
          <w:rFonts w:hint="eastAsia"/>
          <w:spacing w:val="-3"/>
        </w:rPr>
        <w:t>方</w:t>
      </w:r>
      <w:r>
        <w:rPr>
          <w:rFonts w:hint="eastAsia"/>
        </w:rPr>
        <w:t>案</w:t>
      </w:r>
      <w:r>
        <w:rPr>
          <w:rFonts w:hint="eastAsia"/>
          <w:spacing w:val="-3"/>
        </w:rPr>
        <w:t>。</w:t>
      </w:r>
    </w:p>
    <w:p>
      <w:pPr>
        <w:numPr>
          <w:ilvl w:val="2"/>
          <w:numId w:val="7"/>
        </w:numPr>
      </w:pPr>
      <w:r>
        <w:rPr>
          <w:rFonts w:hint="eastAsia"/>
        </w:rPr>
        <w:t>垫层</w:t>
      </w:r>
      <w:r>
        <w:rPr>
          <w:rFonts w:hint="eastAsia"/>
          <w:lang w:val="en-US" w:eastAsia="zh-CN"/>
        </w:rPr>
        <w:t>施工</w:t>
      </w:r>
      <w:r>
        <w:rPr>
          <w:rFonts w:hint="eastAsia"/>
        </w:rPr>
        <w:t>应符合下列</w:t>
      </w:r>
      <w:r>
        <w:rPr>
          <w:rFonts w:hint="eastAsia"/>
          <w:lang w:val="en-US" w:eastAsia="zh-CN"/>
        </w:rPr>
        <w:t>规定</w:t>
      </w:r>
      <w:r>
        <w:rPr>
          <w:rFonts w:hint="eastAsia"/>
        </w:rPr>
        <w:t>：</w:t>
      </w:r>
    </w:p>
    <w:p>
      <w:pPr>
        <w:pStyle w:val="133"/>
        <w:ind w:firstLine="480" w:firstLineChars="200"/>
        <w:textAlignment w:val="auto"/>
        <w:rPr>
          <w:rFonts w:hint="eastAsia"/>
          <w:bCs/>
        </w:rPr>
      </w:pPr>
      <w:r>
        <w:rPr>
          <w:rFonts w:hint="eastAsia"/>
          <w:lang w:val="en-US" w:eastAsia="zh-CN"/>
        </w:rPr>
        <w:t>1</w:t>
      </w:r>
      <w:r>
        <w:rPr>
          <w:rFonts w:hint="eastAsia"/>
        </w:rPr>
        <w:t xml:space="preserve">  垫层</w:t>
      </w:r>
      <w:r>
        <w:rPr>
          <w:rFonts w:hint="eastAsia"/>
          <w:lang w:eastAsia="zh-CN"/>
        </w:rPr>
        <w:t>应</w:t>
      </w:r>
      <w:r>
        <w:rPr>
          <w:rFonts w:hint="eastAsia"/>
        </w:rPr>
        <w:t>采用分段施工，在主体结构施工节段长度两端</w:t>
      </w:r>
      <w:r>
        <w:rPr>
          <w:rFonts w:hint="eastAsia"/>
          <w:lang w:eastAsia="zh-CN"/>
        </w:rPr>
        <w:t>各增</w:t>
      </w:r>
      <w:r>
        <w:rPr>
          <w:rFonts w:hint="eastAsia"/>
        </w:rPr>
        <w:t>加</w:t>
      </w:r>
      <w:r>
        <w:rPr>
          <w:rFonts w:hint="eastAsia"/>
          <w:lang w:val="en-US" w:eastAsia="zh-CN"/>
        </w:rPr>
        <w:t>1</w:t>
      </w:r>
      <w:r>
        <w:rPr>
          <w:rFonts w:hint="eastAsia"/>
        </w:rPr>
        <w:t>00mm</w:t>
      </w:r>
      <w:r>
        <w:rPr>
          <w:rFonts w:hint="eastAsia"/>
          <w:lang w:eastAsia="zh-CN"/>
        </w:rPr>
        <w:t>；</w:t>
      </w:r>
    </w:p>
    <w:p>
      <w:pPr>
        <w:pStyle w:val="133"/>
        <w:ind w:firstLine="480" w:firstLineChars="200"/>
        <w:textAlignment w:val="auto"/>
        <w:rPr>
          <w:rFonts w:hint="eastAsia" w:eastAsia="宋体"/>
          <w:lang w:eastAsia="zh-CN"/>
        </w:rPr>
      </w:pPr>
      <w:r>
        <w:rPr>
          <w:rFonts w:hint="eastAsia"/>
          <w:lang w:val="en-US" w:eastAsia="zh-CN"/>
        </w:rPr>
        <w:t>2</w:t>
      </w:r>
      <w:r>
        <w:rPr>
          <w:rFonts w:hint="eastAsia"/>
        </w:rPr>
        <w:t xml:space="preserve">  碎石填料及施工质量应满足设计要求，并符合</w:t>
      </w:r>
      <w:r>
        <w:rPr>
          <w:rFonts w:hint="eastAsia"/>
          <w:lang w:val="en-US" w:eastAsia="zh-CN"/>
        </w:rPr>
        <w:t>本</w:t>
      </w:r>
      <w:r>
        <w:rPr>
          <w:rFonts w:hint="eastAsia"/>
        </w:rPr>
        <w:t>标准</w:t>
      </w:r>
      <w:r>
        <w:rPr>
          <w:rFonts w:hint="eastAsia"/>
          <w:lang w:val="en-US" w:eastAsia="zh-CN"/>
        </w:rPr>
        <w:t>第5.5.5条</w:t>
      </w:r>
      <w:r>
        <w:rPr>
          <w:rFonts w:hint="eastAsia"/>
        </w:rPr>
        <w:t>的相关</w:t>
      </w:r>
      <w:r>
        <w:rPr>
          <w:rFonts w:hint="eastAsia"/>
          <w:lang w:val="en-US" w:eastAsia="zh-CN"/>
        </w:rPr>
        <w:t>规定</w:t>
      </w:r>
      <w:r>
        <w:rPr>
          <w:rFonts w:hint="eastAsia"/>
          <w:lang w:eastAsia="zh-CN"/>
        </w:rPr>
        <w:t>；</w:t>
      </w:r>
    </w:p>
    <w:p>
      <w:pPr>
        <w:pStyle w:val="133"/>
        <w:ind w:firstLine="480" w:firstLineChars="200"/>
        <w:textAlignment w:val="auto"/>
        <w:rPr>
          <w:rFonts w:hint="eastAsia" w:eastAsia="宋体"/>
          <w:bCs/>
          <w:lang w:eastAsia="zh-CN"/>
        </w:rPr>
      </w:pPr>
      <w:r>
        <w:rPr>
          <w:rFonts w:hint="eastAsia"/>
          <w:bCs/>
        </w:rPr>
        <w:t>3  混凝土垫层</w:t>
      </w:r>
      <w:r>
        <w:rPr>
          <w:rFonts w:hint="eastAsia"/>
          <w:bCs/>
          <w:lang w:val="en-US" w:eastAsia="zh-CN"/>
        </w:rPr>
        <w:t>的</w:t>
      </w:r>
      <w:r>
        <w:rPr>
          <w:rFonts w:hint="eastAsia"/>
          <w:bCs/>
        </w:rPr>
        <w:t>强度及厚度应符合设计规定，混凝土强度不宜低于C20，厚度不宜小于1</w:t>
      </w:r>
      <w:r>
        <w:rPr>
          <w:rFonts w:hint="eastAsia"/>
          <w:bCs/>
          <w:lang w:val="en-US" w:eastAsia="zh-CN"/>
        </w:rPr>
        <w:t>5</w:t>
      </w:r>
      <w:r>
        <w:rPr>
          <w:rFonts w:hint="eastAsia"/>
          <w:bCs/>
        </w:rPr>
        <w:t>0mm；当采用管廊安装车时，垫层混凝土强度及厚度应根据计算确定</w:t>
      </w:r>
      <w:r>
        <w:rPr>
          <w:rFonts w:hint="eastAsia"/>
          <w:bCs/>
          <w:lang w:eastAsia="zh-CN"/>
        </w:rPr>
        <w:t>；</w:t>
      </w:r>
    </w:p>
    <w:p>
      <w:pPr>
        <w:numPr>
          <w:ilvl w:val="2"/>
          <w:numId w:val="7"/>
        </w:numPr>
      </w:pPr>
      <w:r>
        <w:rPr>
          <w:rFonts w:hint="eastAsia"/>
        </w:rPr>
        <w:t>垫层两侧应设置排水沟，局部设置集水井，安装时地下水位应控制在混凝土垫层底面以下</w:t>
      </w:r>
      <w:r>
        <w:t>0.5</w:t>
      </w:r>
      <w:r>
        <w:rPr>
          <w:rFonts w:hint="eastAsia"/>
        </w:rPr>
        <w:t>m。</w:t>
      </w:r>
    </w:p>
    <w:p>
      <w:pPr>
        <w:pStyle w:val="16"/>
        <w:ind w:firstLine="480"/>
        <w:rPr>
          <w:shd w:val="pct10" w:color="auto" w:fill="FFFFFF"/>
        </w:rPr>
      </w:pPr>
    </w:p>
    <w:p>
      <w:pPr>
        <w:pStyle w:val="3"/>
        <w:rPr>
          <w:rFonts w:cs="Times New Roman"/>
          <w:bCs w:val="0"/>
        </w:rPr>
      </w:pPr>
      <w:bookmarkStart w:id="191" w:name="_Toc22709"/>
      <w:bookmarkStart w:id="192" w:name="_Toc15699"/>
      <w:bookmarkStart w:id="193" w:name="_Toc7291"/>
      <w:bookmarkStart w:id="194" w:name="_Toc9065"/>
      <w:bookmarkStart w:id="195" w:name="_Toc4140"/>
      <w:bookmarkStart w:id="196" w:name="_Toc5564"/>
      <w:r>
        <w:rPr>
          <w:rFonts w:cs="Times New Roman"/>
          <w:bCs w:val="0"/>
        </w:rPr>
        <w:t>5.4  基坑回填</w:t>
      </w:r>
      <w:bookmarkEnd w:id="191"/>
      <w:bookmarkEnd w:id="192"/>
      <w:bookmarkEnd w:id="193"/>
      <w:bookmarkEnd w:id="194"/>
      <w:bookmarkEnd w:id="195"/>
      <w:bookmarkEnd w:id="196"/>
    </w:p>
    <w:p>
      <w:pPr>
        <w:numPr>
          <w:ilvl w:val="2"/>
          <w:numId w:val="8"/>
        </w:numPr>
      </w:pPr>
      <w:r>
        <w:rPr>
          <w:rFonts w:hint="eastAsia"/>
        </w:rPr>
        <w:t>基坑回填应在</w:t>
      </w:r>
      <w:r>
        <w:rPr>
          <w:rFonts w:hint="eastAsia"/>
          <w:lang w:val="en-US" w:eastAsia="zh-CN"/>
        </w:rPr>
        <w:t>管廊结构混凝土强度</w:t>
      </w:r>
      <w:r>
        <w:rPr>
          <w:rFonts w:hint="eastAsia"/>
        </w:rPr>
        <w:t>达到100%设计强度</w:t>
      </w:r>
      <w:r>
        <w:rPr>
          <w:rFonts w:hint="eastAsia"/>
          <w:lang w:eastAsia="zh-CN"/>
        </w:rPr>
        <w:t>，</w:t>
      </w:r>
      <w:r>
        <w:rPr>
          <w:rFonts w:hint="eastAsia"/>
        </w:rPr>
        <w:t>且管廊结构及防水工程验收合格后及时进行</w:t>
      </w:r>
      <w:r>
        <w:rPr>
          <w:rFonts w:hint="eastAsia"/>
          <w:lang w:eastAsia="zh-CN"/>
        </w:rPr>
        <w:t>。</w:t>
      </w:r>
      <w:r>
        <w:rPr>
          <w:rFonts w:hint="eastAsia"/>
          <w:lang w:val="en-US" w:eastAsia="zh-CN"/>
        </w:rPr>
        <w:t>回填前</w:t>
      </w:r>
      <w:r>
        <w:rPr>
          <w:rFonts w:hint="eastAsia"/>
        </w:rPr>
        <w:t>应清除槽内杂物，排除坑内积水。</w:t>
      </w:r>
    </w:p>
    <w:p>
      <w:pPr>
        <w:numPr>
          <w:ilvl w:val="2"/>
          <w:numId w:val="8"/>
        </w:numPr>
        <w:rPr>
          <w:bCs/>
        </w:rPr>
      </w:pPr>
      <w:r>
        <w:rPr>
          <w:rFonts w:hint="eastAsia"/>
          <w:bCs/>
        </w:rPr>
        <w:t>基坑回填前，应根据工程特点、土料性质、设计压实系数、施工条件等，</w:t>
      </w:r>
      <w:r>
        <w:rPr>
          <w:rFonts w:hint="eastAsia"/>
          <w:spacing w:val="-3"/>
        </w:rPr>
        <w:t>经</w:t>
      </w:r>
      <w:r>
        <w:rPr>
          <w:rFonts w:hint="eastAsia"/>
        </w:rPr>
        <w:t>过</w:t>
      </w:r>
      <w:r>
        <w:rPr>
          <w:rFonts w:hint="eastAsia"/>
          <w:spacing w:val="-3"/>
        </w:rPr>
        <w:t>现</w:t>
      </w:r>
      <w:r>
        <w:rPr>
          <w:rFonts w:hint="eastAsia"/>
        </w:rPr>
        <w:t>场</w:t>
      </w:r>
      <w:r>
        <w:rPr>
          <w:rFonts w:hint="eastAsia"/>
          <w:spacing w:val="-3"/>
        </w:rPr>
        <w:t>试</w:t>
      </w:r>
      <w:r>
        <w:rPr>
          <w:rFonts w:hint="eastAsia"/>
        </w:rPr>
        <w:t>验确</w:t>
      </w:r>
      <w:r>
        <w:rPr>
          <w:rFonts w:hint="eastAsia"/>
          <w:spacing w:val="-3"/>
        </w:rPr>
        <w:t>定每</w:t>
      </w:r>
      <w:r>
        <w:rPr>
          <w:rFonts w:hint="eastAsia"/>
        </w:rPr>
        <w:t>层</w:t>
      </w:r>
      <w:r>
        <w:rPr>
          <w:rFonts w:hint="eastAsia"/>
          <w:spacing w:val="-3"/>
        </w:rPr>
        <w:t>回</w:t>
      </w:r>
      <w:r>
        <w:rPr>
          <w:rFonts w:hint="eastAsia"/>
        </w:rPr>
        <w:t>填</w:t>
      </w:r>
      <w:r>
        <w:rPr>
          <w:rFonts w:hint="eastAsia"/>
          <w:spacing w:val="-3"/>
        </w:rPr>
        <w:t>厚</w:t>
      </w:r>
      <w:r>
        <w:rPr>
          <w:rFonts w:hint="eastAsia"/>
        </w:rPr>
        <w:t>度</w:t>
      </w:r>
      <w:r>
        <w:rPr>
          <w:rFonts w:hint="eastAsia"/>
          <w:spacing w:val="-3"/>
        </w:rPr>
        <w:t>、压</w:t>
      </w:r>
      <w:r>
        <w:rPr>
          <w:rFonts w:hint="eastAsia"/>
        </w:rPr>
        <w:t>实遍</w:t>
      </w:r>
      <w:r>
        <w:rPr>
          <w:rFonts w:hint="eastAsia"/>
          <w:spacing w:val="-3"/>
        </w:rPr>
        <w:t>数等施工参数</w:t>
      </w:r>
      <w:r>
        <w:rPr>
          <w:rFonts w:hint="eastAsia"/>
          <w:spacing w:val="-3"/>
          <w:lang w:eastAsia="zh-CN"/>
        </w:rPr>
        <w:t>。</w:t>
      </w:r>
    </w:p>
    <w:p>
      <w:pPr>
        <w:numPr>
          <w:ilvl w:val="2"/>
          <w:numId w:val="8"/>
        </w:numPr>
      </w:pPr>
      <w:r>
        <w:rPr>
          <w:rFonts w:hint="eastAsia"/>
          <w:lang w:val="en-US" w:eastAsia="zh-CN"/>
        </w:rPr>
        <w:t>当管廊位于道路或其他建（构）筑物下方时，</w:t>
      </w:r>
      <w:r>
        <w:rPr>
          <w:rFonts w:hint="eastAsia"/>
        </w:rPr>
        <w:t>回填料宜采用预拌流态固化土，</w:t>
      </w:r>
      <w:r>
        <w:rPr>
          <w:rFonts w:hint="eastAsia"/>
          <w:lang w:val="en-US" w:eastAsia="zh-CN"/>
        </w:rPr>
        <w:t>流态固化土的施工</w:t>
      </w:r>
      <w:r>
        <w:rPr>
          <w:rFonts w:hint="eastAsia"/>
        </w:rPr>
        <w:t xml:space="preserve">应符合下列规定： </w:t>
      </w:r>
    </w:p>
    <w:p>
      <w:pPr>
        <w:pStyle w:val="133"/>
        <w:ind w:firstLine="480" w:firstLineChars="200"/>
        <w:textAlignment w:val="auto"/>
        <w:rPr>
          <w:rFonts w:hint="eastAsia"/>
          <w:lang w:eastAsia="zh-CN"/>
        </w:rPr>
      </w:pPr>
      <w:r>
        <w:rPr>
          <w:rFonts w:hint="eastAsia"/>
        </w:rPr>
        <w:t>1  土料宜采用现场开挖的土料，有机质含量</w:t>
      </w:r>
      <w:r>
        <w:rPr>
          <w:rFonts w:hint="eastAsia"/>
          <w:lang w:eastAsia="zh-CN"/>
        </w:rPr>
        <w:t>不应</w:t>
      </w:r>
      <w:r>
        <w:rPr>
          <w:rFonts w:hint="eastAsia"/>
        </w:rPr>
        <w:t>超过5</w:t>
      </w:r>
      <w:r>
        <w:t>%</w:t>
      </w:r>
      <w:r>
        <w:rPr>
          <w:rFonts w:hint="eastAsia"/>
        </w:rPr>
        <w:t>，所含粗粒最大粒径不宜超过5</w:t>
      </w:r>
      <w:r>
        <w:rPr>
          <w:rFonts w:hint="eastAsia"/>
          <w:lang w:val="en-US" w:eastAsia="zh-CN"/>
        </w:rPr>
        <w:t>0mm</w:t>
      </w:r>
      <w:r>
        <w:rPr>
          <w:rFonts w:hint="eastAsia"/>
        </w:rPr>
        <w:t>，未经处理的污染土</w:t>
      </w:r>
      <w:r>
        <w:rPr>
          <w:rFonts w:hint="eastAsia"/>
          <w:lang w:eastAsia="zh-CN"/>
        </w:rPr>
        <w:t>不应</w:t>
      </w:r>
      <w:r>
        <w:rPr>
          <w:rFonts w:hint="eastAsia"/>
        </w:rPr>
        <w:t>作为固化土的原材料</w:t>
      </w:r>
      <w:r>
        <w:rPr>
          <w:rFonts w:hint="eastAsia"/>
          <w:lang w:eastAsia="zh-CN"/>
        </w:rPr>
        <w:t>；</w:t>
      </w:r>
    </w:p>
    <w:p>
      <w:pPr>
        <w:pStyle w:val="133"/>
        <w:ind w:firstLine="480" w:firstLineChars="200"/>
        <w:textAlignment w:val="auto"/>
        <w:rPr>
          <w:rFonts w:hint="eastAsia"/>
          <w:lang w:eastAsia="zh-CN"/>
        </w:rPr>
      </w:pPr>
      <w:r>
        <w:rPr>
          <w:rFonts w:hint="eastAsia"/>
          <w:lang w:val="en-US" w:eastAsia="zh-CN"/>
        </w:rPr>
        <w:t>2</w:t>
      </w:r>
      <w:r>
        <w:rPr>
          <w:rFonts w:hint="eastAsia"/>
        </w:rPr>
        <w:t xml:space="preserve">  固化土的水灰比应根据现场施工条件确定；固化土施工配合比，固化剂类型，固化土渗透指标、塌落度、扩展度等指标应满足设计要求</w:t>
      </w:r>
      <w:r>
        <w:rPr>
          <w:rFonts w:hint="eastAsia"/>
          <w:lang w:eastAsia="zh-CN"/>
        </w:rPr>
        <w:t>；</w:t>
      </w:r>
    </w:p>
    <w:p>
      <w:pPr>
        <w:pStyle w:val="133"/>
        <w:ind w:firstLine="480" w:firstLineChars="200"/>
        <w:textAlignment w:val="auto"/>
        <w:rPr>
          <w:rFonts w:hint="default"/>
          <w:lang w:val="en-US" w:eastAsia="zh-CN"/>
        </w:rPr>
      </w:pPr>
      <w:r>
        <w:rPr>
          <w:rFonts w:hint="eastAsia"/>
          <w:lang w:val="en-US" w:eastAsia="zh-CN"/>
        </w:rPr>
        <w:t>3  流态固化土的混合料应按配合比拌制，应使用专门机械设备搅拌，搅拌时间不少于2min，以搅拌均匀、和易性、流动性满足要求为准；</w:t>
      </w:r>
    </w:p>
    <w:p>
      <w:pPr>
        <w:pStyle w:val="133"/>
        <w:ind w:firstLine="480" w:firstLineChars="200"/>
        <w:textAlignment w:val="auto"/>
        <w:rPr>
          <w:rFonts w:hint="eastAsia" w:eastAsia="宋体"/>
          <w:lang w:eastAsia="zh-CN"/>
        </w:rPr>
      </w:pPr>
      <w:r>
        <w:rPr>
          <w:rFonts w:hint="eastAsia"/>
          <w:lang w:val="en-US" w:eastAsia="zh-CN"/>
        </w:rPr>
        <w:t>4</w:t>
      </w:r>
      <w:r>
        <w:rPr>
          <w:rFonts w:hint="eastAsia"/>
        </w:rPr>
        <w:t xml:space="preserve">  固化土立方体抗压强度应满足设计要求，当没有明确设计要求时，固化土立方体抗压强度不宜小于0</w:t>
      </w:r>
      <w:r>
        <w:t>.4MP</w:t>
      </w:r>
      <w:r>
        <w:rPr>
          <w:rFonts w:hint="eastAsia"/>
        </w:rPr>
        <w:t>a</w:t>
      </w:r>
      <w:r>
        <w:rPr>
          <w:rFonts w:hint="eastAsia"/>
          <w:lang w:eastAsia="zh-CN"/>
        </w:rPr>
        <w:t>；</w:t>
      </w:r>
    </w:p>
    <w:p>
      <w:pPr>
        <w:pStyle w:val="133"/>
        <w:ind w:firstLine="480" w:firstLineChars="200"/>
        <w:textAlignment w:val="auto"/>
        <w:rPr>
          <w:rFonts w:hint="eastAsia" w:eastAsia="宋体"/>
          <w:lang w:eastAsia="zh-CN"/>
        </w:rPr>
      </w:pPr>
      <w:r>
        <w:rPr>
          <w:rFonts w:hint="eastAsia"/>
          <w:lang w:val="en-US" w:eastAsia="zh-CN"/>
        </w:rPr>
        <w:t>5</w:t>
      </w:r>
      <w:r>
        <w:rPr>
          <w:rFonts w:hint="eastAsia"/>
        </w:rPr>
        <w:t xml:space="preserve">  固化土搅拌至浇筑完成的时间不宜超过3h，应根据施工现场条件采用泵送或溜槽浇筑方式</w:t>
      </w:r>
      <w:r>
        <w:rPr>
          <w:rFonts w:hint="eastAsia"/>
          <w:lang w:eastAsia="zh-CN"/>
        </w:rPr>
        <w:t>；</w:t>
      </w:r>
    </w:p>
    <w:p>
      <w:pPr>
        <w:pStyle w:val="133"/>
        <w:ind w:firstLine="480" w:firstLineChars="200"/>
        <w:textAlignment w:val="auto"/>
        <w:rPr>
          <w:rFonts w:hint="eastAsia" w:eastAsia="宋体"/>
          <w:lang w:eastAsia="zh-CN"/>
        </w:rPr>
      </w:pPr>
      <w:r>
        <w:rPr>
          <w:rFonts w:hint="eastAsia"/>
          <w:lang w:val="en-US" w:eastAsia="zh-CN"/>
        </w:rPr>
        <w:t>6</w:t>
      </w:r>
      <w:r>
        <w:rPr>
          <w:rFonts w:hint="eastAsia"/>
        </w:rPr>
        <w:t xml:space="preserve">  固化土宜采用分层进行浇筑，首次浇筑厚度不宜超过0</w:t>
      </w:r>
      <w:r>
        <w:t>.5</w:t>
      </w:r>
      <w:r>
        <w:rPr>
          <w:rFonts w:hint="eastAsia"/>
        </w:rPr>
        <w:t>m，每次浇筑厚度不宜大于2m</w:t>
      </w:r>
      <w:r>
        <w:rPr>
          <w:rFonts w:hint="eastAsia"/>
          <w:lang w:eastAsia="zh-CN"/>
        </w:rPr>
        <w:t>。</w:t>
      </w:r>
      <w:r>
        <w:rPr>
          <w:rFonts w:hint="eastAsia"/>
        </w:rPr>
        <w:t>模板和支撑的强度、刚度及稳定性应满足要求</w:t>
      </w:r>
      <w:r>
        <w:rPr>
          <w:rFonts w:hint="eastAsia"/>
          <w:lang w:eastAsia="zh-CN"/>
        </w:rPr>
        <w:t>；</w:t>
      </w:r>
    </w:p>
    <w:p>
      <w:pPr>
        <w:ind w:firstLine="480" w:firstLineChars="200"/>
        <w:rPr>
          <w:rFonts w:hint="eastAsia"/>
        </w:rPr>
      </w:pPr>
      <w:r>
        <w:rPr>
          <w:rFonts w:hint="eastAsia"/>
          <w:lang w:val="en-US" w:eastAsia="zh-CN"/>
        </w:rPr>
        <w:t xml:space="preserve">7  </w:t>
      </w:r>
      <w:r>
        <w:rPr>
          <w:rFonts w:hint="eastAsia"/>
        </w:rPr>
        <w:t>浇筑完成后，应对填筑体表面覆盖薄膜或土工布进行保湿养护，养护时间不少于7d。</w:t>
      </w:r>
    </w:p>
    <w:p>
      <w:pPr>
        <w:numPr>
          <w:ilvl w:val="2"/>
          <w:numId w:val="8"/>
        </w:numPr>
      </w:pPr>
      <w:r>
        <w:rPr>
          <w:rFonts w:hint="eastAsia"/>
        </w:rPr>
        <w:t>基坑回填</w:t>
      </w:r>
      <w:r>
        <w:rPr>
          <w:rFonts w:hint="eastAsia"/>
          <w:lang w:val="en-US" w:eastAsia="zh-CN"/>
        </w:rPr>
        <w:t>前</w:t>
      </w:r>
      <w:r>
        <w:rPr>
          <w:rFonts w:hint="eastAsia"/>
        </w:rPr>
        <w:t>，应</w:t>
      </w:r>
      <w:r>
        <w:rPr>
          <w:rFonts w:hint="eastAsia"/>
          <w:lang w:val="en-US" w:eastAsia="zh-CN"/>
        </w:rPr>
        <w:t>按设计要求施工管廊外防水层的保护层，并在施工时采取保护措施</w:t>
      </w:r>
      <w:r>
        <w:rPr>
          <w:rFonts w:hint="eastAsia"/>
        </w:rPr>
        <w:t>，回填夯实机具</w:t>
      </w:r>
      <w:r>
        <w:rPr>
          <w:rFonts w:hint="eastAsia"/>
          <w:lang w:eastAsia="zh-CN"/>
        </w:rPr>
        <w:t>不应</w:t>
      </w:r>
      <w:r>
        <w:rPr>
          <w:rFonts w:hint="eastAsia"/>
          <w:lang w:val="en-US" w:eastAsia="zh-CN"/>
        </w:rPr>
        <w:t>直接</w:t>
      </w:r>
      <w:r>
        <w:rPr>
          <w:rFonts w:hint="eastAsia"/>
        </w:rPr>
        <w:t>碰撞</w:t>
      </w:r>
      <w:r>
        <w:rPr>
          <w:rFonts w:hint="eastAsia"/>
          <w:lang w:val="en-US" w:eastAsia="zh-CN"/>
        </w:rPr>
        <w:t>防水保护层</w:t>
      </w:r>
      <w:r>
        <w:rPr>
          <w:rFonts w:hint="eastAsia"/>
        </w:rPr>
        <w:t>。</w:t>
      </w:r>
    </w:p>
    <w:p>
      <w:pPr>
        <w:numPr>
          <w:ilvl w:val="2"/>
          <w:numId w:val="8"/>
        </w:numPr>
      </w:pPr>
      <w:r>
        <w:rPr>
          <w:rFonts w:hint="eastAsia"/>
        </w:rPr>
        <w:t>综合管廊两侧回填应对称、分层、均匀。管廊顶板上部</w:t>
      </w:r>
      <w:r>
        <w:rPr>
          <w:rFonts w:hint="eastAsia"/>
          <w:lang w:val="en-US" w:eastAsia="zh-CN"/>
        </w:rPr>
        <w:t>5</w:t>
      </w:r>
      <w:r>
        <w:rPr>
          <w:rFonts w:hint="eastAsia"/>
        </w:rPr>
        <w:t>00mm范围内回填材料应采用人工或小型机具分层夯实，大型碾压机</w:t>
      </w:r>
      <w:r>
        <w:rPr>
          <w:rFonts w:hint="eastAsia"/>
          <w:lang w:eastAsia="zh-CN"/>
        </w:rPr>
        <w:t>不应</w:t>
      </w:r>
      <w:r>
        <w:rPr>
          <w:rFonts w:hint="eastAsia"/>
        </w:rPr>
        <w:t>直接在管廊顶板上部施工。</w:t>
      </w:r>
    </w:p>
    <w:p>
      <w:pPr>
        <w:numPr>
          <w:ilvl w:val="2"/>
          <w:numId w:val="8"/>
        </w:numPr>
      </w:pPr>
      <w:r>
        <w:rPr>
          <w:rFonts w:hint="eastAsia"/>
          <w:spacing w:val="-3"/>
        </w:rPr>
        <w:t>基</w:t>
      </w:r>
      <w:r>
        <w:rPr>
          <w:rFonts w:hint="eastAsia"/>
        </w:rPr>
        <w:t>坑</w:t>
      </w:r>
      <w:r>
        <w:rPr>
          <w:rFonts w:hint="eastAsia"/>
          <w:spacing w:val="-3"/>
        </w:rPr>
        <w:t>回</w:t>
      </w:r>
      <w:r>
        <w:rPr>
          <w:rFonts w:hint="eastAsia"/>
        </w:rPr>
        <w:t>填</w:t>
      </w:r>
      <w:r>
        <w:rPr>
          <w:rFonts w:hint="eastAsia"/>
          <w:spacing w:val="-3"/>
        </w:rPr>
        <w:t>土</w:t>
      </w:r>
      <w:r>
        <w:rPr>
          <w:rFonts w:hint="eastAsia"/>
        </w:rPr>
        <w:t>表</w:t>
      </w:r>
      <w:r>
        <w:rPr>
          <w:rFonts w:hint="eastAsia"/>
          <w:spacing w:val="-3"/>
        </w:rPr>
        <w:t>面应</w:t>
      </w:r>
      <w:r>
        <w:rPr>
          <w:rFonts w:hint="eastAsia"/>
        </w:rPr>
        <w:t>略高</w:t>
      </w:r>
      <w:r>
        <w:rPr>
          <w:rFonts w:hint="eastAsia"/>
          <w:spacing w:val="-3"/>
        </w:rPr>
        <w:t>于</w:t>
      </w:r>
      <w:r>
        <w:rPr>
          <w:rFonts w:hint="eastAsia"/>
        </w:rPr>
        <w:t>地</w:t>
      </w:r>
      <w:r>
        <w:rPr>
          <w:rFonts w:hint="eastAsia"/>
          <w:spacing w:val="-3"/>
        </w:rPr>
        <w:t>面</w:t>
      </w:r>
      <w:r>
        <w:rPr>
          <w:rFonts w:hint="eastAsia"/>
        </w:rPr>
        <w:t>，</w:t>
      </w:r>
      <w:r>
        <w:rPr>
          <w:rFonts w:hint="eastAsia"/>
          <w:lang w:val="en-US" w:eastAsia="zh-CN"/>
        </w:rPr>
        <w:t>应</w:t>
      </w:r>
      <w:r>
        <w:rPr>
          <w:rFonts w:hint="eastAsia"/>
          <w:spacing w:val="-3"/>
        </w:rPr>
        <w:t>整</w:t>
      </w:r>
      <w:r>
        <w:rPr>
          <w:rFonts w:hint="eastAsia"/>
        </w:rPr>
        <w:t>平</w:t>
      </w:r>
      <w:r>
        <w:rPr>
          <w:rFonts w:hint="eastAsia"/>
          <w:spacing w:val="-3"/>
        </w:rPr>
        <w:t>，</w:t>
      </w:r>
      <w:r>
        <w:rPr>
          <w:rFonts w:hint="eastAsia"/>
        </w:rPr>
        <w:t>并</w:t>
      </w:r>
      <w:r>
        <w:rPr>
          <w:rFonts w:hint="eastAsia"/>
          <w:spacing w:val="-3"/>
        </w:rPr>
        <w:t>利</w:t>
      </w:r>
      <w:r>
        <w:rPr>
          <w:rFonts w:hint="eastAsia"/>
        </w:rPr>
        <w:t>于排</w:t>
      </w:r>
      <w:r>
        <w:rPr>
          <w:rFonts w:hint="eastAsia"/>
          <w:spacing w:val="-3"/>
        </w:rPr>
        <w:t>水。</w:t>
      </w:r>
    </w:p>
    <w:p>
      <w:pPr>
        <w:numPr>
          <w:ilvl w:val="0"/>
          <w:numId w:val="0"/>
        </w:numPr>
        <w:ind w:leftChars="0"/>
      </w:pPr>
    </w:p>
    <w:p>
      <w:pPr>
        <w:pStyle w:val="3"/>
        <w:rPr>
          <w:rFonts w:cs="Times New Roman"/>
          <w:bCs w:val="0"/>
        </w:rPr>
      </w:pPr>
      <w:bookmarkStart w:id="197" w:name="_Toc5487"/>
      <w:bookmarkStart w:id="198" w:name="_Toc1898"/>
      <w:bookmarkStart w:id="199" w:name="_Toc24915"/>
      <w:bookmarkStart w:id="200" w:name="_Toc25621"/>
      <w:bookmarkStart w:id="201" w:name="_Toc2590"/>
      <w:bookmarkStart w:id="202" w:name="_Toc8521"/>
      <w:r>
        <w:rPr>
          <w:rFonts w:cs="Times New Roman"/>
          <w:bCs w:val="0"/>
        </w:rPr>
        <w:t>5.5  质量检验</w:t>
      </w:r>
      <w:bookmarkEnd w:id="197"/>
      <w:bookmarkEnd w:id="198"/>
      <w:bookmarkEnd w:id="199"/>
      <w:bookmarkEnd w:id="200"/>
      <w:bookmarkEnd w:id="201"/>
      <w:bookmarkEnd w:id="202"/>
    </w:p>
    <w:p>
      <w:pPr>
        <w:ind w:firstLine="560"/>
        <w:jc w:val="center"/>
        <w:rPr>
          <w:rFonts w:ascii="宋体" w:hAnsi="宋体" w:cs="宋体"/>
          <w:b/>
          <w:bCs/>
          <w:szCs w:val="24"/>
        </w:rPr>
      </w:pPr>
      <w:r>
        <w:rPr>
          <w:rFonts w:cs="Times New Roman" w:eastAsiaTheme="minorEastAsia"/>
          <w:b/>
          <w:bCs/>
          <w:szCs w:val="24"/>
        </w:rPr>
        <w:t>Ⅰ</w:t>
      </w:r>
      <w:r>
        <w:rPr>
          <w:rFonts w:hint="eastAsia" w:cs="Times New Roman" w:eastAsiaTheme="minorEastAsia"/>
          <w:b/>
          <w:bCs/>
          <w:szCs w:val="24"/>
          <w:lang w:val="en-US" w:eastAsia="zh-CN"/>
        </w:rPr>
        <w:t xml:space="preserve"> </w:t>
      </w:r>
      <w:r>
        <w:rPr>
          <w:rFonts w:hint="eastAsia" w:ascii="宋体" w:hAnsi="宋体" w:cs="宋体"/>
          <w:b/>
          <w:bCs/>
          <w:szCs w:val="24"/>
        </w:rPr>
        <w:t>主控项目</w:t>
      </w:r>
    </w:p>
    <w:p>
      <w:pPr>
        <w:numPr>
          <w:ilvl w:val="2"/>
          <w:numId w:val="9"/>
        </w:numPr>
      </w:pPr>
      <w:r>
        <w:t>基坑</w:t>
      </w:r>
      <w:r>
        <w:rPr>
          <w:rFonts w:hint="eastAsia"/>
        </w:rPr>
        <w:t>工程</w:t>
      </w:r>
      <w:r>
        <w:t>的质量</w:t>
      </w:r>
      <w:r>
        <w:rPr>
          <w:rFonts w:hint="eastAsia"/>
        </w:rPr>
        <w:t>检验</w:t>
      </w:r>
      <w:r>
        <w:t>应符合</w:t>
      </w:r>
      <w:r>
        <w:rPr>
          <w:rFonts w:hint="eastAsia"/>
        </w:rPr>
        <w:t>设计、</w:t>
      </w:r>
      <w:r>
        <w:t>现行国家标准《建筑地基基础工程施工质量验收</w:t>
      </w:r>
      <w:r>
        <w:rPr>
          <w:rFonts w:hint="eastAsia"/>
        </w:rPr>
        <w:t>标准</w:t>
      </w:r>
      <w:r>
        <w:t>》GB 50202</w:t>
      </w:r>
      <w:r>
        <w:rPr>
          <w:rFonts w:hint="eastAsia"/>
        </w:rPr>
        <w:t>及</w:t>
      </w:r>
      <w:r>
        <w:rPr>
          <w:rFonts w:hint="eastAsia"/>
          <w:bCs/>
        </w:rPr>
        <w:t>广东省标准</w:t>
      </w:r>
      <w:r>
        <w:rPr>
          <w:rFonts w:hint="eastAsia"/>
        </w:rPr>
        <w:t>《</w:t>
      </w:r>
      <w:r>
        <w:rPr>
          <w:rFonts w:hint="eastAsia"/>
          <w:spacing w:val="-3"/>
        </w:rPr>
        <w:t>建</w:t>
      </w:r>
      <w:r>
        <w:rPr>
          <w:rFonts w:hint="eastAsia"/>
        </w:rPr>
        <w:t>筑地基基</w:t>
      </w:r>
      <w:r>
        <w:rPr>
          <w:rFonts w:hint="eastAsia"/>
          <w:spacing w:val="-3"/>
        </w:rPr>
        <w:t>础</w:t>
      </w:r>
      <w:r>
        <w:rPr>
          <w:rFonts w:hint="eastAsia"/>
        </w:rPr>
        <w:t>检</w:t>
      </w:r>
      <w:r>
        <w:rPr>
          <w:rFonts w:hint="eastAsia"/>
          <w:spacing w:val="-3"/>
        </w:rPr>
        <w:t>测</w:t>
      </w:r>
      <w:r>
        <w:rPr>
          <w:rFonts w:hint="eastAsia"/>
        </w:rPr>
        <w:t>规</w:t>
      </w:r>
      <w:r>
        <w:rPr>
          <w:rFonts w:hint="eastAsia"/>
          <w:spacing w:val="-3"/>
        </w:rPr>
        <w:t>范</w:t>
      </w:r>
      <w:r>
        <w:rPr>
          <w:rFonts w:hint="eastAsia"/>
          <w:spacing w:val="-1"/>
        </w:rPr>
        <w:t>》</w:t>
      </w:r>
      <w:r>
        <w:t>D</w:t>
      </w:r>
      <w:r>
        <w:rPr>
          <w:spacing w:val="-3"/>
        </w:rPr>
        <w:t>B</w:t>
      </w:r>
      <w:r>
        <w:t>J 1</w:t>
      </w:r>
      <w:r>
        <w:rPr>
          <w:spacing w:val="-1"/>
        </w:rPr>
        <w:t>5</w:t>
      </w:r>
      <w:r>
        <w:rPr>
          <w:spacing w:val="-3"/>
        </w:rPr>
        <w:t>-6</w:t>
      </w:r>
      <w:r>
        <w:t>0的</w:t>
      </w:r>
      <w:r>
        <w:rPr>
          <w:rFonts w:hint="eastAsia"/>
        </w:rPr>
        <w:t>相关</w:t>
      </w:r>
      <w:r>
        <w:t>规定</w:t>
      </w:r>
      <w:r>
        <w:rPr>
          <w:rFonts w:hint="eastAsia"/>
        </w:rPr>
        <w:t>，并应满足下列要求：</w:t>
      </w:r>
      <w:r>
        <w:t xml:space="preserve"> </w:t>
      </w:r>
    </w:p>
    <w:p>
      <w:pPr>
        <w:pStyle w:val="133"/>
        <w:ind w:firstLine="480" w:firstLineChars="200"/>
        <w:textAlignment w:val="auto"/>
        <w:rPr>
          <w:rFonts w:hint="eastAsia" w:eastAsia="宋体"/>
          <w:bCs/>
          <w:lang w:eastAsia="zh-CN"/>
        </w:rPr>
      </w:pPr>
      <w:r>
        <w:rPr>
          <w:rFonts w:hint="eastAsia"/>
          <w:bCs/>
        </w:rPr>
        <w:t>1  基坑支护方式、基坑支护材料</w:t>
      </w:r>
      <w:r>
        <w:rPr>
          <w:rFonts w:hint="eastAsia"/>
          <w:bCs/>
          <w:lang w:eastAsia="zh-CN"/>
        </w:rPr>
        <w:t>应</w:t>
      </w:r>
      <w:r>
        <w:rPr>
          <w:rFonts w:hint="eastAsia"/>
          <w:bCs/>
        </w:rPr>
        <w:t>满足设计要求</w:t>
      </w:r>
      <w:r>
        <w:rPr>
          <w:rFonts w:hint="eastAsia"/>
          <w:bCs/>
          <w:lang w:eastAsia="zh-CN"/>
        </w:rPr>
        <w:t>；</w:t>
      </w:r>
    </w:p>
    <w:p>
      <w:pPr>
        <w:pStyle w:val="133"/>
        <w:ind w:firstLine="480" w:firstLineChars="200"/>
        <w:textAlignment w:val="auto"/>
        <w:rPr>
          <w:bCs/>
        </w:rPr>
      </w:pPr>
      <w:r>
        <w:rPr>
          <w:rFonts w:hint="eastAsia"/>
          <w:bCs/>
        </w:rPr>
        <w:t>检测数量：每个施工段（≤200m）。</w:t>
      </w:r>
    </w:p>
    <w:p>
      <w:pPr>
        <w:pStyle w:val="133"/>
        <w:ind w:firstLine="480" w:firstLineChars="200"/>
        <w:textAlignment w:val="auto"/>
        <w:rPr>
          <w:bCs/>
        </w:rPr>
      </w:pPr>
      <w:r>
        <w:rPr>
          <w:rFonts w:hint="eastAsia"/>
          <w:bCs/>
        </w:rPr>
        <w:t>检查方法：观察，检查施工方案。</w:t>
      </w:r>
    </w:p>
    <w:p>
      <w:pPr>
        <w:pStyle w:val="133"/>
        <w:ind w:firstLine="480" w:firstLineChars="200"/>
        <w:textAlignment w:val="auto"/>
        <w:rPr>
          <w:rFonts w:hint="eastAsia" w:eastAsia="宋体"/>
          <w:bCs/>
          <w:lang w:eastAsia="zh-CN"/>
        </w:rPr>
      </w:pPr>
      <w:r>
        <w:rPr>
          <w:rFonts w:hint="eastAsia"/>
          <w:bCs/>
        </w:rPr>
        <w:t>2  基坑支护结构稳定性、安全性</w:t>
      </w:r>
      <w:r>
        <w:rPr>
          <w:rFonts w:hint="eastAsia"/>
          <w:bCs/>
          <w:lang w:eastAsia="zh-CN"/>
        </w:rPr>
        <w:t>应</w:t>
      </w:r>
      <w:r>
        <w:rPr>
          <w:rFonts w:hint="eastAsia"/>
          <w:bCs/>
        </w:rPr>
        <w:t>满足要求</w:t>
      </w:r>
      <w:r>
        <w:rPr>
          <w:rFonts w:hint="eastAsia"/>
          <w:bCs/>
          <w:lang w:eastAsia="zh-CN"/>
        </w:rPr>
        <w:t>；</w:t>
      </w:r>
    </w:p>
    <w:p>
      <w:pPr>
        <w:pStyle w:val="133"/>
        <w:ind w:firstLine="480" w:firstLineChars="200"/>
        <w:textAlignment w:val="auto"/>
        <w:rPr>
          <w:bCs/>
        </w:rPr>
      </w:pPr>
      <w:r>
        <w:rPr>
          <w:rFonts w:hint="eastAsia"/>
          <w:bCs/>
        </w:rPr>
        <w:t>检测数量：每个施工段（≤200m）。</w:t>
      </w:r>
    </w:p>
    <w:p>
      <w:pPr>
        <w:pStyle w:val="133"/>
        <w:ind w:firstLine="480" w:firstLineChars="200"/>
        <w:textAlignment w:val="auto"/>
        <w:rPr>
          <w:bCs/>
        </w:rPr>
      </w:pPr>
      <w:r>
        <w:rPr>
          <w:rFonts w:hint="eastAsia"/>
          <w:bCs/>
        </w:rPr>
        <w:t>检查方法：观察，检查施工方案、施工记录、监测记录。</w:t>
      </w:r>
    </w:p>
    <w:p>
      <w:pPr>
        <w:pStyle w:val="133"/>
        <w:ind w:firstLine="480" w:firstLineChars="200"/>
        <w:textAlignment w:val="auto"/>
        <w:rPr>
          <w:bCs/>
        </w:rPr>
      </w:pPr>
      <w:r>
        <w:rPr>
          <w:rFonts w:hint="eastAsia"/>
          <w:bCs/>
        </w:rPr>
        <w:t xml:space="preserve">3  </w:t>
      </w:r>
      <w:r>
        <w:rPr>
          <w:rFonts w:hint="eastAsia"/>
          <w:bCs/>
          <w:lang w:eastAsia="zh-CN"/>
        </w:rPr>
        <w:t>基底无</w:t>
      </w:r>
      <w:r>
        <w:rPr>
          <w:rFonts w:hint="eastAsia"/>
          <w:bCs/>
        </w:rPr>
        <w:t>受水浸泡，基底无隆起、沉陷、涌水（砂）等现象。</w:t>
      </w:r>
    </w:p>
    <w:p>
      <w:pPr>
        <w:pStyle w:val="133"/>
        <w:ind w:firstLine="480" w:firstLineChars="200"/>
        <w:textAlignment w:val="auto"/>
        <w:rPr>
          <w:bCs/>
        </w:rPr>
      </w:pPr>
      <w:r>
        <w:rPr>
          <w:rFonts w:hint="eastAsia"/>
          <w:bCs/>
        </w:rPr>
        <w:t>检测数量：每个施工段（≤200m）。</w:t>
      </w:r>
    </w:p>
    <w:p>
      <w:pPr>
        <w:pStyle w:val="133"/>
        <w:ind w:firstLine="480" w:firstLineChars="200"/>
        <w:textAlignment w:val="auto"/>
        <w:rPr>
          <w:bCs/>
        </w:rPr>
      </w:pPr>
      <w:r>
        <w:rPr>
          <w:rFonts w:hint="eastAsia"/>
          <w:bCs/>
        </w:rPr>
        <w:t>检查方法：观察，检查施工记录。</w:t>
      </w:r>
    </w:p>
    <w:p>
      <w:pPr>
        <w:numPr>
          <w:ilvl w:val="2"/>
          <w:numId w:val="9"/>
        </w:numPr>
      </w:pPr>
      <w:r>
        <w:t>地基</w:t>
      </w:r>
      <w:r>
        <w:rPr>
          <w:rFonts w:hint="eastAsia"/>
        </w:rPr>
        <w:t>基础工程</w:t>
      </w:r>
      <w:r>
        <w:t>的质量</w:t>
      </w:r>
      <w:r>
        <w:rPr>
          <w:rFonts w:hint="eastAsia"/>
        </w:rPr>
        <w:t>检验</w:t>
      </w:r>
      <w:r>
        <w:t>应符合</w:t>
      </w:r>
      <w:r>
        <w:rPr>
          <w:rFonts w:hint="eastAsia"/>
        </w:rPr>
        <w:t>设计、</w:t>
      </w:r>
      <w:r>
        <w:t>现行国家标准《建筑地基基础工程施工质量验收</w:t>
      </w:r>
      <w:r>
        <w:rPr>
          <w:rFonts w:hint="eastAsia"/>
        </w:rPr>
        <w:t>标准</w:t>
      </w:r>
      <w:r>
        <w:t>》GB 50202</w:t>
      </w:r>
      <w:r>
        <w:rPr>
          <w:rFonts w:hint="eastAsia"/>
        </w:rPr>
        <w:t>及</w:t>
      </w:r>
      <w:r>
        <w:rPr>
          <w:rFonts w:hint="eastAsia"/>
          <w:bCs/>
        </w:rPr>
        <w:t>广东省标准</w:t>
      </w:r>
      <w:r>
        <w:rPr>
          <w:rFonts w:hint="eastAsia"/>
        </w:rPr>
        <w:t>《</w:t>
      </w:r>
      <w:r>
        <w:rPr>
          <w:rFonts w:hint="eastAsia"/>
          <w:spacing w:val="-3"/>
        </w:rPr>
        <w:t>建</w:t>
      </w:r>
      <w:r>
        <w:rPr>
          <w:rFonts w:hint="eastAsia"/>
        </w:rPr>
        <w:t>筑地基基</w:t>
      </w:r>
      <w:r>
        <w:rPr>
          <w:rFonts w:hint="eastAsia"/>
          <w:spacing w:val="-3"/>
        </w:rPr>
        <w:t>础</w:t>
      </w:r>
      <w:r>
        <w:rPr>
          <w:rFonts w:hint="eastAsia"/>
        </w:rPr>
        <w:t>检</w:t>
      </w:r>
      <w:r>
        <w:rPr>
          <w:rFonts w:hint="eastAsia"/>
          <w:spacing w:val="-3"/>
        </w:rPr>
        <w:t>测</w:t>
      </w:r>
      <w:r>
        <w:rPr>
          <w:rFonts w:hint="eastAsia"/>
        </w:rPr>
        <w:t>规</w:t>
      </w:r>
      <w:r>
        <w:rPr>
          <w:rFonts w:hint="eastAsia"/>
          <w:spacing w:val="-3"/>
        </w:rPr>
        <w:t>范</w:t>
      </w:r>
      <w:r>
        <w:rPr>
          <w:rFonts w:hint="eastAsia"/>
          <w:spacing w:val="-1"/>
        </w:rPr>
        <w:t>》</w:t>
      </w:r>
      <w:r>
        <w:t>D</w:t>
      </w:r>
      <w:r>
        <w:rPr>
          <w:spacing w:val="-3"/>
        </w:rPr>
        <w:t>B</w:t>
      </w:r>
      <w:r>
        <w:t>J 1</w:t>
      </w:r>
      <w:r>
        <w:rPr>
          <w:spacing w:val="-1"/>
        </w:rPr>
        <w:t>5</w:t>
      </w:r>
      <w:r>
        <w:rPr>
          <w:spacing w:val="-3"/>
        </w:rPr>
        <w:t>-6</w:t>
      </w:r>
      <w:r>
        <w:t>0的规定</w:t>
      </w:r>
      <w:r>
        <w:rPr>
          <w:rFonts w:hint="eastAsia"/>
        </w:rPr>
        <w:t>，并应满足下列要求：</w:t>
      </w:r>
      <w:r>
        <w:t xml:space="preserve"> </w:t>
      </w:r>
    </w:p>
    <w:p>
      <w:pPr>
        <w:pStyle w:val="133"/>
        <w:ind w:firstLine="480" w:firstLineChars="200"/>
        <w:textAlignment w:val="auto"/>
        <w:rPr>
          <w:rFonts w:hint="eastAsia" w:eastAsia="宋体"/>
          <w:lang w:eastAsia="zh-CN"/>
        </w:rPr>
      </w:pPr>
      <w:r>
        <w:rPr>
          <w:rFonts w:hint="eastAsia"/>
        </w:rPr>
        <w:t>1  地基承载力应满足设计要求，检测数量及检验方法应符合表5.5.</w:t>
      </w:r>
      <w:r>
        <w:t>2-1</w:t>
      </w:r>
      <w:r>
        <w:rPr>
          <w:rFonts w:hint="eastAsia"/>
        </w:rPr>
        <w:t>的规定</w:t>
      </w:r>
      <w:r>
        <w:rPr>
          <w:rFonts w:hint="eastAsia"/>
          <w:lang w:eastAsia="zh-CN"/>
        </w:rPr>
        <w:t>；</w:t>
      </w:r>
    </w:p>
    <w:p>
      <w:pPr>
        <w:pStyle w:val="193"/>
        <w:spacing w:line="360" w:lineRule="auto"/>
        <w:ind w:firstLine="422"/>
        <w:jc w:val="center"/>
        <w:rPr>
          <w:b/>
          <w:sz w:val="21"/>
          <w:szCs w:val="21"/>
        </w:rPr>
      </w:pPr>
      <w:r>
        <w:rPr>
          <w:rFonts w:hint="eastAsia"/>
          <w:b/>
          <w:sz w:val="21"/>
          <w:szCs w:val="21"/>
        </w:rPr>
        <w:t>表5.5.</w:t>
      </w:r>
      <w:r>
        <w:rPr>
          <w:b/>
          <w:sz w:val="21"/>
          <w:szCs w:val="21"/>
        </w:rPr>
        <w:t xml:space="preserve">2-1 </w:t>
      </w:r>
      <w:r>
        <w:rPr>
          <w:rFonts w:hint="eastAsia"/>
          <w:b/>
          <w:sz w:val="21"/>
          <w:szCs w:val="21"/>
        </w:rPr>
        <w:t>地基承载力检测要求</w:t>
      </w:r>
    </w:p>
    <w:tbl>
      <w:tblPr>
        <w:tblStyle w:val="39"/>
        <w:tblW w:w="821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76"/>
        <w:gridCol w:w="2170"/>
        <w:gridCol w:w="30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pStyle w:val="92"/>
            </w:pPr>
            <w:r>
              <w:rPr>
                <w:rFonts w:hint="eastAsia"/>
              </w:rPr>
              <w:t>地基类型及检查项目</w:t>
            </w:r>
          </w:p>
        </w:tc>
        <w:tc>
          <w:tcPr>
            <w:tcW w:w="2170" w:type="dxa"/>
            <w:vAlign w:val="center"/>
          </w:tcPr>
          <w:p>
            <w:pPr>
              <w:pStyle w:val="92"/>
            </w:pPr>
            <w:r>
              <w:rPr>
                <w:rFonts w:hint="eastAsia"/>
              </w:rPr>
              <w:t>检测方法</w:t>
            </w:r>
          </w:p>
        </w:tc>
        <w:tc>
          <w:tcPr>
            <w:tcW w:w="3068" w:type="dxa"/>
            <w:vAlign w:val="center"/>
          </w:tcPr>
          <w:p>
            <w:pPr>
              <w:pStyle w:val="92"/>
            </w:pPr>
            <w:r>
              <w:rPr>
                <w:rFonts w:hint="eastAsia"/>
              </w:rPr>
              <w:t>检测数量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pStyle w:val="92"/>
            </w:pPr>
            <w:r>
              <w:rPr>
                <w:rFonts w:hint="eastAsia"/>
              </w:rPr>
              <w:t>天然土地基承载力与变形参数</w:t>
            </w:r>
          </w:p>
        </w:tc>
        <w:tc>
          <w:tcPr>
            <w:tcW w:w="2170" w:type="dxa"/>
            <w:vAlign w:val="center"/>
          </w:tcPr>
          <w:p>
            <w:pPr>
              <w:pStyle w:val="92"/>
            </w:pPr>
            <w:r>
              <w:rPr>
                <w:rFonts w:hint="eastAsia"/>
              </w:rPr>
              <w:t>平板载荷试验</w:t>
            </w:r>
          </w:p>
        </w:tc>
        <w:tc>
          <w:tcPr>
            <w:tcW w:w="3068" w:type="dxa"/>
            <w:vAlign w:val="center"/>
          </w:tcPr>
          <w:p>
            <w:pPr>
              <w:pStyle w:val="92"/>
            </w:pPr>
            <w:r>
              <w:rPr>
                <w:rFonts w:hint="eastAsia"/>
              </w:rPr>
              <w:t>每 500 延米不应少于1个点，且总数不少于3点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pStyle w:val="92"/>
            </w:pPr>
            <w:r>
              <w:rPr>
                <w:rFonts w:hint="eastAsia"/>
              </w:rPr>
              <w:t>处理土地基承载力与变形参数</w:t>
            </w:r>
          </w:p>
        </w:tc>
        <w:tc>
          <w:tcPr>
            <w:tcW w:w="2170" w:type="dxa"/>
            <w:vAlign w:val="center"/>
          </w:tcPr>
          <w:p>
            <w:pPr>
              <w:pStyle w:val="92"/>
            </w:pPr>
            <w:r>
              <w:rPr>
                <w:rFonts w:hint="eastAsia"/>
              </w:rPr>
              <w:t>平板载荷试验</w:t>
            </w:r>
          </w:p>
        </w:tc>
        <w:tc>
          <w:tcPr>
            <w:tcW w:w="3068" w:type="dxa"/>
            <w:vAlign w:val="center"/>
          </w:tcPr>
          <w:p>
            <w:pPr>
              <w:pStyle w:val="92"/>
            </w:pPr>
            <w:r>
              <w:rPr>
                <w:rFonts w:hint="eastAsia"/>
              </w:rPr>
              <w:t>每 500 延米不应少于1个点，且总数不少于3点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pStyle w:val="92"/>
            </w:pPr>
            <w:r>
              <w:rPr>
                <w:rFonts w:hint="eastAsia"/>
              </w:rPr>
              <w:t>散体材料增强体复合地基承载力与变形参数</w:t>
            </w:r>
          </w:p>
        </w:tc>
        <w:tc>
          <w:tcPr>
            <w:tcW w:w="2170" w:type="dxa"/>
            <w:vAlign w:val="center"/>
          </w:tcPr>
          <w:p>
            <w:pPr>
              <w:pStyle w:val="92"/>
            </w:pPr>
            <w:r>
              <w:rPr>
                <w:rFonts w:hint="eastAsia"/>
              </w:rPr>
              <w:t>平板载荷试验</w:t>
            </w:r>
          </w:p>
        </w:tc>
        <w:tc>
          <w:tcPr>
            <w:tcW w:w="3068" w:type="dxa"/>
            <w:vAlign w:val="center"/>
          </w:tcPr>
          <w:p>
            <w:pPr>
              <w:pStyle w:val="92"/>
            </w:pPr>
            <w:r>
              <w:rPr>
                <w:rFonts w:hint="eastAsia"/>
              </w:rPr>
              <w:t>总桩数的1%，且不少于3点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Merge w:val="restart"/>
            <w:vAlign w:val="center"/>
          </w:tcPr>
          <w:p>
            <w:pPr>
              <w:pStyle w:val="92"/>
            </w:pPr>
            <w:r>
              <w:rPr>
                <w:rFonts w:hint="eastAsia"/>
              </w:rPr>
              <w:t>有黏结强度的增强体复合地基承载力与变形参数</w:t>
            </w:r>
          </w:p>
        </w:tc>
        <w:tc>
          <w:tcPr>
            <w:tcW w:w="2170" w:type="dxa"/>
            <w:vAlign w:val="center"/>
          </w:tcPr>
          <w:p>
            <w:pPr>
              <w:pStyle w:val="92"/>
            </w:pPr>
            <w:r>
              <w:rPr>
                <w:rFonts w:hint="eastAsia"/>
              </w:rPr>
              <w:t>平板载荷试验</w:t>
            </w:r>
          </w:p>
        </w:tc>
        <w:tc>
          <w:tcPr>
            <w:tcW w:w="3068" w:type="dxa"/>
            <w:vAlign w:val="center"/>
          </w:tcPr>
          <w:p>
            <w:pPr>
              <w:pStyle w:val="92"/>
            </w:pPr>
            <w:r>
              <w:rPr>
                <w:rFonts w:hint="eastAsia"/>
              </w:rPr>
              <w:t>总桩数的0.5%，且不少于3点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Merge w:val="continue"/>
            <w:vAlign w:val="center"/>
          </w:tcPr>
          <w:p>
            <w:pPr>
              <w:pStyle w:val="92"/>
            </w:pPr>
          </w:p>
        </w:tc>
        <w:tc>
          <w:tcPr>
            <w:tcW w:w="2170" w:type="dxa"/>
            <w:vAlign w:val="center"/>
          </w:tcPr>
          <w:p>
            <w:pPr>
              <w:pStyle w:val="92"/>
            </w:pPr>
            <w:r>
              <w:rPr>
                <w:rFonts w:hint="eastAsia"/>
              </w:rPr>
              <w:t>单桩载荷试验</w:t>
            </w:r>
          </w:p>
        </w:tc>
        <w:tc>
          <w:tcPr>
            <w:tcW w:w="3068" w:type="dxa"/>
            <w:vAlign w:val="center"/>
          </w:tcPr>
          <w:p>
            <w:pPr>
              <w:pStyle w:val="92"/>
            </w:pPr>
            <w:r>
              <w:rPr>
                <w:rFonts w:hint="eastAsia"/>
              </w:rPr>
              <w:t>总桩数的0.5%，且不少于3根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pStyle w:val="92"/>
            </w:pPr>
            <w:r>
              <w:rPr>
                <w:rFonts w:hint="eastAsia"/>
              </w:rPr>
              <w:t>岩石地基承载力与变形参数</w:t>
            </w:r>
          </w:p>
        </w:tc>
        <w:tc>
          <w:tcPr>
            <w:tcW w:w="2170" w:type="dxa"/>
            <w:vAlign w:val="center"/>
          </w:tcPr>
          <w:p>
            <w:pPr>
              <w:pStyle w:val="92"/>
            </w:pPr>
            <w:r>
              <w:rPr>
                <w:rFonts w:hint="eastAsia"/>
              </w:rPr>
              <w:t>岩石地基载荷试验</w:t>
            </w:r>
          </w:p>
        </w:tc>
        <w:tc>
          <w:tcPr>
            <w:tcW w:w="3068" w:type="dxa"/>
            <w:vAlign w:val="center"/>
          </w:tcPr>
          <w:p>
            <w:pPr>
              <w:pStyle w:val="92"/>
            </w:pPr>
            <w:r>
              <w:rPr>
                <w:rFonts w:hint="eastAsia"/>
              </w:rPr>
              <w:t>每 500 延米不应少于1个点，且不少于3点</w:t>
            </w:r>
          </w:p>
        </w:tc>
      </w:tr>
    </w:tbl>
    <w:p>
      <w:pPr>
        <w:pStyle w:val="193"/>
        <w:spacing w:line="360" w:lineRule="auto"/>
        <w:ind w:firstLine="422"/>
        <w:jc w:val="center"/>
        <w:rPr>
          <w:b/>
          <w:sz w:val="21"/>
          <w:szCs w:val="21"/>
        </w:rPr>
      </w:pPr>
    </w:p>
    <w:p>
      <w:pPr>
        <w:pStyle w:val="133"/>
        <w:ind w:firstLine="480" w:firstLineChars="200"/>
        <w:textAlignment w:val="auto"/>
        <w:rPr>
          <w:rFonts w:hint="eastAsia" w:eastAsia="宋体" w:cs="Times New Roman"/>
          <w:lang w:eastAsia="zh-CN"/>
        </w:rPr>
      </w:pPr>
      <w:r>
        <w:rPr>
          <w:rFonts w:hint="eastAsia" w:cs="Times New Roman"/>
          <w:kern w:val="0"/>
          <w:szCs w:val="24"/>
          <w:lang w:val="en-US" w:eastAsia="zh-CN"/>
        </w:rPr>
        <w:t>2</w:t>
      </w:r>
      <w:r>
        <w:rPr>
          <w:rFonts w:hint="eastAsia" w:cs="Times New Roman"/>
          <w:kern w:val="0"/>
          <w:szCs w:val="24"/>
        </w:rPr>
        <w:t xml:space="preserve">  </w:t>
      </w:r>
      <w:r>
        <w:rPr>
          <w:rFonts w:cs="Times New Roman"/>
          <w:kern w:val="0"/>
          <w:szCs w:val="24"/>
        </w:rPr>
        <w:t>桩身完整性应满足设计要求，检测数量及检验方法应符合表5.5.2-2的规定</w:t>
      </w:r>
      <w:r>
        <w:rPr>
          <w:rFonts w:hint="eastAsia" w:cs="Times New Roman"/>
          <w:kern w:val="0"/>
          <w:szCs w:val="24"/>
          <w:lang w:eastAsia="zh-CN"/>
        </w:rPr>
        <w:t>；</w:t>
      </w:r>
    </w:p>
    <w:p>
      <w:pPr>
        <w:pStyle w:val="193"/>
        <w:spacing w:line="360" w:lineRule="auto"/>
        <w:ind w:firstLine="422"/>
        <w:jc w:val="center"/>
        <w:rPr>
          <w:b/>
          <w:sz w:val="21"/>
          <w:szCs w:val="21"/>
        </w:rPr>
      </w:pPr>
      <w:r>
        <w:rPr>
          <w:rFonts w:hint="eastAsia"/>
          <w:b/>
          <w:sz w:val="21"/>
          <w:szCs w:val="21"/>
        </w:rPr>
        <w:t>表5.5.</w:t>
      </w:r>
      <w:r>
        <w:rPr>
          <w:b/>
          <w:sz w:val="21"/>
          <w:szCs w:val="21"/>
        </w:rPr>
        <w:t xml:space="preserve">2-2 </w:t>
      </w:r>
      <w:r>
        <w:rPr>
          <w:rFonts w:hint="eastAsia"/>
          <w:b/>
          <w:sz w:val="21"/>
          <w:szCs w:val="21"/>
        </w:rPr>
        <w:t>桩身完整性检测要求</w:t>
      </w:r>
    </w:p>
    <w:tbl>
      <w:tblPr>
        <w:tblStyle w:val="39"/>
        <w:tblW w:w="821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976"/>
        <w:gridCol w:w="2170"/>
        <w:gridCol w:w="30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pStyle w:val="92"/>
            </w:pPr>
            <w:r>
              <w:rPr>
                <w:rFonts w:hint="eastAsia"/>
              </w:rPr>
              <w:t>地基类型及检查项目</w:t>
            </w:r>
          </w:p>
        </w:tc>
        <w:tc>
          <w:tcPr>
            <w:tcW w:w="2170" w:type="dxa"/>
            <w:vAlign w:val="center"/>
          </w:tcPr>
          <w:p>
            <w:pPr>
              <w:pStyle w:val="92"/>
            </w:pPr>
            <w:r>
              <w:rPr>
                <w:rFonts w:hint="eastAsia"/>
              </w:rPr>
              <w:t>检测方法</w:t>
            </w:r>
          </w:p>
        </w:tc>
        <w:tc>
          <w:tcPr>
            <w:tcW w:w="3068" w:type="dxa"/>
            <w:vAlign w:val="center"/>
          </w:tcPr>
          <w:p>
            <w:pPr>
              <w:pStyle w:val="92"/>
            </w:pPr>
            <w:r>
              <w:rPr>
                <w:rFonts w:hint="eastAsia"/>
              </w:rPr>
              <w:t>检测数量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tcPr>
          <w:p>
            <w:pPr>
              <w:pStyle w:val="92"/>
              <w:jc w:val="left"/>
            </w:pPr>
            <w:r>
              <w:rPr>
                <w:rFonts w:hint="eastAsia" w:ascii="宋体" w:hAnsi="Calibri" w:cs="宋体"/>
                <w:kern w:val="0"/>
                <w:szCs w:val="21"/>
              </w:rPr>
              <w:t>检测散体材料复合地基增强体密实度</w:t>
            </w:r>
          </w:p>
        </w:tc>
        <w:tc>
          <w:tcPr>
            <w:tcW w:w="2170" w:type="dxa"/>
          </w:tcPr>
          <w:p>
            <w:pPr>
              <w:pStyle w:val="92"/>
              <w:jc w:val="left"/>
            </w:pPr>
            <w:r>
              <w:rPr>
                <w:rFonts w:hint="eastAsia" w:ascii="宋体" w:hAnsi="Calibri" w:cs="宋体"/>
                <w:kern w:val="0"/>
                <w:szCs w:val="21"/>
              </w:rPr>
              <w:t>标准贯入试验、圆锥动力触探试验</w:t>
            </w:r>
          </w:p>
        </w:tc>
        <w:tc>
          <w:tcPr>
            <w:tcW w:w="3068" w:type="dxa"/>
            <w:vAlign w:val="center"/>
          </w:tcPr>
          <w:p>
            <w:pPr>
              <w:pStyle w:val="92"/>
              <w:jc w:val="left"/>
            </w:pPr>
            <w:r>
              <w:rPr>
                <w:rFonts w:hint="eastAsia"/>
              </w:rPr>
              <w:t>总桩（墩）数的2%，且</w:t>
            </w:r>
            <w:r>
              <w:rPr>
                <w:rFonts w:hint="eastAsia"/>
                <w:lang w:eastAsia="zh-CN"/>
              </w:rPr>
              <w:t>不应</w:t>
            </w:r>
            <w:r>
              <w:rPr>
                <w:rFonts w:hint="eastAsia"/>
              </w:rPr>
              <w:t>少于6根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tcPr>
          <w:p>
            <w:pPr>
              <w:pStyle w:val="92"/>
              <w:jc w:val="left"/>
            </w:pPr>
            <w:r>
              <w:rPr>
                <w:rFonts w:hint="eastAsia" w:ascii="宋体" w:hAnsi="Calibri" w:cs="宋体"/>
                <w:kern w:val="0"/>
                <w:szCs w:val="21"/>
              </w:rPr>
              <w:t>检测水泥搅拌桩、旋喷桩的桩身均匀性或完整性</w:t>
            </w:r>
          </w:p>
        </w:tc>
        <w:tc>
          <w:tcPr>
            <w:tcW w:w="2170" w:type="dxa"/>
          </w:tcPr>
          <w:p>
            <w:pPr>
              <w:autoSpaceDE w:val="0"/>
              <w:autoSpaceDN w:val="0"/>
              <w:adjustRightInd w:val="0"/>
              <w:spacing w:line="240" w:lineRule="auto"/>
              <w:jc w:val="left"/>
              <w:textAlignment w:val="auto"/>
            </w:pPr>
            <w:r>
              <w:rPr>
                <w:rFonts w:hint="eastAsia" w:ascii="宋体" w:hAnsi="Calibri" w:cs="宋体"/>
                <w:kern w:val="0"/>
                <w:sz w:val="21"/>
                <w:szCs w:val="21"/>
              </w:rPr>
              <w:t>钻芯法、标准贯入试验、圆锥动力触探试验</w:t>
            </w:r>
          </w:p>
        </w:tc>
        <w:tc>
          <w:tcPr>
            <w:tcW w:w="3068" w:type="dxa"/>
            <w:vAlign w:val="center"/>
          </w:tcPr>
          <w:p>
            <w:pPr>
              <w:pStyle w:val="92"/>
              <w:jc w:val="left"/>
            </w:pPr>
            <w:r>
              <w:rPr>
                <w:rFonts w:hint="eastAsia"/>
              </w:rPr>
              <w:t>当采用钻芯法时，抽检数量不应少于总桩数的0.5%，且</w:t>
            </w:r>
            <w:r>
              <w:rPr>
                <w:rFonts w:hint="eastAsia"/>
                <w:lang w:eastAsia="zh-CN"/>
              </w:rPr>
              <w:t>不应</w:t>
            </w:r>
            <w:r>
              <w:rPr>
                <w:rFonts w:hint="eastAsia"/>
              </w:rPr>
              <w:t>少于3根。当采用</w:t>
            </w:r>
            <w:r>
              <w:rPr>
                <w:rFonts w:hint="eastAsia" w:ascii="宋体" w:hAnsi="Calibri" w:cs="宋体"/>
                <w:kern w:val="0"/>
                <w:szCs w:val="21"/>
              </w:rPr>
              <w:t>标准贯入试验、圆锥动力触探试验时，</w:t>
            </w:r>
            <w:r>
              <w:rPr>
                <w:rFonts w:hint="eastAsia"/>
              </w:rPr>
              <w:t>总桩数的2%，且</w:t>
            </w:r>
            <w:r>
              <w:rPr>
                <w:rFonts w:hint="eastAsia"/>
                <w:lang w:eastAsia="zh-CN"/>
              </w:rPr>
              <w:t>不应</w:t>
            </w:r>
            <w:r>
              <w:rPr>
                <w:rFonts w:hint="eastAsia"/>
              </w:rPr>
              <w:t>少于6根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tcPr>
          <w:p>
            <w:pPr>
              <w:pStyle w:val="92"/>
              <w:jc w:val="left"/>
            </w:pPr>
            <w:r>
              <w:rPr>
                <w:rFonts w:hint="eastAsia" w:ascii="宋体" w:hAnsi="Calibri" w:cs="宋体"/>
                <w:kern w:val="0"/>
                <w:szCs w:val="21"/>
              </w:rPr>
              <w:t>检测水泥粉煤灰碎石桩、素混凝土桩的桩身完整性</w:t>
            </w:r>
          </w:p>
        </w:tc>
        <w:tc>
          <w:tcPr>
            <w:tcW w:w="2170" w:type="dxa"/>
          </w:tcPr>
          <w:p>
            <w:pPr>
              <w:autoSpaceDE w:val="0"/>
              <w:autoSpaceDN w:val="0"/>
              <w:adjustRightInd w:val="0"/>
              <w:spacing w:line="240" w:lineRule="auto"/>
              <w:jc w:val="left"/>
              <w:textAlignment w:val="auto"/>
            </w:pPr>
            <w:r>
              <w:rPr>
                <w:rFonts w:hint="eastAsia" w:ascii="宋体" w:hAnsi="Calibri" w:cs="宋体"/>
                <w:kern w:val="0"/>
                <w:sz w:val="21"/>
                <w:szCs w:val="21"/>
              </w:rPr>
              <w:t>低应变法、钻芯法</w:t>
            </w:r>
          </w:p>
        </w:tc>
        <w:tc>
          <w:tcPr>
            <w:tcW w:w="3068" w:type="dxa"/>
            <w:vAlign w:val="center"/>
          </w:tcPr>
          <w:p>
            <w:pPr>
              <w:pStyle w:val="92"/>
              <w:jc w:val="left"/>
            </w:pPr>
            <w:r>
              <w:rPr>
                <w:rFonts w:hint="eastAsia"/>
              </w:rPr>
              <w:t>当采用低应变法检测时，检测桩数不应少于总桩数的10%，且</w:t>
            </w:r>
            <w:r>
              <w:rPr>
                <w:rFonts w:hint="eastAsia"/>
                <w:lang w:eastAsia="zh-CN"/>
              </w:rPr>
              <w:t>不应</w:t>
            </w:r>
            <w:r>
              <w:rPr>
                <w:rFonts w:hint="eastAsia"/>
              </w:rPr>
              <w:t>少于10根；当采用钻芯法时，抽检数量不应少于总桩数的0.5%，且</w:t>
            </w:r>
            <w:r>
              <w:rPr>
                <w:rFonts w:hint="eastAsia"/>
                <w:lang w:eastAsia="zh-CN"/>
              </w:rPr>
              <w:t>不应</w:t>
            </w:r>
            <w:r>
              <w:rPr>
                <w:rFonts w:hint="eastAsia"/>
              </w:rPr>
              <w:t>少于3根。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tcPr>
          <w:p>
            <w:pPr>
              <w:pStyle w:val="92"/>
              <w:jc w:val="left"/>
            </w:pPr>
            <w:r>
              <w:rPr>
                <w:rFonts w:hint="eastAsia" w:ascii="宋体" w:hAnsi="Calibri" w:cs="宋体"/>
                <w:kern w:val="0"/>
                <w:szCs w:val="21"/>
              </w:rPr>
              <w:t>检测强夯置换处理地基的墩体质量和着底情况</w:t>
            </w:r>
          </w:p>
        </w:tc>
        <w:tc>
          <w:tcPr>
            <w:tcW w:w="2170" w:type="dxa"/>
          </w:tcPr>
          <w:p>
            <w:pPr>
              <w:pStyle w:val="92"/>
              <w:jc w:val="left"/>
            </w:pPr>
            <w:r>
              <w:rPr>
                <w:rFonts w:hint="eastAsia" w:ascii="宋体" w:hAnsi="Calibri" w:cs="宋体"/>
                <w:kern w:val="0"/>
                <w:szCs w:val="21"/>
              </w:rPr>
              <w:t>超重型或重型圆锥动力触探试验</w:t>
            </w:r>
          </w:p>
        </w:tc>
        <w:tc>
          <w:tcPr>
            <w:tcW w:w="3068" w:type="dxa"/>
            <w:vAlign w:val="center"/>
          </w:tcPr>
          <w:p>
            <w:pPr>
              <w:pStyle w:val="92"/>
              <w:jc w:val="left"/>
            </w:pPr>
            <w:r>
              <w:rPr>
                <w:rFonts w:hint="eastAsia"/>
              </w:rPr>
              <w:t>不应少于总墩数的3%，且不少于3点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2976" w:type="dxa"/>
            <w:vAlign w:val="center"/>
          </w:tcPr>
          <w:p>
            <w:pPr>
              <w:autoSpaceDE w:val="0"/>
              <w:autoSpaceDN w:val="0"/>
              <w:adjustRightInd w:val="0"/>
              <w:spacing w:line="240" w:lineRule="auto"/>
              <w:jc w:val="left"/>
              <w:textAlignment w:val="auto"/>
            </w:pPr>
            <w:r>
              <w:rPr>
                <w:rFonts w:hint="eastAsia" w:ascii="宋体" w:hAnsi="Calibri" w:cs="宋体"/>
                <w:kern w:val="0"/>
                <w:sz w:val="21"/>
                <w:szCs w:val="21"/>
              </w:rPr>
              <w:t>检测复合地基中的混凝土灌注桩、预制桩的桩身完整性</w:t>
            </w:r>
          </w:p>
        </w:tc>
        <w:tc>
          <w:tcPr>
            <w:tcW w:w="2170" w:type="dxa"/>
            <w:vAlign w:val="center"/>
          </w:tcPr>
          <w:p>
            <w:pPr>
              <w:autoSpaceDE w:val="0"/>
              <w:autoSpaceDN w:val="0"/>
              <w:adjustRightInd w:val="0"/>
              <w:spacing w:line="240" w:lineRule="auto"/>
              <w:jc w:val="left"/>
              <w:textAlignment w:val="auto"/>
            </w:pPr>
            <w:r>
              <w:rPr>
                <w:rFonts w:hint="eastAsia" w:ascii="宋体" w:hAnsi="Calibri" w:cs="宋体"/>
                <w:kern w:val="0"/>
                <w:sz w:val="21"/>
                <w:szCs w:val="21"/>
              </w:rPr>
              <w:t>低应变法、高应变法、声波透射法、钻芯法、孔内摄像法</w:t>
            </w:r>
          </w:p>
        </w:tc>
        <w:tc>
          <w:tcPr>
            <w:tcW w:w="3068" w:type="dxa"/>
            <w:vAlign w:val="center"/>
          </w:tcPr>
          <w:p>
            <w:pPr>
              <w:pStyle w:val="92"/>
              <w:jc w:val="left"/>
            </w:pPr>
            <w:r>
              <w:rPr>
                <w:rFonts w:hint="eastAsia"/>
              </w:rPr>
              <w:t>按广东省标准《建筑地基基础检测规范》</w:t>
            </w:r>
            <w:r>
              <w:t>D</w:t>
            </w:r>
            <w:r>
              <w:rPr>
                <w:spacing w:val="-3"/>
              </w:rPr>
              <w:t>B</w:t>
            </w:r>
            <w:r>
              <w:t>J 1</w:t>
            </w:r>
            <w:r>
              <w:rPr>
                <w:spacing w:val="-1"/>
              </w:rPr>
              <w:t>5</w:t>
            </w:r>
            <w:r>
              <w:rPr>
                <w:spacing w:val="-3"/>
              </w:rPr>
              <w:t>-6</w:t>
            </w:r>
            <w:r>
              <w:t>0</w:t>
            </w:r>
            <w:r>
              <w:rPr>
                <w:rFonts w:hint="eastAsia"/>
              </w:rPr>
              <w:t>第3.3 节的有关规定执行</w:t>
            </w:r>
          </w:p>
        </w:tc>
      </w:tr>
    </w:tbl>
    <w:p>
      <w:pPr>
        <w:pStyle w:val="193"/>
        <w:spacing w:line="360" w:lineRule="auto"/>
        <w:ind w:firstLine="422"/>
        <w:jc w:val="center"/>
        <w:rPr>
          <w:b/>
          <w:sz w:val="21"/>
          <w:szCs w:val="21"/>
          <w:shd w:val="pct10" w:color="auto" w:fill="FFFFFF"/>
        </w:rPr>
      </w:pPr>
    </w:p>
    <w:p>
      <w:pPr>
        <w:pStyle w:val="133"/>
        <w:ind w:firstLine="480" w:firstLineChars="200"/>
        <w:textAlignment w:val="auto"/>
      </w:pPr>
      <w:r>
        <w:rPr>
          <w:rFonts w:hint="eastAsia"/>
          <w:lang w:val="en-US" w:eastAsia="zh-CN"/>
        </w:rPr>
        <w:t>3</w:t>
      </w:r>
      <w:r>
        <w:rPr>
          <w:rFonts w:hint="eastAsia"/>
        </w:rPr>
        <w:t xml:space="preserve">  换填垫层</w:t>
      </w:r>
      <w:r>
        <w:rPr>
          <w:rFonts w:hint="eastAsia"/>
          <w:lang w:val="en-US" w:eastAsia="zh-CN"/>
        </w:rPr>
        <w:t>或</w:t>
      </w:r>
      <w:r>
        <w:rPr>
          <w:rFonts w:hint="eastAsia"/>
        </w:rPr>
        <w:t>压实填土地基</w:t>
      </w:r>
      <w:r>
        <w:rPr>
          <w:rFonts w:hint="eastAsia"/>
          <w:lang w:val="en-US" w:eastAsia="zh-CN"/>
        </w:rPr>
        <w:t>的</w:t>
      </w:r>
      <w:r>
        <w:rPr>
          <w:rFonts w:hint="eastAsia"/>
        </w:rPr>
        <w:t>压实系数、</w:t>
      </w:r>
      <w:r>
        <w:rPr>
          <w:rFonts w:hint="eastAsia"/>
          <w:lang w:val="en-US" w:eastAsia="zh-CN"/>
        </w:rPr>
        <w:t>垫层</w:t>
      </w:r>
      <w:r>
        <w:rPr>
          <w:rFonts w:hint="eastAsia"/>
        </w:rPr>
        <w:t>厚度</w:t>
      </w:r>
      <w:r>
        <w:rPr>
          <w:rFonts w:hint="eastAsia"/>
          <w:lang w:val="en-US" w:eastAsia="zh-CN"/>
        </w:rPr>
        <w:t>应</w:t>
      </w:r>
      <w:r>
        <w:rPr>
          <w:rFonts w:hint="eastAsia"/>
        </w:rPr>
        <w:t>满足要求。</w:t>
      </w:r>
    </w:p>
    <w:p>
      <w:pPr>
        <w:pStyle w:val="133"/>
        <w:ind w:firstLine="480" w:firstLineChars="200"/>
        <w:textAlignment w:val="auto"/>
        <w:rPr>
          <w:highlight w:val="cyan"/>
        </w:rPr>
      </w:pPr>
      <w:r>
        <w:rPr>
          <w:rFonts w:hint="eastAsia"/>
        </w:rPr>
        <w:t xml:space="preserve">检测数量：每 </w:t>
      </w:r>
      <w:r>
        <w:t>10</w:t>
      </w:r>
      <w:r>
        <w:rPr>
          <w:rFonts w:hint="eastAsia"/>
        </w:rPr>
        <w:t>0 延米不少于 1个点。</w:t>
      </w:r>
    </w:p>
    <w:p>
      <w:pPr>
        <w:pStyle w:val="133"/>
        <w:ind w:firstLine="480" w:firstLineChars="200"/>
        <w:textAlignment w:val="auto"/>
      </w:pPr>
      <w:r>
        <w:rPr>
          <w:rFonts w:hint="eastAsia"/>
        </w:rPr>
        <w:t>检查方法：环刀法，灌砂(水</w:t>
      </w:r>
      <w:r>
        <w:t>)</w:t>
      </w:r>
      <w:r>
        <w:rPr>
          <w:rFonts w:hint="eastAsia"/>
        </w:rPr>
        <w:t>法，击实试验，按现行国家标准《土工试验方法标准》G</w:t>
      </w:r>
      <w:r>
        <w:t>B/T 50123</w:t>
      </w:r>
      <w:r>
        <w:rPr>
          <w:rFonts w:hint="eastAsia"/>
        </w:rPr>
        <w:t>的有关规定执行。</w:t>
      </w:r>
    </w:p>
    <w:p>
      <w:pPr>
        <w:numPr>
          <w:ilvl w:val="2"/>
          <w:numId w:val="9"/>
        </w:numPr>
      </w:pPr>
      <w:bookmarkStart w:id="203" w:name="_Toc25698"/>
      <w:bookmarkStart w:id="204" w:name="_Toc18899"/>
      <w:r>
        <w:rPr>
          <w:rFonts w:hint="eastAsia"/>
        </w:rPr>
        <w:t>基坑回填的质量检验应符合设计、现行国家标准《建筑地基基础工程施工质量验收标准》GB 50202及广东省标准《建筑地基基础检测规范》DBJ 15-60的规定，并应符合下列规定：</w:t>
      </w:r>
    </w:p>
    <w:bookmarkEnd w:id="203"/>
    <w:bookmarkEnd w:id="204"/>
    <w:p>
      <w:pPr>
        <w:pStyle w:val="133"/>
        <w:ind w:firstLine="480" w:firstLineChars="200"/>
        <w:textAlignment w:val="auto"/>
        <w:rPr>
          <w:rFonts w:hint="eastAsia" w:eastAsia="宋体"/>
          <w:lang w:val="en-US" w:eastAsia="zh-CN"/>
        </w:rPr>
      </w:pPr>
      <w:r>
        <w:rPr>
          <w:rFonts w:hint="eastAsia"/>
        </w:rPr>
        <w:t>1  回填材料应符合设计要求；回填土中不应含有淤泥、腐殖土、有机物、砖、石、木块等杂物</w:t>
      </w:r>
      <w:r>
        <w:rPr>
          <w:rFonts w:hint="eastAsia"/>
          <w:lang w:eastAsia="zh-CN"/>
        </w:rPr>
        <w:t>；</w:t>
      </w:r>
    </w:p>
    <w:p>
      <w:pPr>
        <w:pStyle w:val="133"/>
        <w:ind w:firstLine="480" w:firstLineChars="200"/>
        <w:textAlignment w:val="auto"/>
        <w:rPr>
          <w:rFonts w:hint="eastAsia"/>
        </w:rPr>
      </w:pPr>
      <w:r>
        <w:rPr>
          <w:rFonts w:hint="eastAsia"/>
        </w:rPr>
        <w:t>检验方法：观察，检查施工记录、检测报告。</w:t>
      </w:r>
    </w:p>
    <w:p>
      <w:pPr>
        <w:pStyle w:val="133"/>
        <w:ind w:firstLine="480" w:firstLineChars="200"/>
        <w:textAlignment w:val="auto"/>
        <w:rPr>
          <w:rFonts w:hint="eastAsia"/>
          <w:lang w:val="en-US" w:eastAsia="zh-CN"/>
        </w:rPr>
      </w:pPr>
      <w:r>
        <w:rPr>
          <w:rFonts w:hint="eastAsia"/>
          <w:lang w:val="en-US" w:eastAsia="zh-CN"/>
        </w:rPr>
        <w:t>2  预拌流态固化土中的固化剂应满足要求；</w:t>
      </w:r>
    </w:p>
    <w:p>
      <w:pPr>
        <w:pStyle w:val="133"/>
        <w:ind w:firstLine="480" w:firstLineChars="200"/>
        <w:textAlignment w:val="auto"/>
        <w:rPr>
          <w:rFonts w:hint="eastAsia"/>
          <w:lang w:val="en-US" w:eastAsia="zh-CN"/>
        </w:rPr>
      </w:pPr>
      <w:r>
        <w:rPr>
          <w:rFonts w:hint="eastAsia"/>
        </w:rPr>
        <w:t>检测数量</w:t>
      </w:r>
      <w:r>
        <w:rPr>
          <w:rFonts w:hint="eastAsia"/>
          <w:lang w:eastAsia="zh-CN"/>
        </w:rPr>
        <w:t>：同一生产厂家、同一批号且连续进场的固化剂，每</w:t>
      </w:r>
      <w:r>
        <w:rPr>
          <w:rFonts w:hint="eastAsia"/>
          <w:lang w:val="en-US" w:eastAsia="zh-CN"/>
        </w:rPr>
        <w:t>500t为一批进行抽样，当不足上述数量时，按一批进行抽样。每批抽样不少于1次；平行检验或见证取样检测，抽检次数为施工单位抽检次数的20%，但不少于1次。</w:t>
      </w:r>
    </w:p>
    <w:p>
      <w:pPr>
        <w:pStyle w:val="133"/>
        <w:ind w:firstLine="480" w:firstLineChars="200"/>
        <w:textAlignment w:val="auto"/>
        <w:rPr>
          <w:rFonts w:hint="default"/>
          <w:lang w:val="en-US" w:eastAsia="zh-CN"/>
        </w:rPr>
      </w:pPr>
      <w:r>
        <w:rPr>
          <w:rFonts w:hint="eastAsia"/>
          <w:lang w:val="en-US" w:eastAsia="zh-CN"/>
        </w:rPr>
        <w:t>检验方法：应进行强度、凝结时间试验；对强度、凝结时间进行平行检验或见证取样检测。</w:t>
      </w:r>
    </w:p>
    <w:p>
      <w:pPr>
        <w:pStyle w:val="133"/>
        <w:ind w:firstLine="480" w:firstLineChars="200"/>
        <w:textAlignment w:val="auto"/>
        <w:rPr>
          <w:rFonts w:hint="eastAsia" w:eastAsia="宋体"/>
          <w:lang w:eastAsia="zh-CN"/>
        </w:rPr>
      </w:pPr>
      <w:r>
        <w:rPr>
          <w:rFonts w:hint="eastAsia"/>
          <w:lang w:val="en-US" w:eastAsia="zh-CN"/>
        </w:rPr>
        <w:t>3</w:t>
      </w:r>
      <w:r>
        <w:rPr>
          <w:rFonts w:hint="eastAsia"/>
        </w:rPr>
        <w:t xml:space="preserve">  回填土的标高、边坡坡度、表面平整度等应</w:t>
      </w:r>
      <w:r>
        <w:rPr>
          <w:rFonts w:hint="eastAsia"/>
          <w:lang w:eastAsia="zh-CN"/>
        </w:rPr>
        <w:t>满足</w:t>
      </w:r>
      <w:r>
        <w:rPr>
          <w:rFonts w:hint="eastAsia"/>
        </w:rPr>
        <w:t>设计要求</w:t>
      </w:r>
      <w:r>
        <w:rPr>
          <w:rFonts w:hint="eastAsia"/>
          <w:lang w:eastAsia="zh-CN"/>
        </w:rPr>
        <w:t>；</w:t>
      </w:r>
    </w:p>
    <w:p>
      <w:pPr>
        <w:pStyle w:val="133"/>
        <w:ind w:firstLine="480" w:firstLineChars="200"/>
        <w:textAlignment w:val="auto"/>
      </w:pPr>
      <w:r>
        <w:rPr>
          <w:rFonts w:hint="eastAsia"/>
        </w:rPr>
        <w:t>检验方法：观察，检查施工记录。</w:t>
      </w:r>
    </w:p>
    <w:p>
      <w:pPr>
        <w:pStyle w:val="133"/>
        <w:ind w:firstLine="480" w:firstLineChars="200"/>
        <w:textAlignment w:val="auto"/>
      </w:pPr>
      <w:r>
        <w:rPr>
          <w:rFonts w:hint="eastAsia"/>
          <w:bCs/>
          <w:lang w:val="en-US" w:eastAsia="zh-CN"/>
        </w:rPr>
        <w:t>4</w:t>
      </w:r>
      <w:r>
        <w:rPr>
          <w:rFonts w:hint="eastAsia"/>
          <w:bCs/>
        </w:rPr>
        <w:t xml:space="preserve">  回</w:t>
      </w:r>
      <w:r>
        <w:rPr>
          <w:rFonts w:hint="eastAsia"/>
        </w:rPr>
        <w:t>填土压实系数应</w:t>
      </w:r>
      <w:r>
        <w:rPr>
          <w:rFonts w:hint="eastAsia"/>
          <w:lang w:eastAsia="zh-CN"/>
        </w:rPr>
        <w:t>满足</w:t>
      </w:r>
      <w:r>
        <w:rPr>
          <w:rFonts w:hint="eastAsia"/>
        </w:rPr>
        <w:t>设计要求，检测数量及检验方法应符合表5.5.</w:t>
      </w:r>
      <w:r>
        <w:rPr>
          <w:rFonts w:hint="eastAsia"/>
          <w:lang w:val="en-US" w:eastAsia="zh-CN"/>
        </w:rPr>
        <w:t>3</w:t>
      </w:r>
      <w:r>
        <w:rPr>
          <w:rFonts w:hint="eastAsia"/>
        </w:rPr>
        <w:t>的规定。</w:t>
      </w:r>
    </w:p>
    <w:p>
      <w:pPr>
        <w:pStyle w:val="193"/>
        <w:spacing w:line="360" w:lineRule="auto"/>
        <w:jc w:val="center"/>
        <w:rPr>
          <w:b/>
          <w:sz w:val="21"/>
          <w:szCs w:val="21"/>
        </w:rPr>
      </w:pPr>
      <w:r>
        <w:rPr>
          <w:b/>
          <w:sz w:val="21"/>
          <w:szCs w:val="21"/>
        </w:rPr>
        <w:t>表</w:t>
      </w:r>
      <w:r>
        <w:rPr>
          <w:rFonts w:hint="eastAsia"/>
          <w:b/>
          <w:sz w:val="21"/>
          <w:szCs w:val="21"/>
        </w:rPr>
        <w:t>5.5.</w:t>
      </w:r>
      <w:r>
        <w:rPr>
          <w:rFonts w:hint="eastAsia"/>
          <w:b/>
          <w:sz w:val="21"/>
          <w:szCs w:val="21"/>
          <w:lang w:val="en-US" w:eastAsia="zh-CN"/>
        </w:rPr>
        <w:t>3</w:t>
      </w:r>
      <w:r>
        <w:rPr>
          <w:b/>
          <w:sz w:val="21"/>
          <w:szCs w:val="21"/>
        </w:rPr>
        <w:t xml:space="preserve"> </w:t>
      </w:r>
      <w:r>
        <w:rPr>
          <w:rFonts w:hint="eastAsia"/>
          <w:b/>
          <w:sz w:val="21"/>
          <w:szCs w:val="21"/>
        </w:rPr>
        <w:t xml:space="preserve"> 综合管廊回填土压实系数</w:t>
      </w:r>
    </w:p>
    <w:tbl>
      <w:tblPr>
        <w:tblStyle w:val="39"/>
        <w:tblW w:w="720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
      <w:tblGrid>
        <w:gridCol w:w="482"/>
        <w:gridCol w:w="2172"/>
        <w:gridCol w:w="954"/>
        <w:gridCol w:w="1584"/>
        <w:gridCol w:w="1059"/>
        <w:gridCol w:w="95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57" w:type="dxa"/>
            <w:bottom w:w="0" w:type="dxa"/>
            <w:right w:w="57" w:type="dxa"/>
          </w:tblCellMar>
        </w:tblPrEx>
        <w:trPr>
          <w:trHeight w:val="397" w:hRule="atLeast"/>
          <w:jc w:val="center"/>
        </w:trPr>
        <w:tc>
          <w:tcPr>
            <w:tcW w:w="2654" w:type="dxa"/>
            <w:gridSpan w:val="2"/>
            <w:vMerge w:val="restart"/>
            <w:vAlign w:val="center"/>
          </w:tcPr>
          <w:p>
            <w:pPr>
              <w:widowControl/>
              <w:adjustRightInd w:val="0"/>
              <w:snapToGrid w:val="0"/>
              <w:spacing w:line="240" w:lineRule="auto"/>
              <w:jc w:val="center"/>
              <w:rPr>
                <w:kern w:val="0"/>
                <w:sz w:val="21"/>
              </w:rPr>
            </w:pPr>
            <w:r>
              <w:rPr>
                <w:kern w:val="0"/>
                <w:sz w:val="21"/>
              </w:rPr>
              <w:t>检查项目</w:t>
            </w:r>
          </w:p>
        </w:tc>
        <w:tc>
          <w:tcPr>
            <w:tcW w:w="954" w:type="dxa"/>
            <w:vMerge w:val="restart"/>
            <w:vAlign w:val="center"/>
          </w:tcPr>
          <w:p>
            <w:pPr>
              <w:widowControl/>
              <w:adjustRightInd w:val="0"/>
              <w:snapToGrid w:val="0"/>
              <w:spacing w:line="240" w:lineRule="auto"/>
              <w:jc w:val="center"/>
              <w:rPr>
                <w:kern w:val="0"/>
                <w:sz w:val="21"/>
              </w:rPr>
            </w:pPr>
            <w:r>
              <w:rPr>
                <w:rFonts w:hint="eastAsia"/>
                <w:kern w:val="0"/>
                <w:sz w:val="21"/>
              </w:rPr>
              <w:t>压实系数</w:t>
            </w:r>
          </w:p>
        </w:tc>
        <w:tc>
          <w:tcPr>
            <w:tcW w:w="2643" w:type="dxa"/>
            <w:gridSpan w:val="2"/>
            <w:vAlign w:val="center"/>
          </w:tcPr>
          <w:p>
            <w:pPr>
              <w:widowControl/>
              <w:adjustRightInd w:val="0"/>
              <w:snapToGrid w:val="0"/>
              <w:spacing w:line="240" w:lineRule="auto"/>
              <w:jc w:val="center"/>
              <w:rPr>
                <w:kern w:val="0"/>
                <w:sz w:val="21"/>
              </w:rPr>
            </w:pPr>
            <w:r>
              <w:rPr>
                <w:kern w:val="0"/>
                <w:sz w:val="21"/>
              </w:rPr>
              <w:t>检查</w:t>
            </w:r>
            <w:r>
              <w:rPr>
                <w:rFonts w:hint="eastAsia"/>
                <w:kern w:val="0"/>
                <w:sz w:val="21"/>
              </w:rPr>
              <w:t>频率</w:t>
            </w:r>
          </w:p>
        </w:tc>
        <w:tc>
          <w:tcPr>
            <w:tcW w:w="954" w:type="dxa"/>
            <w:vMerge w:val="restart"/>
            <w:vAlign w:val="center"/>
          </w:tcPr>
          <w:p>
            <w:pPr>
              <w:widowControl/>
              <w:adjustRightInd w:val="0"/>
              <w:snapToGrid w:val="0"/>
              <w:spacing w:line="240" w:lineRule="auto"/>
              <w:jc w:val="center"/>
              <w:rPr>
                <w:kern w:val="0"/>
                <w:sz w:val="21"/>
              </w:rPr>
            </w:pPr>
            <w:r>
              <w:rPr>
                <w:kern w:val="0"/>
                <w:sz w:val="21"/>
              </w:rPr>
              <w:t>检验方法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57" w:type="dxa"/>
            <w:bottom w:w="0" w:type="dxa"/>
            <w:right w:w="57" w:type="dxa"/>
          </w:tblCellMar>
        </w:tblPrEx>
        <w:trPr>
          <w:trHeight w:val="397" w:hRule="atLeast"/>
          <w:jc w:val="center"/>
        </w:trPr>
        <w:tc>
          <w:tcPr>
            <w:tcW w:w="2654" w:type="dxa"/>
            <w:gridSpan w:val="2"/>
            <w:vMerge w:val="continue"/>
            <w:vAlign w:val="center"/>
          </w:tcPr>
          <w:p>
            <w:pPr>
              <w:widowControl/>
              <w:adjustRightInd w:val="0"/>
              <w:snapToGrid w:val="0"/>
              <w:spacing w:line="240" w:lineRule="auto"/>
              <w:jc w:val="center"/>
              <w:rPr>
                <w:kern w:val="0"/>
                <w:sz w:val="21"/>
              </w:rPr>
            </w:pPr>
          </w:p>
        </w:tc>
        <w:tc>
          <w:tcPr>
            <w:tcW w:w="954" w:type="dxa"/>
            <w:vMerge w:val="continue"/>
            <w:vAlign w:val="center"/>
          </w:tcPr>
          <w:p>
            <w:pPr>
              <w:widowControl/>
              <w:adjustRightInd w:val="0"/>
              <w:snapToGrid w:val="0"/>
              <w:spacing w:line="240" w:lineRule="auto"/>
              <w:jc w:val="center"/>
              <w:rPr>
                <w:kern w:val="0"/>
                <w:sz w:val="21"/>
              </w:rPr>
            </w:pPr>
          </w:p>
        </w:tc>
        <w:tc>
          <w:tcPr>
            <w:tcW w:w="1584" w:type="dxa"/>
            <w:tcBorders>
              <w:right w:val="single" w:color="auto" w:sz="4" w:space="0"/>
            </w:tcBorders>
            <w:vAlign w:val="center"/>
          </w:tcPr>
          <w:p>
            <w:pPr>
              <w:widowControl/>
              <w:adjustRightInd w:val="0"/>
              <w:snapToGrid w:val="0"/>
              <w:spacing w:line="240" w:lineRule="auto"/>
              <w:jc w:val="center"/>
              <w:rPr>
                <w:kern w:val="0"/>
                <w:sz w:val="21"/>
              </w:rPr>
            </w:pPr>
            <w:r>
              <w:rPr>
                <w:kern w:val="0"/>
                <w:sz w:val="21"/>
              </w:rPr>
              <w:t>范围</w:t>
            </w:r>
          </w:p>
        </w:tc>
        <w:tc>
          <w:tcPr>
            <w:tcW w:w="1059" w:type="dxa"/>
            <w:tcBorders>
              <w:left w:val="single" w:color="auto" w:sz="4" w:space="0"/>
              <w:right w:val="single" w:color="auto" w:sz="4" w:space="0"/>
            </w:tcBorders>
            <w:vAlign w:val="center"/>
          </w:tcPr>
          <w:p>
            <w:pPr>
              <w:widowControl/>
              <w:adjustRightInd w:val="0"/>
              <w:snapToGrid w:val="0"/>
              <w:spacing w:line="240" w:lineRule="auto"/>
              <w:jc w:val="center"/>
              <w:rPr>
                <w:kern w:val="0"/>
                <w:sz w:val="21"/>
              </w:rPr>
            </w:pPr>
            <w:r>
              <w:rPr>
                <w:rFonts w:hint="eastAsia"/>
                <w:kern w:val="0"/>
                <w:sz w:val="21"/>
              </w:rPr>
              <w:t>组</w:t>
            </w:r>
            <w:r>
              <w:rPr>
                <w:kern w:val="0"/>
                <w:sz w:val="21"/>
              </w:rPr>
              <w:t>数</w:t>
            </w:r>
          </w:p>
        </w:tc>
        <w:tc>
          <w:tcPr>
            <w:tcW w:w="954" w:type="dxa"/>
            <w:vMerge w:val="continue"/>
            <w:tcBorders>
              <w:left w:val="single" w:color="auto" w:sz="4" w:space="0"/>
            </w:tcBorders>
            <w:vAlign w:val="center"/>
          </w:tcPr>
          <w:p>
            <w:pPr>
              <w:widowControl/>
              <w:adjustRightInd w:val="0"/>
              <w:snapToGrid w:val="0"/>
              <w:spacing w:line="240" w:lineRule="auto"/>
              <w:jc w:val="center"/>
              <w:rPr>
                <w:kern w:val="0"/>
                <w:sz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57" w:type="dxa"/>
            <w:bottom w:w="0" w:type="dxa"/>
            <w:right w:w="57" w:type="dxa"/>
          </w:tblCellMar>
        </w:tblPrEx>
        <w:trPr>
          <w:trHeight w:val="397" w:hRule="atLeast"/>
          <w:jc w:val="center"/>
        </w:trPr>
        <w:tc>
          <w:tcPr>
            <w:tcW w:w="482" w:type="dxa"/>
            <w:vAlign w:val="center"/>
          </w:tcPr>
          <w:p>
            <w:pPr>
              <w:widowControl/>
              <w:adjustRightInd w:val="0"/>
              <w:snapToGrid w:val="0"/>
              <w:spacing w:line="240" w:lineRule="auto"/>
              <w:jc w:val="center"/>
              <w:rPr>
                <w:kern w:val="0"/>
                <w:sz w:val="21"/>
              </w:rPr>
            </w:pPr>
            <w:r>
              <w:rPr>
                <w:kern w:val="0"/>
                <w:sz w:val="21"/>
              </w:rPr>
              <w:t>1</w:t>
            </w:r>
          </w:p>
        </w:tc>
        <w:tc>
          <w:tcPr>
            <w:tcW w:w="2172" w:type="dxa"/>
            <w:vAlign w:val="center"/>
          </w:tcPr>
          <w:p>
            <w:pPr>
              <w:widowControl/>
              <w:adjustRightInd w:val="0"/>
              <w:snapToGrid w:val="0"/>
              <w:spacing w:line="240" w:lineRule="auto"/>
              <w:jc w:val="center"/>
              <w:rPr>
                <w:kern w:val="0"/>
                <w:sz w:val="21"/>
              </w:rPr>
            </w:pPr>
            <w:r>
              <w:rPr>
                <w:rFonts w:hint="eastAsia"/>
                <w:kern w:val="0"/>
                <w:sz w:val="21"/>
              </w:rPr>
              <w:t>非道路或其他构筑物下</w:t>
            </w:r>
          </w:p>
        </w:tc>
        <w:tc>
          <w:tcPr>
            <w:tcW w:w="954" w:type="dxa"/>
            <w:vAlign w:val="center"/>
          </w:tcPr>
          <w:p>
            <w:pPr>
              <w:widowControl/>
              <w:adjustRightInd w:val="0"/>
              <w:snapToGrid w:val="0"/>
              <w:spacing w:line="240" w:lineRule="auto"/>
              <w:jc w:val="center"/>
              <w:rPr>
                <w:kern w:val="0"/>
                <w:sz w:val="21"/>
              </w:rPr>
            </w:pPr>
            <w:r>
              <w:rPr>
                <w:rFonts w:hint="eastAsia"/>
                <w:kern w:val="0"/>
                <w:sz w:val="21"/>
              </w:rPr>
              <w:t>≥0.90</w:t>
            </w:r>
          </w:p>
        </w:tc>
        <w:tc>
          <w:tcPr>
            <w:tcW w:w="1584" w:type="dxa"/>
            <w:vMerge w:val="restart"/>
            <w:tcBorders>
              <w:right w:val="single" w:color="auto" w:sz="4" w:space="0"/>
            </w:tcBorders>
            <w:vAlign w:val="center"/>
          </w:tcPr>
          <w:p>
            <w:pPr>
              <w:adjustRightInd w:val="0"/>
              <w:snapToGrid w:val="0"/>
              <w:spacing w:line="240" w:lineRule="auto"/>
              <w:rPr>
                <w:kern w:val="0"/>
                <w:sz w:val="21"/>
              </w:rPr>
            </w:pPr>
            <w:r>
              <w:rPr>
                <w:rFonts w:hint="eastAsia"/>
                <w:kern w:val="0"/>
                <w:sz w:val="21"/>
              </w:rPr>
              <w:t>管廊两侧回填土</w:t>
            </w:r>
          </w:p>
          <w:p>
            <w:pPr>
              <w:adjustRightInd w:val="0"/>
              <w:snapToGrid w:val="0"/>
              <w:spacing w:line="240" w:lineRule="auto"/>
              <w:rPr>
                <w:kern w:val="0"/>
                <w:sz w:val="21"/>
              </w:rPr>
            </w:pPr>
            <w:r>
              <w:rPr>
                <w:rFonts w:hint="eastAsia"/>
                <w:kern w:val="0"/>
                <w:sz w:val="21"/>
              </w:rPr>
              <w:t>按50延米/层</w:t>
            </w:r>
          </w:p>
        </w:tc>
        <w:tc>
          <w:tcPr>
            <w:tcW w:w="1059" w:type="dxa"/>
            <w:tcBorders>
              <w:right w:val="single" w:color="auto" w:sz="4" w:space="0"/>
            </w:tcBorders>
            <w:vAlign w:val="center"/>
          </w:tcPr>
          <w:p>
            <w:pPr>
              <w:widowControl/>
              <w:adjustRightInd w:val="0"/>
              <w:snapToGrid w:val="0"/>
              <w:spacing w:line="240" w:lineRule="auto"/>
              <w:jc w:val="center"/>
              <w:rPr>
                <w:kern w:val="0"/>
                <w:sz w:val="21"/>
              </w:rPr>
            </w:pPr>
            <w:r>
              <w:rPr>
                <w:rFonts w:hint="eastAsia"/>
                <w:kern w:val="0"/>
                <w:sz w:val="21"/>
              </w:rPr>
              <w:t>1（三点）</w:t>
            </w:r>
          </w:p>
        </w:tc>
        <w:tc>
          <w:tcPr>
            <w:tcW w:w="954" w:type="dxa"/>
            <w:tcBorders>
              <w:left w:val="single" w:color="auto" w:sz="4" w:space="0"/>
            </w:tcBorders>
            <w:vAlign w:val="center"/>
          </w:tcPr>
          <w:p>
            <w:pPr>
              <w:widowControl/>
              <w:adjustRightInd w:val="0"/>
              <w:snapToGrid w:val="0"/>
              <w:spacing w:line="240" w:lineRule="auto"/>
              <w:jc w:val="center"/>
              <w:rPr>
                <w:kern w:val="0"/>
                <w:sz w:val="21"/>
              </w:rPr>
            </w:pPr>
            <w:r>
              <w:rPr>
                <w:rFonts w:hint="eastAsia"/>
                <w:kern w:val="0"/>
                <w:sz w:val="21"/>
              </w:rPr>
              <w:t>环刀法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57" w:type="dxa"/>
            <w:bottom w:w="0" w:type="dxa"/>
            <w:right w:w="57" w:type="dxa"/>
          </w:tblCellMar>
        </w:tblPrEx>
        <w:trPr>
          <w:trHeight w:val="397" w:hRule="atLeast"/>
          <w:jc w:val="center"/>
        </w:trPr>
        <w:tc>
          <w:tcPr>
            <w:tcW w:w="482" w:type="dxa"/>
            <w:vAlign w:val="center"/>
          </w:tcPr>
          <w:p>
            <w:pPr>
              <w:widowControl/>
              <w:adjustRightInd w:val="0"/>
              <w:snapToGrid w:val="0"/>
              <w:spacing w:line="240" w:lineRule="auto"/>
              <w:jc w:val="center"/>
              <w:rPr>
                <w:kern w:val="0"/>
                <w:sz w:val="21"/>
              </w:rPr>
            </w:pPr>
            <w:r>
              <w:rPr>
                <w:kern w:val="0"/>
                <w:sz w:val="21"/>
              </w:rPr>
              <w:t>2</w:t>
            </w:r>
          </w:p>
        </w:tc>
        <w:tc>
          <w:tcPr>
            <w:tcW w:w="2172" w:type="dxa"/>
            <w:vAlign w:val="center"/>
          </w:tcPr>
          <w:p>
            <w:pPr>
              <w:widowControl/>
              <w:adjustRightInd w:val="0"/>
              <w:snapToGrid w:val="0"/>
              <w:spacing w:line="240" w:lineRule="auto"/>
              <w:jc w:val="center"/>
              <w:rPr>
                <w:kern w:val="0"/>
                <w:sz w:val="21"/>
              </w:rPr>
            </w:pPr>
            <w:r>
              <w:rPr>
                <w:rFonts w:hint="eastAsia"/>
                <w:kern w:val="0"/>
                <w:sz w:val="21"/>
              </w:rPr>
              <w:t>道路或其他构筑物下</w:t>
            </w:r>
          </w:p>
        </w:tc>
        <w:tc>
          <w:tcPr>
            <w:tcW w:w="954" w:type="dxa"/>
            <w:vAlign w:val="center"/>
          </w:tcPr>
          <w:p>
            <w:pPr>
              <w:widowControl/>
              <w:adjustRightInd w:val="0"/>
              <w:snapToGrid w:val="0"/>
              <w:spacing w:line="240" w:lineRule="auto"/>
              <w:jc w:val="center"/>
              <w:rPr>
                <w:kern w:val="0"/>
                <w:sz w:val="21"/>
              </w:rPr>
            </w:pPr>
            <w:r>
              <w:rPr>
                <w:rFonts w:hint="eastAsia"/>
                <w:kern w:val="0"/>
                <w:sz w:val="21"/>
              </w:rPr>
              <w:t>≥0.95</w:t>
            </w:r>
          </w:p>
        </w:tc>
        <w:tc>
          <w:tcPr>
            <w:tcW w:w="1584" w:type="dxa"/>
            <w:vMerge w:val="continue"/>
            <w:tcBorders>
              <w:right w:val="single" w:color="auto" w:sz="4" w:space="0"/>
            </w:tcBorders>
            <w:vAlign w:val="center"/>
          </w:tcPr>
          <w:p>
            <w:pPr>
              <w:widowControl/>
              <w:adjustRightInd w:val="0"/>
              <w:snapToGrid w:val="0"/>
              <w:spacing w:line="240" w:lineRule="auto"/>
              <w:jc w:val="center"/>
              <w:rPr>
                <w:kern w:val="0"/>
                <w:sz w:val="21"/>
              </w:rPr>
            </w:pPr>
          </w:p>
        </w:tc>
        <w:tc>
          <w:tcPr>
            <w:tcW w:w="1059" w:type="dxa"/>
            <w:tcBorders>
              <w:left w:val="single" w:color="auto" w:sz="4" w:space="0"/>
            </w:tcBorders>
            <w:vAlign w:val="center"/>
          </w:tcPr>
          <w:p>
            <w:pPr>
              <w:widowControl/>
              <w:adjustRightInd w:val="0"/>
              <w:snapToGrid w:val="0"/>
              <w:spacing w:line="240" w:lineRule="auto"/>
              <w:jc w:val="center"/>
              <w:rPr>
                <w:kern w:val="0"/>
                <w:sz w:val="21"/>
              </w:rPr>
            </w:pPr>
            <w:r>
              <w:rPr>
                <w:kern w:val="0"/>
                <w:sz w:val="21"/>
              </w:rPr>
              <w:t>1</w:t>
            </w:r>
            <w:r>
              <w:rPr>
                <w:rFonts w:hint="eastAsia"/>
                <w:kern w:val="0"/>
                <w:sz w:val="21"/>
              </w:rPr>
              <w:t>（三点）</w:t>
            </w:r>
          </w:p>
        </w:tc>
        <w:tc>
          <w:tcPr>
            <w:tcW w:w="954" w:type="dxa"/>
            <w:vAlign w:val="center"/>
          </w:tcPr>
          <w:p>
            <w:pPr>
              <w:widowControl/>
              <w:adjustRightInd w:val="0"/>
              <w:snapToGrid w:val="0"/>
              <w:spacing w:line="240" w:lineRule="auto"/>
              <w:jc w:val="center"/>
              <w:rPr>
                <w:kern w:val="0"/>
                <w:sz w:val="21"/>
              </w:rPr>
            </w:pPr>
            <w:r>
              <w:rPr>
                <w:rFonts w:hint="eastAsia"/>
                <w:kern w:val="0"/>
                <w:sz w:val="21"/>
              </w:rPr>
              <w:t>环刀法</w:t>
            </w:r>
          </w:p>
        </w:tc>
      </w:tr>
    </w:tbl>
    <w:p>
      <w:pPr>
        <w:ind w:firstLine="560"/>
        <w:jc w:val="center"/>
        <w:rPr>
          <w:rFonts w:hint="eastAsia" w:ascii="宋体" w:hAnsi="宋体" w:cs="宋体"/>
          <w:b/>
          <w:bCs/>
          <w:szCs w:val="24"/>
        </w:rPr>
      </w:pPr>
    </w:p>
    <w:p>
      <w:pPr>
        <w:ind w:firstLine="560"/>
        <w:jc w:val="center"/>
        <w:rPr>
          <w:rFonts w:ascii="宋体" w:hAnsi="宋体" w:cs="宋体"/>
          <w:b/>
          <w:bCs/>
          <w:szCs w:val="24"/>
        </w:rPr>
      </w:pPr>
      <w:r>
        <w:rPr>
          <w:rFonts w:cs="Times New Roman" w:eastAsiaTheme="minorEastAsia"/>
          <w:b/>
          <w:bCs/>
          <w:szCs w:val="24"/>
        </w:rPr>
        <w:fldChar w:fldCharType="begin"/>
      </w:r>
      <w:r>
        <w:rPr>
          <w:rFonts w:cs="Times New Roman" w:eastAsiaTheme="minorEastAsia"/>
          <w:b/>
          <w:bCs/>
          <w:szCs w:val="24"/>
        </w:rPr>
        <w:instrText xml:space="preserve"> = 2 \* ROMAN \* MERGEFORMAT </w:instrText>
      </w:r>
      <w:r>
        <w:rPr>
          <w:rFonts w:cs="Times New Roman" w:eastAsiaTheme="minorEastAsia"/>
          <w:b/>
          <w:bCs/>
          <w:szCs w:val="24"/>
        </w:rPr>
        <w:fldChar w:fldCharType="separate"/>
      </w:r>
      <w:r>
        <w:t>II</w:t>
      </w:r>
      <w:r>
        <w:rPr>
          <w:rFonts w:cs="Times New Roman" w:eastAsiaTheme="minorEastAsia"/>
          <w:b/>
          <w:bCs/>
          <w:szCs w:val="24"/>
        </w:rPr>
        <w:fldChar w:fldCharType="end"/>
      </w:r>
      <w:r>
        <w:rPr>
          <w:rFonts w:hint="eastAsia" w:cs="Times New Roman" w:eastAsiaTheme="minorEastAsia"/>
          <w:b/>
          <w:bCs/>
          <w:szCs w:val="24"/>
          <w:lang w:val="en-US" w:eastAsia="zh-CN"/>
        </w:rPr>
        <w:t xml:space="preserve"> </w:t>
      </w:r>
      <w:r>
        <w:rPr>
          <w:rFonts w:hint="eastAsia" w:ascii="宋体" w:hAnsi="宋体" w:cs="宋体"/>
          <w:b/>
          <w:bCs/>
          <w:szCs w:val="24"/>
        </w:rPr>
        <w:t>一般项目</w:t>
      </w:r>
    </w:p>
    <w:p>
      <w:pPr>
        <w:numPr>
          <w:ilvl w:val="2"/>
          <w:numId w:val="9"/>
        </w:numPr>
      </w:pPr>
      <w:r>
        <w:rPr>
          <w:rFonts w:hint="eastAsia"/>
        </w:rPr>
        <w:t>开挖后的基坑允许偏差</w:t>
      </w:r>
      <w:r>
        <w:t>应符合现行国家标准《建筑地基基础工程施工质量验收</w:t>
      </w:r>
      <w:r>
        <w:rPr>
          <w:rFonts w:hint="eastAsia"/>
        </w:rPr>
        <w:t>标准</w:t>
      </w:r>
      <w:r>
        <w:t>》GB 50202的规定。</w:t>
      </w:r>
    </w:p>
    <w:p>
      <w:pPr>
        <w:numPr>
          <w:ilvl w:val="2"/>
          <w:numId w:val="9"/>
        </w:numPr>
      </w:pPr>
      <w:r>
        <w:rPr>
          <w:rFonts w:hint="eastAsia"/>
        </w:rPr>
        <w:t>碎石垫层的允许偏差应满足表5.5.</w:t>
      </w:r>
      <w:r>
        <w:t>5</w:t>
      </w:r>
      <w:r>
        <w:rPr>
          <w:rFonts w:hint="eastAsia"/>
        </w:rPr>
        <w:t>的要求。</w:t>
      </w:r>
    </w:p>
    <w:p>
      <w:pPr>
        <w:pStyle w:val="193"/>
        <w:spacing w:line="360" w:lineRule="auto"/>
        <w:jc w:val="center"/>
        <w:rPr>
          <w:b/>
          <w:sz w:val="21"/>
          <w:szCs w:val="21"/>
        </w:rPr>
      </w:pPr>
      <w:r>
        <w:rPr>
          <w:b/>
          <w:sz w:val="21"/>
          <w:szCs w:val="21"/>
        </w:rPr>
        <w:t>表</w:t>
      </w:r>
      <w:r>
        <w:rPr>
          <w:rFonts w:hint="eastAsia"/>
          <w:b/>
          <w:sz w:val="21"/>
          <w:szCs w:val="21"/>
        </w:rPr>
        <w:t>5.5.</w:t>
      </w:r>
      <w:r>
        <w:rPr>
          <w:b/>
          <w:sz w:val="21"/>
          <w:szCs w:val="21"/>
        </w:rPr>
        <w:t xml:space="preserve">5  </w:t>
      </w:r>
      <w:r>
        <w:rPr>
          <w:rFonts w:hint="eastAsia"/>
          <w:b/>
          <w:sz w:val="21"/>
          <w:szCs w:val="21"/>
        </w:rPr>
        <w:t>碎石垫层</w:t>
      </w:r>
      <w:r>
        <w:rPr>
          <w:b/>
          <w:sz w:val="21"/>
          <w:szCs w:val="21"/>
        </w:rPr>
        <w:t>允许偏差</w:t>
      </w:r>
    </w:p>
    <w:tbl>
      <w:tblPr>
        <w:tblStyle w:val="39"/>
        <w:tblW w:w="806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3" w:type="dxa"/>
          <w:bottom w:w="0" w:type="dxa"/>
          <w:right w:w="23" w:type="dxa"/>
        </w:tblCellMar>
      </w:tblPr>
      <w:tblGrid>
        <w:gridCol w:w="750"/>
        <w:gridCol w:w="531"/>
        <w:gridCol w:w="987"/>
        <w:gridCol w:w="1650"/>
        <w:gridCol w:w="1186"/>
        <w:gridCol w:w="1146"/>
        <w:gridCol w:w="181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restart"/>
            <w:vAlign w:val="center"/>
          </w:tcPr>
          <w:p>
            <w:pPr>
              <w:widowControl/>
              <w:adjustRightInd w:val="0"/>
              <w:snapToGrid w:val="0"/>
              <w:spacing w:line="240" w:lineRule="auto"/>
              <w:jc w:val="center"/>
              <w:rPr>
                <w:kern w:val="0"/>
                <w:sz w:val="21"/>
              </w:rPr>
            </w:pPr>
            <w:r>
              <w:rPr>
                <w:kern w:val="0"/>
                <w:sz w:val="21"/>
              </w:rPr>
              <w:t>项目</w:t>
            </w:r>
          </w:p>
        </w:tc>
        <w:tc>
          <w:tcPr>
            <w:tcW w:w="1518" w:type="dxa"/>
            <w:gridSpan w:val="2"/>
            <w:vMerge w:val="restart"/>
            <w:vAlign w:val="center"/>
          </w:tcPr>
          <w:p>
            <w:pPr>
              <w:widowControl/>
              <w:adjustRightInd w:val="0"/>
              <w:snapToGrid w:val="0"/>
              <w:spacing w:line="240" w:lineRule="auto"/>
              <w:jc w:val="center"/>
              <w:rPr>
                <w:kern w:val="0"/>
                <w:sz w:val="21"/>
              </w:rPr>
            </w:pPr>
            <w:r>
              <w:rPr>
                <w:kern w:val="0"/>
                <w:sz w:val="21"/>
              </w:rPr>
              <w:t>检查项目</w:t>
            </w:r>
          </w:p>
        </w:tc>
        <w:tc>
          <w:tcPr>
            <w:tcW w:w="1650" w:type="dxa"/>
            <w:vMerge w:val="restart"/>
            <w:vAlign w:val="center"/>
          </w:tcPr>
          <w:p>
            <w:pPr>
              <w:widowControl/>
              <w:adjustRightInd w:val="0"/>
              <w:snapToGrid w:val="0"/>
              <w:spacing w:line="240" w:lineRule="auto"/>
              <w:jc w:val="center"/>
              <w:rPr>
                <w:kern w:val="0"/>
                <w:sz w:val="21"/>
              </w:rPr>
            </w:pPr>
            <w:r>
              <w:rPr>
                <w:kern w:val="0"/>
                <w:sz w:val="21"/>
              </w:rPr>
              <w:t>允许偏差</w:t>
            </w:r>
          </w:p>
        </w:tc>
        <w:tc>
          <w:tcPr>
            <w:tcW w:w="2332" w:type="dxa"/>
            <w:gridSpan w:val="2"/>
            <w:vAlign w:val="center"/>
          </w:tcPr>
          <w:p>
            <w:pPr>
              <w:widowControl/>
              <w:adjustRightInd w:val="0"/>
              <w:snapToGrid w:val="0"/>
              <w:spacing w:line="240" w:lineRule="auto"/>
              <w:jc w:val="center"/>
              <w:rPr>
                <w:kern w:val="0"/>
                <w:sz w:val="21"/>
              </w:rPr>
            </w:pPr>
            <w:r>
              <w:rPr>
                <w:kern w:val="0"/>
                <w:sz w:val="21"/>
              </w:rPr>
              <w:t>检查数量</w:t>
            </w:r>
          </w:p>
        </w:tc>
        <w:tc>
          <w:tcPr>
            <w:tcW w:w="1814" w:type="dxa"/>
            <w:vMerge w:val="restart"/>
            <w:vAlign w:val="center"/>
          </w:tcPr>
          <w:p>
            <w:pPr>
              <w:widowControl/>
              <w:adjustRightInd w:val="0"/>
              <w:snapToGrid w:val="0"/>
              <w:spacing w:line="240" w:lineRule="auto"/>
              <w:jc w:val="center"/>
              <w:rPr>
                <w:kern w:val="0"/>
                <w:sz w:val="21"/>
              </w:rPr>
            </w:pPr>
            <w:r>
              <w:rPr>
                <w:kern w:val="0"/>
                <w:sz w:val="21"/>
              </w:rPr>
              <w:t>检验方法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1518" w:type="dxa"/>
            <w:gridSpan w:val="2"/>
            <w:vMerge w:val="continue"/>
            <w:vAlign w:val="center"/>
          </w:tcPr>
          <w:p>
            <w:pPr>
              <w:widowControl/>
              <w:adjustRightInd w:val="0"/>
              <w:snapToGrid w:val="0"/>
              <w:spacing w:line="240" w:lineRule="auto"/>
              <w:jc w:val="center"/>
              <w:rPr>
                <w:kern w:val="0"/>
                <w:sz w:val="21"/>
              </w:rPr>
            </w:pPr>
          </w:p>
        </w:tc>
        <w:tc>
          <w:tcPr>
            <w:tcW w:w="1650" w:type="dxa"/>
            <w:vMerge w:val="continue"/>
            <w:vAlign w:val="center"/>
          </w:tcPr>
          <w:p>
            <w:pPr>
              <w:widowControl/>
              <w:adjustRightInd w:val="0"/>
              <w:snapToGrid w:val="0"/>
              <w:spacing w:line="240" w:lineRule="auto"/>
              <w:jc w:val="center"/>
              <w:rPr>
                <w:kern w:val="0"/>
                <w:sz w:val="21"/>
              </w:rPr>
            </w:pPr>
          </w:p>
        </w:tc>
        <w:tc>
          <w:tcPr>
            <w:tcW w:w="1186" w:type="dxa"/>
            <w:vAlign w:val="center"/>
          </w:tcPr>
          <w:p>
            <w:pPr>
              <w:widowControl/>
              <w:adjustRightInd w:val="0"/>
              <w:snapToGrid w:val="0"/>
              <w:spacing w:line="240" w:lineRule="auto"/>
              <w:jc w:val="center"/>
              <w:rPr>
                <w:kern w:val="0"/>
                <w:sz w:val="21"/>
              </w:rPr>
            </w:pPr>
            <w:r>
              <w:rPr>
                <w:kern w:val="0"/>
                <w:sz w:val="21"/>
              </w:rPr>
              <w:t>范围</w:t>
            </w:r>
          </w:p>
        </w:tc>
        <w:tc>
          <w:tcPr>
            <w:tcW w:w="1146" w:type="dxa"/>
            <w:vAlign w:val="center"/>
          </w:tcPr>
          <w:p>
            <w:pPr>
              <w:widowControl/>
              <w:adjustRightInd w:val="0"/>
              <w:snapToGrid w:val="0"/>
              <w:spacing w:line="240" w:lineRule="auto"/>
              <w:jc w:val="center"/>
              <w:rPr>
                <w:kern w:val="0"/>
                <w:sz w:val="21"/>
              </w:rPr>
            </w:pPr>
            <w:r>
              <w:rPr>
                <w:kern w:val="0"/>
                <w:sz w:val="21"/>
              </w:rPr>
              <w:t>点数</w:t>
            </w:r>
          </w:p>
        </w:tc>
        <w:tc>
          <w:tcPr>
            <w:tcW w:w="1814" w:type="dxa"/>
            <w:vMerge w:val="continue"/>
            <w:vAlign w:val="center"/>
          </w:tcPr>
          <w:p>
            <w:pPr>
              <w:widowControl/>
              <w:adjustRightInd w:val="0"/>
              <w:snapToGrid w:val="0"/>
              <w:spacing w:line="240" w:lineRule="auto"/>
              <w:jc w:val="center"/>
              <w:rPr>
                <w:kern w:val="0"/>
                <w:sz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restart"/>
            <w:tcBorders>
              <w:top w:val="single" w:color="auto" w:sz="4" w:space="0"/>
            </w:tcBorders>
            <w:vAlign w:val="center"/>
          </w:tcPr>
          <w:p>
            <w:pPr>
              <w:widowControl/>
              <w:adjustRightInd w:val="0"/>
              <w:snapToGrid w:val="0"/>
              <w:spacing w:line="240" w:lineRule="auto"/>
              <w:jc w:val="center"/>
              <w:rPr>
                <w:kern w:val="0"/>
                <w:sz w:val="21"/>
              </w:rPr>
            </w:pPr>
            <w:r>
              <w:rPr>
                <w:rFonts w:hint="eastAsia"/>
                <w:kern w:val="0"/>
                <w:sz w:val="21"/>
              </w:rPr>
              <w:t>主控项目</w:t>
            </w:r>
          </w:p>
        </w:tc>
        <w:tc>
          <w:tcPr>
            <w:tcW w:w="531" w:type="dxa"/>
            <w:vAlign w:val="center"/>
          </w:tcPr>
          <w:p>
            <w:pPr>
              <w:widowControl/>
              <w:adjustRightInd w:val="0"/>
              <w:snapToGrid w:val="0"/>
              <w:spacing w:line="240" w:lineRule="auto"/>
              <w:jc w:val="center"/>
              <w:rPr>
                <w:kern w:val="0"/>
                <w:sz w:val="21"/>
              </w:rPr>
            </w:pPr>
            <w:r>
              <w:rPr>
                <w:kern w:val="0"/>
                <w:sz w:val="21"/>
              </w:rPr>
              <w:t>1</w:t>
            </w:r>
          </w:p>
        </w:tc>
        <w:tc>
          <w:tcPr>
            <w:tcW w:w="987" w:type="dxa"/>
            <w:vAlign w:val="center"/>
          </w:tcPr>
          <w:p>
            <w:pPr>
              <w:widowControl/>
              <w:adjustRightInd w:val="0"/>
              <w:snapToGrid w:val="0"/>
              <w:spacing w:line="240" w:lineRule="auto"/>
              <w:jc w:val="center"/>
              <w:rPr>
                <w:kern w:val="0"/>
                <w:sz w:val="21"/>
              </w:rPr>
            </w:pPr>
            <w:r>
              <w:rPr>
                <w:rFonts w:hint="eastAsia"/>
                <w:kern w:val="0"/>
                <w:sz w:val="21"/>
              </w:rPr>
              <w:t>粒径级配</w:t>
            </w:r>
          </w:p>
        </w:tc>
        <w:tc>
          <w:tcPr>
            <w:tcW w:w="1650" w:type="dxa"/>
            <w:vAlign w:val="center"/>
          </w:tcPr>
          <w:p>
            <w:pPr>
              <w:widowControl/>
              <w:adjustRightInd w:val="0"/>
              <w:snapToGrid w:val="0"/>
              <w:spacing w:line="240" w:lineRule="auto"/>
              <w:jc w:val="center"/>
              <w:rPr>
                <w:kern w:val="0"/>
                <w:sz w:val="21"/>
              </w:rPr>
            </w:pPr>
            <w:r>
              <w:rPr>
                <w:rFonts w:hint="eastAsia"/>
                <w:kern w:val="0"/>
                <w:sz w:val="21"/>
                <w:lang w:val="en-US" w:eastAsia="zh-CN"/>
              </w:rPr>
              <w:t>满足</w:t>
            </w:r>
            <w:r>
              <w:rPr>
                <w:rFonts w:hint="eastAsia"/>
                <w:kern w:val="0"/>
                <w:sz w:val="21"/>
              </w:rPr>
              <w:t>设计要求</w:t>
            </w:r>
          </w:p>
        </w:tc>
        <w:tc>
          <w:tcPr>
            <w:tcW w:w="1186" w:type="dxa"/>
            <w:vAlign w:val="center"/>
          </w:tcPr>
          <w:p>
            <w:pPr>
              <w:widowControl/>
              <w:adjustRightInd w:val="0"/>
              <w:snapToGrid w:val="0"/>
              <w:spacing w:line="240" w:lineRule="auto"/>
              <w:jc w:val="center"/>
              <w:rPr>
                <w:kern w:val="0"/>
                <w:sz w:val="21"/>
              </w:rPr>
            </w:pPr>
            <w:r>
              <w:rPr>
                <w:rFonts w:hint="eastAsia"/>
                <w:sz w:val="21"/>
                <w:szCs w:val="21"/>
              </w:rPr>
              <w:t>每</w:t>
            </w:r>
            <w:r>
              <w:rPr>
                <w:sz w:val="21"/>
                <w:szCs w:val="21"/>
              </w:rPr>
              <w:t>10</w:t>
            </w:r>
            <w:r>
              <w:rPr>
                <w:rFonts w:hint="eastAsia"/>
                <w:sz w:val="21"/>
                <w:szCs w:val="21"/>
              </w:rPr>
              <w:t>0 延米</w:t>
            </w:r>
          </w:p>
        </w:tc>
        <w:tc>
          <w:tcPr>
            <w:tcW w:w="1146" w:type="dxa"/>
            <w:vAlign w:val="center"/>
          </w:tcPr>
          <w:p>
            <w:pPr>
              <w:widowControl/>
              <w:adjustRightInd w:val="0"/>
              <w:snapToGrid w:val="0"/>
              <w:spacing w:line="240" w:lineRule="auto"/>
              <w:jc w:val="center"/>
              <w:rPr>
                <w:kern w:val="0"/>
                <w:sz w:val="21"/>
              </w:rPr>
            </w:pPr>
            <w:r>
              <w:rPr>
                <w:rFonts w:hint="eastAsia"/>
                <w:kern w:val="0"/>
                <w:sz w:val="21"/>
              </w:rPr>
              <w:t>不少于</w:t>
            </w:r>
            <w:r>
              <w:rPr>
                <w:kern w:val="0"/>
                <w:sz w:val="21"/>
              </w:rPr>
              <w:t>1</w:t>
            </w:r>
            <w:r>
              <w:rPr>
                <w:rFonts w:hint="eastAsia"/>
                <w:kern w:val="0"/>
                <w:sz w:val="21"/>
              </w:rPr>
              <w:t>点</w:t>
            </w:r>
          </w:p>
        </w:tc>
        <w:tc>
          <w:tcPr>
            <w:tcW w:w="1814" w:type="dxa"/>
            <w:vAlign w:val="center"/>
          </w:tcPr>
          <w:p>
            <w:pPr>
              <w:widowControl/>
              <w:adjustRightInd w:val="0"/>
              <w:snapToGrid w:val="0"/>
              <w:spacing w:line="240" w:lineRule="auto"/>
              <w:jc w:val="center"/>
              <w:rPr>
                <w:kern w:val="0"/>
                <w:sz w:val="21"/>
              </w:rPr>
            </w:pPr>
            <w:r>
              <w:rPr>
                <w:rFonts w:hint="eastAsia"/>
                <w:kern w:val="0"/>
                <w:sz w:val="21"/>
              </w:rPr>
              <w:t>筛分法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531" w:type="dxa"/>
            <w:vAlign w:val="center"/>
          </w:tcPr>
          <w:p>
            <w:pPr>
              <w:widowControl/>
              <w:adjustRightInd w:val="0"/>
              <w:snapToGrid w:val="0"/>
              <w:spacing w:line="240" w:lineRule="auto"/>
              <w:jc w:val="center"/>
              <w:rPr>
                <w:kern w:val="0"/>
                <w:sz w:val="21"/>
              </w:rPr>
            </w:pPr>
            <w:r>
              <w:rPr>
                <w:kern w:val="0"/>
                <w:sz w:val="21"/>
              </w:rPr>
              <w:t>2</w:t>
            </w:r>
          </w:p>
        </w:tc>
        <w:tc>
          <w:tcPr>
            <w:tcW w:w="987" w:type="dxa"/>
            <w:vAlign w:val="center"/>
          </w:tcPr>
          <w:p>
            <w:pPr>
              <w:widowControl/>
              <w:adjustRightInd w:val="0"/>
              <w:snapToGrid w:val="0"/>
              <w:spacing w:line="240" w:lineRule="auto"/>
              <w:jc w:val="center"/>
              <w:rPr>
                <w:kern w:val="0"/>
                <w:sz w:val="21"/>
              </w:rPr>
            </w:pPr>
            <w:r>
              <w:rPr>
                <w:rFonts w:hint="eastAsia"/>
                <w:kern w:val="0"/>
                <w:sz w:val="21"/>
              </w:rPr>
              <w:t>压实系数</w:t>
            </w:r>
          </w:p>
        </w:tc>
        <w:tc>
          <w:tcPr>
            <w:tcW w:w="1650" w:type="dxa"/>
            <w:vAlign w:val="center"/>
          </w:tcPr>
          <w:p>
            <w:pPr>
              <w:widowControl/>
              <w:adjustRightInd w:val="0"/>
              <w:snapToGrid w:val="0"/>
              <w:spacing w:line="240" w:lineRule="auto"/>
              <w:jc w:val="center"/>
              <w:rPr>
                <w:kern w:val="0"/>
                <w:sz w:val="21"/>
              </w:rPr>
            </w:pPr>
            <w:r>
              <w:rPr>
                <w:rFonts w:hint="eastAsia"/>
                <w:kern w:val="0"/>
                <w:sz w:val="21"/>
                <w:lang w:val="en-US" w:eastAsia="zh-CN"/>
              </w:rPr>
              <w:t>不低于</w:t>
            </w:r>
            <w:r>
              <w:rPr>
                <w:rFonts w:hint="eastAsia"/>
                <w:kern w:val="0"/>
                <w:sz w:val="21"/>
              </w:rPr>
              <w:t>设计</w:t>
            </w:r>
            <w:r>
              <w:rPr>
                <w:rFonts w:hint="eastAsia"/>
                <w:kern w:val="0"/>
                <w:sz w:val="21"/>
                <w:lang w:val="en-US" w:eastAsia="zh-CN"/>
              </w:rPr>
              <w:t>规定</w:t>
            </w:r>
          </w:p>
        </w:tc>
        <w:tc>
          <w:tcPr>
            <w:tcW w:w="1186" w:type="dxa"/>
            <w:vAlign w:val="center"/>
          </w:tcPr>
          <w:p>
            <w:pPr>
              <w:widowControl/>
              <w:adjustRightInd w:val="0"/>
              <w:snapToGrid w:val="0"/>
              <w:spacing w:line="240" w:lineRule="auto"/>
              <w:jc w:val="center"/>
              <w:rPr>
                <w:kern w:val="0"/>
                <w:sz w:val="21"/>
              </w:rPr>
            </w:pPr>
            <w:r>
              <w:rPr>
                <w:rFonts w:hint="eastAsia"/>
                <w:sz w:val="21"/>
                <w:szCs w:val="21"/>
              </w:rPr>
              <w:t>每</w:t>
            </w:r>
            <w:r>
              <w:rPr>
                <w:sz w:val="21"/>
                <w:szCs w:val="21"/>
              </w:rPr>
              <w:t>10</w:t>
            </w:r>
            <w:r>
              <w:rPr>
                <w:rFonts w:hint="eastAsia"/>
                <w:sz w:val="21"/>
                <w:szCs w:val="21"/>
              </w:rPr>
              <w:t>0 延米</w:t>
            </w:r>
          </w:p>
        </w:tc>
        <w:tc>
          <w:tcPr>
            <w:tcW w:w="1146" w:type="dxa"/>
            <w:vAlign w:val="center"/>
          </w:tcPr>
          <w:p>
            <w:pPr>
              <w:widowControl/>
              <w:adjustRightInd w:val="0"/>
              <w:snapToGrid w:val="0"/>
              <w:spacing w:line="240" w:lineRule="auto"/>
              <w:jc w:val="center"/>
              <w:rPr>
                <w:kern w:val="0"/>
                <w:sz w:val="21"/>
              </w:rPr>
            </w:pPr>
            <w:r>
              <w:rPr>
                <w:rFonts w:hint="eastAsia"/>
                <w:kern w:val="0"/>
                <w:sz w:val="21"/>
              </w:rPr>
              <w:t>不少于</w:t>
            </w:r>
            <w:r>
              <w:rPr>
                <w:kern w:val="0"/>
                <w:sz w:val="21"/>
              </w:rPr>
              <w:t>1</w:t>
            </w:r>
            <w:r>
              <w:rPr>
                <w:rFonts w:hint="eastAsia"/>
                <w:kern w:val="0"/>
                <w:sz w:val="21"/>
              </w:rPr>
              <w:t>点</w:t>
            </w:r>
          </w:p>
        </w:tc>
        <w:tc>
          <w:tcPr>
            <w:tcW w:w="1814" w:type="dxa"/>
            <w:vAlign w:val="center"/>
          </w:tcPr>
          <w:p>
            <w:pPr>
              <w:widowControl/>
              <w:adjustRightInd w:val="0"/>
              <w:snapToGrid w:val="0"/>
              <w:spacing w:line="240" w:lineRule="auto"/>
              <w:jc w:val="center"/>
              <w:rPr>
                <w:rFonts w:hint="default" w:eastAsia="宋体"/>
                <w:kern w:val="0"/>
                <w:sz w:val="21"/>
                <w:lang w:val="en-US" w:eastAsia="zh-CN"/>
              </w:rPr>
            </w:pPr>
            <w:r>
              <w:rPr>
                <w:rFonts w:hint="eastAsia"/>
                <w:kern w:val="0"/>
                <w:sz w:val="21"/>
                <w:lang w:eastAsia="zh-CN"/>
              </w:rPr>
              <w:t>《</w:t>
            </w:r>
            <w:r>
              <w:rPr>
                <w:rFonts w:hint="eastAsia"/>
                <w:kern w:val="0"/>
                <w:sz w:val="21"/>
                <w:lang w:val="en-US" w:eastAsia="zh-CN"/>
              </w:rPr>
              <w:t>土工试验方法标准</w:t>
            </w:r>
            <w:r>
              <w:rPr>
                <w:rFonts w:hint="eastAsia"/>
                <w:kern w:val="0"/>
                <w:sz w:val="21"/>
                <w:lang w:eastAsia="zh-CN"/>
              </w:rPr>
              <w:t>》</w:t>
            </w:r>
            <w:r>
              <w:rPr>
                <w:rFonts w:hint="eastAsia"/>
                <w:kern w:val="0"/>
                <w:sz w:val="21"/>
                <w:lang w:val="en-US" w:eastAsia="zh-CN"/>
              </w:rPr>
              <w:t>GB/T 50123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restart"/>
            <w:vAlign w:val="center"/>
          </w:tcPr>
          <w:p>
            <w:pPr>
              <w:widowControl/>
              <w:adjustRightInd w:val="0"/>
              <w:snapToGrid w:val="0"/>
              <w:spacing w:line="240" w:lineRule="auto"/>
              <w:jc w:val="center"/>
              <w:rPr>
                <w:kern w:val="0"/>
                <w:sz w:val="21"/>
              </w:rPr>
            </w:pPr>
            <w:r>
              <w:rPr>
                <w:kern w:val="0"/>
                <w:sz w:val="21"/>
              </w:rPr>
              <w:t>一般项目</w:t>
            </w:r>
          </w:p>
        </w:tc>
        <w:tc>
          <w:tcPr>
            <w:tcW w:w="531" w:type="dxa"/>
            <w:vAlign w:val="center"/>
          </w:tcPr>
          <w:p>
            <w:pPr>
              <w:widowControl/>
              <w:adjustRightInd w:val="0"/>
              <w:snapToGrid w:val="0"/>
              <w:spacing w:line="240" w:lineRule="auto"/>
              <w:jc w:val="center"/>
              <w:rPr>
                <w:kern w:val="0"/>
                <w:sz w:val="21"/>
              </w:rPr>
            </w:pPr>
            <w:r>
              <w:rPr>
                <w:kern w:val="0"/>
                <w:sz w:val="21"/>
              </w:rPr>
              <w:t>3</w:t>
            </w:r>
          </w:p>
        </w:tc>
        <w:tc>
          <w:tcPr>
            <w:tcW w:w="987" w:type="dxa"/>
            <w:vAlign w:val="center"/>
          </w:tcPr>
          <w:p>
            <w:pPr>
              <w:widowControl/>
              <w:adjustRightInd w:val="0"/>
              <w:snapToGrid w:val="0"/>
              <w:spacing w:line="240" w:lineRule="auto"/>
              <w:jc w:val="center"/>
              <w:rPr>
                <w:kern w:val="0"/>
                <w:sz w:val="21"/>
              </w:rPr>
            </w:pPr>
            <w:r>
              <w:rPr>
                <w:kern w:val="0"/>
                <w:sz w:val="21"/>
              </w:rPr>
              <w:t>平整度</w:t>
            </w:r>
          </w:p>
        </w:tc>
        <w:tc>
          <w:tcPr>
            <w:tcW w:w="1650" w:type="dxa"/>
            <w:vAlign w:val="center"/>
          </w:tcPr>
          <w:p>
            <w:pPr>
              <w:widowControl/>
              <w:adjustRightInd w:val="0"/>
              <w:snapToGrid w:val="0"/>
              <w:spacing w:line="240" w:lineRule="auto"/>
              <w:jc w:val="center"/>
              <w:rPr>
                <w:kern w:val="0"/>
                <w:sz w:val="21"/>
              </w:rPr>
            </w:pPr>
            <w:r>
              <w:rPr>
                <w:rFonts w:hint="eastAsia"/>
                <w:kern w:val="0"/>
                <w:sz w:val="21"/>
              </w:rPr>
              <w:t>2</w:t>
            </w:r>
            <w:r>
              <w:rPr>
                <w:kern w:val="0"/>
                <w:sz w:val="21"/>
              </w:rPr>
              <w:t>0</w:t>
            </w:r>
          </w:p>
        </w:tc>
        <w:tc>
          <w:tcPr>
            <w:tcW w:w="1186" w:type="dxa"/>
            <w:vAlign w:val="center"/>
          </w:tcPr>
          <w:p>
            <w:pPr>
              <w:widowControl/>
              <w:adjustRightInd w:val="0"/>
              <w:snapToGrid w:val="0"/>
              <w:spacing w:line="240" w:lineRule="auto"/>
              <w:jc w:val="center"/>
              <w:rPr>
                <w:sz w:val="21"/>
                <w:szCs w:val="21"/>
                <w:highlight w:val="yellow"/>
              </w:rPr>
            </w:pPr>
            <w:r>
              <w:rPr>
                <w:kern w:val="0"/>
                <w:sz w:val="21"/>
              </w:rPr>
              <w:t>每10</w:t>
            </w:r>
            <w:r>
              <w:rPr>
                <w:rFonts w:hint="eastAsia"/>
                <w:kern w:val="0"/>
                <w:sz w:val="21"/>
                <w:lang w:val="en-US" w:eastAsia="zh-CN"/>
              </w:rPr>
              <w:t>0</w:t>
            </w:r>
            <w:r>
              <w:rPr>
                <w:kern w:val="0"/>
                <w:sz w:val="21"/>
              </w:rPr>
              <w:t>m</w:t>
            </w:r>
          </w:p>
        </w:tc>
        <w:tc>
          <w:tcPr>
            <w:tcW w:w="1146" w:type="dxa"/>
            <w:vAlign w:val="center"/>
          </w:tcPr>
          <w:p>
            <w:pPr>
              <w:widowControl/>
              <w:adjustRightInd w:val="0"/>
              <w:snapToGrid w:val="0"/>
              <w:spacing w:line="240" w:lineRule="auto"/>
              <w:jc w:val="center"/>
              <w:rPr>
                <w:kern w:val="0"/>
                <w:sz w:val="21"/>
              </w:rPr>
            </w:pPr>
            <w:r>
              <w:rPr>
                <w:kern w:val="0"/>
                <w:sz w:val="21"/>
              </w:rPr>
              <w:t>1</w:t>
            </w:r>
          </w:p>
        </w:tc>
        <w:tc>
          <w:tcPr>
            <w:tcW w:w="1814" w:type="dxa"/>
            <w:vAlign w:val="center"/>
          </w:tcPr>
          <w:p>
            <w:pPr>
              <w:widowControl/>
              <w:adjustRightInd w:val="0"/>
              <w:snapToGrid w:val="0"/>
              <w:spacing w:line="240" w:lineRule="auto"/>
              <w:jc w:val="center"/>
              <w:rPr>
                <w:kern w:val="0"/>
                <w:sz w:val="21"/>
              </w:rPr>
            </w:pPr>
            <w:r>
              <w:rPr>
                <w:rFonts w:hint="eastAsia"/>
                <w:kern w:val="0"/>
                <w:sz w:val="21"/>
              </w:rPr>
              <w:t>用2</w:t>
            </w:r>
            <w:r>
              <w:rPr>
                <w:kern w:val="0"/>
                <w:sz w:val="21"/>
              </w:rPr>
              <w:t>m靠尺</w:t>
            </w:r>
            <w:r>
              <w:rPr>
                <w:rFonts w:hint="eastAsia"/>
                <w:kern w:val="0"/>
                <w:sz w:val="21"/>
              </w:rPr>
              <w:t>；用</w:t>
            </w:r>
            <w:r>
              <w:rPr>
                <w:kern w:val="0"/>
                <w:sz w:val="21"/>
              </w:rPr>
              <w:t>楔形塞尺量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531" w:type="dxa"/>
            <w:vAlign w:val="center"/>
          </w:tcPr>
          <w:p>
            <w:pPr>
              <w:widowControl/>
              <w:adjustRightInd w:val="0"/>
              <w:snapToGrid w:val="0"/>
              <w:spacing w:line="240" w:lineRule="auto"/>
              <w:jc w:val="center"/>
              <w:rPr>
                <w:kern w:val="0"/>
                <w:sz w:val="21"/>
              </w:rPr>
            </w:pPr>
            <w:r>
              <w:rPr>
                <w:kern w:val="0"/>
                <w:sz w:val="21"/>
              </w:rPr>
              <w:t>4</w:t>
            </w:r>
          </w:p>
        </w:tc>
        <w:tc>
          <w:tcPr>
            <w:tcW w:w="987" w:type="dxa"/>
            <w:vAlign w:val="center"/>
          </w:tcPr>
          <w:p>
            <w:pPr>
              <w:widowControl/>
              <w:adjustRightInd w:val="0"/>
              <w:snapToGrid w:val="0"/>
              <w:spacing w:line="240" w:lineRule="auto"/>
              <w:jc w:val="center"/>
              <w:rPr>
                <w:kern w:val="0"/>
                <w:sz w:val="21"/>
              </w:rPr>
            </w:pPr>
            <w:r>
              <w:rPr>
                <w:rFonts w:hint="eastAsia"/>
                <w:kern w:val="0"/>
                <w:sz w:val="21"/>
              </w:rPr>
              <w:t>分层厚度</w:t>
            </w:r>
          </w:p>
        </w:tc>
        <w:tc>
          <w:tcPr>
            <w:tcW w:w="1650" w:type="dxa"/>
            <w:vAlign w:val="center"/>
          </w:tcPr>
          <w:p>
            <w:pPr>
              <w:widowControl/>
              <w:adjustRightInd w:val="0"/>
              <w:snapToGrid w:val="0"/>
              <w:spacing w:line="240" w:lineRule="auto"/>
              <w:jc w:val="center"/>
              <w:rPr>
                <w:kern w:val="0"/>
                <w:sz w:val="21"/>
              </w:rPr>
            </w:pPr>
            <w:r>
              <w:rPr>
                <w:kern w:val="0"/>
                <w:sz w:val="21"/>
              </w:rPr>
              <w:t>±50</w:t>
            </w:r>
            <w:r>
              <w:rPr>
                <w:rFonts w:hint="eastAsia"/>
                <w:kern w:val="0"/>
                <w:sz w:val="21"/>
              </w:rPr>
              <w:t>mm</w:t>
            </w:r>
          </w:p>
        </w:tc>
        <w:tc>
          <w:tcPr>
            <w:tcW w:w="1186" w:type="dxa"/>
            <w:vAlign w:val="center"/>
          </w:tcPr>
          <w:p>
            <w:pPr>
              <w:widowControl/>
              <w:adjustRightInd w:val="0"/>
              <w:snapToGrid w:val="0"/>
              <w:spacing w:line="240" w:lineRule="auto"/>
              <w:jc w:val="center"/>
              <w:rPr>
                <w:kern w:val="0"/>
                <w:sz w:val="21"/>
              </w:rPr>
            </w:pPr>
            <w:r>
              <w:rPr>
                <w:kern w:val="0"/>
                <w:sz w:val="21"/>
              </w:rPr>
              <w:t>每10</w:t>
            </w:r>
            <w:r>
              <w:rPr>
                <w:rFonts w:hint="eastAsia"/>
                <w:kern w:val="0"/>
                <w:sz w:val="21"/>
                <w:lang w:val="en-US" w:eastAsia="zh-CN"/>
              </w:rPr>
              <w:t>0</w:t>
            </w:r>
            <w:r>
              <w:rPr>
                <w:kern w:val="0"/>
                <w:sz w:val="21"/>
              </w:rPr>
              <w:t>m</w:t>
            </w:r>
          </w:p>
        </w:tc>
        <w:tc>
          <w:tcPr>
            <w:tcW w:w="1146" w:type="dxa"/>
            <w:vAlign w:val="center"/>
          </w:tcPr>
          <w:p>
            <w:pPr>
              <w:widowControl/>
              <w:adjustRightInd w:val="0"/>
              <w:snapToGrid w:val="0"/>
              <w:spacing w:line="240" w:lineRule="auto"/>
              <w:jc w:val="center"/>
              <w:rPr>
                <w:kern w:val="0"/>
                <w:sz w:val="21"/>
              </w:rPr>
            </w:pPr>
            <w:r>
              <w:rPr>
                <w:kern w:val="0"/>
                <w:sz w:val="21"/>
              </w:rPr>
              <w:t>1</w:t>
            </w:r>
          </w:p>
        </w:tc>
        <w:tc>
          <w:tcPr>
            <w:tcW w:w="1814" w:type="dxa"/>
            <w:vAlign w:val="center"/>
          </w:tcPr>
          <w:p>
            <w:pPr>
              <w:widowControl/>
              <w:adjustRightInd w:val="0"/>
              <w:snapToGrid w:val="0"/>
              <w:spacing w:line="240" w:lineRule="auto"/>
              <w:jc w:val="center"/>
              <w:rPr>
                <w:kern w:val="0"/>
                <w:sz w:val="21"/>
              </w:rPr>
            </w:pPr>
            <w:r>
              <w:rPr>
                <w:rFonts w:hint="eastAsia"/>
                <w:kern w:val="0"/>
                <w:sz w:val="21"/>
              </w:rPr>
              <w:t>水准仪测量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531" w:type="dxa"/>
            <w:vAlign w:val="center"/>
          </w:tcPr>
          <w:p>
            <w:pPr>
              <w:widowControl/>
              <w:adjustRightInd w:val="0"/>
              <w:snapToGrid w:val="0"/>
              <w:spacing w:line="240" w:lineRule="auto"/>
              <w:jc w:val="center"/>
              <w:rPr>
                <w:kern w:val="0"/>
                <w:sz w:val="21"/>
              </w:rPr>
            </w:pPr>
            <w:r>
              <w:rPr>
                <w:kern w:val="0"/>
                <w:sz w:val="21"/>
              </w:rPr>
              <w:t>5</w:t>
            </w:r>
          </w:p>
        </w:tc>
        <w:tc>
          <w:tcPr>
            <w:tcW w:w="987" w:type="dxa"/>
            <w:vAlign w:val="center"/>
          </w:tcPr>
          <w:p>
            <w:pPr>
              <w:widowControl/>
              <w:adjustRightInd w:val="0"/>
              <w:snapToGrid w:val="0"/>
              <w:spacing w:line="240" w:lineRule="auto"/>
              <w:jc w:val="center"/>
              <w:rPr>
                <w:kern w:val="0"/>
                <w:sz w:val="21"/>
              </w:rPr>
            </w:pPr>
            <w:r>
              <w:rPr>
                <w:rFonts w:hint="eastAsia"/>
                <w:kern w:val="0"/>
                <w:sz w:val="21"/>
              </w:rPr>
              <w:t>标高</w:t>
            </w:r>
          </w:p>
        </w:tc>
        <w:tc>
          <w:tcPr>
            <w:tcW w:w="1650" w:type="dxa"/>
            <w:vAlign w:val="center"/>
          </w:tcPr>
          <w:p>
            <w:pPr>
              <w:widowControl/>
              <w:adjustRightInd w:val="0"/>
              <w:snapToGrid w:val="0"/>
              <w:spacing w:line="240" w:lineRule="auto"/>
              <w:jc w:val="center"/>
              <w:rPr>
                <w:kern w:val="0"/>
                <w:sz w:val="21"/>
              </w:rPr>
            </w:pPr>
            <w:r>
              <w:rPr>
                <w:kern w:val="0"/>
                <w:sz w:val="21"/>
              </w:rPr>
              <w:t>±10</w:t>
            </w:r>
            <w:r>
              <w:rPr>
                <w:rFonts w:hint="eastAsia"/>
                <w:kern w:val="0"/>
                <w:sz w:val="21"/>
              </w:rPr>
              <w:t>mm</w:t>
            </w:r>
          </w:p>
        </w:tc>
        <w:tc>
          <w:tcPr>
            <w:tcW w:w="1186" w:type="dxa"/>
            <w:vAlign w:val="center"/>
          </w:tcPr>
          <w:p>
            <w:pPr>
              <w:widowControl/>
              <w:adjustRightInd w:val="0"/>
              <w:snapToGrid w:val="0"/>
              <w:spacing w:line="240" w:lineRule="auto"/>
              <w:jc w:val="center"/>
              <w:rPr>
                <w:kern w:val="0"/>
                <w:sz w:val="21"/>
              </w:rPr>
            </w:pPr>
            <w:r>
              <w:rPr>
                <w:kern w:val="0"/>
                <w:sz w:val="21"/>
              </w:rPr>
              <w:t>每10</w:t>
            </w:r>
            <w:r>
              <w:rPr>
                <w:rFonts w:hint="eastAsia"/>
                <w:kern w:val="0"/>
                <w:sz w:val="21"/>
                <w:lang w:val="en-US" w:eastAsia="zh-CN"/>
              </w:rPr>
              <w:t>0</w:t>
            </w:r>
            <w:r>
              <w:rPr>
                <w:kern w:val="0"/>
                <w:sz w:val="21"/>
              </w:rPr>
              <w:t>m</w:t>
            </w:r>
          </w:p>
        </w:tc>
        <w:tc>
          <w:tcPr>
            <w:tcW w:w="1146" w:type="dxa"/>
            <w:vAlign w:val="center"/>
          </w:tcPr>
          <w:p>
            <w:pPr>
              <w:widowControl/>
              <w:adjustRightInd w:val="0"/>
              <w:snapToGrid w:val="0"/>
              <w:spacing w:line="240" w:lineRule="auto"/>
              <w:jc w:val="center"/>
              <w:rPr>
                <w:kern w:val="0"/>
                <w:sz w:val="21"/>
              </w:rPr>
            </w:pPr>
            <w:r>
              <w:rPr>
                <w:rFonts w:hint="eastAsia"/>
                <w:kern w:val="0"/>
                <w:sz w:val="21"/>
              </w:rPr>
              <w:t>1</w:t>
            </w:r>
          </w:p>
        </w:tc>
        <w:tc>
          <w:tcPr>
            <w:tcW w:w="1814" w:type="dxa"/>
            <w:vAlign w:val="center"/>
          </w:tcPr>
          <w:p>
            <w:pPr>
              <w:widowControl/>
              <w:adjustRightInd w:val="0"/>
              <w:snapToGrid w:val="0"/>
              <w:spacing w:line="240" w:lineRule="auto"/>
              <w:jc w:val="center"/>
              <w:rPr>
                <w:kern w:val="0"/>
                <w:sz w:val="21"/>
              </w:rPr>
            </w:pPr>
            <w:r>
              <w:rPr>
                <w:rFonts w:hint="eastAsia"/>
                <w:kern w:val="0"/>
                <w:sz w:val="21"/>
              </w:rPr>
              <w:t>水准仪测量</w:t>
            </w:r>
          </w:p>
        </w:tc>
      </w:tr>
    </w:tbl>
    <w:p>
      <w:pPr>
        <w:numPr>
          <w:ilvl w:val="2"/>
          <w:numId w:val="9"/>
        </w:numPr>
      </w:pPr>
      <w:r>
        <w:rPr>
          <w:rFonts w:hint="eastAsia"/>
        </w:rPr>
        <w:t>混凝土垫层的允许偏差应满足表5.5.6的要求。</w:t>
      </w:r>
    </w:p>
    <w:p>
      <w:pPr>
        <w:pStyle w:val="193"/>
        <w:spacing w:line="360" w:lineRule="auto"/>
        <w:ind w:firstLine="422"/>
        <w:jc w:val="center"/>
        <w:rPr>
          <w:b/>
          <w:sz w:val="21"/>
          <w:szCs w:val="21"/>
        </w:rPr>
      </w:pPr>
      <w:r>
        <w:rPr>
          <w:b/>
          <w:sz w:val="21"/>
          <w:szCs w:val="21"/>
        </w:rPr>
        <w:t>表</w:t>
      </w:r>
      <w:r>
        <w:rPr>
          <w:rFonts w:hint="eastAsia"/>
          <w:b/>
          <w:sz w:val="21"/>
          <w:szCs w:val="21"/>
        </w:rPr>
        <w:t>5.5.6</w:t>
      </w:r>
      <w:r>
        <w:rPr>
          <w:b/>
          <w:sz w:val="21"/>
          <w:szCs w:val="21"/>
        </w:rPr>
        <w:t xml:space="preserve">  </w:t>
      </w:r>
      <w:r>
        <w:rPr>
          <w:rFonts w:hint="eastAsia"/>
          <w:b/>
          <w:sz w:val="21"/>
          <w:szCs w:val="21"/>
        </w:rPr>
        <w:t>混凝土</w:t>
      </w:r>
      <w:r>
        <w:rPr>
          <w:b/>
          <w:sz w:val="21"/>
          <w:szCs w:val="21"/>
        </w:rPr>
        <w:t>垫层允许偏差</w:t>
      </w:r>
    </w:p>
    <w:tbl>
      <w:tblPr>
        <w:tblStyle w:val="39"/>
        <w:tblW w:w="806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3" w:type="dxa"/>
          <w:bottom w:w="0" w:type="dxa"/>
          <w:right w:w="23" w:type="dxa"/>
        </w:tblCellMar>
      </w:tblPr>
      <w:tblGrid>
        <w:gridCol w:w="750"/>
        <w:gridCol w:w="531"/>
        <w:gridCol w:w="987"/>
        <w:gridCol w:w="1650"/>
        <w:gridCol w:w="1186"/>
        <w:gridCol w:w="1146"/>
        <w:gridCol w:w="181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restart"/>
            <w:vAlign w:val="center"/>
          </w:tcPr>
          <w:p>
            <w:pPr>
              <w:widowControl/>
              <w:adjustRightInd w:val="0"/>
              <w:snapToGrid w:val="0"/>
              <w:spacing w:line="240" w:lineRule="auto"/>
              <w:jc w:val="center"/>
              <w:rPr>
                <w:kern w:val="0"/>
                <w:sz w:val="21"/>
              </w:rPr>
            </w:pPr>
            <w:r>
              <w:rPr>
                <w:kern w:val="0"/>
                <w:sz w:val="21"/>
              </w:rPr>
              <w:t>项目</w:t>
            </w:r>
          </w:p>
        </w:tc>
        <w:tc>
          <w:tcPr>
            <w:tcW w:w="1518" w:type="dxa"/>
            <w:gridSpan w:val="2"/>
            <w:vMerge w:val="restart"/>
            <w:vAlign w:val="center"/>
          </w:tcPr>
          <w:p>
            <w:pPr>
              <w:widowControl/>
              <w:adjustRightInd w:val="0"/>
              <w:snapToGrid w:val="0"/>
              <w:spacing w:line="240" w:lineRule="auto"/>
              <w:jc w:val="center"/>
              <w:rPr>
                <w:kern w:val="0"/>
                <w:sz w:val="21"/>
              </w:rPr>
            </w:pPr>
            <w:r>
              <w:rPr>
                <w:kern w:val="0"/>
                <w:sz w:val="21"/>
              </w:rPr>
              <w:t>检查项目</w:t>
            </w:r>
          </w:p>
        </w:tc>
        <w:tc>
          <w:tcPr>
            <w:tcW w:w="1650" w:type="dxa"/>
            <w:vMerge w:val="restart"/>
            <w:vAlign w:val="center"/>
          </w:tcPr>
          <w:p>
            <w:pPr>
              <w:widowControl/>
              <w:adjustRightInd w:val="0"/>
              <w:snapToGrid w:val="0"/>
              <w:spacing w:line="240" w:lineRule="auto"/>
              <w:jc w:val="center"/>
              <w:rPr>
                <w:kern w:val="0"/>
                <w:sz w:val="21"/>
              </w:rPr>
            </w:pPr>
            <w:r>
              <w:rPr>
                <w:kern w:val="0"/>
                <w:sz w:val="21"/>
              </w:rPr>
              <w:t>允许偏差（mm）</w:t>
            </w:r>
          </w:p>
        </w:tc>
        <w:tc>
          <w:tcPr>
            <w:tcW w:w="2332" w:type="dxa"/>
            <w:gridSpan w:val="2"/>
            <w:vAlign w:val="center"/>
          </w:tcPr>
          <w:p>
            <w:pPr>
              <w:widowControl/>
              <w:adjustRightInd w:val="0"/>
              <w:snapToGrid w:val="0"/>
              <w:spacing w:line="240" w:lineRule="auto"/>
              <w:jc w:val="center"/>
              <w:rPr>
                <w:kern w:val="0"/>
                <w:sz w:val="21"/>
              </w:rPr>
            </w:pPr>
            <w:r>
              <w:rPr>
                <w:kern w:val="0"/>
                <w:sz w:val="21"/>
              </w:rPr>
              <w:t>检查数量</w:t>
            </w:r>
          </w:p>
        </w:tc>
        <w:tc>
          <w:tcPr>
            <w:tcW w:w="1814" w:type="dxa"/>
            <w:vMerge w:val="restart"/>
            <w:vAlign w:val="center"/>
          </w:tcPr>
          <w:p>
            <w:pPr>
              <w:widowControl/>
              <w:adjustRightInd w:val="0"/>
              <w:snapToGrid w:val="0"/>
              <w:spacing w:line="240" w:lineRule="auto"/>
              <w:jc w:val="center"/>
              <w:rPr>
                <w:kern w:val="0"/>
                <w:sz w:val="21"/>
              </w:rPr>
            </w:pPr>
            <w:r>
              <w:rPr>
                <w:kern w:val="0"/>
                <w:sz w:val="21"/>
              </w:rPr>
              <w:t>检验方法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1518" w:type="dxa"/>
            <w:gridSpan w:val="2"/>
            <w:vMerge w:val="continue"/>
            <w:vAlign w:val="center"/>
          </w:tcPr>
          <w:p>
            <w:pPr>
              <w:widowControl/>
              <w:adjustRightInd w:val="0"/>
              <w:snapToGrid w:val="0"/>
              <w:spacing w:line="240" w:lineRule="auto"/>
              <w:jc w:val="center"/>
              <w:rPr>
                <w:kern w:val="0"/>
                <w:sz w:val="21"/>
              </w:rPr>
            </w:pPr>
          </w:p>
        </w:tc>
        <w:tc>
          <w:tcPr>
            <w:tcW w:w="1650" w:type="dxa"/>
            <w:vMerge w:val="continue"/>
            <w:vAlign w:val="center"/>
          </w:tcPr>
          <w:p>
            <w:pPr>
              <w:widowControl/>
              <w:adjustRightInd w:val="0"/>
              <w:snapToGrid w:val="0"/>
              <w:spacing w:line="240" w:lineRule="auto"/>
              <w:jc w:val="center"/>
              <w:rPr>
                <w:kern w:val="0"/>
                <w:sz w:val="21"/>
              </w:rPr>
            </w:pPr>
          </w:p>
        </w:tc>
        <w:tc>
          <w:tcPr>
            <w:tcW w:w="1186" w:type="dxa"/>
            <w:vAlign w:val="center"/>
          </w:tcPr>
          <w:p>
            <w:pPr>
              <w:widowControl/>
              <w:adjustRightInd w:val="0"/>
              <w:snapToGrid w:val="0"/>
              <w:spacing w:line="240" w:lineRule="auto"/>
              <w:jc w:val="center"/>
              <w:rPr>
                <w:kern w:val="0"/>
                <w:sz w:val="21"/>
              </w:rPr>
            </w:pPr>
            <w:r>
              <w:rPr>
                <w:kern w:val="0"/>
                <w:sz w:val="21"/>
              </w:rPr>
              <w:t>范围</w:t>
            </w:r>
          </w:p>
        </w:tc>
        <w:tc>
          <w:tcPr>
            <w:tcW w:w="1146" w:type="dxa"/>
            <w:vAlign w:val="center"/>
          </w:tcPr>
          <w:p>
            <w:pPr>
              <w:widowControl/>
              <w:adjustRightInd w:val="0"/>
              <w:snapToGrid w:val="0"/>
              <w:spacing w:line="240" w:lineRule="auto"/>
              <w:jc w:val="center"/>
              <w:rPr>
                <w:kern w:val="0"/>
                <w:sz w:val="21"/>
              </w:rPr>
            </w:pPr>
            <w:r>
              <w:rPr>
                <w:kern w:val="0"/>
                <w:sz w:val="21"/>
              </w:rPr>
              <w:t>点数</w:t>
            </w:r>
          </w:p>
        </w:tc>
        <w:tc>
          <w:tcPr>
            <w:tcW w:w="1814" w:type="dxa"/>
            <w:vMerge w:val="continue"/>
            <w:vAlign w:val="center"/>
          </w:tcPr>
          <w:p>
            <w:pPr>
              <w:widowControl/>
              <w:adjustRightInd w:val="0"/>
              <w:snapToGrid w:val="0"/>
              <w:spacing w:line="240" w:lineRule="auto"/>
              <w:jc w:val="center"/>
              <w:rPr>
                <w:kern w:val="0"/>
                <w:sz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restart"/>
            <w:vAlign w:val="center"/>
          </w:tcPr>
          <w:p>
            <w:pPr>
              <w:widowControl/>
              <w:adjustRightInd w:val="0"/>
              <w:snapToGrid w:val="0"/>
              <w:spacing w:line="240" w:lineRule="auto"/>
              <w:jc w:val="center"/>
              <w:rPr>
                <w:kern w:val="0"/>
                <w:sz w:val="21"/>
              </w:rPr>
            </w:pPr>
            <w:r>
              <w:rPr>
                <w:kern w:val="0"/>
                <w:sz w:val="21"/>
              </w:rPr>
              <w:t>主控项目</w:t>
            </w:r>
          </w:p>
        </w:tc>
        <w:tc>
          <w:tcPr>
            <w:tcW w:w="531" w:type="dxa"/>
            <w:vAlign w:val="center"/>
          </w:tcPr>
          <w:p>
            <w:pPr>
              <w:widowControl/>
              <w:adjustRightInd w:val="0"/>
              <w:snapToGrid w:val="0"/>
              <w:spacing w:line="240" w:lineRule="auto"/>
              <w:jc w:val="center"/>
              <w:rPr>
                <w:kern w:val="0"/>
                <w:sz w:val="21"/>
              </w:rPr>
            </w:pPr>
            <w:r>
              <w:rPr>
                <w:kern w:val="0"/>
                <w:sz w:val="21"/>
              </w:rPr>
              <w:t>1</w:t>
            </w:r>
          </w:p>
        </w:tc>
        <w:tc>
          <w:tcPr>
            <w:tcW w:w="987" w:type="dxa"/>
            <w:vAlign w:val="center"/>
          </w:tcPr>
          <w:p>
            <w:pPr>
              <w:widowControl/>
              <w:adjustRightInd w:val="0"/>
              <w:snapToGrid w:val="0"/>
              <w:spacing w:line="240" w:lineRule="auto"/>
              <w:jc w:val="center"/>
              <w:rPr>
                <w:kern w:val="0"/>
                <w:sz w:val="21"/>
              </w:rPr>
            </w:pPr>
            <w:r>
              <w:rPr>
                <w:kern w:val="0"/>
                <w:sz w:val="21"/>
              </w:rPr>
              <w:t>强度</w:t>
            </w:r>
          </w:p>
        </w:tc>
        <w:tc>
          <w:tcPr>
            <w:tcW w:w="1650" w:type="dxa"/>
            <w:vAlign w:val="center"/>
          </w:tcPr>
          <w:p>
            <w:pPr>
              <w:widowControl/>
              <w:adjustRightInd w:val="0"/>
              <w:snapToGrid w:val="0"/>
              <w:spacing w:line="240" w:lineRule="auto"/>
              <w:jc w:val="center"/>
              <w:rPr>
                <w:kern w:val="0"/>
                <w:sz w:val="21"/>
              </w:rPr>
            </w:pPr>
            <w:r>
              <w:rPr>
                <w:rFonts w:hint="eastAsia"/>
                <w:kern w:val="0"/>
                <w:sz w:val="21"/>
              </w:rPr>
              <w:t>不低于</w:t>
            </w:r>
            <w:r>
              <w:rPr>
                <w:kern w:val="0"/>
                <w:sz w:val="21"/>
              </w:rPr>
              <w:t>设计要求</w:t>
            </w:r>
          </w:p>
        </w:tc>
        <w:tc>
          <w:tcPr>
            <w:tcW w:w="4146" w:type="dxa"/>
            <w:gridSpan w:val="3"/>
            <w:vAlign w:val="center"/>
          </w:tcPr>
          <w:p>
            <w:pPr>
              <w:widowControl/>
              <w:adjustRightInd w:val="0"/>
              <w:snapToGrid w:val="0"/>
              <w:spacing w:line="240" w:lineRule="auto"/>
              <w:jc w:val="center"/>
              <w:rPr>
                <w:kern w:val="0"/>
                <w:sz w:val="21"/>
              </w:rPr>
            </w:pPr>
            <w:r>
              <w:rPr>
                <w:rFonts w:hint="eastAsia"/>
                <w:kern w:val="0"/>
                <w:sz w:val="21"/>
              </w:rPr>
              <w:t>按《混凝土结构工程施工质量验收规范》</w:t>
            </w:r>
          </w:p>
          <w:p>
            <w:pPr>
              <w:widowControl/>
              <w:adjustRightInd w:val="0"/>
              <w:snapToGrid w:val="0"/>
              <w:spacing w:line="240" w:lineRule="auto"/>
              <w:jc w:val="center"/>
              <w:rPr>
                <w:kern w:val="0"/>
                <w:sz w:val="21"/>
              </w:rPr>
            </w:pPr>
            <w:r>
              <w:rPr>
                <w:rFonts w:hint="eastAsia"/>
                <w:kern w:val="0"/>
                <w:sz w:val="21"/>
              </w:rPr>
              <w:t>GB 50204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531" w:type="dxa"/>
            <w:vAlign w:val="center"/>
          </w:tcPr>
          <w:p>
            <w:pPr>
              <w:widowControl/>
              <w:adjustRightInd w:val="0"/>
              <w:snapToGrid w:val="0"/>
              <w:spacing w:line="240" w:lineRule="auto"/>
              <w:jc w:val="center"/>
              <w:rPr>
                <w:kern w:val="0"/>
                <w:sz w:val="21"/>
              </w:rPr>
            </w:pPr>
            <w:r>
              <w:rPr>
                <w:kern w:val="0"/>
                <w:sz w:val="21"/>
              </w:rPr>
              <w:t>2</w:t>
            </w:r>
          </w:p>
        </w:tc>
        <w:tc>
          <w:tcPr>
            <w:tcW w:w="987" w:type="dxa"/>
            <w:vAlign w:val="center"/>
          </w:tcPr>
          <w:p>
            <w:pPr>
              <w:widowControl/>
              <w:adjustRightInd w:val="0"/>
              <w:snapToGrid w:val="0"/>
              <w:spacing w:line="240" w:lineRule="auto"/>
              <w:jc w:val="center"/>
              <w:rPr>
                <w:kern w:val="0"/>
                <w:sz w:val="21"/>
              </w:rPr>
            </w:pPr>
            <w:r>
              <w:rPr>
                <w:kern w:val="0"/>
                <w:sz w:val="21"/>
              </w:rPr>
              <w:t>厚度</w:t>
            </w:r>
          </w:p>
        </w:tc>
        <w:tc>
          <w:tcPr>
            <w:tcW w:w="1650" w:type="dxa"/>
            <w:vAlign w:val="center"/>
          </w:tcPr>
          <w:p>
            <w:pPr>
              <w:widowControl/>
              <w:adjustRightInd w:val="0"/>
              <w:snapToGrid w:val="0"/>
              <w:spacing w:line="240" w:lineRule="auto"/>
              <w:jc w:val="center"/>
              <w:rPr>
                <w:kern w:val="0"/>
                <w:sz w:val="21"/>
              </w:rPr>
            </w:pPr>
            <w:r>
              <w:rPr>
                <w:rFonts w:hint="eastAsia"/>
                <w:kern w:val="0"/>
                <w:sz w:val="21"/>
              </w:rPr>
              <w:t>不小于设计要求</w:t>
            </w:r>
          </w:p>
        </w:tc>
        <w:tc>
          <w:tcPr>
            <w:tcW w:w="1186" w:type="dxa"/>
            <w:vAlign w:val="center"/>
          </w:tcPr>
          <w:p>
            <w:pPr>
              <w:widowControl/>
              <w:adjustRightInd w:val="0"/>
              <w:snapToGrid w:val="0"/>
              <w:spacing w:line="240" w:lineRule="auto"/>
              <w:jc w:val="center"/>
              <w:rPr>
                <w:kern w:val="0"/>
                <w:sz w:val="21"/>
              </w:rPr>
            </w:pPr>
            <w:r>
              <w:rPr>
                <w:kern w:val="0"/>
                <w:sz w:val="21"/>
              </w:rPr>
              <w:t>每</w:t>
            </w:r>
            <w:r>
              <w:rPr>
                <w:rFonts w:hint="eastAsia"/>
                <w:kern w:val="0"/>
                <w:sz w:val="21"/>
                <w:lang w:val="en-US" w:eastAsia="zh-CN"/>
              </w:rPr>
              <w:t>2</w:t>
            </w:r>
            <w:r>
              <w:rPr>
                <w:kern w:val="0"/>
                <w:sz w:val="21"/>
              </w:rPr>
              <w:t>0m</w:t>
            </w:r>
          </w:p>
        </w:tc>
        <w:tc>
          <w:tcPr>
            <w:tcW w:w="1146" w:type="dxa"/>
            <w:vAlign w:val="center"/>
          </w:tcPr>
          <w:p>
            <w:pPr>
              <w:widowControl/>
              <w:adjustRightInd w:val="0"/>
              <w:snapToGrid w:val="0"/>
              <w:spacing w:line="240" w:lineRule="auto"/>
              <w:jc w:val="center"/>
              <w:rPr>
                <w:kern w:val="0"/>
                <w:sz w:val="21"/>
              </w:rPr>
            </w:pPr>
            <w:r>
              <w:rPr>
                <w:kern w:val="0"/>
                <w:sz w:val="21"/>
              </w:rPr>
              <w:t>1</w:t>
            </w:r>
          </w:p>
        </w:tc>
        <w:tc>
          <w:tcPr>
            <w:tcW w:w="1814" w:type="dxa"/>
            <w:vAlign w:val="center"/>
          </w:tcPr>
          <w:p>
            <w:pPr>
              <w:widowControl/>
              <w:adjustRightInd w:val="0"/>
              <w:snapToGrid w:val="0"/>
              <w:spacing w:line="240" w:lineRule="auto"/>
              <w:jc w:val="center"/>
              <w:rPr>
                <w:kern w:val="0"/>
                <w:sz w:val="21"/>
              </w:rPr>
            </w:pPr>
            <w:r>
              <w:rPr>
                <w:rFonts w:hint="eastAsia"/>
                <w:kern w:val="0"/>
                <w:sz w:val="21"/>
              </w:rPr>
              <w:t>用钢尺</w:t>
            </w:r>
            <w:r>
              <w:rPr>
                <w:kern w:val="0"/>
                <w:sz w:val="21"/>
              </w:rPr>
              <w:t>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restart"/>
            <w:vAlign w:val="center"/>
          </w:tcPr>
          <w:p>
            <w:pPr>
              <w:widowControl/>
              <w:adjustRightInd w:val="0"/>
              <w:snapToGrid w:val="0"/>
              <w:spacing w:line="240" w:lineRule="auto"/>
              <w:jc w:val="center"/>
              <w:rPr>
                <w:kern w:val="0"/>
                <w:sz w:val="21"/>
              </w:rPr>
            </w:pPr>
            <w:r>
              <w:rPr>
                <w:kern w:val="0"/>
                <w:sz w:val="21"/>
              </w:rPr>
              <w:t>一般项目</w:t>
            </w:r>
          </w:p>
        </w:tc>
        <w:tc>
          <w:tcPr>
            <w:tcW w:w="531" w:type="dxa"/>
            <w:vAlign w:val="center"/>
          </w:tcPr>
          <w:p>
            <w:pPr>
              <w:widowControl/>
              <w:adjustRightInd w:val="0"/>
              <w:snapToGrid w:val="0"/>
              <w:spacing w:line="240" w:lineRule="auto"/>
              <w:jc w:val="center"/>
              <w:rPr>
                <w:kern w:val="0"/>
                <w:sz w:val="21"/>
              </w:rPr>
            </w:pPr>
            <w:r>
              <w:rPr>
                <w:kern w:val="0"/>
                <w:sz w:val="21"/>
              </w:rPr>
              <w:t>3</w:t>
            </w:r>
          </w:p>
        </w:tc>
        <w:tc>
          <w:tcPr>
            <w:tcW w:w="987" w:type="dxa"/>
            <w:vAlign w:val="center"/>
          </w:tcPr>
          <w:p>
            <w:pPr>
              <w:widowControl/>
              <w:adjustRightInd w:val="0"/>
              <w:snapToGrid w:val="0"/>
              <w:spacing w:line="240" w:lineRule="auto"/>
              <w:jc w:val="center"/>
              <w:rPr>
                <w:kern w:val="0"/>
                <w:sz w:val="21"/>
              </w:rPr>
            </w:pPr>
            <w:r>
              <w:rPr>
                <w:kern w:val="0"/>
                <w:sz w:val="21"/>
              </w:rPr>
              <w:t>平整度</w:t>
            </w:r>
          </w:p>
        </w:tc>
        <w:tc>
          <w:tcPr>
            <w:tcW w:w="1650" w:type="dxa"/>
            <w:vAlign w:val="center"/>
          </w:tcPr>
          <w:p>
            <w:pPr>
              <w:widowControl/>
              <w:adjustRightInd w:val="0"/>
              <w:snapToGrid w:val="0"/>
              <w:spacing w:line="240" w:lineRule="auto"/>
              <w:jc w:val="center"/>
              <w:rPr>
                <w:kern w:val="0"/>
                <w:sz w:val="21"/>
              </w:rPr>
            </w:pPr>
            <w:r>
              <w:rPr>
                <w:rFonts w:hint="eastAsia"/>
                <w:kern w:val="0"/>
                <w:sz w:val="21"/>
              </w:rPr>
              <w:t>3</w:t>
            </w:r>
          </w:p>
        </w:tc>
        <w:tc>
          <w:tcPr>
            <w:tcW w:w="1186" w:type="dxa"/>
            <w:vAlign w:val="center"/>
          </w:tcPr>
          <w:p>
            <w:pPr>
              <w:widowControl/>
              <w:adjustRightInd w:val="0"/>
              <w:snapToGrid w:val="0"/>
              <w:spacing w:line="240" w:lineRule="auto"/>
              <w:jc w:val="center"/>
              <w:rPr>
                <w:kern w:val="0"/>
                <w:sz w:val="21"/>
              </w:rPr>
            </w:pPr>
            <w:r>
              <w:rPr>
                <w:kern w:val="0"/>
                <w:sz w:val="21"/>
              </w:rPr>
              <w:t>每</w:t>
            </w:r>
            <w:r>
              <w:rPr>
                <w:rFonts w:hint="eastAsia"/>
                <w:kern w:val="0"/>
                <w:sz w:val="21"/>
                <w:lang w:val="en-US" w:eastAsia="zh-CN"/>
              </w:rPr>
              <w:t>2</w:t>
            </w:r>
            <w:r>
              <w:rPr>
                <w:kern w:val="0"/>
                <w:sz w:val="21"/>
              </w:rPr>
              <w:t>0m</w:t>
            </w:r>
          </w:p>
        </w:tc>
        <w:tc>
          <w:tcPr>
            <w:tcW w:w="1146" w:type="dxa"/>
            <w:vAlign w:val="center"/>
          </w:tcPr>
          <w:p>
            <w:pPr>
              <w:widowControl/>
              <w:adjustRightInd w:val="0"/>
              <w:snapToGrid w:val="0"/>
              <w:spacing w:line="240" w:lineRule="auto"/>
              <w:jc w:val="center"/>
              <w:rPr>
                <w:kern w:val="0"/>
                <w:sz w:val="21"/>
              </w:rPr>
            </w:pPr>
            <w:r>
              <w:rPr>
                <w:kern w:val="0"/>
                <w:sz w:val="21"/>
              </w:rPr>
              <w:t>1</w:t>
            </w:r>
          </w:p>
        </w:tc>
        <w:tc>
          <w:tcPr>
            <w:tcW w:w="1814" w:type="dxa"/>
            <w:vAlign w:val="center"/>
          </w:tcPr>
          <w:p>
            <w:pPr>
              <w:widowControl/>
              <w:adjustRightInd w:val="0"/>
              <w:snapToGrid w:val="0"/>
              <w:spacing w:line="240" w:lineRule="auto"/>
              <w:jc w:val="center"/>
              <w:rPr>
                <w:kern w:val="0"/>
                <w:sz w:val="21"/>
              </w:rPr>
            </w:pPr>
            <w:r>
              <w:rPr>
                <w:rFonts w:hint="eastAsia"/>
                <w:kern w:val="0"/>
                <w:sz w:val="21"/>
              </w:rPr>
              <w:t>用2</w:t>
            </w:r>
            <w:r>
              <w:rPr>
                <w:kern w:val="0"/>
                <w:sz w:val="21"/>
              </w:rPr>
              <w:t>m靠尺</w:t>
            </w:r>
            <w:r>
              <w:rPr>
                <w:rFonts w:hint="eastAsia"/>
                <w:kern w:val="0"/>
                <w:sz w:val="21"/>
              </w:rPr>
              <w:t>；用</w:t>
            </w:r>
            <w:r>
              <w:rPr>
                <w:kern w:val="0"/>
                <w:sz w:val="21"/>
              </w:rPr>
              <w:t>楔形塞尺量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531" w:type="dxa"/>
            <w:vAlign w:val="center"/>
          </w:tcPr>
          <w:p>
            <w:pPr>
              <w:widowControl/>
              <w:adjustRightInd w:val="0"/>
              <w:snapToGrid w:val="0"/>
              <w:spacing w:line="240" w:lineRule="auto"/>
              <w:jc w:val="center"/>
              <w:rPr>
                <w:kern w:val="0"/>
                <w:sz w:val="21"/>
              </w:rPr>
            </w:pPr>
            <w:r>
              <w:rPr>
                <w:kern w:val="0"/>
                <w:sz w:val="21"/>
              </w:rPr>
              <w:t>4</w:t>
            </w:r>
          </w:p>
        </w:tc>
        <w:tc>
          <w:tcPr>
            <w:tcW w:w="987" w:type="dxa"/>
            <w:vAlign w:val="center"/>
          </w:tcPr>
          <w:p>
            <w:pPr>
              <w:widowControl/>
              <w:adjustRightInd w:val="0"/>
              <w:snapToGrid w:val="0"/>
              <w:spacing w:line="240" w:lineRule="auto"/>
              <w:jc w:val="center"/>
              <w:rPr>
                <w:kern w:val="0"/>
                <w:sz w:val="21"/>
              </w:rPr>
            </w:pPr>
            <w:r>
              <w:rPr>
                <w:kern w:val="0"/>
                <w:sz w:val="21"/>
              </w:rPr>
              <w:t>宽度</w:t>
            </w:r>
          </w:p>
        </w:tc>
        <w:tc>
          <w:tcPr>
            <w:tcW w:w="1650" w:type="dxa"/>
            <w:vAlign w:val="center"/>
          </w:tcPr>
          <w:p>
            <w:pPr>
              <w:widowControl/>
              <w:adjustRightInd w:val="0"/>
              <w:snapToGrid w:val="0"/>
              <w:spacing w:line="240" w:lineRule="auto"/>
              <w:jc w:val="center"/>
              <w:rPr>
                <w:kern w:val="0"/>
                <w:sz w:val="21"/>
              </w:rPr>
            </w:pPr>
            <w:r>
              <w:rPr>
                <w:rFonts w:hint="eastAsia"/>
                <w:kern w:val="0"/>
                <w:sz w:val="21"/>
              </w:rPr>
              <w:t>不小于设计要求</w:t>
            </w:r>
          </w:p>
        </w:tc>
        <w:tc>
          <w:tcPr>
            <w:tcW w:w="1186" w:type="dxa"/>
            <w:vAlign w:val="center"/>
          </w:tcPr>
          <w:p>
            <w:pPr>
              <w:widowControl/>
              <w:adjustRightInd w:val="0"/>
              <w:snapToGrid w:val="0"/>
              <w:spacing w:line="240" w:lineRule="auto"/>
              <w:jc w:val="center"/>
              <w:rPr>
                <w:kern w:val="0"/>
                <w:sz w:val="21"/>
              </w:rPr>
            </w:pPr>
            <w:r>
              <w:rPr>
                <w:kern w:val="0"/>
                <w:sz w:val="21"/>
              </w:rPr>
              <w:t>每</w:t>
            </w:r>
            <w:r>
              <w:rPr>
                <w:rFonts w:hint="eastAsia"/>
                <w:kern w:val="0"/>
                <w:sz w:val="21"/>
                <w:lang w:val="en-US" w:eastAsia="zh-CN"/>
              </w:rPr>
              <w:t>2</w:t>
            </w:r>
            <w:r>
              <w:rPr>
                <w:kern w:val="0"/>
                <w:sz w:val="21"/>
              </w:rPr>
              <w:t>0m</w:t>
            </w:r>
          </w:p>
        </w:tc>
        <w:tc>
          <w:tcPr>
            <w:tcW w:w="1146" w:type="dxa"/>
            <w:vAlign w:val="center"/>
          </w:tcPr>
          <w:p>
            <w:pPr>
              <w:widowControl/>
              <w:adjustRightInd w:val="0"/>
              <w:snapToGrid w:val="0"/>
              <w:spacing w:line="240" w:lineRule="auto"/>
              <w:jc w:val="center"/>
              <w:rPr>
                <w:kern w:val="0"/>
                <w:sz w:val="21"/>
              </w:rPr>
            </w:pPr>
            <w:r>
              <w:rPr>
                <w:kern w:val="0"/>
                <w:sz w:val="21"/>
              </w:rPr>
              <w:t>1</w:t>
            </w:r>
          </w:p>
        </w:tc>
        <w:tc>
          <w:tcPr>
            <w:tcW w:w="1814" w:type="dxa"/>
            <w:vAlign w:val="center"/>
          </w:tcPr>
          <w:p>
            <w:pPr>
              <w:widowControl/>
              <w:adjustRightInd w:val="0"/>
              <w:snapToGrid w:val="0"/>
              <w:spacing w:line="240" w:lineRule="auto"/>
              <w:jc w:val="center"/>
              <w:rPr>
                <w:kern w:val="0"/>
                <w:sz w:val="21"/>
              </w:rPr>
            </w:pPr>
            <w:r>
              <w:rPr>
                <w:rFonts w:hint="eastAsia"/>
                <w:kern w:val="0"/>
                <w:sz w:val="21"/>
              </w:rPr>
              <w:t>用钢尺</w:t>
            </w:r>
            <w:r>
              <w:rPr>
                <w:kern w:val="0"/>
                <w:sz w:val="21"/>
              </w:rPr>
              <w:t>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750" w:type="dxa"/>
            <w:vMerge w:val="continue"/>
            <w:vAlign w:val="center"/>
          </w:tcPr>
          <w:p>
            <w:pPr>
              <w:widowControl/>
              <w:adjustRightInd w:val="0"/>
              <w:snapToGrid w:val="0"/>
              <w:spacing w:line="240" w:lineRule="auto"/>
              <w:jc w:val="center"/>
              <w:rPr>
                <w:kern w:val="0"/>
                <w:sz w:val="21"/>
              </w:rPr>
            </w:pPr>
          </w:p>
        </w:tc>
        <w:tc>
          <w:tcPr>
            <w:tcW w:w="531" w:type="dxa"/>
            <w:vAlign w:val="center"/>
          </w:tcPr>
          <w:p>
            <w:pPr>
              <w:widowControl/>
              <w:adjustRightInd w:val="0"/>
              <w:snapToGrid w:val="0"/>
              <w:spacing w:line="240" w:lineRule="auto"/>
              <w:jc w:val="center"/>
              <w:rPr>
                <w:kern w:val="0"/>
                <w:sz w:val="21"/>
              </w:rPr>
            </w:pPr>
            <w:r>
              <w:rPr>
                <w:kern w:val="0"/>
                <w:sz w:val="21"/>
              </w:rPr>
              <w:t>5</w:t>
            </w:r>
          </w:p>
        </w:tc>
        <w:tc>
          <w:tcPr>
            <w:tcW w:w="987" w:type="dxa"/>
            <w:vAlign w:val="center"/>
          </w:tcPr>
          <w:p>
            <w:pPr>
              <w:widowControl/>
              <w:adjustRightInd w:val="0"/>
              <w:snapToGrid w:val="0"/>
              <w:spacing w:line="240" w:lineRule="auto"/>
              <w:jc w:val="center"/>
              <w:rPr>
                <w:kern w:val="0"/>
                <w:sz w:val="21"/>
              </w:rPr>
            </w:pPr>
            <w:r>
              <w:rPr>
                <w:kern w:val="0"/>
                <w:sz w:val="21"/>
              </w:rPr>
              <w:t>标高</w:t>
            </w:r>
          </w:p>
        </w:tc>
        <w:tc>
          <w:tcPr>
            <w:tcW w:w="1650" w:type="dxa"/>
            <w:vAlign w:val="center"/>
          </w:tcPr>
          <w:p>
            <w:pPr>
              <w:widowControl/>
              <w:adjustRightInd w:val="0"/>
              <w:snapToGrid w:val="0"/>
              <w:spacing w:line="240" w:lineRule="auto"/>
              <w:jc w:val="center"/>
              <w:rPr>
                <w:kern w:val="0"/>
                <w:sz w:val="21"/>
              </w:rPr>
            </w:pPr>
            <w:r>
              <w:rPr>
                <w:kern w:val="0"/>
                <w:sz w:val="21"/>
              </w:rPr>
              <w:t>±</w:t>
            </w:r>
            <w:r>
              <w:rPr>
                <w:rFonts w:hint="eastAsia"/>
                <w:kern w:val="0"/>
                <w:sz w:val="21"/>
              </w:rPr>
              <w:t>1</w:t>
            </w:r>
            <w:r>
              <w:rPr>
                <w:kern w:val="0"/>
                <w:sz w:val="21"/>
              </w:rPr>
              <w:t>0</w:t>
            </w:r>
          </w:p>
        </w:tc>
        <w:tc>
          <w:tcPr>
            <w:tcW w:w="1186" w:type="dxa"/>
            <w:vAlign w:val="center"/>
          </w:tcPr>
          <w:p>
            <w:pPr>
              <w:widowControl/>
              <w:adjustRightInd w:val="0"/>
              <w:snapToGrid w:val="0"/>
              <w:spacing w:line="240" w:lineRule="auto"/>
              <w:jc w:val="center"/>
              <w:rPr>
                <w:kern w:val="0"/>
                <w:sz w:val="21"/>
              </w:rPr>
            </w:pPr>
            <w:r>
              <w:rPr>
                <w:kern w:val="0"/>
                <w:sz w:val="21"/>
              </w:rPr>
              <w:t>每</w:t>
            </w:r>
            <w:r>
              <w:rPr>
                <w:rFonts w:hint="eastAsia"/>
                <w:kern w:val="0"/>
                <w:sz w:val="21"/>
                <w:lang w:val="en-US" w:eastAsia="zh-CN"/>
              </w:rPr>
              <w:t>2</w:t>
            </w:r>
            <w:r>
              <w:rPr>
                <w:kern w:val="0"/>
                <w:sz w:val="21"/>
              </w:rPr>
              <w:t>0m</w:t>
            </w:r>
          </w:p>
        </w:tc>
        <w:tc>
          <w:tcPr>
            <w:tcW w:w="1146" w:type="dxa"/>
            <w:vAlign w:val="center"/>
          </w:tcPr>
          <w:p>
            <w:pPr>
              <w:widowControl/>
              <w:adjustRightInd w:val="0"/>
              <w:snapToGrid w:val="0"/>
              <w:spacing w:line="240" w:lineRule="auto"/>
              <w:jc w:val="center"/>
              <w:rPr>
                <w:kern w:val="0"/>
                <w:sz w:val="21"/>
              </w:rPr>
            </w:pPr>
            <w:r>
              <w:rPr>
                <w:kern w:val="0"/>
                <w:sz w:val="21"/>
              </w:rPr>
              <w:t>1</w:t>
            </w:r>
          </w:p>
        </w:tc>
        <w:tc>
          <w:tcPr>
            <w:tcW w:w="1814" w:type="dxa"/>
            <w:vAlign w:val="center"/>
          </w:tcPr>
          <w:p>
            <w:pPr>
              <w:widowControl/>
              <w:adjustRightInd w:val="0"/>
              <w:snapToGrid w:val="0"/>
              <w:spacing w:line="240" w:lineRule="auto"/>
              <w:jc w:val="center"/>
              <w:rPr>
                <w:kern w:val="0"/>
                <w:sz w:val="21"/>
              </w:rPr>
            </w:pPr>
            <w:r>
              <w:rPr>
                <w:kern w:val="0"/>
                <w:sz w:val="21"/>
              </w:rPr>
              <w:t>水准仪测量</w:t>
            </w:r>
          </w:p>
        </w:tc>
      </w:tr>
    </w:tbl>
    <w:p>
      <w:pPr>
        <w:ind w:firstLine="480"/>
      </w:pPr>
      <w:r>
        <w:br w:type="page"/>
      </w:r>
    </w:p>
    <w:p>
      <w:pPr>
        <w:pStyle w:val="2"/>
        <w:spacing w:before="332"/>
        <w:rPr>
          <w:rFonts w:cs="Times New Roman" w:eastAsiaTheme="minorEastAsia"/>
          <w:szCs w:val="32"/>
        </w:rPr>
      </w:pPr>
      <w:bookmarkStart w:id="205" w:name="_Toc6954"/>
      <w:bookmarkStart w:id="206" w:name="_Toc16748"/>
      <w:bookmarkStart w:id="207" w:name="_Toc14645"/>
      <w:bookmarkStart w:id="208" w:name="_Toc32663"/>
      <w:bookmarkStart w:id="209" w:name="_Toc25756"/>
      <w:bookmarkStart w:id="210" w:name="_Toc18649"/>
      <w:r>
        <w:rPr>
          <w:rFonts w:cs="Times New Roman" w:eastAsiaTheme="minorEastAsia"/>
          <w:szCs w:val="32"/>
        </w:rPr>
        <w:t xml:space="preserve">6 </w:t>
      </w:r>
      <w:r>
        <w:rPr>
          <w:rFonts w:hint="eastAsia" w:cs="Times New Roman" w:eastAsiaTheme="minorEastAsia"/>
          <w:szCs w:val="32"/>
        </w:rPr>
        <w:t xml:space="preserve"> </w:t>
      </w:r>
      <w:r>
        <w:rPr>
          <w:rFonts w:cs="Times New Roman" w:eastAsiaTheme="minorEastAsia"/>
          <w:szCs w:val="32"/>
        </w:rPr>
        <w:t>节段预制管廊的装配</w:t>
      </w:r>
      <w:bookmarkEnd w:id="205"/>
      <w:bookmarkEnd w:id="206"/>
      <w:bookmarkEnd w:id="207"/>
      <w:bookmarkEnd w:id="208"/>
      <w:bookmarkEnd w:id="209"/>
      <w:bookmarkEnd w:id="210"/>
    </w:p>
    <w:p>
      <w:pPr>
        <w:pStyle w:val="3"/>
      </w:pPr>
      <w:bookmarkStart w:id="211" w:name="_Toc25648"/>
      <w:bookmarkStart w:id="212" w:name="_Toc28203"/>
      <w:bookmarkStart w:id="213" w:name="_Toc1449"/>
      <w:bookmarkStart w:id="214" w:name="_Toc21382"/>
      <w:bookmarkStart w:id="215" w:name="_Toc21099"/>
      <w:bookmarkStart w:id="216" w:name="_Toc20040"/>
      <w:r>
        <w:t>6.1</w:t>
      </w:r>
      <w:r>
        <w:rPr>
          <w:rFonts w:hint="eastAsia"/>
        </w:rPr>
        <w:t xml:space="preserve"> </w:t>
      </w:r>
      <w:r>
        <w:t xml:space="preserve"> </w:t>
      </w:r>
      <w:r>
        <w:rPr>
          <w:rFonts w:hint="eastAsia"/>
        </w:rPr>
        <w:t>一般规定</w:t>
      </w:r>
      <w:bookmarkEnd w:id="211"/>
      <w:bookmarkEnd w:id="212"/>
      <w:bookmarkEnd w:id="213"/>
      <w:bookmarkEnd w:id="214"/>
      <w:bookmarkEnd w:id="215"/>
      <w:bookmarkEnd w:id="216"/>
    </w:p>
    <w:p>
      <w:r>
        <w:rPr>
          <w:rFonts w:hint="eastAsia"/>
          <w:b/>
        </w:rPr>
        <w:t>6.1.1</w:t>
      </w:r>
      <w:r>
        <w:rPr>
          <w:rFonts w:hint="eastAsia"/>
        </w:rPr>
        <w:t xml:space="preserve"> </w:t>
      </w:r>
      <w:r>
        <w:t xml:space="preserve"> </w:t>
      </w:r>
      <w:r>
        <w:rPr>
          <w:rFonts w:hint="eastAsia"/>
        </w:rPr>
        <w:t>对于超高、超宽、超</w:t>
      </w:r>
      <w:r>
        <w:rPr>
          <w:rFonts w:hint="eastAsia"/>
          <w:lang w:val="en-US" w:eastAsia="zh-CN"/>
        </w:rPr>
        <w:t>重</w:t>
      </w:r>
      <w:r>
        <w:rPr>
          <w:rFonts w:hint="eastAsia"/>
        </w:rPr>
        <w:t>、形状特殊的大型管廊预制构件的运输应取得道路交通管理部门的审批，并采取相应的安全保证措施。</w:t>
      </w:r>
    </w:p>
    <w:p>
      <w:r>
        <w:rPr>
          <w:rFonts w:hint="eastAsia"/>
          <w:b/>
        </w:rPr>
        <w:t>6.1.2</w:t>
      </w:r>
      <w:r>
        <w:rPr>
          <w:rFonts w:hint="eastAsia"/>
        </w:rPr>
        <w:t xml:space="preserve"> </w:t>
      </w:r>
      <w:r>
        <w:t xml:space="preserve"> </w:t>
      </w:r>
      <w:r>
        <w:rPr>
          <w:rFonts w:hint="eastAsia"/>
        </w:rPr>
        <w:t>预制构件进场后，应检查其质量证明文件及合格证，并应对预制构件的外观质量、尺寸、预埋件及预留孔洞数量、位置等进行检查。</w:t>
      </w:r>
    </w:p>
    <w:p>
      <w:pPr>
        <w:rPr>
          <w:strike/>
        </w:rPr>
      </w:pPr>
      <w:r>
        <w:rPr>
          <w:rFonts w:hint="eastAsia"/>
          <w:b/>
        </w:rPr>
        <w:t>6.1.3</w:t>
      </w:r>
      <w:r>
        <w:rPr>
          <w:rFonts w:hint="eastAsia"/>
        </w:rPr>
        <w:t xml:space="preserve"> </w:t>
      </w:r>
      <w:r>
        <w:t xml:space="preserve"> </w:t>
      </w:r>
      <w:r>
        <w:rPr>
          <w:rFonts w:hint="eastAsia"/>
        </w:rPr>
        <w:t>正式吊装构件前，应进行试吊，对吊具、吊环等的安全性进行确认。</w:t>
      </w:r>
    </w:p>
    <w:p>
      <w:pPr>
        <w:ind w:firstLine="480"/>
      </w:pPr>
    </w:p>
    <w:p>
      <w:pPr>
        <w:pStyle w:val="3"/>
      </w:pPr>
      <w:bookmarkStart w:id="217" w:name="_Toc523"/>
      <w:bookmarkStart w:id="218" w:name="_Toc23178"/>
      <w:bookmarkStart w:id="219" w:name="_Toc26306"/>
      <w:bookmarkStart w:id="220" w:name="_Toc26650"/>
      <w:bookmarkStart w:id="221" w:name="_Toc18818"/>
      <w:bookmarkStart w:id="222" w:name="_Toc1438"/>
      <w:r>
        <w:t xml:space="preserve">6.2 </w:t>
      </w:r>
      <w:r>
        <w:rPr>
          <w:rFonts w:hint="eastAsia"/>
        </w:rPr>
        <w:t xml:space="preserve"> 节段管廊安装</w:t>
      </w:r>
      <w:bookmarkEnd w:id="217"/>
      <w:bookmarkEnd w:id="218"/>
      <w:bookmarkEnd w:id="219"/>
      <w:bookmarkEnd w:id="220"/>
      <w:bookmarkEnd w:id="221"/>
      <w:bookmarkEnd w:id="222"/>
    </w:p>
    <w:p>
      <w:r>
        <w:rPr>
          <w:rFonts w:hint="eastAsia"/>
          <w:b/>
        </w:rPr>
        <w:t>6</w:t>
      </w:r>
      <w:r>
        <w:rPr>
          <w:b/>
        </w:rPr>
        <w:t>.</w:t>
      </w:r>
      <w:r>
        <w:rPr>
          <w:rFonts w:hint="eastAsia"/>
          <w:b/>
        </w:rPr>
        <w:t xml:space="preserve">2.1  </w:t>
      </w:r>
      <w:r>
        <w:rPr>
          <w:rFonts w:hint="eastAsia"/>
        </w:rPr>
        <w:t>应根据构件尺寸重量、起重设备条件、现场周边环境等情况，选择合适的管廊节段安装方案，编制构件安装专项施工方案。</w:t>
      </w:r>
    </w:p>
    <w:p>
      <w:r>
        <w:rPr>
          <w:rFonts w:hint="eastAsia"/>
          <w:b/>
        </w:rPr>
        <w:t>6</w:t>
      </w:r>
      <w:r>
        <w:rPr>
          <w:b/>
        </w:rPr>
        <w:t>.</w:t>
      </w:r>
      <w:r>
        <w:rPr>
          <w:rFonts w:hint="eastAsia"/>
          <w:b/>
        </w:rPr>
        <w:t>2.</w:t>
      </w:r>
      <w:r>
        <w:rPr>
          <w:rFonts w:hint="eastAsia"/>
          <w:b/>
          <w:lang w:val="en-US" w:eastAsia="zh-CN"/>
        </w:rPr>
        <w:t>2</w:t>
      </w:r>
      <w:r>
        <w:t xml:space="preserve"> </w:t>
      </w:r>
      <w:r>
        <w:rPr>
          <w:rFonts w:hint="eastAsia"/>
        </w:rPr>
        <w:t xml:space="preserve"> 管廊节段安装施工前，应做好下列准备工作：</w:t>
      </w:r>
    </w:p>
    <w:p>
      <w:pPr>
        <w:ind w:firstLine="480"/>
        <w:rPr>
          <w:rFonts w:hint="eastAsia" w:eastAsia="宋体"/>
          <w:lang w:eastAsia="zh-CN"/>
        </w:rPr>
      </w:pPr>
      <w:r>
        <w:rPr>
          <w:rFonts w:hint="eastAsia"/>
        </w:rPr>
        <w:t>1  应对构件规格尺寸、外观、裂缝等情况进行检查，规格尺寸应满足设计要求，外观和裂缝情况应符合现行国家标准《混凝土结构工程施工质量验收规范》GB 50204的规定</w:t>
      </w:r>
      <w:r>
        <w:rPr>
          <w:rFonts w:hint="eastAsia"/>
          <w:lang w:eastAsia="zh-CN"/>
        </w:rPr>
        <w:t>；</w:t>
      </w:r>
    </w:p>
    <w:p>
      <w:pPr>
        <w:ind w:firstLine="480"/>
        <w:rPr>
          <w:rFonts w:hint="eastAsia" w:eastAsia="宋体"/>
          <w:lang w:eastAsia="zh-CN"/>
        </w:rPr>
      </w:pPr>
      <w:r>
        <w:rPr>
          <w:rFonts w:hint="eastAsia"/>
        </w:rPr>
        <w:t>2  预制</w:t>
      </w:r>
      <w:r>
        <w:rPr>
          <w:rFonts w:hint="eastAsia"/>
          <w:lang w:val="en-US" w:eastAsia="zh-CN"/>
        </w:rPr>
        <w:t>节段</w:t>
      </w:r>
      <w:r>
        <w:rPr>
          <w:rFonts w:hint="eastAsia"/>
        </w:rPr>
        <w:t>构件吊装时，混凝土强度不应低于设计所要求的吊装强度，且不应低于设计强度的</w:t>
      </w:r>
      <w:r>
        <w:rPr>
          <w:rFonts w:hint="eastAsia"/>
          <w:lang w:val="en-US" w:eastAsia="zh-CN"/>
        </w:rPr>
        <w:t>75</w:t>
      </w:r>
      <w:r>
        <w:rPr>
          <w:rFonts w:hint="eastAsia"/>
        </w:rPr>
        <w:t>％</w:t>
      </w:r>
      <w:r>
        <w:rPr>
          <w:rFonts w:hint="eastAsia"/>
          <w:lang w:eastAsia="zh-CN"/>
        </w:rPr>
        <w:t>；</w:t>
      </w:r>
    </w:p>
    <w:p>
      <w:pPr>
        <w:ind w:firstLine="480"/>
        <w:rPr>
          <w:rFonts w:hint="eastAsia" w:eastAsia="宋体"/>
          <w:lang w:eastAsia="zh-CN"/>
        </w:rPr>
      </w:pPr>
      <w:r>
        <w:t>3</w:t>
      </w:r>
      <w:r>
        <w:rPr>
          <w:rFonts w:hint="eastAsia"/>
        </w:rPr>
        <w:t xml:space="preserve">  当管廊构件混凝土出现裂缝，且裂缝宽度大于0</w:t>
      </w:r>
      <w:r>
        <w:t>.</w:t>
      </w:r>
      <w:r>
        <w:rPr>
          <w:rFonts w:hint="eastAsia"/>
          <w:lang w:val="en-US" w:eastAsia="zh-CN"/>
        </w:rPr>
        <w:t>05</w:t>
      </w:r>
      <w:r>
        <w:t>mm</w:t>
      </w:r>
      <w:r>
        <w:rPr>
          <w:rFonts w:hint="eastAsia"/>
        </w:rPr>
        <w:t>时，应进行质量鉴定。预制构件在制作、运输过程造成刮擦、碰撞掉角等质量缺陷的，在安装前应进行修补</w:t>
      </w:r>
      <w:r>
        <w:rPr>
          <w:rFonts w:hint="eastAsia"/>
          <w:lang w:eastAsia="zh-CN"/>
        </w:rPr>
        <w:t>；</w:t>
      </w:r>
    </w:p>
    <w:p>
      <w:pPr>
        <w:ind w:firstLine="480"/>
        <w:rPr>
          <w:rFonts w:hint="eastAsia" w:eastAsia="宋体"/>
          <w:lang w:eastAsia="zh-CN"/>
        </w:rPr>
      </w:pPr>
      <w:r>
        <w:t>4</w:t>
      </w:r>
      <w:r>
        <w:rPr>
          <w:rFonts w:hint="eastAsia"/>
        </w:rPr>
        <w:t xml:space="preserve">  应复核构件安装位置、预埋吊件、预留孔洞、连接构造等是否满足要求</w:t>
      </w:r>
      <w:r>
        <w:rPr>
          <w:rFonts w:hint="eastAsia"/>
          <w:lang w:eastAsia="zh-CN"/>
        </w:rPr>
        <w:t>；</w:t>
      </w:r>
    </w:p>
    <w:p>
      <w:pPr>
        <w:ind w:firstLine="480"/>
        <w:rPr>
          <w:rFonts w:hint="eastAsia" w:eastAsia="宋体"/>
          <w:lang w:eastAsia="zh-CN"/>
        </w:rPr>
      </w:pPr>
      <w:r>
        <w:rPr>
          <w:rFonts w:hint="eastAsia"/>
        </w:rPr>
        <w:t>5  应进行测量放线，在构件上设置安装定位标志，并在垫层上应标出构件安装控制线、轮廓线、高程控制点</w:t>
      </w:r>
      <w:r>
        <w:rPr>
          <w:rFonts w:hint="eastAsia"/>
          <w:lang w:eastAsia="zh-CN"/>
        </w:rPr>
        <w:t>；</w:t>
      </w:r>
    </w:p>
    <w:p>
      <w:pPr>
        <w:ind w:firstLine="480"/>
        <w:rPr>
          <w:rFonts w:hint="eastAsia" w:eastAsia="宋体"/>
          <w:lang w:eastAsia="zh-CN"/>
        </w:rPr>
      </w:pPr>
      <w:r>
        <w:t>6</w:t>
      </w:r>
      <w:r>
        <w:rPr>
          <w:rFonts w:hint="eastAsia"/>
        </w:rPr>
        <w:t xml:space="preserve">  应检查吊装设备、吊具、索具等处于安全操作状态</w:t>
      </w:r>
      <w:r>
        <w:rPr>
          <w:rFonts w:hint="eastAsia"/>
          <w:lang w:eastAsia="zh-CN"/>
        </w:rPr>
        <w:t>；</w:t>
      </w:r>
    </w:p>
    <w:p>
      <w:pPr>
        <w:ind w:firstLine="480"/>
        <w:rPr>
          <w:rFonts w:hint="eastAsia" w:eastAsia="宋体"/>
          <w:lang w:eastAsia="zh-CN"/>
        </w:rPr>
      </w:pPr>
      <w:r>
        <w:rPr>
          <w:rFonts w:hint="eastAsia"/>
        </w:rPr>
        <w:t>7  现场环境、天气、道路状况等应满足安装施工要求</w:t>
      </w:r>
      <w:r>
        <w:rPr>
          <w:rFonts w:hint="eastAsia"/>
          <w:lang w:eastAsia="zh-CN"/>
        </w:rPr>
        <w:t>；</w:t>
      </w:r>
    </w:p>
    <w:p>
      <w:pPr>
        <w:ind w:firstLine="480"/>
      </w:pPr>
      <w:r>
        <w:rPr>
          <w:rFonts w:hint="eastAsia"/>
        </w:rPr>
        <w:t>8  连接面应清理干净，应按设计要求安装橡胶密封垫及涂抹密封胶等，涂抹密封胶的时机应满足产品性能要求。</w:t>
      </w:r>
    </w:p>
    <w:p>
      <w:r>
        <w:rPr>
          <w:rFonts w:hint="eastAsia"/>
          <w:b/>
        </w:rPr>
        <w:t>6</w:t>
      </w:r>
      <w:r>
        <w:rPr>
          <w:b/>
        </w:rPr>
        <w:t>.</w:t>
      </w:r>
      <w:r>
        <w:rPr>
          <w:rFonts w:hint="eastAsia"/>
          <w:b/>
        </w:rPr>
        <w:t>2</w:t>
      </w:r>
      <w:r>
        <w:rPr>
          <w:b/>
        </w:rPr>
        <w:t>.</w:t>
      </w:r>
      <w:r>
        <w:rPr>
          <w:rFonts w:hint="eastAsia"/>
          <w:b/>
          <w:lang w:val="en-US" w:eastAsia="zh-CN"/>
        </w:rPr>
        <w:t>3</w:t>
      </w:r>
      <w:r>
        <w:t xml:space="preserve"> </w:t>
      </w:r>
      <w:r>
        <w:rPr>
          <w:rFonts w:hint="eastAsia"/>
        </w:rPr>
        <w:t xml:space="preserve"> 在管廊节段大面积安装施工前，宜选择有代表性的预制构件进行试安装，并根据试安装结果及时调整安装施工方案。</w:t>
      </w:r>
    </w:p>
    <w:p>
      <w:r>
        <w:rPr>
          <w:rFonts w:hint="eastAsia"/>
          <w:b/>
        </w:rPr>
        <w:t>6</w:t>
      </w:r>
      <w:r>
        <w:rPr>
          <w:b/>
        </w:rPr>
        <w:t>.</w:t>
      </w:r>
      <w:r>
        <w:rPr>
          <w:rFonts w:hint="eastAsia"/>
          <w:b/>
        </w:rPr>
        <w:t>2</w:t>
      </w:r>
      <w:r>
        <w:rPr>
          <w:b/>
        </w:rPr>
        <w:t>.</w:t>
      </w:r>
      <w:r>
        <w:rPr>
          <w:rFonts w:hint="eastAsia"/>
          <w:b/>
          <w:lang w:val="en-US" w:eastAsia="zh-CN"/>
        </w:rPr>
        <w:t>4</w:t>
      </w:r>
      <w:r>
        <w:rPr>
          <w:rFonts w:hint="eastAsia"/>
          <w:b/>
        </w:rPr>
        <w:t xml:space="preserve">  </w:t>
      </w:r>
      <w:r>
        <w:rPr>
          <w:rFonts w:hint="eastAsia"/>
        </w:rPr>
        <w:t>采用起重机</w:t>
      </w:r>
      <w:r>
        <w:rPr>
          <w:rFonts w:hint="eastAsia"/>
          <w:lang w:val="en-US" w:eastAsia="zh-CN"/>
        </w:rPr>
        <w:t>直接</w:t>
      </w:r>
      <w:r>
        <w:rPr>
          <w:rFonts w:hint="eastAsia"/>
        </w:rPr>
        <w:t>安装</w:t>
      </w:r>
      <w:r>
        <w:rPr>
          <w:rFonts w:hint="eastAsia"/>
          <w:lang w:val="en-US" w:eastAsia="zh-CN"/>
        </w:rPr>
        <w:t>法</w:t>
      </w:r>
      <w:r>
        <w:rPr>
          <w:rFonts w:hint="eastAsia"/>
        </w:rPr>
        <w:t>进行管廊节段安装施工，应符合下列规定：</w:t>
      </w:r>
    </w:p>
    <w:p>
      <w:pPr>
        <w:ind w:firstLine="480" w:firstLineChars="200"/>
        <w:rPr>
          <w:rFonts w:hint="eastAsia" w:eastAsia="宋体"/>
          <w:lang w:eastAsia="zh-CN"/>
        </w:rPr>
      </w:pPr>
      <w:r>
        <w:t>1</w:t>
      </w:r>
      <w:r>
        <w:rPr>
          <w:rFonts w:hint="eastAsia"/>
        </w:rPr>
        <w:t xml:space="preserve">  起重机的种类和型号</w:t>
      </w:r>
      <w:r>
        <w:rPr>
          <w:rFonts w:hint="eastAsia"/>
          <w:lang w:eastAsia="zh-CN"/>
        </w:rPr>
        <w:t>应</w:t>
      </w:r>
      <w:r>
        <w:rPr>
          <w:rFonts w:hint="eastAsia"/>
        </w:rPr>
        <w:t>根据工程现场条件选用</w:t>
      </w:r>
      <w:r>
        <w:rPr>
          <w:rFonts w:hint="eastAsia"/>
          <w:lang w:eastAsia="zh-CN"/>
        </w:rPr>
        <w:t>；</w:t>
      </w:r>
    </w:p>
    <w:p>
      <w:pPr>
        <w:ind w:firstLine="480" w:firstLineChars="200"/>
        <w:rPr>
          <w:rFonts w:hint="eastAsia" w:eastAsia="宋体"/>
          <w:lang w:eastAsia="zh-CN"/>
        </w:rPr>
      </w:pPr>
      <w:r>
        <w:rPr>
          <w:rFonts w:hint="eastAsia"/>
        </w:rPr>
        <w:t>2  起重机的支腿或行走轨道设置在基坑外侧时，应验算基坑支护体系在各吊装工况下的安全性</w:t>
      </w:r>
      <w:r>
        <w:rPr>
          <w:rFonts w:hint="eastAsia"/>
          <w:lang w:eastAsia="zh-CN"/>
        </w:rPr>
        <w:t>；</w:t>
      </w:r>
    </w:p>
    <w:p>
      <w:pPr>
        <w:ind w:firstLine="480" w:firstLineChars="200"/>
        <w:rPr>
          <w:rFonts w:hint="eastAsia" w:eastAsia="宋体"/>
          <w:lang w:eastAsia="zh-CN"/>
        </w:rPr>
      </w:pPr>
      <w:r>
        <w:rPr>
          <w:rFonts w:hint="eastAsia"/>
        </w:rPr>
        <w:t>3  起重机规格型号应满足构件吊装安全要求，起重机应处于良好工作状态</w:t>
      </w:r>
      <w:r>
        <w:rPr>
          <w:rFonts w:hint="eastAsia"/>
          <w:lang w:eastAsia="zh-CN"/>
        </w:rPr>
        <w:t>；</w:t>
      </w:r>
    </w:p>
    <w:p>
      <w:pPr>
        <w:ind w:firstLine="480" w:firstLineChars="200"/>
        <w:rPr>
          <w:rFonts w:hint="eastAsia" w:eastAsia="宋体"/>
          <w:lang w:eastAsia="zh-CN"/>
        </w:rPr>
      </w:pPr>
      <w:r>
        <w:t>4</w:t>
      </w:r>
      <w:r>
        <w:rPr>
          <w:rFonts w:hint="eastAsia"/>
        </w:rPr>
        <w:t xml:space="preserve">  管廊构件不宜采用捆绑吊装，宜采用预埋吊件（</w:t>
      </w:r>
      <w:r>
        <w:rPr>
          <w:rFonts w:hint="eastAsia"/>
          <w:lang w:eastAsia="zh-CN"/>
        </w:rPr>
        <w:t>吊孔、</w:t>
      </w:r>
      <w:r>
        <w:rPr>
          <w:rFonts w:hint="eastAsia"/>
        </w:rPr>
        <w:t>吊钉、吊环等）吊装。构件吊点设置应满足设计图纸和施工方案要求</w:t>
      </w:r>
      <w:r>
        <w:rPr>
          <w:rFonts w:hint="eastAsia"/>
          <w:lang w:eastAsia="zh-CN"/>
        </w:rPr>
        <w:t>；</w:t>
      </w:r>
    </w:p>
    <w:p>
      <w:pPr>
        <w:ind w:firstLine="480" w:firstLineChars="200"/>
        <w:rPr>
          <w:rFonts w:hint="eastAsia" w:eastAsia="宋体"/>
          <w:lang w:eastAsia="zh-CN"/>
        </w:rPr>
      </w:pPr>
      <w:r>
        <w:t>5</w:t>
      </w:r>
      <w:r>
        <w:rPr>
          <w:rFonts w:hint="eastAsia"/>
        </w:rPr>
        <w:t xml:space="preserve">  吊索具的规格型号应满足构件吊装要求，尺寸和重量较大的构件宜采用有分配梁或分配桁架的吊具</w:t>
      </w:r>
      <w:r>
        <w:rPr>
          <w:rFonts w:hint="eastAsia"/>
          <w:lang w:eastAsia="zh-CN"/>
        </w:rPr>
        <w:t>；</w:t>
      </w:r>
    </w:p>
    <w:p>
      <w:pPr>
        <w:ind w:firstLine="480"/>
        <w:rPr>
          <w:rFonts w:hint="eastAsia" w:eastAsia="宋体"/>
          <w:lang w:eastAsia="zh-CN"/>
        </w:rPr>
      </w:pPr>
      <w:r>
        <w:t>6</w:t>
      </w:r>
      <w:r>
        <w:rPr>
          <w:rFonts w:hint="eastAsia"/>
        </w:rPr>
        <w:t xml:space="preserve">  吊装绳缆宜采用钢丝绳。吊装时，绳缆与水平线的夹角不宜小于60°，且不应小于4</w:t>
      </w:r>
      <w:r>
        <w:t>5</w:t>
      </w:r>
      <w:r>
        <w:rPr>
          <w:rFonts w:hint="eastAsia"/>
        </w:rPr>
        <w:t>°</w:t>
      </w:r>
      <w:r>
        <w:rPr>
          <w:rFonts w:hint="eastAsia"/>
          <w:lang w:eastAsia="zh-CN"/>
        </w:rPr>
        <w:t>；</w:t>
      </w:r>
    </w:p>
    <w:p>
      <w:pPr>
        <w:ind w:firstLine="480"/>
        <w:rPr>
          <w:rFonts w:hint="eastAsia" w:eastAsia="宋体"/>
          <w:lang w:eastAsia="zh-CN"/>
        </w:rPr>
      </w:pPr>
      <w:r>
        <w:t>7</w:t>
      </w:r>
      <w:r>
        <w:rPr>
          <w:rFonts w:hint="eastAsia"/>
        </w:rPr>
        <w:t xml:space="preserve">  起重机起吊</w:t>
      </w:r>
      <w:r>
        <w:rPr>
          <w:rFonts w:hAnsi="宋体"/>
        </w:rPr>
        <w:t>构件</w:t>
      </w:r>
      <w:r>
        <w:rPr>
          <w:rFonts w:hint="eastAsia" w:hAnsi="宋体"/>
        </w:rPr>
        <w:t>离开运输</w:t>
      </w:r>
      <w:r>
        <w:rPr>
          <w:rFonts w:hAnsi="宋体"/>
        </w:rPr>
        <w:t>车高度</w:t>
      </w:r>
      <w:r>
        <w:t>20</w:t>
      </w:r>
      <w:r>
        <w:rPr>
          <w:rFonts w:hint="eastAsia"/>
        </w:rPr>
        <w:t>0m</w:t>
      </w:r>
      <w:r>
        <w:t>m~30</w:t>
      </w:r>
      <w:r>
        <w:rPr>
          <w:rFonts w:hint="eastAsia"/>
        </w:rPr>
        <w:t>0m</w:t>
      </w:r>
      <w:r>
        <w:t>m</w:t>
      </w:r>
      <w:r>
        <w:rPr>
          <w:rFonts w:hAnsi="宋体"/>
        </w:rPr>
        <w:t>时，</w:t>
      </w:r>
      <w:r>
        <w:rPr>
          <w:rFonts w:hint="eastAsia" w:hAnsi="宋体"/>
        </w:rPr>
        <w:t>应稍作停顿，确认安全后，方可</w:t>
      </w:r>
      <w:r>
        <w:rPr>
          <w:rFonts w:hAnsi="宋体"/>
        </w:rPr>
        <w:t>变幅、</w:t>
      </w:r>
      <w:r>
        <w:rPr>
          <w:rFonts w:hint="eastAsia" w:hAnsi="宋体"/>
        </w:rPr>
        <w:t>转向、行走或继续提升</w:t>
      </w:r>
      <w:r>
        <w:rPr>
          <w:rFonts w:hint="eastAsia" w:hAnsi="宋体"/>
          <w:lang w:eastAsia="zh-CN"/>
        </w:rPr>
        <w:t>；</w:t>
      </w:r>
    </w:p>
    <w:p>
      <w:pPr>
        <w:ind w:firstLine="480"/>
        <w:rPr>
          <w:rFonts w:hint="eastAsia" w:eastAsia="宋体"/>
          <w:lang w:eastAsia="zh-CN"/>
        </w:rPr>
      </w:pPr>
      <w:r>
        <w:t>8</w:t>
      </w:r>
      <w:r>
        <w:rPr>
          <w:rFonts w:hint="eastAsia"/>
        </w:rPr>
        <w:t xml:space="preserve">  </w:t>
      </w:r>
      <w:r>
        <w:t>起重机起吊</w:t>
      </w:r>
      <w:r>
        <w:rPr>
          <w:rFonts w:hint="eastAsia"/>
        </w:rPr>
        <w:t>、</w:t>
      </w:r>
      <w:r>
        <w:t>转向速度</w:t>
      </w:r>
      <w:r>
        <w:rPr>
          <w:rFonts w:hint="eastAsia"/>
        </w:rPr>
        <w:t>应</w:t>
      </w:r>
      <w:r>
        <w:t>缓慢均匀，</w:t>
      </w:r>
      <w:r>
        <w:rPr>
          <w:rFonts w:hint="eastAsia"/>
        </w:rPr>
        <w:t>应保持构件</w:t>
      </w:r>
      <w:r>
        <w:t>平稳，构件下落时</w:t>
      </w:r>
      <w:r>
        <w:rPr>
          <w:rFonts w:hint="eastAsia"/>
        </w:rPr>
        <w:t>应</w:t>
      </w:r>
      <w:r>
        <w:t>慢速轻放，禁止或快或慢和突然制动</w:t>
      </w:r>
      <w:r>
        <w:rPr>
          <w:rFonts w:hint="eastAsia"/>
        </w:rPr>
        <w:t>，</w:t>
      </w:r>
      <w:r>
        <w:rPr>
          <w:rFonts w:hint="eastAsia"/>
          <w:lang w:eastAsia="zh-CN"/>
        </w:rPr>
        <w:t>不应</w:t>
      </w:r>
      <w:r>
        <w:rPr>
          <w:rFonts w:hint="eastAsia"/>
        </w:rPr>
        <w:t>磕碰已安装管廊或其他物体</w:t>
      </w:r>
      <w:r>
        <w:rPr>
          <w:rFonts w:hint="eastAsia"/>
          <w:lang w:eastAsia="zh-CN"/>
        </w:rPr>
        <w:t>；</w:t>
      </w:r>
    </w:p>
    <w:p>
      <w:pPr>
        <w:ind w:firstLine="480"/>
        <w:rPr>
          <w:rFonts w:hint="eastAsia" w:eastAsia="宋体"/>
          <w:lang w:eastAsia="zh-CN"/>
        </w:rPr>
      </w:pPr>
      <w:r>
        <w:rPr>
          <w:rFonts w:hint="eastAsia"/>
        </w:rPr>
        <w:t>9  管廊安装过程中，应保护节段拼缝处的橡胶密封垫、密封胶等防水材料</w:t>
      </w:r>
      <w:r>
        <w:rPr>
          <w:rFonts w:hint="eastAsia"/>
          <w:lang w:eastAsia="zh-CN"/>
        </w:rPr>
        <w:t>；</w:t>
      </w:r>
    </w:p>
    <w:p>
      <w:pPr>
        <w:ind w:firstLine="480"/>
      </w:pPr>
      <w:r>
        <w:t>10</w:t>
      </w:r>
      <w:r>
        <w:rPr>
          <w:rFonts w:hint="eastAsia"/>
        </w:rPr>
        <w:t xml:space="preserve">  根据测量控制线和轮廓线控制管廊构件安装位置，拟安装节段与已安装的管廊宜先进行竖向、横向对齐，然后纵向对齐拼合，最后按本标准第5</w:t>
      </w:r>
      <w:r>
        <w:t>.6</w:t>
      </w:r>
      <w:r>
        <w:rPr>
          <w:rFonts w:hint="eastAsia"/>
        </w:rPr>
        <w:t>节的规定进行管廊节段的纵向连接。</w:t>
      </w:r>
    </w:p>
    <w:p>
      <w:r>
        <w:rPr>
          <w:rFonts w:hint="eastAsia"/>
          <w:b/>
        </w:rPr>
        <w:t>6</w:t>
      </w:r>
      <w:r>
        <w:rPr>
          <w:b/>
        </w:rPr>
        <w:t>.</w:t>
      </w:r>
      <w:r>
        <w:rPr>
          <w:rFonts w:hint="eastAsia"/>
          <w:b/>
        </w:rPr>
        <w:t>2.</w:t>
      </w:r>
      <w:r>
        <w:rPr>
          <w:rFonts w:hint="eastAsia"/>
          <w:b/>
          <w:lang w:val="en-US" w:eastAsia="zh-CN"/>
        </w:rPr>
        <w:t>5</w:t>
      </w:r>
      <w:r>
        <w:t xml:space="preserve">  </w:t>
      </w:r>
      <w:r>
        <w:rPr>
          <w:rFonts w:hint="eastAsia"/>
        </w:rPr>
        <w:t>采用</w:t>
      </w:r>
      <w:r>
        <w:rPr>
          <w:rFonts w:hint="eastAsia"/>
          <w:lang w:val="en-US" w:eastAsia="zh-CN"/>
        </w:rPr>
        <w:t>管廊安装车进行管廊节段安装施工，</w:t>
      </w:r>
      <w:r>
        <w:rPr>
          <w:rFonts w:hint="eastAsia"/>
        </w:rPr>
        <w:t>应符合下列规定：</w:t>
      </w:r>
    </w:p>
    <w:p>
      <w:pPr>
        <w:ind w:firstLine="480"/>
        <w:rPr>
          <w:rFonts w:hint="eastAsia" w:eastAsia="宋体"/>
          <w:lang w:eastAsia="zh-CN"/>
        </w:rPr>
      </w:pPr>
      <w:r>
        <w:rPr>
          <w:rFonts w:hint="eastAsia"/>
        </w:rPr>
        <w:t>1  节段的安装宜按图6.2.</w:t>
      </w:r>
      <w:r>
        <w:rPr>
          <w:rFonts w:hint="eastAsia"/>
          <w:lang w:val="en-US" w:eastAsia="zh-CN"/>
        </w:rPr>
        <w:t>5</w:t>
      </w:r>
      <w:r>
        <w:rPr>
          <w:rFonts w:hint="eastAsia"/>
        </w:rPr>
        <w:t>的流程实施</w:t>
      </w:r>
      <w:r>
        <w:rPr>
          <w:rFonts w:hint="eastAsia"/>
          <w:lang w:eastAsia="zh-CN"/>
        </w:rPr>
        <w:t>：</w:t>
      </w: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p>
    <w:p>
      <w:pPr>
        <w:ind w:firstLine="480"/>
        <w:rPr>
          <w:rFonts w:hint="eastAsia"/>
        </w:rPr>
      </w:pPr>
      <w:r>
        <mc:AlternateContent>
          <mc:Choice Requires="wpg">
            <w:drawing>
              <wp:anchor distT="0" distB="0" distL="114300" distR="114300" simplePos="0" relativeHeight="251661312" behindDoc="0" locked="0" layoutInCell="1" allowOverlap="1">
                <wp:simplePos x="0" y="0"/>
                <wp:positionH relativeFrom="column">
                  <wp:posOffset>464820</wp:posOffset>
                </wp:positionH>
                <wp:positionV relativeFrom="paragraph">
                  <wp:posOffset>288290</wp:posOffset>
                </wp:positionV>
                <wp:extent cx="4250055" cy="3201035"/>
                <wp:effectExtent l="4445" t="4445" r="12700" b="13970"/>
                <wp:wrapNone/>
                <wp:docPr id="49" name="组合 49"/>
                <wp:cNvGraphicFramePr/>
                <a:graphic xmlns:a="http://schemas.openxmlformats.org/drawingml/2006/main">
                  <a:graphicData uri="http://schemas.microsoft.com/office/word/2010/wordprocessingGroup">
                    <wpg:wgp>
                      <wpg:cNvGrpSpPr/>
                      <wpg:grpSpPr>
                        <a:xfrm>
                          <a:off x="0" y="0"/>
                          <a:ext cx="4250055" cy="3201035"/>
                          <a:chOff x="2616" y="737935"/>
                          <a:chExt cx="6693" cy="5041"/>
                        </a:xfrm>
                      </wpg:grpSpPr>
                      <wpg:grpSp>
                        <wpg:cNvPr id="32" name="组合 32"/>
                        <wpg:cNvGrpSpPr/>
                        <wpg:grpSpPr>
                          <a:xfrm>
                            <a:off x="2616" y="737935"/>
                            <a:ext cx="3013" cy="3952"/>
                            <a:chOff x="2616" y="737935"/>
                            <a:chExt cx="3013" cy="3952"/>
                          </a:xfrm>
                        </wpg:grpSpPr>
                        <wps:wsp>
                          <wps:cNvPr id="11" name="文本框 11"/>
                          <wps:cNvSpPr txBox="1"/>
                          <wps:spPr>
                            <a:xfrm>
                              <a:off x="2630" y="739978"/>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rPr>
                                  <w:t>台车载运节段至拟安装位置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文本框 12"/>
                          <wps:cNvSpPr txBox="1"/>
                          <wps:spPr>
                            <a:xfrm>
                              <a:off x="2644" y="741094"/>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rPr>
                                  <w:t>节段接缝处的防水工程施工（连接前）</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1" name="组合 31"/>
                          <wpg:cNvGrpSpPr/>
                          <wpg:grpSpPr>
                            <a:xfrm>
                              <a:off x="2616" y="737935"/>
                              <a:ext cx="2985" cy="1720"/>
                              <a:chOff x="2616" y="737935"/>
                              <a:chExt cx="2985" cy="1720"/>
                            </a:xfrm>
                          </wpg:grpSpPr>
                          <wps:wsp>
                            <wps:cNvPr id="4" name="文本框 4"/>
                            <wps:cNvSpPr txBox="1"/>
                            <wps:spPr>
                              <a:xfrm>
                                <a:off x="3106" y="737935"/>
                                <a:ext cx="2070" cy="6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节段运输至现场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5"/>
                            <wps:cNvSpPr txBox="1"/>
                            <wps:spPr>
                              <a:xfrm>
                                <a:off x="2616" y="738862"/>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rPr>
                                    <w:t>节段吊放至基坑内的水平运输台车上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直接箭头连接符 14"/>
                            <wps:cNvCnPr>
                              <a:stCxn id="4" idx="2"/>
                            </wps:cNvCnPr>
                            <wps:spPr>
                              <a:xfrm>
                                <a:off x="4141" y="738556"/>
                                <a:ext cx="13" cy="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 name="直接箭头连接符 15"/>
                          <wps:cNvCnPr/>
                          <wps:spPr>
                            <a:xfrm>
                              <a:off x="4142" y="739672"/>
                              <a:ext cx="13" cy="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wps:spPr>
                            <a:xfrm>
                              <a:off x="4157" y="740762"/>
                              <a:ext cx="13" cy="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8" name="组合 48"/>
                        <wpg:cNvGrpSpPr/>
                        <wpg:grpSpPr>
                          <a:xfrm>
                            <a:off x="2658" y="739979"/>
                            <a:ext cx="6651" cy="2997"/>
                            <a:chOff x="2658" y="739979"/>
                            <a:chExt cx="6651" cy="2997"/>
                          </a:xfrm>
                        </wpg:grpSpPr>
                        <wpg:grpSp>
                          <wpg:cNvPr id="36" name="组合 36"/>
                          <wpg:cNvGrpSpPr/>
                          <wpg:grpSpPr>
                            <a:xfrm>
                              <a:off x="2658" y="741892"/>
                              <a:ext cx="2984" cy="1084"/>
                              <a:chOff x="2658" y="741892"/>
                              <a:chExt cx="2984" cy="1084"/>
                            </a:xfrm>
                          </wpg:grpSpPr>
                          <wps:wsp>
                            <wps:cNvPr id="13" name="文本框 13"/>
                            <wps:cNvSpPr txBox="1"/>
                            <wps:spPr>
                              <a:xfrm>
                                <a:off x="2658" y="742184"/>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rPr>
                                    <w:t>管廊安装车将节段精确就位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a:off x="4171" y="741892"/>
                                <a:ext cx="13" cy="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7" name="组合 47"/>
                          <wpg:cNvGrpSpPr/>
                          <wpg:grpSpPr>
                            <a:xfrm>
                              <a:off x="5643" y="739979"/>
                              <a:ext cx="3666" cy="2996"/>
                              <a:chOff x="5643" y="739979"/>
                              <a:chExt cx="3666" cy="2996"/>
                            </a:xfrm>
                          </wpg:grpSpPr>
                          <wpg:grpSp>
                            <wpg:cNvPr id="46" name="组合 46"/>
                            <wpg:cNvGrpSpPr/>
                            <wpg:grpSpPr>
                              <a:xfrm>
                                <a:off x="5643" y="741093"/>
                                <a:ext cx="3664" cy="1883"/>
                                <a:chOff x="5643" y="741093"/>
                                <a:chExt cx="3664" cy="1883"/>
                              </a:xfrm>
                            </wpg:grpSpPr>
                            <wps:wsp>
                              <wps:cNvPr id="25" name="文本框 25"/>
                              <wps:cNvSpPr txBox="1"/>
                              <wps:spPr>
                                <a:xfrm>
                                  <a:off x="6323" y="741093"/>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rPr>
                                      <w:t>节段接缝处的防水工程施工（连接后）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直接箭头连接符 26"/>
                              <wps:cNvCnPr/>
                              <wps:spPr>
                                <a:xfrm flipH="1" flipV="1">
                                  <a:off x="7827" y="741863"/>
                                  <a:ext cx="10" cy="52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4" name="组合 44"/>
                              <wpg:cNvGrpSpPr/>
                              <wpg:grpSpPr>
                                <a:xfrm>
                                  <a:off x="5643" y="742184"/>
                                  <a:ext cx="3639" cy="792"/>
                                  <a:chOff x="5643" y="742184"/>
                                  <a:chExt cx="3639" cy="792"/>
                                </a:xfrm>
                              </wpg:grpSpPr>
                              <wps:wsp>
                                <wps:cNvPr id="20" name="直接箭头连接符 20"/>
                                <wps:cNvCnPr>
                                  <a:stCxn id="13" idx="3"/>
                                </wps:cNvCnPr>
                                <wps:spPr>
                                  <a:xfrm flipV="1">
                                    <a:off x="5643" y="742574"/>
                                    <a:ext cx="662" cy="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文本框 27"/>
                                <wps:cNvSpPr txBox="1"/>
                                <wps:spPr>
                                  <a:xfrm>
                                    <a:off x="6298" y="742184"/>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jc w:val="center"/>
                                      </w:pPr>
                                      <w:r>
                                        <w:rPr>
                                          <w:rFonts w:hint="eastAsia"/>
                                        </w:rPr>
                                        <w:t>管廊节段的连接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28" name="文本框 28"/>
                            <wps:cNvSpPr txBox="1"/>
                            <wps:spPr>
                              <a:xfrm>
                                <a:off x="6325" y="739979"/>
                                <a:ext cx="2985" cy="79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44" w:beforeLines="60" w:line="240" w:lineRule="auto"/>
                                    <w:jc w:val="center"/>
                                  </w:pPr>
                                  <w:r>
                                    <w:rPr>
                                      <w:rFonts w:hint="eastAsia"/>
                                    </w:rPr>
                                    <w:t>完成管廊节段安装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30"/>
                            <wps:cNvCnPr/>
                            <wps:spPr>
                              <a:xfrm flipV="1">
                                <a:off x="7849" y="740763"/>
                                <a:ext cx="13" cy="3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36.6pt;margin-top:22.7pt;height:252.05pt;width:334.65pt;z-index:251661312;mso-width-relative:page;mso-height-relative:page;" coordorigin="2616,737935" coordsize="6693,5041" o:gfxdata="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">
                <o:lock v:ext="edit" aspectratio="f"/>
                <v:group id="_x0000_s1026" o:spid="_x0000_s1026" o:spt="203" style="position:absolute;left:2616;top:737935;height:3952;width:3013;" coordorigin="2616,737935" coordsize="3013,395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630;top:739978;height:793;width:2985;" fillcolor="#FFFFFF [3201]"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240" w:lineRule="auto"/>
                            <w:jc w:val="center"/>
                          </w:pPr>
                          <w:r>
                            <w:rPr>
                              <w:rFonts w:hint="eastAsia"/>
                            </w:rPr>
                            <w:t>台车载运节段至拟安装位置</w:t>
                          </w:r>
                        </w:p>
                      </w:txbxContent>
                    </v:textbox>
                  </v:shape>
                  <v:shape id="_x0000_s1026" o:spid="_x0000_s1026" o:spt="202" type="#_x0000_t202" style="position:absolute;left:2644;top:741094;height:793;width:2985;"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240" w:lineRule="auto"/>
                            <w:jc w:val="center"/>
                          </w:pPr>
                          <w:r>
                            <w:rPr>
                              <w:rFonts w:hint="eastAsia"/>
                            </w:rPr>
                            <w:t>节段接缝处的防水工程施工（连接前）</w:t>
                          </w:r>
                        </w:p>
                      </w:txbxContent>
                    </v:textbox>
                  </v:shape>
                  <v:group id="_x0000_s1026" o:spid="_x0000_s1026" o:spt="203" style="position:absolute;left:2616;top:737935;height:1720;width:2985;" coordorigin="2616,737935" coordsize="2985,172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106;top:737935;height:621;width:2070;" fillcolor="#FFFFFF [3201]"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节段运输至现场</w:t>
                            </w:r>
                          </w:p>
                        </w:txbxContent>
                      </v:textbox>
                    </v:shape>
                    <v:shape id="_x0000_s1026" o:spid="_x0000_s1026" o:spt="202" type="#_x0000_t202" style="position:absolute;left:2616;top:738862;height:793;width:2985;" fillcolor="#FFFFFF [3201]"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spacing w:line="240" w:lineRule="auto"/>
                              <w:jc w:val="center"/>
                            </w:pPr>
                            <w:r>
                              <w:rPr>
                                <w:rFonts w:hint="eastAsia"/>
                              </w:rPr>
                              <w:t>节段吊放至基坑内的水平运输台车上</w:t>
                            </w:r>
                          </w:p>
                        </w:txbxContent>
                      </v:textbox>
                    </v:shape>
                    <v:shape id="_x0000_s1026" o:spid="_x0000_s1026" o:spt="32" type="#_x0000_t32" style="position:absolute;left:4141;top:738556;height:315;width:13;" filled="f" stroked="t" coordsize="21600,21600" o:gfxdata="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DJtS7UAAADbAAAADwAA&#10;AAAAAAABACAAAAAiAAAAZHJzL2Rvd25yZXYueG1sUEsBAhQAFAAAAAgAh07iQDMvBZ47AAAAOQAA&#10;ABAAAAAAAAAAAQAgAAAABAEAAGRycy9zaGFwZXhtbC54bWxQSwUGAAAAAAYABgBbAQAArgMAAAAA&#10;">
                      <v:fill on="f" focussize="0,0"/>
                      <v:stroke weight="1pt" color="#000000 [3213]" joinstyle="round" endarrow="block"/>
                      <v:imagedata o:title=""/>
                      <o:lock v:ext="edit" aspectratio="f"/>
                    </v:shape>
                  </v:group>
                  <v:shape id="_x0000_s1026" o:spid="_x0000_s1026" o:spt="32" type="#_x0000_t32" style="position:absolute;left:4142;top:739672;height:315;width:13;" filled="f" stroked="t" coordsize="21600,21600" o:gfxdata="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t+yNC2AAAA2wAAAA8A&#10;AAAAAAAAAQAgAAAAIgAAAGRycy9kb3ducmV2LnhtbFBLAQIUABQAAAAIAIdO4kAzLwWeOwAAADkA&#10;AAAQAAAAAAAAAAEAIAAAAAUBAABkcnMvc2hhcGV4bWwueG1sUEsFBgAAAAAGAAYAWwEAAK8DAAAA&#10;AA==&#10;">
                    <v:fill on="f" focussize="0,0"/>
                    <v:stroke weight="1pt" color="#000000 [3213]" joinstyle="round" endarrow="block"/>
                    <v:imagedata o:title=""/>
                    <o:lock v:ext="edit" aspectratio="f"/>
                  </v:shape>
                  <v:shape id="_x0000_s1026" o:spid="_x0000_s1026" o:spt="32" type="#_x0000_t32" style="position:absolute;left:4157;top:740762;height:315;width:13;" filled="f" stroked="t" coordsize="21600,21600" o:gfxdata="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9nTrsAAADb&#10;AAAADwAAAAAAAAABACAAAAAiAAAAZHJzL2Rvd25yZXYueG1sUEsBAhQAFAAAAAgAh07iQDMvBZ47&#10;AAAAOQAAABAAAAAAAAAAAQAgAAAACgEAAGRycy9zaGFwZXhtbC54bWxQSwUGAAAAAAYABgBbAQAA&#10;tAMAAAAA&#10;">
                    <v:fill on="f" focussize="0,0"/>
                    <v:stroke weight="1pt" color="#000000 [3213]" joinstyle="round" endarrow="block"/>
                    <v:imagedata o:title=""/>
                    <o:lock v:ext="edit" aspectratio="f"/>
                  </v:shape>
                </v:group>
                <v:group id="_x0000_s1026" o:spid="_x0000_s1026" o:spt="203" style="position:absolute;left:2658;top:739979;height:2997;width:6651;" coordorigin="2658,739979" coordsize="6651,2997"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658;top:741892;height:1084;width:2984;" coordorigin="2658,741892" coordsize="2984,1084"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658;top:742184;height:793;width:2985;"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line="240" w:lineRule="auto"/>
                              <w:jc w:val="center"/>
                            </w:pPr>
                            <w:r>
                              <w:rPr>
                                <w:rFonts w:hint="eastAsia"/>
                              </w:rPr>
                              <w:t>管廊安装车将节段精确就位</w:t>
                            </w:r>
                          </w:p>
                        </w:txbxContent>
                      </v:textbox>
                    </v:shape>
                    <v:shape id="_x0000_s1026" o:spid="_x0000_s1026" o:spt="32" type="#_x0000_t32" style="position:absolute;left:4171;top:741892;height:315;width:13;" filled="f" stroked="t" coordsize="21600,21600" o:gfxdata="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zwtW5AAAA2wAA&#10;AA8AAAAAAAAAAQAgAAAAIgAAAGRycy9kb3ducmV2LnhtbFBLAQIUABQAAAAIAIdO4kAzLwWeOwAA&#10;ADkAAAAQAAAAAAAAAAEAIAAAAAgBAABkcnMvc2hhcGV4bWwueG1sUEsFBgAAAAAGAAYAWwEAALID&#10;AAAAAA==&#10;">
                      <v:fill on="f" focussize="0,0"/>
                      <v:stroke weight="1pt" color="#000000 [3213]" joinstyle="round" endarrow="block"/>
                      <v:imagedata o:title=""/>
                      <o:lock v:ext="edit" aspectratio="f"/>
                    </v:shape>
                  </v:group>
                  <v:group id="_x0000_s1026" o:spid="_x0000_s1026" o:spt="203" style="position:absolute;left:5643;top:739979;height:2996;width:3666;" coordorigin="5643,739979" coordsize="3666,2996"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5643;top:741093;height:1883;width:3664;" coordorigin="5643,741093" coordsize="3664,188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323;top:741093;height:793;width:2985;"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line="240" w:lineRule="auto"/>
                                <w:jc w:val="center"/>
                              </w:pPr>
                              <w:r>
                                <w:rPr>
                                  <w:rFonts w:hint="eastAsia"/>
                                </w:rPr>
                                <w:t>节段接缝处的防水工程施工（连接后）</w:t>
                              </w:r>
                            </w:p>
                          </w:txbxContent>
                        </v:textbox>
                      </v:shape>
                      <v:shape id="_x0000_s1026" o:spid="_x0000_s1026" o:spt="32" type="#_x0000_t32" style="position:absolute;left:7827;top:741863;flip:x y;height:524;width:10;" filled="f" stroked="t" coordsize="21600,21600" o:gfxdata="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AE6m8AAAA&#10;2wAAAA8AAAAAAAAAAQAgAAAAIgAAAGRycy9kb3ducmV2LnhtbFBLAQIUABQAAAAIAIdO4kAzLwWe&#10;OwAAADkAAAAQAAAAAAAAAAEAIAAAAAsBAABkcnMvc2hhcGV4bWwueG1sUEsFBgAAAAAGAAYAWwEA&#10;ALUDAAAAAA==&#10;">
                        <v:fill on="f" focussize="0,0"/>
                        <v:stroke weight="1pt" color="#000000 [3213]" joinstyle="round" endarrow="block"/>
                        <v:imagedata o:title=""/>
                        <o:lock v:ext="edit" aspectratio="f"/>
                      </v:shape>
                      <v:group id="_x0000_s1026" o:spid="_x0000_s1026" o:spt="203" style="position:absolute;left:5643;top:742184;height:792;width:3639;" coordorigin="5643,742184" coordsize="3639,79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5643;top:742574;flip:y;height:7;width:662;" filled="f" stroked="t" coordsize="21600,21600" o:gfxdata="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F26b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202" type="#_x0000_t202" style="position:absolute;left:6298;top:742184;height:793;width:2985;"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spacing w:before="120" w:beforeLines="50"/>
                                  <w:jc w:val="center"/>
                                </w:pPr>
                                <w:r>
                                  <w:rPr>
                                    <w:rFonts w:hint="eastAsia"/>
                                  </w:rPr>
                                  <w:t>管廊节段的连接</w:t>
                                </w:r>
                              </w:p>
                            </w:txbxContent>
                          </v:textbox>
                        </v:shape>
                      </v:group>
                    </v:group>
                    <v:shape id="_x0000_s1026" o:spid="_x0000_s1026" o:spt="202" type="#_x0000_t202" style="position:absolute;left:6325;top:739979;height:793;width:2985;" fillcolor="#FFFFFF [3201]"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spacing w:before="144" w:beforeLines="60" w:line="240" w:lineRule="auto"/>
                              <w:jc w:val="center"/>
                            </w:pPr>
                            <w:r>
                              <w:rPr>
                                <w:rFonts w:hint="eastAsia"/>
                              </w:rPr>
                              <w:t>完成管廊节段安装</w:t>
                            </w:r>
                          </w:p>
                        </w:txbxContent>
                      </v:textbox>
                    </v:shape>
                    <v:shape id="_x0000_s1026" o:spid="_x0000_s1026" o:spt="32" type="#_x0000_t32" style="position:absolute;left:7849;top:740763;flip:y;height:315;width:13;" filled="f" stroked="t" coordsize="21600,21600" o:gfxdata="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0+Hq8AAAA&#10;2wAAAA8AAAAAAAAAAQAgAAAAIgAAAGRycy9kb3ducmV2LnhtbFBLAQIUABQAAAAIAIdO4kAzLwWe&#10;OwAAADkAAAAQAAAAAAAAAAEAIAAAAAsBAABkcnMvc2hhcGV4bWwueG1sUEsFBgAAAAAGAAYAWwEA&#10;ALUDAAAAAA==&#10;">
                      <v:fill on="f" focussize="0,0"/>
                      <v:stroke weight="1pt" color="#000000 [3213]" joinstyle="round" endarrow="block"/>
                      <v:imagedata o:title=""/>
                      <o:lock v:ext="edit" aspectratio="f"/>
                    </v:shape>
                  </v:group>
                </v:group>
              </v:group>
            </w:pict>
          </mc:Fallback>
        </mc:AlternateContent>
      </w: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jc w:val="center"/>
        <w:rPr>
          <w:b/>
          <w:bCs/>
          <w:sz w:val="21"/>
          <w:szCs w:val="20"/>
        </w:rPr>
      </w:pPr>
      <w:r>
        <w:rPr>
          <w:rFonts w:hint="eastAsia"/>
          <w:b/>
          <w:bCs/>
          <w:sz w:val="21"/>
          <w:szCs w:val="20"/>
        </w:rPr>
        <w:t>图6.2.</w:t>
      </w:r>
      <w:r>
        <w:rPr>
          <w:rFonts w:hint="eastAsia"/>
          <w:b/>
          <w:bCs/>
          <w:sz w:val="21"/>
          <w:szCs w:val="20"/>
          <w:lang w:val="en-US" w:eastAsia="zh-CN"/>
        </w:rPr>
        <w:t>5</w:t>
      </w:r>
      <w:r>
        <w:rPr>
          <w:rFonts w:hint="eastAsia"/>
          <w:b/>
          <w:bCs/>
          <w:sz w:val="21"/>
          <w:szCs w:val="20"/>
        </w:rPr>
        <w:t xml:space="preserve">  节段的安装流程示意图</w:t>
      </w:r>
    </w:p>
    <w:p>
      <w:pPr>
        <w:ind w:firstLine="480"/>
        <w:rPr>
          <w:rFonts w:hint="eastAsia" w:eastAsia="宋体"/>
          <w:lang w:eastAsia="zh-CN"/>
        </w:rPr>
      </w:pPr>
      <w:r>
        <w:rPr>
          <w:rFonts w:hint="eastAsia"/>
        </w:rPr>
        <w:t>2  起重机吊运管廊节段至水平运输台车上的起重吊装作业应符合本标准第6.2.</w:t>
      </w:r>
      <w:r>
        <w:rPr>
          <w:rFonts w:hint="eastAsia"/>
          <w:lang w:val="en-US" w:eastAsia="zh-CN"/>
        </w:rPr>
        <w:t>4</w:t>
      </w:r>
      <w:r>
        <w:rPr>
          <w:rFonts w:hint="eastAsia"/>
        </w:rPr>
        <w:t>条的相关规定</w:t>
      </w:r>
      <w:r>
        <w:rPr>
          <w:rFonts w:hint="eastAsia"/>
          <w:lang w:eastAsia="zh-CN"/>
        </w:rPr>
        <w:t>；</w:t>
      </w:r>
    </w:p>
    <w:p>
      <w:pPr>
        <w:ind w:firstLine="480"/>
        <w:rPr>
          <w:rFonts w:hint="eastAsia" w:eastAsia="宋体"/>
          <w:highlight w:val="yellow"/>
          <w:lang w:eastAsia="zh-CN"/>
        </w:rPr>
      </w:pPr>
      <w:r>
        <w:rPr>
          <w:rFonts w:hint="eastAsia"/>
        </w:rPr>
        <w:t>3  水平运输台车应满足承载管廊重量的要求，台车行驶应均速，行驶速度不宜大于3m/min</w:t>
      </w:r>
      <w:r>
        <w:rPr>
          <w:rFonts w:hint="eastAsia"/>
          <w:lang w:eastAsia="zh-CN"/>
        </w:rPr>
        <w:t>；</w:t>
      </w:r>
    </w:p>
    <w:p>
      <w:pPr>
        <w:ind w:firstLine="480"/>
        <w:rPr>
          <w:rFonts w:hint="eastAsia" w:eastAsia="宋体"/>
          <w:lang w:eastAsia="zh-CN"/>
        </w:rPr>
      </w:pPr>
      <w:r>
        <w:rPr>
          <w:rFonts w:hint="eastAsia"/>
        </w:rPr>
        <w:t>4  在混凝土垫层上应设置控制台车运输方向和轨迹的轨道限位系统</w:t>
      </w:r>
      <w:r>
        <w:rPr>
          <w:rFonts w:hint="eastAsia"/>
          <w:lang w:eastAsia="zh-CN"/>
        </w:rPr>
        <w:t>；</w:t>
      </w:r>
    </w:p>
    <w:p>
      <w:pPr>
        <w:ind w:firstLine="480"/>
        <w:rPr>
          <w:rFonts w:hint="eastAsia" w:eastAsia="宋体"/>
          <w:lang w:eastAsia="zh-CN"/>
        </w:rPr>
      </w:pPr>
      <w:r>
        <w:rPr>
          <w:rFonts w:hint="eastAsia"/>
        </w:rPr>
        <w:t>5  管廊节段精确就位前，应按照设计要求施工接缝处的防水</w:t>
      </w:r>
      <w:r>
        <w:rPr>
          <w:rFonts w:hint="eastAsia"/>
          <w:lang w:eastAsia="zh-CN"/>
        </w:rPr>
        <w:t>；</w:t>
      </w:r>
      <w:r>
        <w:rPr>
          <w:rFonts w:hint="eastAsia"/>
        </w:rPr>
        <w:t>密封胶的制备和涂抹应控制好时间节奏</w:t>
      </w:r>
      <w:r>
        <w:rPr>
          <w:rFonts w:hint="eastAsia"/>
          <w:lang w:eastAsia="zh-CN"/>
        </w:rPr>
        <w:t>；</w:t>
      </w:r>
    </w:p>
    <w:p>
      <w:pPr>
        <w:ind w:firstLine="480"/>
        <w:rPr>
          <w:rFonts w:hint="eastAsia" w:eastAsia="宋体"/>
          <w:lang w:eastAsia="zh-CN"/>
        </w:rPr>
      </w:pPr>
      <w:r>
        <w:rPr>
          <w:rFonts w:hint="eastAsia"/>
        </w:rPr>
        <w:t>6  管廊节段精确就位后的水平、竖向位置偏差应符合本标准</w:t>
      </w:r>
      <w:r>
        <w:rPr>
          <w:rFonts w:hint="eastAsia"/>
          <w:b w:val="0"/>
          <w:bCs w:val="0"/>
        </w:rPr>
        <w:t>第</w:t>
      </w:r>
      <w:r>
        <w:rPr>
          <w:rFonts w:hint="eastAsia"/>
          <w:b w:val="0"/>
          <w:bCs w:val="0"/>
          <w:lang w:val="en-US" w:eastAsia="zh-CN"/>
        </w:rPr>
        <w:t>6</w:t>
      </w:r>
      <w:r>
        <w:rPr>
          <w:rFonts w:hint="eastAsia"/>
          <w:b w:val="0"/>
          <w:bCs w:val="0"/>
        </w:rPr>
        <w:t>.</w:t>
      </w:r>
      <w:r>
        <w:rPr>
          <w:rFonts w:hint="eastAsia"/>
          <w:b w:val="0"/>
          <w:bCs w:val="0"/>
          <w:lang w:val="en-US" w:eastAsia="zh-CN"/>
        </w:rPr>
        <w:t>4</w:t>
      </w:r>
      <w:r>
        <w:rPr>
          <w:rFonts w:hint="eastAsia"/>
          <w:b w:val="0"/>
          <w:bCs w:val="0"/>
        </w:rPr>
        <w:t>节</w:t>
      </w:r>
      <w:r>
        <w:rPr>
          <w:rFonts w:hint="eastAsia"/>
        </w:rPr>
        <w:t>的规定，节段纵向连接之前的节段间接缝宽度宜为</w:t>
      </w:r>
      <w:r>
        <w:t>30mm</w:t>
      </w:r>
      <w:r>
        <w:rPr>
          <w:rFonts w:hint="eastAsia"/>
        </w:rPr>
        <w:t>~</w:t>
      </w:r>
      <w:r>
        <w:t>50</w:t>
      </w:r>
      <w:r>
        <w:rPr>
          <w:rFonts w:hint="eastAsia"/>
        </w:rPr>
        <w:t>mm</w:t>
      </w:r>
      <w:r>
        <w:rPr>
          <w:rFonts w:hint="eastAsia"/>
          <w:lang w:eastAsia="zh-CN"/>
        </w:rPr>
        <w:t>；</w:t>
      </w:r>
    </w:p>
    <w:p>
      <w:pPr>
        <w:ind w:firstLine="480"/>
      </w:pPr>
      <w:r>
        <w:rPr>
          <w:rFonts w:hint="eastAsia"/>
        </w:rPr>
        <w:t>7  管廊安装车应通过三向调节系统，将管廊节段精确就位。</w:t>
      </w:r>
    </w:p>
    <w:p>
      <w:r>
        <w:rPr>
          <w:rFonts w:hint="eastAsia"/>
          <w:b/>
        </w:rPr>
        <w:t>6.2.</w:t>
      </w:r>
      <w:r>
        <w:rPr>
          <w:rFonts w:hint="eastAsia"/>
          <w:b/>
          <w:lang w:val="en-US" w:eastAsia="zh-CN"/>
        </w:rPr>
        <w:t>6</w:t>
      </w:r>
      <w:r>
        <w:rPr>
          <w:rFonts w:hint="eastAsia"/>
        </w:rPr>
        <w:t xml:space="preserve">  当管廊节段在预制厂内分成上、下两部分进行预制时，在管廊安装过程中，应先将上、下两个节段构件拼装为一个完整的管廊节段，然后再将整个管廊节段与已安装的管廊进行纵向连接。</w:t>
      </w:r>
    </w:p>
    <w:p>
      <w:r>
        <w:rPr>
          <w:rFonts w:hint="eastAsia"/>
          <w:b/>
        </w:rPr>
        <w:t>6</w:t>
      </w:r>
      <w:r>
        <w:rPr>
          <w:b/>
        </w:rPr>
        <w:t>.</w:t>
      </w:r>
      <w:r>
        <w:rPr>
          <w:rFonts w:hint="eastAsia"/>
          <w:b/>
        </w:rPr>
        <w:t>2.</w:t>
      </w:r>
      <w:r>
        <w:rPr>
          <w:rFonts w:hint="eastAsia"/>
          <w:b/>
          <w:lang w:val="en-US" w:eastAsia="zh-CN"/>
        </w:rPr>
        <w:t>7</w:t>
      </w:r>
      <w:r>
        <w:rPr>
          <w:rFonts w:hint="eastAsia"/>
          <w:b/>
        </w:rPr>
        <w:t xml:space="preserve">  </w:t>
      </w:r>
      <w:r>
        <w:rPr>
          <w:rFonts w:hint="eastAsia"/>
        </w:rPr>
        <w:t>管廊节段构件安装过程中标高需调整时，</w:t>
      </w:r>
      <w:r>
        <w:rPr>
          <w:rFonts w:hint="eastAsia"/>
          <w:lang w:eastAsia="zh-CN"/>
        </w:rPr>
        <w:t>不应</w:t>
      </w:r>
      <w:r>
        <w:rPr>
          <w:rFonts w:hint="eastAsia"/>
        </w:rPr>
        <w:t>撬动，应采用支撑调节器进行调整。</w:t>
      </w:r>
    </w:p>
    <w:p>
      <w:pPr>
        <w:rPr>
          <w:rFonts w:hint="eastAsia"/>
        </w:rPr>
      </w:pPr>
      <w:r>
        <w:rPr>
          <w:rFonts w:hint="eastAsia"/>
          <w:b/>
        </w:rPr>
        <w:t>6.2.</w:t>
      </w:r>
      <w:r>
        <w:rPr>
          <w:rFonts w:hint="eastAsia"/>
          <w:b/>
          <w:lang w:val="en-US" w:eastAsia="zh-CN"/>
        </w:rPr>
        <w:t>8</w:t>
      </w:r>
      <w:r>
        <w:rPr>
          <w:rFonts w:hint="eastAsia"/>
        </w:rPr>
        <w:t xml:space="preserve">  当管廊节段底部采用</w:t>
      </w:r>
      <w:r>
        <w:rPr>
          <w:rFonts w:hint="eastAsia"/>
          <w:lang w:val="en-US" w:eastAsia="zh-CN"/>
        </w:rPr>
        <w:t>水泥砂浆等</w:t>
      </w:r>
      <w:r>
        <w:rPr>
          <w:rFonts w:hint="eastAsia"/>
        </w:rPr>
        <w:t>座浆材料时，其厚度不宜大于20mm。</w:t>
      </w:r>
    </w:p>
    <w:p>
      <w:r>
        <w:rPr>
          <w:rFonts w:hint="eastAsia"/>
          <w:b/>
        </w:rPr>
        <w:t>6.</w:t>
      </w:r>
      <w:r>
        <w:rPr>
          <w:rFonts w:hint="eastAsia"/>
          <w:b/>
          <w:lang w:val="en-US" w:eastAsia="zh-CN"/>
        </w:rPr>
        <w:t>2</w:t>
      </w:r>
      <w:r>
        <w:rPr>
          <w:rFonts w:hint="eastAsia"/>
          <w:b/>
        </w:rPr>
        <w:t>.</w:t>
      </w:r>
      <w:r>
        <w:rPr>
          <w:rFonts w:hint="eastAsia"/>
          <w:b/>
          <w:lang w:val="en-US" w:eastAsia="zh-CN"/>
        </w:rPr>
        <w:t>9</w:t>
      </w:r>
      <w:r>
        <w:rPr>
          <w:rFonts w:hint="eastAsia"/>
          <w:b/>
        </w:rPr>
        <w:t xml:space="preserve">  </w:t>
      </w:r>
      <w:r>
        <w:rPr>
          <w:rFonts w:hint="eastAsia"/>
        </w:rPr>
        <w:t>当管廊纵坡较大时，管廊节段的安装方向宜从低处向高处进行，同一节段管廊的承口侧宜在高处，插口侧宜在低处。安装时，管廊节段插口可顺势插入已安装管廊的承口内。</w:t>
      </w:r>
    </w:p>
    <w:p>
      <w:pPr>
        <w:ind w:firstLine="0"/>
        <w:rPr>
          <w:rFonts w:hint="eastAsia"/>
          <w:bCs/>
          <w:szCs w:val="32"/>
          <w:lang w:eastAsia="zh-CN"/>
        </w:rPr>
      </w:pPr>
      <w:r>
        <w:rPr>
          <w:rFonts w:hint="eastAsia"/>
          <w:b/>
        </w:rPr>
        <w:t>6.</w:t>
      </w:r>
      <w:r>
        <w:rPr>
          <w:rFonts w:hint="eastAsia"/>
          <w:b/>
          <w:lang w:val="en-US" w:eastAsia="zh-CN"/>
        </w:rPr>
        <w:t>2</w:t>
      </w:r>
      <w:r>
        <w:rPr>
          <w:rFonts w:hint="eastAsia"/>
          <w:b/>
        </w:rPr>
        <w:t>.</w:t>
      </w:r>
      <w:r>
        <w:rPr>
          <w:rFonts w:hint="eastAsia"/>
          <w:b/>
          <w:lang w:val="en-US" w:eastAsia="zh-CN"/>
        </w:rPr>
        <w:t>10</w:t>
      </w:r>
      <w:r>
        <w:rPr>
          <w:rFonts w:hint="eastAsia"/>
          <w:b/>
        </w:rPr>
        <w:t xml:space="preserve">  </w:t>
      </w:r>
      <w:r>
        <w:rPr>
          <w:rFonts w:hint="eastAsia"/>
          <w:bCs/>
          <w:szCs w:val="32"/>
        </w:rPr>
        <w:t>装配式综合管廊安装过程中，待装构件应缓慢平稳移动，对口时应使插口和承口端保持平行，使各部间隙大致相等，以便装配式综合管廊准确就位</w:t>
      </w:r>
      <w:r>
        <w:rPr>
          <w:rFonts w:hint="eastAsia"/>
          <w:bCs/>
          <w:szCs w:val="32"/>
          <w:lang w:eastAsia="zh-CN"/>
        </w:rPr>
        <w:t>。</w:t>
      </w:r>
    </w:p>
    <w:p>
      <w:pPr>
        <w:ind w:firstLine="0"/>
        <w:rPr>
          <w:rFonts w:hint="eastAsia"/>
          <w:bCs/>
          <w:szCs w:val="32"/>
          <w:lang w:eastAsia="zh-CN"/>
        </w:rPr>
      </w:pPr>
    </w:p>
    <w:p>
      <w:pPr>
        <w:pStyle w:val="3"/>
      </w:pPr>
      <w:bookmarkStart w:id="223" w:name="_Toc7183"/>
      <w:bookmarkStart w:id="224" w:name="_Toc29049"/>
      <w:bookmarkStart w:id="225" w:name="_Toc21947"/>
      <w:bookmarkStart w:id="226" w:name="_Toc28803"/>
      <w:bookmarkStart w:id="227" w:name="_Toc24179"/>
      <w:bookmarkStart w:id="228" w:name="_Toc3484"/>
      <w:r>
        <w:t xml:space="preserve">6.3 </w:t>
      </w:r>
      <w:r>
        <w:rPr>
          <w:rFonts w:hint="eastAsia"/>
        </w:rPr>
        <w:t xml:space="preserve"> 节段管廊连接</w:t>
      </w:r>
      <w:bookmarkEnd w:id="223"/>
      <w:bookmarkEnd w:id="224"/>
      <w:bookmarkEnd w:id="225"/>
      <w:bookmarkEnd w:id="226"/>
      <w:bookmarkEnd w:id="227"/>
      <w:bookmarkEnd w:id="228"/>
    </w:p>
    <w:p>
      <w:pPr>
        <w:rPr>
          <w:b w:val="0"/>
          <w:bCs/>
        </w:rPr>
      </w:pPr>
      <w:r>
        <w:rPr>
          <w:rFonts w:hint="eastAsia"/>
          <w:b/>
        </w:rPr>
        <w:t xml:space="preserve">6.3.1  </w:t>
      </w:r>
      <w:r>
        <w:rPr>
          <w:rFonts w:hint="eastAsia"/>
          <w:b w:val="0"/>
          <w:bCs/>
        </w:rPr>
        <w:t>管廊节段安装精确就位后，应及时按设计要求的方法和顺序进行管廊节段的连接。</w:t>
      </w:r>
    </w:p>
    <w:p>
      <w:pPr>
        <w:rPr>
          <w:rFonts w:hint="eastAsia"/>
          <w:lang w:val="en-US" w:eastAsia="zh-CN"/>
        </w:rPr>
      </w:pPr>
      <w:r>
        <w:rPr>
          <w:rFonts w:hint="eastAsia"/>
          <w:b/>
        </w:rPr>
        <w:t>6.3.2</w:t>
      </w:r>
      <w:r>
        <w:rPr>
          <w:rFonts w:hint="eastAsia"/>
        </w:rPr>
        <w:t xml:space="preserve">  当管廊节段分成上、下两部分进行预制时，</w:t>
      </w:r>
      <w:r>
        <w:rPr>
          <w:rFonts w:hint="eastAsia"/>
          <w:lang w:val="en-US" w:eastAsia="zh-CN"/>
        </w:rPr>
        <w:t>管廊连接应符合下列规定：</w:t>
      </w:r>
    </w:p>
    <w:p>
      <w:pPr>
        <w:ind w:firstLine="480"/>
        <w:textAlignment w:val="auto"/>
        <w:rPr>
          <w:rFonts w:hint="eastAsia"/>
          <w:lang w:eastAsia="zh-CN"/>
        </w:rPr>
      </w:pPr>
      <w:r>
        <w:rPr>
          <w:rFonts w:hint="eastAsia"/>
          <w:lang w:val="en-US" w:eastAsia="zh-CN"/>
        </w:rPr>
        <w:t xml:space="preserve">1  </w:t>
      </w:r>
      <w:r>
        <w:rPr>
          <w:rFonts w:hint="eastAsia"/>
        </w:rPr>
        <w:t>在管廊节段纵向连接之前，应按设计要求先进行上、下两部分构件的竖向连接</w:t>
      </w:r>
      <w:r>
        <w:rPr>
          <w:rFonts w:hint="eastAsia"/>
          <w:lang w:eastAsia="zh-CN"/>
        </w:rPr>
        <w:t>；</w:t>
      </w:r>
    </w:p>
    <w:p>
      <w:pPr>
        <w:ind w:firstLine="480"/>
        <w:textAlignment w:val="auto"/>
        <w:rPr>
          <w:rFonts w:hint="eastAsia"/>
        </w:rPr>
      </w:pPr>
      <w:r>
        <w:rPr>
          <w:rFonts w:hint="eastAsia"/>
          <w:lang w:val="en-US" w:eastAsia="zh-CN"/>
        </w:rPr>
        <w:t xml:space="preserve">2  </w:t>
      </w:r>
      <w:r>
        <w:rPr>
          <w:rFonts w:hint="eastAsia"/>
        </w:rPr>
        <w:t>当采用PC钢棒竖向连接时，PC钢棒张拉按</w:t>
      </w:r>
      <w:r>
        <w:rPr>
          <w:rFonts w:hint="eastAsia"/>
          <w:lang w:val="en-US" w:eastAsia="zh-CN"/>
        </w:rPr>
        <w:t>设计张拉</w:t>
      </w:r>
      <w:r>
        <w:rPr>
          <w:rFonts w:hint="eastAsia"/>
        </w:rPr>
        <w:t>顺序</w:t>
      </w:r>
      <w:r>
        <w:rPr>
          <w:rFonts w:hint="eastAsia"/>
          <w:lang w:val="en-US" w:eastAsia="zh-CN"/>
        </w:rPr>
        <w:t>依次</w:t>
      </w:r>
      <w:r>
        <w:rPr>
          <w:rFonts w:hint="eastAsia"/>
        </w:rPr>
        <w:t>张拉完成</w:t>
      </w:r>
      <w:r>
        <w:rPr>
          <w:rFonts w:hint="eastAsia"/>
          <w:lang w:eastAsia="zh-CN"/>
        </w:rPr>
        <w:t>；</w:t>
      </w:r>
    </w:p>
    <w:p>
      <w:pPr>
        <w:ind w:firstLine="480"/>
        <w:textAlignment w:val="auto"/>
        <w:rPr>
          <w:rFonts w:hint="eastAsia"/>
        </w:rPr>
      </w:pPr>
      <w:r>
        <w:rPr>
          <w:rFonts w:hint="eastAsia"/>
          <w:lang w:val="en-US" w:eastAsia="zh-CN"/>
        </w:rPr>
        <w:t xml:space="preserve">3  </w:t>
      </w:r>
      <w:r>
        <w:rPr>
          <w:rFonts w:hint="eastAsia"/>
        </w:rPr>
        <w:t>当采用预应力筋竖向连接时，应按照设计要求采用张拉应力和构件接缝宽度双控法</w:t>
      </w:r>
      <w:r>
        <w:rPr>
          <w:rFonts w:hint="eastAsia"/>
          <w:lang w:eastAsia="zh-CN"/>
        </w:rPr>
        <w:t>。</w:t>
      </w:r>
      <w:r>
        <w:rPr>
          <w:rFonts w:hint="eastAsia"/>
        </w:rPr>
        <w:t>张拉应以张拉应力控制为主、接缝宽度控制为辅</w:t>
      </w:r>
      <w:r>
        <w:rPr>
          <w:rFonts w:hint="eastAsia"/>
          <w:lang w:eastAsia="zh-CN"/>
        </w:rPr>
        <w:t>；</w:t>
      </w:r>
      <w:r>
        <w:rPr>
          <w:rFonts w:hint="eastAsia"/>
          <w:lang w:val="en-US" w:eastAsia="zh-CN"/>
        </w:rPr>
        <w:t>张拉后，上下两部分的接缝宽度应符合设计规定，设计未规定时，</w:t>
      </w:r>
      <w:r>
        <w:rPr>
          <w:rFonts w:hint="eastAsia"/>
        </w:rPr>
        <w:t>实测接缝宜控制在5mm左右</w:t>
      </w:r>
      <w:r>
        <w:rPr>
          <w:rFonts w:hint="eastAsia"/>
          <w:lang w:eastAsia="zh-CN"/>
        </w:rPr>
        <w:t>；</w:t>
      </w:r>
      <w:r>
        <w:rPr>
          <w:rFonts w:hint="eastAsia"/>
        </w:rPr>
        <w:t>当采用钢绞线竖向连接时，宜采用对角线同时</w:t>
      </w:r>
      <w:r>
        <w:rPr>
          <w:rFonts w:hint="eastAsia"/>
          <w:lang w:val="en-US" w:eastAsia="zh-CN"/>
        </w:rPr>
        <w:t>对称</w:t>
      </w:r>
      <w:r>
        <w:rPr>
          <w:rFonts w:hint="eastAsia"/>
        </w:rPr>
        <w:t>张拉。</w:t>
      </w:r>
    </w:p>
    <w:p>
      <w:pPr>
        <w:ind w:firstLine="480"/>
        <w:textAlignment w:val="auto"/>
        <w:rPr>
          <w:rFonts w:hint="default" w:eastAsia="宋体"/>
          <w:lang w:val="en-US" w:eastAsia="zh-CN"/>
        </w:rPr>
      </w:pPr>
      <w:r>
        <w:rPr>
          <w:rFonts w:hint="eastAsia"/>
          <w:lang w:val="en-US" w:eastAsia="zh-CN"/>
        </w:rPr>
        <w:t>4  节段上、下构件经竖向连接形成一个完整的管廊节段后，管廊节段的纵向连接应符合本标准第6.3.3条~第6.37条的规定。</w:t>
      </w:r>
    </w:p>
    <w:p>
      <w:r>
        <w:rPr>
          <w:rFonts w:hint="eastAsia"/>
          <w:b/>
        </w:rPr>
        <w:t>6</w:t>
      </w:r>
      <w:r>
        <w:rPr>
          <w:b/>
        </w:rPr>
        <w:t>.</w:t>
      </w:r>
      <w:r>
        <w:rPr>
          <w:rFonts w:hint="eastAsia"/>
          <w:b/>
        </w:rPr>
        <w:t>3</w:t>
      </w:r>
      <w:r>
        <w:rPr>
          <w:b/>
        </w:rPr>
        <w:t>.</w:t>
      </w:r>
      <w:r>
        <w:rPr>
          <w:rFonts w:hint="eastAsia"/>
          <w:b/>
        </w:rPr>
        <w:t xml:space="preserve">3 </w:t>
      </w:r>
      <w:r>
        <w:t xml:space="preserve"> </w:t>
      </w:r>
      <w:r>
        <w:rPr>
          <w:rFonts w:hint="eastAsia"/>
        </w:rPr>
        <w:t>管廊节段之间的纵向连接接头可采用预应力筋连接接头、螺栓连接接头、柔性承插口接头等。</w:t>
      </w:r>
    </w:p>
    <w:p>
      <w:r>
        <w:rPr>
          <w:rFonts w:hint="eastAsia"/>
          <w:b/>
        </w:rPr>
        <w:t>6.3.4</w:t>
      </w:r>
      <w:r>
        <w:rPr>
          <w:rFonts w:hint="eastAsia"/>
        </w:rPr>
        <w:t xml:space="preserve">  采用预应力筋连接接头的管廊节段纵向连接施工应符合下列规定：</w:t>
      </w:r>
    </w:p>
    <w:p>
      <w:pPr>
        <w:ind w:firstLine="480"/>
        <w:textAlignment w:val="auto"/>
        <w:rPr>
          <w:rFonts w:hint="eastAsia" w:eastAsia="宋体"/>
          <w:lang w:eastAsia="zh-CN"/>
        </w:rPr>
      </w:pPr>
      <w:r>
        <w:rPr>
          <w:rFonts w:hint="eastAsia"/>
        </w:rPr>
        <w:t>1  连接用的预应力钢绞线、预应力混凝土用钢棒、预应力混凝土用螺纹钢筋应符合设计及相关标准的规定</w:t>
      </w:r>
      <w:r>
        <w:rPr>
          <w:rFonts w:hint="eastAsia"/>
          <w:lang w:eastAsia="zh-CN"/>
        </w:rPr>
        <w:t>；</w:t>
      </w:r>
    </w:p>
    <w:p>
      <w:pPr>
        <w:ind w:firstLine="480"/>
        <w:rPr>
          <w:rFonts w:hint="eastAsia" w:eastAsia="宋体"/>
          <w:lang w:eastAsia="zh-CN"/>
        </w:rPr>
      </w:pPr>
      <w:r>
        <w:rPr>
          <w:rFonts w:hint="eastAsia"/>
        </w:rPr>
        <w:t>2  连接用的预应力钢绞线、钢棒、螺纹钢筋、锚夹具等应妥善存放，不能有腐蚀、损伤；预应力筋不应长期露天存放，应存放库房内；当预应力筋置于室外时，应采取下垫上盖等防护措施</w:t>
      </w:r>
      <w:r>
        <w:rPr>
          <w:rFonts w:hint="eastAsia"/>
          <w:lang w:eastAsia="zh-CN"/>
        </w:rPr>
        <w:t>；</w:t>
      </w:r>
    </w:p>
    <w:p>
      <w:pPr>
        <w:ind w:firstLine="480"/>
        <w:rPr>
          <w:rFonts w:hint="eastAsia" w:eastAsia="宋体"/>
          <w:lang w:eastAsia="zh-CN"/>
        </w:rPr>
      </w:pPr>
      <w:r>
        <w:rPr>
          <w:rFonts w:hint="eastAsia"/>
        </w:rPr>
        <w:t>3  预应力筋张拉设备及压力表应定期维护和标定</w:t>
      </w:r>
      <w:r>
        <w:rPr>
          <w:rFonts w:hint="eastAsia"/>
          <w:lang w:eastAsia="zh-CN"/>
        </w:rPr>
        <w:t>；</w:t>
      </w:r>
    </w:p>
    <w:p>
      <w:pPr>
        <w:ind w:firstLine="480"/>
        <w:rPr>
          <w:rFonts w:hint="eastAsia" w:ascii="宋体" w:hAnsi="宋体" w:eastAsia="宋体" w:cs="宋体"/>
          <w:lang w:eastAsia="zh-CN"/>
        </w:rPr>
      </w:pPr>
      <w:r>
        <w:rPr>
          <w:rFonts w:hint="eastAsia"/>
        </w:rPr>
        <w:t>4  预应力筋应根据设计要求采用单端或两端张拉。多点预应力筋同时张拉时，宜采用同步千斤顶张拉</w:t>
      </w:r>
      <w:r>
        <w:rPr>
          <w:rFonts w:hint="eastAsia"/>
          <w:lang w:eastAsia="zh-CN"/>
        </w:rPr>
        <w:t>；</w:t>
      </w:r>
    </w:p>
    <w:p>
      <w:pPr>
        <w:ind w:firstLine="480"/>
        <w:rPr>
          <w:rFonts w:hint="eastAsia" w:eastAsia="宋体"/>
          <w:lang w:eastAsia="zh-CN"/>
        </w:rPr>
      </w:pPr>
      <w:r>
        <w:rPr>
          <w:rFonts w:hint="eastAsia"/>
        </w:rPr>
        <w:t>5  预应力钢绞线、预应力混凝土用钢棒的接长应采用专用连接器或专用套筒进行连接</w:t>
      </w:r>
      <w:r>
        <w:rPr>
          <w:rFonts w:hint="eastAsia"/>
          <w:lang w:eastAsia="zh-CN"/>
        </w:rPr>
        <w:t>；</w:t>
      </w:r>
    </w:p>
    <w:p>
      <w:pPr>
        <w:ind w:firstLine="480"/>
        <w:rPr>
          <w:rFonts w:hint="eastAsia" w:eastAsia="宋体"/>
          <w:lang w:eastAsia="zh-CN"/>
        </w:rPr>
      </w:pPr>
      <w:r>
        <w:rPr>
          <w:rFonts w:hint="eastAsia"/>
        </w:rPr>
        <w:t>6  同一断面的多束预应力筋张拉程序应符合设计规定。设计无规定时，同一断面的预应力筋宜同步、分级施加预应力</w:t>
      </w:r>
      <w:r>
        <w:rPr>
          <w:rFonts w:hint="eastAsia"/>
          <w:lang w:eastAsia="zh-CN"/>
        </w:rPr>
        <w:t>；</w:t>
      </w:r>
    </w:p>
    <w:p>
      <w:pPr>
        <w:ind w:firstLine="480"/>
        <w:rPr>
          <w:rFonts w:hint="eastAsia" w:eastAsia="宋体"/>
          <w:lang w:eastAsia="zh-CN"/>
        </w:rPr>
      </w:pPr>
      <w:r>
        <w:t>7</w:t>
      </w:r>
      <w:r>
        <w:rPr>
          <w:rFonts w:hint="eastAsia"/>
        </w:rPr>
        <w:t xml:space="preserve">  纵向预应力筋张拉时，应按照设计要求采用节段接缝宽度和张拉应力双控法；应以接缝宽度控制为主、张拉应力控制为辅。当接缝宽度达到设计要求时，应停止张拉。当此时张拉应力与设计值相差超过1</w:t>
      </w:r>
      <w:r>
        <w:t>0</w:t>
      </w:r>
      <w:r>
        <w:rPr>
          <w:rFonts w:hint="eastAsia"/>
        </w:rPr>
        <w:t>%时，应与设计单位进行沟通，分析原因并制定措施</w:t>
      </w:r>
      <w:r>
        <w:rPr>
          <w:rFonts w:hint="eastAsia"/>
          <w:lang w:eastAsia="zh-CN"/>
        </w:rPr>
        <w:t>；</w:t>
      </w:r>
    </w:p>
    <w:p>
      <w:pPr>
        <w:ind w:firstLine="480"/>
        <w:rPr>
          <w:rFonts w:hint="eastAsia" w:eastAsia="宋体"/>
          <w:lang w:eastAsia="zh-CN"/>
        </w:rPr>
      </w:pPr>
      <w:r>
        <w:t>8</w:t>
      </w:r>
      <w:r>
        <w:rPr>
          <w:rFonts w:hint="eastAsia"/>
        </w:rPr>
        <w:t xml:space="preserve">  当若干管廊节段为一组进行永久预应力张拉时，宜在同一组的每个相邻节段之间先用预应力筋临时张拉，控制节段接缝宽度在合理范围，然后再按设计要求整体张拉预应力筋。一次张拉连接管廊节段的节数宜根据实际张拉监控数据分析结果综合确定，且不宜超过4节</w:t>
      </w:r>
      <w:r>
        <w:rPr>
          <w:rFonts w:hint="eastAsia"/>
          <w:lang w:eastAsia="zh-CN"/>
        </w:rPr>
        <w:t>；</w:t>
      </w:r>
    </w:p>
    <w:p>
      <w:pPr>
        <w:ind w:firstLine="480"/>
        <w:rPr>
          <w:rFonts w:hint="eastAsia" w:eastAsia="宋体"/>
          <w:lang w:eastAsia="zh-CN"/>
        </w:rPr>
      </w:pPr>
      <w:r>
        <w:t xml:space="preserve">9  </w:t>
      </w:r>
      <w:r>
        <w:rPr>
          <w:rFonts w:hint="eastAsia"/>
        </w:rPr>
        <w:t>张拉完成后的节段接缝宽度应符合设计规定。张拉至设计接缝宽度时应停止张拉，在确认承插口插入状况正常、密封材料被充分压缩后，锚固预应力筋</w:t>
      </w:r>
      <w:r>
        <w:rPr>
          <w:rFonts w:hint="eastAsia"/>
          <w:lang w:eastAsia="zh-CN"/>
        </w:rPr>
        <w:t>；</w:t>
      </w:r>
    </w:p>
    <w:p>
      <w:pPr>
        <w:ind w:firstLine="480"/>
        <w:rPr>
          <w:rFonts w:hint="eastAsia" w:eastAsia="宋体"/>
          <w:lang w:eastAsia="zh-CN"/>
        </w:rPr>
      </w:pPr>
      <w:r>
        <w:rPr>
          <w:rFonts w:hint="eastAsia"/>
        </w:rPr>
        <w:t>1</w:t>
      </w:r>
      <w:r>
        <w:t>0</w:t>
      </w:r>
      <w:r>
        <w:rPr>
          <w:rFonts w:hint="eastAsia"/>
        </w:rPr>
        <w:t xml:space="preserve">  预应力筋锚固后，应采用砂轮锯切割多余的预应力筋，切割后预应力筋的外露长度不应小于30mm</w:t>
      </w:r>
      <w:r>
        <w:rPr>
          <w:rFonts w:hint="eastAsia"/>
          <w:lang w:eastAsia="zh-CN"/>
        </w:rPr>
        <w:t>；</w:t>
      </w:r>
    </w:p>
    <w:p>
      <w:pPr>
        <w:ind w:firstLine="480"/>
        <w:rPr>
          <w:rFonts w:hint="eastAsia" w:eastAsia="宋体"/>
          <w:lang w:eastAsia="zh-CN"/>
        </w:rPr>
      </w:pPr>
      <w:r>
        <w:rPr>
          <w:rFonts w:hint="eastAsia"/>
        </w:rPr>
        <w:t>1</w:t>
      </w:r>
      <w:r>
        <w:t>1</w:t>
      </w:r>
      <w:r>
        <w:rPr>
          <w:rFonts w:hint="eastAsia"/>
        </w:rPr>
        <w:t xml:space="preserve">  有粘结预应力筋张拉完成后，应尽早进行孔道压浆，孔道内水泥浆应饱满、密实</w:t>
      </w:r>
      <w:r>
        <w:rPr>
          <w:rFonts w:hint="eastAsia"/>
          <w:lang w:eastAsia="zh-CN"/>
        </w:rPr>
        <w:t>；</w:t>
      </w:r>
    </w:p>
    <w:p>
      <w:pPr>
        <w:ind w:firstLine="480"/>
        <w:rPr>
          <w:rFonts w:hint="eastAsia" w:eastAsia="宋体"/>
          <w:lang w:eastAsia="zh-CN"/>
        </w:rPr>
      </w:pPr>
      <w:r>
        <w:rPr>
          <w:rFonts w:hint="eastAsia"/>
        </w:rPr>
        <w:t>1</w:t>
      </w:r>
      <w:r>
        <w:t>2</w:t>
      </w:r>
      <w:r>
        <w:rPr>
          <w:rFonts w:hint="eastAsia"/>
        </w:rPr>
        <w:t xml:space="preserve"> </w:t>
      </w:r>
      <w:r>
        <w:t xml:space="preserve"> </w:t>
      </w:r>
      <w:r>
        <w:rPr>
          <w:rFonts w:hint="eastAsia"/>
        </w:rPr>
        <w:t>锚具的封闭保护应符合设计要求。锚具和预应力筋的保护层厚度不应小于5</w:t>
      </w:r>
      <w:r>
        <w:t>0mm</w:t>
      </w:r>
      <w:r>
        <w:rPr>
          <w:rFonts w:hint="eastAsia"/>
        </w:rPr>
        <w:t>；封锚混凝土强度</w:t>
      </w:r>
      <w:r>
        <w:rPr>
          <w:rFonts w:hint="eastAsia"/>
          <w:lang w:eastAsia="zh-CN"/>
        </w:rPr>
        <w:t>不应</w:t>
      </w:r>
      <w:r>
        <w:rPr>
          <w:rFonts w:hint="eastAsia"/>
        </w:rPr>
        <w:t>低于结构混凝土强度，且</w:t>
      </w:r>
      <w:r>
        <w:rPr>
          <w:rFonts w:hint="eastAsia"/>
          <w:lang w:eastAsia="zh-CN"/>
        </w:rPr>
        <w:t>不应</w:t>
      </w:r>
      <w:r>
        <w:rPr>
          <w:rFonts w:hint="eastAsia"/>
        </w:rPr>
        <w:t>低于C</w:t>
      </w:r>
      <w:r>
        <w:t>40</w:t>
      </w:r>
      <w:r>
        <w:rPr>
          <w:rFonts w:hint="eastAsia"/>
          <w:lang w:eastAsia="zh-CN"/>
        </w:rPr>
        <w:t>；</w:t>
      </w:r>
    </w:p>
    <w:p>
      <w:pPr>
        <w:ind w:firstLine="480"/>
      </w:pPr>
      <w:r>
        <w:rPr>
          <w:rFonts w:hint="eastAsia"/>
        </w:rPr>
        <w:t>1</w:t>
      </w:r>
      <w:r>
        <w:t xml:space="preserve">3  </w:t>
      </w:r>
      <w:r>
        <w:rPr>
          <w:rFonts w:hint="eastAsia"/>
        </w:rPr>
        <w:t>预应力工程施工除应符合本条规定外，尚应符合现行国家标准《混凝土结构工程施工规范》G</w:t>
      </w:r>
      <w:r>
        <w:t>B 50666</w:t>
      </w:r>
      <w:r>
        <w:rPr>
          <w:rFonts w:hint="eastAsia"/>
        </w:rPr>
        <w:t>的规定。</w:t>
      </w:r>
    </w:p>
    <w:p>
      <w:r>
        <w:rPr>
          <w:rFonts w:hint="eastAsia"/>
          <w:b/>
        </w:rPr>
        <w:t>6</w:t>
      </w:r>
      <w:r>
        <w:rPr>
          <w:b/>
        </w:rPr>
        <w:t>.</w:t>
      </w:r>
      <w:r>
        <w:rPr>
          <w:rFonts w:hint="eastAsia"/>
          <w:b/>
        </w:rPr>
        <w:t>3</w:t>
      </w:r>
      <w:r>
        <w:rPr>
          <w:b/>
        </w:rPr>
        <w:t>.</w:t>
      </w:r>
      <w:r>
        <w:rPr>
          <w:rFonts w:hint="eastAsia"/>
          <w:b/>
        </w:rPr>
        <w:t>5</w:t>
      </w:r>
      <w:r>
        <w:t xml:space="preserve"> </w:t>
      </w:r>
      <w:r>
        <w:rPr>
          <w:rFonts w:hint="eastAsia"/>
        </w:rPr>
        <w:t xml:space="preserve"> 采用螺栓连接接头的管廊节段纵向连接施工应符合下列规定：</w:t>
      </w:r>
    </w:p>
    <w:p>
      <w:pPr>
        <w:ind w:firstLine="480"/>
        <w:rPr>
          <w:rFonts w:hint="eastAsia" w:eastAsia="宋体"/>
          <w:lang w:eastAsia="zh-CN"/>
        </w:rPr>
      </w:pPr>
      <w:r>
        <w:rPr>
          <w:rFonts w:hint="eastAsia"/>
        </w:rPr>
        <w:t>1  螺栓的类型、规格、尺寸等应符合设计规定</w:t>
      </w:r>
      <w:r>
        <w:rPr>
          <w:rFonts w:hint="eastAsia"/>
          <w:lang w:eastAsia="zh-CN"/>
        </w:rPr>
        <w:t>；</w:t>
      </w:r>
    </w:p>
    <w:p>
      <w:pPr>
        <w:ind w:firstLine="480"/>
        <w:rPr>
          <w:rFonts w:hint="eastAsia" w:eastAsia="宋体"/>
          <w:lang w:eastAsia="zh-CN"/>
        </w:rPr>
      </w:pPr>
      <w:r>
        <w:rPr>
          <w:rFonts w:hint="eastAsia"/>
        </w:rPr>
        <w:t>2  连接时应先对角线连接，然后再全面连接。每只螺栓应先初拧到位，然后退拧几丝，再用扭力扳手拧紧</w:t>
      </w:r>
      <w:r>
        <w:rPr>
          <w:rFonts w:hint="eastAsia"/>
          <w:lang w:eastAsia="zh-CN"/>
        </w:rPr>
        <w:t>；</w:t>
      </w:r>
    </w:p>
    <w:p>
      <w:pPr>
        <w:ind w:firstLine="480"/>
        <w:rPr>
          <w:rFonts w:hint="eastAsia" w:eastAsia="宋体"/>
          <w:lang w:eastAsia="zh-CN"/>
        </w:rPr>
      </w:pPr>
      <w:r>
        <w:t>3</w:t>
      </w:r>
      <w:r>
        <w:rPr>
          <w:rFonts w:hint="eastAsia"/>
        </w:rPr>
        <w:t xml:space="preserve">  螺栓终拧力矩应满足设计要求，终拧后螺母外露丝扣不应少于2扣</w:t>
      </w:r>
      <w:r>
        <w:rPr>
          <w:rFonts w:hint="eastAsia"/>
          <w:lang w:eastAsia="zh-CN"/>
        </w:rPr>
        <w:t>；</w:t>
      </w:r>
    </w:p>
    <w:p>
      <w:pPr>
        <w:ind w:firstLine="480"/>
        <w:rPr>
          <w:rFonts w:hint="eastAsia" w:eastAsia="宋体"/>
          <w:lang w:eastAsia="zh-CN"/>
        </w:rPr>
      </w:pPr>
      <w:r>
        <w:rPr>
          <w:rFonts w:hint="eastAsia"/>
        </w:rPr>
        <w:t>4  在安装过程中发现有不平整现象而导致接缝不密合的，可采用千斤顶、撬棍、手拉葫芦等进行调平，然后垫铁片嵌实、微调</w:t>
      </w:r>
      <w:r>
        <w:rPr>
          <w:rFonts w:hint="eastAsia"/>
          <w:lang w:eastAsia="zh-CN"/>
        </w:rPr>
        <w:t>；</w:t>
      </w:r>
    </w:p>
    <w:p>
      <w:pPr>
        <w:ind w:firstLine="480"/>
        <w:rPr>
          <w:rFonts w:hint="eastAsia" w:eastAsia="宋体"/>
          <w:lang w:eastAsia="zh-CN"/>
        </w:rPr>
      </w:pPr>
      <w:r>
        <w:t>5</w:t>
      </w:r>
      <w:r>
        <w:rPr>
          <w:rFonts w:hint="eastAsia"/>
        </w:rPr>
        <w:t xml:space="preserve">  螺栓连接后，管廊接缝宽度应满足设计要求</w:t>
      </w:r>
      <w:r>
        <w:rPr>
          <w:rFonts w:hint="eastAsia"/>
          <w:lang w:eastAsia="zh-CN"/>
        </w:rPr>
        <w:t>；</w:t>
      </w:r>
    </w:p>
    <w:p>
      <w:pPr>
        <w:ind w:firstLine="480"/>
        <w:rPr>
          <w:rFonts w:hint="eastAsia"/>
        </w:rPr>
      </w:pPr>
      <w:r>
        <w:t xml:space="preserve">6  </w:t>
      </w:r>
      <w:r>
        <w:rPr>
          <w:rFonts w:hint="eastAsia"/>
        </w:rPr>
        <w:t>螺栓连接施工除应符合本条规定外，尚应符合现行国家标准《钢结构工程施工质量验收规范》G</w:t>
      </w:r>
      <w:r>
        <w:t>B 50205</w:t>
      </w:r>
      <w:r>
        <w:rPr>
          <w:rFonts w:hint="eastAsia"/>
        </w:rPr>
        <w:t>的规定。</w:t>
      </w:r>
    </w:p>
    <w:p>
      <w:r>
        <w:rPr>
          <w:rFonts w:hint="eastAsia"/>
          <w:b/>
        </w:rPr>
        <w:t>6.</w:t>
      </w:r>
      <w:r>
        <w:rPr>
          <w:rFonts w:hint="eastAsia"/>
          <w:b/>
          <w:lang w:val="en-US" w:eastAsia="zh-CN"/>
        </w:rPr>
        <w:t>3.6</w:t>
      </w:r>
      <w:r>
        <w:rPr>
          <w:rFonts w:hint="eastAsia"/>
          <w:b/>
        </w:rPr>
        <w:t xml:space="preserve"> </w:t>
      </w:r>
      <w:r>
        <w:rPr>
          <w:rFonts w:hint="eastAsia"/>
        </w:rPr>
        <w:t xml:space="preserve"> </w:t>
      </w:r>
      <w:r>
        <w:t>管廊</w:t>
      </w:r>
      <w:r>
        <w:rPr>
          <w:rFonts w:hint="eastAsia"/>
          <w:lang w:val="en-US" w:eastAsia="zh-CN"/>
        </w:rPr>
        <w:t>节段</w:t>
      </w:r>
      <w:r>
        <w:t>采用柔性连接方式时，承口内工作面、插口外工作面应清洗干净；胶圈应平直、 无扭曲，应正确就位；橡胶圈表面宜涂刷无腐蚀性润滑剂；节段安装</w:t>
      </w:r>
      <w:r>
        <w:rPr>
          <w:rFonts w:hint="eastAsia"/>
          <w:lang w:val="en-US" w:eastAsia="zh-CN"/>
        </w:rPr>
        <w:t>就位</w:t>
      </w:r>
      <w:r>
        <w:t>后，宜采用回弹位移限制措施， 控制接缝宽度及防止预制节段回弹；预制管廊结构与现浇结构整体连接完毕后再撤去临时固定措施。</w:t>
      </w:r>
    </w:p>
    <w:p>
      <w:pPr>
        <w:rPr>
          <w:rFonts w:hint="eastAsia"/>
          <w:lang w:eastAsia="zh-CN"/>
        </w:rPr>
      </w:pPr>
      <w:r>
        <w:rPr>
          <w:rFonts w:hint="eastAsia"/>
          <w:b/>
          <w:bCs/>
          <w:lang w:val="en-US" w:eastAsia="zh-CN"/>
        </w:rPr>
        <w:t>6.3.7</w:t>
      </w:r>
      <w:r>
        <w:rPr>
          <w:rFonts w:hint="eastAsia"/>
          <w:lang w:val="en-US" w:eastAsia="zh-CN"/>
        </w:rPr>
        <w:t xml:space="preserve">  </w:t>
      </w:r>
      <w:r>
        <w:rPr>
          <w:rFonts w:hint="eastAsia"/>
        </w:rPr>
        <w:t>预制节段采用预应力筋或螺栓连接后，应按设计要求进行封锚。设计无要求时，可用比管廊高一等级的微膨胀混凝土填满预留手孔</w:t>
      </w:r>
      <w:r>
        <w:rPr>
          <w:rFonts w:hint="eastAsia"/>
          <w:lang w:eastAsia="zh-CN"/>
        </w:rPr>
        <w:t>。</w:t>
      </w:r>
    </w:p>
    <w:p>
      <w:pPr>
        <w:rPr>
          <w:rFonts w:hint="eastAsia"/>
          <w:lang w:eastAsia="zh-CN"/>
        </w:rPr>
      </w:pPr>
    </w:p>
    <w:p>
      <w:pPr>
        <w:pStyle w:val="3"/>
      </w:pPr>
      <w:bookmarkStart w:id="229" w:name="_Toc3587"/>
      <w:bookmarkStart w:id="230" w:name="_Toc18807"/>
      <w:bookmarkStart w:id="231" w:name="_Toc16289"/>
      <w:bookmarkStart w:id="232" w:name="_Toc19306"/>
      <w:bookmarkStart w:id="233" w:name="_Toc30430"/>
      <w:bookmarkStart w:id="234" w:name="_Toc5700"/>
      <w:r>
        <w:rPr>
          <w:rFonts w:hint="eastAsia"/>
        </w:rPr>
        <w:t>6.4</w:t>
      </w:r>
      <w:r>
        <w:t xml:space="preserve"> </w:t>
      </w:r>
      <w:r>
        <w:rPr>
          <w:rFonts w:hint="eastAsia"/>
        </w:rPr>
        <w:t xml:space="preserve"> 质量检验</w:t>
      </w:r>
      <w:bookmarkEnd w:id="229"/>
      <w:bookmarkEnd w:id="230"/>
      <w:bookmarkEnd w:id="231"/>
      <w:bookmarkEnd w:id="232"/>
      <w:bookmarkEnd w:id="233"/>
      <w:bookmarkEnd w:id="234"/>
    </w:p>
    <w:p>
      <w:pPr>
        <w:ind w:firstLine="482"/>
        <w:jc w:val="center"/>
        <w:rPr>
          <w:b/>
          <w:bCs/>
        </w:rPr>
      </w:pPr>
      <w:bookmarkStart w:id="235" w:name="_Toc32031"/>
      <w:bookmarkStart w:id="236" w:name="_Toc3225"/>
      <w:r>
        <w:rPr>
          <w:rFonts w:hint="eastAsia"/>
          <w:b/>
          <w:bCs/>
        </w:rPr>
        <w:fldChar w:fldCharType="begin"/>
      </w:r>
      <w:r>
        <w:rPr>
          <w:rFonts w:hint="eastAsia"/>
          <w:b/>
          <w:bCs/>
        </w:rPr>
        <w:instrText xml:space="preserve"> = 1 \* ROMAN \* MERGEFORMAT </w:instrText>
      </w:r>
      <w:r>
        <w:rPr>
          <w:rFonts w:hint="eastAsia"/>
          <w:b/>
          <w:bCs/>
        </w:rPr>
        <w:fldChar w:fldCharType="separate"/>
      </w:r>
      <w:r>
        <w:t>I</w:t>
      </w:r>
      <w:r>
        <w:rPr>
          <w:rFonts w:hint="eastAsia"/>
          <w:b/>
          <w:bCs/>
        </w:rPr>
        <w:fldChar w:fldCharType="end"/>
      </w:r>
      <w:r>
        <w:rPr>
          <w:rFonts w:hint="eastAsia"/>
          <w:b/>
          <w:bCs/>
          <w:lang w:val="en-US" w:eastAsia="zh-CN"/>
        </w:rPr>
        <w:t xml:space="preserve"> </w:t>
      </w:r>
      <w:r>
        <w:rPr>
          <w:rFonts w:hint="eastAsia"/>
          <w:b/>
          <w:bCs/>
        </w:rPr>
        <w:t>主控项目</w:t>
      </w:r>
      <w:bookmarkEnd w:id="235"/>
      <w:bookmarkEnd w:id="236"/>
    </w:p>
    <w:p>
      <w:r>
        <w:rPr>
          <w:rFonts w:hint="eastAsia"/>
          <w:b/>
        </w:rPr>
        <w:t>6.4.</w:t>
      </w:r>
      <w:r>
        <w:rPr>
          <w:rFonts w:hint="eastAsia"/>
          <w:b/>
          <w:lang w:val="en-US" w:eastAsia="zh-CN"/>
        </w:rPr>
        <w:t>1</w:t>
      </w:r>
      <w:r>
        <w:rPr>
          <w:rFonts w:hint="eastAsia"/>
          <w:b/>
        </w:rPr>
        <w:t xml:space="preserve"> </w:t>
      </w:r>
      <w:r>
        <w:rPr>
          <w:b/>
        </w:rPr>
        <w:t xml:space="preserve"> </w:t>
      </w:r>
      <w:r>
        <w:rPr>
          <w:rFonts w:hint="eastAsia"/>
        </w:rPr>
        <w:t>管廊节段采用预应力筋纵向连接时，预应力钢筋规格、数量及接缝宽度应符合设计规定</w:t>
      </w:r>
      <w:r>
        <w:rPr>
          <w:rFonts w:hint="eastAsia"/>
          <w:szCs w:val="24"/>
        </w:rPr>
        <w:t>。接缝宽度允许偏差±</w:t>
      </w:r>
      <w:r>
        <w:rPr>
          <w:kern w:val="0"/>
          <w:szCs w:val="24"/>
        </w:rPr>
        <w:t>1</w:t>
      </w:r>
      <w:r>
        <w:rPr>
          <w:rFonts w:hint="eastAsia"/>
          <w:kern w:val="0"/>
          <w:szCs w:val="24"/>
        </w:rPr>
        <w:t>mm</w:t>
      </w:r>
      <w:r>
        <w:rPr>
          <w:rFonts w:hint="eastAsia"/>
        </w:rPr>
        <w:t>。</w:t>
      </w:r>
    </w:p>
    <w:p>
      <w:pPr>
        <w:ind w:firstLine="480"/>
      </w:pPr>
      <w:r>
        <w:rPr>
          <w:rFonts w:hint="eastAsia"/>
        </w:rPr>
        <w:t>检查数量：全数检查。</w:t>
      </w:r>
    </w:p>
    <w:p>
      <w:pPr>
        <w:ind w:firstLine="480"/>
      </w:pPr>
      <w:r>
        <w:rPr>
          <w:rFonts w:hint="eastAsia"/>
        </w:rPr>
        <w:t>检验方法：观察，检查施工记录</w:t>
      </w:r>
      <w:r>
        <w:t>。</w:t>
      </w:r>
    </w:p>
    <w:p>
      <w:r>
        <w:rPr>
          <w:rFonts w:hint="eastAsia"/>
          <w:b/>
        </w:rPr>
        <w:t>6.4.</w:t>
      </w:r>
      <w:r>
        <w:rPr>
          <w:rFonts w:hint="eastAsia"/>
          <w:b/>
          <w:lang w:val="en-US" w:eastAsia="zh-CN"/>
        </w:rPr>
        <w:t>2</w:t>
      </w:r>
      <w:r>
        <w:t xml:space="preserve">  </w:t>
      </w:r>
      <w:r>
        <w:rPr>
          <w:rFonts w:hint="eastAsia"/>
        </w:rPr>
        <w:t>管廊节段采用螺栓纵向连接时，螺栓规格、数量及接缝宽度应符合设计规定</w:t>
      </w:r>
      <w:r>
        <w:rPr>
          <w:rFonts w:hint="eastAsia"/>
          <w:szCs w:val="24"/>
        </w:rPr>
        <w:t>。接缝宽度允许偏差±</w:t>
      </w:r>
      <w:r>
        <w:rPr>
          <w:kern w:val="0"/>
          <w:szCs w:val="24"/>
        </w:rPr>
        <w:t>1</w:t>
      </w:r>
      <w:r>
        <w:rPr>
          <w:rFonts w:hint="eastAsia"/>
          <w:kern w:val="0"/>
          <w:szCs w:val="24"/>
        </w:rPr>
        <w:t>mm</w:t>
      </w:r>
      <w:r>
        <w:rPr>
          <w:rFonts w:hint="eastAsia"/>
        </w:rPr>
        <w:t>。</w:t>
      </w:r>
    </w:p>
    <w:p>
      <w:pPr>
        <w:ind w:firstLine="480"/>
      </w:pPr>
      <w:r>
        <w:rPr>
          <w:rFonts w:hint="eastAsia"/>
        </w:rPr>
        <w:t>检查数量：全数检查。</w:t>
      </w:r>
    </w:p>
    <w:p>
      <w:pPr>
        <w:ind w:firstLine="480"/>
      </w:pPr>
      <w:r>
        <w:rPr>
          <w:rFonts w:hint="eastAsia"/>
        </w:rPr>
        <w:t>检验方法：观察，检查施工记录</w:t>
      </w:r>
      <w:r>
        <w:t>。</w:t>
      </w:r>
    </w:p>
    <w:p>
      <w:r>
        <w:rPr>
          <w:rFonts w:hint="eastAsia"/>
          <w:b/>
        </w:rPr>
        <w:t>6.4.</w:t>
      </w:r>
      <w:r>
        <w:rPr>
          <w:rFonts w:hint="eastAsia"/>
          <w:b/>
          <w:lang w:val="en-US" w:eastAsia="zh-CN"/>
        </w:rPr>
        <w:t>3</w:t>
      </w:r>
      <w:r>
        <w:rPr>
          <w:b/>
        </w:rPr>
        <w:t xml:space="preserve"> </w:t>
      </w:r>
      <w:r>
        <w:rPr>
          <w:rFonts w:hint="eastAsia"/>
          <w:b/>
        </w:rPr>
        <w:t xml:space="preserve"> </w:t>
      </w:r>
      <w:r>
        <w:rPr>
          <w:rFonts w:hint="eastAsia"/>
        </w:rPr>
        <w:t>管廊节段采用柔性承插口纵向连接时，橡胶圈的规格、接缝宽度应符合设计规定。接缝宽度允许偏差</w:t>
      </w:r>
      <w:r>
        <w:rPr>
          <w:rFonts w:hint="eastAsia"/>
          <w:szCs w:val="24"/>
        </w:rPr>
        <w:t>，接缝宽度允许偏差±</w:t>
      </w:r>
      <w:r>
        <w:rPr>
          <w:kern w:val="0"/>
          <w:szCs w:val="24"/>
        </w:rPr>
        <w:t>1</w:t>
      </w:r>
      <w:r>
        <w:rPr>
          <w:rFonts w:hint="eastAsia"/>
          <w:kern w:val="0"/>
          <w:szCs w:val="24"/>
        </w:rPr>
        <w:t>mm</w:t>
      </w:r>
      <w:r>
        <w:rPr>
          <w:rFonts w:hint="eastAsia"/>
        </w:rPr>
        <w:t>。</w:t>
      </w:r>
    </w:p>
    <w:p>
      <w:pPr>
        <w:ind w:firstLine="480"/>
      </w:pPr>
      <w:r>
        <w:rPr>
          <w:rFonts w:hint="eastAsia"/>
        </w:rPr>
        <w:t>检查数量：全数检查。</w:t>
      </w:r>
    </w:p>
    <w:p>
      <w:pPr>
        <w:ind w:firstLine="480"/>
      </w:pPr>
      <w:r>
        <w:rPr>
          <w:rFonts w:hint="eastAsia"/>
        </w:rPr>
        <w:t>检验方法：观察，检查施工记录</w:t>
      </w:r>
      <w:r>
        <w:t>。</w:t>
      </w:r>
    </w:p>
    <w:p>
      <w:r>
        <w:rPr>
          <w:rFonts w:hint="eastAsia"/>
          <w:b/>
        </w:rPr>
        <w:t>6.4.</w:t>
      </w:r>
      <w:r>
        <w:rPr>
          <w:rFonts w:hint="eastAsia"/>
          <w:b/>
          <w:lang w:val="en-US" w:eastAsia="zh-CN"/>
        </w:rPr>
        <w:t>4</w:t>
      </w:r>
      <w:r>
        <w:rPr>
          <w:rFonts w:hint="eastAsia"/>
        </w:rPr>
        <w:t xml:space="preserve">  当管廊节段分上、下两部分进行预制时，上、下预制构件竖向连接的预应力筋规格、数量、接缝宽度及张拉应力应符合设计规定</w:t>
      </w:r>
      <w:r>
        <w:rPr>
          <w:rFonts w:hint="eastAsia"/>
          <w:szCs w:val="24"/>
        </w:rPr>
        <w:t>。接缝宽度允许偏差±</w:t>
      </w:r>
      <w:r>
        <w:rPr>
          <w:kern w:val="0"/>
          <w:szCs w:val="24"/>
        </w:rPr>
        <w:t>1</w:t>
      </w:r>
      <w:r>
        <w:rPr>
          <w:rFonts w:hint="eastAsia"/>
          <w:kern w:val="0"/>
          <w:szCs w:val="24"/>
        </w:rPr>
        <w:t>mm，锚固时张拉应力允许偏差值±5%</w:t>
      </w:r>
      <w:r>
        <w:rPr>
          <w:rFonts w:hint="eastAsia"/>
        </w:rPr>
        <w:t>。</w:t>
      </w:r>
    </w:p>
    <w:p>
      <w:pPr>
        <w:ind w:firstLine="480"/>
      </w:pPr>
      <w:r>
        <w:rPr>
          <w:rFonts w:hint="eastAsia"/>
        </w:rPr>
        <w:t>检查数量：全数检查。</w:t>
      </w:r>
    </w:p>
    <w:p>
      <w:pPr>
        <w:ind w:firstLine="480"/>
      </w:pPr>
      <w:r>
        <w:rPr>
          <w:rFonts w:hint="eastAsia"/>
        </w:rPr>
        <w:t>检验方法：观察，检查施工记录</w:t>
      </w:r>
      <w:r>
        <w:t>。</w:t>
      </w:r>
    </w:p>
    <w:p>
      <w:pPr>
        <w:ind w:firstLine="482"/>
        <w:jc w:val="center"/>
        <w:rPr>
          <w:b/>
          <w:bCs/>
        </w:rPr>
      </w:pPr>
      <w:bookmarkStart w:id="237" w:name="_Toc1437"/>
      <w:bookmarkStart w:id="238" w:name="_Toc24486"/>
      <w:r>
        <w:rPr>
          <w:rFonts w:hint="eastAsia"/>
          <w:b/>
          <w:bCs/>
        </w:rPr>
        <w:fldChar w:fldCharType="begin"/>
      </w:r>
      <w:r>
        <w:rPr>
          <w:rFonts w:hint="eastAsia"/>
          <w:b/>
          <w:bCs/>
        </w:rPr>
        <w:instrText xml:space="preserve"> = 2 \* ROMAN \* MERGEFORMAT </w:instrText>
      </w:r>
      <w:r>
        <w:rPr>
          <w:rFonts w:hint="eastAsia"/>
          <w:b/>
          <w:bCs/>
        </w:rPr>
        <w:fldChar w:fldCharType="separate"/>
      </w:r>
      <w:r>
        <w:t>II</w:t>
      </w:r>
      <w:r>
        <w:rPr>
          <w:rFonts w:hint="eastAsia"/>
          <w:b/>
          <w:bCs/>
        </w:rPr>
        <w:fldChar w:fldCharType="end"/>
      </w:r>
      <w:r>
        <w:rPr>
          <w:rFonts w:hint="eastAsia"/>
          <w:b/>
          <w:bCs/>
          <w:lang w:val="en-US" w:eastAsia="zh-CN"/>
        </w:rPr>
        <w:t xml:space="preserve"> </w:t>
      </w:r>
      <w:r>
        <w:rPr>
          <w:rFonts w:hint="eastAsia"/>
          <w:b/>
          <w:bCs/>
        </w:rPr>
        <w:t>一般项目</w:t>
      </w:r>
      <w:bookmarkEnd w:id="237"/>
      <w:bookmarkEnd w:id="238"/>
    </w:p>
    <w:p>
      <w:r>
        <w:rPr>
          <w:rFonts w:hint="eastAsia"/>
          <w:b/>
        </w:rPr>
        <w:t>6.4.</w:t>
      </w:r>
      <w:r>
        <w:rPr>
          <w:rFonts w:hint="eastAsia"/>
          <w:b/>
          <w:lang w:val="en-US" w:eastAsia="zh-CN"/>
        </w:rPr>
        <w:t>5</w:t>
      </w:r>
      <w:r>
        <w:rPr>
          <w:rFonts w:hint="eastAsia"/>
        </w:rPr>
        <w:t xml:space="preserve">  节段纵向预应力筋锚固时的张拉应力应满足设计要求，允许偏差值为</w:t>
      </w:r>
      <w:r>
        <w:rPr>
          <w:rFonts w:hint="eastAsia"/>
          <w:szCs w:val="24"/>
        </w:rPr>
        <w:t>±</w:t>
      </w:r>
      <w:r>
        <w:rPr>
          <w:rFonts w:hint="eastAsia"/>
        </w:rPr>
        <w:t>10%时。</w:t>
      </w:r>
    </w:p>
    <w:p>
      <w:pPr>
        <w:ind w:firstLine="480"/>
      </w:pPr>
      <w:r>
        <w:rPr>
          <w:rFonts w:hint="eastAsia"/>
        </w:rPr>
        <w:t>检查数量：全数检查。</w:t>
      </w:r>
    </w:p>
    <w:p>
      <w:pPr>
        <w:ind w:firstLine="480"/>
      </w:pPr>
      <w:r>
        <w:rPr>
          <w:rFonts w:hint="eastAsia"/>
        </w:rPr>
        <w:t>检验方法：观察，检查施工记录</w:t>
      </w:r>
      <w:r>
        <w:t>。</w:t>
      </w:r>
    </w:p>
    <w:p>
      <w:r>
        <w:rPr>
          <w:rFonts w:hint="eastAsia"/>
          <w:b/>
        </w:rPr>
        <w:t>6.4.</w:t>
      </w:r>
      <w:r>
        <w:rPr>
          <w:rFonts w:hint="eastAsia"/>
          <w:b/>
          <w:lang w:val="en-US" w:eastAsia="zh-CN"/>
        </w:rPr>
        <w:t>6</w:t>
      </w:r>
      <w:r>
        <w:rPr>
          <w:rFonts w:hint="eastAsia"/>
        </w:rPr>
        <w:t xml:space="preserve">  螺栓连接的螺栓紧固扭矩应满足设计要求。</w:t>
      </w:r>
    </w:p>
    <w:p>
      <w:pPr>
        <w:ind w:firstLine="480"/>
      </w:pPr>
      <w:r>
        <w:rPr>
          <w:rFonts w:hint="eastAsia"/>
        </w:rPr>
        <w:t>检查数量：抽检10%螺栓。</w:t>
      </w:r>
    </w:p>
    <w:p>
      <w:pPr>
        <w:ind w:firstLine="480"/>
      </w:pPr>
      <w:r>
        <w:rPr>
          <w:rFonts w:hint="eastAsia"/>
        </w:rPr>
        <w:t>检验方法：增拧法</w:t>
      </w:r>
      <w:r>
        <w:t>。</w:t>
      </w:r>
    </w:p>
    <w:p>
      <w:bookmarkStart w:id="239" w:name="_Toc14421"/>
      <w:bookmarkStart w:id="240" w:name="_Toc6776"/>
      <w:r>
        <w:rPr>
          <w:rFonts w:hint="eastAsia"/>
          <w:b/>
        </w:rPr>
        <w:t>6.4.</w:t>
      </w:r>
      <w:r>
        <w:rPr>
          <w:rFonts w:hint="eastAsia"/>
          <w:b/>
          <w:lang w:val="en-US" w:eastAsia="zh-CN"/>
        </w:rPr>
        <w:t>7</w:t>
      </w:r>
      <w:r>
        <w:rPr>
          <w:rFonts w:hint="eastAsia"/>
        </w:rPr>
        <w:t xml:space="preserve">  柔性承插口连接的</w:t>
      </w:r>
      <w:r>
        <w:t>橡胶圈</w:t>
      </w:r>
      <w:r>
        <w:rPr>
          <w:rFonts w:hint="eastAsia"/>
        </w:rPr>
        <w:t>位置准确，未出现</w:t>
      </w:r>
      <w:r>
        <w:t>裂缝、破损。</w:t>
      </w:r>
    </w:p>
    <w:p>
      <w:pPr>
        <w:ind w:firstLine="480"/>
      </w:pPr>
      <w:r>
        <w:rPr>
          <w:rFonts w:hint="eastAsia"/>
        </w:rPr>
        <w:t>检查数量：全数检查。</w:t>
      </w:r>
    </w:p>
    <w:p>
      <w:pPr>
        <w:ind w:firstLine="480"/>
      </w:pPr>
      <w:r>
        <w:rPr>
          <w:rFonts w:hint="eastAsia"/>
        </w:rPr>
        <w:t>检验方法：观察，检查施工记录</w:t>
      </w:r>
      <w:r>
        <w:t>。</w:t>
      </w:r>
    </w:p>
    <w:p>
      <w:pPr>
        <w:rPr>
          <w:highlight w:val="yellow"/>
        </w:rPr>
      </w:pPr>
      <w:r>
        <w:rPr>
          <w:rFonts w:hint="eastAsia"/>
          <w:b/>
        </w:rPr>
        <w:t>6.4.</w:t>
      </w:r>
      <w:r>
        <w:rPr>
          <w:rFonts w:hint="eastAsia"/>
          <w:b/>
          <w:lang w:val="en-US" w:eastAsia="zh-CN"/>
        </w:rPr>
        <w:t>8</w:t>
      </w:r>
      <w:r>
        <w:rPr>
          <w:rFonts w:hint="eastAsia"/>
        </w:rPr>
        <w:t xml:space="preserve">  管廊节段纵向连接装配后，其质量应满足表6.4.</w:t>
      </w:r>
      <w:r>
        <w:rPr>
          <w:rFonts w:hint="eastAsia"/>
          <w:lang w:val="en-US" w:eastAsia="zh-CN"/>
        </w:rPr>
        <w:t>8</w:t>
      </w:r>
      <w:r>
        <w:rPr>
          <w:rFonts w:hint="eastAsia"/>
        </w:rPr>
        <w:t>的要求。</w:t>
      </w:r>
      <w:bookmarkEnd w:id="239"/>
      <w:bookmarkEnd w:id="240"/>
    </w:p>
    <w:p>
      <w:pPr>
        <w:pStyle w:val="12"/>
      </w:pPr>
      <w:r>
        <w:t>表</w:t>
      </w:r>
      <w:r>
        <w:rPr>
          <w:rFonts w:hint="eastAsia"/>
        </w:rPr>
        <w:t>6</w:t>
      </w:r>
      <w:r>
        <w:t>.</w:t>
      </w:r>
      <w:r>
        <w:rPr>
          <w:rFonts w:hint="eastAsia"/>
        </w:rPr>
        <w:t>4</w:t>
      </w:r>
      <w:r>
        <w:t>.</w:t>
      </w:r>
      <w:r>
        <w:rPr>
          <w:rFonts w:hint="eastAsia"/>
          <w:lang w:val="en-US" w:eastAsia="zh-CN"/>
        </w:rPr>
        <w:t>8</w:t>
      </w:r>
      <w:r>
        <w:t xml:space="preserve">  </w:t>
      </w:r>
      <w:r>
        <w:rPr>
          <w:rFonts w:hint="eastAsia"/>
          <w:lang w:val="en-US" w:eastAsia="zh-CN"/>
        </w:rPr>
        <w:t>节段</w:t>
      </w:r>
      <w:r>
        <w:rPr>
          <w:rFonts w:hint="eastAsia"/>
        </w:rPr>
        <w:t>管廊</w:t>
      </w:r>
      <w:r>
        <w:t>装配后的允许偏差及检验方法</w:t>
      </w:r>
    </w:p>
    <w:tbl>
      <w:tblPr>
        <w:tblStyle w:val="39"/>
        <w:tblW w:w="783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3" w:type="dxa"/>
          <w:bottom w:w="0" w:type="dxa"/>
          <w:right w:w="23" w:type="dxa"/>
        </w:tblCellMar>
      </w:tblPr>
      <w:tblGrid>
        <w:gridCol w:w="548"/>
        <w:gridCol w:w="971"/>
        <w:gridCol w:w="1883"/>
        <w:gridCol w:w="1553"/>
        <w:gridCol w:w="756"/>
        <w:gridCol w:w="757"/>
        <w:gridCol w:w="136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restart"/>
            <w:vAlign w:val="center"/>
          </w:tcPr>
          <w:p>
            <w:pPr>
              <w:pStyle w:val="92"/>
            </w:pPr>
            <w:r>
              <w:t>项次</w:t>
            </w:r>
          </w:p>
        </w:tc>
        <w:tc>
          <w:tcPr>
            <w:tcW w:w="2854" w:type="dxa"/>
            <w:gridSpan w:val="2"/>
            <w:vMerge w:val="restart"/>
            <w:vAlign w:val="center"/>
          </w:tcPr>
          <w:p>
            <w:pPr>
              <w:pStyle w:val="92"/>
            </w:pPr>
            <w:r>
              <w:t>检验项目</w:t>
            </w:r>
          </w:p>
        </w:tc>
        <w:tc>
          <w:tcPr>
            <w:tcW w:w="1553" w:type="dxa"/>
            <w:vMerge w:val="restart"/>
            <w:vAlign w:val="center"/>
          </w:tcPr>
          <w:p>
            <w:pPr>
              <w:pStyle w:val="92"/>
            </w:pPr>
            <w:r>
              <w:t>允许偏差（mm）</w:t>
            </w:r>
          </w:p>
        </w:tc>
        <w:tc>
          <w:tcPr>
            <w:tcW w:w="1513" w:type="dxa"/>
            <w:gridSpan w:val="2"/>
            <w:vAlign w:val="center"/>
          </w:tcPr>
          <w:p>
            <w:pPr>
              <w:pStyle w:val="92"/>
            </w:pPr>
            <w:r>
              <w:rPr>
                <w:rFonts w:hint="eastAsia"/>
              </w:rPr>
              <w:t>检查数量</w:t>
            </w:r>
          </w:p>
        </w:tc>
        <w:tc>
          <w:tcPr>
            <w:tcW w:w="1367" w:type="dxa"/>
            <w:vMerge w:val="restart"/>
            <w:vAlign w:val="center"/>
          </w:tcPr>
          <w:p>
            <w:pPr>
              <w:pStyle w:val="92"/>
            </w:pPr>
            <w:r>
              <w:t>检验方法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continue"/>
            <w:vAlign w:val="center"/>
          </w:tcPr>
          <w:p>
            <w:pPr>
              <w:pStyle w:val="92"/>
            </w:pPr>
          </w:p>
        </w:tc>
        <w:tc>
          <w:tcPr>
            <w:tcW w:w="2854" w:type="dxa"/>
            <w:gridSpan w:val="2"/>
            <w:vMerge w:val="continue"/>
            <w:vAlign w:val="center"/>
          </w:tcPr>
          <w:p>
            <w:pPr>
              <w:pStyle w:val="92"/>
            </w:pPr>
          </w:p>
        </w:tc>
        <w:tc>
          <w:tcPr>
            <w:tcW w:w="1553" w:type="dxa"/>
            <w:vMerge w:val="continue"/>
            <w:vAlign w:val="center"/>
          </w:tcPr>
          <w:p>
            <w:pPr>
              <w:pStyle w:val="92"/>
            </w:pPr>
          </w:p>
        </w:tc>
        <w:tc>
          <w:tcPr>
            <w:tcW w:w="756" w:type="dxa"/>
            <w:vAlign w:val="center"/>
          </w:tcPr>
          <w:p>
            <w:pPr>
              <w:pStyle w:val="92"/>
            </w:pPr>
            <w:r>
              <w:rPr>
                <w:rFonts w:hint="eastAsia"/>
              </w:rPr>
              <w:t>范围</w:t>
            </w:r>
          </w:p>
        </w:tc>
        <w:tc>
          <w:tcPr>
            <w:tcW w:w="757" w:type="dxa"/>
            <w:vAlign w:val="center"/>
          </w:tcPr>
          <w:p>
            <w:pPr>
              <w:pStyle w:val="92"/>
            </w:pPr>
            <w:r>
              <w:rPr>
                <w:rFonts w:hint="eastAsia"/>
              </w:rPr>
              <w:t>点数</w:t>
            </w:r>
          </w:p>
        </w:tc>
        <w:tc>
          <w:tcPr>
            <w:tcW w:w="1367" w:type="dxa"/>
            <w:vMerge w:val="continue"/>
            <w:vAlign w:val="center"/>
          </w:tcPr>
          <w:p>
            <w:pPr>
              <w:pStyle w:val="92"/>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Align w:val="center"/>
          </w:tcPr>
          <w:p>
            <w:pPr>
              <w:pStyle w:val="92"/>
            </w:pPr>
            <w:r>
              <w:t>1</w:t>
            </w:r>
          </w:p>
        </w:tc>
        <w:tc>
          <w:tcPr>
            <w:tcW w:w="2854" w:type="dxa"/>
            <w:gridSpan w:val="2"/>
            <w:vAlign w:val="center"/>
          </w:tcPr>
          <w:p>
            <w:pPr>
              <w:pStyle w:val="92"/>
            </w:pPr>
            <w:r>
              <w:rPr>
                <w:rFonts w:hint="eastAsia"/>
              </w:rPr>
              <w:t>管廊</w:t>
            </w:r>
            <w:r>
              <w:t>中心线对轴线的位置</w:t>
            </w:r>
          </w:p>
        </w:tc>
        <w:tc>
          <w:tcPr>
            <w:tcW w:w="1553" w:type="dxa"/>
            <w:vAlign w:val="center"/>
          </w:tcPr>
          <w:p>
            <w:pPr>
              <w:pStyle w:val="92"/>
            </w:pPr>
            <w:r>
              <w:t>5</w:t>
            </w:r>
          </w:p>
        </w:tc>
        <w:tc>
          <w:tcPr>
            <w:tcW w:w="756" w:type="dxa"/>
            <w:vMerge w:val="restart"/>
            <w:vAlign w:val="center"/>
          </w:tcPr>
          <w:p>
            <w:pPr>
              <w:pStyle w:val="92"/>
              <w:rPr>
                <w:rFonts w:hint="eastAsia" w:eastAsia="宋体"/>
                <w:lang w:eastAsia="zh-CN"/>
              </w:rPr>
            </w:pPr>
            <w:r>
              <w:rPr>
                <w:rFonts w:hint="eastAsia"/>
              </w:rPr>
              <w:t>每</w:t>
            </w:r>
            <w:r>
              <w:rPr>
                <w:rFonts w:hint="eastAsia"/>
                <w:lang w:val="en-US" w:eastAsia="zh-CN"/>
              </w:rPr>
              <w:t>节段</w:t>
            </w:r>
          </w:p>
        </w:tc>
        <w:tc>
          <w:tcPr>
            <w:tcW w:w="757" w:type="dxa"/>
            <w:vAlign w:val="center"/>
          </w:tcPr>
          <w:p>
            <w:pPr>
              <w:pStyle w:val="92"/>
            </w:pPr>
            <w:r>
              <w:rPr>
                <w:rFonts w:hint="eastAsia"/>
              </w:rPr>
              <w:t>2</w:t>
            </w:r>
          </w:p>
        </w:tc>
        <w:tc>
          <w:tcPr>
            <w:tcW w:w="1367" w:type="dxa"/>
            <w:vAlign w:val="center"/>
          </w:tcPr>
          <w:p>
            <w:pPr>
              <w:pStyle w:val="92"/>
            </w:pPr>
            <w:r>
              <w:rPr>
                <w:rFonts w:hint="eastAsia"/>
              </w:rPr>
              <w:t>钢</w:t>
            </w:r>
            <w:r>
              <w:t>尺量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restart"/>
            <w:vAlign w:val="center"/>
          </w:tcPr>
          <w:p>
            <w:pPr>
              <w:pStyle w:val="92"/>
            </w:pPr>
            <w:r>
              <w:rPr>
                <w:rFonts w:hint="eastAsia"/>
              </w:rPr>
              <w:t>2</w:t>
            </w:r>
          </w:p>
        </w:tc>
        <w:tc>
          <w:tcPr>
            <w:tcW w:w="971" w:type="dxa"/>
            <w:vMerge w:val="restart"/>
            <w:vAlign w:val="center"/>
          </w:tcPr>
          <w:p>
            <w:pPr>
              <w:pStyle w:val="92"/>
            </w:pPr>
            <w:r>
              <w:t>标高</w:t>
            </w:r>
          </w:p>
        </w:tc>
        <w:tc>
          <w:tcPr>
            <w:tcW w:w="1883" w:type="dxa"/>
            <w:vAlign w:val="center"/>
          </w:tcPr>
          <w:p>
            <w:pPr>
              <w:pStyle w:val="92"/>
            </w:pPr>
            <w:r>
              <w:rPr>
                <w:rFonts w:hint="eastAsia"/>
              </w:rPr>
              <w:t>顶</w:t>
            </w:r>
            <w:r>
              <w:t>板</w:t>
            </w:r>
            <w:r>
              <w:rPr>
                <w:rFonts w:hint="eastAsia"/>
              </w:rPr>
              <w:t>顶</w:t>
            </w:r>
            <w:r>
              <w:t>面</w:t>
            </w:r>
          </w:p>
        </w:tc>
        <w:tc>
          <w:tcPr>
            <w:tcW w:w="1553" w:type="dxa"/>
            <w:vAlign w:val="center"/>
          </w:tcPr>
          <w:p>
            <w:pPr>
              <w:pStyle w:val="92"/>
            </w:pPr>
            <w:r>
              <w:t>±10</w:t>
            </w:r>
          </w:p>
        </w:tc>
        <w:tc>
          <w:tcPr>
            <w:tcW w:w="756" w:type="dxa"/>
            <w:vMerge w:val="continue"/>
            <w:vAlign w:val="center"/>
          </w:tcPr>
          <w:p>
            <w:pPr>
              <w:pStyle w:val="92"/>
            </w:pPr>
          </w:p>
        </w:tc>
        <w:tc>
          <w:tcPr>
            <w:tcW w:w="757" w:type="dxa"/>
            <w:vMerge w:val="restart"/>
            <w:vAlign w:val="center"/>
          </w:tcPr>
          <w:p>
            <w:pPr>
              <w:pStyle w:val="92"/>
            </w:pPr>
            <w:r>
              <w:rPr>
                <w:rFonts w:hint="eastAsia"/>
              </w:rPr>
              <w:t>2</w:t>
            </w:r>
          </w:p>
        </w:tc>
        <w:tc>
          <w:tcPr>
            <w:tcW w:w="1367" w:type="dxa"/>
            <w:vMerge w:val="restart"/>
            <w:vAlign w:val="center"/>
          </w:tcPr>
          <w:p>
            <w:pPr>
              <w:pStyle w:val="92"/>
            </w:pPr>
            <w:r>
              <w:t>水准仪</w:t>
            </w:r>
            <w:r>
              <w:rPr>
                <w:rFonts w:hint="eastAsia"/>
              </w:rPr>
              <w:t>测量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continue"/>
            <w:vAlign w:val="center"/>
          </w:tcPr>
          <w:p>
            <w:pPr>
              <w:pStyle w:val="92"/>
            </w:pPr>
          </w:p>
        </w:tc>
        <w:tc>
          <w:tcPr>
            <w:tcW w:w="971" w:type="dxa"/>
            <w:vMerge w:val="continue"/>
            <w:vAlign w:val="center"/>
          </w:tcPr>
          <w:p>
            <w:pPr>
              <w:pStyle w:val="92"/>
            </w:pPr>
          </w:p>
        </w:tc>
        <w:tc>
          <w:tcPr>
            <w:tcW w:w="1883" w:type="dxa"/>
            <w:vAlign w:val="center"/>
          </w:tcPr>
          <w:p>
            <w:pPr>
              <w:pStyle w:val="92"/>
            </w:pPr>
            <w:r>
              <w:rPr>
                <w:rFonts w:hint="eastAsia"/>
              </w:rPr>
              <w:t>底板</w:t>
            </w:r>
            <w:r>
              <w:t>顶面</w:t>
            </w:r>
          </w:p>
        </w:tc>
        <w:tc>
          <w:tcPr>
            <w:tcW w:w="1553" w:type="dxa"/>
            <w:vAlign w:val="center"/>
          </w:tcPr>
          <w:p>
            <w:pPr>
              <w:pStyle w:val="92"/>
            </w:pPr>
            <w:r>
              <w:t>±10</w:t>
            </w:r>
          </w:p>
        </w:tc>
        <w:tc>
          <w:tcPr>
            <w:tcW w:w="756" w:type="dxa"/>
            <w:vMerge w:val="continue"/>
            <w:vAlign w:val="center"/>
          </w:tcPr>
          <w:p>
            <w:pPr>
              <w:pStyle w:val="92"/>
            </w:pPr>
          </w:p>
        </w:tc>
        <w:tc>
          <w:tcPr>
            <w:tcW w:w="757" w:type="dxa"/>
            <w:vMerge w:val="continue"/>
            <w:vAlign w:val="center"/>
          </w:tcPr>
          <w:p>
            <w:pPr>
              <w:pStyle w:val="92"/>
            </w:pPr>
          </w:p>
        </w:tc>
        <w:tc>
          <w:tcPr>
            <w:tcW w:w="1367" w:type="dxa"/>
            <w:vMerge w:val="continue"/>
            <w:vAlign w:val="center"/>
          </w:tcPr>
          <w:p>
            <w:pPr>
              <w:pStyle w:val="92"/>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Align w:val="center"/>
          </w:tcPr>
          <w:p>
            <w:pPr>
              <w:pStyle w:val="92"/>
            </w:pPr>
            <w:r>
              <w:rPr>
                <w:rFonts w:hint="eastAsia"/>
              </w:rPr>
              <w:t>3</w:t>
            </w:r>
          </w:p>
        </w:tc>
        <w:tc>
          <w:tcPr>
            <w:tcW w:w="2854" w:type="dxa"/>
            <w:gridSpan w:val="2"/>
            <w:vAlign w:val="center"/>
          </w:tcPr>
          <w:p>
            <w:pPr>
              <w:pStyle w:val="92"/>
            </w:pPr>
            <w:r>
              <w:t>构件垂直度</w:t>
            </w:r>
          </w:p>
        </w:tc>
        <w:tc>
          <w:tcPr>
            <w:tcW w:w="1553" w:type="dxa"/>
            <w:vAlign w:val="center"/>
          </w:tcPr>
          <w:p>
            <w:pPr>
              <w:pStyle w:val="92"/>
            </w:pPr>
            <w:r>
              <w:t>H/400，</w:t>
            </w:r>
            <w:r>
              <w:rPr>
                <w:rFonts w:hint="eastAsia"/>
                <w:lang w:val="en-US" w:eastAsia="zh-CN"/>
              </w:rPr>
              <w:t>且</w:t>
            </w:r>
            <w:r>
              <w:rPr>
                <w:rFonts w:hint="eastAsia" w:ascii="宋体" w:hAnsi="宋体" w:eastAsia="宋体" w:cs="宋体"/>
                <w:lang w:val="en-US" w:eastAsia="zh-CN"/>
              </w:rPr>
              <w:t>≤</w:t>
            </w:r>
            <w:r>
              <w:t>10</w:t>
            </w:r>
          </w:p>
        </w:tc>
        <w:tc>
          <w:tcPr>
            <w:tcW w:w="756" w:type="dxa"/>
            <w:vMerge w:val="continue"/>
            <w:vAlign w:val="center"/>
          </w:tcPr>
          <w:p>
            <w:pPr>
              <w:pStyle w:val="92"/>
            </w:pPr>
          </w:p>
        </w:tc>
        <w:tc>
          <w:tcPr>
            <w:tcW w:w="757" w:type="dxa"/>
            <w:vAlign w:val="center"/>
          </w:tcPr>
          <w:p>
            <w:pPr>
              <w:pStyle w:val="92"/>
            </w:pPr>
            <w:r>
              <w:rPr>
                <w:rFonts w:hint="eastAsia"/>
              </w:rPr>
              <w:t>2</w:t>
            </w:r>
          </w:p>
        </w:tc>
        <w:tc>
          <w:tcPr>
            <w:tcW w:w="1367" w:type="dxa"/>
            <w:vAlign w:val="center"/>
          </w:tcPr>
          <w:p>
            <w:pPr>
              <w:pStyle w:val="92"/>
            </w:pPr>
            <w:r>
              <w:rPr>
                <w:rFonts w:hint="eastAsia"/>
              </w:rPr>
              <w:t>挂垂</w:t>
            </w:r>
            <w:r>
              <w:t>线</w:t>
            </w:r>
            <w:r>
              <w:rPr>
                <w:rFonts w:hint="eastAsia"/>
              </w:rPr>
              <w:t>，</w:t>
            </w:r>
            <w:r>
              <w:t>钢尺量测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restart"/>
            <w:vAlign w:val="center"/>
          </w:tcPr>
          <w:p>
            <w:pPr>
              <w:pStyle w:val="92"/>
            </w:pPr>
            <w:r>
              <w:rPr>
                <w:rFonts w:hint="eastAsia"/>
              </w:rPr>
              <w:t>4</w:t>
            </w:r>
          </w:p>
        </w:tc>
        <w:tc>
          <w:tcPr>
            <w:tcW w:w="971" w:type="dxa"/>
            <w:vMerge w:val="restart"/>
            <w:vAlign w:val="center"/>
          </w:tcPr>
          <w:p>
            <w:pPr>
              <w:pStyle w:val="92"/>
            </w:pPr>
            <w:r>
              <w:t>相邻构件平整度</w:t>
            </w:r>
          </w:p>
        </w:tc>
        <w:tc>
          <w:tcPr>
            <w:tcW w:w="1883" w:type="dxa"/>
            <w:vAlign w:val="center"/>
          </w:tcPr>
          <w:p>
            <w:pPr>
              <w:pStyle w:val="92"/>
            </w:pPr>
            <w:r>
              <w:t>顶板</w:t>
            </w:r>
            <w:r>
              <w:rPr>
                <w:rFonts w:hint="eastAsia"/>
              </w:rPr>
              <w:t>下表面</w:t>
            </w:r>
            <w:r>
              <w:t>、底板</w:t>
            </w:r>
            <w:r>
              <w:rPr>
                <w:rFonts w:hint="eastAsia"/>
              </w:rPr>
              <w:t>上</w:t>
            </w:r>
            <w:r>
              <w:t>表面</w:t>
            </w:r>
          </w:p>
        </w:tc>
        <w:tc>
          <w:tcPr>
            <w:tcW w:w="1553" w:type="dxa"/>
            <w:vAlign w:val="center"/>
          </w:tcPr>
          <w:p>
            <w:pPr>
              <w:pStyle w:val="92"/>
            </w:pPr>
            <w:r>
              <w:t>3</w:t>
            </w:r>
          </w:p>
        </w:tc>
        <w:tc>
          <w:tcPr>
            <w:tcW w:w="756" w:type="dxa"/>
            <w:vMerge w:val="continue"/>
            <w:vAlign w:val="center"/>
          </w:tcPr>
          <w:p>
            <w:pPr>
              <w:pStyle w:val="92"/>
            </w:pPr>
          </w:p>
        </w:tc>
        <w:tc>
          <w:tcPr>
            <w:tcW w:w="757" w:type="dxa"/>
            <w:vMerge w:val="restart"/>
            <w:vAlign w:val="center"/>
          </w:tcPr>
          <w:p>
            <w:pPr>
              <w:pStyle w:val="92"/>
            </w:pPr>
            <w:r>
              <w:rPr>
                <w:rFonts w:hint="eastAsia"/>
              </w:rPr>
              <w:t>2</w:t>
            </w:r>
          </w:p>
        </w:tc>
        <w:tc>
          <w:tcPr>
            <w:tcW w:w="1367" w:type="dxa"/>
            <w:vMerge w:val="restart"/>
            <w:vAlign w:val="center"/>
          </w:tcPr>
          <w:p>
            <w:pPr>
              <w:pStyle w:val="92"/>
            </w:pPr>
            <w:r>
              <w:rPr>
                <w:rFonts w:hint="eastAsia"/>
                <w:lang w:val="en-US" w:eastAsia="zh-CN"/>
              </w:rPr>
              <w:t>2m</w:t>
            </w:r>
            <w:r>
              <w:t>钢尺、塞尺量测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continue"/>
            <w:vAlign w:val="center"/>
          </w:tcPr>
          <w:p>
            <w:pPr>
              <w:pStyle w:val="92"/>
            </w:pPr>
          </w:p>
        </w:tc>
        <w:tc>
          <w:tcPr>
            <w:tcW w:w="971" w:type="dxa"/>
            <w:vMerge w:val="continue"/>
            <w:vAlign w:val="center"/>
          </w:tcPr>
          <w:p>
            <w:pPr>
              <w:pStyle w:val="92"/>
            </w:pPr>
          </w:p>
        </w:tc>
        <w:tc>
          <w:tcPr>
            <w:tcW w:w="1883" w:type="dxa"/>
            <w:vAlign w:val="center"/>
          </w:tcPr>
          <w:p>
            <w:pPr>
              <w:pStyle w:val="92"/>
            </w:pPr>
            <w:r>
              <w:t>侧板侧表面</w:t>
            </w:r>
          </w:p>
        </w:tc>
        <w:tc>
          <w:tcPr>
            <w:tcW w:w="1553" w:type="dxa"/>
            <w:vAlign w:val="center"/>
          </w:tcPr>
          <w:p>
            <w:pPr>
              <w:pStyle w:val="92"/>
            </w:pPr>
            <w:r>
              <w:t>5</w:t>
            </w:r>
          </w:p>
        </w:tc>
        <w:tc>
          <w:tcPr>
            <w:tcW w:w="756" w:type="dxa"/>
            <w:vMerge w:val="continue"/>
            <w:vAlign w:val="center"/>
          </w:tcPr>
          <w:p>
            <w:pPr>
              <w:pStyle w:val="92"/>
            </w:pPr>
          </w:p>
        </w:tc>
        <w:tc>
          <w:tcPr>
            <w:tcW w:w="757" w:type="dxa"/>
            <w:vMerge w:val="continue"/>
            <w:vAlign w:val="center"/>
          </w:tcPr>
          <w:p>
            <w:pPr>
              <w:pStyle w:val="92"/>
            </w:pPr>
          </w:p>
        </w:tc>
        <w:tc>
          <w:tcPr>
            <w:tcW w:w="1367" w:type="dxa"/>
            <w:vMerge w:val="continue"/>
            <w:vAlign w:val="center"/>
          </w:tcPr>
          <w:p>
            <w:pPr>
              <w:pStyle w:val="92"/>
            </w:pPr>
          </w:p>
        </w:tc>
      </w:tr>
    </w:tbl>
    <w:p>
      <w:pPr>
        <w:widowControl/>
        <w:adjustRightInd w:val="0"/>
        <w:snapToGrid w:val="0"/>
        <w:ind w:firstLine="420" w:firstLineChars="200"/>
        <w:jc w:val="left"/>
        <w:rPr>
          <w:kern w:val="0"/>
          <w:sz w:val="21"/>
        </w:rPr>
      </w:pPr>
      <w:r>
        <w:rPr>
          <w:rFonts w:hint="eastAsia"/>
          <w:kern w:val="0"/>
          <w:sz w:val="21"/>
        </w:rPr>
        <w:t>注：H为管廊结构的总高度。</w:t>
      </w:r>
    </w:p>
    <w:p>
      <w:pPr>
        <w:ind w:firstLine="480"/>
      </w:pPr>
    </w:p>
    <w:p>
      <w:pPr>
        <w:ind w:firstLine="480"/>
      </w:pPr>
      <w:r>
        <w:br w:type="page"/>
      </w:r>
    </w:p>
    <w:p>
      <w:pPr>
        <w:pStyle w:val="2"/>
      </w:pPr>
      <w:bookmarkStart w:id="241" w:name="_Toc11671"/>
      <w:bookmarkStart w:id="242" w:name="_Toc2840"/>
      <w:bookmarkStart w:id="243" w:name="_Toc11961"/>
      <w:bookmarkStart w:id="244" w:name="_Toc12953"/>
      <w:bookmarkStart w:id="245" w:name="_Toc31564"/>
      <w:bookmarkStart w:id="246" w:name="_Toc31464"/>
      <w:r>
        <w:rPr>
          <w:rFonts w:hint="eastAsia"/>
        </w:rPr>
        <w:t>7  叠合预制管廊的装配</w:t>
      </w:r>
      <w:bookmarkEnd w:id="241"/>
      <w:bookmarkEnd w:id="242"/>
      <w:bookmarkEnd w:id="243"/>
      <w:bookmarkEnd w:id="244"/>
      <w:bookmarkEnd w:id="245"/>
      <w:bookmarkEnd w:id="246"/>
    </w:p>
    <w:p>
      <w:pPr>
        <w:pStyle w:val="3"/>
        <w:rPr>
          <w:rFonts w:cs="Times New Roman"/>
        </w:rPr>
      </w:pPr>
      <w:bookmarkStart w:id="247" w:name="_Toc11950"/>
      <w:bookmarkStart w:id="248" w:name="_Toc13069"/>
      <w:bookmarkStart w:id="249" w:name="_Toc23319"/>
      <w:bookmarkStart w:id="250" w:name="_Toc9137"/>
      <w:bookmarkStart w:id="251" w:name="_Toc15668"/>
      <w:bookmarkStart w:id="252" w:name="_Toc27535"/>
      <w:bookmarkStart w:id="253" w:name="_Toc9746"/>
      <w:bookmarkStart w:id="254" w:name="_Toc9393"/>
      <w:bookmarkStart w:id="255" w:name="_Toc25263"/>
      <w:bookmarkStart w:id="256" w:name="_Toc13192"/>
      <w:bookmarkStart w:id="257" w:name="_Toc12480"/>
      <w:bookmarkStart w:id="258" w:name="_Toc14209"/>
      <w:r>
        <w:rPr>
          <w:rFonts w:cs="Times New Roman"/>
        </w:rPr>
        <w:fldChar w:fldCharType="begin"/>
      </w:r>
      <w:r>
        <w:rPr>
          <w:rFonts w:cs="Times New Roman"/>
        </w:rPr>
        <w:instrText xml:space="preserve"> HYPERLINK "file:///C:\\Users\\xy155\\Desktop\\矩形顶管工程技术规程2019.3.22.docx" \l "_Toc23090" </w:instrText>
      </w:r>
      <w:r>
        <w:rPr>
          <w:rFonts w:cs="Times New Roman"/>
        </w:rPr>
        <w:fldChar w:fldCharType="separate"/>
      </w:r>
      <w:bookmarkStart w:id="259" w:name="_Toc1781_WPSOffice_Level2"/>
      <w:r>
        <w:rPr>
          <w:rFonts w:cs="Times New Roman"/>
        </w:rPr>
        <w:t>7.1  一般规定</w:t>
      </w:r>
      <w:bookmarkEnd w:id="259"/>
      <w:r>
        <w:rPr>
          <w:rFonts w:cs="Times New Roman"/>
        </w:rPr>
        <w:fldChar w:fldCharType="end"/>
      </w:r>
      <w:bookmarkEnd w:id="247"/>
      <w:bookmarkEnd w:id="248"/>
      <w:bookmarkEnd w:id="249"/>
      <w:bookmarkEnd w:id="250"/>
      <w:bookmarkEnd w:id="251"/>
      <w:bookmarkEnd w:id="252"/>
      <w:bookmarkEnd w:id="253"/>
      <w:bookmarkEnd w:id="254"/>
      <w:bookmarkEnd w:id="255"/>
      <w:bookmarkEnd w:id="256"/>
      <w:bookmarkEnd w:id="257"/>
      <w:bookmarkEnd w:id="258"/>
    </w:p>
    <w:p>
      <w:r>
        <w:rPr>
          <w:rFonts w:hint="eastAsia"/>
          <w:b/>
        </w:rPr>
        <w:t>7.1.1</w:t>
      </w:r>
      <w:r>
        <w:rPr>
          <w:rFonts w:hint="eastAsia"/>
          <w:bCs/>
        </w:rPr>
        <w:t xml:space="preserve"> </w:t>
      </w:r>
      <w:r>
        <w:rPr>
          <w:bCs/>
        </w:rPr>
        <w:t xml:space="preserve"> </w:t>
      </w:r>
      <w:r>
        <w:rPr>
          <w:rFonts w:hint="eastAsia"/>
        </w:rPr>
        <w:t>施工单位应根据叠合预制管廊工程特点，配置组织机构和人员。施工作业人员应具备岗位需要的基础知识和技能。施工单位应对管理人员、施工作业人员进行质量、安全和技术交底。</w:t>
      </w:r>
    </w:p>
    <w:p>
      <w:pPr>
        <w:rPr>
          <w:rFonts w:hint="eastAsia"/>
        </w:rPr>
      </w:pPr>
      <w:r>
        <w:rPr>
          <w:rFonts w:hint="eastAsia"/>
          <w:b/>
        </w:rPr>
        <w:t>7.1.2</w:t>
      </w:r>
      <w:r>
        <w:rPr>
          <w:rFonts w:hint="eastAsia"/>
        </w:rPr>
        <w:t xml:space="preserve">  叠合预制管廊的施工</w:t>
      </w:r>
      <w:r>
        <w:rPr>
          <w:rFonts w:hint="eastAsia"/>
          <w:lang w:val="en-US" w:eastAsia="zh-CN"/>
        </w:rPr>
        <w:t>顺序可按如下步骤进行</w:t>
      </w:r>
      <w:r>
        <w:rPr>
          <w:rFonts w:hint="eastAsia"/>
        </w:rPr>
        <w:t>：</w:t>
      </w:r>
    </w:p>
    <w:p>
      <w:pPr>
        <w:ind w:firstLine="480" w:firstLineChars="200"/>
        <w:rPr>
          <w:rFonts w:hint="eastAsia"/>
          <w:bCs/>
          <w:lang w:val="en-US" w:eastAsia="zh-CN"/>
        </w:rPr>
      </w:pPr>
      <w:r>
        <w:rPr>
          <w:rFonts w:hint="eastAsia"/>
          <w:bCs/>
          <w:lang w:val="en-US" w:eastAsia="zh-CN"/>
        </w:rPr>
        <w:t>1  混凝土垫层施工后，按设计施工底板防水层及防水保护层；</w:t>
      </w:r>
    </w:p>
    <w:p>
      <w:pPr>
        <w:ind w:firstLine="480" w:firstLineChars="200"/>
        <w:rPr>
          <w:rFonts w:hint="eastAsia"/>
          <w:bCs/>
          <w:lang w:val="en-US" w:eastAsia="zh-CN"/>
        </w:rPr>
      </w:pPr>
      <w:r>
        <w:rPr>
          <w:rFonts w:hint="eastAsia"/>
          <w:bCs/>
          <w:lang w:val="en-US" w:eastAsia="zh-CN"/>
        </w:rPr>
        <w:t>2  当管廊底板采用叠合板形式时，先安装预制底板叠合板，再安装管廊底板钢筋；当管廊底板采用现浇混凝土形式时，直接安装管廊底板钢筋；</w:t>
      </w:r>
    </w:p>
    <w:p>
      <w:pPr>
        <w:ind w:firstLine="480" w:firstLineChars="200"/>
        <w:rPr>
          <w:rFonts w:hint="eastAsia"/>
          <w:bCs/>
          <w:lang w:val="en-US" w:eastAsia="zh-CN"/>
        </w:rPr>
      </w:pPr>
      <w:r>
        <w:rPr>
          <w:rFonts w:hint="eastAsia"/>
          <w:bCs/>
          <w:lang w:val="en-US" w:eastAsia="zh-CN"/>
        </w:rPr>
        <w:t>3  预制叠合墙板安装，并对叠合墙板进行支撑；</w:t>
      </w:r>
    </w:p>
    <w:p>
      <w:pPr>
        <w:ind w:firstLine="480" w:firstLineChars="200"/>
        <w:rPr>
          <w:rFonts w:hint="eastAsia"/>
          <w:bCs/>
          <w:lang w:val="en-US" w:eastAsia="zh-CN"/>
        </w:rPr>
      </w:pPr>
      <w:r>
        <w:rPr>
          <w:rFonts w:hint="eastAsia"/>
          <w:bCs/>
          <w:lang w:val="en-US" w:eastAsia="zh-CN"/>
        </w:rPr>
        <w:t>4  墙板纵向连接部位的暗柱钢筋安装；</w:t>
      </w:r>
    </w:p>
    <w:p>
      <w:pPr>
        <w:ind w:firstLine="480" w:firstLineChars="200"/>
        <w:rPr>
          <w:rFonts w:hint="eastAsia"/>
          <w:bCs/>
          <w:lang w:val="en-US" w:eastAsia="zh-CN"/>
        </w:rPr>
      </w:pPr>
      <w:r>
        <w:rPr>
          <w:rFonts w:hint="eastAsia"/>
          <w:bCs/>
          <w:lang w:val="en-US" w:eastAsia="zh-CN"/>
        </w:rPr>
        <w:t>5  浇筑底板混凝土及侧墙底部（离底板顶面30cm高度以下）的混凝土；</w:t>
      </w:r>
    </w:p>
    <w:p>
      <w:pPr>
        <w:ind w:firstLine="480" w:firstLineChars="200"/>
        <w:rPr>
          <w:rFonts w:hint="eastAsia"/>
          <w:bCs/>
          <w:lang w:val="en-US" w:eastAsia="zh-CN"/>
        </w:rPr>
      </w:pPr>
      <w:r>
        <w:rPr>
          <w:rFonts w:hint="eastAsia"/>
          <w:bCs/>
          <w:lang w:val="en-US" w:eastAsia="zh-CN"/>
        </w:rPr>
        <w:t>6  预制叠合顶板安装；</w:t>
      </w:r>
    </w:p>
    <w:p>
      <w:pPr>
        <w:ind w:firstLine="480" w:firstLineChars="200"/>
        <w:rPr>
          <w:rFonts w:hint="eastAsia"/>
          <w:bCs/>
          <w:lang w:val="en-US" w:eastAsia="zh-CN"/>
        </w:rPr>
      </w:pPr>
      <w:r>
        <w:rPr>
          <w:rFonts w:hint="eastAsia"/>
          <w:bCs/>
          <w:lang w:val="en-US" w:eastAsia="zh-CN"/>
        </w:rPr>
        <w:t>7  叠合顶板上的现浇层钢筋安装；</w:t>
      </w:r>
    </w:p>
    <w:p>
      <w:pPr>
        <w:ind w:firstLine="480" w:firstLineChars="200"/>
        <w:rPr>
          <w:rFonts w:hint="default"/>
          <w:bCs/>
        </w:rPr>
      </w:pPr>
      <w:r>
        <w:rPr>
          <w:rFonts w:hint="eastAsia"/>
          <w:bCs/>
          <w:lang w:val="en-US" w:eastAsia="zh-CN"/>
        </w:rPr>
        <w:t>8  现浇剩余侧墙、内墙及顶板混凝土。</w:t>
      </w:r>
    </w:p>
    <w:p>
      <w:pPr>
        <w:rPr>
          <w:rFonts w:hint="eastAsia"/>
          <w:b/>
        </w:rPr>
      </w:pPr>
      <w:r>
        <w:rPr>
          <w:rFonts w:hint="eastAsia"/>
          <w:b/>
        </w:rPr>
        <w:t xml:space="preserve">7.1.3  </w:t>
      </w:r>
      <w:r>
        <w:rPr>
          <w:rFonts w:hint="eastAsia"/>
          <w:b w:val="0"/>
          <w:bCs/>
        </w:rPr>
        <w:t>未经设计允许，</w:t>
      </w:r>
      <w:r>
        <w:rPr>
          <w:rFonts w:hint="eastAsia"/>
          <w:b w:val="0"/>
          <w:bCs/>
          <w:lang w:eastAsia="zh-CN"/>
        </w:rPr>
        <w:t>不应</w:t>
      </w:r>
      <w:r>
        <w:rPr>
          <w:rFonts w:hint="eastAsia"/>
          <w:b w:val="0"/>
          <w:bCs/>
        </w:rPr>
        <w:t>对叠合板进行切割、开洞。</w:t>
      </w:r>
    </w:p>
    <w:p>
      <w:pPr>
        <w:rPr>
          <w:bCs/>
        </w:rPr>
      </w:pPr>
      <w:r>
        <w:rPr>
          <w:rFonts w:hint="eastAsia"/>
          <w:b/>
        </w:rPr>
        <w:t>7.</w:t>
      </w:r>
      <w:r>
        <w:rPr>
          <w:rFonts w:hint="eastAsia"/>
          <w:b/>
          <w:color w:val="auto"/>
        </w:rPr>
        <w:t>1.</w:t>
      </w:r>
      <w:r>
        <w:rPr>
          <w:rFonts w:hint="eastAsia"/>
          <w:b/>
          <w:color w:val="auto"/>
          <w:lang w:val="en-US" w:eastAsia="zh-CN"/>
        </w:rPr>
        <w:t>4</w:t>
      </w:r>
      <w:r>
        <w:rPr>
          <w:rFonts w:hint="eastAsia"/>
          <w:bCs/>
          <w:color w:val="auto"/>
        </w:rPr>
        <w:t xml:space="preserve"> </w:t>
      </w:r>
      <w:r>
        <w:rPr>
          <w:bCs/>
          <w:color w:val="auto"/>
        </w:rPr>
        <w:t xml:space="preserve"> </w:t>
      </w:r>
      <w:r>
        <w:rPr>
          <w:rFonts w:hint="eastAsia"/>
          <w:bCs/>
          <w:color w:val="auto"/>
        </w:rPr>
        <w:t>叠合预制管廊各构件结构形式</w:t>
      </w:r>
      <w:r>
        <w:rPr>
          <w:rFonts w:hint="eastAsia"/>
          <w:bCs/>
          <w:color w:val="auto"/>
          <w:lang w:val="en-US" w:eastAsia="zh-CN"/>
        </w:rPr>
        <w:t>宜符合</w:t>
      </w:r>
      <w:r>
        <w:rPr>
          <w:rFonts w:hint="eastAsia"/>
          <w:bCs/>
          <w:color w:val="auto"/>
        </w:rPr>
        <w:t>表7.1.</w:t>
      </w:r>
      <w:r>
        <w:rPr>
          <w:rFonts w:hint="eastAsia"/>
          <w:bCs/>
          <w:color w:val="auto"/>
          <w:lang w:val="en-US" w:eastAsia="zh-CN"/>
        </w:rPr>
        <w:t>4的规定</w:t>
      </w:r>
      <w:r>
        <w:rPr>
          <w:rFonts w:hint="eastAsia"/>
          <w:bCs/>
          <w:color w:val="auto"/>
        </w:rPr>
        <w:t>。</w:t>
      </w:r>
    </w:p>
    <w:p>
      <w:pPr>
        <w:jc w:val="center"/>
        <w:rPr>
          <w:b/>
          <w:bCs/>
          <w:sz w:val="21"/>
          <w:szCs w:val="20"/>
        </w:rPr>
      </w:pPr>
      <w:r>
        <w:rPr>
          <w:b/>
          <w:bCs/>
          <w:sz w:val="21"/>
          <w:szCs w:val="20"/>
        </w:rPr>
        <w:t>表</w:t>
      </w:r>
      <w:r>
        <w:rPr>
          <w:rFonts w:hint="eastAsia"/>
          <w:b/>
          <w:bCs/>
          <w:sz w:val="21"/>
          <w:szCs w:val="20"/>
        </w:rPr>
        <w:t>7.1.</w:t>
      </w:r>
      <w:r>
        <w:rPr>
          <w:rFonts w:hint="eastAsia"/>
          <w:b/>
          <w:bCs/>
          <w:sz w:val="21"/>
          <w:szCs w:val="20"/>
          <w:lang w:val="en-US" w:eastAsia="zh-CN"/>
        </w:rPr>
        <w:t>4</w:t>
      </w:r>
      <w:r>
        <w:rPr>
          <w:rFonts w:hint="eastAsia"/>
          <w:b/>
          <w:bCs/>
          <w:sz w:val="21"/>
          <w:szCs w:val="20"/>
        </w:rPr>
        <w:t xml:space="preserve">  叠合预制管廊各构件结构形式</w:t>
      </w:r>
    </w:p>
    <w:tbl>
      <w:tblPr>
        <w:tblStyle w:val="39"/>
        <w:tblW w:w="6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2"/>
        <w:gridCol w:w="3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2" w:type="dxa"/>
          </w:tcPr>
          <w:p>
            <w:pPr>
              <w:jc w:val="center"/>
              <w:rPr>
                <w:sz w:val="21"/>
                <w:szCs w:val="21"/>
              </w:rPr>
            </w:pPr>
            <w:r>
              <w:rPr>
                <w:rFonts w:hint="eastAsia"/>
                <w:sz w:val="21"/>
                <w:szCs w:val="21"/>
              </w:rPr>
              <w:t>名称</w:t>
            </w:r>
          </w:p>
        </w:tc>
        <w:tc>
          <w:tcPr>
            <w:tcW w:w="3142" w:type="dxa"/>
          </w:tcPr>
          <w:p>
            <w:pPr>
              <w:jc w:val="center"/>
              <w:rPr>
                <w:sz w:val="21"/>
                <w:szCs w:val="21"/>
              </w:rPr>
            </w:pPr>
            <w:r>
              <w:rPr>
                <w:rFonts w:hint="eastAsia"/>
                <w:sz w:val="21"/>
                <w:szCs w:val="21"/>
              </w:rPr>
              <w:t>构件类型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2" w:type="dxa"/>
          </w:tcPr>
          <w:p>
            <w:pPr>
              <w:jc w:val="center"/>
              <w:rPr>
                <w:sz w:val="21"/>
                <w:szCs w:val="21"/>
              </w:rPr>
            </w:pPr>
            <w:r>
              <w:rPr>
                <w:rFonts w:hint="eastAsia"/>
                <w:sz w:val="21"/>
                <w:szCs w:val="21"/>
              </w:rPr>
              <w:t>顶板</w:t>
            </w:r>
          </w:p>
        </w:tc>
        <w:tc>
          <w:tcPr>
            <w:tcW w:w="3142" w:type="dxa"/>
          </w:tcPr>
          <w:p>
            <w:pPr>
              <w:jc w:val="center"/>
              <w:rPr>
                <w:sz w:val="21"/>
                <w:szCs w:val="21"/>
              </w:rPr>
            </w:pPr>
            <w:r>
              <w:rPr>
                <w:rFonts w:hint="eastAsia"/>
                <w:sz w:val="21"/>
                <w:szCs w:val="21"/>
              </w:rPr>
              <w:t>单面板叠合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2" w:type="dxa"/>
          </w:tcPr>
          <w:p>
            <w:pPr>
              <w:jc w:val="center"/>
              <w:rPr>
                <w:sz w:val="21"/>
                <w:szCs w:val="21"/>
              </w:rPr>
            </w:pPr>
            <w:r>
              <w:rPr>
                <w:rFonts w:hint="eastAsia"/>
                <w:sz w:val="21"/>
                <w:szCs w:val="21"/>
              </w:rPr>
              <w:t>侧墙</w:t>
            </w:r>
          </w:p>
        </w:tc>
        <w:tc>
          <w:tcPr>
            <w:tcW w:w="3142" w:type="dxa"/>
          </w:tcPr>
          <w:p>
            <w:pPr>
              <w:jc w:val="center"/>
              <w:rPr>
                <w:sz w:val="21"/>
                <w:szCs w:val="21"/>
              </w:rPr>
            </w:pPr>
            <w:r>
              <w:rPr>
                <w:rFonts w:hint="eastAsia"/>
                <w:sz w:val="21"/>
                <w:szCs w:val="21"/>
              </w:rPr>
              <w:t>双面板叠合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42" w:type="dxa"/>
          </w:tcPr>
          <w:p>
            <w:pPr>
              <w:jc w:val="center"/>
              <w:rPr>
                <w:sz w:val="21"/>
                <w:szCs w:val="21"/>
              </w:rPr>
            </w:pPr>
            <w:r>
              <w:rPr>
                <w:rFonts w:hint="eastAsia"/>
                <w:sz w:val="21"/>
                <w:szCs w:val="21"/>
              </w:rPr>
              <w:t>底板</w:t>
            </w:r>
          </w:p>
        </w:tc>
        <w:tc>
          <w:tcPr>
            <w:tcW w:w="3142" w:type="dxa"/>
          </w:tcPr>
          <w:p>
            <w:pPr>
              <w:jc w:val="center"/>
              <w:rPr>
                <w:sz w:val="21"/>
                <w:szCs w:val="21"/>
              </w:rPr>
            </w:pPr>
            <w:r>
              <w:rPr>
                <w:rFonts w:hint="eastAsia"/>
                <w:sz w:val="21"/>
                <w:szCs w:val="21"/>
              </w:rPr>
              <w:t>单面板叠合或现浇</w:t>
            </w:r>
          </w:p>
        </w:tc>
      </w:tr>
    </w:tbl>
    <w:p>
      <w:bookmarkStart w:id="260" w:name="_Toc24757"/>
      <w:bookmarkStart w:id="261" w:name="_Toc2944"/>
      <w:bookmarkStart w:id="262" w:name="_Toc7987"/>
      <w:bookmarkStart w:id="263" w:name="_Toc4691"/>
      <w:bookmarkStart w:id="264" w:name="_Toc23758_WPSOffice_Level2"/>
      <w:bookmarkStart w:id="265" w:name="_Toc26646"/>
      <w:bookmarkStart w:id="266" w:name="_Toc18642"/>
      <w:bookmarkStart w:id="267" w:name="_Toc13596"/>
    </w:p>
    <w:p>
      <w:pPr>
        <w:pStyle w:val="3"/>
      </w:pPr>
      <w:bookmarkStart w:id="268" w:name="_Toc17838"/>
      <w:bookmarkStart w:id="269" w:name="_Toc26320"/>
      <w:bookmarkStart w:id="270" w:name="_Toc5962"/>
      <w:bookmarkStart w:id="271" w:name="_Toc24746"/>
      <w:bookmarkStart w:id="272" w:name="_Toc29791"/>
      <w:bookmarkStart w:id="273" w:name="_Toc28694"/>
      <w:r>
        <w:rPr>
          <w:rFonts w:hint="eastAsia"/>
        </w:rPr>
        <w:t xml:space="preserve">7.2 </w:t>
      </w:r>
      <w:r>
        <w:t xml:space="preserve"> </w:t>
      </w:r>
      <w:bookmarkEnd w:id="260"/>
      <w:bookmarkEnd w:id="261"/>
      <w:bookmarkEnd w:id="262"/>
      <w:bookmarkEnd w:id="263"/>
      <w:bookmarkEnd w:id="264"/>
      <w:bookmarkEnd w:id="265"/>
      <w:bookmarkEnd w:id="266"/>
      <w:r>
        <w:rPr>
          <w:rFonts w:hint="eastAsia"/>
        </w:rPr>
        <w:t>叠合构件安装</w:t>
      </w:r>
      <w:bookmarkEnd w:id="267"/>
      <w:bookmarkEnd w:id="268"/>
      <w:bookmarkEnd w:id="269"/>
      <w:bookmarkEnd w:id="270"/>
      <w:bookmarkEnd w:id="271"/>
      <w:bookmarkEnd w:id="272"/>
      <w:bookmarkEnd w:id="273"/>
    </w:p>
    <w:p>
      <w:pPr>
        <w:rPr>
          <w:rFonts w:hint="default" w:eastAsia="宋体"/>
          <w:b/>
          <w:lang w:val="en-US" w:eastAsia="zh-CN"/>
        </w:rPr>
      </w:pPr>
      <w:r>
        <w:rPr>
          <w:rFonts w:hint="eastAsia"/>
          <w:b/>
          <w:lang w:val="en-US" w:eastAsia="zh-CN"/>
        </w:rPr>
        <w:t xml:space="preserve">7.2.1  </w:t>
      </w:r>
      <w:r>
        <w:rPr>
          <w:rFonts w:hint="eastAsia"/>
          <w:b w:val="0"/>
          <w:bCs/>
          <w:lang w:val="en-US" w:eastAsia="zh-CN"/>
        </w:rPr>
        <w:t>预制叠合构件安装时，混凝土强度不应低于设计所要求的安装强度，设计未规定时，不应低于设计强度的75％。</w:t>
      </w:r>
    </w:p>
    <w:p>
      <w:pPr>
        <w:rPr>
          <w:bCs/>
        </w:rPr>
      </w:pPr>
      <w:r>
        <w:rPr>
          <w:rFonts w:hint="eastAsia"/>
          <w:b/>
        </w:rPr>
        <w:t>7.2.</w:t>
      </w:r>
      <w:r>
        <w:rPr>
          <w:rFonts w:hint="eastAsia"/>
          <w:b/>
          <w:lang w:val="en-US" w:eastAsia="zh-CN"/>
        </w:rPr>
        <w:t>2</w:t>
      </w:r>
      <w:r>
        <w:rPr>
          <w:rFonts w:hint="eastAsia"/>
          <w:bCs/>
        </w:rPr>
        <w:t xml:space="preserve"> </w:t>
      </w:r>
      <w:r>
        <w:rPr>
          <w:bCs/>
        </w:rPr>
        <w:t xml:space="preserve"> </w:t>
      </w:r>
      <w:r>
        <w:rPr>
          <w:rFonts w:hint="eastAsia"/>
          <w:bCs/>
          <w:lang w:val="en-US" w:eastAsia="zh-CN"/>
        </w:rPr>
        <w:t>管廊底板施工前，应按设计要求施工混凝土垫层、底板防水层及防水保护层；</w:t>
      </w:r>
      <w:r>
        <w:rPr>
          <w:rFonts w:hint="eastAsia"/>
        </w:rPr>
        <w:t>施工时应根据叠合装配</w:t>
      </w:r>
      <w:r>
        <w:rPr>
          <w:rFonts w:hint="eastAsia"/>
          <w:bCs/>
        </w:rPr>
        <w:t>要求</w:t>
      </w:r>
      <w:r>
        <w:rPr>
          <w:rFonts w:hint="eastAsia"/>
        </w:rPr>
        <w:t>，严格控制叠合板安装基面平整度在5mm范围内。</w:t>
      </w:r>
    </w:p>
    <w:p>
      <w:pPr>
        <w:rPr>
          <w:bCs/>
        </w:rPr>
      </w:pPr>
      <w:r>
        <w:rPr>
          <w:rFonts w:hint="eastAsia"/>
          <w:b/>
        </w:rPr>
        <w:t>7</w:t>
      </w:r>
      <w:r>
        <w:rPr>
          <w:b/>
        </w:rPr>
        <w:t>.2.</w:t>
      </w:r>
      <w:r>
        <w:rPr>
          <w:rFonts w:hint="eastAsia"/>
          <w:b/>
          <w:lang w:val="en-US" w:eastAsia="zh-CN"/>
        </w:rPr>
        <w:t>3</w:t>
      </w:r>
      <w:r>
        <w:rPr>
          <w:b/>
        </w:rPr>
        <w:t xml:space="preserve"> </w:t>
      </w:r>
      <w:r>
        <w:rPr>
          <w:rFonts w:hint="eastAsia"/>
          <w:b/>
        </w:rPr>
        <w:t xml:space="preserve"> </w:t>
      </w:r>
      <w:r>
        <w:rPr>
          <w:rFonts w:hint="eastAsia"/>
          <w:bCs/>
        </w:rPr>
        <w:t>管廊底板施工应满足下列要求：</w:t>
      </w:r>
    </w:p>
    <w:p>
      <w:pPr>
        <w:ind w:firstLine="480" w:firstLineChars="200"/>
        <w:rPr>
          <w:rFonts w:hint="default" w:eastAsia="宋体"/>
          <w:bCs/>
          <w:lang w:val="en-US" w:eastAsia="zh-CN"/>
        </w:rPr>
      </w:pPr>
      <w:r>
        <w:rPr>
          <w:rFonts w:hint="eastAsia"/>
          <w:bCs/>
        </w:rPr>
        <w:t xml:space="preserve">1  </w:t>
      </w:r>
      <w:r>
        <w:rPr>
          <w:rFonts w:hint="eastAsia"/>
          <w:bCs/>
          <w:lang w:val="en-US" w:eastAsia="zh-CN"/>
        </w:rPr>
        <w:t>当</w:t>
      </w:r>
      <w:r>
        <w:rPr>
          <w:rFonts w:hint="eastAsia"/>
          <w:bCs/>
        </w:rPr>
        <w:t>底板</w:t>
      </w:r>
      <w:r>
        <w:rPr>
          <w:rFonts w:hint="eastAsia"/>
          <w:bCs/>
          <w:lang w:val="en-US" w:eastAsia="zh-CN"/>
        </w:rPr>
        <w:t>采用</w:t>
      </w:r>
      <w:r>
        <w:rPr>
          <w:rFonts w:hint="eastAsia"/>
          <w:bCs/>
        </w:rPr>
        <w:t>现浇</w:t>
      </w:r>
      <w:r>
        <w:rPr>
          <w:rFonts w:hint="eastAsia"/>
          <w:bCs/>
          <w:lang w:val="en-US" w:eastAsia="zh-CN"/>
        </w:rPr>
        <w:t>混凝土</w:t>
      </w:r>
      <w:r>
        <w:rPr>
          <w:rFonts w:hint="eastAsia"/>
          <w:bCs/>
        </w:rPr>
        <w:t>时，</w:t>
      </w:r>
      <w:r>
        <w:rPr>
          <w:rFonts w:hint="eastAsia"/>
          <w:bCs/>
          <w:lang w:val="en-US" w:eastAsia="zh-CN"/>
        </w:rPr>
        <w:t>底板钢筋按照设计进行安装，侧墙伸入底板内的钢筋同步安装；</w:t>
      </w:r>
    </w:p>
    <w:p>
      <w:pPr>
        <w:ind w:firstLine="480" w:firstLineChars="200"/>
        <w:rPr>
          <w:rFonts w:hint="eastAsia" w:eastAsia="宋体"/>
          <w:bCs/>
          <w:lang w:eastAsia="zh-CN"/>
        </w:rPr>
      </w:pPr>
      <w:r>
        <w:rPr>
          <w:rFonts w:hint="eastAsia"/>
          <w:bCs/>
        </w:rPr>
        <w:t xml:space="preserve">2  </w:t>
      </w:r>
      <w:r>
        <w:rPr>
          <w:rFonts w:hint="eastAsia"/>
          <w:bCs/>
          <w:lang w:val="en-US" w:eastAsia="zh-CN"/>
        </w:rPr>
        <w:t>当</w:t>
      </w:r>
      <w:r>
        <w:rPr>
          <w:rFonts w:hint="eastAsia"/>
          <w:bCs/>
        </w:rPr>
        <w:t>底板采用叠合板施工时，</w:t>
      </w:r>
      <w:r>
        <w:rPr>
          <w:rFonts w:hint="eastAsia"/>
          <w:bCs/>
          <w:lang w:val="en-US" w:eastAsia="zh-CN"/>
        </w:rPr>
        <w:t>先安装预制底板，再安装底板上现浇层钢筋；</w:t>
      </w:r>
      <w:r>
        <w:rPr>
          <w:rFonts w:hint="eastAsia"/>
          <w:bCs/>
        </w:rPr>
        <w:t>底板与墙体钢筋连接满足设计要求，当设计无要求时，应采用相关措施保证底板与墙体的可靠连接</w:t>
      </w:r>
      <w:r>
        <w:rPr>
          <w:rFonts w:hint="eastAsia"/>
          <w:bCs/>
          <w:lang w:eastAsia="zh-CN"/>
        </w:rPr>
        <w:t>；</w:t>
      </w:r>
    </w:p>
    <w:p>
      <w:pPr>
        <w:ind w:firstLine="480" w:firstLineChars="200"/>
        <w:rPr>
          <w:rFonts w:hint="default" w:eastAsia="宋体"/>
          <w:bCs/>
          <w:lang w:val="en-US" w:eastAsia="zh-CN"/>
        </w:rPr>
      </w:pPr>
      <w:r>
        <w:rPr>
          <w:rFonts w:hint="eastAsia"/>
          <w:bCs/>
        </w:rPr>
        <w:t xml:space="preserve">3  </w:t>
      </w:r>
      <w:r>
        <w:rPr>
          <w:rFonts w:hint="eastAsia"/>
          <w:bCs/>
          <w:lang w:val="en-US" w:eastAsia="zh-CN"/>
        </w:rPr>
        <w:t>侧墙上水平施工缝宜设置在离底板面以上30cm高度处，水平施工缝应设置止水钢板，止水钢板的安装应与底板钢筋安装同步进行。</w:t>
      </w:r>
    </w:p>
    <w:p>
      <w:pPr>
        <w:rPr>
          <w:bCs/>
        </w:rPr>
      </w:pPr>
      <w:r>
        <w:rPr>
          <w:rFonts w:hint="eastAsia"/>
          <w:b/>
        </w:rPr>
        <w:t>7.2.</w:t>
      </w:r>
      <w:r>
        <w:rPr>
          <w:rFonts w:hint="eastAsia"/>
          <w:b/>
          <w:lang w:val="en-US" w:eastAsia="zh-CN"/>
        </w:rPr>
        <w:t>4</w:t>
      </w:r>
      <w:r>
        <w:rPr>
          <w:rFonts w:hint="eastAsia"/>
          <w:bCs/>
        </w:rPr>
        <w:t xml:space="preserve">  叠合墙安装应符合下列规定：</w:t>
      </w:r>
    </w:p>
    <w:p>
      <w:pPr>
        <w:ind w:firstLine="480" w:firstLineChars="200"/>
        <w:rPr>
          <w:rFonts w:hint="eastAsia" w:eastAsia="宋体"/>
          <w:bCs/>
          <w:lang w:eastAsia="zh-CN"/>
        </w:rPr>
      </w:pPr>
      <w:r>
        <w:rPr>
          <w:rFonts w:hint="eastAsia"/>
          <w:bCs/>
        </w:rPr>
        <w:t>1  预制构件从车上起吊时，应对墙板上角和下角进行保护</w:t>
      </w:r>
      <w:r>
        <w:rPr>
          <w:rFonts w:hint="eastAsia"/>
          <w:bCs/>
          <w:lang w:eastAsia="zh-CN"/>
        </w:rPr>
        <w:t>；</w:t>
      </w:r>
    </w:p>
    <w:p>
      <w:pPr>
        <w:ind w:firstLine="480" w:firstLineChars="200"/>
        <w:rPr>
          <w:rFonts w:hint="eastAsia" w:eastAsia="宋体"/>
          <w:bCs/>
          <w:lang w:eastAsia="zh-CN"/>
        </w:rPr>
      </w:pPr>
      <w:r>
        <w:rPr>
          <w:rFonts w:hint="eastAsia"/>
          <w:bCs/>
        </w:rPr>
        <w:t>2  吊装叠合式双面墙时，应采用两点起吊，吊具绳与水平面夹角不应小于45°</w:t>
      </w:r>
      <w:r>
        <w:rPr>
          <w:rFonts w:hint="eastAsia"/>
          <w:bCs/>
          <w:lang w:eastAsia="zh-CN"/>
        </w:rPr>
        <w:t>；</w:t>
      </w:r>
    </w:p>
    <w:p>
      <w:pPr>
        <w:ind w:firstLine="480" w:firstLineChars="200"/>
        <w:rPr>
          <w:rFonts w:hint="eastAsia" w:eastAsia="宋体"/>
          <w:bCs/>
          <w:lang w:eastAsia="zh-CN"/>
        </w:rPr>
      </w:pPr>
      <w:r>
        <w:rPr>
          <w:rFonts w:hint="eastAsia"/>
          <w:bCs/>
        </w:rPr>
        <w:t>3  每块叠合式双面墙应采用不少于两个斜支撑来固定，斜支撑上部可通过专用螺栓与叠合式双面墙上部2/3高度处预埋的连接件连接，斜支撑底部与底板可用膨胀螺栓进行锚固，支撑与底板的夹角宜在40︒~50︒之间</w:t>
      </w:r>
      <w:r>
        <w:rPr>
          <w:rFonts w:hint="eastAsia"/>
          <w:bCs/>
          <w:lang w:eastAsia="zh-CN"/>
        </w:rPr>
        <w:t>；</w:t>
      </w:r>
    </w:p>
    <w:p>
      <w:pPr>
        <w:ind w:firstLine="480" w:firstLineChars="200"/>
        <w:rPr>
          <w:rFonts w:hint="eastAsia" w:eastAsia="宋体"/>
          <w:bCs/>
          <w:lang w:eastAsia="zh-CN"/>
        </w:rPr>
      </w:pPr>
      <w:r>
        <w:rPr>
          <w:rFonts w:hint="eastAsia"/>
          <w:bCs/>
        </w:rPr>
        <w:t>4  叠合式双面墙拼缝处连接钢筋宜先安放在侧壁中，待相邻叠合式双面墙安装就位后调整连接钢筋位置并绑扎</w:t>
      </w:r>
      <w:r>
        <w:rPr>
          <w:rFonts w:hint="eastAsia"/>
          <w:bCs/>
          <w:lang w:eastAsia="zh-CN"/>
        </w:rPr>
        <w:t>；</w:t>
      </w:r>
    </w:p>
    <w:p>
      <w:pPr>
        <w:ind w:firstLine="480" w:firstLineChars="200"/>
        <w:rPr>
          <w:bCs/>
        </w:rPr>
      </w:pPr>
      <w:r>
        <w:rPr>
          <w:rFonts w:hint="eastAsia"/>
          <w:bCs/>
        </w:rPr>
        <w:t>5  叠合式双面墙各部位施工质量应进行全面检查，满足设计或规范要求后，方可进行下道工序施工。</w:t>
      </w:r>
    </w:p>
    <w:p>
      <w:pPr>
        <w:rPr>
          <w:bCs/>
        </w:rPr>
      </w:pPr>
      <w:r>
        <w:rPr>
          <w:rFonts w:hint="eastAsia"/>
          <w:b/>
        </w:rPr>
        <w:t>7.2.</w:t>
      </w:r>
      <w:r>
        <w:rPr>
          <w:rFonts w:hint="eastAsia"/>
          <w:b/>
          <w:lang w:val="en-US" w:eastAsia="zh-CN"/>
        </w:rPr>
        <w:t>5</w:t>
      </w:r>
      <w:r>
        <w:rPr>
          <w:rFonts w:hint="eastAsia"/>
          <w:bCs/>
        </w:rPr>
        <w:t xml:space="preserve">  叠合顶板安装应符合下列规定：</w:t>
      </w:r>
    </w:p>
    <w:p>
      <w:pPr>
        <w:ind w:firstLine="480" w:firstLineChars="200"/>
        <w:rPr>
          <w:rFonts w:hint="eastAsia" w:eastAsia="宋体"/>
          <w:bCs/>
          <w:lang w:eastAsia="zh-CN"/>
        </w:rPr>
      </w:pPr>
      <w:r>
        <w:rPr>
          <w:rFonts w:hint="eastAsia"/>
          <w:bCs/>
        </w:rPr>
        <w:t>1  叠合顶板应采用工具式吊架进行吊装</w:t>
      </w:r>
      <w:r>
        <w:rPr>
          <w:rFonts w:hint="eastAsia"/>
          <w:bCs/>
          <w:lang w:eastAsia="zh-CN"/>
        </w:rPr>
        <w:t>；</w:t>
      </w:r>
    </w:p>
    <w:p>
      <w:pPr>
        <w:ind w:firstLine="480" w:firstLineChars="200"/>
        <w:rPr>
          <w:rFonts w:hint="eastAsia" w:eastAsia="宋体"/>
          <w:bCs/>
          <w:lang w:eastAsia="zh-CN"/>
        </w:rPr>
      </w:pPr>
      <w:r>
        <w:rPr>
          <w:rFonts w:hint="eastAsia"/>
          <w:bCs/>
        </w:rPr>
        <w:t>2  叠合顶板安装前，应</w:t>
      </w:r>
      <w:r>
        <w:rPr>
          <w:rFonts w:hint="eastAsia"/>
          <w:bCs/>
          <w:lang w:val="en-US" w:eastAsia="zh-CN"/>
        </w:rPr>
        <w:t>根据工程需要</w:t>
      </w:r>
      <w:r>
        <w:rPr>
          <w:rFonts w:hint="eastAsia"/>
          <w:bCs/>
        </w:rPr>
        <w:t>在板底设置临时支撑，临时支撑应满足顶板混凝土浇筑时的承载力及稳定性要求</w:t>
      </w:r>
      <w:r>
        <w:rPr>
          <w:rFonts w:hint="eastAsia"/>
          <w:bCs/>
          <w:lang w:eastAsia="zh-CN"/>
        </w:rPr>
        <w:t>；</w:t>
      </w:r>
    </w:p>
    <w:p>
      <w:pPr>
        <w:ind w:firstLine="480" w:firstLineChars="200"/>
        <w:rPr>
          <w:rFonts w:eastAsia="仿宋" w:cs="Times New Roman"/>
          <w:bCs/>
        </w:rPr>
      </w:pPr>
      <w:r>
        <w:rPr>
          <w:rFonts w:hint="eastAsia"/>
          <w:bCs/>
        </w:rPr>
        <w:t>3  叠合顶板上层配筋宜现场绑扎，钢筋锚固长度、腋角处附加钢筋应满足设计及规范要求。</w:t>
      </w:r>
    </w:p>
    <w:p>
      <w:pPr>
        <w:ind w:firstLine="480" w:firstLineChars="200"/>
        <w:rPr>
          <w:bCs/>
        </w:rPr>
      </w:pPr>
    </w:p>
    <w:p>
      <w:pPr>
        <w:pStyle w:val="3"/>
      </w:pPr>
      <w:bookmarkStart w:id="274" w:name="_Toc10351"/>
      <w:bookmarkStart w:id="275" w:name="_Toc5353"/>
      <w:bookmarkStart w:id="276" w:name="_Toc27405"/>
      <w:bookmarkStart w:id="277" w:name="_Toc26941"/>
      <w:bookmarkStart w:id="278" w:name="_Toc25116"/>
      <w:bookmarkStart w:id="279" w:name="_Toc7024"/>
      <w:r>
        <w:rPr>
          <w:rFonts w:hint="eastAsia"/>
        </w:rPr>
        <w:t>7.3  钢筋和模板工程</w:t>
      </w:r>
      <w:bookmarkEnd w:id="274"/>
      <w:bookmarkEnd w:id="275"/>
      <w:bookmarkEnd w:id="276"/>
      <w:bookmarkEnd w:id="277"/>
      <w:bookmarkEnd w:id="278"/>
      <w:bookmarkEnd w:id="279"/>
    </w:p>
    <w:p>
      <w:pPr>
        <w:rPr>
          <w:szCs w:val="21"/>
        </w:rPr>
      </w:pPr>
      <w:r>
        <w:rPr>
          <w:rFonts w:hint="eastAsia"/>
          <w:b/>
          <w:bCs/>
          <w:szCs w:val="21"/>
        </w:rPr>
        <w:t>7.3.1</w:t>
      </w:r>
      <w:r>
        <w:rPr>
          <w:rFonts w:hint="eastAsia"/>
          <w:szCs w:val="21"/>
        </w:rPr>
        <w:t xml:space="preserve"> </w:t>
      </w:r>
      <w:r>
        <w:rPr>
          <w:szCs w:val="21"/>
        </w:rPr>
        <w:t xml:space="preserve"> </w:t>
      </w:r>
      <w:r>
        <w:rPr>
          <w:rFonts w:hint="eastAsia"/>
          <w:szCs w:val="21"/>
        </w:rPr>
        <w:t>钢材的力学性能指标应符合本标准4.2节的相关规定。</w:t>
      </w:r>
    </w:p>
    <w:p>
      <w:pPr>
        <w:rPr>
          <w:rFonts w:hint="eastAsia" w:eastAsia="宋体"/>
          <w:szCs w:val="21"/>
          <w:lang w:eastAsia="zh-CN"/>
        </w:rPr>
      </w:pPr>
      <w:r>
        <w:rPr>
          <w:rFonts w:hint="eastAsia"/>
          <w:b/>
          <w:bCs/>
          <w:szCs w:val="21"/>
        </w:rPr>
        <w:t>7.3.2</w:t>
      </w:r>
      <w:r>
        <w:rPr>
          <w:rFonts w:hint="eastAsia"/>
          <w:szCs w:val="21"/>
        </w:rPr>
        <w:t xml:space="preserve"> </w:t>
      </w:r>
      <w:r>
        <w:rPr>
          <w:szCs w:val="21"/>
        </w:rPr>
        <w:t xml:space="preserve"> </w:t>
      </w:r>
      <w:r>
        <w:rPr>
          <w:rFonts w:hint="eastAsia"/>
          <w:szCs w:val="21"/>
        </w:rPr>
        <w:t>钢筋网片、钢筋骨架</w:t>
      </w:r>
      <w:r>
        <w:rPr>
          <w:rFonts w:hint="eastAsia"/>
          <w:szCs w:val="21"/>
          <w:lang w:val="en-US" w:eastAsia="zh-CN"/>
        </w:rPr>
        <w:t>等钢筋半成品</w:t>
      </w:r>
      <w:r>
        <w:rPr>
          <w:rFonts w:hint="eastAsia"/>
          <w:szCs w:val="21"/>
        </w:rPr>
        <w:t>应检查合格后方可进行安装，并应符合本标准4.4节的相关规定</w:t>
      </w:r>
      <w:r>
        <w:rPr>
          <w:rFonts w:hint="eastAsia"/>
          <w:szCs w:val="21"/>
          <w:lang w:eastAsia="zh-CN"/>
        </w:rPr>
        <w:t>。</w:t>
      </w:r>
    </w:p>
    <w:p>
      <w:pPr>
        <w:rPr>
          <w:szCs w:val="21"/>
        </w:rPr>
      </w:pPr>
      <w:r>
        <w:rPr>
          <w:rFonts w:hint="eastAsia"/>
          <w:b/>
          <w:bCs/>
          <w:szCs w:val="21"/>
        </w:rPr>
        <w:t>7.3.</w:t>
      </w:r>
      <w:r>
        <w:rPr>
          <w:rFonts w:hint="eastAsia"/>
          <w:b/>
          <w:bCs/>
          <w:szCs w:val="21"/>
          <w:lang w:val="en-US" w:eastAsia="zh-CN"/>
        </w:rPr>
        <w:t>3</w:t>
      </w:r>
      <w:r>
        <w:rPr>
          <w:rFonts w:hint="eastAsia"/>
          <w:szCs w:val="21"/>
        </w:rPr>
        <w:t xml:space="preserve"> </w:t>
      </w:r>
      <w:r>
        <w:rPr>
          <w:szCs w:val="21"/>
        </w:rPr>
        <w:t xml:space="preserve"> </w:t>
      </w:r>
      <w:r>
        <w:rPr>
          <w:rFonts w:hint="eastAsia"/>
          <w:szCs w:val="21"/>
          <w:lang w:val="en-US" w:eastAsia="zh-CN"/>
        </w:rPr>
        <w:t>现浇混凝土</w:t>
      </w:r>
      <w:r>
        <w:rPr>
          <w:rFonts w:hint="eastAsia"/>
          <w:szCs w:val="21"/>
        </w:rPr>
        <w:t>的模板与支撑应根据施工过程中的各种工况进行设计，应具有足够的承载力、刚度和稳定性。</w:t>
      </w:r>
    </w:p>
    <w:p>
      <w:pPr>
        <w:rPr>
          <w:szCs w:val="21"/>
        </w:rPr>
      </w:pPr>
      <w:r>
        <w:rPr>
          <w:rFonts w:hint="eastAsia"/>
          <w:b/>
          <w:bCs/>
          <w:szCs w:val="21"/>
        </w:rPr>
        <w:t>7.3.</w:t>
      </w:r>
      <w:r>
        <w:rPr>
          <w:rFonts w:hint="eastAsia"/>
          <w:b/>
          <w:bCs/>
          <w:szCs w:val="21"/>
          <w:lang w:val="en-US" w:eastAsia="zh-CN"/>
        </w:rPr>
        <w:t>4</w:t>
      </w:r>
      <w:r>
        <w:rPr>
          <w:rFonts w:hint="eastAsia"/>
          <w:szCs w:val="21"/>
        </w:rPr>
        <w:t xml:space="preserve"> </w:t>
      </w:r>
      <w:r>
        <w:rPr>
          <w:szCs w:val="21"/>
        </w:rPr>
        <w:t xml:space="preserve"> </w:t>
      </w:r>
      <w:r>
        <w:rPr>
          <w:rFonts w:hint="eastAsia"/>
          <w:szCs w:val="21"/>
        </w:rPr>
        <w:t>现浇混凝土模板与支撑安装应保证工程结构和构件各部分形状、尺寸和位置的准确，模板安装应牢固、严密、不漏浆，且应便于钢筋安装和混凝土浇筑、养护。</w:t>
      </w:r>
    </w:p>
    <w:p>
      <w:pPr>
        <w:rPr>
          <w:szCs w:val="21"/>
        </w:rPr>
      </w:pPr>
      <w:r>
        <w:rPr>
          <w:rFonts w:hint="eastAsia"/>
          <w:b/>
          <w:bCs/>
          <w:szCs w:val="21"/>
        </w:rPr>
        <w:t>7.3.</w:t>
      </w:r>
      <w:r>
        <w:rPr>
          <w:rFonts w:hint="eastAsia"/>
          <w:b/>
          <w:bCs/>
          <w:szCs w:val="21"/>
          <w:lang w:val="en-US" w:eastAsia="zh-CN"/>
        </w:rPr>
        <w:t>5</w:t>
      </w:r>
      <w:r>
        <w:rPr>
          <w:rFonts w:hint="eastAsia"/>
          <w:szCs w:val="21"/>
        </w:rPr>
        <w:t xml:space="preserve"> </w:t>
      </w:r>
      <w:r>
        <w:rPr>
          <w:szCs w:val="21"/>
        </w:rPr>
        <w:t xml:space="preserve"> </w:t>
      </w:r>
      <w:r>
        <w:rPr>
          <w:rFonts w:hint="eastAsia"/>
          <w:szCs w:val="21"/>
        </w:rPr>
        <w:t>模板宜采用水性脱模剂。脱模剂应能有效减小混凝土与模板间的吸附力，并应有一定的成膜强度，且不应影响脱模后混凝土表面的后期装饰。</w:t>
      </w:r>
    </w:p>
    <w:p>
      <w:pPr>
        <w:rPr>
          <w:szCs w:val="21"/>
        </w:rPr>
      </w:pPr>
      <w:r>
        <w:rPr>
          <w:rFonts w:hint="eastAsia"/>
          <w:b/>
          <w:bCs/>
          <w:szCs w:val="21"/>
        </w:rPr>
        <w:t>7.3.</w:t>
      </w:r>
      <w:r>
        <w:rPr>
          <w:rFonts w:hint="eastAsia"/>
          <w:b/>
          <w:bCs/>
          <w:szCs w:val="21"/>
          <w:lang w:val="en-US" w:eastAsia="zh-CN"/>
        </w:rPr>
        <w:t>6</w:t>
      </w:r>
      <w:r>
        <w:rPr>
          <w:rFonts w:hint="eastAsia"/>
          <w:szCs w:val="21"/>
        </w:rPr>
        <w:t xml:space="preserve"> </w:t>
      </w:r>
      <w:r>
        <w:rPr>
          <w:szCs w:val="21"/>
        </w:rPr>
        <w:t xml:space="preserve"> </w:t>
      </w:r>
      <w:r>
        <w:rPr>
          <w:rFonts w:hint="eastAsia"/>
          <w:szCs w:val="21"/>
        </w:rPr>
        <w:t>安置预制墙板构件时，应采用可调式斜支撑临时固定；斜支撑的位置应避免与模板支架、相邻支撑冲突。</w:t>
      </w:r>
    </w:p>
    <w:p>
      <w:pPr>
        <w:rPr>
          <w:szCs w:val="21"/>
        </w:rPr>
      </w:pPr>
      <w:r>
        <w:rPr>
          <w:rFonts w:hint="eastAsia"/>
          <w:b/>
          <w:bCs/>
          <w:szCs w:val="21"/>
        </w:rPr>
        <w:t>7.3.</w:t>
      </w:r>
      <w:r>
        <w:rPr>
          <w:rFonts w:hint="eastAsia"/>
          <w:b/>
          <w:bCs/>
          <w:szCs w:val="21"/>
          <w:lang w:val="en-US" w:eastAsia="zh-CN"/>
        </w:rPr>
        <w:t>7</w:t>
      </w:r>
      <w:r>
        <w:rPr>
          <w:rFonts w:hint="eastAsia"/>
          <w:szCs w:val="21"/>
        </w:rPr>
        <w:t xml:space="preserve"> </w:t>
      </w:r>
      <w:r>
        <w:rPr>
          <w:szCs w:val="21"/>
        </w:rPr>
        <w:t xml:space="preserve"> </w:t>
      </w:r>
      <w:r>
        <w:rPr>
          <w:rFonts w:hint="eastAsia"/>
          <w:szCs w:val="21"/>
        </w:rPr>
        <w:t>预制墙板斜支撑和限位装置应在连接节点后浇混凝土或灌浆料强度达到设计要求</w:t>
      </w:r>
      <w:r>
        <w:rPr>
          <w:rFonts w:hint="eastAsia"/>
          <w:szCs w:val="21"/>
          <w:lang w:val="en-US" w:eastAsia="zh-CN"/>
        </w:rPr>
        <w:t>强度</w:t>
      </w:r>
      <w:r>
        <w:rPr>
          <w:rFonts w:hint="eastAsia"/>
          <w:szCs w:val="21"/>
        </w:rPr>
        <w:t>后拆除；当设计无要求时，后浇混凝土或灌浆料应达到设计强度的75%以上方可拆除。</w:t>
      </w:r>
    </w:p>
    <w:p>
      <w:pPr>
        <w:rPr>
          <w:szCs w:val="21"/>
        </w:rPr>
      </w:pPr>
      <w:r>
        <w:rPr>
          <w:rFonts w:hint="eastAsia"/>
          <w:b/>
          <w:bCs/>
          <w:szCs w:val="21"/>
        </w:rPr>
        <w:t>7.3.</w:t>
      </w:r>
      <w:r>
        <w:rPr>
          <w:rFonts w:hint="eastAsia"/>
          <w:b/>
          <w:bCs/>
          <w:szCs w:val="21"/>
          <w:lang w:val="en-US" w:eastAsia="zh-CN"/>
        </w:rPr>
        <w:t>8</w:t>
      </w:r>
      <w:r>
        <w:rPr>
          <w:rFonts w:hint="eastAsia"/>
          <w:szCs w:val="21"/>
        </w:rPr>
        <w:t xml:space="preserve"> </w:t>
      </w:r>
      <w:r>
        <w:rPr>
          <w:szCs w:val="21"/>
        </w:rPr>
        <w:t xml:space="preserve"> </w:t>
      </w:r>
      <w:r>
        <w:rPr>
          <w:rFonts w:hint="eastAsia"/>
          <w:szCs w:val="21"/>
        </w:rPr>
        <w:t>拆除的模板和支撑应分散堆放并及时清运，并应采取措施避免施工集中堆载。</w:t>
      </w:r>
    </w:p>
    <w:p>
      <w:pPr>
        <w:rPr>
          <w:szCs w:val="21"/>
        </w:rPr>
      </w:pPr>
    </w:p>
    <w:p>
      <w:pPr>
        <w:pStyle w:val="3"/>
        <w:rPr>
          <w:rFonts w:eastAsiaTheme="majorEastAsia"/>
        </w:rPr>
      </w:pPr>
      <w:bookmarkStart w:id="280" w:name="_Toc25344"/>
      <w:bookmarkStart w:id="281" w:name="_Toc19379"/>
      <w:bookmarkStart w:id="282" w:name="_Toc32326"/>
      <w:bookmarkStart w:id="283" w:name="_Toc13780"/>
      <w:bookmarkStart w:id="284" w:name="_Toc31193"/>
      <w:bookmarkStart w:id="285" w:name="_Toc29130"/>
      <w:bookmarkStart w:id="286" w:name="_Toc29440"/>
      <w:bookmarkStart w:id="287" w:name="_Toc28399"/>
      <w:bookmarkStart w:id="288" w:name="_Toc22817"/>
      <w:bookmarkStart w:id="289" w:name="_Toc15499"/>
      <w:bookmarkStart w:id="290" w:name="_Toc24702"/>
      <w:bookmarkStart w:id="291" w:name="_Toc28119"/>
      <w:bookmarkStart w:id="292" w:name="_Toc23582"/>
      <w:r>
        <w:rPr>
          <w:rFonts w:hint="eastAsia"/>
        </w:rPr>
        <w:fldChar w:fldCharType="begin"/>
      </w:r>
      <w:r>
        <w:instrText xml:space="preserve"> HYPERLINK "file:///C:\\Users\\xy155\\Desktop\\矩形顶管工程技术规程2019.3.22.docx" \l "_Toc17680" </w:instrText>
      </w:r>
      <w:r>
        <w:rPr>
          <w:rFonts w:hint="eastAsia"/>
        </w:rPr>
        <w:fldChar w:fldCharType="separate"/>
      </w:r>
      <w:bookmarkStart w:id="293" w:name="_Toc1349_WPSOffice_Level2"/>
      <w:r>
        <w:rPr>
          <w:rFonts w:hint="eastAsia"/>
        </w:rPr>
        <w:t>7</w:t>
      </w:r>
      <w:r>
        <w:t>.</w:t>
      </w:r>
      <w:r>
        <w:rPr>
          <w:rFonts w:hint="eastAsia"/>
        </w:rPr>
        <w:t>4</w:t>
      </w:r>
      <w:r>
        <w:t xml:space="preserve">  </w:t>
      </w:r>
      <w:bookmarkEnd w:id="293"/>
      <w:r>
        <w:rPr>
          <w:rFonts w:hint="eastAsia"/>
        </w:rPr>
        <w:fldChar w:fldCharType="end"/>
      </w:r>
      <w:bookmarkEnd w:id="280"/>
      <w:bookmarkEnd w:id="281"/>
      <w:bookmarkEnd w:id="282"/>
      <w:bookmarkEnd w:id="283"/>
      <w:bookmarkEnd w:id="284"/>
      <w:bookmarkEnd w:id="285"/>
      <w:r>
        <w:rPr>
          <w:rFonts w:hint="eastAsia"/>
        </w:rPr>
        <w:t>混凝土</w:t>
      </w:r>
      <w:bookmarkEnd w:id="286"/>
      <w:r>
        <w:rPr>
          <w:rFonts w:hint="eastAsia"/>
        </w:rPr>
        <w:t>浇筑</w:t>
      </w:r>
      <w:bookmarkEnd w:id="287"/>
      <w:bookmarkEnd w:id="288"/>
      <w:bookmarkEnd w:id="289"/>
      <w:bookmarkEnd w:id="290"/>
      <w:bookmarkEnd w:id="291"/>
      <w:bookmarkEnd w:id="292"/>
    </w:p>
    <w:p>
      <w:pPr>
        <w:rPr>
          <w:bCs/>
        </w:rPr>
      </w:pPr>
      <w:r>
        <w:rPr>
          <w:rFonts w:hint="eastAsia"/>
          <w:b/>
        </w:rPr>
        <w:t>7.4.1</w:t>
      </w:r>
      <w:r>
        <w:rPr>
          <w:rFonts w:hint="eastAsia"/>
          <w:bCs/>
        </w:rPr>
        <w:t xml:space="preserve"> </w:t>
      </w:r>
      <w:r>
        <w:rPr>
          <w:bCs/>
        </w:rPr>
        <w:t xml:space="preserve"> </w:t>
      </w:r>
      <w:r>
        <w:rPr>
          <w:rFonts w:hint="eastAsia"/>
          <w:bCs/>
        </w:rPr>
        <w:t>叠合构件混凝土浇筑前，应符合下列规定：</w:t>
      </w:r>
    </w:p>
    <w:p>
      <w:pPr>
        <w:ind w:firstLine="480" w:firstLineChars="200"/>
        <w:rPr>
          <w:rFonts w:hint="eastAsia" w:eastAsia="宋体"/>
          <w:bCs/>
          <w:lang w:eastAsia="zh-CN"/>
        </w:rPr>
      </w:pPr>
      <w:r>
        <w:rPr>
          <w:rFonts w:hint="eastAsia"/>
          <w:bCs/>
        </w:rPr>
        <w:t>1  清除叠合面上的杂物、浮浆及松散骨料，表面干燥时应洒水润湿，洒水后</w:t>
      </w:r>
      <w:r>
        <w:rPr>
          <w:rFonts w:hint="eastAsia"/>
          <w:bCs/>
          <w:lang w:eastAsia="zh-CN"/>
        </w:rPr>
        <w:t>不应</w:t>
      </w:r>
      <w:r>
        <w:rPr>
          <w:rFonts w:hint="eastAsia"/>
          <w:bCs/>
        </w:rPr>
        <w:t>留有积水</w:t>
      </w:r>
      <w:r>
        <w:rPr>
          <w:rFonts w:hint="eastAsia"/>
          <w:bCs/>
          <w:lang w:eastAsia="zh-CN"/>
        </w:rPr>
        <w:t>；</w:t>
      </w:r>
    </w:p>
    <w:p>
      <w:pPr>
        <w:ind w:firstLine="480" w:firstLineChars="200"/>
        <w:rPr>
          <w:rFonts w:hint="eastAsia" w:eastAsia="宋体"/>
          <w:bCs/>
          <w:lang w:eastAsia="zh-CN"/>
        </w:rPr>
      </w:pPr>
      <w:r>
        <w:rPr>
          <w:rFonts w:hint="eastAsia"/>
          <w:bCs/>
        </w:rPr>
        <w:t>2  应检查并校正预制构件的外露钢筋</w:t>
      </w:r>
      <w:r>
        <w:rPr>
          <w:rFonts w:hint="eastAsia"/>
          <w:bCs/>
          <w:lang w:eastAsia="zh-CN"/>
        </w:rPr>
        <w:t>；</w:t>
      </w:r>
    </w:p>
    <w:p>
      <w:pPr>
        <w:ind w:firstLine="480" w:firstLineChars="200"/>
        <w:rPr>
          <w:szCs w:val="21"/>
        </w:rPr>
      </w:pPr>
      <w:r>
        <w:rPr>
          <w:rFonts w:hint="eastAsia"/>
          <w:bCs/>
        </w:rPr>
        <w:t xml:space="preserve">3  </w:t>
      </w:r>
      <w:r>
        <w:rPr>
          <w:rFonts w:hint="eastAsia"/>
          <w:szCs w:val="21"/>
        </w:rPr>
        <w:t>叠合墙内部空腔应清理干净，叠合式预制构件内表面应用水充分湿润。</w:t>
      </w:r>
    </w:p>
    <w:p>
      <w:pPr>
        <w:rPr>
          <w:bCs/>
          <w:color w:val="00B050"/>
        </w:rPr>
      </w:pPr>
      <w:r>
        <w:rPr>
          <w:rFonts w:hint="eastAsia"/>
          <w:b/>
        </w:rPr>
        <w:t>7.4.2</w:t>
      </w:r>
      <w:r>
        <w:rPr>
          <w:rFonts w:hint="eastAsia"/>
          <w:bCs/>
        </w:rPr>
        <w:t xml:space="preserve">  叠合</w:t>
      </w:r>
      <w:r>
        <w:rPr>
          <w:rFonts w:hint="eastAsia"/>
          <w:bCs/>
          <w:lang w:val="en-US" w:eastAsia="zh-CN"/>
        </w:rPr>
        <w:t>管廊</w:t>
      </w:r>
      <w:r>
        <w:rPr>
          <w:rFonts w:hint="eastAsia"/>
          <w:bCs/>
        </w:rPr>
        <w:t>混凝土浇筑应符合下列规定：</w:t>
      </w:r>
    </w:p>
    <w:p>
      <w:pPr>
        <w:ind w:firstLine="480" w:firstLineChars="200"/>
        <w:rPr>
          <w:rFonts w:hint="default" w:eastAsia="宋体"/>
          <w:bCs/>
          <w:lang w:val="en-US" w:eastAsia="zh-CN"/>
        </w:rPr>
      </w:pPr>
      <w:r>
        <w:rPr>
          <w:rFonts w:hint="eastAsia"/>
          <w:bCs/>
          <w:lang w:val="en-US" w:eastAsia="zh-CN"/>
        </w:rPr>
        <w:t>1  管廊混凝土宜分两次进行浇筑。第一次浇筑底板混凝土及侧墙底部（离底板顶面30cm高度以下）的混凝土；第二次现浇剩余侧墙、内墙及顶板混凝土；</w:t>
      </w:r>
    </w:p>
    <w:p>
      <w:pPr>
        <w:ind w:firstLine="480" w:firstLineChars="200"/>
        <w:rPr>
          <w:rFonts w:hint="eastAsia" w:eastAsia="宋体"/>
          <w:bCs/>
          <w:lang w:eastAsia="zh-CN"/>
        </w:rPr>
      </w:pPr>
      <w:r>
        <w:rPr>
          <w:rFonts w:hint="eastAsia"/>
          <w:bCs/>
          <w:lang w:val="en-US" w:eastAsia="zh-CN"/>
        </w:rPr>
        <w:t>2</w:t>
      </w:r>
      <w:r>
        <w:rPr>
          <w:rFonts w:hint="eastAsia"/>
          <w:bCs/>
        </w:rPr>
        <w:t xml:space="preserve">  </w:t>
      </w:r>
      <w:r>
        <w:rPr>
          <w:rFonts w:hint="eastAsia"/>
          <w:bCs/>
          <w:lang w:val="en-US" w:eastAsia="zh-CN"/>
        </w:rPr>
        <w:t>底板及顶板</w:t>
      </w:r>
      <w:r>
        <w:rPr>
          <w:rFonts w:hint="eastAsia"/>
          <w:szCs w:val="21"/>
        </w:rPr>
        <w:t>混凝土</w:t>
      </w:r>
      <w:r>
        <w:rPr>
          <w:rFonts w:hint="eastAsia"/>
        </w:rPr>
        <w:t>浇筑</w:t>
      </w:r>
      <w:r>
        <w:rPr>
          <w:rFonts w:hint="eastAsia"/>
          <w:bCs/>
        </w:rPr>
        <w:t>应采取中间向两边</w:t>
      </w:r>
      <w:r>
        <w:rPr>
          <w:rFonts w:hint="eastAsia"/>
          <w:bCs/>
          <w:lang w:val="en-US" w:eastAsia="zh-CN"/>
        </w:rPr>
        <w:t>推进</w:t>
      </w:r>
      <w:r>
        <w:rPr>
          <w:rFonts w:hint="eastAsia"/>
          <w:bCs/>
        </w:rPr>
        <w:t>的方式</w:t>
      </w:r>
      <w:r>
        <w:rPr>
          <w:rFonts w:hint="eastAsia"/>
          <w:bCs/>
          <w:lang w:eastAsia="zh-CN"/>
        </w:rPr>
        <w:t>；</w:t>
      </w:r>
      <w:r>
        <w:rPr>
          <w:rFonts w:hint="eastAsia"/>
          <w:bCs/>
          <w:lang w:val="en-US" w:eastAsia="zh-CN"/>
        </w:rPr>
        <w:t>侧墙、内墙混凝土浇筑</w:t>
      </w:r>
      <w:r>
        <w:rPr>
          <w:rFonts w:hint="eastAsia"/>
        </w:rPr>
        <w:t>应分层连续浇筑，</w:t>
      </w:r>
      <w:r>
        <w:rPr>
          <w:rFonts w:hint="eastAsia"/>
          <w:lang w:val="en-US" w:eastAsia="zh-CN"/>
        </w:rPr>
        <w:t>每层</w:t>
      </w:r>
      <w:r>
        <w:rPr>
          <w:rFonts w:hint="eastAsia"/>
        </w:rPr>
        <w:t>浇筑高度不宜超过</w:t>
      </w:r>
      <w:r>
        <w:rPr>
          <w:rFonts w:hint="eastAsia"/>
          <w:lang w:val="en-US" w:eastAsia="zh-CN"/>
        </w:rPr>
        <w:t>6</w:t>
      </w:r>
      <w:r>
        <w:rPr>
          <w:rFonts w:hint="eastAsia"/>
        </w:rPr>
        <w:t>00mm</w:t>
      </w:r>
      <w:r>
        <w:rPr>
          <w:rFonts w:hint="eastAsia"/>
          <w:lang w:eastAsia="zh-CN"/>
        </w:rPr>
        <w:t>；</w:t>
      </w:r>
    </w:p>
    <w:p>
      <w:pPr>
        <w:ind w:firstLine="480" w:firstLineChars="200"/>
        <w:rPr>
          <w:rFonts w:hint="eastAsia" w:eastAsia="宋体"/>
          <w:bCs/>
          <w:lang w:eastAsia="zh-CN"/>
        </w:rPr>
      </w:pPr>
      <w:r>
        <w:rPr>
          <w:rFonts w:hint="eastAsia"/>
          <w:bCs/>
          <w:lang w:val="en-US" w:eastAsia="zh-CN"/>
        </w:rPr>
        <w:t>3</w:t>
      </w:r>
      <w:r>
        <w:rPr>
          <w:rFonts w:hint="eastAsia"/>
          <w:bCs/>
        </w:rPr>
        <w:t xml:space="preserve">  不宜移动预埋件的位置，且</w:t>
      </w:r>
      <w:r>
        <w:rPr>
          <w:rFonts w:hint="eastAsia"/>
          <w:bCs/>
          <w:lang w:eastAsia="zh-CN"/>
        </w:rPr>
        <w:t>不应</w:t>
      </w:r>
      <w:r>
        <w:rPr>
          <w:rFonts w:hint="eastAsia"/>
          <w:bCs/>
        </w:rPr>
        <w:t>污染预埋件外露连接部位</w:t>
      </w:r>
      <w:r>
        <w:rPr>
          <w:rFonts w:hint="eastAsia"/>
          <w:bCs/>
          <w:lang w:eastAsia="zh-CN"/>
        </w:rPr>
        <w:t>；</w:t>
      </w:r>
    </w:p>
    <w:p>
      <w:pPr>
        <w:ind w:firstLine="480" w:firstLineChars="200"/>
        <w:rPr>
          <w:bCs/>
        </w:rPr>
      </w:pPr>
      <w:r>
        <w:rPr>
          <w:rFonts w:hint="eastAsia"/>
          <w:bCs/>
          <w:lang w:val="en-US" w:eastAsia="zh-CN"/>
        </w:rPr>
        <w:t>4</w:t>
      </w:r>
      <w:r>
        <w:rPr>
          <w:rFonts w:hint="eastAsia"/>
          <w:bCs/>
        </w:rPr>
        <w:t xml:space="preserve">  叠合构件与现浇混凝土结构连接处应加密振捣点，当采取延长振捣时间措施时，应符合相关标准和施工作业要求。</w:t>
      </w:r>
    </w:p>
    <w:p>
      <w:pPr>
        <w:rPr>
          <w:bCs/>
        </w:rPr>
      </w:pPr>
      <w:r>
        <w:rPr>
          <w:rFonts w:hint="eastAsia"/>
          <w:b/>
        </w:rPr>
        <w:t>7.4.3</w:t>
      </w:r>
      <w:r>
        <w:rPr>
          <w:rFonts w:hint="eastAsia"/>
          <w:bCs/>
        </w:rPr>
        <w:t xml:space="preserve">  </w:t>
      </w:r>
      <w:r>
        <w:rPr>
          <w:rFonts w:hint="eastAsia"/>
          <w:bCs/>
          <w:szCs w:val="21"/>
        </w:rPr>
        <w:t>当墙体厚度小于250mm时</w:t>
      </w:r>
      <w:r>
        <w:rPr>
          <w:rFonts w:hint="eastAsia"/>
          <w:bCs/>
          <w:szCs w:val="21"/>
          <w:lang w:eastAsia="zh-CN"/>
        </w:rPr>
        <w:t>，</w:t>
      </w:r>
      <w:r>
        <w:rPr>
          <w:rFonts w:hint="eastAsia"/>
          <w:bCs/>
          <w:szCs w:val="21"/>
        </w:rPr>
        <w:t>墙体内现浇混凝土宜采用细石自密实</w:t>
      </w:r>
      <w:r>
        <w:rPr>
          <w:rFonts w:hint="eastAsia"/>
        </w:rPr>
        <w:t>混凝土施工，同时宜掺入膨胀剂</w:t>
      </w:r>
      <w:r>
        <w:rPr>
          <w:rFonts w:hint="eastAsia"/>
          <w:lang w:eastAsia="zh-CN"/>
        </w:rPr>
        <w:t>，膨胀剂应符合《混凝土膨胀剂》GB/T 23439的相关规定。</w:t>
      </w:r>
    </w:p>
    <w:p>
      <w:pPr>
        <w:rPr>
          <w:bCs/>
        </w:rPr>
      </w:pPr>
      <w:r>
        <w:rPr>
          <w:rFonts w:hint="eastAsia"/>
          <w:b/>
        </w:rPr>
        <w:t xml:space="preserve">7.4.4 </w:t>
      </w:r>
      <w:r>
        <w:rPr>
          <w:rFonts w:hint="eastAsia"/>
          <w:bCs/>
        </w:rPr>
        <w:t xml:space="preserve"> 当墙体厚度小于250mm时，混凝土振捣应选用不大于φ30mm混凝土微型振捣棒。</w:t>
      </w:r>
    </w:p>
    <w:p>
      <w:pPr>
        <w:rPr>
          <w:bCs/>
        </w:rPr>
      </w:pPr>
      <w:r>
        <w:rPr>
          <w:rFonts w:hint="eastAsia"/>
          <w:b/>
        </w:rPr>
        <w:t>7.4.</w:t>
      </w:r>
      <w:r>
        <w:rPr>
          <w:rFonts w:hint="eastAsia"/>
          <w:b/>
          <w:lang w:val="en-US" w:eastAsia="zh-CN"/>
        </w:rPr>
        <w:t>5</w:t>
      </w:r>
      <w:r>
        <w:rPr>
          <w:rFonts w:hint="eastAsia"/>
          <w:bCs/>
        </w:rPr>
        <w:t xml:space="preserve">  现浇混凝土强度达到设计要求</w:t>
      </w:r>
      <w:r>
        <w:rPr>
          <w:rFonts w:hint="eastAsia"/>
          <w:bCs/>
          <w:lang w:val="en-US" w:eastAsia="zh-CN"/>
        </w:rPr>
        <w:t>强度</w:t>
      </w:r>
      <w:r>
        <w:rPr>
          <w:rFonts w:hint="eastAsia"/>
          <w:bCs/>
        </w:rPr>
        <w:t>后，方可拆除</w:t>
      </w:r>
      <w:r>
        <w:rPr>
          <w:rFonts w:hint="eastAsia"/>
          <w:bCs/>
          <w:lang w:val="en-US" w:eastAsia="zh-CN"/>
        </w:rPr>
        <w:t>侧墙、内墙及顶板的</w:t>
      </w:r>
      <w:r>
        <w:rPr>
          <w:rFonts w:hint="eastAsia"/>
          <w:bCs/>
        </w:rPr>
        <w:t>支撑。</w:t>
      </w:r>
    </w:p>
    <w:p>
      <w:pPr>
        <w:rPr>
          <w:bCs/>
        </w:rPr>
      </w:pPr>
    </w:p>
    <w:p>
      <w:pPr>
        <w:pStyle w:val="3"/>
      </w:pPr>
      <w:bookmarkStart w:id="294" w:name="_Toc31243"/>
      <w:bookmarkStart w:id="295" w:name="_Toc7800"/>
      <w:bookmarkStart w:id="296" w:name="_Toc4783_WPSOffice_Level2"/>
      <w:bookmarkStart w:id="297" w:name="_Toc19814"/>
      <w:bookmarkStart w:id="298" w:name="_Toc19211"/>
      <w:bookmarkStart w:id="299" w:name="_Toc19395"/>
      <w:bookmarkStart w:id="300" w:name="_Toc10933"/>
      <w:bookmarkStart w:id="301" w:name="_Toc3333"/>
      <w:bookmarkStart w:id="302" w:name="_Toc29575"/>
      <w:bookmarkStart w:id="303" w:name="_Toc21519"/>
      <w:bookmarkStart w:id="304" w:name="_Toc629"/>
      <w:bookmarkStart w:id="305" w:name="_Toc11543"/>
      <w:bookmarkStart w:id="306" w:name="_Toc24594"/>
      <w:bookmarkStart w:id="307" w:name="_Toc7225"/>
      <w:r>
        <w:rPr>
          <w:rFonts w:hint="eastAsia"/>
        </w:rPr>
        <w:t>7</w:t>
      </w:r>
      <w:r>
        <w:t>.</w:t>
      </w:r>
      <w:r>
        <w:rPr>
          <w:rFonts w:hint="eastAsia"/>
        </w:rPr>
        <w:t xml:space="preserve">5 </w:t>
      </w:r>
      <w:r>
        <w:t xml:space="preserve"> </w:t>
      </w:r>
      <w:bookmarkEnd w:id="294"/>
      <w:bookmarkEnd w:id="295"/>
      <w:bookmarkEnd w:id="296"/>
      <w:bookmarkEnd w:id="297"/>
      <w:bookmarkEnd w:id="298"/>
      <w:bookmarkEnd w:id="299"/>
      <w:bookmarkEnd w:id="300"/>
      <w:r>
        <w:rPr>
          <w:rFonts w:hint="eastAsia"/>
        </w:rPr>
        <w:t>质量检验</w:t>
      </w:r>
      <w:bookmarkEnd w:id="301"/>
      <w:bookmarkEnd w:id="302"/>
      <w:bookmarkEnd w:id="303"/>
      <w:bookmarkEnd w:id="304"/>
      <w:bookmarkEnd w:id="305"/>
      <w:bookmarkEnd w:id="306"/>
      <w:bookmarkEnd w:id="307"/>
    </w:p>
    <w:p>
      <w:pPr>
        <w:jc w:val="center"/>
        <w:rPr>
          <w:b/>
          <w:bCs/>
          <w:color w:val="FF0000"/>
          <w:szCs w:val="24"/>
        </w:rPr>
      </w:pPr>
      <w:r>
        <w:rPr>
          <w:rFonts w:cs="Times New Roman" w:eastAsiaTheme="minorEastAsia"/>
          <w:b/>
          <w:bCs/>
          <w:szCs w:val="24"/>
        </w:rPr>
        <w:t>Ⅰ</w:t>
      </w:r>
      <w:r>
        <w:rPr>
          <w:rFonts w:hint="eastAsia" w:cs="Times New Roman" w:eastAsiaTheme="minorEastAsia"/>
          <w:b/>
          <w:bCs/>
          <w:szCs w:val="24"/>
        </w:rPr>
        <w:t xml:space="preserve"> </w:t>
      </w:r>
      <w:r>
        <w:rPr>
          <w:rFonts w:cs="Times New Roman" w:eastAsiaTheme="minorEastAsia"/>
          <w:b/>
          <w:bCs/>
          <w:szCs w:val="24"/>
        </w:rPr>
        <w:t>主控项目</w:t>
      </w:r>
    </w:p>
    <w:p>
      <w:r>
        <w:rPr>
          <w:rFonts w:hint="eastAsia"/>
          <w:b/>
          <w:bCs/>
        </w:rPr>
        <w:t>7.5.1</w:t>
      </w:r>
      <w:r>
        <w:rPr>
          <w:rFonts w:hint="eastAsia"/>
        </w:rPr>
        <w:t xml:space="preserve">  预制叠合板的质量检验与控制应符合本标准第4.7节的相关规定。</w:t>
      </w:r>
    </w:p>
    <w:p>
      <w:r>
        <w:rPr>
          <w:rFonts w:hint="eastAsia"/>
          <w:b/>
        </w:rPr>
        <w:t xml:space="preserve">7.5.2 </w:t>
      </w:r>
      <w:r>
        <w:rPr>
          <w:rFonts w:hint="eastAsia"/>
        </w:rPr>
        <w:t xml:space="preserve"> 现浇混凝土强度应满足设计要求。</w:t>
      </w:r>
    </w:p>
    <w:p>
      <w:pPr>
        <w:ind w:firstLine="720" w:firstLineChars="300"/>
        <w:rPr>
          <w:rFonts w:hint="eastAsia" w:ascii="Times New Roman" w:hAnsi="Times New Roman"/>
        </w:rPr>
      </w:pPr>
      <w:r>
        <w:rPr>
          <w:rFonts w:hint="eastAsia" w:ascii="Times New Roman" w:hAnsi="Times New Roman"/>
        </w:rPr>
        <w:t>检查数量：按批检验，检验批应满足</w:t>
      </w:r>
      <w:r>
        <w:rPr>
          <w:rFonts w:hint="eastAsia"/>
          <w:lang w:val="en-US" w:eastAsia="zh-CN"/>
        </w:rPr>
        <w:t>现行国家标准</w:t>
      </w:r>
      <w:r>
        <w:rPr>
          <w:rFonts w:hint="eastAsia" w:ascii="Times New Roman" w:hAnsi="Times New Roman"/>
        </w:rPr>
        <w:t>《混凝土结构工程施工质量验收规范 》GB 50204相关要求。</w:t>
      </w:r>
    </w:p>
    <w:p>
      <w:pPr>
        <w:ind w:firstLine="720" w:firstLineChars="300"/>
      </w:pPr>
      <w:r>
        <w:rPr>
          <w:rFonts w:hint="eastAsia"/>
        </w:rPr>
        <w:t>检查方法：按现行国家标准《混凝土强度检测评定标准》GB/T 50107的要求进行。</w:t>
      </w:r>
    </w:p>
    <w:p>
      <w:r>
        <w:rPr>
          <w:rFonts w:hint="eastAsia"/>
          <w:b/>
        </w:rPr>
        <w:t xml:space="preserve">7.5.3 </w:t>
      </w:r>
      <w:r>
        <w:rPr>
          <w:rFonts w:hint="eastAsia"/>
        </w:rPr>
        <w:t xml:space="preserve"> 现浇混凝土结构的钢筋种类、规格应符合设计规定。</w:t>
      </w:r>
    </w:p>
    <w:p>
      <w:pPr>
        <w:jc w:val="center"/>
        <w:rPr>
          <w:b/>
          <w:bCs/>
          <w:szCs w:val="24"/>
        </w:rPr>
      </w:pPr>
      <w:r>
        <w:rPr>
          <w:rFonts w:cs="Times New Roman"/>
          <w:b/>
          <w:bCs/>
          <w:szCs w:val="24"/>
        </w:rPr>
        <w:t>Ⅱ</w:t>
      </w:r>
      <w:r>
        <w:rPr>
          <w:rFonts w:hint="eastAsia" w:cs="Times New Roman" w:eastAsiaTheme="minorEastAsia"/>
          <w:b/>
          <w:bCs/>
          <w:szCs w:val="24"/>
        </w:rPr>
        <w:t xml:space="preserve"> 一般</w:t>
      </w:r>
      <w:r>
        <w:rPr>
          <w:rFonts w:cs="Times New Roman" w:eastAsiaTheme="minorEastAsia"/>
          <w:b/>
          <w:bCs/>
          <w:szCs w:val="24"/>
        </w:rPr>
        <w:t>项目</w:t>
      </w:r>
    </w:p>
    <w:p>
      <w:r>
        <w:rPr>
          <w:rFonts w:hint="eastAsia"/>
          <w:b/>
        </w:rPr>
        <w:t>7.5.4</w:t>
      </w:r>
      <w:r>
        <w:rPr>
          <w:rFonts w:hint="eastAsia"/>
        </w:rPr>
        <w:t xml:space="preserve">  预制叠合构件安装允许偏差和检</w:t>
      </w:r>
      <w:r>
        <w:rPr>
          <w:rFonts w:hint="eastAsia"/>
          <w:lang w:val="en-US" w:eastAsia="zh-CN"/>
        </w:rPr>
        <w:t>查</w:t>
      </w:r>
      <w:r>
        <w:rPr>
          <w:rFonts w:hint="eastAsia"/>
        </w:rPr>
        <w:t>方法应符合表7.5.4的规定：</w:t>
      </w:r>
    </w:p>
    <w:p>
      <w:pPr>
        <w:pStyle w:val="12"/>
        <w:rPr>
          <w:szCs w:val="21"/>
        </w:rPr>
      </w:pPr>
      <w:r>
        <w:rPr>
          <w:szCs w:val="21"/>
        </w:rPr>
        <w:t>表</w:t>
      </w:r>
      <w:r>
        <w:rPr>
          <w:rFonts w:hint="eastAsia"/>
          <w:szCs w:val="21"/>
        </w:rPr>
        <w:t>7</w:t>
      </w:r>
      <w:r>
        <w:rPr>
          <w:szCs w:val="21"/>
        </w:rPr>
        <w:t>.</w:t>
      </w:r>
      <w:r>
        <w:rPr>
          <w:rFonts w:hint="eastAsia"/>
          <w:szCs w:val="21"/>
        </w:rPr>
        <w:t xml:space="preserve">5.4  </w:t>
      </w:r>
      <w:r>
        <w:rPr>
          <w:rFonts w:hint="eastAsia"/>
          <w:szCs w:val="21"/>
          <w:lang w:val="en-US" w:eastAsia="zh-CN"/>
        </w:rPr>
        <w:t>叠合构件</w:t>
      </w:r>
      <w:r>
        <w:rPr>
          <w:szCs w:val="21"/>
        </w:rPr>
        <w:t>安装允许偏差和检</w:t>
      </w:r>
      <w:r>
        <w:rPr>
          <w:rFonts w:hint="eastAsia"/>
          <w:szCs w:val="21"/>
          <w:lang w:val="en-US" w:eastAsia="zh-CN"/>
        </w:rPr>
        <w:t>查</w:t>
      </w:r>
      <w:r>
        <w:rPr>
          <w:szCs w:val="21"/>
        </w:rPr>
        <w:t>方法（mm）</w:t>
      </w:r>
    </w:p>
    <w:tbl>
      <w:tblPr>
        <w:tblStyle w:val="38"/>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3293"/>
        <w:gridCol w:w="1296"/>
        <w:gridCol w:w="3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8" w:type="dxa"/>
            <w:gridSpan w:val="2"/>
            <w:vAlign w:val="center"/>
          </w:tcPr>
          <w:p>
            <w:pPr>
              <w:pStyle w:val="92"/>
            </w:pPr>
            <w:r>
              <w:t>项目</w:t>
            </w:r>
          </w:p>
        </w:tc>
        <w:tc>
          <w:tcPr>
            <w:tcW w:w="1296" w:type="dxa"/>
            <w:vAlign w:val="center"/>
          </w:tcPr>
          <w:p>
            <w:pPr>
              <w:pStyle w:val="92"/>
            </w:pPr>
            <w:r>
              <w:t>允许偏差</w:t>
            </w:r>
          </w:p>
        </w:tc>
        <w:tc>
          <w:tcPr>
            <w:tcW w:w="3542" w:type="dxa"/>
            <w:vAlign w:val="center"/>
          </w:tcPr>
          <w:p>
            <w:pPr>
              <w:pStyle w:val="92"/>
            </w:pPr>
            <w: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restart"/>
            <w:vAlign w:val="center"/>
          </w:tcPr>
          <w:p>
            <w:pPr>
              <w:pStyle w:val="92"/>
            </w:pPr>
            <w:r>
              <w:t>叠合墙</w:t>
            </w:r>
          </w:p>
        </w:tc>
        <w:tc>
          <w:tcPr>
            <w:tcW w:w="3293" w:type="dxa"/>
            <w:vAlign w:val="center"/>
          </w:tcPr>
          <w:p>
            <w:pPr>
              <w:pStyle w:val="92"/>
              <w:rPr>
                <w:rFonts w:hint="eastAsia" w:eastAsia="宋体"/>
                <w:lang w:val="en-US" w:eastAsia="zh-CN"/>
              </w:rPr>
            </w:pPr>
            <w:r>
              <w:rPr>
                <w:rFonts w:hint="eastAsia"/>
                <w:lang w:val="en-US" w:eastAsia="zh-CN"/>
              </w:rPr>
              <w:t>构件</w:t>
            </w:r>
            <w:r>
              <w:t>中心线</w:t>
            </w:r>
            <w:r>
              <w:rPr>
                <w:rFonts w:hint="eastAsia"/>
                <w:lang w:val="en-US" w:eastAsia="zh-CN"/>
              </w:rPr>
              <w:t>与</w:t>
            </w:r>
            <w:r>
              <w:t>定位轴线的位置</w:t>
            </w:r>
            <w:r>
              <w:rPr>
                <w:rFonts w:hint="eastAsia"/>
                <w:lang w:val="en-US" w:eastAsia="zh-CN"/>
              </w:rPr>
              <w:t>偏差</w:t>
            </w:r>
          </w:p>
        </w:tc>
        <w:tc>
          <w:tcPr>
            <w:tcW w:w="1296" w:type="dxa"/>
            <w:vAlign w:val="center"/>
          </w:tcPr>
          <w:p>
            <w:pPr>
              <w:pStyle w:val="92"/>
            </w:pPr>
            <w:r>
              <w:t>5</w:t>
            </w:r>
          </w:p>
        </w:tc>
        <w:tc>
          <w:tcPr>
            <w:tcW w:w="3542" w:type="dxa"/>
            <w:vAlign w:val="center"/>
          </w:tcPr>
          <w:p>
            <w:pPr>
              <w:pStyle w:val="92"/>
            </w:pPr>
            <w: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3293" w:type="dxa"/>
            <w:vAlign w:val="center"/>
          </w:tcPr>
          <w:p>
            <w:pPr>
              <w:pStyle w:val="92"/>
              <w:jc w:val="center"/>
            </w:pPr>
            <w:r>
              <w:t>垂直度</w:t>
            </w:r>
          </w:p>
        </w:tc>
        <w:tc>
          <w:tcPr>
            <w:tcW w:w="1296" w:type="dxa"/>
            <w:vAlign w:val="center"/>
          </w:tcPr>
          <w:p>
            <w:pPr>
              <w:pStyle w:val="92"/>
            </w:pPr>
            <w:r>
              <w:t>H/</w:t>
            </w:r>
            <w:r>
              <w:rPr>
                <w:rFonts w:hint="eastAsia"/>
                <w:lang w:val="en-US" w:eastAsia="zh-CN"/>
              </w:rPr>
              <w:t>4</w:t>
            </w:r>
            <w:r>
              <w:t>00，</w:t>
            </w:r>
            <w:r>
              <w:rPr>
                <w:rFonts w:hint="eastAsia"/>
                <w:lang w:val="en-US" w:eastAsia="zh-CN"/>
              </w:rPr>
              <w:t>且</w:t>
            </w:r>
            <w:r>
              <w:rPr>
                <w:rFonts w:hint="eastAsia" w:ascii="宋体" w:hAnsi="宋体" w:eastAsia="宋体" w:cs="宋体"/>
                <w:lang w:val="en-US" w:eastAsia="zh-CN"/>
              </w:rPr>
              <w:t>≤</w:t>
            </w:r>
            <w:r>
              <w:rPr>
                <w:rFonts w:hint="eastAsia" w:ascii="宋体" w:hAnsi="宋体" w:cs="宋体"/>
                <w:lang w:val="en-US" w:eastAsia="zh-CN"/>
              </w:rPr>
              <w:t>1</w:t>
            </w:r>
            <w:r>
              <w:t>0</w:t>
            </w:r>
          </w:p>
        </w:tc>
        <w:tc>
          <w:tcPr>
            <w:tcW w:w="3542" w:type="dxa"/>
            <w:vMerge w:val="restart"/>
            <w:vAlign w:val="center"/>
          </w:tcPr>
          <w:p>
            <w:pPr>
              <w:pStyle w:val="92"/>
            </w:pPr>
            <w:r>
              <w:rPr>
                <w:rFonts w:hint="eastAsia"/>
              </w:rPr>
              <w:t>全站仪</w:t>
            </w:r>
            <w:r>
              <w:t>或吊线、钢尺检查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3293" w:type="dxa"/>
            <w:vAlign w:val="center"/>
          </w:tcPr>
          <w:p>
            <w:pPr>
              <w:pStyle w:val="92"/>
            </w:pPr>
          </w:p>
        </w:tc>
        <w:tc>
          <w:tcPr>
            <w:tcW w:w="1296" w:type="dxa"/>
            <w:vAlign w:val="center"/>
          </w:tcPr>
          <w:p>
            <w:pPr>
              <w:pStyle w:val="92"/>
            </w:pPr>
          </w:p>
        </w:tc>
        <w:tc>
          <w:tcPr>
            <w:tcW w:w="3542" w:type="dxa"/>
            <w:vMerge w:val="continue"/>
            <w:vAlign w:val="center"/>
          </w:tcPr>
          <w:p>
            <w:pPr>
              <w:pStyle w:val="9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3293" w:type="dxa"/>
            <w:vAlign w:val="center"/>
          </w:tcPr>
          <w:p>
            <w:pPr>
              <w:pStyle w:val="92"/>
            </w:pPr>
            <w:r>
              <w:t>拼缝</w:t>
            </w:r>
            <w:r>
              <w:rPr>
                <w:rFonts w:hint="eastAsia"/>
                <w:lang w:val="en-US" w:eastAsia="zh-CN"/>
              </w:rPr>
              <w:t>处错台</w:t>
            </w:r>
          </w:p>
        </w:tc>
        <w:tc>
          <w:tcPr>
            <w:tcW w:w="1296" w:type="dxa"/>
            <w:vAlign w:val="center"/>
          </w:tcPr>
          <w:p>
            <w:pPr>
              <w:pStyle w:val="92"/>
              <w:rPr>
                <w:rFonts w:hint="eastAsia" w:eastAsia="宋体"/>
                <w:lang w:eastAsia="zh-CN"/>
              </w:rPr>
            </w:pPr>
            <w:r>
              <w:rPr>
                <w:rFonts w:hint="eastAsia"/>
                <w:lang w:val="en-US" w:eastAsia="zh-CN"/>
              </w:rPr>
              <w:t>2</w:t>
            </w:r>
          </w:p>
        </w:tc>
        <w:tc>
          <w:tcPr>
            <w:tcW w:w="3542" w:type="dxa"/>
            <w:vAlign w:val="center"/>
          </w:tcPr>
          <w:p>
            <w:pPr>
              <w:pStyle w:val="92"/>
            </w:pPr>
            <w: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restart"/>
            <w:vAlign w:val="center"/>
          </w:tcPr>
          <w:p>
            <w:pPr>
              <w:pStyle w:val="92"/>
              <w:rPr>
                <w:rFonts w:hint="default" w:eastAsia="宋体"/>
                <w:lang w:val="en-US" w:eastAsia="zh-CN"/>
              </w:rPr>
            </w:pPr>
            <w:r>
              <w:t>叠合顶板</w:t>
            </w:r>
            <w:r>
              <w:rPr>
                <w:rFonts w:hint="eastAsia"/>
                <w:lang w:eastAsia="zh-CN"/>
              </w:rPr>
              <w:t>、</w:t>
            </w:r>
            <w:r>
              <w:rPr>
                <w:rFonts w:hint="eastAsia"/>
                <w:lang w:val="en-US" w:eastAsia="zh-CN"/>
              </w:rPr>
              <w:t>叠合底板</w:t>
            </w:r>
          </w:p>
        </w:tc>
        <w:tc>
          <w:tcPr>
            <w:tcW w:w="3293" w:type="dxa"/>
            <w:vAlign w:val="center"/>
          </w:tcPr>
          <w:p>
            <w:pPr>
              <w:pStyle w:val="92"/>
            </w:pPr>
            <w:r>
              <w:rPr>
                <w:rFonts w:hint="eastAsia"/>
                <w:lang w:val="en-US" w:eastAsia="zh-CN"/>
              </w:rPr>
              <w:t>构件</w:t>
            </w:r>
            <w:r>
              <w:t>中心线</w:t>
            </w:r>
            <w:r>
              <w:rPr>
                <w:rFonts w:hint="eastAsia"/>
                <w:lang w:val="en-US" w:eastAsia="zh-CN"/>
              </w:rPr>
              <w:t>与</w:t>
            </w:r>
            <w:r>
              <w:t>定位轴线的位置</w:t>
            </w:r>
            <w:r>
              <w:rPr>
                <w:rFonts w:hint="eastAsia"/>
                <w:lang w:val="en-US" w:eastAsia="zh-CN"/>
              </w:rPr>
              <w:t>偏差</w:t>
            </w:r>
          </w:p>
        </w:tc>
        <w:tc>
          <w:tcPr>
            <w:tcW w:w="1296" w:type="dxa"/>
            <w:vAlign w:val="center"/>
          </w:tcPr>
          <w:p>
            <w:pPr>
              <w:pStyle w:val="92"/>
              <w:rPr>
                <w:rFonts w:hint="eastAsia" w:eastAsia="宋体"/>
                <w:lang w:val="en-US" w:eastAsia="zh-CN"/>
              </w:rPr>
            </w:pPr>
            <w:r>
              <w:rPr>
                <w:rFonts w:hint="eastAsia"/>
                <w:lang w:val="en-US" w:eastAsia="zh-CN"/>
              </w:rPr>
              <w:t>5</w:t>
            </w:r>
          </w:p>
        </w:tc>
        <w:tc>
          <w:tcPr>
            <w:tcW w:w="3542" w:type="dxa"/>
            <w:vAlign w:val="center"/>
          </w:tcPr>
          <w:p>
            <w:pPr>
              <w:pStyle w:val="92"/>
              <w:rPr>
                <w:rFonts w:hint="default" w:eastAsia="宋体"/>
                <w:lang w:val="en-US" w:eastAsia="zh-CN"/>
              </w:rPr>
            </w:pPr>
            <w:r>
              <w:rPr>
                <w:rFonts w:hint="eastAsia"/>
                <w:lang w:val="en-US" w:eastAsia="zh-CN"/>
              </w:rPr>
              <w:t>钢尺测量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rPr>
                <w:rFonts w:hint="default" w:eastAsia="宋体"/>
                <w:lang w:val="en-US" w:eastAsia="zh-CN"/>
              </w:rPr>
            </w:pPr>
          </w:p>
        </w:tc>
        <w:tc>
          <w:tcPr>
            <w:tcW w:w="3293" w:type="dxa"/>
            <w:vAlign w:val="center"/>
          </w:tcPr>
          <w:p>
            <w:pPr>
              <w:pStyle w:val="92"/>
              <w:rPr>
                <w:rFonts w:hint="default" w:eastAsia="宋体"/>
                <w:lang w:val="en-US" w:eastAsia="zh-CN"/>
              </w:rPr>
            </w:pPr>
            <w:r>
              <w:rPr>
                <w:rFonts w:hint="eastAsia"/>
                <w:lang w:val="en-US" w:eastAsia="zh-CN"/>
              </w:rPr>
              <w:t>拼缝处错台</w:t>
            </w:r>
          </w:p>
        </w:tc>
        <w:tc>
          <w:tcPr>
            <w:tcW w:w="1296" w:type="dxa"/>
            <w:vAlign w:val="center"/>
          </w:tcPr>
          <w:p>
            <w:pPr>
              <w:pStyle w:val="92"/>
            </w:pPr>
            <w:r>
              <w:rPr>
                <w:rFonts w:hint="eastAsia"/>
                <w:lang w:val="en-US" w:eastAsia="zh-CN"/>
              </w:rPr>
              <w:t>3</w:t>
            </w:r>
          </w:p>
        </w:tc>
        <w:tc>
          <w:tcPr>
            <w:tcW w:w="3542" w:type="dxa"/>
            <w:vAlign w:val="center"/>
          </w:tcPr>
          <w:p>
            <w:pPr>
              <w:pStyle w:val="92"/>
            </w:pPr>
            <w:r>
              <w:t>靠尺和塞尺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3293" w:type="dxa"/>
            <w:vAlign w:val="center"/>
          </w:tcPr>
          <w:p>
            <w:pPr>
              <w:pStyle w:val="92"/>
            </w:pPr>
            <w:r>
              <w:t>标高</w:t>
            </w:r>
          </w:p>
        </w:tc>
        <w:tc>
          <w:tcPr>
            <w:tcW w:w="1296" w:type="dxa"/>
            <w:vAlign w:val="center"/>
          </w:tcPr>
          <w:p>
            <w:pPr>
              <w:pStyle w:val="92"/>
            </w:pPr>
            <w:r>
              <w:t>±10</w:t>
            </w:r>
          </w:p>
        </w:tc>
        <w:tc>
          <w:tcPr>
            <w:tcW w:w="3542" w:type="dxa"/>
            <w:vAlign w:val="center"/>
          </w:tcPr>
          <w:p>
            <w:pPr>
              <w:pStyle w:val="92"/>
            </w:pPr>
            <w:r>
              <w:t>水准仪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restart"/>
            <w:vAlign w:val="center"/>
          </w:tcPr>
          <w:p>
            <w:pPr>
              <w:pStyle w:val="92"/>
            </w:pPr>
          </w:p>
        </w:tc>
        <w:tc>
          <w:tcPr>
            <w:tcW w:w="3293" w:type="dxa"/>
            <w:vAlign w:val="center"/>
          </w:tcPr>
          <w:p>
            <w:pPr>
              <w:pStyle w:val="92"/>
            </w:pPr>
          </w:p>
        </w:tc>
        <w:tc>
          <w:tcPr>
            <w:tcW w:w="1296" w:type="dxa"/>
            <w:vAlign w:val="center"/>
          </w:tcPr>
          <w:p>
            <w:pPr>
              <w:pStyle w:val="92"/>
            </w:pPr>
          </w:p>
        </w:tc>
        <w:tc>
          <w:tcPr>
            <w:tcW w:w="3542" w:type="dxa"/>
            <w:vAlign w:val="center"/>
          </w:tcPr>
          <w:p>
            <w:pPr>
              <w:pStyle w:val="9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3293" w:type="dxa"/>
            <w:vAlign w:val="center"/>
          </w:tcPr>
          <w:p>
            <w:pPr>
              <w:pStyle w:val="92"/>
            </w:pPr>
          </w:p>
        </w:tc>
        <w:tc>
          <w:tcPr>
            <w:tcW w:w="1296" w:type="dxa"/>
            <w:vAlign w:val="center"/>
          </w:tcPr>
          <w:p>
            <w:pPr>
              <w:pStyle w:val="92"/>
            </w:pPr>
          </w:p>
        </w:tc>
        <w:tc>
          <w:tcPr>
            <w:tcW w:w="3542" w:type="dxa"/>
            <w:vAlign w:val="center"/>
          </w:tcPr>
          <w:p>
            <w:pPr>
              <w:pStyle w:val="92"/>
            </w:pPr>
          </w:p>
        </w:tc>
      </w:tr>
    </w:tbl>
    <w:p>
      <w:pPr>
        <w:jc w:val="left"/>
        <w:rPr>
          <w:rFonts w:hint="eastAsia"/>
          <w:lang w:val="en-US" w:eastAsia="zh-CN"/>
        </w:rPr>
      </w:pPr>
      <w:r>
        <w:rPr>
          <w:rFonts w:hint="eastAsia"/>
          <w:b/>
        </w:rPr>
        <w:t>7.5.5</w:t>
      </w:r>
      <w:r>
        <w:rPr>
          <w:rFonts w:hint="eastAsia"/>
        </w:rPr>
        <w:t xml:space="preserve">  </w:t>
      </w:r>
      <w:r>
        <w:rPr>
          <w:rFonts w:hint="eastAsia"/>
          <w:lang w:val="en-US" w:eastAsia="zh-CN"/>
        </w:rPr>
        <w:t>叠合构件与现浇混凝土形成整体式管廊结构，其整体质量检验允许偏差应符合表7.5.5的规定。</w:t>
      </w:r>
    </w:p>
    <w:p>
      <w:pPr>
        <w:jc w:val="center"/>
        <w:rPr>
          <w:b/>
          <w:bCs/>
          <w:sz w:val="21"/>
          <w:szCs w:val="20"/>
        </w:rPr>
      </w:pPr>
      <w:r>
        <w:rPr>
          <w:b/>
          <w:bCs/>
          <w:sz w:val="21"/>
          <w:szCs w:val="20"/>
        </w:rPr>
        <w:t>表</w:t>
      </w:r>
      <w:r>
        <w:rPr>
          <w:rFonts w:hint="eastAsia"/>
          <w:b/>
          <w:bCs/>
          <w:sz w:val="21"/>
          <w:szCs w:val="20"/>
          <w:lang w:val="en-US" w:eastAsia="zh-CN"/>
        </w:rPr>
        <w:t>7.5.5</w:t>
      </w:r>
      <w:r>
        <w:rPr>
          <w:b/>
          <w:bCs/>
          <w:sz w:val="21"/>
          <w:szCs w:val="20"/>
        </w:rPr>
        <w:t xml:space="preserve">  </w:t>
      </w:r>
      <w:r>
        <w:rPr>
          <w:rFonts w:hint="eastAsia"/>
          <w:b/>
          <w:bCs/>
          <w:sz w:val="21"/>
          <w:szCs w:val="20"/>
          <w:lang w:val="en-US" w:eastAsia="zh-CN"/>
        </w:rPr>
        <w:t>叠合</w:t>
      </w:r>
      <w:r>
        <w:rPr>
          <w:rFonts w:hint="eastAsia"/>
          <w:b/>
          <w:bCs/>
          <w:sz w:val="21"/>
          <w:szCs w:val="20"/>
        </w:rPr>
        <w:t>管廊</w:t>
      </w:r>
      <w:r>
        <w:rPr>
          <w:b/>
          <w:bCs/>
          <w:sz w:val="21"/>
          <w:szCs w:val="20"/>
        </w:rPr>
        <w:t>装配后的允许偏差及检验方法</w:t>
      </w:r>
    </w:p>
    <w:tbl>
      <w:tblPr>
        <w:tblStyle w:val="39"/>
        <w:tblW w:w="783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23" w:type="dxa"/>
          <w:bottom w:w="0" w:type="dxa"/>
          <w:right w:w="23" w:type="dxa"/>
        </w:tblCellMar>
      </w:tblPr>
      <w:tblGrid>
        <w:gridCol w:w="548"/>
        <w:gridCol w:w="971"/>
        <w:gridCol w:w="1883"/>
        <w:gridCol w:w="1553"/>
        <w:gridCol w:w="756"/>
        <w:gridCol w:w="757"/>
        <w:gridCol w:w="136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restart"/>
            <w:vAlign w:val="center"/>
          </w:tcPr>
          <w:p>
            <w:pPr>
              <w:pStyle w:val="92"/>
            </w:pPr>
            <w:r>
              <w:t>项次</w:t>
            </w:r>
          </w:p>
        </w:tc>
        <w:tc>
          <w:tcPr>
            <w:tcW w:w="2854" w:type="dxa"/>
            <w:gridSpan w:val="2"/>
            <w:vMerge w:val="restart"/>
            <w:vAlign w:val="center"/>
          </w:tcPr>
          <w:p>
            <w:pPr>
              <w:pStyle w:val="92"/>
            </w:pPr>
            <w:r>
              <w:t>检验项目</w:t>
            </w:r>
          </w:p>
        </w:tc>
        <w:tc>
          <w:tcPr>
            <w:tcW w:w="1553" w:type="dxa"/>
            <w:vMerge w:val="restart"/>
            <w:vAlign w:val="center"/>
          </w:tcPr>
          <w:p>
            <w:pPr>
              <w:pStyle w:val="92"/>
            </w:pPr>
            <w:r>
              <w:t>允许偏差（mm）</w:t>
            </w:r>
          </w:p>
        </w:tc>
        <w:tc>
          <w:tcPr>
            <w:tcW w:w="1513" w:type="dxa"/>
            <w:gridSpan w:val="2"/>
            <w:vAlign w:val="center"/>
          </w:tcPr>
          <w:p>
            <w:pPr>
              <w:pStyle w:val="92"/>
            </w:pPr>
            <w:r>
              <w:rPr>
                <w:rFonts w:hint="eastAsia"/>
              </w:rPr>
              <w:t>检查数量</w:t>
            </w:r>
          </w:p>
        </w:tc>
        <w:tc>
          <w:tcPr>
            <w:tcW w:w="1367" w:type="dxa"/>
            <w:vMerge w:val="restart"/>
            <w:vAlign w:val="center"/>
          </w:tcPr>
          <w:p>
            <w:pPr>
              <w:pStyle w:val="92"/>
            </w:pPr>
            <w:r>
              <w:t>检验方法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continue"/>
            <w:vAlign w:val="center"/>
          </w:tcPr>
          <w:p>
            <w:pPr>
              <w:pStyle w:val="92"/>
            </w:pPr>
          </w:p>
        </w:tc>
        <w:tc>
          <w:tcPr>
            <w:tcW w:w="2854" w:type="dxa"/>
            <w:gridSpan w:val="2"/>
            <w:vMerge w:val="continue"/>
            <w:vAlign w:val="center"/>
          </w:tcPr>
          <w:p>
            <w:pPr>
              <w:pStyle w:val="92"/>
            </w:pPr>
          </w:p>
        </w:tc>
        <w:tc>
          <w:tcPr>
            <w:tcW w:w="1553" w:type="dxa"/>
            <w:vMerge w:val="continue"/>
            <w:vAlign w:val="center"/>
          </w:tcPr>
          <w:p>
            <w:pPr>
              <w:pStyle w:val="92"/>
            </w:pPr>
          </w:p>
        </w:tc>
        <w:tc>
          <w:tcPr>
            <w:tcW w:w="756" w:type="dxa"/>
            <w:vAlign w:val="center"/>
          </w:tcPr>
          <w:p>
            <w:pPr>
              <w:pStyle w:val="92"/>
            </w:pPr>
            <w:r>
              <w:rPr>
                <w:rFonts w:hint="eastAsia"/>
              </w:rPr>
              <w:t>范围</w:t>
            </w:r>
          </w:p>
        </w:tc>
        <w:tc>
          <w:tcPr>
            <w:tcW w:w="757" w:type="dxa"/>
            <w:vAlign w:val="center"/>
          </w:tcPr>
          <w:p>
            <w:pPr>
              <w:pStyle w:val="92"/>
            </w:pPr>
            <w:r>
              <w:rPr>
                <w:rFonts w:hint="eastAsia"/>
              </w:rPr>
              <w:t>点数</w:t>
            </w:r>
          </w:p>
        </w:tc>
        <w:tc>
          <w:tcPr>
            <w:tcW w:w="1367" w:type="dxa"/>
            <w:vMerge w:val="continue"/>
            <w:vAlign w:val="center"/>
          </w:tcPr>
          <w:p>
            <w:pPr>
              <w:pStyle w:val="92"/>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Align w:val="center"/>
          </w:tcPr>
          <w:p>
            <w:pPr>
              <w:pStyle w:val="92"/>
            </w:pPr>
            <w:r>
              <w:t>1</w:t>
            </w:r>
          </w:p>
        </w:tc>
        <w:tc>
          <w:tcPr>
            <w:tcW w:w="2854" w:type="dxa"/>
            <w:gridSpan w:val="2"/>
            <w:vAlign w:val="center"/>
          </w:tcPr>
          <w:p>
            <w:pPr>
              <w:pStyle w:val="92"/>
            </w:pPr>
            <w:r>
              <w:rPr>
                <w:rFonts w:hint="eastAsia"/>
              </w:rPr>
              <w:t>管廊</w:t>
            </w:r>
            <w:r>
              <w:t>中心线对轴线的位置</w:t>
            </w:r>
          </w:p>
        </w:tc>
        <w:tc>
          <w:tcPr>
            <w:tcW w:w="1553" w:type="dxa"/>
            <w:vAlign w:val="center"/>
          </w:tcPr>
          <w:p>
            <w:pPr>
              <w:pStyle w:val="92"/>
            </w:pPr>
            <w:r>
              <w:t>5</w:t>
            </w:r>
          </w:p>
        </w:tc>
        <w:tc>
          <w:tcPr>
            <w:tcW w:w="756" w:type="dxa"/>
            <w:vMerge w:val="restart"/>
            <w:vAlign w:val="center"/>
          </w:tcPr>
          <w:p>
            <w:pPr>
              <w:pStyle w:val="92"/>
              <w:rPr>
                <w:rFonts w:hint="eastAsia" w:eastAsia="宋体"/>
                <w:lang w:eastAsia="zh-CN"/>
              </w:rPr>
            </w:pPr>
            <w:r>
              <w:rPr>
                <w:rFonts w:hint="eastAsia"/>
              </w:rPr>
              <w:t>每</w:t>
            </w:r>
            <w:r>
              <w:rPr>
                <w:rFonts w:hint="eastAsia"/>
                <w:lang w:val="en-US" w:eastAsia="zh-CN"/>
              </w:rPr>
              <w:t>节段</w:t>
            </w:r>
          </w:p>
        </w:tc>
        <w:tc>
          <w:tcPr>
            <w:tcW w:w="757" w:type="dxa"/>
            <w:vAlign w:val="center"/>
          </w:tcPr>
          <w:p>
            <w:pPr>
              <w:pStyle w:val="92"/>
            </w:pPr>
            <w:r>
              <w:rPr>
                <w:rFonts w:hint="eastAsia"/>
              </w:rPr>
              <w:t>2</w:t>
            </w:r>
          </w:p>
        </w:tc>
        <w:tc>
          <w:tcPr>
            <w:tcW w:w="1367" w:type="dxa"/>
            <w:vAlign w:val="center"/>
          </w:tcPr>
          <w:p>
            <w:pPr>
              <w:pStyle w:val="92"/>
            </w:pPr>
            <w:r>
              <w:rPr>
                <w:rFonts w:hint="eastAsia"/>
              </w:rPr>
              <w:t>钢</w:t>
            </w:r>
            <w:r>
              <w:t>尺量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restart"/>
            <w:vAlign w:val="center"/>
          </w:tcPr>
          <w:p>
            <w:pPr>
              <w:pStyle w:val="92"/>
            </w:pPr>
            <w:r>
              <w:rPr>
                <w:rFonts w:hint="eastAsia"/>
              </w:rPr>
              <w:t>2</w:t>
            </w:r>
          </w:p>
        </w:tc>
        <w:tc>
          <w:tcPr>
            <w:tcW w:w="971" w:type="dxa"/>
            <w:vMerge w:val="restart"/>
            <w:vAlign w:val="center"/>
          </w:tcPr>
          <w:p>
            <w:pPr>
              <w:pStyle w:val="92"/>
            </w:pPr>
            <w:r>
              <w:t>标高</w:t>
            </w:r>
          </w:p>
        </w:tc>
        <w:tc>
          <w:tcPr>
            <w:tcW w:w="1883" w:type="dxa"/>
            <w:vAlign w:val="center"/>
          </w:tcPr>
          <w:p>
            <w:pPr>
              <w:pStyle w:val="92"/>
            </w:pPr>
            <w:r>
              <w:rPr>
                <w:rFonts w:hint="eastAsia"/>
              </w:rPr>
              <w:t>顶</w:t>
            </w:r>
            <w:r>
              <w:t>板</w:t>
            </w:r>
            <w:r>
              <w:rPr>
                <w:rFonts w:hint="eastAsia"/>
              </w:rPr>
              <w:t>顶</w:t>
            </w:r>
            <w:r>
              <w:t>面</w:t>
            </w:r>
          </w:p>
        </w:tc>
        <w:tc>
          <w:tcPr>
            <w:tcW w:w="1553" w:type="dxa"/>
            <w:vAlign w:val="center"/>
          </w:tcPr>
          <w:p>
            <w:pPr>
              <w:pStyle w:val="92"/>
            </w:pPr>
            <w:r>
              <w:t>±10</w:t>
            </w:r>
          </w:p>
        </w:tc>
        <w:tc>
          <w:tcPr>
            <w:tcW w:w="756" w:type="dxa"/>
            <w:vMerge w:val="continue"/>
            <w:vAlign w:val="center"/>
          </w:tcPr>
          <w:p>
            <w:pPr>
              <w:pStyle w:val="92"/>
            </w:pPr>
          </w:p>
        </w:tc>
        <w:tc>
          <w:tcPr>
            <w:tcW w:w="757" w:type="dxa"/>
            <w:vMerge w:val="restart"/>
            <w:vAlign w:val="center"/>
          </w:tcPr>
          <w:p>
            <w:pPr>
              <w:pStyle w:val="92"/>
            </w:pPr>
            <w:r>
              <w:rPr>
                <w:rFonts w:hint="eastAsia"/>
              </w:rPr>
              <w:t>2</w:t>
            </w:r>
          </w:p>
        </w:tc>
        <w:tc>
          <w:tcPr>
            <w:tcW w:w="1367" w:type="dxa"/>
            <w:vMerge w:val="restart"/>
            <w:vAlign w:val="center"/>
          </w:tcPr>
          <w:p>
            <w:pPr>
              <w:pStyle w:val="92"/>
            </w:pPr>
            <w:r>
              <w:t>水准仪</w:t>
            </w:r>
            <w:r>
              <w:rPr>
                <w:rFonts w:hint="eastAsia"/>
              </w:rPr>
              <w:t>测量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continue"/>
            <w:vAlign w:val="center"/>
          </w:tcPr>
          <w:p>
            <w:pPr>
              <w:pStyle w:val="92"/>
            </w:pPr>
          </w:p>
        </w:tc>
        <w:tc>
          <w:tcPr>
            <w:tcW w:w="971" w:type="dxa"/>
            <w:vMerge w:val="continue"/>
            <w:vAlign w:val="center"/>
          </w:tcPr>
          <w:p>
            <w:pPr>
              <w:pStyle w:val="92"/>
            </w:pPr>
          </w:p>
        </w:tc>
        <w:tc>
          <w:tcPr>
            <w:tcW w:w="1883" w:type="dxa"/>
            <w:vAlign w:val="center"/>
          </w:tcPr>
          <w:p>
            <w:pPr>
              <w:pStyle w:val="92"/>
            </w:pPr>
            <w:r>
              <w:rPr>
                <w:rFonts w:hint="eastAsia"/>
              </w:rPr>
              <w:t>底板</w:t>
            </w:r>
            <w:r>
              <w:t>顶面</w:t>
            </w:r>
          </w:p>
        </w:tc>
        <w:tc>
          <w:tcPr>
            <w:tcW w:w="1553" w:type="dxa"/>
            <w:vAlign w:val="center"/>
          </w:tcPr>
          <w:p>
            <w:pPr>
              <w:pStyle w:val="92"/>
            </w:pPr>
            <w:r>
              <w:t>±10</w:t>
            </w:r>
          </w:p>
        </w:tc>
        <w:tc>
          <w:tcPr>
            <w:tcW w:w="756" w:type="dxa"/>
            <w:vMerge w:val="continue"/>
            <w:vAlign w:val="center"/>
          </w:tcPr>
          <w:p>
            <w:pPr>
              <w:pStyle w:val="92"/>
            </w:pPr>
          </w:p>
        </w:tc>
        <w:tc>
          <w:tcPr>
            <w:tcW w:w="757" w:type="dxa"/>
            <w:vMerge w:val="continue"/>
            <w:vAlign w:val="center"/>
          </w:tcPr>
          <w:p>
            <w:pPr>
              <w:pStyle w:val="92"/>
            </w:pPr>
          </w:p>
        </w:tc>
        <w:tc>
          <w:tcPr>
            <w:tcW w:w="1367" w:type="dxa"/>
            <w:vMerge w:val="continue"/>
            <w:vAlign w:val="center"/>
          </w:tcPr>
          <w:p>
            <w:pPr>
              <w:pStyle w:val="92"/>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Align w:val="center"/>
          </w:tcPr>
          <w:p>
            <w:pPr>
              <w:pStyle w:val="92"/>
            </w:pPr>
            <w:r>
              <w:rPr>
                <w:rFonts w:hint="eastAsia"/>
              </w:rPr>
              <w:t>3</w:t>
            </w:r>
          </w:p>
        </w:tc>
        <w:tc>
          <w:tcPr>
            <w:tcW w:w="2854" w:type="dxa"/>
            <w:gridSpan w:val="2"/>
            <w:vAlign w:val="center"/>
          </w:tcPr>
          <w:p>
            <w:pPr>
              <w:pStyle w:val="92"/>
            </w:pPr>
            <w:r>
              <w:t>构件垂直度</w:t>
            </w:r>
          </w:p>
        </w:tc>
        <w:tc>
          <w:tcPr>
            <w:tcW w:w="1553" w:type="dxa"/>
            <w:vAlign w:val="center"/>
          </w:tcPr>
          <w:p>
            <w:pPr>
              <w:pStyle w:val="92"/>
              <w:rPr>
                <w:rFonts w:hint="default"/>
                <w:lang w:val="en-US"/>
              </w:rPr>
            </w:pPr>
            <w:r>
              <w:t>H/</w:t>
            </w:r>
            <w:r>
              <w:rPr>
                <w:rFonts w:hint="eastAsia"/>
                <w:lang w:val="en-US" w:eastAsia="zh-CN"/>
              </w:rPr>
              <w:t>3</w:t>
            </w:r>
            <w:r>
              <w:t>00，</w:t>
            </w:r>
            <w:r>
              <w:rPr>
                <w:rFonts w:hint="eastAsia"/>
                <w:lang w:val="en-US" w:eastAsia="zh-CN"/>
              </w:rPr>
              <w:t>且</w:t>
            </w:r>
            <w:r>
              <w:rPr>
                <w:rFonts w:hint="eastAsia" w:ascii="宋体" w:hAnsi="宋体" w:eastAsia="宋体" w:cs="宋体"/>
                <w:lang w:val="en-US" w:eastAsia="zh-CN"/>
              </w:rPr>
              <w:t>≤</w:t>
            </w:r>
            <w:r>
              <w:rPr>
                <w:rFonts w:hint="eastAsia"/>
                <w:lang w:val="en-US" w:eastAsia="zh-CN"/>
              </w:rPr>
              <w:t>15</w:t>
            </w:r>
          </w:p>
        </w:tc>
        <w:tc>
          <w:tcPr>
            <w:tcW w:w="756" w:type="dxa"/>
            <w:vMerge w:val="continue"/>
            <w:vAlign w:val="center"/>
          </w:tcPr>
          <w:p>
            <w:pPr>
              <w:pStyle w:val="92"/>
            </w:pPr>
          </w:p>
        </w:tc>
        <w:tc>
          <w:tcPr>
            <w:tcW w:w="757" w:type="dxa"/>
            <w:vAlign w:val="center"/>
          </w:tcPr>
          <w:p>
            <w:pPr>
              <w:pStyle w:val="92"/>
            </w:pPr>
            <w:r>
              <w:rPr>
                <w:rFonts w:hint="eastAsia"/>
              </w:rPr>
              <w:t>2</w:t>
            </w:r>
          </w:p>
        </w:tc>
        <w:tc>
          <w:tcPr>
            <w:tcW w:w="1367" w:type="dxa"/>
            <w:vAlign w:val="center"/>
          </w:tcPr>
          <w:p>
            <w:pPr>
              <w:pStyle w:val="92"/>
            </w:pPr>
            <w:r>
              <w:rPr>
                <w:rFonts w:hint="eastAsia"/>
              </w:rPr>
              <w:t>挂垂</w:t>
            </w:r>
            <w:r>
              <w:t>线</w:t>
            </w:r>
            <w:r>
              <w:rPr>
                <w:rFonts w:hint="eastAsia"/>
              </w:rPr>
              <w:t>，</w:t>
            </w:r>
            <w:r>
              <w:t>钢尺量测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restart"/>
            <w:vAlign w:val="center"/>
          </w:tcPr>
          <w:p>
            <w:pPr>
              <w:pStyle w:val="92"/>
            </w:pPr>
            <w:r>
              <w:rPr>
                <w:rFonts w:hint="eastAsia"/>
              </w:rPr>
              <w:t>4</w:t>
            </w:r>
          </w:p>
        </w:tc>
        <w:tc>
          <w:tcPr>
            <w:tcW w:w="971" w:type="dxa"/>
            <w:vMerge w:val="restart"/>
            <w:vAlign w:val="center"/>
          </w:tcPr>
          <w:p>
            <w:pPr>
              <w:pStyle w:val="92"/>
            </w:pPr>
            <w:r>
              <w:t>相邻构件平整度</w:t>
            </w:r>
          </w:p>
        </w:tc>
        <w:tc>
          <w:tcPr>
            <w:tcW w:w="1883" w:type="dxa"/>
            <w:vAlign w:val="center"/>
          </w:tcPr>
          <w:p>
            <w:pPr>
              <w:pStyle w:val="92"/>
            </w:pPr>
            <w:r>
              <w:t>顶板</w:t>
            </w:r>
            <w:r>
              <w:rPr>
                <w:rFonts w:hint="eastAsia"/>
              </w:rPr>
              <w:t>下表面</w:t>
            </w:r>
            <w:r>
              <w:t>、底板</w:t>
            </w:r>
            <w:r>
              <w:rPr>
                <w:rFonts w:hint="eastAsia"/>
              </w:rPr>
              <w:t>上</w:t>
            </w:r>
            <w:r>
              <w:t>表面</w:t>
            </w:r>
          </w:p>
        </w:tc>
        <w:tc>
          <w:tcPr>
            <w:tcW w:w="1553" w:type="dxa"/>
            <w:vAlign w:val="center"/>
          </w:tcPr>
          <w:p>
            <w:pPr>
              <w:pStyle w:val="92"/>
            </w:pPr>
            <w:r>
              <w:t>3</w:t>
            </w:r>
          </w:p>
        </w:tc>
        <w:tc>
          <w:tcPr>
            <w:tcW w:w="756" w:type="dxa"/>
            <w:vMerge w:val="continue"/>
            <w:vAlign w:val="center"/>
          </w:tcPr>
          <w:p>
            <w:pPr>
              <w:pStyle w:val="92"/>
            </w:pPr>
          </w:p>
        </w:tc>
        <w:tc>
          <w:tcPr>
            <w:tcW w:w="757" w:type="dxa"/>
            <w:vMerge w:val="restart"/>
            <w:vAlign w:val="center"/>
          </w:tcPr>
          <w:p>
            <w:pPr>
              <w:pStyle w:val="92"/>
            </w:pPr>
            <w:r>
              <w:rPr>
                <w:rFonts w:hint="eastAsia"/>
              </w:rPr>
              <w:t>2</w:t>
            </w:r>
          </w:p>
        </w:tc>
        <w:tc>
          <w:tcPr>
            <w:tcW w:w="1367" w:type="dxa"/>
            <w:vMerge w:val="restart"/>
            <w:vAlign w:val="center"/>
          </w:tcPr>
          <w:p>
            <w:pPr>
              <w:pStyle w:val="92"/>
            </w:pPr>
            <w:r>
              <w:rPr>
                <w:rFonts w:hint="eastAsia"/>
                <w:lang w:val="en-US" w:eastAsia="zh-CN"/>
              </w:rPr>
              <w:t>2m</w:t>
            </w:r>
            <w:r>
              <w:t>钢尺、塞尺量测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23" w:type="dxa"/>
            <w:bottom w:w="0" w:type="dxa"/>
            <w:right w:w="23" w:type="dxa"/>
          </w:tblCellMar>
        </w:tblPrEx>
        <w:trPr>
          <w:trHeight w:val="397" w:hRule="atLeast"/>
          <w:jc w:val="center"/>
        </w:trPr>
        <w:tc>
          <w:tcPr>
            <w:tcW w:w="548" w:type="dxa"/>
            <w:vMerge w:val="continue"/>
            <w:vAlign w:val="center"/>
          </w:tcPr>
          <w:p>
            <w:pPr>
              <w:pStyle w:val="92"/>
            </w:pPr>
          </w:p>
        </w:tc>
        <w:tc>
          <w:tcPr>
            <w:tcW w:w="971" w:type="dxa"/>
            <w:vMerge w:val="continue"/>
            <w:vAlign w:val="center"/>
          </w:tcPr>
          <w:p>
            <w:pPr>
              <w:pStyle w:val="92"/>
            </w:pPr>
          </w:p>
        </w:tc>
        <w:tc>
          <w:tcPr>
            <w:tcW w:w="1883" w:type="dxa"/>
            <w:vAlign w:val="center"/>
          </w:tcPr>
          <w:p>
            <w:pPr>
              <w:pStyle w:val="92"/>
            </w:pPr>
            <w:r>
              <w:t>侧板侧表面</w:t>
            </w:r>
          </w:p>
        </w:tc>
        <w:tc>
          <w:tcPr>
            <w:tcW w:w="1553" w:type="dxa"/>
            <w:vAlign w:val="center"/>
          </w:tcPr>
          <w:p>
            <w:pPr>
              <w:pStyle w:val="92"/>
            </w:pPr>
            <w:r>
              <w:t>5</w:t>
            </w:r>
          </w:p>
        </w:tc>
        <w:tc>
          <w:tcPr>
            <w:tcW w:w="756" w:type="dxa"/>
            <w:vMerge w:val="continue"/>
            <w:vAlign w:val="center"/>
          </w:tcPr>
          <w:p>
            <w:pPr>
              <w:pStyle w:val="92"/>
            </w:pPr>
          </w:p>
        </w:tc>
        <w:tc>
          <w:tcPr>
            <w:tcW w:w="757" w:type="dxa"/>
            <w:vMerge w:val="continue"/>
            <w:vAlign w:val="center"/>
          </w:tcPr>
          <w:p>
            <w:pPr>
              <w:pStyle w:val="92"/>
            </w:pPr>
          </w:p>
        </w:tc>
        <w:tc>
          <w:tcPr>
            <w:tcW w:w="1367" w:type="dxa"/>
            <w:vMerge w:val="continue"/>
            <w:vAlign w:val="center"/>
          </w:tcPr>
          <w:p>
            <w:pPr>
              <w:pStyle w:val="92"/>
            </w:pPr>
          </w:p>
        </w:tc>
      </w:tr>
    </w:tbl>
    <w:p>
      <w:pPr>
        <w:widowControl/>
        <w:adjustRightInd w:val="0"/>
        <w:snapToGrid w:val="0"/>
        <w:ind w:firstLine="420" w:firstLineChars="200"/>
        <w:jc w:val="left"/>
        <w:rPr>
          <w:kern w:val="0"/>
          <w:sz w:val="21"/>
        </w:rPr>
      </w:pPr>
      <w:r>
        <w:rPr>
          <w:rFonts w:hint="eastAsia"/>
          <w:kern w:val="0"/>
          <w:sz w:val="21"/>
        </w:rPr>
        <w:t>注：H为管廊结构的总高度。</w:t>
      </w:r>
    </w:p>
    <w:p>
      <w:pPr>
        <w:ind w:firstLine="480"/>
        <w:rPr>
          <w:shd w:val="clear" w:color="FFFFFF" w:fill="D9D9D9"/>
        </w:rPr>
      </w:pPr>
    </w:p>
    <w:p>
      <w:pPr>
        <w:pStyle w:val="2"/>
      </w:pPr>
      <w:bookmarkStart w:id="308" w:name="_Toc13741"/>
      <w:bookmarkStart w:id="309" w:name="_Toc23451"/>
      <w:bookmarkStart w:id="310" w:name="_Toc22288"/>
      <w:bookmarkStart w:id="311" w:name="_Toc23764"/>
      <w:bookmarkStart w:id="312" w:name="_Toc27327"/>
      <w:bookmarkStart w:id="313" w:name="_Toc26080"/>
      <w:r>
        <w:t>8.</w:t>
      </w:r>
      <w:r>
        <w:rPr>
          <w:rFonts w:hint="eastAsia"/>
        </w:rPr>
        <w:t xml:space="preserve"> 分块预制管廊的装配</w:t>
      </w:r>
      <w:bookmarkEnd w:id="308"/>
      <w:bookmarkEnd w:id="309"/>
      <w:bookmarkEnd w:id="310"/>
      <w:bookmarkEnd w:id="311"/>
      <w:bookmarkEnd w:id="312"/>
      <w:bookmarkEnd w:id="313"/>
    </w:p>
    <w:p>
      <w:pPr>
        <w:pStyle w:val="3"/>
        <w:rPr>
          <w:rFonts w:cs="Times New Roman"/>
          <w:szCs w:val="28"/>
        </w:rPr>
      </w:pPr>
      <w:bookmarkStart w:id="314" w:name="_Toc14448"/>
      <w:bookmarkStart w:id="315" w:name="_Toc23158"/>
      <w:bookmarkStart w:id="316" w:name="_Toc2920"/>
      <w:bookmarkStart w:id="317" w:name="_Toc17154"/>
      <w:bookmarkStart w:id="318" w:name="_Toc1890"/>
      <w:bookmarkStart w:id="319" w:name="_Toc7990"/>
      <w:r>
        <w:rPr>
          <w:rFonts w:cs="Times New Roman"/>
          <w:szCs w:val="28"/>
        </w:rPr>
        <w:t xml:space="preserve">8.1 </w:t>
      </w:r>
      <w:r>
        <w:rPr>
          <w:rFonts w:hint="eastAsia" w:cs="Times New Roman"/>
          <w:szCs w:val="28"/>
        </w:rPr>
        <w:t xml:space="preserve"> </w:t>
      </w:r>
      <w:r>
        <w:rPr>
          <w:rFonts w:cs="Times New Roman"/>
          <w:szCs w:val="28"/>
        </w:rPr>
        <w:t>一般规定</w:t>
      </w:r>
      <w:bookmarkEnd w:id="314"/>
      <w:bookmarkEnd w:id="315"/>
      <w:bookmarkEnd w:id="316"/>
      <w:bookmarkEnd w:id="317"/>
      <w:bookmarkEnd w:id="318"/>
      <w:bookmarkEnd w:id="319"/>
    </w:p>
    <w:p>
      <w:pPr>
        <w:rPr>
          <w:rFonts w:hint="eastAsia"/>
          <w:b w:val="0"/>
          <w:bCs/>
        </w:rPr>
      </w:pPr>
      <w:r>
        <w:rPr>
          <w:rFonts w:hint="eastAsia"/>
          <w:b/>
        </w:rPr>
        <w:t xml:space="preserve">8.1.1  </w:t>
      </w:r>
      <w:r>
        <w:rPr>
          <w:rFonts w:hint="eastAsia"/>
          <w:b w:val="0"/>
          <w:bCs/>
        </w:rPr>
        <w:t>分块预制管廊施工前应对管廊分块、构件连接的设计进行复核，并进行深化设计。底板、外墙、内墙、顶板的拆分设计应标准化、模块化。</w:t>
      </w:r>
    </w:p>
    <w:p>
      <w:r>
        <w:rPr>
          <w:b/>
        </w:rPr>
        <w:t>8.1.</w:t>
      </w:r>
      <w:r>
        <w:rPr>
          <w:rFonts w:hint="eastAsia"/>
          <w:b/>
          <w:lang w:val="en-US" w:eastAsia="zh-CN"/>
        </w:rPr>
        <w:t>2</w:t>
      </w:r>
      <w:r>
        <w:rPr>
          <w:b/>
        </w:rPr>
        <w:t xml:space="preserve"> </w:t>
      </w:r>
      <w:r>
        <w:t xml:space="preserve"> </w:t>
      </w:r>
      <w:r>
        <w:rPr>
          <w:rFonts w:hint="eastAsia"/>
        </w:rPr>
        <w:t>预制构件应由专业厂家在预制厂内生产，应采用定制模板进行分块批量预制</w:t>
      </w:r>
      <w:r>
        <w:t>。</w:t>
      </w:r>
    </w:p>
    <w:p>
      <w:r>
        <w:rPr>
          <w:b/>
        </w:rPr>
        <w:t>8.1.</w:t>
      </w:r>
      <w:r>
        <w:rPr>
          <w:rFonts w:hint="eastAsia"/>
          <w:b/>
          <w:lang w:val="en-US" w:eastAsia="zh-CN"/>
        </w:rPr>
        <w:t>3</w:t>
      </w:r>
      <w:r>
        <w:rPr>
          <w:b/>
        </w:rPr>
        <w:t xml:space="preserve"> </w:t>
      </w:r>
      <w:r>
        <w:t xml:space="preserve"> 预制构件运输至现场后，</w:t>
      </w:r>
      <w:r>
        <w:rPr>
          <w:rFonts w:hint="eastAsia"/>
        </w:rPr>
        <w:t>应</w:t>
      </w:r>
      <w:r>
        <w:t>由预制厂家、施工</w:t>
      </w:r>
      <w:r>
        <w:rPr>
          <w:rFonts w:hint="eastAsia"/>
        </w:rPr>
        <w:t>单位</w:t>
      </w:r>
      <w:r>
        <w:t>及监理</w:t>
      </w:r>
      <w:r>
        <w:rPr>
          <w:rFonts w:hint="eastAsia"/>
        </w:rPr>
        <w:t>单位</w:t>
      </w:r>
      <w:r>
        <w:t>组织验收，</w:t>
      </w:r>
      <w:r>
        <w:rPr>
          <w:rFonts w:hint="eastAsia"/>
        </w:rPr>
        <w:t>并应符合下列规定</w:t>
      </w:r>
      <w:r>
        <w:t>：</w:t>
      </w:r>
    </w:p>
    <w:p>
      <w:pPr>
        <w:ind w:firstLine="480"/>
      </w:pPr>
      <w:r>
        <w:t>1  混凝土外观应无蜂窝、麻面、缺棱、掉角等现象存在。</w:t>
      </w:r>
    </w:p>
    <w:p>
      <w:pPr>
        <w:ind w:firstLine="480"/>
      </w:pPr>
      <w:r>
        <w:t>2  不应有影响结构性能、安装和使用功能的尺寸偏差。</w:t>
      </w:r>
    </w:p>
    <w:p>
      <w:pPr>
        <w:ind w:firstLine="480"/>
      </w:pPr>
      <w:r>
        <w:t>3  预埋件及预留孔洞的数量、位置等应符合设计及规范要求。</w:t>
      </w:r>
    </w:p>
    <w:p>
      <w:pPr>
        <w:ind w:firstLine="480"/>
      </w:pPr>
      <w:r>
        <w:t>4  应有质量证明文件和合格证。</w:t>
      </w:r>
    </w:p>
    <w:p>
      <w:pPr>
        <w:ind w:firstLine="480"/>
      </w:pPr>
      <w:r>
        <w:t>5  验收合格后构件进行统一编码和存放。</w:t>
      </w:r>
    </w:p>
    <w:p>
      <w:pPr>
        <w:rPr>
          <w:rFonts w:hint="eastAsia"/>
        </w:rPr>
      </w:pPr>
      <w:r>
        <w:rPr>
          <w:rFonts w:hint="eastAsia"/>
          <w:b/>
          <w:bCs/>
        </w:rPr>
        <w:t>8.1.</w:t>
      </w:r>
      <w:r>
        <w:rPr>
          <w:rFonts w:hint="eastAsia"/>
          <w:b/>
          <w:bCs/>
          <w:lang w:val="en-US" w:eastAsia="zh-CN"/>
        </w:rPr>
        <w:t>4</w:t>
      </w:r>
      <w:r>
        <w:rPr>
          <w:rFonts w:hint="eastAsia"/>
        </w:rPr>
        <w:t xml:space="preserve">  分块预制管廊的构件预制、存放和运输应符合本标准第4章的相关规定。</w:t>
      </w:r>
    </w:p>
    <w:p>
      <w:pPr>
        <w:rPr>
          <w:rFonts w:hint="eastAsia"/>
        </w:rPr>
      </w:pPr>
    </w:p>
    <w:p>
      <w:pPr>
        <w:pStyle w:val="3"/>
        <w:rPr>
          <w:rFonts w:cs="Times New Roman"/>
          <w:szCs w:val="28"/>
        </w:rPr>
      </w:pPr>
      <w:bookmarkStart w:id="320" w:name="_Toc8564"/>
      <w:bookmarkStart w:id="321" w:name="_Toc11842"/>
      <w:bookmarkStart w:id="322" w:name="_Toc19253"/>
      <w:bookmarkStart w:id="323" w:name="_Toc15570"/>
      <w:bookmarkStart w:id="324" w:name="_Toc17508"/>
      <w:bookmarkStart w:id="325" w:name="_Toc11140"/>
      <w:r>
        <w:rPr>
          <w:rFonts w:cs="Times New Roman"/>
          <w:szCs w:val="28"/>
        </w:rPr>
        <w:t xml:space="preserve">8.2 </w:t>
      </w:r>
      <w:r>
        <w:rPr>
          <w:rFonts w:hint="eastAsia" w:cs="Times New Roman"/>
          <w:szCs w:val="28"/>
        </w:rPr>
        <w:t xml:space="preserve"> </w:t>
      </w:r>
      <w:r>
        <w:rPr>
          <w:rFonts w:cs="Times New Roman"/>
          <w:szCs w:val="28"/>
        </w:rPr>
        <w:t>分块</w:t>
      </w:r>
      <w:r>
        <w:rPr>
          <w:rFonts w:hint="eastAsia" w:cs="Times New Roman"/>
          <w:szCs w:val="28"/>
        </w:rPr>
        <w:t>构件</w:t>
      </w:r>
      <w:r>
        <w:rPr>
          <w:rFonts w:cs="Times New Roman"/>
          <w:szCs w:val="28"/>
        </w:rPr>
        <w:t>安装</w:t>
      </w:r>
      <w:bookmarkEnd w:id="320"/>
      <w:bookmarkEnd w:id="321"/>
      <w:bookmarkEnd w:id="322"/>
      <w:bookmarkEnd w:id="323"/>
      <w:bookmarkEnd w:id="324"/>
      <w:bookmarkEnd w:id="325"/>
    </w:p>
    <w:p>
      <w:r>
        <w:rPr>
          <w:rFonts w:hint="eastAsia"/>
          <w:b/>
          <w:bCs/>
        </w:rPr>
        <w:t>8.2.1</w:t>
      </w:r>
      <w:r>
        <w:rPr>
          <w:rFonts w:hint="eastAsia"/>
        </w:rPr>
        <w:t xml:space="preserve">  分块构件安装前应完成垫层和防水层施工并验收合格。</w:t>
      </w:r>
    </w:p>
    <w:p>
      <w:r>
        <w:rPr>
          <w:b/>
        </w:rPr>
        <w:t>8.2.</w:t>
      </w:r>
      <w:r>
        <w:rPr>
          <w:rFonts w:hint="eastAsia"/>
          <w:b/>
        </w:rPr>
        <w:t>2</w:t>
      </w:r>
      <w:r>
        <w:rPr>
          <w:b/>
        </w:rPr>
        <w:t xml:space="preserve"> </w:t>
      </w:r>
      <w:r>
        <w:t xml:space="preserve"> </w:t>
      </w:r>
      <w:r>
        <w:rPr>
          <w:rFonts w:hint="eastAsia"/>
        </w:rPr>
        <w:t>分块构件吊装前应完成下列准备工作：</w:t>
      </w:r>
    </w:p>
    <w:p>
      <w:pPr>
        <w:ind w:firstLine="480" w:firstLineChars="200"/>
        <w:rPr>
          <w:rFonts w:hint="eastAsia" w:eastAsia="宋体"/>
          <w:lang w:eastAsia="zh-CN"/>
        </w:rPr>
      </w:pPr>
      <w:r>
        <w:rPr>
          <w:rFonts w:hint="eastAsia"/>
        </w:rPr>
        <w:t>1  吊装前，应组织相关单位对基坑和吊装工况进行验收</w:t>
      </w:r>
      <w:r>
        <w:rPr>
          <w:rFonts w:hint="eastAsia"/>
          <w:lang w:eastAsia="zh-CN"/>
        </w:rPr>
        <w:t>；</w:t>
      </w:r>
    </w:p>
    <w:p>
      <w:pPr>
        <w:ind w:firstLine="480" w:firstLineChars="200"/>
        <w:rPr>
          <w:rFonts w:hint="eastAsia" w:eastAsia="宋体"/>
          <w:lang w:eastAsia="zh-CN"/>
        </w:rPr>
      </w:pPr>
      <w:r>
        <w:rPr>
          <w:rFonts w:hint="eastAsia"/>
        </w:rPr>
        <w:t>2  正式吊装前，应检查吊车及吊具性能，吊车按照吊装区域顺序要求就位</w:t>
      </w:r>
      <w:r>
        <w:rPr>
          <w:rFonts w:hint="eastAsia"/>
          <w:lang w:eastAsia="zh-CN"/>
        </w:rPr>
        <w:t>；</w:t>
      </w:r>
    </w:p>
    <w:p>
      <w:pPr>
        <w:ind w:firstLine="480" w:firstLineChars="200"/>
      </w:pPr>
      <w:r>
        <w:rPr>
          <w:rFonts w:hint="eastAsia"/>
        </w:rPr>
        <w:t>3  完成吊装前检查后，应进行试吊。</w:t>
      </w:r>
    </w:p>
    <w:p>
      <w:r>
        <w:rPr>
          <w:b/>
        </w:rPr>
        <w:t>8.2.</w:t>
      </w:r>
      <w:r>
        <w:rPr>
          <w:rFonts w:hint="eastAsia"/>
          <w:b/>
          <w:lang w:val="en-US" w:eastAsia="zh-CN"/>
        </w:rPr>
        <w:t>3</w:t>
      </w:r>
      <w:r>
        <w:t xml:space="preserve">  </w:t>
      </w:r>
      <w:r>
        <w:rPr>
          <w:rFonts w:hint="eastAsia"/>
        </w:rPr>
        <w:t>构件就位后管廊底部应与调平层贴紧，有空隙应填充密实</w:t>
      </w:r>
      <w:r>
        <w:t>。</w:t>
      </w:r>
    </w:p>
    <w:p>
      <w:r>
        <w:rPr>
          <w:rFonts w:hint="eastAsia"/>
          <w:b/>
          <w:bCs/>
        </w:rPr>
        <w:t>8.2.</w:t>
      </w:r>
      <w:r>
        <w:rPr>
          <w:rFonts w:hint="eastAsia"/>
          <w:b/>
          <w:bCs/>
          <w:lang w:val="en-US" w:eastAsia="zh-CN"/>
        </w:rPr>
        <w:t>4</w:t>
      </w:r>
      <w:r>
        <w:rPr>
          <w:rFonts w:hint="eastAsia"/>
          <w:b/>
          <w:bCs/>
        </w:rPr>
        <w:t xml:space="preserve"> </w:t>
      </w:r>
      <w:r>
        <w:rPr>
          <w:rFonts w:hint="eastAsia"/>
        </w:rPr>
        <w:t xml:space="preserve"> </w:t>
      </w:r>
      <w:r>
        <w:rPr>
          <w:rFonts w:hint="eastAsia"/>
          <w:lang w:eastAsia="zh-CN"/>
        </w:rPr>
        <w:t>底板、</w:t>
      </w:r>
      <w:r>
        <w:rPr>
          <w:rFonts w:hint="eastAsia"/>
        </w:rPr>
        <w:t>侧墙安装应符合下列规定：</w:t>
      </w:r>
    </w:p>
    <w:p>
      <w:pPr>
        <w:ind w:firstLine="480" w:firstLineChars="200"/>
        <w:rPr>
          <w:rFonts w:hint="eastAsia" w:eastAsia="宋体"/>
          <w:lang w:eastAsia="zh-CN"/>
        </w:rPr>
      </w:pPr>
      <w:r>
        <w:rPr>
          <w:rFonts w:hint="eastAsia"/>
        </w:rPr>
        <w:t>1  预制构件从车上起吊时，应对墙板上角和下角进行保护</w:t>
      </w:r>
      <w:r>
        <w:rPr>
          <w:rFonts w:hint="eastAsia"/>
          <w:lang w:eastAsia="zh-CN"/>
        </w:rPr>
        <w:t>；</w:t>
      </w:r>
    </w:p>
    <w:p>
      <w:pPr>
        <w:ind w:firstLine="480" w:firstLineChars="200"/>
        <w:rPr>
          <w:rFonts w:hint="eastAsia" w:eastAsia="宋体"/>
          <w:lang w:eastAsia="zh-CN"/>
        </w:rPr>
      </w:pPr>
      <w:r>
        <w:rPr>
          <w:rFonts w:hint="eastAsia"/>
        </w:rPr>
        <w:t>2  吊装分块构件时，应采用两点起吊，吊具绳与水平面夹角不应小于45°</w:t>
      </w:r>
      <w:r>
        <w:rPr>
          <w:rFonts w:hint="eastAsia"/>
          <w:lang w:eastAsia="zh-CN"/>
        </w:rPr>
        <w:t>；</w:t>
      </w:r>
    </w:p>
    <w:p>
      <w:pPr>
        <w:ind w:firstLine="480" w:firstLineChars="200"/>
        <w:rPr>
          <w:rFonts w:hint="eastAsia" w:eastAsia="宋体"/>
          <w:lang w:eastAsia="zh-CN"/>
        </w:rPr>
      </w:pPr>
      <w:r>
        <w:rPr>
          <w:rFonts w:hint="eastAsia"/>
        </w:rPr>
        <w:t>3  每块构件应有支撑来固定，支撑上部可通过专用螺栓与构件预埋的连接件连接，支撑底部与底板可用膨胀螺栓进行锚固</w:t>
      </w:r>
      <w:r>
        <w:rPr>
          <w:rFonts w:hint="eastAsia"/>
          <w:lang w:eastAsia="zh-CN"/>
        </w:rPr>
        <w:t>；</w:t>
      </w:r>
    </w:p>
    <w:p>
      <w:pPr>
        <w:ind w:firstLine="480" w:firstLineChars="200"/>
      </w:pPr>
      <w:r>
        <w:rPr>
          <w:rFonts w:hint="eastAsia"/>
        </w:rPr>
        <w:t>4  分块构件各部位施工质量应进行全面检查，符合设计或规范要求后，方可进行下道工序施工。</w:t>
      </w:r>
    </w:p>
    <w:p>
      <w:r>
        <w:rPr>
          <w:rFonts w:hint="eastAsia"/>
          <w:b/>
          <w:bCs/>
        </w:rPr>
        <w:t>8.2.</w:t>
      </w:r>
      <w:r>
        <w:rPr>
          <w:rFonts w:hint="eastAsia"/>
          <w:b/>
          <w:bCs/>
          <w:lang w:val="en-US" w:eastAsia="zh-CN"/>
        </w:rPr>
        <w:t>5</w:t>
      </w:r>
      <w:r>
        <w:rPr>
          <w:rFonts w:hint="eastAsia"/>
        </w:rPr>
        <w:t xml:space="preserve">  顶板安装应满足下列要求：</w:t>
      </w:r>
    </w:p>
    <w:p>
      <w:pPr>
        <w:ind w:firstLine="480" w:firstLineChars="200"/>
        <w:rPr>
          <w:rFonts w:hint="eastAsia" w:eastAsia="宋体"/>
          <w:lang w:eastAsia="zh-CN"/>
        </w:rPr>
      </w:pPr>
      <w:r>
        <w:rPr>
          <w:rFonts w:hint="eastAsia"/>
        </w:rPr>
        <w:t>1  顶板应采用工具式吊架进行吊装</w:t>
      </w:r>
      <w:r>
        <w:rPr>
          <w:rFonts w:hint="eastAsia"/>
          <w:lang w:eastAsia="zh-CN"/>
        </w:rPr>
        <w:t>；</w:t>
      </w:r>
    </w:p>
    <w:p>
      <w:pPr>
        <w:ind w:firstLine="480" w:firstLineChars="200"/>
        <w:rPr>
          <w:rFonts w:hint="eastAsia"/>
        </w:rPr>
      </w:pPr>
      <w:r>
        <w:rPr>
          <w:rFonts w:hint="eastAsia"/>
        </w:rPr>
        <w:t>2  除可直接支承在已安装的侧墙、内墙的顶板构件外，其余顶板预制构件安装前，应在板底设置临时支撑，</w:t>
      </w:r>
      <w:r>
        <w:rPr>
          <w:rFonts w:hint="eastAsia"/>
          <w:lang w:val="en-US" w:eastAsia="zh-CN"/>
        </w:rPr>
        <w:t>宜</w:t>
      </w:r>
      <w:r>
        <w:rPr>
          <w:rFonts w:hint="eastAsia"/>
        </w:rPr>
        <w:t>用支撑上的调节器调整预制顶板标高。</w:t>
      </w:r>
    </w:p>
    <w:p>
      <w:pPr>
        <w:ind w:firstLine="480" w:firstLineChars="200"/>
        <w:rPr>
          <w:rFonts w:hint="eastAsia"/>
        </w:rPr>
      </w:pPr>
    </w:p>
    <w:p>
      <w:pPr>
        <w:pStyle w:val="3"/>
        <w:rPr>
          <w:rFonts w:cs="Times New Roman"/>
          <w:szCs w:val="28"/>
        </w:rPr>
      </w:pPr>
      <w:bookmarkStart w:id="326" w:name="_Toc18066"/>
      <w:bookmarkStart w:id="327" w:name="_Toc18819"/>
      <w:bookmarkStart w:id="328" w:name="_Toc17480"/>
      <w:bookmarkStart w:id="329" w:name="_Toc18923"/>
      <w:bookmarkStart w:id="330" w:name="_Toc20486"/>
      <w:bookmarkStart w:id="331" w:name="_Toc4279"/>
      <w:r>
        <w:rPr>
          <w:rFonts w:cs="Times New Roman"/>
          <w:szCs w:val="28"/>
        </w:rPr>
        <w:t xml:space="preserve">8.3 </w:t>
      </w:r>
      <w:r>
        <w:rPr>
          <w:rFonts w:hint="eastAsia" w:cs="Times New Roman"/>
          <w:szCs w:val="28"/>
        </w:rPr>
        <w:t xml:space="preserve"> </w:t>
      </w:r>
      <w:r>
        <w:rPr>
          <w:rFonts w:cs="Times New Roman"/>
          <w:szCs w:val="28"/>
        </w:rPr>
        <w:t>分块</w:t>
      </w:r>
      <w:r>
        <w:rPr>
          <w:rFonts w:hint="eastAsia" w:cs="Times New Roman"/>
          <w:szCs w:val="28"/>
        </w:rPr>
        <w:t>构件</w:t>
      </w:r>
      <w:r>
        <w:rPr>
          <w:rFonts w:cs="Times New Roman"/>
          <w:szCs w:val="28"/>
        </w:rPr>
        <w:t>连接</w:t>
      </w:r>
      <w:bookmarkEnd w:id="326"/>
      <w:bookmarkEnd w:id="327"/>
      <w:bookmarkEnd w:id="328"/>
      <w:bookmarkEnd w:id="329"/>
      <w:bookmarkEnd w:id="330"/>
      <w:bookmarkEnd w:id="331"/>
    </w:p>
    <w:p>
      <w:pPr>
        <w:rPr>
          <w:rFonts w:hint="eastAsia"/>
        </w:rPr>
      </w:pPr>
      <w:r>
        <w:rPr>
          <w:b/>
          <w:bCs/>
        </w:rPr>
        <w:t>8.3.1</w:t>
      </w:r>
      <w:r>
        <w:t xml:space="preserve">  </w:t>
      </w:r>
      <w:r>
        <w:rPr>
          <w:rFonts w:hint="eastAsia"/>
        </w:rPr>
        <w:t>分块管廊由各分块构件组成，可采用起重机吊装或专用机械拼装。分块安装顺序应满足设计要求，宜按先下后上的顺序进行拼装，完成环向拼缝连接后，再进行纵向拼缝连接。</w:t>
      </w:r>
    </w:p>
    <w:p>
      <w:pPr>
        <w:rPr>
          <w:rFonts w:hint="eastAsia"/>
        </w:rPr>
      </w:pPr>
      <w:r>
        <w:rPr>
          <w:rFonts w:hint="eastAsia"/>
          <w:b/>
          <w:bCs/>
        </w:rPr>
        <w:t>8.3.2</w:t>
      </w:r>
      <w:r>
        <w:rPr>
          <w:rFonts w:hint="eastAsia"/>
        </w:rPr>
        <w:t xml:space="preserve">  分块构件的连接可分为现浇混凝土湿接缝、承插式、插孔式、预应力筋连接和螺栓连接等连接方式。</w:t>
      </w:r>
    </w:p>
    <w:p>
      <w:pPr>
        <w:rPr>
          <w:rFonts w:hint="eastAsia"/>
        </w:rPr>
      </w:pPr>
      <w:r>
        <w:rPr>
          <w:rFonts w:hint="eastAsia"/>
          <w:b/>
          <w:bCs/>
        </w:rPr>
        <w:t>8.3.3</w:t>
      </w:r>
      <w:r>
        <w:rPr>
          <w:rFonts w:hint="eastAsia"/>
        </w:rPr>
        <w:t xml:space="preserve">  分块构件采用现浇混凝土湿接缝连接时，湿接缝处预制构件表面应作成粗糙面，湿接缝钢筋宜采用环形扣合锚接钢筋；湿接缝混凝土宜采用比预制构件高一个等级的微膨胀混凝土；湿接缝混凝土应振捣密实，与两侧预制构件结合紧密。</w:t>
      </w:r>
    </w:p>
    <w:p>
      <w:pPr>
        <w:rPr>
          <w:rFonts w:hint="eastAsia"/>
        </w:rPr>
      </w:pPr>
      <w:r>
        <w:rPr>
          <w:rFonts w:hint="eastAsia"/>
          <w:b/>
          <w:bCs/>
        </w:rPr>
        <w:t>8.3.4</w:t>
      </w:r>
      <w:r>
        <w:rPr>
          <w:rFonts w:hint="eastAsia"/>
        </w:rPr>
        <w:t xml:space="preserve">  预制内墙与底板采用承插式连接时，应预先在底板设置插槽及齿键槽，预制内墙的底部应按设计要求设置齿键。预制内墙插入底板插槽前，应先在插槽底部用座浆料进行座浆，浆厚约2cm；预制内墙插入底板后，用灌浆料填实内墙与插槽壁的空隙。</w:t>
      </w:r>
    </w:p>
    <w:p>
      <w:pPr>
        <w:rPr>
          <w:rFonts w:hint="eastAsia"/>
        </w:rPr>
      </w:pPr>
      <w:r>
        <w:rPr>
          <w:rFonts w:hint="eastAsia"/>
          <w:b/>
          <w:bCs/>
        </w:rPr>
        <w:t>8.3.5</w:t>
      </w:r>
      <w:r>
        <w:rPr>
          <w:rFonts w:hint="eastAsia"/>
        </w:rPr>
        <w:t xml:space="preserve">  预制内墙与预制顶板采用插孔式连接时，应预先在预制顶板上预留比内墙顶插筋稍大的孔洞，预制内墙制作时在顶部按设计要求预留插筋。预制顶板安装前应在预制内墙顶部用座浆料进行座浆，浆厚约2cm；预制顶板安装时，内墙预留插筋应对准顶板的预留孔洞插入，应轻提慢放，避免大力碰撞插筋；预制顶板安装后，应用灌浆料将插筋与预留孔洞的空隙填实。</w:t>
      </w:r>
    </w:p>
    <w:p>
      <w:pPr>
        <w:rPr>
          <w:color w:val="auto"/>
        </w:rPr>
      </w:pPr>
      <w:r>
        <w:rPr>
          <w:b/>
          <w:bCs/>
        </w:rPr>
        <w:t>8</w:t>
      </w:r>
      <w:r>
        <w:rPr>
          <w:b/>
          <w:bCs/>
          <w:color w:val="auto"/>
        </w:rPr>
        <w:t>.3.</w:t>
      </w:r>
      <w:r>
        <w:rPr>
          <w:rFonts w:hint="eastAsia"/>
          <w:b/>
          <w:bCs/>
          <w:color w:val="auto"/>
          <w:lang w:val="en-US" w:eastAsia="zh-CN"/>
        </w:rPr>
        <w:t>6</w:t>
      </w:r>
      <w:r>
        <w:rPr>
          <w:b/>
          <w:bCs/>
          <w:color w:val="auto"/>
        </w:rPr>
        <w:t xml:space="preserve"> </w:t>
      </w:r>
      <w:r>
        <w:rPr>
          <w:color w:val="auto"/>
        </w:rPr>
        <w:t xml:space="preserve"> </w:t>
      </w:r>
      <w:r>
        <w:rPr>
          <w:rFonts w:hint="eastAsia"/>
          <w:color w:val="auto"/>
        </w:rPr>
        <w:t>采用预应力筋连接接头的分块</w:t>
      </w:r>
      <w:r>
        <w:rPr>
          <w:rFonts w:hint="eastAsia"/>
          <w:color w:val="auto"/>
          <w:lang w:val="en-US" w:eastAsia="zh-CN"/>
        </w:rPr>
        <w:t>构件</w:t>
      </w:r>
      <w:r>
        <w:rPr>
          <w:rFonts w:hint="eastAsia"/>
          <w:color w:val="auto"/>
        </w:rPr>
        <w:t>连接施工应符合</w:t>
      </w:r>
      <w:r>
        <w:rPr>
          <w:rFonts w:hint="eastAsia"/>
          <w:color w:val="auto"/>
          <w:lang w:eastAsia="zh-CN"/>
        </w:rPr>
        <w:t>本标准第</w:t>
      </w:r>
      <w:r>
        <w:rPr>
          <w:rFonts w:hint="eastAsia"/>
          <w:color w:val="auto"/>
          <w:lang w:val="en-US" w:eastAsia="zh-CN"/>
        </w:rPr>
        <w:t>6.3.4条的相关规定。</w:t>
      </w:r>
    </w:p>
    <w:p>
      <w:pPr>
        <w:rPr>
          <w:color w:val="auto"/>
        </w:rPr>
      </w:pPr>
      <w:r>
        <w:rPr>
          <w:b/>
          <w:bCs/>
          <w:color w:val="auto"/>
        </w:rPr>
        <w:t>8.3.</w:t>
      </w:r>
      <w:r>
        <w:rPr>
          <w:rFonts w:hint="eastAsia"/>
          <w:b/>
          <w:bCs/>
          <w:color w:val="auto"/>
          <w:lang w:val="en-US" w:eastAsia="zh-CN"/>
        </w:rPr>
        <w:t>7</w:t>
      </w:r>
      <w:r>
        <w:rPr>
          <w:color w:val="auto"/>
        </w:rPr>
        <w:t xml:space="preserve"> </w:t>
      </w:r>
      <w:r>
        <w:rPr>
          <w:rFonts w:hint="eastAsia"/>
          <w:color w:val="auto"/>
        </w:rPr>
        <w:t>采用螺栓连接接头的</w:t>
      </w:r>
      <w:r>
        <w:rPr>
          <w:rFonts w:hint="eastAsia"/>
          <w:color w:val="auto"/>
          <w:lang w:val="en-US" w:eastAsia="zh-CN"/>
        </w:rPr>
        <w:t>分块构件</w:t>
      </w:r>
      <w:r>
        <w:rPr>
          <w:rFonts w:hint="eastAsia"/>
          <w:color w:val="auto"/>
        </w:rPr>
        <w:t>连接施工应符合</w:t>
      </w:r>
      <w:r>
        <w:rPr>
          <w:rFonts w:hint="eastAsia"/>
          <w:color w:val="auto"/>
          <w:lang w:eastAsia="zh-CN"/>
        </w:rPr>
        <w:t>本标准第</w:t>
      </w:r>
      <w:r>
        <w:rPr>
          <w:rFonts w:hint="eastAsia"/>
          <w:color w:val="auto"/>
          <w:lang w:val="en-US" w:eastAsia="zh-CN"/>
        </w:rPr>
        <w:t>6.3.5条的相关规定。</w:t>
      </w:r>
    </w:p>
    <w:p>
      <w:r>
        <w:rPr>
          <w:b/>
          <w:bCs/>
        </w:rPr>
        <w:t>8.3.</w:t>
      </w:r>
      <w:r>
        <w:rPr>
          <w:rFonts w:hint="eastAsia"/>
          <w:b/>
          <w:bCs/>
          <w:lang w:val="en-US" w:eastAsia="zh-CN"/>
        </w:rPr>
        <w:t>8</w:t>
      </w:r>
      <w:r>
        <w:t xml:space="preserve">  </w:t>
      </w:r>
      <w:r>
        <w:rPr>
          <w:rFonts w:hint="eastAsia"/>
        </w:rPr>
        <w:t>采用起重机械设备安装分块构件时，应符合起重吊装的相关安全技术标准，并符合本标准第6.2.4条的相关规定。</w:t>
      </w:r>
    </w:p>
    <w:p>
      <w:pPr>
        <w:pStyle w:val="3"/>
        <w:rPr>
          <w:rFonts w:cs="Times New Roman"/>
          <w:szCs w:val="28"/>
        </w:rPr>
      </w:pPr>
      <w:bookmarkStart w:id="332" w:name="_Toc16699"/>
      <w:bookmarkStart w:id="333" w:name="_Toc28646"/>
      <w:bookmarkStart w:id="334" w:name="_Toc11188"/>
      <w:bookmarkStart w:id="335" w:name="_Toc30706"/>
      <w:bookmarkStart w:id="336" w:name="_Toc6640"/>
      <w:bookmarkStart w:id="337" w:name="_Toc23505"/>
      <w:r>
        <w:rPr>
          <w:rFonts w:cs="Times New Roman"/>
          <w:szCs w:val="28"/>
        </w:rPr>
        <w:t xml:space="preserve">8.4 </w:t>
      </w:r>
      <w:r>
        <w:rPr>
          <w:rFonts w:hint="eastAsia" w:cs="Times New Roman"/>
          <w:szCs w:val="28"/>
          <w:lang w:val="en-US" w:eastAsia="zh-CN"/>
        </w:rPr>
        <w:t xml:space="preserve"> </w:t>
      </w:r>
      <w:r>
        <w:rPr>
          <w:rFonts w:cs="Times New Roman"/>
          <w:szCs w:val="28"/>
        </w:rPr>
        <w:t>质量检验</w:t>
      </w:r>
      <w:bookmarkEnd w:id="332"/>
      <w:bookmarkEnd w:id="333"/>
      <w:bookmarkEnd w:id="334"/>
      <w:bookmarkEnd w:id="335"/>
      <w:bookmarkEnd w:id="336"/>
      <w:bookmarkEnd w:id="337"/>
    </w:p>
    <w:p>
      <w:pPr>
        <w:ind w:firstLine="482"/>
        <w:jc w:val="center"/>
        <w:rPr>
          <w:rFonts w:cs="Times New Roman"/>
          <w:b/>
          <w:bCs/>
        </w:rPr>
      </w:pPr>
      <w:r>
        <w:rPr>
          <w:rFonts w:cs="Times New Roman"/>
          <w:b/>
          <w:bCs/>
        </w:rPr>
        <w:fldChar w:fldCharType="begin"/>
      </w:r>
      <w:r>
        <w:rPr>
          <w:rFonts w:cs="Times New Roman"/>
          <w:b/>
          <w:bCs/>
        </w:rPr>
        <w:instrText xml:space="preserve"> = 1 \* ROMAN \* MERGEFORMAT </w:instrText>
      </w:r>
      <w:r>
        <w:rPr>
          <w:rFonts w:cs="Times New Roman"/>
          <w:b/>
          <w:bCs/>
        </w:rPr>
        <w:fldChar w:fldCharType="separate"/>
      </w:r>
      <w:r>
        <w:t>I</w:t>
      </w:r>
      <w:r>
        <w:rPr>
          <w:rFonts w:cs="Times New Roman"/>
          <w:b/>
          <w:bCs/>
        </w:rPr>
        <w:fldChar w:fldCharType="end"/>
      </w:r>
      <w:r>
        <w:rPr>
          <w:rFonts w:hint="eastAsia" w:cs="Times New Roman"/>
          <w:b/>
          <w:bCs/>
          <w:lang w:val="en-US" w:eastAsia="zh-CN"/>
        </w:rPr>
        <w:t xml:space="preserve"> </w:t>
      </w:r>
      <w:r>
        <w:rPr>
          <w:rFonts w:cs="Times New Roman"/>
          <w:b/>
          <w:bCs/>
        </w:rPr>
        <w:t>主控项目</w:t>
      </w:r>
    </w:p>
    <w:p>
      <w:pPr>
        <w:rPr>
          <w:rFonts w:hint="eastAsia"/>
          <w:b/>
          <w:bCs/>
        </w:rPr>
      </w:pPr>
      <w:r>
        <w:rPr>
          <w:rFonts w:hint="eastAsia"/>
          <w:b/>
          <w:bCs/>
        </w:rPr>
        <w:t>8.4.</w:t>
      </w:r>
      <w:r>
        <w:rPr>
          <w:rFonts w:hint="eastAsia"/>
          <w:b/>
          <w:bCs/>
          <w:lang w:val="en-US" w:eastAsia="zh-CN"/>
        </w:rPr>
        <w:t>1</w:t>
      </w:r>
      <w:r>
        <w:rPr>
          <w:rFonts w:hint="eastAsia"/>
        </w:rPr>
        <w:t xml:space="preserve">  分块构件</w:t>
      </w:r>
      <w:r>
        <w:rPr>
          <w:rFonts w:hint="eastAsia"/>
          <w:lang w:val="en-US" w:eastAsia="zh-CN"/>
        </w:rPr>
        <w:t>连接</w:t>
      </w:r>
      <w:r>
        <w:rPr>
          <w:rFonts w:hint="eastAsia"/>
        </w:rPr>
        <w:t>使用的连接材料（</w:t>
      </w:r>
      <w:r>
        <w:rPr>
          <w:rFonts w:hint="eastAsia"/>
          <w:lang w:val="en-US" w:eastAsia="zh-CN"/>
        </w:rPr>
        <w:t>钢筋、</w:t>
      </w:r>
      <w:r>
        <w:rPr>
          <w:rFonts w:hint="eastAsia"/>
        </w:rPr>
        <w:t>钢绞线、螺栓等）应符合设计文件和相关规范的规定。</w:t>
      </w:r>
    </w:p>
    <w:p>
      <w:r>
        <w:rPr>
          <w:rFonts w:hint="eastAsia"/>
          <w:b/>
          <w:bCs/>
        </w:rPr>
        <w:t>8.4.</w:t>
      </w:r>
      <w:r>
        <w:rPr>
          <w:rFonts w:hint="default"/>
          <w:b/>
          <w:bCs/>
          <w:lang w:val="en-US"/>
        </w:rPr>
        <w:t>2</w:t>
      </w:r>
      <w:r>
        <w:rPr>
          <w:rFonts w:hint="eastAsia"/>
        </w:rPr>
        <w:t xml:space="preserve">  分块构件</w:t>
      </w:r>
      <w:r>
        <w:rPr>
          <w:rFonts w:hint="eastAsia"/>
          <w:lang w:val="en-US" w:eastAsia="zh-CN"/>
        </w:rPr>
        <w:t>采用现浇混凝土湿接缝</w:t>
      </w:r>
      <w:r>
        <w:rPr>
          <w:rFonts w:hint="eastAsia"/>
        </w:rPr>
        <w:t>连接方式</w:t>
      </w:r>
      <w:r>
        <w:rPr>
          <w:rFonts w:hint="eastAsia"/>
          <w:lang w:val="en-US" w:eastAsia="zh-CN"/>
        </w:rPr>
        <w:t>时，后浇混凝土的强度等级应符合设计规定</w:t>
      </w:r>
      <w:r>
        <w:rPr>
          <w:rFonts w:hint="eastAsia"/>
        </w:rPr>
        <w:t>。</w:t>
      </w:r>
    </w:p>
    <w:p>
      <w:pPr>
        <w:ind w:firstLine="480"/>
      </w:pPr>
      <w:r>
        <w:rPr>
          <w:rFonts w:hint="eastAsia"/>
        </w:rPr>
        <w:t>检查数量：按批检验，检验批应满足《混凝土结构工程施工质量验收规范》GB 50204-2015相关要求。</w:t>
      </w:r>
    </w:p>
    <w:p>
      <w:pPr>
        <w:ind w:firstLine="480"/>
      </w:pPr>
      <w:r>
        <w:rPr>
          <w:rFonts w:hint="eastAsia"/>
        </w:rPr>
        <w:t>检验方法：按现行国家标准《混凝土强度检测评定标准》GB/T 50107的要求进行。</w:t>
      </w:r>
    </w:p>
    <w:p>
      <w:pPr>
        <w:ind w:firstLine="0"/>
        <w:rPr>
          <w:rFonts w:hint="eastAsia"/>
          <w:lang w:val="en-US" w:eastAsia="zh-CN"/>
        </w:rPr>
      </w:pPr>
      <w:r>
        <w:rPr>
          <w:rFonts w:hint="eastAsia"/>
          <w:b/>
          <w:bCs/>
          <w:lang w:val="en-US" w:eastAsia="zh-CN"/>
        </w:rPr>
        <w:t>8.4.3</w:t>
      </w:r>
      <w:r>
        <w:rPr>
          <w:rFonts w:hint="eastAsia"/>
          <w:lang w:val="en-US" w:eastAsia="zh-CN"/>
        </w:rPr>
        <w:t xml:space="preserve">  分块构件采用承插式连接方式时，预制构件端头插入插槽的深度应满足设计要求。</w:t>
      </w:r>
    </w:p>
    <w:p>
      <w:pPr>
        <w:ind w:firstLine="480"/>
      </w:pPr>
      <w:r>
        <w:t>检查数量：全数检查。</w:t>
      </w:r>
    </w:p>
    <w:p>
      <w:pPr>
        <w:ind w:firstLine="480" w:firstLineChars="200"/>
        <w:rPr>
          <w:rFonts w:hint="default"/>
          <w:lang w:val="en-US" w:eastAsia="zh-CN"/>
        </w:rPr>
      </w:pPr>
      <w:r>
        <w:t>检验方法：观察，检查施工记录。</w:t>
      </w:r>
    </w:p>
    <w:p>
      <w:pPr>
        <w:ind w:firstLine="0"/>
        <w:rPr>
          <w:rFonts w:hint="eastAsia"/>
          <w:lang w:val="en-US" w:eastAsia="zh-CN"/>
        </w:rPr>
      </w:pPr>
      <w:r>
        <w:rPr>
          <w:rFonts w:hint="eastAsia"/>
          <w:b/>
          <w:bCs/>
          <w:lang w:val="en-US" w:eastAsia="zh-CN"/>
        </w:rPr>
        <w:t>8.4.4</w:t>
      </w:r>
      <w:r>
        <w:rPr>
          <w:rFonts w:hint="eastAsia"/>
          <w:lang w:val="en-US" w:eastAsia="zh-CN"/>
        </w:rPr>
        <w:t xml:space="preserve">  分块构件采用插孔式连接方式时，构件预留插筋插入预留孔洞的深度应满足设计要求。</w:t>
      </w:r>
    </w:p>
    <w:p>
      <w:pPr>
        <w:ind w:firstLine="480"/>
      </w:pPr>
      <w:r>
        <w:t>检查数量：全数检查。</w:t>
      </w:r>
    </w:p>
    <w:p>
      <w:pPr>
        <w:ind w:firstLine="480" w:firstLineChars="200"/>
        <w:rPr>
          <w:rFonts w:hint="default"/>
          <w:lang w:val="en-US" w:eastAsia="zh-CN"/>
        </w:rPr>
      </w:pPr>
      <w:r>
        <w:t>检验方法：观察，检查施工记录。</w:t>
      </w:r>
    </w:p>
    <w:p>
      <w:r>
        <w:rPr>
          <w:b/>
          <w:bCs/>
        </w:rPr>
        <w:t>8.4.</w:t>
      </w:r>
      <w:r>
        <w:rPr>
          <w:rFonts w:hint="eastAsia"/>
          <w:b/>
          <w:bCs/>
          <w:lang w:val="en-US" w:eastAsia="zh-CN"/>
        </w:rPr>
        <w:t>5</w:t>
      </w:r>
      <w:r>
        <w:t xml:space="preserve">  分块</w:t>
      </w:r>
      <w:r>
        <w:rPr>
          <w:rFonts w:hint="eastAsia"/>
        </w:rPr>
        <w:t>构件</w:t>
      </w:r>
      <w:r>
        <w:t>采用预应力筋纵向连接时，预应力筋规格、数量</w:t>
      </w:r>
      <w:r>
        <w:rPr>
          <w:rFonts w:hint="eastAsia"/>
        </w:rPr>
        <w:t>、张拉应力</w:t>
      </w:r>
      <w:r>
        <w:t>应符合设计规定。</w:t>
      </w:r>
      <w:r>
        <w:rPr>
          <w:rFonts w:hint="eastAsia"/>
        </w:rPr>
        <w:t>锚固时张拉应力允许偏差值±5%。</w:t>
      </w:r>
    </w:p>
    <w:p>
      <w:pPr>
        <w:ind w:firstLine="480"/>
      </w:pPr>
      <w:r>
        <w:t>检查数量：全数检查。</w:t>
      </w:r>
    </w:p>
    <w:p>
      <w:pPr>
        <w:ind w:firstLine="480"/>
      </w:pPr>
      <w:r>
        <w:t>检验方法：观察，检查施工记录。</w:t>
      </w:r>
    </w:p>
    <w:p>
      <w:r>
        <w:rPr>
          <w:b/>
          <w:bCs/>
        </w:rPr>
        <w:t>8.4.</w:t>
      </w:r>
      <w:r>
        <w:rPr>
          <w:rFonts w:hint="eastAsia"/>
          <w:b/>
          <w:bCs/>
          <w:lang w:val="en-US" w:eastAsia="zh-CN"/>
        </w:rPr>
        <w:t>6</w:t>
      </w:r>
      <w:r>
        <w:rPr>
          <w:b/>
          <w:bCs/>
        </w:rPr>
        <w:t xml:space="preserve"> </w:t>
      </w:r>
      <w:r>
        <w:t xml:space="preserve"> 分块</w:t>
      </w:r>
      <w:r>
        <w:rPr>
          <w:rFonts w:hint="eastAsia"/>
        </w:rPr>
        <w:t>构件</w:t>
      </w:r>
      <w:r>
        <w:t>采用螺栓纵向连接时，螺栓规格、数量应符合设计规定。</w:t>
      </w:r>
    </w:p>
    <w:p>
      <w:pPr>
        <w:ind w:firstLine="480"/>
      </w:pPr>
      <w:r>
        <w:t>检查数量：全数检查。</w:t>
      </w:r>
    </w:p>
    <w:p>
      <w:pPr>
        <w:ind w:firstLine="480"/>
      </w:pPr>
      <w:r>
        <w:t>检验方法：观察，检查施工记录。</w:t>
      </w:r>
    </w:p>
    <w:p/>
    <w:p>
      <w:pPr>
        <w:ind w:firstLine="482"/>
        <w:jc w:val="center"/>
        <w:rPr>
          <w:rFonts w:cs="Times New Roman"/>
          <w:b/>
          <w:bCs/>
          <w:color w:val="0000FF"/>
          <w:highlight w:val="yellow"/>
        </w:rPr>
      </w:pPr>
      <w:r>
        <w:rPr>
          <w:rFonts w:cs="Times New Roman"/>
          <w:b/>
          <w:bCs/>
        </w:rPr>
        <w:fldChar w:fldCharType="begin"/>
      </w:r>
      <w:r>
        <w:rPr>
          <w:rFonts w:cs="Times New Roman"/>
          <w:b/>
          <w:bCs/>
        </w:rPr>
        <w:instrText xml:space="preserve"> = 2 \* ROMAN \* MERGEFORMAT </w:instrText>
      </w:r>
      <w:r>
        <w:rPr>
          <w:rFonts w:cs="Times New Roman"/>
          <w:b/>
          <w:bCs/>
        </w:rPr>
        <w:fldChar w:fldCharType="separate"/>
      </w:r>
      <w:r>
        <w:t>II</w:t>
      </w:r>
      <w:r>
        <w:rPr>
          <w:rFonts w:cs="Times New Roman"/>
          <w:b/>
          <w:bCs/>
        </w:rPr>
        <w:fldChar w:fldCharType="end"/>
      </w:r>
      <w:r>
        <w:rPr>
          <w:rFonts w:hint="eastAsia" w:cs="Times New Roman"/>
          <w:b/>
          <w:bCs/>
          <w:lang w:val="en-US" w:eastAsia="zh-CN"/>
        </w:rPr>
        <w:t xml:space="preserve"> </w:t>
      </w:r>
      <w:r>
        <w:rPr>
          <w:rFonts w:cs="Times New Roman"/>
          <w:b/>
          <w:bCs/>
        </w:rPr>
        <w:t>一般项目</w:t>
      </w:r>
    </w:p>
    <w:p>
      <w:r>
        <w:rPr>
          <w:rFonts w:hint="eastAsia"/>
          <w:b/>
          <w:lang w:val="en-US" w:eastAsia="zh-CN"/>
        </w:rPr>
        <w:t>8.4.7</w:t>
      </w:r>
      <w:r>
        <w:rPr>
          <w:rFonts w:hint="eastAsia"/>
        </w:rPr>
        <w:t xml:space="preserve"> </w:t>
      </w:r>
      <w:r>
        <w:rPr>
          <w:rFonts w:hint="eastAsia"/>
          <w:lang w:val="en-US" w:eastAsia="zh-CN"/>
        </w:rPr>
        <w:t xml:space="preserve"> </w:t>
      </w:r>
      <w:r>
        <w:rPr>
          <w:rFonts w:hint="eastAsia"/>
        </w:rPr>
        <w:t>预制</w:t>
      </w:r>
      <w:r>
        <w:rPr>
          <w:rFonts w:hint="eastAsia"/>
          <w:lang w:val="en-US" w:eastAsia="zh-CN"/>
        </w:rPr>
        <w:t>分块</w:t>
      </w:r>
      <w:r>
        <w:rPr>
          <w:rFonts w:hint="eastAsia"/>
        </w:rPr>
        <w:t>构件安装允许偏差和</w:t>
      </w:r>
      <w:r>
        <w:rPr>
          <w:rFonts w:hint="eastAsia"/>
          <w:lang w:val="en-US" w:eastAsia="zh-CN"/>
        </w:rPr>
        <w:t>检查</w:t>
      </w:r>
      <w:r>
        <w:rPr>
          <w:rFonts w:hint="eastAsia"/>
        </w:rPr>
        <w:t>方法应符合表</w:t>
      </w:r>
      <w:r>
        <w:rPr>
          <w:rFonts w:hint="eastAsia"/>
          <w:lang w:val="en-US" w:eastAsia="zh-CN"/>
        </w:rPr>
        <w:t>8.4.7</w:t>
      </w:r>
      <w:r>
        <w:rPr>
          <w:rFonts w:hint="eastAsia"/>
        </w:rPr>
        <w:t>的规定：</w:t>
      </w:r>
    </w:p>
    <w:p>
      <w:pPr>
        <w:pStyle w:val="12"/>
        <w:rPr>
          <w:szCs w:val="21"/>
        </w:rPr>
      </w:pPr>
      <w:r>
        <w:rPr>
          <w:szCs w:val="21"/>
        </w:rPr>
        <w:t>表</w:t>
      </w:r>
      <w:r>
        <w:rPr>
          <w:rFonts w:hint="eastAsia"/>
          <w:szCs w:val="21"/>
          <w:lang w:val="en-US" w:eastAsia="zh-CN"/>
        </w:rPr>
        <w:t>8.4.7</w:t>
      </w:r>
      <w:r>
        <w:rPr>
          <w:rFonts w:hint="eastAsia"/>
          <w:szCs w:val="21"/>
        </w:rPr>
        <w:t xml:space="preserve">  </w:t>
      </w:r>
      <w:r>
        <w:rPr>
          <w:rFonts w:hint="eastAsia"/>
          <w:szCs w:val="21"/>
          <w:lang w:val="en-US" w:eastAsia="zh-CN"/>
        </w:rPr>
        <w:t>分块构件</w:t>
      </w:r>
      <w:r>
        <w:rPr>
          <w:szCs w:val="21"/>
        </w:rPr>
        <w:t>安装允许偏差和检</w:t>
      </w:r>
      <w:r>
        <w:rPr>
          <w:rFonts w:hint="eastAsia"/>
          <w:szCs w:val="21"/>
          <w:lang w:val="en-US" w:eastAsia="zh-CN"/>
        </w:rPr>
        <w:t>查</w:t>
      </w:r>
      <w:r>
        <w:rPr>
          <w:szCs w:val="21"/>
        </w:rPr>
        <w:t>方法（mm）</w:t>
      </w:r>
    </w:p>
    <w:tbl>
      <w:tblPr>
        <w:tblStyle w:val="38"/>
        <w:tblW w:w="8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2257"/>
        <w:gridCol w:w="1530"/>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52" w:type="dxa"/>
            <w:gridSpan w:val="2"/>
            <w:vAlign w:val="center"/>
          </w:tcPr>
          <w:p>
            <w:pPr>
              <w:pStyle w:val="92"/>
            </w:pPr>
            <w:r>
              <w:rPr>
                <w:rFonts w:hint="eastAsia"/>
                <w:lang w:val="en-US" w:eastAsia="zh-CN"/>
              </w:rPr>
              <w:t>检查</w:t>
            </w:r>
            <w:r>
              <w:t>项目</w:t>
            </w:r>
          </w:p>
        </w:tc>
        <w:tc>
          <w:tcPr>
            <w:tcW w:w="1530" w:type="dxa"/>
            <w:vAlign w:val="center"/>
          </w:tcPr>
          <w:p>
            <w:pPr>
              <w:pStyle w:val="92"/>
            </w:pPr>
            <w:r>
              <w:t>允许偏差</w:t>
            </w:r>
          </w:p>
        </w:tc>
        <w:tc>
          <w:tcPr>
            <w:tcW w:w="3090" w:type="dxa"/>
            <w:vAlign w:val="center"/>
          </w:tcPr>
          <w:p>
            <w:pPr>
              <w:pStyle w:val="92"/>
            </w:pPr>
            <w: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restart"/>
            <w:vAlign w:val="center"/>
          </w:tcPr>
          <w:p>
            <w:pPr>
              <w:pStyle w:val="92"/>
              <w:rPr>
                <w:rFonts w:hint="default" w:eastAsia="宋体"/>
                <w:lang w:val="en-US" w:eastAsia="zh-CN"/>
              </w:rPr>
            </w:pPr>
            <w:r>
              <w:rPr>
                <w:rFonts w:hint="eastAsia"/>
                <w:lang w:val="en-US" w:eastAsia="zh-CN"/>
              </w:rPr>
              <w:t>预制外</w:t>
            </w:r>
            <w:r>
              <w:t>墙</w:t>
            </w:r>
            <w:r>
              <w:rPr>
                <w:rFonts w:hint="eastAsia"/>
                <w:lang w:eastAsia="zh-CN"/>
              </w:rPr>
              <w:t>、</w:t>
            </w:r>
            <w:r>
              <w:rPr>
                <w:rFonts w:hint="eastAsia"/>
                <w:lang w:val="en-US" w:eastAsia="zh-CN"/>
              </w:rPr>
              <w:t>内墙</w:t>
            </w:r>
          </w:p>
        </w:tc>
        <w:tc>
          <w:tcPr>
            <w:tcW w:w="2257" w:type="dxa"/>
            <w:vAlign w:val="center"/>
          </w:tcPr>
          <w:p>
            <w:pPr>
              <w:pStyle w:val="92"/>
              <w:rPr>
                <w:rFonts w:hint="default" w:eastAsia="宋体"/>
                <w:lang w:val="en-US" w:eastAsia="zh-CN"/>
              </w:rPr>
            </w:pPr>
            <w:r>
              <w:rPr>
                <w:rFonts w:hint="eastAsia"/>
                <w:lang w:val="en-US" w:eastAsia="zh-CN"/>
              </w:rPr>
              <w:t>构件中心线与定位轴线的位置偏差</w:t>
            </w:r>
          </w:p>
        </w:tc>
        <w:tc>
          <w:tcPr>
            <w:tcW w:w="1530" w:type="dxa"/>
            <w:vAlign w:val="center"/>
          </w:tcPr>
          <w:p>
            <w:pPr>
              <w:pStyle w:val="92"/>
            </w:pPr>
            <w:r>
              <w:t>5</w:t>
            </w:r>
          </w:p>
        </w:tc>
        <w:tc>
          <w:tcPr>
            <w:tcW w:w="3090" w:type="dxa"/>
            <w:vAlign w:val="center"/>
          </w:tcPr>
          <w:p>
            <w:pPr>
              <w:pStyle w:val="92"/>
            </w:pPr>
            <w: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2257" w:type="dxa"/>
            <w:vAlign w:val="center"/>
          </w:tcPr>
          <w:p>
            <w:pPr>
              <w:pStyle w:val="92"/>
              <w:jc w:val="center"/>
            </w:pPr>
            <w:r>
              <w:t>垂直度</w:t>
            </w:r>
          </w:p>
        </w:tc>
        <w:tc>
          <w:tcPr>
            <w:tcW w:w="1530" w:type="dxa"/>
            <w:vAlign w:val="center"/>
          </w:tcPr>
          <w:p>
            <w:pPr>
              <w:pStyle w:val="92"/>
            </w:pPr>
            <w:r>
              <w:t>H/</w:t>
            </w:r>
            <w:r>
              <w:rPr>
                <w:rFonts w:hint="eastAsia"/>
                <w:lang w:val="en-US" w:eastAsia="zh-CN"/>
              </w:rPr>
              <w:t>4</w:t>
            </w:r>
            <w:r>
              <w:t>00，</w:t>
            </w:r>
            <w:r>
              <w:rPr>
                <w:rFonts w:hint="eastAsia"/>
                <w:lang w:val="en-US" w:eastAsia="zh-CN"/>
              </w:rPr>
              <w:t>且</w:t>
            </w:r>
            <w:r>
              <w:rPr>
                <w:rFonts w:hint="eastAsia" w:ascii="宋体" w:hAnsi="宋体" w:eastAsia="宋体" w:cs="宋体"/>
                <w:lang w:val="en-US" w:eastAsia="zh-CN"/>
              </w:rPr>
              <w:t>≤</w:t>
            </w:r>
            <w:r>
              <w:rPr>
                <w:rFonts w:hint="eastAsia" w:ascii="宋体" w:hAnsi="宋体" w:cs="宋体"/>
                <w:lang w:val="en-US" w:eastAsia="zh-CN"/>
              </w:rPr>
              <w:t>1</w:t>
            </w:r>
            <w:r>
              <w:t>0</w:t>
            </w:r>
          </w:p>
        </w:tc>
        <w:tc>
          <w:tcPr>
            <w:tcW w:w="3090" w:type="dxa"/>
            <w:vAlign w:val="center"/>
          </w:tcPr>
          <w:p>
            <w:pPr>
              <w:pStyle w:val="92"/>
            </w:pPr>
            <w:r>
              <w:rPr>
                <w:rFonts w:hint="eastAsia"/>
              </w:rPr>
              <w:t>全站仪</w:t>
            </w:r>
            <w:r>
              <w:t>或吊线、钢尺检查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2257" w:type="dxa"/>
            <w:vAlign w:val="center"/>
          </w:tcPr>
          <w:p>
            <w:pPr>
              <w:pStyle w:val="92"/>
            </w:pPr>
            <w:r>
              <w:t>拼缝</w:t>
            </w:r>
            <w:r>
              <w:rPr>
                <w:rFonts w:hint="eastAsia"/>
                <w:lang w:val="en-US" w:eastAsia="zh-CN"/>
              </w:rPr>
              <w:t>处错台</w:t>
            </w:r>
          </w:p>
        </w:tc>
        <w:tc>
          <w:tcPr>
            <w:tcW w:w="1530" w:type="dxa"/>
            <w:vAlign w:val="center"/>
          </w:tcPr>
          <w:p>
            <w:pPr>
              <w:pStyle w:val="92"/>
              <w:rPr>
                <w:rFonts w:hint="eastAsia" w:eastAsia="宋体"/>
                <w:lang w:eastAsia="zh-CN"/>
              </w:rPr>
            </w:pPr>
            <w:r>
              <w:rPr>
                <w:rFonts w:hint="eastAsia"/>
                <w:lang w:val="en-US" w:eastAsia="zh-CN"/>
              </w:rPr>
              <w:t>3</w:t>
            </w:r>
          </w:p>
        </w:tc>
        <w:tc>
          <w:tcPr>
            <w:tcW w:w="3090" w:type="dxa"/>
            <w:vAlign w:val="center"/>
          </w:tcPr>
          <w:p>
            <w:pPr>
              <w:pStyle w:val="92"/>
            </w:pPr>
            <w:r>
              <w:t>靠尺和塞尺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restart"/>
            <w:vAlign w:val="center"/>
          </w:tcPr>
          <w:p>
            <w:pPr>
              <w:pStyle w:val="92"/>
              <w:rPr>
                <w:rFonts w:hint="default" w:eastAsia="宋体"/>
                <w:lang w:val="en-US" w:eastAsia="zh-CN"/>
              </w:rPr>
            </w:pPr>
            <w:r>
              <w:rPr>
                <w:rFonts w:hint="eastAsia"/>
                <w:lang w:val="en-US" w:eastAsia="zh-CN"/>
              </w:rPr>
              <w:t>预制</w:t>
            </w:r>
            <w:r>
              <w:t>顶板</w:t>
            </w:r>
            <w:r>
              <w:rPr>
                <w:rFonts w:hint="eastAsia"/>
                <w:lang w:eastAsia="zh-CN"/>
              </w:rPr>
              <w:t>、</w:t>
            </w:r>
            <w:r>
              <w:rPr>
                <w:rFonts w:hint="eastAsia"/>
                <w:lang w:val="en-US" w:eastAsia="zh-CN"/>
              </w:rPr>
              <w:t>底板</w:t>
            </w:r>
          </w:p>
        </w:tc>
        <w:tc>
          <w:tcPr>
            <w:tcW w:w="2257" w:type="dxa"/>
            <w:vAlign w:val="center"/>
          </w:tcPr>
          <w:p>
            <w:pPr>
              <w:pStyle w:val="92"/>
              <w:rPr>
                <w:rFonts w:hint="eastAsia"/>
                <w:lang w:val="en-US" w:eastAsia="zh-CN"/>
              </w:rPr>
            </w:pPr>
            <w:r>
              <w:rPr>
                <w:rFonts w:hint="eastAsia"/>
                <w:lang w:val="en-US" w:eastAsia="zh-CN"/>
              </w:rPr>
              <w:t>构件中心线与定位轴线的位置偏差</w:t>
            </w:r>
          </w:p>
        </w:tc>
        <w:tc>
          <w:tcPr>
            <w:tcW w:w="1530" w:type="dxa"/>
            <w:vAlign w:val="center"/>
          </w:tcPr>
          <w:p>
            <w:pPr>
              <w:pStyle w:val="92"/>
              <w:rPr>
                <w:rFonts w:hint="default"/>
                <w:lang w:val="en-US" w:eastAsia="zh-CN"/>
              </w:rPr>
            </w:pPr>
            <w:r>
              <w:rPr>
                <w:rFonts w:hint="eastAsia"/>
                <w:lang w:val="en-US" w:eastAsia="zh-CN"/>
              </w:rPr>
              <w:t>5</w:t>
            </w:r>
          </w:p>
        </w:tc>
        <w:tc>
          <w:tcPr>
            <w:tcW w:w="3090" w:type="dxa"/>
            <w:vAlign w:val="center"/>
          </w:tcPr>
          <w:p>
            <w:pPr>
              <w:pStyle w:val="92"/>
            </w:pPr>
            <w: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2257" w:type="dxa"/>
            <w:vAlign w:val="center"/>
          </w:tcPr>
          <w:p>
            <w:pPr>
              <w:pStyle w:val="92"/>
              <w:rPr>
                <w:rFonts w:hint="default" w:eastAsia="宋体"/>
                <w:lang w:val="en-US" w:eastAsia="zh-CN"/>
              </w:rPr>
            </w:pPr>
            <w:r>
              <w:rPr>
                <w:rFonts w:hint="eastAsia"/>
                <w:lang w:val="en-US" w:eastAsia="zh-CN"/>
              </w:rPr>
              <w:t>拼缝处错台</w:t>
            </w:r>
          </w:p>
        </w:tc>
        <w:tc>
          <w:tcPr>
            <w:tcW w:w="1530" w:type="dxa"/>
            <w:vAlign w:val="center"/>
          </w:tcPr>
          <w:p>
            <w:pPr>
              <w:pStyle w:val="92"/>
              <w:rPr>
                <w:rFonts w:hint="default"/>
                <w:lang w:val="en-US" w:eastAsia="zh-CN"/>
              </w:rPr>
            </w:pPr>
            <w:r>
              <w:rPr>
                <w:rFonts w:hint="eastAsia"/>
                <w:lang w:val="en-US" w:eastAsia="zh-CN"/>
              </w:rPr>
              <w:t>3</w:t>
            </w:r>
          </w:p>
        </w:tc>
        <w:tc>
          <w:tcPr>
            <w:tcW w:w="3090" w:type="dxa"/>
            <w:vAlign w:val="center"/>
          </w:tcPr>
          <w:p>
            <w:pPr>
              <w:pStyle w:val="92"/>
            </w:pPr>
            <w:r>
              <w:t>靠尺和塞尺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dxa"/>
            <w:vMerge w:val="continue"/>
            <w:vAlign w:val="center"/>
          </w:tcPr>
          <w:p>
            <w:pPr>
              <w:pStyle w:val="92"/>
            </w:pPr>
          </w:p>
        </w:tc>
        <w:tc>
          <w:tcPr>
            <w:tcW w:w="2257" w:type="dxa"/>
            <w:vAlign w:val="center"/>
          </w:tcPr>
          <w:p>
            <w:pPr>
              <w:pStyle w:val="92"/>
            </w:pPr>
            <w:r>
              <w:t>标高</w:t>
            </w:r>
          </w:p>
        </w:tc>
        <w:tc>
          <w:tcPr>
            <w:tcW w:w="1530" w:type="dxa"/>
            <w:vAlign w:val="center"/>
          </w:tcPr>
          <w:p>
            <w:pPr>
              <w:pStyle w:val="92"/>
            </w:pPr>
            <w:r>
              <w:t>±10</w:t>
            </w:r>
          </w:p>
        </w:tc>
        <w:tc>
          <w:tcPr>
            <w:tcW w:w="3090" w:type="dxa"/>
            <w:vAlign w:val="center"/>
          </w:tcPr>
          <w:p>
            <w:pPr>
              <w:pStyle w:val="92"/>
            </w:pPr>
            <w:r>
              <w:t>水准仪</w:t>
            </w:r>
          </w:p>
        </w:tc>
      </w:tr>
    </w:tbl>
    <w:p>
      <w:pPr>
        <w:rPr>
          <w:rFonts w:hint="eastAsia"/>
          <w:b/>
          <w:bCs/>
        </w:rPr>
      </w:pPr>
    </w:p>
    <w:p>
      <w:r>
        <w:rPr>
          <w:rFonts w:hint="eastAsia"/>
          <w:b/>
          <w:bCs/>
        </w:rPr>
        <w:t>8.4.</w:t>
      </w:r>
      <w:r>
        <w:rPr>
          <w:rFonts w:hint="default"/>
          <w:b/>
          <w:bCs/>
          <w:lang w:val="en-US"/>
        </w:rPr>
        <w:t>8</w:t>
      </w:r>
      <w:r>
        <w:rPr>
          <w:rFonts w:hint="eastAsia"/>
          <w:b/>
          <w:bCs/>
        </w:rPr>
        <w:t xml:space="preserve"> </w:t>
      </w:r>
      <w:r>
        <w:rPr>
          <w:rFonts w:hint="eastAsia"/>
        </w:rPr>
        <w:t xml:space="preserve"> 分块</w:t>
      </w:r>
      <w:r>
        <w:rPr>
          <w:rFonts w:hint="eastAsia"/>
          <w:lang w:val="en-US" w:eastAsia="zh-CN"/>
        </w:rPr>
        <w:t>构件经</w:t>
      </w:r>
      <w:r>
        <w:rPr>
          <w:rFonts w:hint="eastAsia"/>
        </w:rPr>
        <w:t>连接装配形成整体式管廊结构，其整体质量检验允许偏差应符合表</w:t>
      </w:r>
      <w:r>
        <w:rPr>
          <w:rFonts w:hint="eastAsia"/>
          <w:lang w:val="en-US" w:eastAsia="zh-CN"/>
        </w:rPr>
        <w:t>8.4.8</w:t>
      </w:r>
      <w:r>
        <w:rPr>
          <w:rFonts w:hint="eastAsia"/>
        </w:rPr>
        <w:t>的规定。</w:t>
      </w:r>
    </w:p>
    <w:p>
      <w:pPr>
        <w:ind w:firstLine="632" w:firstLineChars="300"/>
        <w:jc w:val="center"/>
        <w:rPr>
          <w:rFonts w:cs="Times New Roman"/>
          <w:sz w:val="21"/>
          <w:szCs w:val="21"/>
        </w:rPr>
      </w:pPr>
      <w:r>
        <w:rPr>
          <w:rFonts w:hint="eastAsia" w:cs="Times New Roman"/>
          <w:b/>
          <w:sz w:val="21"/>
          <w:szCs w:val="21"/>
        </w:rPr>
        <w:t>表</w:t>
      </w:r>
      <w:r>
        <w:rPr>
          <w:rFonts w:cs="Times New Roman"/>
          <w:b/>
          <w:sz w:val="21"/>
          <w:szCs w:val="21"/>
        </w:rPr>
        <w:t>8.4.</w:t>
      </w:r>
      <w:r>
        <w:rPr>
          <w:rFonts w:hint="default" w:cs="Times New Roman"/>
          <w:b/>
          <w:sz w:val="21"/>
          <w:szCs w:val="21"/>
          <w:lang w:val="en-US"/>
        </w:rPr>
        <w:t>8</w:t>
      </w:r>
      <w:r>
        <w:rPr>
          <w:rFonts w:cs="Times New Roman"/>
          <w:b/>
          <w:sz w:val="21"/>
          <w:szCs w:val="21"/>
        </w:rPr>
        <w:t xml:space="preserve">  </w:t>
      </w:r>
      <w:r>
        <w:rPr>
          <w:rFonts w:hint="eastAsia" w:cs="Times New Roman"/>
          <w:b/>
          <w:sz w:val="21"/>
          <w:szCs w:val="21"/>
        </w:rPr>
        <w:t>分块管廊</w:t>
      </w:r>
      <w:r>
        <w:rPr>
          <w:rFonts w:cs="Times New Roman"/>
          <w:b/>
          <w:sz w:val="21"/>
          <w:szCs w:val="21"/>
        </w:rPr>
        <w:t>装配后的允许偏差及检验方法</w:t>
      </w:r>
    </w:p>
    <w:tbl>
      <w:tblPr>
        <w:tblStyle w:val="3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7"/>
        <w:gridCol w:w="1418"/>
        <w:gridCol w:w="1134"/>
        <w:gridCol w:w="850"/>
        <w:gridCol w:w="993"/>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项次</w:t>
            </w:r>
          </w:p>
        </w:tc>
        <w:tc>
          <w:tcPr>
            <w:tcW w:w="2835" w:type="dxa"/>
            <w:gridSpan w:val="2"/>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检验项目</w:t>
            </w:r>
          </w:p>
        </w:tc>
        <w:tc>
          <w:tcPr>
            <w:tcW w:w="1134"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允许偏差（</w:t>
            </w:r>
            <w:r>
              <w:rPr>
                <w:rFonts w:cs="Times New Roman"/>
                <w:color w:val="000000"/>
                <w:kern w:val="0"/>
                <w:sz w:val="21"/>
                <w:szCs w:val="21"/>
              </w:rPr>
              <w:t>mm</w:t>
            </w:r>
            <w:r>
              <w:rPr>
                <w:rFonts w:ascii="宋体" w:hAnsi="宋体" w:cs="宋体"/>
                <w:color w:val="000000"/>
                <w:kern w:val="0"/>
                <w:sz w:val="21"/>
                <w:szCs w:val="21"/>
              </w:rPr>
              <w:t>）</w:t>
            </w:r>
          </w:p>
        </w:tc>
        <w:tc>
          <w:tcPr>
            <w:tcW w:w="1843" w:type="dxa"/>
            <w:gridSpan w:val="2"/>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检查数量</w:t>
            </w:r>
          </w:p>
        </w:tc>
        <w:tc>
          <w:tcPr>
            <w:tcW w:w="1559"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widowControl/>
              <w:spacing w:line="240" w:lineRule="auto"/>
              <w:jc w:val="left"/>
              <w:rPr>
                <w:rFonts w:ascii="宋体" w:hAnsi="宋体" w:cs="宋体"/>
                <w:color w:val="000000"/>
                <w:kern w:val="0"/>
                <w:sz w:val="21"/>
                <w:szCs w:val="21"/>
              </w:rPr>
            </w:pPr>
          </w:p>
        </w:tc>
        <w:tc>
          <w:tcPr>
            <w:tcW w:w="2835" w:type="dxa"/>
            <w:gridSpan w:val="2"/>
            <w:vMerge w:val="continue"/>
            <w:vAlign w:val="center"/>
          </w:tcPr>
          <w:p>
            <w:pPr>
              <w:widowControl/>
              <w:spacing w:line="240" w:lineRule="auto"/>
              <w:jc w:val="left"/>
              <w:rPr>
                <w:rFonts w:ascii="宋体" w:hAnsi="宋体" w:cs="宋体"/>
                <w:color w:val="000000"/>
                <w:kern w:val="0"/>
                <w:sz w:val="21"/>
                <w:szCs w:val="21"/>
              </w:rPr>
            </w:pPr>
          </w:p>
        </w:tc>
        <w:tc>
          <w:tcPr>
            <w:tcW w:w="1134" w:type="dxa"/>
            <w:vMerge w:val="continue"/>
            <w:vAlign w:val="center"/>
          </w:tcPr>
          <w:p>
            <w:pPr>
              <w:widowControl/>
              <w:spacing w:line="240" w:lineRule="auto"/>
              <w:jc w:val="left"/>
              <w:rPr>
                <w:rFonts w:ascii="宋体" w:hAnsi="宋体" w:cs="宋体"/>
                <w:color w:val="000000"/>
                <w:kern w:val="0"/>
                <w:sz w:val="21"/>
                <w:szCs w:val="21"/>
              </w:rPr>
            </w:pPr>
          </w:p>
        </w:tc>
        <w:tc>
          <w:tcPr>
            <w:tcW w:w="850"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范围</w:t>
            </w:r>
          </w:p>
        </w:tc>
        <w:tc>
          <w:tcPr>
            <w:tcW w:w="993"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点数</w:t>
            </w:r>
          </w:p>
        </w:tc>
        <w:tc>
          <w:tcPr>
            <w:tcW w:w="1559" w:type="dxa"/>
            <w:vMerge w:val="continue"/>
            <w:vAlign w:val="center"/>
          </w:tcPr>
          <w:p>
            <w:pPr>
              <w:widowControl/>
              <w:spacing w:line="240" w:lineRule="auto"/>
              <w:jc w:val="left"/>
              <w:rPr>
                <w:rFonts w:ascii="宋体" w:hAnsi="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1</w:t>
            </w:r>
          </w:p>
        </w:tc>
        <w:tc>
          <w:tcPr>
            <w:tcW w:w="2835" w:type="dxa"/>
            <w:gridSpan w:val="2"/>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管廊中心线对轴线的位置</w:t>
            </w:r>
          </w:p>
        </w:tc>
        <w:tc>
          <w:tcPr>
            <w:tcW w:w="1134"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5</w:t>
            </w:r>
          </w:p>
        </w:tc>
        <w:tc>
          <w:tcPr>
            <w:tcW w:w="850" w:type="dxa"/>
            <w:vMerge w:val="restart"/>
            <w:shd w:val="clear" w:color="auto" w:fill="auto"/>
            <w:vAlign w:val="center"/>
          </w:tcPr>
          <w:p>
            <w:pPr>
              <w:widowControl/>
              <w:spacing w:line="24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相邻沉降缝之间的管段，</w:t>
            </w:r>
            <w:r>
              <w:rPr>
                <w:rFonts w:ascii="宋体" w:hAnsi="宋体" w:cs="Times New Roman"/>
                <w:color w:val="000000"/>
                <w:kern w:val="0"/>
                <w:sz w:val="21"/>
                <w:szCs w:val="21"/>
              </w:rPr>
              <w:t>≤</w:t>
            </w:r>
            <w:r>
              <w:rPr>
                <w:rFonts w:hint="eastAsia" w:ascii="宋体" w:hAnsi="宋体" w:cs="Times New Roman"/>
                <w:color w:val="000000"/>
                <w:kern w:val="0"/>
                <w:sz w:val="21"/>
                <w:szCs w:val="21"/>
                <w:lang w:val="en-US" w:eastAsia="zh-CN"/>
              </w:rPr>
              <w:t>30m</w:t>
            </w:r>
          </w:p>
        </w:tc>
        <w:tc>
          <w:tcPr>
            <w:tcW w:w="993"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2</w:t>
            </w:r>
          </w:p>
        </w:tc>
        <w:tc>
          <w:tcPr>
            <w:tcW w:w="1559"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2</w:t>
            </w:r>
          </w:p>
        </w:tc>
        <w:tc>
          <w:tcPr>
            <w:tcW w:w="1417"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标高</w:t>
            </w:r>
          </w:p>
        </w:tc>
        <w:tc>
          <w:tcPr>
            <w:tcW w:w="1418"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顶板顶面</w:t>
            </w:r>
          </w:p>
        </w:tc>
        <w:tc>
          <w:tcPr>
            <w:tcW w:w="1134"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±10</w:t>
            </w:r>
          </w:p>
        </w:tc>
        <w:tc>
          <w:tcPr>
            <w:tcW w:w="850" w:type="dxa"/>
            <w:vMerge w:val="continue"/>
            <w:vAlign w:val="center"/>
          </w:tcPr>
          <w:p>
            <w:pPr>
              <w:widowControl/>
              <w:spacing w:line="240" w:lineRule="auto"/>
              <w:jc w:val="left"/>
              <w:rPr>
                <w:rFonts w:ascii="宋体" w:hAnsi="宋体" w:cs="宋体"/>
                <w:color w:val="000000"/>
                <w:kern w:val="0"/>
                <w:sz w:val="21"/>
                <w:szCs w:val="21"/>
              </w:rPr>
            </w:pPr>
          </w:p>
        </w:tc>
        <w:tc>
          <w:tcPr>
            <w:tcW w:w="993" w:type="dxa"/>
            <w:vMerge w:val="restart"/>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2</w:t>
            </w:r>
          </w:p>
        </w:tc>
        <w:tc>
          <w:tcPr>
            <w:tcW w:w="1559"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水准仪测量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widowControl/>
              <w:spacing w:line="240" w:lineRule="auto"/>
              <w:jc w:val="left"/>
              <w:rPr>
                <w:rFonts w:cs="Times New Roman"/>
                <w:color w:val="000000"/>
                <w:kern w:val="0"/>
                <w:sz w:val="21"/>
                <w:szCs w:val="21"/>
              </w:rPr>
            </w:pPr>
          </w:p>
        </w:tc>
        <w:tc>
          <w:tcPr>
            <w:tcW w:w="1417" w:type="dxa"/>
            <w:vMerge w:val="continue"/>
            <w:vAlign w:val="center"/>
          </w:tcPr>
          <w:p>
            <w:pPr>
              <w:widowControl/>
              <w:spacing w:line="240" w:lineRule="auto"/>
              <w:jc w:val="left"/>
              <w:rPr>
                <w:rFonts w:ascii="宋体" w:hAnsi="宋体" w:cs="宋体"/>
                <w:color w:val="000000"/>
                <w:kern w:val="0"/>
                <w:sz w:val="21"/>
                <w:szCs w:val="21"/>
              </w:rPr>
            </w:pPr>
          </w:p>
        </w:tc>
        <w:tc>
          <w:tcPr>
            <w:tcW w:w="1418"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底板顶面</w:t>
            </w:r>
          </w:p>
        </w:tc>
        <w:tc>
          <w:tcPr>
            <w:tcW w:w="1134"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±10</w:t>
            </w:r>
          </w:p>
        </w:tc>
        <w:tc>
          <w:tcPr>
            <w:tcW w:w="850" w:type="dxa"/>
            <w:vMerge w:val="continue"/>
            <w:vAlign w:val="center"/>
          </w:tcPr>
          <w:p>
            <w:pPr>
              <w:widowControl/>
              <w:spacing w:line="240" w:lineRule="auto"/>
              <w:jc w:val="left"/>
              <w:rPr>
                <w:rFonts w:ascii="宋体" w:hAnsi="宋体" w:cs="宋体"/>
                <w:color w:val="000000"/>
                <w:kern w:val="0"/>
                <w:sz w:val="21"/>
                <w:szCs w:val="21"/>
              </w:rPr>
            </w:pPr>
          </w:p>
        </w:tc>
        <w:tc>
          <w:tcPr>
            <w:tcW w:w="993" w:type="dxa"/>
            <w:vMerge w:val="continue"/>
            <w:vAlign w:val="center"/>
          </w:tcPr>
          <w:p>
            <w:pPr>
              <w:widowControl/>
              <w:spacing w:line="240" w:lineRule="auto"/>
              <w:jc w:val="left"/>
              <w:rPr>
                <w:rFonts w:cs="Times New Roman"/>
                <w:color w:val="000000"/>
                <w:kern w:val="0"/>
                <w:sz w:val="21"/>
                <w:szCs w:val="21"/>
              </w:rPr>
            </w:pPr>
          </w:p>
        </w:tc>
        <w:tc>
          <w:tcPr>
            <w:tcW w:w="1559" w:type="dxa"/>
            <w:vMerge w:val="continue"/>
            <w:vAlign w:val="center"/>
          </w:tcPr>
          <w:p>
            <w:pPr>
              <w:widowControl/>
              <w:spacing w:line="240" w:lineRule="auto"/>
              <w:jc w:val="left"/>
              <w:rPr>
                <w:rFonts w:ascii="宋体" w:hAnsi="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3</w:t>
            </w:r>
          </w:p>
        </w:tc>
        <w:tc>
          <w:tcPr>
            <w:tcW w:w="2835" w:type="dxa"/>
            <w:gridSpan w:val="2"/>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构件垂直度</w:t>
            </w:r>
          </w:p>
        </w:tc>
        <w:tc>
          <w:tcPr>
            <w:tcW w:w="1134"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H/400</w:t>
            </w:r>
            <w:r>
              <w:rPr>
                <w:rFonts w:ascii="宋体" w:hAnsi="宋体" w:cs="Times New Roman"/>
                <w:color w:val="000000"/>
                <w:kern w:val="0"/>
                <w:sz w:val="21"/>
                <w:szCs w:val="21"/>
              </w:rPr>
              <w:t>，且≤</w:t>
            </w:r>
            <w:r>
              <w:rPr>
                <w:rFonts w:cs="Times New Roman"/>
                <w:color w:val="000000"/>
                <w:kern w:val="0"/>
                <w:sz w:val="21"/>
                <w:szCs w:val="21"/>
              </w:rPr>
              <w:t>10</w:t>
            </w:r>
          </w:p>
        </w:tc>
        <w:tc>
          <w:tcPr>
            <w:tcW w:w="850" w:type="dxa"/>
            <w:vMerge w:val="continue"/>
            <w:vAlign w:val="center"/>
          </w:tcPr>
          <w:p>
            <w:pPr>
              <w:widowControl/>
              <w:spacing w:line="240" w:lineRule="auto"/>
              <w:jc w:val="left"/>
              <w:rPr>
                <w:rFonts w:ascii="宋体" w:hAnsi="宋体" w:cs="宋体"/>
                <w:color w:val="000000"/>
                <w:kern w:val="0"/>
                <w:sz w:val="21"/>
                <w:szCs w:val="21"/>
              </w:rPr>
            </w:pPr>
          </w:p>
        </w:tc>
        <w:tc>
          <w:tcPr>
            <w:tcW w:w="993"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2</w:t>
            </w:r>
          </w:p>
        </w:tc>
        <w:tc>
          <w:tcPr>
            <w:tcW w:w="1559"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挂垂线，钢尺量测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4</w:t>
            </w:r>
          </w:p>
        </w:tc>
        <w:tc>
          <w:tcPr>
            <w:tcW w:w="1417"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相邻构件平整度</w:t>
            </w:r>
          </w:p>
        </w:tc>
        <w:tc>
          <w:tcPr>
            <w:tcW w:w="1418"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顶板下表面、底板上表面</w:t>
            </w:r>
          </w:p>
        </w:tc>
        <w:tc>
          <w:tcPr>
            <w:tcW w:w="1134"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3</w:t>
            </w:r>
          </w:p>
        </w:tc>
        <w:tc>
          <w:tcPr>
            <w:tcW w:w="850" w:type="dxa"/>
            <w:vMerge w:val="continue"/>
            <w:vAlign w:val="center"/>
          </w:tcPr>
          <w:p>
            <w:pPr>
              <w:widowControl/>
              <w:spacing w:line="240" w:lineRule="auto"/>
              <w:jc w:val="left"/>
              <w:rPr>
                <w:rFonts w:ascii="宋体" w:hAnsi="宋体" w:cs="宋体"/>
                <w:color w:val="000000"/>
                <w:kern w:val="0"/>
                <w:sz w:val="21"/>
                <w:szCs w:val="21"/>
              </w:rPr>
            </w:pPr>
          </w:p>
        </w:tc>
        <w:tc>
          <w:tcPr>
            <w:tcW w:w="993" w:type="dxa"/>
            <w:vMerge w:val="restart"/>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2</w:t>
            </w:r>
          </w:p>
        </w:tc>
        <w:tc>
          <w:tcPr>
            <w:tcW w:w="1559" w:type="dxa"/>
            <w:vMerge w:val="restart"/>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lang w:val="en-US" w:eastAsia="zh-CN"/>
              </w:rPr>
              <w:t>2m长</w:t>
            </w:r>
            <w:r>
              <w:rPr>
                <w:rFonts w:hint="eastAsia" w:ascii="宋体" w:hAnsi="宋体" w:cs="宋体"/>
                <w:color w:val="000000"/>
                <w:kern w:val="0"/>
                <w:sz w:val="21"/>
                <w:szCs w:val="21"/>
              </w:rPr>
              <w:t>钢尺、塞尺量测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widowControl/>
              <w:spacing w:line="240" w:lineRule="auto"/>
              <w:jc w:val="left"/>
              <w:rPr>
                <w:rFonts w:cs="Times New Roman"/>
                <w:color w:val="000000"/>
                <w:kern w:val="0"/>
                <w:sz w:val="21"/>
                <w:szCs w:val="21"/>
              </w:rPr>
            </w:pPr>
          </w:p>
        </w:tc>
        <w:tc>
          <w:tcPr>
            <w:tcW w:w="1417" w:type="dxa"/>
            <w:vMerge w:val="continue"/>
            <w:vAlign w:val="center"/>
          </w:tcPr>
          <w:p>
            <w:pPr>
              <w:widowControl/>
              <w:spacing w:line="240" w:lineRule="auto"/>
              <w:jc w:val="left"/>
              <w:rPr>
                <w:rFonts w:ascii="宋体" w:hAnsi="宋体" w:cs="宋体"/>
                <w:color w:val="000000"/>
                <w:kern w:val="0"/>
                <w:sz w:val="21"/>
                <w:szCs w:val="21"/>
              </w:rPr>
            </w:pPr>
          </w:p>
        </w:tc>
        <w:tc>
          <w:tcPr>
            <w:tcW w:w="1418" w:type="dxa"/>
            <w:shd w:val="clear" w:color="auto" w:fill="auto"/>
            <w:vAlign w:val="center"/>
          </w:tcPr>
          <w:p>
            <w:pPr>
              <w:widowControl/>
              <w:spacing w:line="240" w:lineRule="auto"/>
              <w:jc w:val="center"/>
              <w:rPr>
                <w:rFonts w:ascii="宋体" w:hAnsi="宋体" w:cs="宋体"/>
                <w:color w:val="000000"/>
                <w:kern w:val="0"/>
                <w:sz w:val="21"/>
                <w:szCs w:val="21"/>
              </w:rPr>
            </w:pPr>
            <w:r>
              <w:rPr>
                <w:rFonts w:hint="eastAsia" w:ascii="宋体" w:hAnsi="宋体" w:cs="宋体"/>
                <w:color w:val="000000"/>
                <w:kern w:val="0"/>
                <w:sz w:val="21"/>
                <w:szCs w:val="21"/>
              </w:rPr>
              <w:t>侧板侧表面</w:t>
            </w:r>
          </w:p>
        </w:tc>
        <w:tc>
          <w:tcPr>
            <w:tcW w:w="1134" w:type="dxa"/>
            <w:shd w:val="clear" w:color="auto" w:fill="auto"/>
            <w:vAlign w:val="center"/>
          </w:tcPr>
          <w:p>
            <w:pPr>
              <w:widowControl/>
              <w:spacing w:line="240" w:lineRule="auto"/>
              <w:jc w:val="center"/>
              <w:rPr>
                <w:rFonts w:cs="Times New Roman"/>
                <w:color w:val="000000"/>
                <w:kern w:val="0"/>
                <w:sz w:val="21"/>
                <w:szCs w:val="21"/>
              </w:rPr>
            </w:pPr>
            <w:r>
              <w:rPr>
                <w:rFonts w:cs="Times New Roman"/>
                <w:color w:val="000000"/>
                <w:kern w:val="0"/>
                <w:sz w:val="21"/>
                <w:szCs w:val="21"/>
              </w:rPr>
              <w:t>5</w:t>
            </w:r>
          </w:p>
        </w:tc>
        <w:tc>
          <w:tcPr>
            <w:tcW w:w="850" w:type="dxa"/>
            <w:vMerge w:val="continue"/>
            <w:vAlign w:val="center"/>
          </w:tcPr>
          <w:p>
            <w:pPr>
              <w:widowControl/>
              <w:spacing w:line="240" w:lineRule="auto"/>
              <w:jc w:val="left"/>
              <w:rPr>
                <w:rFonts w:ascii="宋体" w:hAnsi="宋体" w:cs="宋体"/>
                <w:color w:val="000000"/>
                <w:kern w:val="0"/>
                <w:sz w:val="21"/>
                <w:szCs w:val="21"/>
              </w:rPr>
            </w:pPr>
          </w:p>
        </w:tc>
        <w:tc>
          <w:tcPr>
            <w:tcW w:w="993" w:type="dxa"/>
            <w:vMerge w:val="continue"/>
            <w:vAlign w:val="center"/>
          </w:tcPr>
          <w:p>
            <w:pPr>
              <w:widowControl/>
              <w:spacing w:line="240" w:lineRule="auto"/>
              <w:jc w:val="left"/>
              <w:rPr>
                <w:rFonts w:cs="Times New Roman"/>
                <w:color w:val="000000"/>
                <w:kern w:val="0"/>
                <w:sz w:val="21"/>
                <w:szCs w:val="21"/>
              </w:rPr>
            </w:pPr>
          </w:p>
        </w:tc>
        <w:tc>
          <w:tcPr>
            <w:tcW w:w="1559" w:type="dxa"/>
            <w:vMerge w:val="continue"/>
            <w:vAlign w:val="center"/>
          </w:tcPr>
          <w:p>
            <w:pPr>
              <w:widowControl/>
              <w:spacing w:line="240" w:lineRule="auto"/>
              <w:jc w:val="left"/>
              <w:rPr>
                <w:rFonts w:ascii="宋体" w:hAnsi="宋体" w:cs="宋体"/>
                <w:color w:val="000000"/>
                <w:kern w:val="0"/>
                <w:sz w:val="21"/>
                <w:szCs w:val="21"/>
              </w:rPr>
            </w:pPr>
          </w:p>
        </w:tc>
      </w:tr>
    </w:tbl>
    <w:p>
      <w:pPr>
        <w:ind w:firstLine="420" w:firstLineChars="200"/>
        <w:rPr>
          <w:rFonts w:hint="eastAsia"/>
          <w:b/>
          <w:bCs/>
        </w:rPr>
      </w:pPr>
      <w:r>
        <w:rPr>
          <w:rFonts w:hint="eastAsia"/>
          <w:kern w:val="0"/>
          <w:sz w:val="21"/>
        </w:rPr>
        <w:t>注：H为管廊结构的总高度。</w:t>
      </w:r>
    </w:p>
    <w:p/>
    <w:p>
      <w:pPr>
        <w:pStyle w:val="2"/>
      </w:pPr>
      <w:bookmarkStart w:id="338" w:name="_Toc2811"/>
      <w:bookmarkStart w:id="339" w:name="_Toc2441"/>
      <w:bookmarkStart w:id="340" w:name="_Toc32400"/>
      <w:bookmarkStart w:id="341" w:name="_Toc14926"/>
      <w:bookmarkStart w:id="342" w:name="_Toc17574"/>
      <w:bookmarkStart w:id="343" w:name="_Toc249"/>
      <w:r>
        <w:rPr>
          <w:rFonts w:hint="eastAsia"/>
        </w:rPr>
        <w:t>9</w:t>
      </w:r>
      <w:r>
        <w:t xml:space="preserve"> </w:t>
      </w:r>
      <w:r>
        <w:rPr>
          <w:rFonts w:hint="eastAsia"/>
        </w:rPr>
        <w:t xml:space="preserve"> 节段预制管廊的顶进</w:t>
      </w:r>
      <w:bookmarkEnd w:id="338"/>
      <w:bookmarkEnd w:id="339"/>
      <w:bookmarkEnd w:id="340"/>
      <w:bookmarkEnd w:id="341"/>
      <w:bookmarkEnd w:id="342"/>
      <w:bookmarkEnd w:id="343"/>
    </w:p>
    <w:p>
      <w:pPr>
        <w:keepNext/>
        <w:keepLines/>
        <w:spacing w:before="166" w:beforeLines="50" w:after="166" w:afterLines="50"/>
        <w:jc w:val="center"/>
        <w:textAlignment w:val="auto"/>
        <w:outlineLvl w:val="1"/>
        <w:rPr>
          <w:rFonts w:cs="Times New Roman"/>
          <w:b/>
          <w:sz w:val="28"/>
          <w:szCs w:val="32"/>
        </w:rPr>
      </w:pPr>
      <w:bookmarkStart w:id="344" w:name="_Toc12711"/>
      <w:bookmarkStart w:id="345" w:name="_Toc11708"/>
      <w:bookmarkStart w:id="346" w:name="_Toc12008"/>
      <w:bookmarkStart w:id="347" w:name="_Toc60173813"/>
      <w:bookmarkStart w:id="348" w:name="_Toc32732"/>
      <w:bookmarkStart w:id="349" w:name="_Toc47692185"/>
      <w:bookmarkStart w:id="350" w:name="_Toc29836"/>
      <w:bookmarkStart w:id="351" w:name="_Toc29135"/>
      <w:bookmarkStart w:id="352" w:name="_Toc7431"/>
      <w:bookmarkStart w:id="353" w:name="_Toc998"/>
      <w:bookmarkStart w:id="354" w:name="_Toc16009"/>
      <w:bookmarkStart w:id="355" w:name="_Toc18057072"/>
      <w:bookmarkStart w:id="356" w:name="_Toc60172926"/>
      <w:bookmarkStart w:id="357" w:name="_Toc25187"/>
      <w:bookmarkStart w:id="358" w:name="_Toc2676"/>
      <w:bookmarkStart w:id="359" w:name="_Toc26974"/>
      <w:bookmarkStart w:id="360" w:name="_Toc26691"/>
      <w:r>
        <w:rPr>
          <w:rFonts w:cs="Times New Roman"/>
          <w:b/>
          <w:sz w:val="28"/>
          <w:szCs w:val="32"/>
        </w:rPr>
        <w:t>9.1  一般规定</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textAlignment w:val="auto"/>
        <w:rPr>
          <w:rFonts w:cs="Times New Roman"/>
          <w:szCs w:val="21"/>
        </w:rPr>
      </w:pPr>
      <w:r>
        <w:rPr>
          <w:rFonts w:cs="Times New Roman"/>
          <w:b/>
          <w:bCs/>
          <w:szCs w:val="21"/>
        </w:rPr>
        <w:t xml:space="preserve">9.1.1  </w:t>
      </w:r>
      <w:r>
        <w:rPr>
          <w:rFonts w:hint="eastAsia" w:cs="Times New Roman"/>
          <w:szCs w:val="21"/>
        </w:rPr>
        <w:t>施工前</w:t>
      </w:r>
      <w:r>
        <w:rPr>
          <w:rFonts w:hint="eastAsia" w:cs="Times New Roman"/>
          <w:szCs w:val="21"/>
          <w:lang w:eastAsia="zh-CN"/>
        </w:rPr>
        <w:t>应</w:t>
      </w:r>
      <w:r>
        <w:rPr>
          <w:rFonts w:hint="eastAsia" w:cs="Times New Roman"/>
          <w:szCs w:val="21"/>
        </w:rPr>
        <w:t>对</w:t>
      </w:r>
      <w:r>
        <w:rPr>
          <w:rFonts w:cs="Times New Roman"/>
          <w:szCs w:val="21"/>
        </w:rPr>
        <w:t>界域内工程地质、水文地质和周围管线、建</w:t>
      </w:r>
      <w:r>
        <w:rPr>
          <w:rFonts w:hint="eastAsia" w:cs="Times New Roman"/>
          <w:szCs w:val="21"/>
          <w:lang w:val="en-US" w:eastAsia="zh-CN"/>
        </w:rPr>
        <w:t>(</w:t>
      </w:r>
      <w:r>
        <w:rPr>
          <w:rFonts w:cs="Times New Roman"/>
          <w:szCs w:val="21"/>
        </w:rPr>
        <w:t>构</w:t>
      </w:r>
      <w:r>
        <w:rPr>
          <w:rFonts w:hint="eastAsia" w:cs="Times New Roman"/>
          <w:szCs w:val="21"/>
          <w:lang w:val="en-US" w:eastAsia="zh-CN"/>
        </w:rPr>
        <w:t>)</w:t>
      </w:r>
      <w:r>
        <w:rPr>
          <w:rFonts w:cs="Times New Roman"/>
          <w:szCs w:val="21"/>
        </w:rPr>
        <w:t>筑物</w:t>
      </w:r>
      <w:r>
        <w:rPr>
          <w:rFonts w:hint="eastAsia" w:cs="Times New Roman"/>
          <w:szCs w:val="21"/>
        </w:rPr>
        <w:t>等</w:t>
      </w:r>
      <w:r>
        <w:rPr>
          <w:rFonts w:cs="Times New Roman"/>
          <w:szCs w:val="21"/>
        </w:rPr>
        <w:t>进行</w:t>
      </w:r>
      <w:r>
        <w:rPr>
          <w:rFonts w:hint="eastAsia" w:cs="Times New Roman"/>
          <w:szCs w:val="21"/>
          <w:lang w:eastAsia="zh-CN"/>
        </w:rPr>
        <w:t>复核</w:t>
      </w:r>
      <w:r>
        <w:rPr>
          <w:rFonts w:cs="Times New Roman"/>
          <w:szCs w:val="21"/>
        </w:rPr>
        <w:t>确认。</w:t>
      </w:r>
    </w:p>
    <w:p>
      <w:pPr>
        <w:textAlignment w:val="auto"/>
        <w:rPr>
          <w:rFonts w:ascii="宋体" w:hAnsi="宋体" w:cs="宋体"/>
          <w:szCs w:val="21"/>
        </w:rPr>
      </w:pPr>
      <w:r>
        <w:rPr>
          <w:rFonts w:cs="Times New Roman"/>
          <w:b/>
          <w:bCs/>
          <w:szCs w:val="21"/>
        </w:rPr>
        <w:t xml:space="preserve">9.1.2  </w:t>
      </w:r>
      <w:r>
        <w:rPr>
          <w:rFonts w:hint="eastAsia"/>
        </w:rPr>
        <w:t>节段预制管廊顶进</w:t>
      </w:r>
      <w:r>
        <w:t>施工组织设计</w:t>
      </w:r>
      <w:r>
        <w:rPr>
          <w:rFonts w:hint="eastAsia" w:ascii="宋体" w:hAnsi="宋体" w:cs="宋体"/>
          <w:szCs w:val="21"/>
        </w:rPr>
        <w:t>的编制，应根据实际情况选用合适的设备和施工工艺，并应随着工程进展根据实际情况的变化调整施工参数。</w:t>
      </w:r>
    </w:p>
    <w:p>
      <w:pPr>
        <w:textAlignment w:val="auto"/>
        <w:rPr>
          <w:rFonts w:cs="Times New Roman"/>
          <w:szCs w:val="21"/>
        </w:rPr>
      </w:pPr>
      <w:r>
        <w:rPr>
          <w:rFonts w:cs="Times New Roman"/>
          <w:b/>
          <w:bCs/>
          <w:szCs w:val="21"/>
        </w:rPr>
        <w:t xml:space="preserve">9.1.3  </w:t>
      </w:r>
      <w:r>
        <w:rPr>
          <w:rFonts w:cs="Times New Roman"/>
          <w:szCs w:val="21"/>
        </w:rPr>
        <w:t>施工临时设施应根据工程特点总体布局</w:t>
      </w:r>
      <w:r>
        <w:rPr>
          <w:rFonts w:hint="eastAsia" w:cs="Times New Roman"/>
          <w:szCs w:val="21"/>
        </w:rPr>
        <w:t>、</w:t>
      </w:r>
      <w:r>
        <w:rPr>
          <w:rFonts w:cs="Times New Roman"/>
          <w:szCs w:val="21"/>
        </w:rPr>
        <w:t>合理设置</w:t>
      </w:r>
      <w:r>
        <w:rPr>
          <w:rFonts w:hint="eastAsia" w:cs="Times New Roman"/>
          <w:szCs w:val="21"/>
        </w:rPr>
        <w:t>，</w:t>
      </w:r>
      <w:r>
        <w:rPr>
          <w:rFonts w:cs="Times New Roman"/>
          <w:szCs w:val="21"/>
        </w:rPr>
        <w:t>应有备用动力和设备。</w:t>
      </w:r>
    </w:p>
    <w:p>
      <w:pPr>
        <w:textAlignment w:val="auto"/>
        <w:rPr>
          <w:rFonts w:hint="eastAsia" w:cs="Times New Roman"/>
          <w:szCs w:val="21"/>
        </w:rPr>
      </w:pPr>
      <w:r>
        <w:rPr>
          <w:rFonts w:cs="Times New Roman"/>
          <w:b/>
          <w:bCs/>
          <w:szCs w:val="21"/>
        </w:rPr>
        <w:t xml:space="preserve">9.1.4  </w:t>
      </w:r>
      <w:r>
        <w:rPr>
          <w:rFonts w:hint="eastAsia" w:cs="Times New Roman"/>
          <w:szCs w:val="21"/>
        </w:rPr>
        <w:t>顶管工作井和接收井的净尺寸应满足顶管施工要求，同时应满足管廊内管线安装、附属设施安装、检修、维护等需要的空间要求。</w:t>
      </w:r>
    </w:p>
    <w:p>
      <w:pPr>
        <w:textAlignment w:val="auto"/>
        <w:rPr>
          <w:rFonts w:hint="default" w:eastAsia="宋体" w:cs="Times New Roman"/>
          <w:szCs w:val="21"/>
          <w:lang w:val="en-US" w:eastAsia="zh-CN"/>
        </w:rPr>
      </w:pPr>
      <w:r>
        <w:rPr>
          <w:rFonts w:hint="eastAsia" w:cs="Times New Roman"/>
          <w:b/>
          <w:bCs/>
          <w:szCs w:val="21"/>
          <w:lang w:val="en-US" w:eastAsia="zh-CN"/>
        </w:rPr>
        <w:t>9.1.5</w:t>
      </w:r>
      <w:r>
        <w:rPr>
          <w:rFonts w:hint="eastAsia" w:cs="Times New Roman"/>
          <w:szCs w:val="21"/>
          <w:lang w:val="en-US" w:eastAsia="zh-CN"/>
        </w:rPr>
        <w:t xml:space="preserve">  顶管管节采用起重机吊装施工时应符合本标准第6.2.4条的相关规定。</w:t>
      </w:r>
    </w:p>
    <w:p>
      <w:pPr>
        <w:textAlignment w:val="auto"/>
        <w:rPr>
          <w:rFonts w:cs="Times New Roman"/>
          <w:szCs w:val="24"/>
        </w:rPr>
      </w:pPr>
      <w:r>
        <w:rPr>
          <w:rFonts w:cs="Times New Roman"/>
          <w:b/>
          <w:szCs w:val="21"/>
        </w:rPr>
        <w:t>9.1.</w:t>
      </w:r>
      <w:r>
        <w:rPr>
          <w:rFonts w:hint="eastAsia" w:cs="Times New Roman"/>
          <w:b/>
          <w:szCs w:val="21"/>
          <w:lang w:val="en-US" w:eastAsia="zh-CN"/>
        </w:rPr>
        <w:t>6</w:t>
      </w:r>
      <w:r>
        <w:rPr>
          <w:rFonts w:hint="eastAsia" w:cs="Times New Roman"/>
          <w:b/>
          <w:szCs w:val="21"/>
        </w:rPr>
        <w:t xml:space="preserve">  </w:t>
      </w:r>
      <w:r>
        <w:rPr>
          <w:rFonts w:cs="Times New Roman"/>
          <w:szCs w:val="21"/>
        </w:rPr>
        <w:t>顶管施工中应合理配置</w:t>
      </w:r>
      <w:r>
        <w:rPr>
          <w:rFonts w:hint="eastAsia" w:cs="Times New Roman"/>
          <w:szCs w:val="21"/>
        </w:rPr>
        <w:t>管廊</w:t>
      </w:r>
      <w:r>
        <w:rPr>
          <w:rFonts w:cs="Times New Roman"/>
          <w:szCs w:val="21"/>
        </w:rPr>
        <w:t>内</w:t>
      </w:r>
      <w:r>
        <w:rPr>
          <w:rFonts w:hint="eastAsia" w:cs="Times New Roman"/>
          <w:szCs w:val="21"/>
        </w:rPr>
        <w:t>临时</w:t>
      </w:r>
      <w:r>
        <w:rPr>
          <w:rFonts w:cs="Times New Roman"/>
          <w:szCs w:val="21"/>
        </w:rPr>
        <w:t>通风、供电、照明等装置。</w:t>
      </w:r>
    </w:p>
    <w:p>
      <w:pPr>
        <w:textAlignment w:val="auto"/>
        <w:rPr>
          <w:rFonts w:cs="Times New Roman"/>
          <w:szCs w:val="21"/>
        </w:rPr>
      </w:pPr>
      <w:r>
        <w:rPr>
          <w:rFonts w:hint="eastAsia" w:cs="Times New Roman"/>
          <w:b/>
          <w:szCs w:val="21"/>
        </w:rPr>
        <w:t>9.1.</w:t>
      </w:r>
      <w:r>
        <w:rPr>
          <w:rFonts w:hint="eastAsia" w:cs="Times New Roman"/>
          <w:b/>
          <w:szCs w:val="21"/>
          <w:lang w:val="en-US" w:eastAsia="zh-CN"/>
        </w:rPr>
        <w:t>7</w:t>
      </w:r>
      <w:r>
        <w:rPr>
          <w:rFonts w:hint="eastAsia" w:cs="Times New Roman"/>
          <w:b/>
          <w:szCs w:val="21"/>
        </w:rPr>
        <w:t xml:space="preserve">  </w:t>
      </w:r>
      <w:r>
        <w:rPr>
          <w:rFonts w:cs="Times New Roman"/>
          <w:szCs w:val="21"/>
        </w:rPr>
        <w:t>顶管施工应对</w:t>
      </w:r>
      <w:r>
        <w:rPr>
          <w:rFonts w:hint="eastAsia" w:cs="Times New Roman"/>
          <w:szCs w:val="21"/>
        </w:rPr>
        <w:t>管廊节段结构、工作井结构和</w:t>
      </w:r>
      <w:r>
        <w:rPr>
          <w:rFonts w:cs="Times New Roman"/>
          <w:szCs w:val="21"/>
        </w:rPr>
        <w:t>顶管沿线影响范围内的地表、邻近建筑物或构筑物及地下管线设置观测点进行监测。施工监测应符合</w:t>
      </w:r>
      <w:r>
        <w:rPr>
          <w:rFonts w:hint="eastAsia" w:cs="Times New Roman"/>
          <w:szCs w:val="21"/>
        </w:rPr>
        <w:t>设计要求和</w:t>
      </w:r>
      <w:r>
        <w:rPr>
          <w:rFonts w:cs="Times New Roman"/>
          <w:szCs w:val="21"/>
        </w:rPr>
        <w:t>现行行业标准《建筑变形测量规范》JGJ 8的有关规定</w:t>
      </w:r>
      <w:r>
        <w:rPr>
          <w:rFonts w:hint="eastAsia" w:cs="Times New Roman"/>
          <w:szCs w:val="21"/>
        </w:rPr>
        <w:t>。</w:t>
      </w:r>
    </w:p>
    <w:p>
      <w:pPr>
        <w:textAlignment w:val="auto"/>
        <w:rPr>
          <w:rFonts w:hint="eastAsia" w:cs="Times New Roman"/>
          <w:szCs w:val="21"/>
        </w:rPr>
      </w:pPr>
      <w:r>
        <w:rPr>
          <w:rFonts w:hint="eastAsia" w:cs="Times New Roman"/>
          <w:b/>
          <w:bCs/>
          <w:szCs w:val="21"/>
        </w:rPr>
        <w:t>9</w:t>
      </w:r>
      <w:r>
        <w:rPr>
          <w:rFonts w:cs="Times New Roman"/>
          <w:b/>
          <w:bCs/>
          <w:szCs w:val="21"/>
        </w:rPr>
        <w:t>.1.</w:t>
      </w:r>
      <w:r>
        <w:rPr>
          <w:rFonts w:hint="eastAsia" w:cs="Times New Roman"/>
          <w:b/>
          <w:bCs/>
          <w:szCs w:val="21"/>
          <w:lang w:val="en-US" w:eastAsia="zh-CN"/>
        </w:rPr>
        <w:t>8</w:t>
      </w:r>
      <w:r>
        <w:rPr>
          <w:rFonts w:cs="Times New Roman"/>
          <w:b/>
          <w:bCs/>
          <w:szCs w:val="21"/>
        </w:rPr>
        <w:t xml:space="preserve"> </w:t>
      </w:r>
      <w:r>
        <w:rPr>
          <w:rFonts w:hint="eastAsia" w:cs="Times New Roman"/>
          <w:b/>
          <w:bCs/>
          <w:szCs w:val="21"/>
        </w:rPr>
        <w:t xml:space="preserve"> </w:t>
      </w:r>
      <w:r>
        <w:rPr>
          <w:rFonts w:hint="eastAsia" w:cs="Times New Roman"/>
          <w:szCs w:val="21"/>
        </w:rPr>
        <w:t>顶管机</w:t>
      </w:r>
      <w:r>
        <w:rPr>
          <w:rFonts w:hint="eastAsia" w:cs="Times New Roman"/>
          <w:szCs w:val="21"/>
          <w:lang w:eastAsia="zh-CN"/>
        </w:rPr>
        <w:t>顶进</w:t>
      </w:r>
      <w:r>
        <w:rPr>
          <w:rFonts w:hint="eastAsia" w:cs="Times New Roman"/>
          <w:szCs w:val="21"/>
        </w:rPr>
        <w:t>过程中，应进行实施监测和信息化施工，监测信息实时反馈，发现问题应立即处理。</w:t>
      </w:r>
    </w:p>
    <w:p>
      <w:pPr>
        <w:textAlignment w:val="auto"/>
        <w:rPr>
          <w:rFonts w:hint="eastAsia" w:cs="Times New Roman"/>
          <w:szCs w:val="21"/>
        </w:rPr>
      </w:pPr>
    </w:p>
    <w:p>
      <w:pPr>
        <w:keepNext/>
        <w:keepLines/>
        <w:jc w:val="center"/>
        <w:textAlignment w:val="auto"/>
        <w:outlineLvl w:val="1"/>
        <w:rPr>
          <w:rFonts w:cs="Times New Roman"/>
          <w:b/>
          <w:sz w:val="28"/>
          <w:szCs w:val="32"/>
        </w:rPr>
      </w:pPr>
      <w:bookmarkStart w:id="361" w:name="_Toc17305"/>
      <w:bookmarkStart w:id="362" w:name="_Toc18057074"/>
      <w:bookmarkStart w:id="363" w:name="_Toc28678"/>
      <w:bookmarkStart w:id="364" w:name="_Toc29616"/>
      <w:bookmarkStart w:id="365" w:name="_Toc60173815"/>
      <w:bookmarkStart w:id="366" w:name="_Toc25594"/>
      <w:bookmarkStart w:id="367" w:name="_Toc47692187"/>
      <w:bookmarkStart w:id="368" w:name="_Toc2178"/>
      <w:bookmarkStart w:id="369" w:name="_Toc9950"/>
      <w:bookmarkStart w:id="370" w:name="_Toc25553"/>
      <w:bookmarkStart w:id="371" w:name="_Toc366"/>
      <w:bookmarkStart w:id="372" w:name="_Toc60172928"/>
      <w:bookmarkStart w:id="373" w:name="_Toc18363"/>
      <w:bookmarkStart w:id="374" w:name="_Toc4284"/>
      <w:bookmarkStart w:id="375" w:name="_Toc7795"/>
      <w:bookmarkStart w:id="376" w:name="_Toc3277"/>
      <w:bookmarkStart w:id="377" w:name="_Toc17375"/>
      <w:bookmarkStart w:id="378" w:name="_Toc13704"/>
      <w:r>
        <w:rPr>
          <w:rFonts w:cs="Times New Roman"/>
          <w:b/>
          <w:sz w:val="28"/>
          <w:szCs w:val="32"/>
        </w:rPr>
        <w:t>9.2  顶管始发与接收</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textAlignment w:val="auto"/>
        <w:rPr>
          <w:rFonts w:cs="Times New Roman"/>
          <w:szCs w:val="21"/>
        </w:rPr>
      </w:pPr>
      <w:r>
        <w:rPr>
          <w:rFonts w:cs="Times New Roman"/>
          <w:b/>
          <w:bCs/>
          <w:szCs w:val="21"/>
        </w:rPr>
        <w:t xml:space="preserve">9.2.1  </w:t>
      </w:r>
      <w:r>
        <w:rPr>
          <w:rFonts w:cs="Times New Roman"/>
          <w:szCs w:val="21"/>
        </w:rPr>
        <w:t>顶管洞口的施工应符合下列规定：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顶管始发和接收预留洞口的位置、几何尺寸、封堵方式应符合设计文件和施工方案的规定；</w:t>
      </w:r>
    </w:p>
    <w:p>
      <w:pPr>
        <w:ind w:firstLine="482"/>
        <w:textAlignment w:val="auto"/>
        <w:rPr>
          <w:rFonts w:cs="Times New Roman"/>
          <w:szCs w:val="21"/>
        </w:rPr>
      </w:pPr>
      <w:r>
        <w:rPr>
          <w:rFonts w:cs="Times New Roman"/>
          <w:szCs w:val="21"/>
        </w:rPr>
        <w:t xml:space="preserve">2 </w:t>
      </w:r>
      <w:r>
        <w:rPr>
          <w:rFonts w:hint="eastAsia" w:cs="Times New Roman"/>
          <w:szCs w:val="21"/>
        </w:rPr>
        <w:t xml:space="preserve"> </w:t>
      </w:r>
      <w:r>
        <w:rPr>
          <w:rFonts w:cs="Times New Roman"/>
          <w:szCs w:val="21"/>
        </w:rPr>
        <w:t>顶管工作井洞口施工影响范围内的土层应</w:t>
      </w:r>
      <w:r>
        <w:rPr>
          <w:rFonts w:hint="eastAsia" w:cs="Times New Roman"/>
          <w:szCs w:val="21"/>
        </w:rPr>
        <w:t>按设计要求</w:t>
      </w:r>
      <w:r>
        <w:rPr>
          <w:rFonts w:cs="Times New Roman"/>
          <w:szCs w:val="21"/>
        </w:rPr>
        <w:t>进行预加固处理，始发和接收前应检查加固处理后的土体强度和渗漏水情况；</w:t>
      </w:r>
    </w:p>
    <w:p>
      <w:pPr>
        <w:ind w:firstLine="482"/>
        <w:textAlignment w:val="auto"/>
        <w:rPr>
          <w:rFonts w:cs="Times New Roman"/>
          <w:szCs w:val="21"/>
        </w:rPr>
      </w:pPr>
      <w:r>
        <w:rPr>
          <w:rFonts w:cs="Times New Roman"/>
          <w:szCs w:val="21"/>
        </w:rPr>
        <w:t>3</w:t>
      </w:r>
      <w:r>
        <w:rPr>
          <w:rFonts w:hint="eastAsia" w:cs="Times New Roman"/>
          <w:szCs w:val="21"/>
        </w:rPr>
        <w:t xml:space="preserve">  洞门凿除后应及时将顶管机推入洞门，刀盘抵住</w:t>
      </w:r>
      <w:r>
        <w:rPr>
          <w:rFonts w:hint="eastAsia" w:cs="Times New Roman"/>
          <w:szCs w:val="21"/>
          <w:lang w:eastAsia="zh-CN"/>
        </w:rPr>
        <w:t>掌</w:t>
      </w:r>
      <w:r>
        <w:rPr>
          <w:rFonts w:hint="eastAsia" w:cs="Times New Roman"/>
          <w:szCs w:val="21"/>
        </w:rPr>
        <w:t>子面，并设置止退装置；</w:t>
      </w:r>
    </w:p>
    <w:p>
      <w:pPr>
        <w:ind w:firstLine="482"/>
        <w:textAlignment w:val="auto"/>
        <w:rPr>
          <w:rFonts w:cs="Times New Roman"/>
          <w:szCs w:val="21"/>
        </w:rPr>
      </w:pPr>
      <w:r>
        <w:rPr>
          <w:rFonts w:cs="Times New Roman"/>
          <w:szCs w:val="21"/>
        </w:rPr>
        <w:t>4</w:t>
      </w:r>
      <w:r>
        <w:rPr>
          <w:rFonts w:hint="eastAsia" w:cs="Times New Roman"/>
          <w:szCs w:val="21"/>
        </w:rPr>
        <w:t xml:space="preserve"> </w:t>
      </w:r>
      <w:r>
        <w:rPr>
          <w:rFonts w:hint="eastAsia" w:cs="Times New Roman"/>
          <w:b/>
          <w:bCs/>
          <w:szCs w:val="21"/>
        </w:rPr>
        <w:t xml:space="preserve"> </w:t>
      </w:r>
      <w:r>
        <w:rPr>
          <w:rFonts w:cs="Times New Roman"/>
          <w:szCs w:val="21"/>
        </w:rPr>
        <w:t>洞口应设置止水装置，止水装置应与工作井壁内的预埋件焊接牢固，</w:t>
      </w:r>
      <w:r>
        <w:rPr>
          <w:rFonts w:hint="eastAsia" w:cs="Times New Roman"/>
          <w:szCs w:val="21"/>
        </w:rPr>
        <w:t>宜</w:t>
      </w:r>
      <w:r>
        <w:rPr>
          <w:rFonts w:cs="Times New Roman"/>
          <w:szCs w:val="21"/>
        </w:rPr>
        <w:t>用</w:t>
      </w:r>
      <w:r>
        <w:rPr>
          <w:rFonts w:hint="eastAsia" w:cs="Times New Roman"/>
          <w:szCs w:val="21"/>
        </w:rPr>
        <w:t>膨胀</w:t>
      </w:r>
      <w:r>
        <w:rPr>
          <w:rFonts w:cs="Times New Roman"/>
          <w:szCs w:val="21"/>
        </w:rPr>
        <w:t>材料</w:t>
      </w:r>
      <w:r>
        <w:rPr>
          <w:rFonts w:hint="eastAsia" w:cs="Times New Roman"/>
          <w:szCs w:val="21"/>
        </w:rPr>
        <w:t>填充间隙</w:t>
      </w:r>
      <w:r>
        <w:rPr>
          <w:rFonts w:cs="Times New Roman"/>
          <w:szCs w:val="21"/>
        </w:rPr>
        <w:t>；顶管结束后，</w:t>
      </w:r>
      <w:r>
        <w:rPr>
          <w:rFonts w:hint="eastAsia" w:cs="Times New Roman"/>
          <w:szCs w:val="21"/>
        </w:rPr>
        <w:t>管节</w:t>
      </w:r>
      <w:r>
        <w:rPr>
          <w:rFonts w:cs="Times New Roman"/>
          <w:szCs w:val="21"/>
        </w:rPr>
        <w:t>与洞口的间隙应</w:t>
      </w:r>
      <w:r>
        <w:rPr>
          <w:rFonts w:hint="eastAsia" w:cs="Times New Roman"/>
          <w:szCs w:val="21"/>
        </w:rPr>
        <w:t>立即</w:t>
      </w:r>
      <w:r>
        <w:rPr>
          <w:rFonts w:cs="Times New Roman"/>
          <w:szCs w:val="21"/>
        </w:rPr>
        <w:t>封堵</w:t>
      </w:r>
      <w:r>
        <w:rPr>
          <w:rFonts w:hint="eastAsia" w:cs="Times New Roman"/>
          <w:szCs w:val="21"/>
        </w:rPr>
        <w:t>。</w:t>
      </w:r>
    </w:p>
    <w:p>
      <w:pPr>
        <w:textAlignment w:val="auto"/>
        <w:rPr>
          <w:rFonts w:cs="Times New Roman"/>
          <w:szCs w:val="21"/>
        </w:rPr>
      </w:pPr>
      <w:r>
        <w:rPr>
          <w:rFonts w:cs="Times New Roman"/>
          <w:b/>
          <w:bCs/>
          <w:szCs w:val="21"/>
        </w:rPr>
        <w:t xml:space="preserve">9.2.2  </w:t>
      </w:r>
      <w:r>
        <w:rPr>
          <w:rFonts w:cs="Times New Roman"/>
          <w:szCs w:val="21"/>
        </w:rPr>
        <w:t>洞口始发时，顶管机与后续2节～3节管之间应</w:t>
      </w:r>
      <w:r>
        <w:rPr>
          <w:rFonts w:hint="eastAsia" w:cs="Times New Roman"/>
          <w:szCs w:val="21"/>
        </w:rPr>
        <w:t>进行有效</w:t>
      </w:r>
      <w:r>
        <w:rPr>
          <w:rFonts w:cs="Times New Roman"/>
          <w:szCs w:val="21"/>
        </w:rPr>
        <w:t>连接。</w:t>
      </w:r>
    </w:p>
    <w:p>
      <w:pPr>
        <w:textAlignment w:val="auto"/>
        <w:rPr>
          <w:rFonts w:cs="Times New Roman"/>
          <w:szCs w:val="21"/>
        </w:rPr>
      </w:pPr>
      <w:r>
        <w:rPr>
          <w:rFonts w:cs="Times New Roman"/>
          <w:b/>
          <w:bCs/>
          <w:szCs w:val="21"/>
        </w:rPr>
        <w:t xml:space="preserve">9.2.3  </w:t>
      </w:r>
      <w:r>
        <w:rPr>
          <w:rFonts w:cs="Times New Roman"/>
          <w:szCs w:val="21"/>
        </w:rPr>
        <w:t>接收井内宜</w:t>
      </w:r>
      <w:r>
        <w:rPr>
          <w:rFonts w:hint="eastAsia" w:cs="Times New Roman"/>
          <w:szCs w:val="21"/>
        </w:rPr>
        <w:t>设置</w:t>
      </w:r>
      <w:r>
        <w:rPr>
          <w:rFonts w:cs="Times New Roman"/>
          <w:szCs w:val="21"/>
        </w:rPr>
        <w:t>略</w:t>
      </w:r>
      <w:r>
        <w:rPr>
          <w:rFonts w:hint="eastAsia" w:cs="Times New Roman"/>
          <w:szCs w:val="21"/>
        </w:rPr>
        <w:t>低</w:t>
      </w:r>
      <w:r>
        <w:rPr>
          <w:rFonts w:cs="Times New Roman"/>
          <w:szCs w:val="21"/>
        </w:rPr>
        <w:t>于管</w:t>
      </w:r>
      <w:r>
        <w:rPr>
          <w:rFonts w:hint="eastAsia" w:cs="Times New Roman"/>
          <w:szCs w:val="21"/>
        </w:rPr>
        <w:t>节</w:t>
      </w:r>
      <w:r>
        <w:rPr>
          <w:rFonts w:cs="Times New Roman"/>
          <w:szCs w:val="21"/>
        </w:rPr>
        <w:t>底的</w:t>
      </w:r>
      <w:r>
        <w:rPr>
          <w:rFonts w:hint="eastAsia" w:cs="Times New Roman"/>
          <w:szCs w:val="21"/>
        </w:rPr>
        <w:t>导轨</w:t>
      </w:r>
      <w:r>
        <w:rPr>
          <w:rFonts w:cs="Times New Roman"/>
          <w:szCs w:val="21"/>
        </w:rPr>
        <w:t>。当地下水位高、可能发生管涌或流砂时，应采用</w:t>
      </w:r>
      <w:r>
        <w:rPr>
          <w:rFonts w:hint="eastAsia" w:cs="Times New Roman"/>
          <w:szCs w:val="21"/>
        </w:rPr>
        <w:t>水下</w:t>
      </w:r>
      <w:r>
        <w:rPr>
          <w:rFonts w:cs="Times New Roman"/>
          <w:szCs w:val="21"/>
        </w:rPr>
        <w:t>接收方式。</w:t>
      </w:r>
    </w:p>
    <w:p>
      <w:pPr>
        <w:textAlignment w:val="auto"/>
        <w:rPr>
          <w:rFonts w:cs="Times New Roman"/>
          <w:szCs w:val="21"/>
        </w:rPr>
      </w:pPr>
      <w:r>
        <w:rPr>
          <w:rFonts w:cs="Times New Roman"/>
          <w:b/>
          <w:bCs/>
          <w:szCs w:val="21"/>
        </w:rPr>
        <w:t>9.2.</w:t>
      </w:r>
      <w:r>
        <w:rPr>
          <w:rFonts w:hint="eastAsia" w:cs="Times New Roman"/>
          <w:b/>
          <w:bCs/>
          <w:szCs w:val="21"/>
        </w:rPr>
        <w:t>4</w:t>
      </w:r>
      <w:r>
        <w:rPr>
          <w:rFonts w:cs="Times New Roman"/>
          <w:b/>
          <w:bCs/>
          <w:szCs w:val="21"/>
        </w:rPr>
        <w:t xml:space="preserve">  </w:t>
      </w:r>
      <w:r>
        <w:rPr>
          <w:rFonts w:cs="Times New Roman"/>
          <w:szCs w:val="21"/>
        </w:rPr>
        <w:t>顶管始发应符合下列规定：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顶管机穿越始发洞口加固区时，始发洞口内应注满</w:t>
      </w:r>
      <w:r>
        <w:rPr>
          <w:rFonts w:hint="eastAsia" w:cs="Times New Roman"/>
          <w:szCs w:val="21"/>
        </w:rPr>
        <w:t>浓</w:t>
      </w:r>
      <w:r>
        <w:rPr>
          <w:rFonts w:cs="Times New Roman"/>
          <w:szCs w:val="21"/>
        </w:rPr>
        <w:t>泥浆，</w:t>
      </w:r>
      <w:r>
        <w:rPr>
          <w:rFonts w:hint="eastAsia" w:cs="Times New Roman"/>
          <w:szCs w:val="21"/>
          <w:lang w:eastAsia="zh-CN"/>
        </w:rPr>
        <w:t>顶进</w:t>
      </w:r>
      <w:r>
        <w:rPr>
          <w:rFonts w:cs="Times New Roman"/>
          <w:szCs w:val="21"/>
        </w:rPr>
        <w:t>速度宜控制在2mm/min～3mm/min；</w:t>
      </w:r>
    </w:p>
    <w:p>
      <w:pPr>
        <w:ind w:firstLine="482"/>
        <w:textAlignment w:val="auto"/>
        <w:rPr>
          <w:rFonts w:cs="Times New Roman"/>
          <w:szCs w:val="21"/>
        </w:rPr>
      </w:pPr>
      <w:r>
        <w:rPr>
          <w:rFonts w:cs="Times New Roman"/>
          <w:szCs w:val="21"/>
        </w:rPr>
        <w:t>2</w:t>
      </w:r>
      <w:r>
        <w:rPr>
          <w:rFonts w:hint="eastAsia" w:cs="Times New Roman"/>
          <w:szCs w:val="21"/>
        </w:rPr>
        <w:t xml:space="preserve">  </w:t>
      </w:r>
      <w:r>
        <w:rPr>
          <w:rFonts w:cs="Times New Roman"/>
          <w:szCs w:val="21"/>
        </w:rPr>
        <w:t>顶管机穿越始发洞口加固区之前应在机外壳两边焊接支座</w:t>
      </w:r>
      <w:r>
        <w:rPr>
          <w:rFonts w:hint="eastAsia" w:cs="Times New Roman"/>
          <w:szCs w:val="21"/>
        </w:rPr>
        <w:t>，并应保持</w:t>
      </w:r>
      <w:r>
        <w:rPr>
          <w:rFonts w:cs="Times New Roman"/>
          <w:szCs w:val="21"/>
        </w:rPr>
        <w:t>与导轨面齐平；</w:t>
      </w:r>
    </w:p>
    <w:p>
      <w:pPr>
        <w:ind w:firstLine="482"/>
        <w:textAlignment w:val="auto"/>
        <w:rPr>
          <w:rFonts w:cs="Times New Roman"/>
          <w:szCs w:val="21"/>
        </w:rPr>
      </w:pPr>
      <w:r>
        <w:rPr>
          <w:rFonts w:hint="eastAsia" w:cs="Times New Roman"/>
          <w:szCs w:val="21"/>
        </w:rPr>
        <w:t xml:space="preserve">3  </w:t>
      </w:r>
      <w:r>
        <w:rPr>
          <w:rFonts w:cs="Times New Roman"/>
          <w:szCs w:val="21"/>
        </w:rPr>
        <w:t>顶管始发出洞时应均匀增加</w:t>
      </w:r>
      <w:r>
        <w:rPr>
          <w:rFonts w:hint="eastAsia" w:cs="Times New Roman"/>
          <w:szCs w:val="21"/>
        </w:rPr>
        <w:t>顶推</w:t>
      </w:r>
      <w:r>
        <w:rPr>
          <w:rFonts w:cs="Times New Roman"/>
          <w:szCs w:val="21"/>
        </w:rPr>
        <w:t>力；</w:t>
      </w:r>
    </w:p>
    <w:p>
      <w:pPr>
        <w:ind w:firstLine="482"/>
        <w:textAlignment w:val="auto"/>
        <w:rPr>
          <w:rFonts w:cs="Times New Roman"/>
          <w:szCs w:val="21"/>
        </w:rPr>
      </w:pPr>
      <w:r>
        <w:rPr>
          <w:rFonts w:hint="eastAsia" w:cs="Times New Roman"/>
          <w:szCs w:val="21"/>
        </w:rPr>
        <w:t xml:space="preserve">4  </w:t>
      </w:r>
      <w:r>
        <w:rPr>
          <w:rFonts w:cs="Times New Roman"/>
          <w:szCs w:val="21"/>
        </w:rPr>
        <w:t>初始</w:t>
      </w:r>
      <w:r>
        <w:rPr>
          <w:rFonts w:hint="eastAsia" w:cs="Times New Roman"/>
          <w:szCs w:val="21"/>
          <w:lang w:eastAsia="zh-CN"/>
        </w:rPr>
        <w:t>顶进</w:t>
      </w:r>
      <w:r>
        <w:rPr>
          <w:rFonts w:cs="Times New Roman"/>
          <w:szCs w:val="21"/>
        </w:rPr>
        <w:t>时应有防止顶管机后退措施；</w:t>
      </w:r>
    </w:p>
    <w:p>
      <w:pPr>
        <w:ind w:firstLine="482"/>
        <w:textAlignment w:val="auto"/>
        <w:rPr>
          <w:rFonts w:cs="Times New Roman"/>
          <w:szCs w:val="21"/>
        </w:rPr>
      </w:pPr>
      <w:r>
        <w:rPr>
          <w:rFonts w:hint="eastAsia" w:cs="Times New Roman"/>
          <w:szCs w:val="21"/>
        </w:rPr>
        <w:t>5</w:t>
      </w:r>
      <w:r>
        <w:rPr>
          <w:rFonts w:hint="eastAsia" w:cs="Times New Roman"/>
          <w:b/>
          <w:bCs/>
          <w:szCs w:val="21"/>
        </w:rPr>
        <w:t xml:space="preserve">  </w:t>
      </w:r>
      <w:r>
        <w:rPr>
          <w:rFonts w:cs="Times New Roman"/>
          <w:szCs w:val="21"/>
        </w:rPr>
        <w:t>初始</w:t>
      </w:r>
      <w:r>
        <w:rPr>
          <w:rFonts w:hint="eastAsia" w:cs="Times New Roman"/>
          <w:szCs w:val="21"/>
          <w:lang w:eastAsia="zh-CN"/>
        </w:rPr>
        <w:t>顶进</w:t>
      </w:r>
      <w:r>
        <w:rPr>
          <w:rFonts w:cs="Times New Roman"/>
          <w:szCs w:val="21"/>
        </w:rPr>
        <w:t>时</w:t>
      </w:r>
      <w:r>
        <w:rPr>
          <w:rFonts w:hint="eastAsia" w:cs="Times New Roman"/>
          <w:szCs w:val="21"/>
        </w:rPr>
        <w:t>宜</w:t>
      </w:r>
      <w:r>
        <w:rPr>
          <w:rFonts w:cs="Times New Roman"/>
          <w:szCs w:val="21"/>
        </w:rPr>
        <w:t>使用下层</w:t>
      </w:r>
      <w:r>
        <w:rPr>
          <w:rFonts w:hint="eastAsia" w:cs="Times New Roman"/>
          <w:szCs w:val="21"/>
        </w:rPr>
        <w:t>千斤顶液压油缸</w:t>
      </w:r>
      <w:r>
        <w:rPr>
          <w:rFonts w:hint="eastAsia" w:cs="Times New Roman"/>
          <w:szCs w:val="21"/>
          <w:lang w:eastAsia="zh-CN"/>
        </w:rPr>
        <w:t>顶进</w:t>
      </w:r>
      <w:r>
        <w:rPr>
          <w:rFonts w:hint="eastAsia" w:cs="Times New Roman"/>
          <w:szCs w:val="21"/>
        </w:rPr>
        <w:t>。</w:t>
      </w:r>
    </w:p>
    <w:p>
      <w:pPr>
        <w:textAlignment w:val="auto"/>
        <w:rPr>
          <w:rFonts w:cs="Times New Roman"/>
          <w:szCs w:val="21"/>
        </w:rPr>
      </w:pPr>
      <w:r>
        <w:rPr>
          <w:rFonts w:cs="Times New Roman"/>
          <w:b/>
          <w:bCs/>
          <w:szCs w:val="21"/>
        </w:rPr>
        <w:t>9.2.</w:t>
      </w:r>
      <w:r>
        <w:rPr>
          <w:rFonts w:hint="eastAsia" w:cs="Times New Roman"/>
          <w:b/>
          <w:bCs/>
          <w:szCs w:val="21"/>
        </w:rPr>
        <w:t>5</w:t>
      </w:r>
      <w:r>
        <w:rPr>
          <w:rFonts w:cs="Times New Roman"/>
          <w:b/>
          <w:bCs/>
          <w:szCs w:val="21"/>
        </w:rPr>
        <w:t xml:space="preserve">  </w:t>
      </w:r>
      <w:r>
        <w:rPr>
          <w:rFonts w:cs="Times New Roman"/>
          <w:szCs w:val="21"/>
        </w:rPr>
        <w:t>顶管接收应符合下列规定：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顶管机接近接收井洞口加固区前，应加强测量</w:t>
      </w:r>
      <w:r>
        <w:rPr>
          <w:rFonts w:hint="eastAsia" w:cs="Times New Roman"/>
          <w:szCs w:val="21"/>
        </w:rPr>
        <w:t>顶进长度</w:t>
      </w:r>
      <w:r>
        <w:rPr>
          <w:rFonts w:cs="Times New Roman"/>
          <w:szCs w:val="21"/>
        </w:rPr>
        <w:t>和管</w:t>
      </w:r>
      <w:r>
        <w:rPr>
          <w:rFonts w:hint="eastAsia" w:cs="Times New Roman"/>
          <w:szCs w:val="21"/>
        </w:rPr>
        <w:t>位</w:t>
      </w:r>
      <w:r>
        <w:rPr>
          <w:rFonts w:cs="Times New Roman"/>
          <w:szCs w:val="21"/>
        </w:rPr>
        <w:t>偏差；</w:t>
      </w:r>
    </w:p>
    <w:p>
      <w:pPr>
        <w:ind w:firstLine="482"/>
        <w:textAlignment w:val="auto"/>
        <w:rPr>
          <w:rFonts w:hint="eastAsia" w:cs="Times New Roman"/>
          <w:szCs w:val="21"/>
        </w:rPr>
      </w:pPr>
      <w:r>
        <w:rPr>
          <w:rFonts w:cs="Times New Roman"/>
          <w:szCs w:val="21"/>
        </w:rPr>
        <w:t>2</w:t>
      </w:r>
      <w:r>
        <w:rPr>
          <w:rFonts w:hint="eastAsia" w:cs="Times New Roman"/>
          <w:b/>
          <w:bCs/>
          <w:szCs w:val="21"/>
        </w:rPr>
        <w:t xml:space="preserve">  </w:t>
      </w:r>
      <w:r>
        <w:rPr>
          <w:rFonts w:cs="Times New Roman"/>
          <w:szCs w:val="21"/>
        </w:rPr>
        <w:t>顶管机进入接收井洞口加固区时，应控制</w:t>
      </w:r>
      <w:r>
        <w:rPr>
          <w:rFonts w:hint="eastAsia" w:cs="Times New Roman"/>
          <w:szCs w:val="21"/>
          <w:lang w:eastAsia="zh-CN"/>
        </w:rPr>
        <w:t>顶进</w:t>
      </w:r>
      <w:r>
        <w:rPr>
          <w:rFonts w:cs="Times New Roman"/>
          <w:szCs w:val="21"/>
        </w:rPr>
        <w:t>速度在2mm/min～3mm/min，接近接收井洞口时，应拆除洞口</w:t>
      </w:r>
      <w:r>
        <w:rPr>
          <w:rFonts w:hint="eastAsia" w:cs="Times New Roman"/>
          <w:szCs w:val="21"/>
        </w:rPr>
        <w:t>支护结构</w:t>
      </w:r>
      <w:r>
        <w:rPr>
          <w:rFonts w:cs="Times New Roman"/>
          <w:szCs w:val="21"/>
        </w:rPr>
        <w:t>并清</w:t>
      </w:r>
      <w:r>
        <w:rPr>
          <w:rFonts w:hint="eastAsia" w:cs="Times New Roman"/>
          <w:szCs w:val="21"/>
        </w:rPr>
        <w:t>除</w:t>
      </w:r>
      <w:r>
        <w:rPr>
          <w:rFonts w:cs="Times New Roman"/>
          <w:szCs w:val="21"/>
        </w:rPr>
        <w:t>洞口障碍物</w:t>
      </w:r>
      <w:r>
        <w:rPr>
          <w:rFonts w:hint="eastAsia" w:cs="Times New Roman"/>
          <w:szCs w:val="21"/>
        </w:rPr>
        <w:t>。</w:t>
      </w:r>
    </w:p>
    <w:p>
      <w:pPr>
        <w:ind w:firstLine="482"/>
        <w:textAlignment w:val="auto"/>
        <w:rPr>
          <w:rFonts w:hint="eastAsia" w:cs="Times New Roman"/>
          <w:szCs w:val="21"/>
        </w:rPr>
      </w:pPr>
    </w:p>
    <w:p>
      <w:pPr>
        <w:keepNext/>
        <w:keepLines/>
        <w:jc w:val="center"/>
        <w:textAlignment w:val="auto"/>
        <w:outlineLvl w:val="1"/>
        <w:rPr>
          <w:rFonts w:hint="eastAsia" w:eastAsia="宋体" w:cs="Times New Roman"/>
          <w:b/>
          <w:bCs/>
          <w:sz w:val="28"/>
          <w:szCs w:val="32"/>
          <w:lang w:eastAsia="zh-CN"/>
        </w:rPr>
      </w:pPr>
      <w:bookmarkStart w:id="379" w:name="_Toc21683"/>
      <w:bookmarkStart w:id="380" w:name="_Toc60172929"/>
      <w:bookmarkStart w:id="381" w:name="_Toc17879"/>
      <w:bookmarkStart w:id="382" w:name="_Toc47692188"/>
      <w:bookmarkStart w:id="383" w:name="_Toc10974"/>
      <w:bookmarkStart w:id="384" w:name="_Toc60173816"/>
      <w:bookmarkStart w:id="385" w:name="_Toc17298"/>
      <w:bookmarkStart w:id="386" w:name="_Toc25882"/>
      <w:bookmarkStart w:id="387" w:name="_Toc23283"/>
      <w:bookmarkStart w:id="388" w:name="_Toc21696"/>
      <w:bookmarkStart w:id="389" w:name="_Toc18057075"/>
      <w:bookmarkStart w:id="390" w:name="_Toc11972"/>
      <w:bookmarkStart w:id="391" w:name="_Toc13757"/>
      <w:bookmarkStart w:id="392" w:name="_Toc15594"/>
      <w:bookmarkStart w:id="393" w:name="_Toc5403"/>
      <w:bookmarkStart w:id="394" w:name="_Toc11348"/>
      <w:bookmarkStart w:id="395" w:name="_Toc9350"/>
      <w:bookmarkStart w:id="396" w:name="_Toc17044"/>
      <w:r>
        <w:rPr>
          <w:rFonts w:cs="Times New Roman"/>
          <w:b/>
          <w:bCs/>
          <w:sz w:val="28"/>
          <w:szCs w:val="32"/>
        </w:rPr>
        <w:t>9.3  顶管</w:t>
      </w:r>
      <w:bookmarkEnd w:id="379"/>
      <w:bookmarkEnd w:id="380"/>
      <w:bookmarkEnd w:id="381"/>
      <w:bookmarkEnd w:id="382"/>
      <w:bookmarkEnd w:id="383"/>
      <w:bookmarkEnd w:id="384"/>
      <w:bookmarkEnd w:id="385"/>
      <w:bookmarkEnd w:id="386"/>
      <w:bookmarkEnd w:id="387"/>
      <w:bookmarkEnd w:id="388"/>
      <w:bookmarkEnd w:id="389"/>
      <w:bookmarkEnd w:id="390"/>
      <w:r>
        <w:rPr>
          <w:rFonts w:hint="eastAsia" w:cs="Times New Roman"/>
          <w:b/>
          <w:bCs/>
          <w:sz w:val="28"/>
          <w:szCs w:val="32"/>
          <w:lang w:eastAsia="zh-CN"/>
        </w:rPr>
        <w:t>顶进</w:t>
      </w:r>
      <w:bookmarkEnd w:id="391"/>
      <w:bookmarkEnd w:id="392"/>
      <w:bookmarkEnd w:id="393"/>
      <w:bookmarkEnd w:id="394"/>
      <w:bookmarkEnd w:id="395"/>
      <w:bookmarkEnd w:id="396"/>
    </w:p>
    <w:p>
      <w:pPr>
        <w:textAlignment w:val="auto"/>
        <w:rPr>
          <w:rFonts w:cs="Times New Roman"/>
          <w:szCs w:val="21"/>
        </w:rPr>
      </w:pPr>
      <w:r>
        <w:rPr>
          <w:rFonts w:cs="Times New Roman"/>
          <w:b/>
          <w:bCs/>
          <w:szCs w:val="21"/>
        </w:rPr>
        <w:t>9.3.1</w:t>
      </w:r>
      <w:r>
        <w:rPr>
          <w:rFonts w:hint="eastAsia" w:cs="Times New Roman"/>
          <w:b/>
          <w:bCs/>
          <w:szCs w:val="21"/>
        </w:rPr>
        <w:t xml:space="preserve">  </w:t>
      </w:r>
      <w:r>
        <w:rPr>
          <w:rFonts w:cs="Times New Roman"/>
          <w:szCs w:val="21"/>
        </w:rPr>
        <w:t>施工作业前应针对下列风险因素制定应急预案：</w:t>
      </w:r>
    </w:p>
    <w:p>
      <w:pPr>
        <w:ind w:firstLine="482"/>
        <w:textAlignment w:val="auto"/>
        <w:rPr>
          <w:rFonts w:cs="Times New Roman"/>
          <w:szCs w:val="21"/>
        </w:rPr>
      </w:pPr>
      <w:r>
        <w:rPr>
          <w:rFonts w:cs="Times New Roman"/>
          <w:szCs w:val="21"/>
        </w:rPr>
        <w:t xml:space="preserve">1 </w:t>
      </w:r>
      <w:r>
        <w:rPr>
          <w:rFonts w:hint="eastAsia" w:cs="Times New Roman"/>
          <w:szCs w:val="21"/>
        </w:rPr>
        <w:t xml:space="preserve"> </w:t>
      </w:r>
      <w:r>
        <w:rPr>
          <w:rFonts w:cs="Times New Roman"/>
          <w:szCs w:val="21"/>
        </w:rPr>
        <w:t>顶</w:t>
      </w:r>
      <w:r>
        <w:rPr>
          <w:rFonts w:hint="eastAsia" w:cs="Times New Roman"/>
          <w:szCs w:val="21"/>
        </w:rPr>
        <w:t>管机穿越管线</w:t>
      </w:r>
      <w:r>
        <w:rPr>
          <w:rFonts w:hint="eastAsia" w:cs="Times New Roman"/>
          <w:szCs w:val="21"/>
          <w:lang w:eastAsia="zh-CN"/>
        </w:rPr>
        <w:t>与</w:t>
      </w:r>
      <w:r>
        <w:rPr>
          <w:rFonts w:cs="Times New Roman"/>
          <w:szCs w:val="21"/>
        </w:rPr>
        <w:t>地面复杂环境</w:t>
      </w:r>
      <w:r>
        <w:rPr>
          <w:rFonts w:hint="eastAsia" w:cs="Times New Roman"/>
          <w:szCs w:val="21"/>
        </w:rPr>
        <w:t>引起管线或</w:t>
      </w:r>
      <w:r>
        <w:rPr>
          <w:rFonts w:cs="Times New Roman"/>
          <w:szCs w:val="21"/>
        </w:rPr>
        <w:t>地表</w:t>
      </w:r>
      <w:r>
        <w:rPr>
          <w:rFonts w:hint="eastAsia" w:cs="Times New Roman"/>
          <w:szCs w:val="21"/>
          <w:lang w:eastAsia="zh-CN"/>
        </w:rPr>
        <w:t>发生</w:t>
      </w:r>
      <w:r>
        <w:rPr>
          <w:rFonts w:hint="eastAsia" w:cs="Times New Roman"/>
          <w:szCs w:val="21"/>
        </w:rPr>
        <w:t>沉降</w:t>
      </w:r>
      <w:r>
        <w:rPr>
          <w:rFonts w:hint="eastAsia" w:cs="Times New Roman"/>
          <w:szCs w:val="21"/>
          <w:lang w:eastAsia="zh-CN"/>
        </w:rPr>
        <w:t>、</w:t>
      </w:r>
      <w:r>
        <w:rPr>
          <w:rFonts w:hint="eastAsia" w:cs="Times New Roman"/>
          <w:szCs w:val="21"/>
        </w:rPr>
        <w:t>隆起偏大的风险</w:t>
      </w:r>
      <w:r>
        <w:rPr>
          <w:rFonts w:cs="Times New Roman"/>
          <w:szCs w:val="21"/>
        </w:rPr>
        <w:t>；</w:t>
      </w:r>
    </w:p>
    <w:p>
      <w:pPr>
        <w:ind w:firstLine="482"/>
        <w:textAlignment w:val="auto"/>
        <w:rPr>
          <w:rFonts w:cs="Times New Roman"/>
          <w:szCs w:val="21"/>
        </w:rPr>
      </w:pPr>
      <w:r>
        <w:rPr>
          <w:rFonts w:cs="Times New Roman"/>
          <w:szCs w:val="21"/>
        </w:rPr>
        <w:t xml:space="preserve">2 </w:t>
      </w:r>
      <w:r>
        <w:rPr>
          <w:rFonts w:hint="eastAsia" w:cs="Times New Roman"/>
          <w:szCs w:val="21"/>
        </w:rPr>
        <w:t xml:space="preserve"> </w:t>
      </w:r>
      <w:r>
        <w:rPr>
          <w:rFonts w:cs="Times New Roman"/>
          <w:szCs w:val="21"/>
        </w:rPr>
        <w:t>施工期间存在突然停电、停水等影响工程质量</w:t>
      </w:r>
      <w:r>
        <w:rPr>
          <w:rFonts w:hint="eastAsia" w:cs="Times New Roman"/>
          <w:szCs w:val="21"/>
          <w:lang w:val="en-US" w:eastAsia="zh-CN"/>
        </w:rPr>
        <w:t>或安全</w:t>
      </w:r>
      <w:r>
        <w:rPr>
          <w:rFonts w:cs="Times New Roman"/>
          <w:szCs w:val="21"/>
        </w:rPr>
        <w:t>的风险；</w:t>
      </w:r>
    </w:p>
    <w:p>
      <w:pPr>
        <w:ind w:firstLine="482"/>
        <w:textAlignment w:val="auto"/>
        <w:rPr>
          <w:rFonts w:cs="Times New Roman"/>
          <w:szCs w:val="21"/>
        </w:rPr>
      </w:pPr>
      <w:r>
        <w:rPr>
          <w:rFonts w:cs="Times New Roman"/>
          <w:szCs w:val="21"/>
        </w:rPr>
        <w:t xml:space="preserve">3 </w:t>
      </w:r>
      <w:r>
        <w:rPr>
          <w:rFonts w:hint="eastAsia" w:cs="Times New Roman"/>
          <w:szCs w:val="21"/>
        </w:rPr>
        <w:t xml:space="preserve"> </w:t>
      </w:r>
      <w:r>
        <w:rPr>
          <w:rFonts w:cs="Times New Roman"/>
          <w:szCs w:val="21"/>
        </w:rPr>
        <w:t>施工期间存在不可预见恶劣水文气候条件对工程产生不利影响的风险；</w:t>
      </w:r>
    </w:p>
    <w:p>
      <w:pPr>
        <w:ind w:firstLine="482"/>
        <w:textAlignment w:val="auto"/>
        <w:rPr>
          <w:rFonts w:cs="Times New Roman"/>
          <w:szCs w:val="21"/>
        </w:rPr>
      </w:pPr>
      <w:r>
        <w:rPr>
          <w:rFonts w:cs="Times New Roman"/>
          <w:szCs w:val="21"/>
        </w:rPr>
        <w:t xml:space="preserve">4 </w:t>
      </w:r>
      <w:r>
        <w:rPr>
          <w:rFonts w:hint="eastAsia" w:cs="Times New Roman"/>
          <w:szCs w:val="21"/>
        </w:rPr>
        <w:t xml:space="preserve"> </w:t>
      </w:r>
      <w:r>
        <w:rPr>
          <w:rFonts w:cs="Times New Roman"/>
          <w:szCs w:val="21"/>
        </w:rPr>
        <w:t>施工现场机械设备产生故障的风险；</w:t>
      </w:r>
    </w:p>
    <w:p>
      <w:pPr>
        <w:ind w:firstLine="482"/>
        <w:textAlignment w:val="auto"/>
        <w:rPr>
          <w:rFonts w:hint="eastAsia" w:eastAsia="宋体" w:cs="Times New Roman"/>
          <w:szCs w:val="21"/>
          <w:lang w:eastAsia="zh-CN"/>
        </w:rPr>
      </w:pPr>
      <w:r>
        <w:rPr>
          <w:rFonts w:cs="Times New Roman"/>
          <w:szCs w:val="21"/>
        </w:rPr>
        <w:t xml:space="preserve">5 </w:t>
      </w:r>
      <w:r>
        <w:rPr>
          <w:rFonts w:hint="eastAsia" w:cs="Times New Roman"/>
          <w:szCs w:val="21"/>
        </w:rPr>
        <w:t xml:space="preserve"> </w:t>
      </w:r>
      <w:r>
        <w:rPr>
          <w:rFonts w:cs="Times New Roman"/>
          <w:szCs w:val="21"/>
        </w:rPr>
        <w:t>施工现场的</w:t>
      </w:r>
      <w:r>
        <w:rPr>
          <w:rFonts w:hint="eastAsia" w:cs="Times New Roman"/>
          <w:szCs w:val="21"/>
          <w:lang w:eastAsia="zh-CN"/>
        </w:rPr>
        <w:t>不良</w:t>
      </w:r>
      <w:r>
        <w:rPr>
          <w:rFonts w:hint="eastAsia" w:cs="Times New Roman"/>
          <w:szCs w:val="21"/>
        </w:rPr>
        <w:t>地质</w:t>
      </w:r>
      <w:r>
        <w:rPr>
          <w:rFonts w:cs="Times New Roman"/>
          <w:szCs w:val="21"/>
        </w:rPr>
        <w:t>风险</w:t>
      </w:r>
      <w:r>
        <w:rPr>
          <w:rFonts w:hint="eastAsia" w:cs="Times New Roman"/>
          <w:szCs w:val="21"/>
          <w:lang w:eastAsia="zh-CN"/>
        </w:rPr>
        <w:t>；</w:t>
      </w:r>
    </w:p>
    <w:p>
      <w:pPr>
        <w:ind w:firstLine="480"/>
        <w:textAlignment w:val="auto"/>
        <w:rPr>
          <w:rFonts w:cs="Times New Roman"/>
          <w:szCs w:val="21"/>
        </w:rPr>
      </w:pPr>
      <w:r>
        <w:rPr>
          <w:rFonts w:hint="eastAsia" w:cs="Times New Roman"/>
          <w:szCs w:val="21"/>
        </w:rPr>
        <w:t>6</w:t>
      </w:r>
      <w:r>
        <w:rPr>
          <w:rFonts w:cs="Times New Roman"/>
          <w:szCs w:val="21"/>
        </w:rPr>
        <w:t xml:space="preserve"> </w:t>
      </w:r>
      <w:r>
        <w:rPr>
          <w:rFonts w:hint="eastAsia" w:cs="Times New Roman"/>
          <w:szCs w:val="21"/>
        </w:rPr>
        <w:t xml:space="preserve"> 施工过程中可能对周边环境造成的</w:t>
      </w:r>
      <w:r>
        <w:rPr>
          <w:rFonts w:hint="eastAsia" w:cs="Times New Roman"/>
          <w:szCs w:val="21"/>
          <w:lang w:val="en-US" w:eastAsia="zh-CN"/>
        </w:rPr>
        <w:t>其他</w:t>
      </w:r>
      <w:r>
        <w:rPr>
          <w:rFonts w:hint="eastAsia" w:cs="Times New Roman"/>
          <w:szCs w:val="21"/>
        </w:rPr>
        <w:t>风险。</w:t>
      </w:r>
    </w:p>
    <w:p>
      <w:pPr>
        <w:textAlignment w:val="auto"/>
        <w:rPr>
          <w:rFonts w:cs="Times New Roman"/>
          <w:szCs w:val="21"/>
        </w:rPr>
      </w:pPr>
      <w:r>
        <w:rPr>
          <w:rFonts w:cs="Times New Roman"/>
          <w:b/>
          <w:szCs w:val="21"/>
        </w:rPr>
        <w:t xml:space="preserve">9.3.2 </w:t>
      </w:r>
      <w:r>
        <w:rPr>
          <w:rFonts w:hint="eastAsia" w:cs="Times New Roman"/>
          <w:b/>
          <w:szCs w:val="21"/>
        </w:rPr>
        <w:t xml:space="preserve"> </w:t>
      </w:r>
      <w:r>
        <w:rPr>
          <w:rFonts w:cs="Times New Roman"/>
          <w:szCs w:val="21"/>
        </w:rPr>
        <w:t>顶管施工测量应建立地面与地下测量控制系统</w:t>
      </w:r>
      <w:r>
        <w:rPr>
          <w:rFonts w:hint="eastAsia" w:cs="Times New Roman"/>
          <w:szCs w:val="21"/>
        </w:rPr>
        <w:t>，并应符合下列规定：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 xml:space="preserve"> 控制点应设置在不易扰动、视线清楚、方便校核的位置，并应采取保护措施；</w:t>
      </w:r>
    </w:p>
    <w:p>
      <w:pPr>
        <w:ind w:firstLine="482"/>
        <w:textAlignment w:val="auto"/>
        <w:rPr>
          <w:rFonts w:cs="Times New Roman"/>
          <w:szCs w:val="21"/>
        </w:rPr>
      </w:pPr>
      <w:r>
        <w:rPr>
          <w:rFonts w:cs="Times New Roman"/>
          <w:szCs w:val="21"/>
        </w:rPr>
        <w:t>2</w:t>
      </w:r>
      <w:r>
        <w:rPr>
          <w:rFonts w:hint="eastAsia" w:cs="Times New Roman"/>
          <w:szCs w:val="21"/>
        </w:rPr>
        <w:t xml:space="preserve"> </w:t>
      </w:r>
      <w:r>
        <w:rPr>
          <w:rFonts w:cs="Times New Roman"/>
          <w:szCs w:val="21"/>
        </w:rPr>
        <w:t xml:space="preserve"> 测量使用的仪器应检查校正，精度应符合现行国家标准《工程测量规范》GB 50026的有关规定；</w:t>
      </w:r>
    </w:p>
    <w:p>
      <w:pPr>
        <w:ind w:firstLine="482"/>
        <w:textAlignment w:val="auto"/>
        <w:rPr>
          <w:rFonts w:cs="Times New Roman"/>
          <w:szCs w:val="21"/>
        </w:rPr>
      </w:pPr>
      <w:r>
        <w:rPr>
          <w:rFonts w:cs="Times New Roman"/>
          <w:szCs w:val="21"/>
        </w:rPr>
        <w:t>3</w:t>
      </w:r>
      <w:r>
        <w:rPr>
          <w:rFonts w:hint="eastAsia" w:cs="Times New Roman"/>
          <w:b/>
          <w:bCs/>
          <w:szCs w:val="21"/>
        </w:rPr>
        <w:t xml:space="preserve"> </w:t>
      </w:r>
      <w:r>
        <w:rPr>
          <w:rFonts w:cs="Times New Roman"/>
          <w:b/>
          <w:bCs/>
          <w:szCs w:val="21"/>
        </w:rPr>
        <w:t xml:space="preserve"> </w:t>
      </w:r>
      <w:r>
        <w:rPr>
          <w:rFonts w:cs="Times New Roman"/>
          <w:szCs w:val="21"/>
        </w:rPr>
        <w:t>施工中应对</w:t>
      </w:r>
      <w:r>
        <w:rPr>
          <w:rFonts w:hint="eastAsia" w:cs="Times New Roman"/>
          <w:szCs w:val="21"/>
          <w:lang w:eastAsia="zh-CN"/>
        </w:rPr>
        <w:t>顶进</w:t>
      </w:r>
      <w:r>
        <w:rPr>
          <w:rFonts w:cs="Times New Roman"/>
          <w:szCs w:val="21"/>
        </w:rPr>
        <w:t>方向的高程偏差、轴线偏差、顶管</w:t>
      </w:r>
      <w:r>
        <w:rPr>
          <w:rFonts w:hint="eastAsia" w:cs="Times New Roman"/>
          <w:szCs w:val="21"/>
          <w:lang w:eastAsia="zh-CN"/>
        </w:rPr>
        <w:t>顶进</w:t>
      </w:r>
      <w:r>
        <w:rPr>
          <w:rFonts w:cs="Times New Roman"/>
          <w:szCs w:val="21"/>
        </w:rPr>
        <w:t>的姿态</w:t>
      </w:r>
      <w:r>
        <w:rPr>
          <w:rFonts w:hint="eastAsia" w:cs="Times New Roman"/>
          <w:szCs w:val="21"/>
          <w:lang w:val="en-US" w:eastAsia="zh-CN"/>
        </w:rPr>
        <w:t>和</w:t>
      </w:r>
      <w:r>
        <w:rPr>
          <w:rFonts w:hint="eastAsia" w:cs="Times New Roman"/>
          <w:szCs w:val="21"/>
          <w:lang w:eastAsia="zh-CN"/>
        </w:rPr>
        <w:t>顶进</w:t>
      </w:r>
      <w:r>
        <w:rPr>
          <w:rFonts w:cs="Times New Roman"/>
          <w:szCs w:val="21"/>
        </w:rPr>
        <w:t>长度等参数进行测量。</w:t>
      </w:r>
    </w:p>
    <w:p>
      <w:pPr>
        <w:textAlignment w:val="auto"/>
        <w:rPr>
          <w:rFonts w:cs="Times New Roman"/>
          <w:szCs w:val="21"/>
        </w:rPr>
      </w:pPr>
      <w:r>
        <w:rPr>
          <w:rFonts w:cs="Times New Roman"/>
          <w:b/>
          <w:bCs/>
          <w:szCs w:val="21"/>
        </w:rPr>
        <w:t>9.3.</w:t>
      </w:r>
      <w:r>
        <w:rPr>
          <w:rFonts w:hint="eastAsia" w:cs="Times New Roman"/>
          <w:b/>
          <w:bCs/>
          <w:szCs w:val="21"/>
        </w:rPr>
        <w:t xml:space="preserve">3  </w:t>
      </w:r>
      <w:r>
        <w:rPr>
          <w:rFonts w:cs="Times New Roman"/>
          <w:szCs w:val="21"/>
        </w:rPr>
        <w:t>土压平衡矩形顶管</w:t>
      </w:r>
      <w:r>
        <w:rPr>
          <w:rFonts w:hint="eastAsia" w:cs="Times New Roman"/>
          <w:szCs w:val="21"/>
          <w:lang w:eastAsia="zh-CN"/>
        </w:rPr>
        <w:t>顶进</w:t>
      </w:r>
      <w:r>
        <w:rPr>
          <w:rFonts w:cs="Times New Roman"/>
          <w:szCs w:val="21"/>
        </w:rPr>
        <w:t>施工应符合下列规定：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hint="eastAsia" w:cs="Times New Roman"/>
          <w:szCs w:val="21"/>
          <w:lang w:eastAsia="zh-CN"/>
        </w:rPr>
        <w:t>顶进</w:t>
      </w:r>
      <w:r>
        <w:rPr>
          <w:rFonts w:cs="Times New Roman"/>
          <w:szCs w:val="21"/>
        </w:rPr>
        <w:t>前，应根据顶进</w:t>
      </w:r>
      <w:r>
        <w:rPr>
          <w:rFonts w:hint="eastAsia" w:cs="Times New Roman"/>
          <w:szCs w:val="21"/>
          <w:lang w:eastAsia="zh-CN"/>
        </w:rPr>
        <w:t>管廊</w:t>
      </w:r>
      <w:r>
        <w:rPr>
          <w:rFonts w:cs="Times New Roman"/>
          <w:szCs w:val="21"/>
        </w:rPr>
        <w:t>覆土厚度、土体性质、地下水埋深等因素确定土舱压力控制值；</w:t>
      </w:r>
    </w:p>
    <w:p>
      <w:pPr>
        <w:ind w:firstLine="482"/>
        <w:textAlignment w:val="auto"/>
        <w:rPr>
          <w:rFonts w:cs="Times New Roman"/>
          <w:szCs w:val="21"/>
        </w:rPr>
      </w:pPr>
      <w:r>
        <w:rPr>
          <w:rFonts w:cs="Times New Roman"/>
          <w:szCs w:val="21"/>
        </w:rPr>
        <w:t>2</w:t>
      </w:r>
      <w:r>
        <w:rPr>
          <w:rFonts w:hint="eastAsia" w:cs="Times New Roman"/>
          <w:szCs w:val="21"/>
        </w:rPr>
        <w:t xml:space="preserve">  </w:t>
      </w:r>
      <w:r>
        <w:rPr>
          <w:rFonts w:hint="eastAsia" w:cs="Times New Roman"/>
          <w:szCs w:val="21"/>
          <w:lang w:eastAsia="zh-CN"/>
        </w:rPr>
        <w:t>顶进</w:t>
      </w:r>
      <w:r>
        <w:rPr>
          <w:rFonts w:cs="Times New Roman"/>
          <w:szCs w:val="21"/>
        </w:rPr>
        <w:t>中，</w:t>
      </w:r>
      <w:r>
        <w:rPr>
          <w:rFonts w:hint="eastAsia" w:cs="Times New Roman"/>
          <w:szCs w:val="21"/>
        </w:rPr>
        <w:t>应</w:t>
      </w:r>
      <w:r>
        <w:rPr>
          <w:rFonts w:cs="Times New Roman"/>
          <w:szCs w:val="21"/>
        </w:rPr>
        <w:t>根据土舱压力的变化，调节排土速度与顶进速度，使土舱压力始终保持在预设范围内；</w:t>
      </w:r>
    </w:p>
    <w:p>
      <w:pPr>
        <w:ind w:firstLine="482"/>
        <w:textAlignment w:val="auto"/>
        <w:rPr>
          <w:rFonts w:cs="Times New Roman"/>
          <w:szCs w:val="21"/>
        </w:rPr>
      </w:pPr>
      <w:r>
        <w:rPr>
          <w:rFonts w:cs="Times New Roman"/>
          <w:szCs w:val="21"/>
        </w:rPr>
        <w:t>3</w:t>
      </w:r>
      <w:r>
        <w:rPr>
          <w:rFonts w:hint="eastAsia" w:cs="Times New Roman"/>
          <w:szCs w:val="21"/>
        </w:rPr>
        <w:t xml:space="preserve">  </w:t>
      </w:r>
      <w:r>
        <w:rPr>
          <w:rFonts w:cs="Times New Roman"/>
          <w:szCs w:val="21"/>
        </w:rPr>
        <w:t>应根据不同的土质采取不同的渣土改良方法；</w:t>
      </w:r>
    </w:p>
    <w:p>
      <w:pPr>
        <w:ind w:firstLine="482"/>
        <w:textAlignment w:val="auto"/>
        <w:rPr>
          <w:rFonts w:cs="Times New Roman"/>
          <w:szCs w:val="21"/>
        </w:rPr>
      </w:pPr>
      <w:r>
        <w:rPr>
          <w:rFonts w:cs="Times New Roman"/>
          <w:szCs w:val="21"/>
        </w:rPr>
        <w:t>4</w:t>
      </w:r>
      <w:r>
        <w:rPr>
          <w:rFonts w:hint="eastAsia" w:cs="Times New Roman"/>
          <w:szCs w:val="21"/>
        </w:rPr>
        <w:t xml:space="preserve">  </w:t>
      </w:r>
      <w:r>
        <w:rPr>
          <w:rFonts w:cs="Times New Roman"/>
          <w:szCs w:val="21"/>
        </w:rPr>
        <w:t>开顶时，应先启动刀盘转动，再启动油缸推进；停顶时，应先停止油缸推进，再停止刀盘转动；</w:t>
      </w:r>
    </w:p>
    <w:p>
      <w:pPr>
        <w:ind w:firstLine="482"/>
        <w:textAlignment w:val="auto"/>
        <w:rPr>
          <w:rFonts w:cs="Times New Roman"/>
          <w:szCs w:val="21"/>
        </w:rPr>
      </w:pPr>
      <w:r>
        <w:rPr>
          <w:rFonts w:cs="Times New Roman"/>
          <w:szCs w:val="21"/>
        </w:rPr>
        <w:t xml:space="preserve">5 </w:t>
      </w:r>
      <w:r>
        <w:rPr>
          <w:rFonts w:hint="eastAsia" w:cs="Times New Roman"/>
          <w:szCs w:val="21"/>
        </w:rPr>
        <w:t xml:space="preserve"> </w:t>
      </w:r>
      <w:r>
        <w:rPr>
          <w:rFonts w:hint="eastAsia" w:cs="Times New Roman"/>
          <w:szCs w:val="21"/>
          <w:lang w:eastAsia="zh-CN"/>
        </w:rPr>
        <w:t>顶进</w:t>
      </w:r>
      <w:r>
        <w:rPr>
          <w:rFonts w:cs="Times New Roman"/>
          <w:szCs w:val="21"/>
        </w:rPr>
        <w:t>中，应同步向管外壁注入</w:t>
      </w:r>
      <w:r>
        <w:rPr>
          <w:rFonts w:hint="eastAsia" w:ascii="宋体" w:hAnsi="宋体" w:cs="宋体"/>
          <w:szCs w:val="21"/>
        </w:rPr>
        <w:t>触变泥浆</w:t>
      </w:r>
      <w:r>
        <w:rPr>
          <w:rFonts w:cs="Times New Roman"/>
          <w:szCs w:val="21"/>
        </w:rPr>
        <w:t>，并应根据泥浆的损失适当补充注浆；</w:t>
      </w:r>
    </w:p>
    <w:p>
      <w:pPr>
        <w:ind w:firstLine="482"/>
        <w:textAlignment w:val="auto"/>
        <w:rPr>
          <w:rFonts w:cs="Times New Roman"/>
          <w:szCs w:val="21"/>
        </w:rPr>
      </w:pPr>
      <w:r>
        <w:rPr>
          <w:rFonts w:cs="Times New Roman"/>
          <w:szCs w:val="21"/>
        </w:rPr>
        <w:t xml:space="preserve">6 </w:t>
      </w:r>
      <w:r>
        <w:rPr>
          <w:rFonts w:hint="eastAsia" w:cs="Times New Roman"/>
          <w:b/>
          <w:bCs/>
          <w:szCs w:val="21"/>
        </w:rPr>
        <w:t xml:space="preserve"> </w:t>
      </w:r>
      <w:r>
        <w:rPr>
          <w:rFonts w:hint="eastAsia" w:cs="Times New Roman"/>
          <w:szCs w:val="21"/>
          <w:lang w:eastAsia="zh-CN"/>
        </w:rPr>
        <w:t>顶进</w:t>
      </w:r>
      <w:r>
        <w:rPr>
          <w:rFonts w:cs="Times New Roman"/>
          <w:szCs w:val="21"/>
        </w:rPr>
        <w:t>过程中，应随时对</w:t>
      </w:r>
      <w:r>
        <w:rPr>
          <w:rFonts w:hint="eastAsia" w:cs="Times New Roman"/>
          <w:szCs w:val="21"/>
          <w:lang w:eastAsia="zh-CN"/>
        </w:rPr>
        <w:t>顶进</w:t>
      </w:r>
      <w:r>
        <w:rPr>
          <w:rFonts w:cs="Times New Roman"/>
          <w:szCs w:val="21"/>
        </w:rPr>
        <w:t>机位置进行测量定位，及时纠偏；</w:t>
      </w:r>
    </w:p>
    <w:p>
      <w:pPr>
        <w:ind w:firstLine="482"/>
        <w:textAlignment w:val="auto"/>
        <w:rPr>
          <w:rFonts w:cs="Times New Roman"/>
          <w:szCs w:val="21"/>
        </w:rPr>
      </w:pPr>
      <w:r>
        <w:rPr>
          <w:rFonts w:cs="Times New Roman"/>
          <w:szCs w:val="21"/>
        </w:rPr>
        <w:t xml:space="preserve">7 </w:t>
      </w:r>
      <w:r>
        <w:rPr>
          <w:rFonts w:hint="eastAsia" w:cs="Times New Roman"/>
          <w:b/>
          <w:bCs/>
          <w:szCs w:val="21"/>
        </w:rPr>
        <w:t xml:space="preserve"> </w:t>
      </w:r>
      <w:r>
        <w:rPr>
          <w:rFonts w:cs="Times New Roman"/>
          <w:szCs w:val="21"/>
        </w:rPr>
        <w:t>土压平衡顶管机在遇到中粗砂、砂卵石层等地层时，应通过设在顶管机刀盘和胸板上的注浆孔向土舱内注入改良用的黏土等作泥材料制成的浆液</w:t>
      </w:r>
      <w:r>
        <w:rPr>
          <w:rFonts w:hint="eastAsia" w:cs="Times New Roman"/>
          <w:szCs w:val="21"/>
        </w:rPr>
        <w:t>，</w:t>
      </w:r>
      <w:r>
        <w:rPr>
          <w:rFonts w:cs="Times New Roman"/>
          <w:szCs w:val="21"/>
        </w:rPr>
        <w:t>并应符合下列规定：</w:t>
      </w:r>
    </w:p>
    <w:p>
      <w:pPr>
        <w:ind w:left="1080" w:leftChars="300" w:hanging="360" w:hangingChars="150"/>
        <w:textAlignment w:val="auto"/>
        <w:rPr>
          <w:rFonts w:cs="Times New Roman"/>
          <w:szCs w:val="21"/>
        </w:rPr>
      </w:pPr>
      <w:r>
        <w:rPr>
          <w:rFonts w:cs="Times New Roman"/>
          <w:szCs w:val="21"/>
        </w:rPr>
        <w:t>1</w:t>
      </w:r>
      <w:r>
        <w:rPr>
          <w:rFonts w:hint="eastAsia" w:cs="Times New Roman"/>
          <w:szCs w:val="21"/>
          <w:lang w:eastAsia="zh-CN"/>
        </w:rPr>
        <w:t>）</w:t>
      </w:r>
      <w:r>
        <w:rPr>
          <w:rFonts w:cs="Times New Roman"/>
          <w:szCs w:val="21"/>
        </w:rPr>
        <w:t>土质的渗透系数较大时，</w:t>
      </w:r>
      <w:r>
        <w:rPr>
          <w:rFonts w:hint="eastAsia" w:cs="Times New Roman"/>
          <w:szCs w:val="21"/>
        </w:rPr>
        <w:t>配置</w:t>
      </w:r>
      <w:r>
        <w:rPr>
          <w:rFonts w:cs="Times New Roman"/>
          <w:szCs w:val="21"/>
        </w:rPr>
        <w:t>的泥浆应具有较大的粘度，C型粘度计值</w:t>
      </w:r>
      <w:r>
        <w:rPr>
          <w:rFonts w:hint="eastAsia" w:cs="Times New Roman"/>
          <w:szCs w:val="21"/>
        </w:rPr>
        <w:t>宜为</w:t>
      </w:r>
      <w:r>
        <w:rPr>
          <w:rFonts w:cs="Times New Roman"/>
          <w:szCs w:val="21"/>
        </w:rPr>
        <w:t>8000cp～10000cp，比重</w:t>
      </w:r>
      <w:r>
        <w:rPr>
          <w:rFonts w:hint="eastAsia" w:cs="Times New Roman"/>
          <w:szCs w:val="21"/>
        </w:rPr>
        <w:t>宜为</w:t>
      </w:r>
      <w:r>
        <w:rPr>
          <w:rFonts w:cs="Times New Roman"/>
          <w:szCs w:val="21"/>
        </w:rPr>
        <w:t>1.30～1.50；</w:t>
      </w:r>
    </w:p>
    <w:p>
      <w:pPr>
        <w:ind w:left="1080" w:leftChars="300" w:hanging="360" w:hangingChars="150"/>
        <w:textAlignment w:val="auto"/>
        <w:rPr>
          <w:rFonts w:hint="eastAsia" w:cs="Times New Roman"/>
          <w:szCs w:val="21"/>
        </w:rPr>
      </w:pPr>
      <w:r>
        <w:rPr>
          <w:rFonts w:hint="eastAsia" w:cs="Times New Roman"/>
          <w:szCs w:val="21"/>
        </w:rPr>
        <w:t>2</w:t>
      </w:r>
      <w:r>
        <w:rPr>
          <w:rFonts w:hint="default" w:cs="Times New Roman"/>
          <w:szCs w:val="21"/>
          <w:lang w:eastAsia="zh-CN"/>
        </w:rPr>
        <w:t>）</w:t>
      </w:r>
      <w:r>
        <w:rPr>
          <w:rFonts w:hint="eastAsia" w:cs="Times New Roman"/>
          <w:szCs w:val="21"/>
        </w:rPr>
        <w:t>泥浆的注入量宜为渣土体积15%～30%，应根据螺旋出土机所排渣土的状况确定</w:t>
      </w:r>
      <w:r>
        <w:rPr>
          <w:rFonts w:hint="eastAsia" w:eastAsia="宋体" w:cs="Times New Roman"/>
          <w:sz w:val="24"/>
          <w:szCs w:val="21"/>
        </w:rPr>
        <w:t>，</w:t>
      </w:r>
      <w:r>
        <w:rPr>
          <w:rFonts w:hint="eastAsia" w:cs="Times New Roman"/>
          <w:szCs w:val="21"/>
        </w:rPr>
        <w:t>改良后的土体应具有良好的塑性、流动性以及止水性；</w:t>
      </w:r>
    </w:p>
    <w:p>
      <w:pPr>
        <w:ind w:left="1080" w:leftChars="300" w:hanging="360" w:hangingChars="150"/>
        <w:textAlignment w:val="auto"/>
        <w:rPr>
          <w:rFonts w:hint="eastAsia" w:cs="Times New Roman"/>
          <w:szCs w:val="21"/>
        </w:rPr>
      </w:pPr>
      <w:r>
        <w:rPr>
          <w:rFonts w:hint="eastAsia" w:cs="Times New Roman"/>
          <w:szCs w:val="21"/>
        </w:rPr>
        <w:t>3</w:t>
      </w:r>
      <w:r>
        <w:rPr>
          <w:rFonts w:hint="default" w:cs="Times New Roman"/>
          <w:szCs w:val="21"/>
          <w:lang w:eastAsia="zh-CN"/>
        </w:rPr>
        <w:t>）</w:t>
      </w:r>
      <w:r>
        <w:rPr>
          <w:rFonts w:hint="eastAsia" w:cs="Times New Roman"/>
          <w:szCs w:val="21"/>
        </w:rPr>
        <w:t>对不同的土质应选用不同的泥浆配比、注入不同的泥浆量；</w:t>
      </w:r>
    </w:p>
    <w:p>
      <w:pPr>
        <w:ind w:left="1080" w:leftChars="300" w:hanging="360" w:hangingChars="150"/>
        <w:textAlignment w:val="auto"/>
        <w:rPr>
          <w:rFonts w:hint="eastAsia" w:cs="Times New Roman"/>
          <w:szCs w:val="21"/>
        </w:rPr>
      </w:pPr>
      <w:r>
        <w:rPr>
          <w:rFonts w:hint="eastAsia" w:cs="Times New Roman"/>
          <w:szCs w:val="21"/>
        </w:rPr>
        <w:t>4</w:t>
      </w:r>
      <w:r>
        <w:rPr>
          <w:rFonts w:hint="eastAsia" w:cs="Times New Roman"/>
          <w:szCs w:val="21"/>
          <w:lang w:eastAsia="zh-CN"/>
        </w:rPr>
        <w:t>）</w:t>
      </w:r>
      <w:r>
        <w:rPr>
          <w:rFonts w:hint="eastAsia" w:cs="Times New Roman"/>
          <w:szCs w:val="21"/>
        </w:rPr>
        <w:t>泥浆注入应有专人负责，注入压力、注入量、泥浆配比等数据应有详细的记录，并通过初始推进阶段试验以后确定注入压力、注入量、泥浆配比等施工参数。</w:t>
      </w:r>
    </w:p>
    <w:p>
      <w:pPr>
        <w:ind w:firstLine="482"/>
        <w:textAlignment w:val="auto"/>
        <w:rPr>
          <w:rFonts w:cs="Times New Roman"/>
          <w:szCs w:val="21"/>
        </w:rPr>
      </w:pPr>
      <w:r>
        <w:rPr>
          <w:rFonts w:cs="Times New Roman"/>
          <w:szCs w:val="21"/>
        </w:rPr>
        <w:t>8</w:t>
      </w:r>
      <w:r>
        <w:rPr>
          <w:rFonts w:hint="eastAsia" w:cs="Times New Roman"/>
          <w:szCs w:val="21"/>
        </w:rPr>
        <w:t xml:space="preserve"> </w:t>
      </w:r>
      <w:r>
        <w:rPr>
          <w:rFonts w:hint="eastAsia" w:cs="Times New Roman"/>
          <w:b/>
          <w:bCs/>
          <w:szCs w:val="21"/>
        </w:rPr>
        <w:t xml:space="preserve"> </w:t>
      </w:r>
      <w:r>
        <w:rPr>
          <w:rFonts w:cs="Times New Roman"/>
          <w:szCs w:val="21"/>
        </w:rPr>
        <w:t>渣土改良后的效果及作用应符合下列规定：</w:t>
      </w:r>
    </w:p>
    <w:p>
      <w:pPr>
        <w:adjustRightInd/>
        <w:snapToGrid/>
        <w:ind w:left="1080" w:leftChars="300" w:hanging="360" w:hangingChars="150"/>
        <w:textAlignment w:val="auto"/>
        <w:rPr>
          <w:rFonts w:cs="Times New Roman"/>
          <w:szCs w:val="21"/>
        </w:rPr>
      </w:pPr>
      <w:r>
        <w:rPr>
          <w:rFonts w:cs="Times New Roman"/>
          <w:szCs w:val="21"/>
        </w:rPr>
        <w:t>1</w:t>
      </w:r>
      <w:r>
        <w:rPr>
          <w:rFonts w:hint="eastAsia" w:cs="Times New Roman"/>
          <w:szCs w:val="21"/>
          <w:lang w:eastAsia="zh-CN"/>
        </w:rPr>
        <w:t>）</w:t>
      </w:r>
      <w:r>
        <w:rPr>
          <w:rFonts w:cs="Times New Roman"/>
          <w:szCs w:val="21"/>
        </w:rPr>
        <w:t>渣土改良后的渣土应呈流塑状或膏状，并应平稳控制土压，开挖面</w:t>
      </w:r>
      <w:r>
        <w:rPr>
          <w:rFonts w:hint="eastAsia" w:cs="Times New Roman"/>
          <w:szCs w:val="21"/>
        </w:rPr>
        <w:t>地表</w:t>
      </w:r>
      <w:r>
        <w:rPr>
          <w:rFonts w:cs="Times New Roman"/>
          <w:szCs w:val="21"/>
        </w:rPr>
        <w:t>不应出现大的隆起或沉降；</w:t>
      </w:r>
    </w:p>
    <w:p>
      <w:pPr>
        <w:adjustRightInd/>
        <w:snapToGrid/>
        <w:ind w:left="1080" w:leftChars="300" w:hanging="360" w:hangingChars="150"/>
        <w:textAlignment w:val="auto"/>
        <w:rPr>
          <w:rFonts w:cs="Times New Roman"/>
          <w:szCs w:val="21"/>
        </w:rPr>
      </w:pPr>
      <w:r>
        <w:rPr>
          <w:rFonts w:cs="Times New Roman"/>
          <w:szCs w:val="21"/>
        </w:rPr>
        <w:t>2</w:t>
      </w:r>
      <w:r>
        <w:rPr>
          <w:rFonts w:hint="eastAsia" w:cs="Times New Roman"/>
          <w:szCs w:val="21"/>
          <w:lang w:eastAsia="zh-CN"/>
        </w:rPr>
        <w:t>）</w:t>
      </w:r>
      <w:r>
        <w:rPr>
          <w:rFonts w:cs="Times New Roman"/>
          <w:szCs w:val="21"/>
        </w:rPr>
        <w:t>渣土改良后应降低土体的内摩擦角，增加土体的流动性，减小土体对刀具、面板、土仓、螺旋</w:t>
      </w:r>
      <w:r>
        <w:rPr>
          <w:rFonts w:hint="eastAsia" w:cs="Times New Roman"/>
          <w:szCs w:val="21"/>
        </w:rPr>
        <w:t>出土</w:t>
      </w:r>
      <w:r>
        <w:rPr>
          <w:rFonts w:cs="Times New Roman"/>
          <w:szCs w:val="21"/>
        </w:rPr>
        <w:t>机的磨损；</w:t>
      </w:r>
    </w:p>
    <w:p>
      <w:pPr>
        <w:adjustRightInd/>
        <w:snapToGrid/>
        <w:ind w:left="1080" w:leftChars="300" w:hanging="360" w:hangingChars="150"/>
        <w:textAlignment w:val="auto"/>
        <w:rPr>
          <w:rFonts w:cs="Times New Roman"/>
          <w:szCs w:val="21"/>
        </w:rPr>
      </w:pPr>
      <w:r>
        <w:rPr>
          <w:rFonts w:cs="Times New Roman"/>
          <w:szCs w:val="21"/>
        </w:rPr>
        <w:t>3</w:t>
      </w:r>
      <w:r>
        <w:rPr>
          <w:rFonts w:hint="eastAsia" w:cs="Times New Roman"/>
          <w:szCs w:val="21"/>
          <w:lang w:eastAsia="zh-CN"/>
        </w:rPr>
        <w:t>）</w:t>
      </w:r>
      <w:r>
        <w:rPr>
          <w:rFonts w:cs="Times New Roman"/>
          <w:szCs w:val="21"/>
        </w:rPr>
        <w:t>改良剂应加注到刀盘前方，切削土体</w:t>
      </w:r>
      <w:r>
        <w:rPr>
          <w:rFonts w:hint="eastAsia" w:cs="Times New Roman"/>
          <w:szCs w:val="21"/>
        </w:rPr>
        <w:t>应</w:t>
      </w:r>
      <w:r>
        <w:rPr>
          <w:rFonts w:cs="Times New Roman"/>
          <w:szCs w:val="21"/>
        </w:rPr>
        <w:t>经过刀盘及搅拌棒的搅拌，土仓内的土体通过刀盘充分搅拌后应达到较好的流塑性，并可从螺旋机口顺利排出。</w:t>
      </w:r>
    </w:p>
    <w:p>
      <w:pPr>
        <w:ind w:firstLine="482"/>
        <w:textAlignment w:val="auto"/>
        <w:rPr>
          <w:rFonts w:cs="Times New Roman"/>
          <w:szCs w:val="21"/>
        </w:rPr>
      </w:pPr>
      <w:r>
        <w:rPr>
          <w:rFonts w:cs="Times New Roman"/>
          <w:szCs w:val="21"/>
        </w:rPr>
        <w:t>9</w:t>
      </w:r>
      <w:r>
        <w:rPr>
          <w:rFonts w:hint="eastAsia" w:cs="Times New Roman"/>
          <w:szCs w:val="21"/>
        </w:rPr>
        <w:t xml:space="preserve">  </w:t>
      </w:r>
      <w:r>
        <w:rPr>
          <w:rFonts w:cs="Times New Roman"/>
          <w:szCs w:val="21"/>
        </w:rPr>
        <w:t>矩形土压平衡顶管机掌子面防结泥饼应采取下列措施：</w:t>
      </w:r>
    </w:p>
    <w:p>
      <w:pPr>
        <w:adjustRightInd/>
        <w:snapToGrid/>
        <w:ind w:left="1080" w:leftChars="300" w:hanging="360" w:hangingChars="150"/>
        <w:textAlignment w:val="auto"/>
        <w:rPr>
          <w:rFonts w:cs="Times New Roman"/>
          <w:szCs w:val="21"/>
        </w:rPr>
      </w:pPr>
      <w:r>
        <w:rPr>
          <w:rFonts w:cs="Times New Roman"/>
          <w:szCs w:val="21"/>
        </w:rPr>
        <w:t>1</w:t>
      </w:r>
      <w:r>
        <w:rPr>
          <w:rFonts w:hint="eastAsia" w:cs="Times New Roman"/>
          <w:szCs w:val="21"/>
          <w:lang w:eastAsia="zh-CN"/>
        </w:rPr>
        <w:t>）</w:t>
      </w:r>
      <w:r>
        <w:rPr>
          <w:rFonts w:hint="eastAsia" w:cs="Times New Roman"/>
          <w:szCs w:val="21"/>
        </w:rPr>
        <w:t>应</w:t>
      </w:r>
      <w:r>
        <w:rPr>
          <w:rFonts w:cs="Times New Roman"/>
          <w:szCs w:val="21"/>
        </w:rPr>
        <w:t>在顶管机刀盘和胸板上加强高压喷嘴注浆；</w:t>
      </w:r>
    </w:p>
    <w:p>
      <w:pPr>
        <w:adjustRightInd/>
        <w:snapToGrid/>
        <w:ind w:left="1080" w:leftChars="300" w:hanging="360" w:hangingChars="150"/>
        <w:textAlignment w:val="auto"/>
        <w:rPr>
          <w:rFonts w:cs="Times New Roman"/>
          <w:szCs w:val="21"/>
        </w:rPr>
      </w:pPr>
      <w:r>
        <w:rPr>
          <w:rFonts w:cs="Times New Roman"/>
          <w:szCs w:val="21"/>
        </w:rPr>
        <w:t>2</w:t>
      </w:r>
      <w:r>
        <w:rPr>
          <w:rFonts w:hint="eastAsia" w:cs="Times New Roman"/>
          <w:szCs w:val="21"/>
          <w:lang w:eastAsia="zh-CN"/>
        </w:rPr>
        <w:t>）</w:t>
      </w:r>
      <w:r>
        <w:rPr>
          <w:rFonts w:hint="eastAsia" w:cs="Times New Roman"/>
          <w:szCs w:val="21"/>
        </w:rPr>
        <w:t>应</w:t>
      </w:r>
      <w:r>
        <w:rPr>
          <w:rFonts w:cs="Times New Roman"/>
          <w:szCs w:val="21"/>
        </w:rPr>
        <w:t>在顶管机掌子面前方注入具有减粘性和强润滑性的改良浆液；</w:t>
      </w:r>
    </w:p>
    <w:p>
      <w:pPr>
        <w:adjustRightInd/>
        <w:snapToGrid/>
        <w:ind w:left="1080" w:leftChars="300" w:hanging="360" w:hangingChars="150"/>
        <w:textAlignment w:val="auto"/>
        <w:rPr>
          <w:rFonts w:cs="Times New Roman"/>
          <w:szCs w:val="21"/>
        </w:rPr>
      </w:pPr>
      <w:r>
        <w:rPr>
          <w:rFonts w:cs="Times New Roman"/>
          <w:szCs w:val="21"/>
        </w:rPr>
        <w:t>3</w:t>
      </w:r>
      <w:r>
        <w:rPr>
          <w:rFonts w:hint="eastAsia" w:cs="Times New Roman"/>
          <w:szCs w:val="21"/>
          <w:lang w:eastAsia="zh-CN"/>
        </w:rPr>
        <w:t>）</w:t>
      </w:r>
      <w:r>
        <w:rPr>
          <w:rFonts w:hint="eastAsia" w:cs="Times New Roman"/>
          <w:szCs w:val="21"/>
        </w:rPr>
        <w:t>应</w:t>
      </w:r>
      <w:r>
        <w:rPr>
          <w:rFonts w:cs="Times New Roman"/>
          <w:szCs w:val="21"/>
        </w:rPr>
        <w:t>在机头前方适当加大渣土改良剂的用量；</w:t>
      </w:r>
    </w:p>
    <w:p>
      <w:pPr>
        <w:adjustRightInd/>
        <w:snapToGrid/>
        <w:ind w:left="1080" w:leftChars="300" w:hanging="360" w:hangingChars="150"/>
        <w:textAlignment w:val="auto"/>
        <w:rPr>
          <w:rFonts w:cs="Times New Roman"/>
          <w:szCs w:val="21"/>
        </w:rPr>
      </w:pPr>
      <w:r>
        <w:rPr>
          <w:rFonts w:cs="Times New Roman"/>
          <w:szCs w:val="21"/>
        </w:rPr>
        <w:t>4</w:t>
      </w:r>
      <w:r>
        <w:rPr>
          <w:rFonts w:hint="eastAsia" w:cs="Times New Roman"/>
          <w:szCs w:val="21"/>
          <w:lang w:eastAsia="zh-CN"/>
        </w:rPr>
        <w:t>）</w:t>
      </w:r>
      <w:r>
        <w:rPr>
          <w:rFonts w:cs="Times New Roman"/>
          <w:szCs w:val="21"/>
        </w:rPr>
        <w:t>可适当调高刀盘转速。</w:t>
      </w:r>
    </w:p>
    <w:p>
      <w:pPr>
        <w:ind w:firstLine="482"/>
        <w:textAlignment w:val="auto"/>
        <w:rPr>
          <w:rFonts w:cs="Times New Roman"/>
          <w:szCs w:val="21"/>
        </w:rPr>
      </w:pPr>
      <w:r>
        <w:rPr>
          <w:rFonts w:cs="Times New Roman"/>
          <w:szCs w:val="21"/>
        </w:rPr>
        <w:t xml:space="preserve">10 </w:t>
      </w:r>
      <w:r>
        <w:rPr>
          <w:rFonts w:hint="eastAsia" w:cs="Times New Roman"/>
          <w:szCs w:val="21"/>
        </w:rPr>
        <w:t xml:space="preserve"> </w:t>
      </w:r>
      <w:r>
        <w:rPr>
          <w:rFonts w:cs="Times New Roman"/>
          <w:szCs w:val="21"/>
        </w:rPr>
        <w:t>顶管贯通后，应向管外壁注入土体固结浆置换</w:t>
      </w:r>
      <w:r>
        <w:rPr>
          <w:rFonts w:hint="eastAsia" w:ascii="宋体" w:hAnsi="宋体" w:cs="宋体"/>
          <w:szCs w:val="21"/>
        </w:rPr>
        <w:t>触变泥浆</w:t>
      </w:r>
      <w:r>
        <w:rPr>
          <w:rFonts w:cs="Times New Roman"/>
          <w:szCs w:val="21"/>
        </w:rPr>
        <w:t>；</w:t>
      </w:r>
    </w:p>
    <w:p>
      <w:pPr>
        <w:ind w:firstLine="482"/>
        <w:textAlignment w:val="auto"/>
        <w:rPr>
          <w:rFonts w:cs="Times New Roman"/>
          <w:szCs w:val="21"/>
        </w:rPr>
      </w:pPr>
      <w:r>
        <w:rPr>
          <w:rFonts w:cs="Times New Roman"/>
          <w:szCs w:val="21"/>
        </w:rPr>
        <w:t xml:space="preserve">11 </w:t>
      </w:r>
      <w:r>
        <w:rPr>
          <w:rFonts w:hint="eastAsia" w:cs="Times New Roman"/>
          <w:szCs w:val="21"/>
        </w:rPr>
        <w:t xml:space="preserve"> 距离地下管线、建筑物或构筑物基础较近时，应适当降低顶进速度</w:t>
      </w:r>
      <w:r>
        <w:rPr>
          <w:rFonts w:cs="Times New Roman"/>
          <w:szCs w:val="21"/>
        </w:rPr>
        <w:t>；</w:t>
      </w:r>
    </w:p>
    <w:p>
      <w:pPr>
        <w:ind w:firstLine="482"/>
        <w:textAlignment w:val="auto"/>
        <w:rPr>
          <w:rFonts w:cs="Times New Roman"/>
          <w:szCs w:val="21"/>
        </w:rPr>
      </w:pPr>
      <w:r>
        <w:rPr>
          <w:rFonts w:cs="Times New Roman"/>
          <w:szCs w:val="21"/>
        </w:rPr>
        <w:t>12</w:t>
      </w:r>
      <w:r>
        <w:rPr>
          <w:rFonts w:hint="eastAsia" w:cs="Times New Roman"/>
          <w:szCs w:val="21"/>
        </w:rPr>
        <w:t xml:space="preserve"> </w:t>
      </w:r>
      <w:r>
        <w:rPr>
          <w:rFonts w:cs="Times New Roman"/>
          <w:szCs w:val="21"/>
        </w:rPr>
        <w:t xml:space="preserve"> 当周边环境对土体变形</w:t>
      </w:r>
      <w:r>
        <w:rPr>
          <w:rFonts w:hint="eastAsia" w:cs="Times New Roman"/>
          <w:szCs w:val="21"/>
        </w:rPr>
        <w:t>有</w:t>
      </w:r>
      <w:r>
        <w:rPr>
          <w:rFonts w:cs="Times New Roman"/>
          <w:szCs w:val="21"/>
        </w:rPr>
        <w:t>要求严格时，应进行土体变形监测，</w:t>
      </w:r>
      <w:r>
        <w:rPr>
          <w:rFonts w:hint="eastAsia" w:cs="Times New Roman"/>
          <w:szCs w:val="21"/>
        </w:rPr>
        <w:t>并应</w:t>
      </w:r>
      <w:r>
        <w:rPr>
          <w:rFonts w:cs="Times New Roman"/>
          <w:szCs w:val="21"/>
        </w:rPr>
        <w:t>根据监测数据</w:t>
      </w:r>
      <w:r>
        <w:rPr>
          <w:rFonts w:hint="eastAsia" w:cs="Times New Roman"/>
          <w:szCs w:val="21"/>
        </w:rPr>
        <w:t>实时</w:t>
      </w:r>
      <w:r>
        <w:rPr>
          <w:rFonts w:cs="Times New Roman"/>
          <w:szCs w:val="21"/>
        </w:rPr>
        <w:t>调整顶进参数</w:t>
      </w:r>
      <w:r>
        <w:rPr>
          <w:rFonts w:hint="eastAsia" w:cs="Times New Roman"/>
          <w:szCs w:val="21"/>
        </w:rPr>
        <w:t>。</w:t>
      </w:r>
    </w:p>
    <w:p>
      <w:pPr>
        <w:textAlignment w:val="auto"/>
        <w:rPr>
          <w:rFonts w:cs="Times New Roman"/>
          <w:szCs w:val="21"/>
        </w:rPr>
      </w:pPr>
      <w:r>
        <w:rPr>
          <w:rFonts w:cs="Times New Roman"/>
          <w:b/>
          <w:bCs/>
          <w:szCs w:val="21"/>
        </w:rPr>
        <w:t>9.3.</w:t>
      </w:r>
      <w:r>
        <w:rPr>
          <w:rFonts w:hint="eastAsia" w:cs="Times New Roman"/>
          <w:b/>
          <w:bCs/>
          <w:szCs w:val="21"/>
        </w:rPr>
        <w:t xml:space="preserve">4  </w:t>
      </w:r>
      <w:r>
        <w:rPr>
          <w:rFonts w:cs="Times New Roman"/>
          <w:szCs w:val="21"/>
        </w:rPr>
        <w:t>泥水平衡矩形顶管</w:t>
      </w:r>
      <w:r>
        <w:rPr>
          <w:rFonts w:hint="eastAsia" w:cs="Times New Roman"/>
          <w:szCs w:val="21"/>
          <w:lang w:eastAsia="zh-CN"/>
        </w:rPr>
        <w:t>顶进</w:t>
      </w:r>
      <w:r>
        <w:rPr>
          <w:rFonts w:cs="Times New Roman"/>
          <w:szCs w:val="21"/>
        </w:rPr>
        <w:t>施工应符合下列规定：</w:t>
      </w:r>
    </w:p>
    <w:p>
      <w:pPr>
        <w:ind w:firstLine="482"/>
        <w:textAlignment w:val="auto"/>
        <w:rPr>
          <w:rFonts w:cs="Times New Roman"/>
          <w:szCs w:val="21"/>
        </w:rPr>
      </w:pPr>
      <w:r>
        <w:rPr>
          <w:rFonts w:cs="Times New Roman"/>
          <w:szCs w:val="21"/>
        </w:rPr>
        <w:t xml:space="preserve">1 </w:t>
      </w:r>
      <w:r>
        <w:rPr>
          <w:rFonts w:hint="eastAsia" w:cs="Times New Roman"/>
          <w:szCs w:val="21"/>
        </w:rPr>
        <w:t xml:space="preserve"> </w:t>
      </w:r>
      <w:r>
        <w:rPr>
          <w:rFonts w:hint="eastAsia" w:cs="Times New Roman"/>
          <w:szCs w:val="21"/>
          <w:lang w:eastAsia="zh-CN"/>
        </w:rPr>
        <w:t>顶进</w:t>
      </w:r>
      <w:r>
        <w:rPr>
          <w:rFonts w:cs="Times New Roman"/>
          <w:szCs w:val="21"/>
        </w:rPr>
        <w:t>前，应根据顶管覆土厚度、土体性质、地下水埋深等因素确定泥水舱压力控制值；</w:t>
      </w:r>
    </w:p>
    <w:p>
      <w:pPr>
        <w:ind w:firstLine="482"/>
        <w:textAlignment w:val="auto"/>
        <w:rPr>
          <w:rFonts w:cs="Times New Roman"/>
          <w:szCs w:val="21"/>
        </w:rPr>
      </w:pPr>
      <w:r>
        <w:rPr>
          <w:rFonts w:cs="Times New Roman"/>
          <w:szCs w:val="21"/>
        </w:rPr>
        <w:t>2</w:t>
      </w:r>
      <w:r>
        <w:rPr>
          <w:rFonts w:hint="eastAsia" w:cs="Times New Roman"/>
          <w:szCs w:val="21"/>
        </w:rPr>
        <w:t xml:space="preserve">  </w:t>
      </w:r>
      <w:r>
        <w:rPr>
          <w:rFonts w:hint="eastAsia" w:cs="Times New Roman"/>
          <w:szCs w:val="21"/>
          <w:lang w:eastAsia="zh-CN"/>
        </w:rPr>
        <w:t>顶进</w:t>
      </w:r>
      <w:r>
        <w:rPr>
          <w:rFonts w:cs="Times New Roman"/>
          <w:szCs w:val="21"/>
        </w:rPr>
        <w:t>中，应根据泥水舱压力的变化调节进水速度、排泥速度与</w:t>
      </w:r>
      <w:r>
        <w:rPr>
          <w:rFonts w:hint="eastAsia" w:cs="Times New Roman"/>
          <w:szCs w:val="21"/>
          <w:lang w:eastAsia="zh-CN"/>
        </w:rPr>
        <w:t>顶进</w:t>
      </w:r>
      <w:r>
        <w:rPr>
          <w:rFonts w:cs="Times New Roman"/>
          <w:szCs w:val="21"/>
        </w:rPr>
        <w:t>速度，泥水舱压力应保持在预设</w:t>
      </w:r>
      <w:r>
        <w:rPr>
          <w:rFonts w:hint="eastAsia" w:cs="Times New Roman"/>
          <w:szCs w:val="21"/>
        </w:rPr>
        <w:t>值</w:t>
      </w:r>
      <w:r>
        <w:rPr>
          <w:rFonts w:cs="Times New Roman"/>
          <w:szCs w:val="21"/>
        </w:rPr>
        <w:t>以内；</w:t>
      </w:r>
    </w:p>
    <w:p>
      <w:pPr>
        <w:ind w:firstLine="482"/>
        <w:textAlignment w:val="auto"/>
        <w:rPr>
          <w:rFonts w:cs="Times New Roman"/>
          <w:szCs w:val="21"/>
        </w:rPr>
      </w:pPr>
      <w:r>
        <w:rPr>
          <w:rFonts w:cs="Times New Roman"/>
          <w:szCs w:val="21"/>
        </w:rPr>
        <w:t>3</w:t>
      </w:r>
      <w:r>
        <w:rPr>
          <w:rFonts w:hint="eastAsia" w:cs="Times New Roman"/>
          <w:szCs w:val="21"/>
        </w:rPr>
        <w:t xml:space="preserve">  </w:t>
      </w:r>
      <w:r>
        <w:rPr>
          <w:rFonts w:cs="Times New Roman"/>
          <w:szCs w:val="21"/>
        </w:rPr>
        <w:t>开顶时，应先启动进、排泥泵，进行机内循环，然后进行机外循环，再启动刀盘转动，最后启动油缸推进；停顶时，应先停止油缸推进，然后进行机外循环，再停止刀盘转动，转到机内循环，最后关闭进、排泥泵；</w:t>
      </w:r>
    </w:p>
    <w:p>
      <w:pPr>
        <w:ind w:firstLine="482"/>
        <w:textAlignment w:val="auto"/>
        <w:rPr>
          <w:rFonts w:cs="Times New Roman"/>
          <w:szCs w:val="21"/>
        </w:rPr>
      </w:pPr>
      <w:r>
        <w:rPr>
          <w:rFonts w:cs="Times New Roman"/>
          <w:szCs w:val="21"/>
        </w:rPr>
        <w:t>4</w:t>
      </w:r>
      <w:r>
        <w:rPr>
          <w:rFonts w:hint="eastAsia" w:cs="Times New Roman"/>
          <w:szCs w:val="21"/>
        </w:rPr>
        <w:t xml:space="preserve"> </w:t>
      </w:r>
      <w:r>
        <w:rPr>
          <w:rFonts w:hint="eastAsia" w:cs="Times New Roman"/>
          <w:b/>
          <w:bCs/>
          <w:szCs w:val="21"/>
        </w:rPr>
        <w:t xml:space="preserve"> </w:t>
      </w:r>
      <w:r>
        <w:rPr>
          <w:rFonts w:cs="Times New Roman"/>
          <w:szCs w:val="21"/>
        </w:rPr>
        <w:t>对顶管机内进水阀、排泥阀、旁通阀操作时，</w:t>
      </w:r>
      <w:r>
        <w:rPr>
          <w:rFonts w:hint="eastAsia" w:cs="Times New Roman"/>
          <w:szCs w:val="21"/>
          <w:lang w:eastAsia="zh-CN"/>
        </w:rPr>
        <w:t>不应</w:t>
      </w:r>
      <w:r>
        <w:rPr>
          <w:rFonts w:cs="Times New Roman"/>
          <w:szCs w:val="21"/>
        </w:rPr>
        <w:t>将所有的阀同时处于“关”的状态，并应符合下列规定：</w:t>
      </w:r>
    </w:p>
    <w:p>
      <w:pPr>
        <w:adjustRightInd/>
        <w:snapToGrid/>
        <w:ind w:left="1080" w:leftChars="300" w:hanging="360" w:hangingChars="150"/>
        <w:textAlignment w:val="auto"/>
        <w:rPr>
          <w:rFonts w:cs="Times New Roman"/>
          <w:szCs w:val="21"/>
        </w:rPr>
      </w:pPr>
      <w:r>
        <w:rPr>
          <w:rFonts w:cs="Times New Roman"/>
          <w:szCs w:val="21"/>
        </w:rPr>
        <w:t>1）从机内循环转换到机外循环时，应先打开进水、排泥直通阀，然后再关闭转换阀；</w:t>
      </w:r>
    </w:p>
    <w:p>
      <w:pPr>
        <w:adjustRightInd/>
        <w:snapToGrid/>
        <w:ind w:left="1080" w:leftChars="300" w:hanging="360" w:hangingChars="150"/>
        <w:textAlignment w:val="auto"/>
        <w:rPr>
          <w:rFonts w:cs="Times New Roman"/>
          <w:szCs w:val="21"/>
        </w:rPr>
      </w:pPr>
      <w:r>
        <w:rPr>
          <w:rFonts w:cs="Times New Roman"/>
          <w:szCs w:val="21"/>
        </w:rPr>
        <w:t>2）从机外循环状态转换到机内循环状态时，应先打开转换阀，再关闭进水、排泥阀。</w:t>
      </w:r>
    </w:p>
    <w:p>
      <w:pPr>
        <w:ind w:firstLine="482"/>
        <w:textAlignment w:val="auto"/>
        <w:rPr>
          <w:rFonts w:cs="Times New Roman"/>
          <w:szCs w:val="21"/>
        </w:rPr>
      </w:pPr>
      <w:r>
        <w:rPr>
          <w:rFonts w:hint="eastAsia" w:cs="Times New Roman"/>
          <w:szCs w:val="21"/>
        </w:rPr>
        <w:t xml:space="preserve">5  </w:t>
      </w:r>
      <w:r>
        <w:rPr>
          <w:rFonts w:hint="eastAsia" w:cs="Times New Roman"/>
          <w:szCs w:val="21"/>
          <w:lang w:eastAsia="zh-CN"/>
        </w:rPr>
        <w:t>顶进</w:t>
      </w:r>
      <w:r>
        <w:rPr>
          <w:rFonts w:cs="Times New Roman"/>
          <w:szCs w:val="21"/>
        </w:rPr>
        <w:t>中，应同步向管外壁注入</w:t>
      </w:r>
      <w:r>
        <w:rPr>
          <w:rFonts w:hint="eastAsia" w:ascii="宋体" w:hAnsi="宋体" w:cs="宋体"/>
          <w:szCs w:val="21"/>
        </w:rPr>
        <w:t>触变泥浆</w:t>
      </w:r>
      <w:r>
        <w:rPr>
          <w:rFonts w:cs="Times New Roman"/>
          <w:szCs w:val="21"/>
        </w:rPr>
        <w:t>，并应根据泥浆的损失适当补充注浆；</w:t>
      </w:r>
    </w:p>
    <w:p>
      <w:pPr>
        <w:ind w:firstLine="482"/>
        <w:textAlignment w:val="auto"/>
        <w:rPr>
          <w:rFonts w:cs="Times New Roman"/>
          <w:szCs w:val="21"/>
        </w:rPr>
      </w:pPr>
      <w:r>
        <w:rPr>
          <w:rFonts w:hint="eastAsia" w:cs="Times New Roman"/>
          <w:szCs w:val="21"/>
        </w:rPr>
        <w:t xml:space="preserve">6  </w:t>
      </w:r>
      <w:r>
        <w:rPr>
          <w:rFonts w:hint="eastAsia" w:cs="Times New Roman"/>
          <w:szCs w:val="21"/>
          <w:lang w:eastAsia="zh-CN"/>
        </w:rPr>
        <w:t>顶进</w:t>
      </w:r>
      <w:r>
        <w:rPr>
          <w:rFonts w:cs="Times New Roman"/>
          <w:szCs w:val="21"/>
        </w:rPr>
        <w:t>过程中，应随时对顶管机位置进行测量定位，及时纠偏；</w:t>
      </w:r>
    </w:p>
    <w:p>
      <w:pPr>
        <w:ind w:firstLine="482"/>
        <w:textAlignment w:val="auto"/>
        <w:rPr>
          <w:rFonts w:cs="Times New Roman"/>
          <w:szCs w:val="21"/>
        </w:rPr>
      </w:pPr>
      <w:r>
        <w:rPr>
          <w:rFonts w:hint="eastAsia" w:cs="Times New Roman"/>
          <w:szCs w:val="21"/>
        </w:rPr>
        <w:t xml:space="preserve">7 </w:t>
      </w:r>
      <w:r>
        <w:rPr>
          <w:rFonts w:cs="Times New Roman"/>
          <w:szCs w:val="21"/>
        </w:rPr>
        <w:t xml:space="preserve"> 矩形泥水平衡顶管机排渣应符合下列规定：</w:t>
      </w:r>
    </w:p>
    <w:p>
      <w:pPr>
        <w:adjustRightInd/>
        <w:snapToGrid/>
        <w:ind w:left="1080" w:leftChars="300" w:hanging="360" w:hangingChars="150"/>
        <w:textAlignment w:val="auto"/>
        <w:rPr>
          <w:rFonts w:cs="Times New Roman"/>
          <w:szCs w:val="21"/>
        </w:rPr>
      </w:pPr>
      <w:r>
        <w:rPr>
          <w:rFonts w:cs="Times New Roman"/>
          <w:szCs w:val="21"/>
        </w:rPr>
        <w:t>1</w:t>
      </w:r>
      <w:r>
        <w:rPr>
          <w:rFonts w:hint="eastAsia" w:cs="Times New Roman"/>
          <w:szCs w:val="21"/>
          <w:lang w:eastAsia="zh-CN"/>
        </w:rPr>
        <w:t>）</w:t>
      </w:r>
      <w:r>
        <w:rPr>
          <w:rFonts w:cs="Times New Roman"/>
          <w:szCs w:val="21"/>
        </w:rPr>
        <w:t>泥水循环排土时，宜采用泥水分离器分离混合泥浆中的渣土；</w:t>
      </w:r>
    </w:p>
    <w:p>
      <w:pPr>
        <w:adjustRightInd/>
        <w:snapToGrid/>
        <w:ind w:left="1080" w:leftChars="300" w:hanging="360" w:hangingChars="150"/>
        <w:textAlignment w:val="auto"/>
        <w:rPr>
          <w:rFonts w:cs="Times New Roman"/>
          <w:szCs w:val="21"/>
        </w:rPr>
      </w:pPr>
      <w:r>
        <w:rPr>
          <w:rFonts w:cs="Times New Roman"/>
          <w:szCs w:val="21"/>
        </w:rPr>
        <w:t>2</w:t>
      </w:r>
      <w:r>
        <w:rPr>
          <w:rFonts w:hint="eastAsia" w:cs="Times New Roman"/>
          <w:szCs w:val="21"/>
          <w:lang w:eastAsia="zh-CN"/>
        </w:rPr>
        <w:t>）</w:t>
      </w:r>
      <w:r>
        <w:rPr>
          <w:rFonts w:cs="Times New Roman"/>
          <w:szCs w:val="21"/>
        </w:rPr>
        <w:t>每段管节正常顶进完成后，在停机前宜对进排浆管内的泥浆进行内循环，管内泥渣应全部排出；</w:t>
      </w:r>
    </w:p>
    <w:p>
      <w:pPr>
        <w:adjustRightInd/>
        <w:snapToGrid/>
        <w:ind w:left="1080" w:leftChars="300" w:hanging="360" w:hangingChars="150"/>
        <w:textAlignment w:val="auto"/>
        <w:rPr>
          <w:rFonts w:cs="Times New Roman"/>
          <w:szCs w:val="21"/>
        </w:rPr>
      </w:pPr>
      <w:r>
        <w:rPr>
          <w:rFonts w:cs="Times New Roman"/>
          <w:szCs w:val="21"/>
        </w:rPr>
        <w:t>3</w:t>
      </w:r>
      <w:r>
        <w:rPr>
          <w:rFonts w:hint="eastAsia" w:cs="Times New Roman"/>
          <w:szCs w:val="21"/>
          <w:lang w:eastAsia="zh-CN"/>
        </w:rPr>
        <w:t>）</w:t>
      </w:r>
      <w:r>
        <w:rPr>
          <w:rFonts w:cs="Times New Roman"/>
          <w:szCs w:val="21"/>
        </w:rPr>
        <w:t>拆卸泥浆管时，应关闭顶管机泥水循环截止阀；</w:t>
      </w:r>
    </w:p>
    <w:p>
      <w:pPr>
        <w:adjustRightInd/>
        <w:snapToGrid/>
        <w:ind w:left="1080" w:leftChars="300" w:hanging="360" w:hangingChars="150"/>
        <w:textAlignment w:val="auto"/>
        <w:rPr>
          <w:rFonts w:cs="Times New Roman"/>
          <w:szCs w:val="21"/>
        </w:rPr>
      </w:pPr>
      <w:r>
        <w:rPr>
          <w:rFonts w:cs="Times New Roman"/>
          <w:szCs w:val="21"/>
        </w:rPr>
        <w:t>4</w:t>
      </w:r>
      <w:r>
        <w:rPr>
          <w:rFonts w:hint="eastAsia" w:cs="Times New Roman"/>
          <w:szCs w:val="21"/>
          <w:lang w:eastAsia="zh-CN"/>
        </w:rPr>
        <w:t>）</w:t>
      </w:r>
      <w:r>
        <w:rPr>
          <w:rFonts w:hint="eastAsia" w:cs="Times New Roman"/>
          <w:szCs w:val="21"/>
        </w:rPr>
        <w:t>应</w:t>
      </w:r>
      <w:r>
        <w:rPr>
          <w:rFonts w:cs="Times New Roman"/>
          <w:szCs w:val="21"/>
        </w:rPr>
        <w:t>根据进排浆泵的泵送能力设置中继泵；</w:t>
      </w:r>
    </w:p>
    <w:p>
      <w:pPr>
        <w:adjustRightInd/>
        <w:snapToGrid/>
        <w:ind w:left="1080" w:leftChars="300" w:hanging="360" w:hangingChars="150"/>
        <w:textAlignment w:val="auto"/>
        <w:rPr>
          <w:rFonts w:cs="Times New Roman"/>
          <w:szCs w:val="21"/>
        </w:rPr>
      </w:pPr>
      <w:r>
        <w:rPr>
          <w:rFonts w:cs="Times New Roman"/>
          <w:szCs w:val="21"/>
        </w:rPr>
        <w:t>5</w:t>
      </w:r>
      <w:r>
        <w:rPr>
          <w:rFonts w:hint="eastAsia" w:cs="Times New Roman"/>
          <w:szCs w:val="21"/>
          <w:lang w:eastAsia="zh-CN"/>
        </w:rPr>
        <w:t>）</w:t>
      </w:r>
      <w:r>
        <w:rPr>
          <w:rFonts w:cs="Times New Roman"/>
          <w:szCs w:val="21"/>
        </w:rPr>
        <w:t>在粉细砂层</w:t>
      </w:r>
      <w:r>
        <w:rPr>
          <w:rFonts w:hint="eastAsia" w:cs="Times New Roman"/>
          <w:szCs w:val="21"/>
          <w:lang w:eastAsia="zh-CN"/>
        </w:rPr>
        <w:t>顶进</w:t>
      </w:r>
      <w:r>
        <w:rPr>
          <w:rFonts w:cs="Times New Roman"/>
          <w:szCs w:val="21"/>
        </w:rPr>
        <w:t>时，应增加循环泥浆的浓度，并应过滤掉粒径大于20mm的砂砾。</w:t>
      </w:r>
    </w:p>
    <w:p>
      <w:pPr>
        <w:ind w:firstLine="480"/>
        <w:textAlignment w:val="auto"/>
        <w:rPr>
          <w:rFonts w:cs="Times New Roman"/>
          <w:szCs w:val="21"/>
        </w:rPr>
      </w:pPr>
      <w:r>
        <w:rPr>
          <w:rFonts w:hint="eastAsia" w:cs="Times New Roman"/>
          <w:szCs w:val="21"/>
        </w:rPr>
        <w:t xml:space="preserve">8  </w:t>
      </w:r>
      <w:r>
        <w:rPr>
          <w:rFonts w:cs="Times New Roman"/>
          <w:szCs w:val="21"/>
        </w:rPr>
        <w:t>顶管贯通后，应向管外壁注入土体固结浆</w:t>
      </w:r>
      <w:r>
        <w:rPr>
          <w:rFonts w:hint="eastAsia" w:cs="Times New Roman"/>
          <w:szCs w:val="21"/>
        </w:rPr>
        <w:t>、</w:t>
      </w:r>
      <w:r>
        <w:rPr>
          <w:rFonts w:cs="Times New Roman"/>
          <w:szCs w:val="21"/>
        </w:rPr>
        <w:t>置换</w:t>
      </w:r>
      <w:r>
        <w:rPr>
          <w:rFonts w:hint="eastAsia" w:cs="Times New Roman"/>
          <w:szCs w:val="21"/>
        </w:rPr>
        <w:t>触变泥浆</w:t>
      </w:r>
      <w:r>
        <w:rPr>
          <w:rFonts w:cs="Times New Roman"/>
          <w:szCs w:val="21"/>
        </w:rPr>
        <w:t>；</w:t>
      </w:r>
    </w:p>
    <w:p>
      <w:pPr>
        <w:ind w:firstLine="480"/>
        <w:textAlignment w:val="auto"/>
        <w:rPr>
          <w:rFonts w:cs="Times New Roman"/>
          <w:szCs w:val="21"/>
        </w:rPr>
      </w:pPr>
      <w:r>
        <w:rPr>
          <w:rFonts w:hint="eastAsia" w:cs="Times New Roman"/>
          <w:szCs w:val="21"/>
        </w:rPr>
        <w:t xml:space="preserve">9  </w:t>
      </w:r>
      <w:r>
        <w:rPr>
          <w:rFonts w:cs="Times New Roman"/>
          <w:szCs w:val="21"/>
        </w:rPr>
        <w:t>距离地下管线、地下和地上建筑物或构筑物较近时，应适当降低顶进速度；</w:t>
      </w:r>
    </w:p>
    <w:p>
      <w:pPr>
        <w:ind w:firstLine="482"/>
        <w:textAlignment w:val="auto"/>
        <w:rPr>
          <w:rFonts w:cs="Times New Roman"/>
          <w:szCs w:val="21"/>
        </w:rPr>
      </w:pPr>
      <w:r>
        <w:rPr>
          <w:rFonts w:cs="Times New Roman"/>
          <w:szCs w:val="21"/>
        </w:rPr>
        <w:t>1</w:t>
      </w:r>
      <w:r>
        <w:rPr>
          <w:rFonts w:hint="eastAsia" w:cs="Times New Roman"/>
          <w:szCs w:val="21"/>
        </w:rPr>
        <w:t>0</w:t>
      </w:r>
      <w:r>
        <w:rPr>
          <w:rFonts w:hint="eastAsia" w:cs="Times New Roman"/>
          <w:b/>
          <w:bCs/>
          <w:szCs w:val="21"/>
        </w:rPr>
        <w:t xml:space="preserve"> </w:t>
      </w:r>
      <w:r>
        <w:rPr>
          <w:rFonts w:cs="Times New Roman"/>
          <w:b/>
          <w:bCs/>
          <w:szCs w:val="21"/>
        </w:rPr>
        <w:t xml:space="preserve"> </w:t>
      </w:r>
      <w:r>
        <w:rPr>
          <w:rFonts w:cs="Times New Roman"/>
          <w:szCs w:val="21"/>
        </w:rPr>
        <w:t>当周边环境对土体变形</w:t>
      </w:r>
      <w:r>
        <w:rPr>
          <w:rFonts w:hint="eastAsia" w:cs="Times New Roman"/>
          <w:szCs w:val="21"/>
        </w:rPr>
        <w:t>有</w:t>
      </w:r>
      <w:r>
        <w:rPr>
          <w:rFonts w:cs="Times New Roman"/>
          <w:szCs w:val="21"/>
        </w:rPr>
        <w:t>要求严格时，应进行土体变形监测，</w:t>
      </w:r>
      <w:r>
        <w:rPr>
          <w:rFonts w:hint="eastAsia" w:cs="Times New Roman"/>
          <w:szCs w:val="21"/>
        </w:rPr>
        <w:t>并应</w:t>
      </w:r>
      <w:r>
        <w:rPr>
          <w:rFonts w:cs="Times New Roman"/>
          <w:szCs w:val="21"/>
        </w:rPr>
        <w:t>根据监测数据随时调整顶进参数。</w:t>
      </w:r>
    </w:p>
    <w:p>
      <w:pPr>
        <w:textAlignment w:val="auto"/>
        <w:rPr>
          <w:rFonts w:cs="Times New Roman"/>
          <w:szCs w:val="21"/>
        </w:rPr>
      </w:pPr>
      <w:r>
        <w:rPr>
          <w:rFonts w:cs="Times New Roman"/>
          <w:b/>
          <w:bCs/>
          <w:szCs w:val="21"/>
        </w:rPr>
        <w:t>9.3.</w:t>
      </w:r>
      <w:r>
        <w:rPr>
          <w:rFonts w:hint="eastAsia" w:cs="Times New Roman"/>
          <w:b/>
          <w:bCs/>
          <w:szCs w:val="21"/>
        </w:rPr>
        <w:t xml:space="preserve">5  </w:t>
      </w:r>
      <w:r>
        <w:rPr>
          <w:rFonts w:cs="Times New Roman"/>
          <w:szCs w:val="21"/>
        </w:rPr>
        <w:t>顶管</w:t>
      </w:r>
      <w:r>
        <w:rPr>
          <w:rFonts w:hint="eastAsia" w:cs="Times New Roman"/>
          <w:szCs w:val="21"/>
          <w:lang w:eastAsia="zh-CN"/>
        </w:rPr>
        <w:t>顶进</w:t>
      </w:r>
      <w:r>
        <w:rPr>
          <w:rFonts w:cs="Times New Roman"/>
          <w:szCs w:val="21"/>
        </w:rPr>
        <w:t>时应符合下列规定：</w:t>
      </w:r>
    </w:p>
    <w:p>
      <w:pPr>
        <w:ind w:firstLine="482"/>
        <w:textAlignment w:val="auto"/>
        <w:rPr>
          <w:rFonts w:cs="Times New Roman"/>
          <w:szCs w:val="21"/>
        </w:rPr>
      </w:pPr>
      <w:r>
        <w:rPr>
          <w:rFonts w:cs="Times New Roman"/>
          <w:szCs w:val="21"/>
        </w:rPr>
        <w:t xml:space="preserve">1 </w:t>
      </w:r>
      <w:r>
        <w:rPr>
          <w:rFonts w:hint="eastAsia" w:cs="Times New Roman"/>
          <w:szCs w:val="21"/>
        </w:rPr>
        <w:t xml:space="preserve"> </w:t>
      </w:r>
      <w:r>
        <w:rPr>
          <w:rFonts w:cs="Times New Roman"/>
          <w:szCs w:val="21"/>
        </w:rPr>
        <w:t>初始</w:t>
      </w:r>
      <w:r>
        <w:rPr>
          <w:rFonts w:hint="eastAsia" w:cs="Times New Roman"/>
          <w:szCs w:val="21"/>
          <w:lang w:eastAsia="zh-CN"/>
        </w:rPr>
        <w:t>顶进</w:t>
      </w:r>
      <w:r>
        <w:rPr>
          <w:rFonts w:cs="Times New Roman"/>
          <w:szCs w:val="21"/>
        </w:rPr>
        <w:t>速度宜控制在5mm/min～10mm/min；</w:t>
      </w:r>
    </w:p>
    <w:p>
      <w:pPr>
        <w:ind w:firstLine="482"/>
        <w:textAlignment w:val="auto"/>
        <w:rPr>
          <w:rFonts w:cs="Times New Roman"/>
          <w:szCs w:val="21"/>
        </w:rPr>
      </w:pPr>
      <w:r>
        <w:rPr>
          <w:rFonts w:cs="Times New Roman"/>
          <w:szCs w:val="21"/>
        </w:rPr>
        <w:t xml:space="preserve">2 </w:t>
      </w:r>
      <w:r>
        <w:rPr>
          <w:rFonts w:hint="eastAsia" w:cs="Times New Roman"/>
          <w:szCs w:val="21"/>
        </w:rPr>
        <w:t xml:space="preserve"> </w:t>
      </w:r>
      <w:r>
        <w:rPr>
          <w:rFonts w:cs="Times New Roman"/>
          <w:szCs w:val="21"/>
        </w:rPr>
        <w:t>正常</w:t>
      </w:r>
      <w:r>
        <w:rPr>
          <w:rFonts w:hint="eastAsia" w:cs="Times New Roman"/>
          <w:szCs w:val="21"/>
          <w:lang w:eastAsia="zh-CN"/>
        </w:rPr>
        <w:t>顶进</w:t>
      </w:r>
      <w:r>
        <w:rPr>
          <w:rFonts w:cs="Times New Roman"/>
          <w:szCs w:val="21"/>
        </w:rPr>
        <w:t>时，</w:t>
      </w:r>
      <w:r>
        <w:rPr>
          <w:rFonts w:hint="eastAsia" w:cs="Times New Roman"/>
          <w:szCs w:val="21"/>
          <w:lang w:eastAsia="zh-CN"/>
        </w:rPr>
        <w:t>顶进</w:t>
      </w:r>
      <w:r>
        <w:rPr>
          <w:rFonts w:cs="Times New Roman"/>
          <w:szCs w:val="21"/>
        </w:rPr>
        <w:t>速度宜控制在10mm/min～20mm/min；</w:t>
      </w:r>
      <w:r>
        <w:rPr>
          <w:rFonts w:hint="eastAsia" w:cs="Times New Roman"/>
          <w:szCs w:val="21"/>
          <w:lang w:eastAsia="zh-CN"/>
        </w:rPr>
        <w:t>顶进</w:t>
      </w:r>
      <w:r>
        <w:rPr>
          <w:rFonts w:cs="Times New Roman"/>
          <w:szCs w:val="21"/>
        </w:rPr>
        <w:t>时应不断调整</w:t>
      </w:r>
      <w:r>
        <w:rPr>
          <w:rFonts w:hint="eastAsia" w:cs="Times New Roman"/>
          <w:szCs w:val="21"/>
          <w:lang w:eastAsia="zh-CN"/>
        </w:rPr>
        <w:t>顶进</w:t>
      </w:r>
      <w:r>
        <w:rPr>
          <w:rFonts w:cs="Times New Roman"/>
          <w:szCs w:val="21"/>
        </w:rPr>
        <w:t>速度，优选</w:t>
      </w:r>
      <w:r>
        <w:rPr>
          <w:rFonts w:hint="eastAsia" w:cs="Times New Roman"/>
          <w:szCs w:val="21"/>
          <w:lang w:eastAsia="zh-CN"/>
        </w:rPr>
        <w:t>顶进</w:t>
      </w:r>
      <w:r>
        <w:rPr>
          <w:rFonts w:cs="Times New Roman"/>
          <w:szCs w:val="21"/>
        </w:rPr>
        <w:t>速度、正面土压力、出渣量的最佳匹配值；</w:t>
      </w:r>
    </w:p>
    <w:p>
      <w:pPr>
        <w:ind w:firstLine="482"/>
        <w:textAlignment w:val="auto"/>
        <w:rPr>
          <w:rFonts w:hint="eastAsia" w:eastAsia="宋体" w:cs="Times New Roman"/>
          <w:szCs w:val="21"/>
          <w:lang w:eastAsia="zh-CN"/>
        </w:rPr>
      </w:pPr>
      <w:r>
        <w:rPr>
          <w:rFonts w:cs="Times New Roman"/>
          <w:szCs w:val="21"/>
        </w:rPr>
        <w:t>3</w:t>
      </w:r>
      <w:r>
        <w:rPr>
          <w:rFonts w:cs="Times New Roman"/>
          <w:b/>
          <w:bCs/>
          <w:szCs w:val="21"/>
        </w:rPr>
        <w:t xml:space="preserve"> </w:t>
      </w:r>
      <w:r>
        <w:rPr>
          <w:rFonts w:hint="eastAsia" w:cs="Times New Roman"/>
          <w:b/>
          <w:bCs/>
          <w:szCs w:val="21"/>
        </w:rPr>
        <w:t xml:space="preserve"> </w:t>
      </w:r>
      <w:r>
        <w:rPr>
          <w:rFonts w:cs="Times New Roman"/>
          <w:szCs w:val="21"/>
        </w:rPr>
        <w:t>土压平衡式顶管机土舱内的土压力值应控制在顶管机所处土层的主动土压力</w:t>
      </w:r>
      <w:r>
        <w:rPr>
          <w:rFonts w:hint="eastAsia" w:cs="Times New Roman"/>
          <w:szCs w:val="21"/>
          <w:lang w:val="en-US" w:eastAsia="zh-CN"/>
        </w:rPr>
        <w:t>值</w:t>
      </w:r>
      <w:r>
        <w:rPr>
          <w:rFonts w:cs="Times New Roman"/>
          <w:szCs w:val="21"/>
        </w:rPr>
        <w:t>与被动土压力</w:t>
      </w:r>
      <w:r>
        <w:rPr>
          <w:rFonts w:hint="eastAsia" w:cs="Times New Roman"/>
          <w:szCs w:val="21"/>
          <w:lang w:val="en-US" w:eastAsia="zh-CN"/>
        </w:rPr>
        <w:t>值</w:t>
      </w:r>
      <w:r>
        <w:rPr>
          <w:rFonts w:cs="Times New Roman"/>
          <w:szCs w:val="21"/>
        </w:rPr>
        <w:t>之间</w:t>
      </w:r>
      <w:r>
        <w:rPr>
          <w:rFonts w:hint="eastAsia" w:cs="Times New Roman"/>
          <w:szCs w:val="21"/>
          <w:lang w:eastAsia="zh-CN"/>
        </w:rPr>
        <w:t>；</w:t>
      </w:r>
    </w:p>
    <w:p>
      <w:pPr>
        <w:ind w:firstLine="482"/>
        <w:textAlignment w:val="auto"/>
        <w:rPr>
          <w:rFonts w:cs="Times New Roman"/>
          <w:szCs w:val="21"/>
        </w:rPr>
      </w:pPr>
      <w:r>
        <w:rPr>
          <w:rFonts w:cs="Times New Roman"/>
          <w:szCs w:val="21"/>
        </w:rPr>
        <w:t>4</w:t>
      </w:r>
      <w:r>
        <w:rPr>
          <w:rFonts w:hint="eastAsia" w:cs="Times New Roman"/>
          <w:szCs w:val="21"/>
        </w:rPr>
        <w:t xml:space="preserve">  </w:t>
      </w:r>
      <w:r>
        <w:rPr>
          <w:rFonts w:cs="Times New Roman"/>
          <w:szCs w:val="21"/>
        </w:rPr>
        <w:t>顶进时，对土舱内的控制土压力应将实测值与计算值做比较，修正计算值；</w:t>
      </w:r>
    </w:p>
    <w:p>
      <w:pPr>
        <w:ind w:firstLine="482"/>
        <w:textAlignment w:val="auto"/>
        <w:rPr>
          <w:rFonts w:cs="Times New Roman"/>
          <w:szCs w:val="21"/>
        </w:rPr>
      </w:pPr>
      <w:r>
        <w:rPr>
          <w:rFonts w:cs="Times New Roman"/>
          <w:szCs w:val="21"/>
        </w:rPr>
        <w:t>5</w:t>
      </w:r>
      <w:r>
        <w:rPr>
          <w:rFonts w:hint="eastAsia" w:cs="Times New Roman"/>
          <w:szCs w:val="21"/>
        </w:rPr>
        <w:t xml:space="preserve">  </w:t>
      </w:r>
      <w:r>
        <w:rPr>
          <w:rFonts w:cs="Times New Roman"/>
          <w:szCs w:val="21"/>
        </w:rPr>
        <w:t>泥水平衡式顶管机正面泥水压力宜比水土压力高出0.01MPa～0.03MPa；</w:t>
      </w:r>
    </w:p>
    <w:p>
      <w:pPr>
        <w:ind w:firstLine="480" w:firstLineChars="200"/>
        <w:rPr>
          <w:rFonts w:hint="default" w:ascii="Times New Roman" w:hAnsi="Times New Roman" w:eastAsia="宋体" w:cs="Times New Roman"/>
          <w:lang w:val="en-US" w:eastAsia="zh-CN"/>
        </w:rPr>
      </w:pPr>
      <w:r>
        <w:rPr>
          <w:rFonts w:cs="Times New Roman"/>
          <w:szCs w:val="21"/>
        </w:rPr>
        <w:t>6</w:t>
      </w:r>
      <w:r>
        <w:rPr>
          <w:rFonts w:hint="eastAsia" w:cs="Times New Roman"/>
          <w:b/>
          <w:bCs/>
          <w:szCs w:val="21"/>
        </w:rPr>
        <w:t xml:space="preserve">  </w:t>
      </w:r>
      <w:r>
        <w:rPr>
          <w:rFonts w:cs="Times New Roman"/>
          <w:szCs w:val="21"/>
        </w:rPr>
        <w:t>应统计每节管节的出渣量，</w:t>
      </w:r>
      <w:r>
        <w:rPr>
          <w:rFonts w:hint="eastAsia" w:cs="Times New Roman"/>
          <w:szCs w:val="21"/>
        </w:rPr>
        <w:t>实际出渣量</w:t>
      </w:r>
      <w:r>
        <w:rPr>
          <w:rFonts w:cs="Times New Roman"/>
          <w:szCs w:val="21"/>
        </w:rPr>
        <w:t>应与理论出渣量保持一致。</w:t>
      </w:r>
    </w:p>
    <w:p>
      <w:pPr>
        <w:textAlignment w:val="auto"/>
        <w:rPr>
          <w:rFonts w:cs="Times New Roman"/>
          <w:szCs w:val="21"/>
        </w:rPr>
      </w:pPr>
      <w:r>
        <w:rPr>
          <w:rFonts w:cs="Times New Roman"/>
          <w:b/>
          <w:bCs/>
          <w:szCs w:val="21"/>
        </w:rPr>
        <w:t>9.3.</w:t>
      </w:r>
      <w:r>
        <w:rPr>
          <w:rFonts w:hint="eastAsia" w:cs="Times New Roman"/>
          <w:b/>
          <w:bCs/>
          <w:szCs w:val="21"/>
        </w:rPr>
        <w:t>6</w:t>
      </w:r>
      <w:r>
        <w:rPr>
          <w:rFonts w:cs="Times New Roman"/>
          <w:b/>
          <w:bCs/>
          <w:szCs w:val="21"/>
        </w:rPr>
        <w:t xml:space="preserve"> </w:t>
      </w:r>
      <w:r>
        <w:rPr>
          <w:rFonts w:hint="eastAsia" w:cs="Times New Roman"/>
          <w:b/>
          <w:bCs/>
          <w:szCs w:val="21"/>
        </w:rPr>
        <w:t xml:space="preserve"> </w:t>
      </w:r>
      <w:r>
        <w:rPr>
          <w:rFonts w:hint="eastAsia" w:cs="Times New Roman"/>
          <w:bCs/>
          <w:szCs w:val="21"/>
        </w:rPr>
        <w:t>顶管始发通过始发</w:t>
      </w:r>
      <w:r>
        <w:rPr>
          <w:rFonts w:hint="eastAsia" w:cs="Times New Roman"/>
          <w:bCs/>
          <w:szCs w:val="21"/>
          <w:lang w:eastAsia="zh-CN"/>
        </w:rPr>
        <w:t>井</w:t>
      </w:r>
      <w:r>
        <w:rPr>
          <w:rFonts w:hint="eastAsia" w:cs="Times New Roman"/>
          <w:bCs/>
          <w:szCs w:val="21"/>
        </w:rPr>
        <w:t>加固区后应进行试验段</w:t>
      </w:r>
      <w:r>
        <w:rPr>
          <w:rFonts w:hint="eastAsia" w:cs="Times New Roman"/>
          <w:bCs/>
          <w:szCs w:val="21"/>
          <w:lang w:eastAsia="zh-CN"/>
        </w:rPr>
        <w:t>顶进</w:t>
      </w:r>
      <w:r>
        <w:rPr>
          <w:rFonts w:hint="eastAsia" w:cs="Times New Roman"/>
          <w:bCs/>
          <w:szCs w:val="21"/>
        </w:rPr>
        <w:t>，</w:t>
      </w:r>
      <w:r>
        <w:rPr>
          <w:rFonts w:hint="eastAsia" w:cs="Times New Roman"/>
          <w:szCs w:val="21"/>
        </w:rPr>
        <w:t>试验段宜取距离始发井始发加固区不小于</w:t>
      </w:r>
      <w:r>
        <w:rPr>
          <w:rFonts w:cs="Times New Roman"/>
          <w:szCs w:val="21"/>
        </w:rPr>
        <w:t>1</w:t>
      </w:r>
      <w:r>
        <w:rPr>
          <w:rFonts w:hint="eastAsia" w:cs="Times New Roman"/>
          <w:szCs w:val="21"/>
        </w:rPr>
        <w:t>倍顶管机长度，并通过现场实测数据调整施工参数和匹配关系。</w:t>
      </w:r>
    </w:p>
    <w:p>
      <w:pPr>
        <w:textAlignment w:val="auto"/>
        <w:rPr>
          <w:rFonts w:cs="Times New Roman"/>
          <w:szCs w:val="21"/>
        </w:rPr>
      </w:pPr>
      <w:r>
        <w:rPr>
          <w:rFonts w:cs="Times New Roman"/>
          <w:b/>
          <w:bCs/>
          <w:szCs w:val="21"/>
        </w:rPr>
        <w:t>9.3.</w:t>
      </w:r>
      <w:r>
        <w:rPr>
          <w:rFonts w:hint="eastAsia" w:cs="Times New Roman"/>
          <w:b/>
          <w:bCs/>
          <w:szCs w:val="21"/>
        </w:rPr>
        <w:t xml:space="preserve">7  </w:t>
      </w:r>
      <w:r>
        <w:rPr>
          <w:rFonts w:cs="Times New Roman"/>
          <w:szCs w:val="21"/>
        </w:rPr>
        <w:t>顶管</w:t>
      </w:r>
      <w:r>
        <w:rPr>
          <w:rFonts w:hint="eastAsia" w:cs="Times New Roman"/>
          <w:szCs w:val="21"/>
          <w:lang w:eastAsia="zh-CN"/>
        </w:rPr>
        <w:t>顶进</w:t>
      </w:r>
      <w:r>
        <w:rPr>
          <w:rFonts w:cs="Times New Roman"/>
          <w:szCs w:val="21"/>
        </w:rPr>
        <w:t>过程中，应遵循“勤测量、勤纠偏、微纠偏”的原则，控制矩形顶管机前进方向和姿态，并应根据测量结果分析偏差产生的原因和发展趋势，确定纠偏的措施。顶管</w:t>
      </w:r>
      <w:r>
        <w:rPr>
          <w:rFonts w:hint="eastAsia" w:cs="Times New Roman"/>
          <w:szCs w:val="21"/>
          <w:lang w:eastAsia="zh-CN"/>
        </w:rPr>
        <w:t>顶进</w:t>
      </w:r>
      <w:r>
        <w:rPr>
          <w:rFonts w:cs="Times New Roman"/>
          <w:szCs w:val="21"/>
        </w:rPr>
        <w:t>姿态控制应符合下列规定：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 xml:space="preserve"> </w:t>
      </w:r>
      <w:r>
        <w:rPr>
          <w:rFonts w:hint="eastAsia" w:cs="Times New Roman"/>
          <w:szCs w:val="21"/>
          <w:lang w:eastAsia="zh-CN"/>
        </w:rPr>
        <w:t>顶进</w:t>
      </w:r>
      <w:r>
        <w:rPr>
          <w:rFonts w:cs="Times New Roman"/>
          <w:szCs w:val="21"/>
        </w:rPr>
        <w:t>施工过程中应对顶管水平轴线、高程、偏转、顶管机姿态等进行测量，并应对测量控制基准点进行复核，发生偏差时应立即纠正；</w:t>
      </w:r>
    </w:p>
    <w:p>
      <w:pPr>
        <w:ind w:firstLine="482"/>
        <w:textAlignment w:val="auto"/>
        <w:rPr>
          <w:rFonts w:cs="Times New Roman"/>
          <w:szCs w:val="21"/>
        </w:rPr>
      </w:pPr>
      <w:r>
        <w:rPr>
          <w:rFonts w:cs="Times New Roman"/>
          <w:szCs w:val="21"/>
        </w:rPr>
        <w:t>2</w:t>
      </w:r>
      <w:r>
        <w:rPr>
          <w:rFonts w:hint="eastAsia" w:cs="Times New Roman"/>
          <w:b/>
          <w:bCs/>
          <w:szCs w:val="21"/>
        </w:rPr>
        <w:t xml:space="preserve">  </w:t>
      </w:r>
      <w:r>
        <w:rPr>
          <w:rFonts w:hint="eastAsia" w:cs="Times New Roman"/>
          <w:szCs w:val="21"/>
          <w:lang w:eastAsia="zh-CN"/>
        </w:rPr>
        <w:t>顶进</w:t>
      </w:r>
      <w:r>
        <w:rPr>
          <w:rFonts w:cs="Times New Roman"/>
          <w:szCs w:val="21"/>
        </w:rPr>
        <w:t>结束后应全线复测、绘制管</w:t>
      </w:r>
      <w:r>
        <w:rPr>
          <w:rFonts w:hint="eastAsia" w:cs="Times New Roman"/>
          <w:szCs w:val="21"/>
        </w:rPr>
        <w:t>节</w:t>
      </w:r>
      <w:r>
        <w:rPr>
          <w:rFonts w:hint="eastAsia" w:cs="Times New Roman"/>
          <w:szCs w:val="21"/>
          <w:lang w:eastAsia="zh-CN"/>
        </w:rPr>
        <w:t>顶进</w:t>
      </w:r>
      <w:r>
        <w:rPr>
          <w:rFonts w:cs="Times New Roman"/>
          <w:szCs w:val="21"/>
        </w:rPr>
        <w:t>轨迹图，并应由施工技术人员检查复核</w:t>
      </w:r>
      <w:r>
        <w:rPr>
          <w:rFonts w:hint="eastAsia" w:cs="Times New Roman"/>
          <w:szCs w:val="21"/>
        </w:rPr>
        <w:t>。</w:t>
      </w:r>
    </w:p>
    <w:p>
      <w:pPr>
        <w:ind w:firstLine="480"/>
        <w:textAlignment w:val="auto"/>
        <w:rPr>
          <w:rFonts w:cs="Times New Roman"/>
          <w:szCs w:val="21"/>
        </w:rPr>
      </w:pPr>
      <w:r>
        <w:rPr>
          <w:rFonts w:hint="eastAsia" w:cs="Times New Roman"/>
          <w:szCs w:val="21"/>
        </w:rPr>
        <w:t>3  通过主刀盘的正反转来调整机身扭转的姿态；</w:t>
      </w:r>
    </w:p>
    <w:p>
      <w:pPr>
        <w:ind w:firstLine="480"/>
        <w:textAlignment w:val="auto"/>
        <w:rPr>
          <w:rFonts w:cs="Times New Roman"/>
          <w:szCs w:val="21"/>
        </w:rPr>
      </w:pPr>
      <w:r>
        <w:rPr>
          <w:rFonts w:hint="eastAsia" w:cs="Times New Roman"/>
          <w:szCs w:val="21"/>
        </w:rPr>
        <w:t>4  通过顶管机壳顶底板的预留孔向机壳外侧高压压注复合胶泥，提供反转力矩来调整机身扭转的姿态。</w:t>
      </w:r>
    </w:p>
    <w:p>
      <w:pPr>
        <w:textAlignment w:val="auto"/>
        <w:rPr>
          <w:rFonts w:cs="Times New Roman"/>
          <w:szCs w:val="21"/>
        </w:rPr>
      </w:pPr>
      <w:r>
        <w:rPr>
          <w:rFonts w:cs="Times New Roman"/>
          <w:b/>
          <w:bCs/>
          <w:szCs w:val="21"/>
        </w:rPr>
        <w:t>9.3.</w:t>
      </w:r>
      <w:r>
        <w:rPr>
          <w:rFonts w:hint="eastAsia" w:cs="Times New Roman"/>
          <w:b/>
          <w:bCs/>
          <w:szCs w:val="21"/>
        </w:rPr>
        <w:t xml:space="preserve">8 </w:t>
      </w:r>
      <w:r>
        <w:rPr>
          <w:rFonts w:cs="Times New Roman"/>
          <w:b/>
          <w:bCs/>
          <w:szCs w:val="21"/>
        </w:rPr>
        <w:t xml:space="preserve"> </w:t>
      </w:r>
      <w:r>
        <w:rPr>
          <w:rFonts w:cs="Times New Roman"/>
          <w:szCs w:val="21"/>
        </w:rPr>
        <w:t>施工参数记录应符合下列规定：</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顶管始发前应测量顶管机头的轴线和标高，并应将测量数据及时反馈进行调整；</w:t>
      </w:r>
    </w:p>
    <w:p>
      <w:pPr>
        <w:ind w:firstLine="482"/>
        <w:textAlignment w:val="auto"/>
        <w:rPr>
          <w:rFonts w:cs="Times New Roman"/>
          <w:szCs w:val="21"/>
        </w:rPr>
      </w:pPr>
      <w:r>
        <w:rPr>
          <w:rFonts w:cs="Times New Roman"/>
          <w:szCs w:val="21"/>
        </w:rPr>
        <w:t>2</w:t>
      </w:r>
      <w:r>
        <w:rPr>
          <w:rFonts w:hint="eastAsia" w:cs="Times New Roman"/>
          <w:szCs w:val="21"/>
        </w:rPr>
        <w:t xml:space="preserve">  </w:t>
      </w:r>
      <w:r>
        <w:rPr>
          <w:rFonts w:hint="eastAsia" w:cs="Times New Roman"/>
          <w:szCs w:val="21"/>
          <w:lang w:eastAsia="zh-CN"/>
        </w:rPr>
        <w:t>顶进</w:t>
      </w:r>
      <w:r>
        <w:rPr>
          <w:rFonts w:cs="Times New Roman"/>
          <w:szCs w:val="21"/>
        </w:rPr>
        <w:t>施工中的原始数据记录应连续、真实、完整；</w:t>
      </w:r>
    </w:p>
    <w:p>
      <w:pPr>
        <w:ind w:firstLine="482"/>
        <w:textAlignment w:val="auto"/>
        <w:rPr>
          <w:rFonts w:cs="Times New Roman"/>
          <w:szCs w:val="21"/>
        </w:rPr>
      </w:pPr>
      <w:r>
        <w:rPr>
          <w:rFonts w:cs="Times New Roman"/>
          <w:szCs w:val="21"/>
        </w:rPr>
        <w:t>3</w:t>
      </w:r>
      <w:r>
        <w:rPr>
          <w:rFonts w:hint="eastAsia" w:cs="Times New Roman"/>
          <w:b/>
          <w:bCs/>
          <w:szCs w:val="21"/>
        </w:rPr>
        <w:t xml:space="preserve">  </w:t>
      </w:r>
      <w:r>
        <w:rPr>
          <w:rFonts w:cs="Times New Roman"/>
          <w:szCs w:val="21"/>
        </w:rPr>
        <w:t>原始记录和测量分析资料应完整存档。</w:t>
      </w:r>
    </w:p>
    <w:p>
      <w:pPr>
        <w:textAlignment w:val="auto"/>
        <w:rPr>
          <w:rFonts w:cs="Times New Roman"/>
          <w:szCs w:val="21"/>
        </w:rPr>
      </w:pPr>
      <w:r>
        <w:rPr>
          <w:rFonts w:cs="Times New Roman"/>
          <w:b/>
          <w:bCs/>
          <w:szCs w:val="21"/>
        </w:rPr>
        <w:t>9.3.</w:t>
      </w:r>
      <w:r>
        <w:rPr>
          <w:rFonts w:hint="eastAsia" w:cs="Times New Roman"/>
          <w:b/>
          <w:bCs/>
          <w:szCs w:val="21"/>
        </w:rPr>
        <w:t>9</w:t>
      </w:r>
      <w:r>
        <w:rPr>
          <w:rFonts w:cs="Times New Roman"/>
          <w:b/>
          <w:bCs/>
          <w:szCs w:val="21"/>
        </w:rPr>
        <w:t xml:space="preserve">  </w:t>
      </w:r>
      <w:r>
        <w:rPr>
          <w:rFonts w:cs="Times New Roman"/>
          <w:szCs w:val="21"/>
        </w:rPr>
        <w:t>顶管</w:t>
      </w:r>
      <w:r>
        <w:rPr>
          <w:rFonts w:hint="eastAsia" w:cs="Times New Roman"/>
          <w:szCs w:val="21"/>
          <w:lang w:eastAsia="zh-CN"/>
        </w:rPr>
        <w:t>顶进</w:t>
      </w:r>
      <w:r>
        <w:rPr>
          <w:rFonts w:cs="Times New Roman"/>
          <w:szCs w:val="21"/>
        </w:rPr>
        <w:t>过程中应采取减小管壁摩擦阻力的措施，宜采用向管外壁与土体间注入润滑泥浆的方式减阻。注浆减阻应符合下列规定：</w:t>
      </w:r>
    </w:p>
    <w:p>
      <w:pPr>
        <w:ind w:firstLine="482"/>
        <w:textAlignment w:val="auto"/>
        <w:rPr>
          <w:rFonts w:cs="Times New Roman"/>
          <w:szCs w:val="21"/>
        </w:rPr>
      </w:pPr>
      <w:r>
        <w:rPr>
          <w:rFonts w:cs="Times New Roman"/>
          <w:b/>
          <w:bCs/>
          <w:szCs w:val="21"/>
        </w:rPr>
        <w:t xml:space="preserve">1 </w:t>
      </w:r>
      <w:r>
        <w:rPr>
          <w:rFonts w:hint="eastAsia" w:cs="Times New Roman"/>
          <w:b/>
          <w:bCs/>
          <w:szCs w:val="21"/>
        </w:rPr>
        <w:t xml:space="preserve"> </w:t>
      </w:r>
      <w:r>
        <w:rPr>
          <w:rFonts w:cs="Times New Roman"/>
          <w:szCs w:val="21"/>
        </w:rPr>
        <w:t>注浆</w:t>
      </w:r>
      <w:r>
        <w:rPr>
          <w:rFonts w:hint="eastAsia" w:cs="Times New Roman"/>
          <w:szCs w:val="21"/>
        </w:rPr>
        <w:t>应</w:t>
      </w:r>
      <w:r>
        <w:rPr>
          <w:rFonts w:cs="Times New Roman"/>
          <w:szCs w:val="21"/>
        </w:rPr>
        <w:t>选择优质的触变泥浆材料；</w:t>
      </w:r>
    </w:p>
    <w:p>
      <w:pPr>
        <w:ind w:firstLine="482"/>
        <w:textAlignment w:val="auto"/>
        <w:rPr>
          <w:rFonts w:cs="Times New Roman"/>
          <w:szCs w:val="21"/>
        </w:rPr>
      </w:pPr>
      <w:r>
        <w:rPr>
          <w:rFonts w:cs="Times New Roman"/>
          <w:b/>
          <w:bCs/>
          <w:szCs w:val="21"/>
        </w:rPr>
        <w:t>2</w:t>
      </w:r>
      <w:r>
        <w:rPr>
          <w:rFonts w:hint="eastAsia" w:cs="Times New Roman"/>
          <w:b/>
          <w:bCs/>
          <w:szCs w:val="21"/>
        </w:rPr>
        <w:t xml:space="preserve">  </w:t>
      </w:r>
      <w:r>
        <w:rPr>
          <w:rFonts w:cs="Times New Roman"/>
          <w:szCs w:val="21"/>
        </w:rPr>
        <w:t>矩形顶管</w:t>
      </w:r>
      <w:r>
        <w:rPr>
          <w:rFonts w:hint="eastAsia" w:cs="Times New Roman"/>
          <w:szCs w:val="21"/>
          <w:lang w:eastAsia="zh-CN"/>
        </w:rPr>
        <w:t>管节</w:t>
      </w:r>
      <w:r>
        <w:rPr>
          <w:rFonts w:cs="Times New Roman"/>
          <w:szCs w:val="21"/>
        </w:rPr>
        <w:t>上</w:t>
      </w:r>
      <w:r>
        <w:rPr>
          <w:rFonts w:hint="eastAsia" w:cs="Times New Roman"/>
          <w:szCs w:val="21"/>
        </w:rPr>
        <w:t>应合理布置注浆系统，</w:t>
      </w:r>
      <w:r>
        <w:rPr>
          <w:rFonts w:cs="Times New Roman"/>
          <w:szCs w:val="21"/>
        </w:rPr>
        <w:t>确保</w:t>
      </w:r>
      <w:r>
        <w:rPr>
          <w:rFonts w:hint="eastAsia" w:cs="Times New Roman"/>
          <w:szCs w:val="21"/>
          <w:lang w:eastAsia="zh-CN"/>
        </w:rPr>
        <w:t>顶进</w:t>
      </w:r>
      <w:r>
        <w:rPr>
          <w:rFonts w:cs="Times New Roman"/>
          <w:szCs w:val="21"/>
        </w:rPr>
        <w:t>时管外壁和土体之间的间隙能形成稳定、连续的泥浆套</w:t>
      </w:r>
      <w:r>
        <w:rPr>
          <w:rFonts w:hint="eastAsia" w:cs="Times New Roman"/>
          <w:szCs w:val="21"/>
        </w:rPr>
        <w:t>，</w:t>
      </w:r>
      <w:r>
        <w:rPr>
          <w:rFonts w:cs="Times New Roman"/>
          <w:szCs w:val="21"/>
        </w:rPr>
        <w:t>施工期间泥浆应保持不失水、不沉淀、不固结；</w:t>
      </w:r>
    </w:p>
    <w:p>
      <w:pPr>
        <w:ind w:firstLine="482"/>
        <w:textAlignment w:val="auto"/>
        <w:rPr>
          <w:rFonts w:cs="Times New Roman"/>
          <w:szCs w:val="21"/>
        </w:rPr>
      </w:pPr>
      <w:r>
        <w:rPr>
          <w:rFonts w:cs="Times New Roman"/>
          <w:b/>
          <w:bCs/>
          <w:szCs w:val="21"/>
        </w:rPr>
        <w:t xml:space="preserve">3 </w:t>
      </w:r>
      <w:r>
        <w:rPr>
          <w:rFonts w:hint="eastAsia" w:cs="Times New Roman"/>
          <w:b/>
          <w:bCs/>
          <w:szCs w:val="21"/>
        </w:rPr>
        <w:t xml:space="preserve"> </w:t>
      </w:r>
      <w:r>
        <w:rPr>
          <w:rFonts w:cs="Times New Roman"/>
          <w:szCs w:val="21"/>
        </w:rPr>
        <w:t>触变泥浆的配合比，应结合顶管穿越地层的特性、地下水条件、触变泥浆的技术指标等因素确定</w:t>
      </w:r>
      <w:r>
        <w:rPr>
          <w:rFonts w:hint="eastAsia" w:cs="Times New Roman"/>
          <w:szCs w:val="21"/>
        </w:rPr>
        <w:t>，并应符合表9</w:t>
      </w:r>
      <w:r>
        <w:rPr>
          <w:rFonts w:cs="Times New Roman"/>
          <w:szCs w:val="21"/>
        </w:rPr>
        <w:t>.</w:t>
      </w:r>
      <w:r>
        <w:rPr>
          <w:rFonts w:hint="eastAsia" w:cs="Times New Roman"/>
          <w:szCs w:val="21"/>
        </w:rPr>
        <w:t>3</w:t>
      </w:r>
      <w:r>
        <w:rPr>
          <w:rFonts w:cs="Times New Roman"/>
          <w:szCs w:val="21"/>
        </w:rPr>
        <w:t>.</w:t>
      </w:r>
      <w:r>
        <w:rPr>
          <w:rFonts w:hint="eastAsia" w:cs="Times New Roman"/>
          <w:szCs w:val="21"/>
        </w:rPr>
        <w:t>9的要求</w:t>
      </w:r>
      <w:r>
        <w:rPr>
          <w:rFonts w:cs="Times New Roman"/>
          <w:szCs w:val="21"/>
        </w:rPr>
        <w:t>；</w:t>
      </w:r>
    </w:p>
    <w:p>
      <w:pPr>
        <w:jc w:val="center"/>
        <w:textAlignment w:val="auto"/>
        <w:rPr>
          <w:rFonts w:cs="Times New Roman"/>
          <w:b/>
          <w:sz w:val="21"/>
          <w:szCs w:val="18"/>
        </w:rPr>
      </w:pPr>
      <w:r>
        <w:rPr>
          <w:rFonts w:cs="Times New Roman"/>
          <w:b/>
          <w:sz w:val="21"/>
          <w:szCs w:val="18"/>
        </w:rPr>
        <w:t>表9.</w:t>
      </w:r>
      <w:r>
        <w:rPr>
          <w:rFonts w:hint="eastAsia" w:cs="Times New Roman"/>
          <w:b/>
          <w:sz w:val="21"/>
          <w:szCs w:val="18"/>
        </w:rPr>
        <w:t>3</w:t>
      </w:r>
      <w:r>
        <w:rPr>
          <w:rFonts w:cs="Times New Roman"/>
          <w:b/>
          <w:sz w:val="21"/>
          <w:szCs w:val="18"/>
        </w:rPr>
        <w:t>.</w:t>
      </w:r>
      <w:r>
        <w:rPr>
          <w:rFonts w:hint="eastAsia" w:cs="Times New Roman"/>
          <w:b/>
          <w:sz w:val="21"/>
          <w:szCs w:val="18"/>
        </w:rPr>
        <w:t>9</w:t>
      </w:r>
      <w:r>
        <w:rPr>
          <w:rFonts w:cs="Times New Roman"/>
          <w:b/>
          <w:sz w:val="21"/>
          <w:szCs w:val="18"/>
        </w:rPr>
        <w:t xml:space="preserve">  触变泥浆技术指标</w:t>
      </w:r>
    </w:p>
    <w:tbl>
      <w:tblPr>
        <w:tblStyle w:val="196"/>
        <w:tblW w:w="716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119"/>
        <w:gridCol w:w="1689"/>
        <w:gridCol w:w="32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指标</w:t>
            </w:r>
          </w:p>
        </w:tc>
        <w:tc>
          <w:tcPr>
            <w:tcW w:w="1119" w:type="dxa"/>
            <w:tcMar>
              <w:left w:w="0" w:type="dxa"/>
              <w:right w:w="0" w:type="dxa"/>
            </w:tcMar>
          </w:tcPr>
          <w:p>
            <w:pPr>
              <w:spacing w:line="240" w:lineRule="auto"/>
              <w:jc w:val="center"/>
              <w:textAlignment w:val="auto"/>
              <w:rPr>
                <w:rFonts w:cs="Times New Roman"/>
                <w:sz w:val="21"/>
                <w:szCs w:val="21"/>
              </w:rPr>
            </w:pPr>
            <w:r>
              <w:rPr>
                <w:rFonts w:cs="Times New Roman"/>
                <w:sz w:val="21"/>
                <w:szCs w:val="21"/>
              </w:rPr>
              <w:t>单位</w:t>
            </w:r>
          </w:p>
        </w:tc>
        <w:tc>
          <w:tcPr>
            <w:tcW w:w="1689" w:type="dxa"/>
            <w:tcMar>
              <w:left w:w="0" w:type="dxa"/>
              <w:right w:w="0" w:type="dxa"/>
            </w:tcMar>
          </w:tcPr>
          <w:p>
            <w:pPr>
              <w:spacing w:line="240" w:lineRule="auto"/>
              <w:jc w:val="center"/>
              <w:textAlignment w:val="auto"/>
              <w:rPr>
                <w:rFonts w:cs="Times New Roman"/>
                <w:sz w:val="21"/>
                <w:szCs w:val="21"/>
              </w:rPr>
            </w:pPr>
            <w:r>
              <w:rPr>
                <w:rFonts w:cs="Times New Roman"/>
                <w:sz w:val="21"/>
                <w:szCs w:val="21"/>
              </w:rPr>
              <w:t>技术要求</w:t>
            </w:r>
          </w:p>
        </w:tc>
        <w:tc>
          <w:tcPr>
            <w:tcW w:w="3225" w:type="dxa"/>
            <w:tcMar>
              <w:left w:w="0" w:type="dxa"/>
              <w:right w:w="0" w:type="dxa"/>
            </w:tcMar>
          </w:tcPr>
          <w:p>
            <w:pPr>
              <w:spacing w:line="240" w:lineRule="auto"/>
              <w:jc w:val="center"/>
              <w:textAlignment w:val="auto"/>
              <w:rPr>
                <w:rFonts w:cs="Times New Roman"/>
                <w:sz w:val="21"/>
                <w:szCs w:val="21"/>
              </w:rPr>
            </w:pPr>
            <w:r>
              <w:rPr>
                <w:rFonts w:cs="Times New Roman"/>
                <w:sz w:val="21"/>
                <w:szCs w:val="21"/>
              </w:rPr>
              <w:t>测试方法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动力粘度</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Pa•s</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＞30</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旋转式粘度计测定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滤失量</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cm</w:t>
            </w:r>
            <w:r>
              <w:rPr>
                <w:rFonts w:cs="Times New Roman"/>
                <w:sz w:val="21"/>
                <w:szCs w:val="21"/>
                <w:vertAlign w:val="superscript"/>
              </w:rPr>
              <w:t>3</w:t>
            </w:r>
            <w:r>
              <w:rPr>
                <w:rFonts w:cs="Times New Roman"/>
                <w:sz w:val="21"/>
                <w:szCs w:val="21"/>
              </w:rPr>
              <w:t>/30min</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＜25</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滤失量测定仪测定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ind w:firstLine="210" w:firstLineChars="100"/>
              <w:jc w:val="center"/>
              <w:textAlignment w:val="auto"/>
              <w:rPr>
                <w:rFonts w:cs="Times New Roman"/>
                <w:sz w:val="21"/>
                <w:szCs w:val="21"/>
              </w:rPr>
            </w:pPr>
            <w:r>
              <w:rPr>
                <w:rFonts w:cs="Times New Roman"/>
                <w:sz w:val="21"/>
                <w:szCs w:val="21"/>
              </w:rPr>
              <w:t>比重</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g/cm</w:t>
            </w:r>
            <w:r>
              <w:rPr>
                <w:rFonts w:cs="Times New Roman"/>
                <w:sz w:val="21"/>
                <w:szCs w:val="21"/>
                <w:vertAlign w:val="superscript"/>
              </w:rPr>
              <w:t>3</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1.1～1.15</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泥浆比重计测定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pH值</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8～10</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pH试纸直接测定或取滤液用pH计测定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含砂量</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＜3</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含砂率计测定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稳定性</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静止24h无析水</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稳定性测定仪测定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静切力</w:t>
            </w:r>
          </w:p>
        </w:tc>
        <w:tc>
          <w:tcPr>
            <w:tcW w:w="111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Pa</w:t>
            </w:r>
          </w:p>
        </w:tc>
        <w:tc>
          <w:tcPr>
            <w:tcW w:w="1689" w:type="dxa"/>
            <w:tcMar>
              <w:left w:w="0" w:type="dxa"/>
              <w:right w:w="0" w:type="dxa"/>
            </w:tcMar>
            <w:vAlign w:val="center"/>
          </w:tcPr>
          <w:p>
            <w:pPr>
              <w:spacing w:line="240" w:lineRule="auto"/>
              <w:jc w:val="center"/>
              <w:textAlignment w:val="auto"/>
              <w:rPr>
                <w:rFonts w:cs="Times New Roman"/>
                <w:sz w:val="21"/>
                <w:szCs w:val="21"/>
              </w:rPr>
            </w:pPr>
            <w:r>
              <w:rPr>
                <w:rFonts w:cs="Times New Roman"/>
                <w:sz w:val="21"/>
                <w:szCs w:val="21"/>
              </w:rPr>
              <w:t>100左右</w:t>
            </w:r>
          </w:p>
        </w:tc>
        <w:tc>
          <w:tcPr>
            <w:tcW w:w="3225" w:type="dxa"/>
            <w:tcMar>
              <w:left w:w="0" w:type="dxa"/>
              <w:right w:w="0" w:type="dxa"/>
            </w:tcMar>
          </w:tcPr>
          <w:p>
            <w:pPr>
              <w:spacing w:line="400" w:lineRule="atLeast"/>
              <w:jc w:val="center"/>
              <w:textAlignment w:val="auto"/>
              <w:rPr>
                <w:rFonts w:cs="Times New Roman"/>
                <w:sz w:val="21"/>
                <w:szCs w:val="21"/>
              </w:rPr>
            </w:pPr>
            <w:r>
              <w:rPr>
                <w:rFonts w:cs="Times New Roman"/>
                <w:sz w:val="21"/>
                <w:szCs w:val="21"/>
              </w:rPr>
              <w:t>浮筒切力计测定</w:t>
            </w:r>
          </w:p>
        </w:tc>
      </w:tr>
    </w:tbl>
    <w:p>
      <w:pPr>
        <w:ind w:firstLine="482"/>
        <w:textAlignment w:val="auto"/>
        <w:rPr>
          <w:rFonts w:hint="eastAsia" w:eastAsia="宋体" w:cs="Times New Roman"/>
          <w:szCs w:val="21"/>
          <w:lang w:eastAsia="zh-CN"/>
        </w:rPr>
      </w:pPr>
      <w:r>
        <w:rPr>
          <w:rFonts w:cs="Times New Roman"/>
          <w:szCs w:val="21"/>
        </w:rPr>
        <w:t>4</w:t>
      </w:r>
      <w:r>
        <w:rPr>
          <w:rFonts w:hint="eastAsia" w:cs="Times New Roman"/>
          <w:szCs w:val="21"/>
        </w:rPr>
        <w:t xml:space="preserve">  </w:t>
      </w:r>
      <w:r>
        <w:rPr>
          <w:rFonts w:cs="Times New Roman"/>
          <w:szCs w:val="21"/>
        </w:rPr>
        <w:t>注浆应遵循“同步注浆与补浆相结合”和“先注后顶、随顶随注、及时补浆”的原则</w:t>
      </w:r>
      <w:r>
        <w:rPr>
          <w:rFonts w:hint="eastAsia" w:cs="Times New Roman"/>
          <w:szCs w:val="21"/>
        </w:rPr>
        <w:t>。</w:t>
      </w:r>
      <w:r>
        <w:rPr>
          <w:rFonts w:cs="Times New Roman"/>
          <w:szCs w:val="21"/>
        </w:rPr>
        <w:t>在注浆过程中，应根据减阻效果和控制地面变形的实际监测数据调整注浆流量和注浆压力等工艺参数</w:t>
      </w:r>
      <w:r>
        <w:rPr>
          <w:rFonts w:hint="eastAsia" w:cs="Times New Roman"/>
          <w:szCs w:val="21"/>
          <w:lang w:eastAsia="zh-CN"/>
        </w:rPr>
        <w:t>；</w:t>
      </w:r>
    </w:p>
    <w:p>
      <w:pPr>
        <w:ind w:firstLine="482"/>
        <w:textAlignment w:val="auto"/>
        <w:rPr>
          <w:rFonts w:cs="Times New Roman"/>
          <w:szCs w:val="21"/>
        </w:rPr>
      </w:pPr>
      <w:r>
        <w:rPr>
          <w:rFonts w:cs="Times New Roman"/>
          <w:szCs w:val="21"/>
        </w:rPr>
        <w:t>5</w:t>
      </w:r>
      <w:r>
        <w:rPr>
          <w:rFonts w:hint="eastAsia" w:cs="Times New Roman"/>
          <w:szCs w:val="21"/>
        </w:rPr>
        <w:t xml:space="preserve">  </w:t>
      </w:r>
      <w:r>
        <w:rPr>
          <w:rFonts w:cs="Times New Roman"/>
          <w:szCs w:val="21"/>
        </w:rPr>
        <w:t>注浆设备和管路应可靠，应具有足够的耐压和良好的密封性能；</w:t>
      </w:r>
    </w:p>
    <w:p>
      <w:pPr>
        <w:ind w:firstLine="482"/>
        <w:textAlignment w:val="auto"/>
        <w:rPr>
          <w:rFonts w:hint="eastAsia" w:eastAsia="宋体" w:cs="Times New Roman"/>
          <w:szCs w:val="21"/>
          <w:lang w:eastAsia="zh-CN"/>
        </w:rPr>
      </w:pPr>
      <w:r>
        <w:rPr>
          <w:rFonts w:cs="Times New Roman"/>
          <w:szCs w:val="21"/>
        </w:rPr>
        <w:t>6</w:t>
      </w:r>
      <w:r>
        <w:rPr>
          <w:rFonts w:hint="eastAsia" w:cs="Times New Roman"/>
          <w:szCs w:val="21"/>
        </w:rPr>
        <w:t xml:space="preserve">  </w:t>
      </w:r>
      <w:r>
        <w:rPr>
          <w:rFonts w:cs="Times New Roman"/>
          <w:szCs w:val="21"/>
        </w:rPr>
        <w:t>长距离顶管注浆</w:t>
      </w:r>
      <w:r>
        <w:rPr>
          <w:rFonts w:hint="eastAsia" w:cs="Times New Roman"/>
          <w:szCs w:val="21"/>
        </w:rPr>
        <w:t>时</w:t>
      </w:r>
      <w:r>
        <w:rPr>
          <w:rFonts w:cs="Times New Roman"/>
          <w:szCs w:val="21"/>
        </w:rPr>
        <w:t>宜使用低压力、大流量，补浆</w:t>
      </w:r>
      <w:r>
        <w:rPr>
          <w:rFonts w:hint="eastAsia" w:cs="Times New Roman"/>
          <w:szCs w:val="21"/>
        </w:rPr>
        <w:t>时</w:t>
      </w:r>
      <w:r>
        <w:rPr>
          <w:rFonts w:cs="Times New Roman"/>
          <w:szCs w:val="21"/>
        </w:rPr>
        <w:t>可使用高压力、小流量</w:t>
      </w:r>
      <w:r>
        <w:rPr>
          <w:rFonts w:hint="eastAsia" w:cs="Times New Roman"/>
          <w:szCs w:val="21"/>
          <w:lang w:eastAsia="zh-CN"/>
        </w:rPr>
        <w:t>；</w:t>
      </w:r>
    </w:p>
    <w:p>
      <w:pPr>
        <w:ind w:firstLine="480"/>
        <w:textAlignment w:val="auto"/>
        <w:rPr>
          <w:rFonts w:cs="Times New Roman"/>
          <w:szCs w:val="21"/>
        </w:rPr>
      </w:pPr>
      <w:r>
        <w:rPr>
          <w:rFonts w:hint="eastAsia" w:cs="Times New Roman"/>
          <w:szCs w:val="21"/>
        </w:rPr>
        <w:t>7</w:t>
      </w:r>
      <w:r>
        <w:rPr>
          <w:rFonts w:cs="Times New Roman"/>
          <w:szCs w:val="21"/>
        </w:rPr>
        <w:t xml:space="preserve"> </w:t>
      </w:r>
      <w:r>
        <w:rPr>
          <w:rFonts w:hint="eastAsia" w:cs="Times New Roman"/>
          <w:szCs w:val="21"/>
        </w:rPr>
        <w:t xml:space="preserve"> </w:t>
      </w:r>
      <w:r>
        <w:rPr>
          <w:rFonts w:cs="Times New Roman"/>
          <w:szCs w:val="21"/>
        </w:rPr>
        <w:t>注浆管出口应设单向阀，出口压力应大于地下水压力，在砂性土中</w:t>
      </w:r>
      <w:r>
        <w:rPr>
          <w:rFonts w:hint="eastAsia" w:cs="Times New Roman"/>
          <w:szCs w:val="21"/>
          <w:lang w:eastAsia="zh-CN"/>
        </w:rPr>
        <w:t>顶进</w:t>
      </w:r>
      <w:r>
        <w:rPr>
          <w:rFonts w:cs="Times New Roman"/>
          <w:szCs w:val="21"/>
        </w:rPr>
        <w:t>时，单向阀宜加装在注浆孔的管道外侧。</w:t>
      </w:r>
    </w:p>
    <w:p>
      <w:pPr>
        <w:textAlignment w:val="auto"/>
        <w:rPr>
          <w:rFonts w:cs="Times New Roman"/>
          <w:szCs w:val="21"/>
        </w:rPr>
      </w:pPr>
      <w:r>
        <w:rPr>
          <w:rFonts w:cs="Times New Roman"/>
          <w:b/>
          <w:bCs/>
          <w:szCs w:val="21"/>
        </w:rPr>
        <w:t>9.3.</w:t>
      </w:r>
      <w:r>
        <w:rPr>
          <w:rFonts w:hint="eastAsia" w:cs="Times New Roman"/>
          <w:b/>
          <w:bCs/>
          <w:szCs w:val="21"/>
        </w:rPr>
        <w:t xml:space="preserve">10 </w:t>
      </w:r>
      <w:r>
        <w:rPr>
          <w:rFonts w:cs="Times New Roman"/>
          <w:b/>
          <w:bCs/>
          <w:szCs w:val="21"/>
        </w:rPr>
        <w:t xml:space="preserve"> </w:t>
      </w:r>
      <w:r>
        <w:rPr>
          <w:rFonts w:hint="eastAsia" w:cs="Times New Roman"/>
          <w:b w:val="0"/>
          <w:bCs w:val="0"/>
          <w:szCs w:val="21"/>
          <w:lang w:eastAsia="zh-CN"/>
        </w:rPr>
        <w:t>安装</w:t>
      </w:r>
      <w:r>
        <w:rPr>
          <w:rFonts w:cs="Times New Roman"/>
          <w:szCs w:val="21"/>
        </w:rPr>
        <w:t>管节时，主推油缸在缩回前应对已</w:t>
      </w:r>
      <w:r>
        <w:rPr>
          <w:rFonts w:hint="eastAsia" w:cs="Times New Roman"/>
          <w:szCs w:val="21"/>
          <w:lang w:eastAsia="zh-CN"/>
        </w:rPr>
        <w:t>顶进</w:t>
      </w:r>
      <w:r>
        <w:rPr>
          <w:rFonts w:cs="Times New Roman"/>
          <w:szCs w:val="21"/>
        </w:rPr>
        <w:t>的管节采取止退措施。</w:t>
      </w:r>
    </w:p>
    <w:p>
      <w:pPr>
        <w:textAlignment w:val="auto"/>
        <w:rPr>
          <w:rFonts w:cs="Times New Roman"/>
          <w:szCs w:val="21"/>
        </w:rPr>
      </w:pPr>
      <w:r>
        <w:rPr>
          <w:rFonts w:cs="Times New Roman"/>
          <w:b/>
          <w:bCs/>
          <w:szCs w:val="21"/>
        </w:rPr>
        <w:t>9.3.</w:t>
      </w:r>
      <w:r>
        <w:rPr>
          <w:rFonts w:hint="eastAsia" w:cs="Times New Roman"/>
          <w:b/>
          <w:bCs/>
          <w:szCs w:val="21"/>
        </w:rPr>
        <w:t xml:space="preserve">11  </w:t>
      </w:r>
      <w:r>
        <w:rPr>
          <w:rFonts w:hint="eastAsia" w:cs="Times New Roman"/>
          <w:szCs w:val="21"/>
          <w:lang w:eastAsia="zh-CN"/>
        </w:rPr>
        <w:t>顶进</w:t>
      </w:r>
      <w:r>
        <w:rPr>
          <w:rFonts w:cs="Times New Roman"/>
          <w:szCs w:val="21"/>
        </w:rPr>
        <w:t>过程应连续进行，遇下列情况之一时，应暂停</w:t>
      </w:r>
      <w:r>
        <w:rPr>
          <w:rFonts w:hint="eastAsia" w:cs="Times New Roman"/>
          <w:szCs w:val="21"/>
          <w:lang w:eastAsia="zh-CN"/>
        </w:rPr>
        <w:t>顶进</w:t>
      </w:r>
      <w:r>
        <w:rPr>
          <w:rFonts w:cs="Times New Roman"/>
          <w:szCs w:val="21"/>
        </w:rPr>
        <w:t>、分析处理，并应采取防止顶管机前方塌方的措施：</w:t>
      </w:r>
    </w:p>
    <w:p>
      <w:pPr>
        <w:ind w:firstLine="482"/>
        <w:textAlignment w:val="auto"/>
        <w:rPr>
          <w:rFonts w:cs="Times New Roman"/>
          <w:szCs w:val="21"/>
        </w:rPr>
      </w:pPr>
      <w:r>
        <w:rPr>
          <w:rFonts w:cs="Times New Roman"/>
          <w:szCs w:val="21"/>
        </w:rPr>
        <w:t>1</w:t>
      </w:r>
      <w:r>
        <w:rPr>
          <w:rFonts w:hint="eastAsia" w:cs="Times New Roman"/>
          <w:szCs w:val="21"/>
        </w:rPr>
        <w:t xml:space="preserve">  </w:t>
      </w:r>
      <w:r>
        <w:rPr>
          <w:rFonts w:cs="Times New Roman"/>
          <w:szCs w:val="21"/>
        </w:rPr>
        <w:t>顶管机前方遇到不明障碍物；</w:t>
      </w:r>
    </w:p>
    <w:p>
      <w:pPr>
        <w:ind w:firstLine="482"/>
        <w:textAlignment w:val="auto"/>
        <w:rPr>
          <w:rFonts w:cs="Times New Roman"/>
          <w:szCs w:val="21"/>
        </w:rPr>
      </w:pPr>
      <w:r>
        <w:rPr>
          <w:rFonts w:cs="Times New Roman"/>
          <w:szCs w:val="21"/>
        </w:rPr>
        <w:t>2</w:t>
      </w:r>
      <w:r>
        <w:rPr>
          <w:rFonts w:hint="eastAsia" w:cs="Times New Roman"/>
          <w:szCs w:val="21"/>
        </w:rPr>
        <w:t xml:space="preserve">  </w:t>
      </w:r>
      <w:r>
        <w:rPr>
          <w:rFonts w:cs="Times New Roman"/>
          <w:szCs w:val="21"/>
        </w:rPr>
        <w:t>后背墙变形严重；</w:t>
      </w:r>
    </w:p>
    <w:p>
      <w:pPr>
        <w:ind w:firstLine="482"/>
        <w:textAlignment w:val="auto"/>
        <w:rPr>
          <w:rFonts w:cs="Times New Roman"/>
          <w:szCs w:val="21"/>
        </w:rPr>
      </w:pPr>
      <w:r>
        <w:rPr>
          <w:rFonts w:cs="Times New Roman"/>
          <w:szCs w:val="21"/>
        </w:rPr>
        <w:t>3</w:t>
      </w:r>
      <w:r>
        <w:rPr>
          <w:rFonts w:hint="eastAsia" w:cs="Times New Roman"/>
          <w:szCs w:val="21"/>
        </w:rPr>
        <w:t xml:space="preserve">  </w:t>
      </w:r>
      <w:r>
        <w:rPr>
          <w:rFonts w:cs="Times New Roman"/>
          <w:szCs w:val="21"/>
        </w:rPr>
        <w:t>顶铁发生扭曲现象；</w:t>
      </w:r>
    </w:p>
    <w:p>
      <w:pPr>
        <w:ind w:firstLine="482"/>
        <w:textAlignment w:val="auto"/>
        <w:rPr>
          <w:rFonts w:cs="Times New Roman"/>
          <w:szCs w:val="21"/>
        </w:rPr>
      </w:pPr>
      <w:r>
        <w:rPr>
          <w:rFonts w:cs="Times New Roman"/>
          <w:szCs w:val="21"/>
        </w:rPr>
        <w:t>4</w:t>
      </w:r>
      <w:r>
        <w:rPr>
          <w:rFonts w:hint="eastAsia" w:cs="Times New Roman"/>
          <w:szCs w:val="21"/>
        </w:rPr>
        <w:t xml:space="preserve">  </w:t>
      </w:r>
      <w:r>
        <w:rPr>
          <w:rFonts w:cs="Times New Roman"/>
          <w:szCs w:val="21"/>
        </w:rPr>
        <w:t>管位偏差过大且纠偏无效；</w:t>
      </w:r>
    </w:p>
    <w:p>
      <w:pPr>
        <w:ind w:firstLine="482"/>
        <w:textAlignment w:val="auto"/>
        <w:rPr>
          <w:rFonts w:cs="Times New Roman"/>
          <w:szCs w:val="21"/>
        </w:rPr>
      </w:pPr>
      <w:r>
        <w:rPr>
          <w:rFonts w:cs="Times New Roman"/>
          <w:szCs w:val="21"/>
        </w:rPr>
        <w:t>5</w:t>
      </w:r>
      <w:r>
        <w:rPr>
          <w:rFonts w:hint="eastAsia" w:cs="Times New Roman"/>
          <w:szCs w:val="21"/>
        </w:rPr>
        <w:t xml:space="preserve">  </w:t>
      </w:r>
      <w:r>
        <w:rPr>
          <w:rFonts w:cs="Times New Roman"/>
          <w:szCs w:val="21"/>
        </w:rPr>
        <w:t>顶推力超过管材的允许推力；</w:t>
      </w:r>
    </w:p>
    <w:p>
      <w:pPr>
        <w:ind w:firstLine="482"/>
        <w:textAlignment w:val="auto"/>
        <w:rPr>
          <w:rFonts w:cs="Times New Roman"/>
          <w:szCs w:val="21"/>
        </w:rPr>
      </w:pPr>
      <w:r>
        <w:rPr>
          <w:rFonts w:cs="Times New Roman"/>
          <w:szCs w:val="21"/>
        </w:rPr>
        <w:t>6</w:t>
      </w:r>
      <w:r>
        <w:rPr>
          <w:rFonts w:hint="eastAsia" w:cs="Times New Roman"/>
          <w:szCs w:val="21"/>
        </w:rPr>
        <w:t xml:space="preserve">  </w:t>
      </w:r>
      <w:r>
        <w:rPr>
          <w:rFonts w:cs="Times New Roman"/>
          <w:szCs w:val="21"/>
        </w:rPr>
        <w:t>油泵、油路发生异常现象；</w:t>
      </w:r>
    </w:p>
    <w:p>
      <w:pPr>
        <w:ind w:firstLine="482"/>
        <w:textAlignment w:val="auto"/>
        <w:rPr>
          <w:rFonts w:cs="Times New Roman"/>
          <w:szCs w:val="21"/>
        </w:rPr>
      </w:pPr>
      <w:r>
        <w:rPr>
          <w:rFonts w:cs="Times New Roman"/>
          <w:szCs w:val="21"/>
        </w:rPr>
        <w:t>7</w:t>
      </w:r>
      <w:r>
        <w:rPr>
          <w:rFonts w:hint="eastAsia" w:cs="Times New Roman"/>
          <w:szCs w:val="21"/>
        </w:rPr>
        <w:t xml:space="preserve">  </w:t>
      </w:r>
      <w:r>
        <w:rPr>
          <w:rFonts w:cs="Times New Roman"/>
          <w:szCs w:val="21"/>
        </w:rPr>
        <w:t>管节接缝、中继间</w:t>
      </w:r>
      <w:r>
        <w:rPr>
          <w:rFonts w:hint="eastAsia" w:cs="Times New Roman"/>
          <w:szCs w:val="21"/>
        </w:rPr>
        <w:t>出现</w:t>
      </w:r>
      <w:r>
        <w:rPr>
          <w:rFonts w:cs="Times New Roman"/>
          <w:szCs w:val="21"/>
        </w:rPr>
        <w:t>渗漏；</w:t>
      </w:r>
    </w:p>
    <w:p>
      <w:pPr>
        <w:ind w:firstLine="482"/>
        <w:textAlignment w:val="auto"/>
        <w:rPr>
          <w:rFonts w:cs="Times New Roman"/>
          <w:szCs w:val="21"/>
        </w:rPr>
      </w:pPr>
      <w:r>
        <w:rPr>
          <w:rFonts w:cs="Times New Roman"/>
          <w:szCs w:val="21"/>
        </w:rPr>
        <w:t>8</w:t>
      </w:r>
      <w:r>
        <w:rPr>
          <w:rFonts w:hint="eastAsia" w:cs="Times New Roman"/>
          <w:szCs w:val="21"/>
        </w:rPr>
        <w:t xml:space="preserve"> </w:t>
      </w:r>
      <w:r>
        <w:rPr>
          <w:rFonts w:hint="eastAsia" w:cs="Times New Roman"/>
          <w:b/>
          <w:bCs/>
          <w:szCs w:val="21"/>
        </w:rPr>
        <w:t xml:space="preserve"> </w:t>
      </w:r>
      <w:r>
        <w:rPr>
          <w:rFonts w:cs="Times New Roman"/>
          <w:szCs w:val="21"/>
        </w:rPr>
        <w:t>地层、邻近建筑物或构筑物、管线等周围环境的</w:t>
      </w:r>
      <w:r>
        <w:rPr>
          <w:rFonts w:hint="eastAsia" w:cs="Times New Roman"/>
          <w:szCs w:val="21"/>
        </w:rPr>
        <w:t>变形</w:t>
      </w:r>
      <w:r>
        <w:rPr>
          <w:rFonts w:cs="Times New Roman"/>
          <w:szCs w:val="21"/>
        </w:rPr>
        <w:t>量超出允许控制值。</w:t>
      </w:r>
    </w:p>
    <w:p>
      <w:pPr>
        <w:textAlignment w:val="auto"/>
        <w:rPr>
          <w:rFonts w:hint="eastAsia" w:cs="Times New Roman"/>
          <w:szCs w:val="21"/>
        </w:rPr>
      </w:pPr>
      <w:r>
        <w:rPr>
          <w:rFonts w:cs="Times New Roman"/>
          <w:b/>
          <w:bCs/>
          <w:szCs w:val="21"/>
        </w:rPr>
        <w:t>9.3.</w:t>
      </w:r>
      <w:r>
        <w:rPr>
          <w:rFonts w:hint="eastAsia" w:cs="Times New Roman"/>
          <w:b/>
          <w:bCs/>
          <w:szCs w:val="21"/>
        </w:rPr>
        <w:t xml:space="preserve">12  </w:t>
      </w:r>
      <w:r>
        <w:rPr>
          <w:rFonts w:cs="Times New Roman"/>
          <w:szCs w:val="21"/>
        </w:rPr>
        <w:t>当顶管施工穿跨建筑物</w:t>
      </w:r>
      <w:r>
        <w:rPr>
          <w:rFonts w:hint="eastAsia" w:cs="Times New Roman"/>
          <w:szCs w:val="21"/>
        </w:rPr>
        <w:t>、</w:t>
      </w:r>
      <w:r>
        <w:rPr>
          <w:rFonts w:cs="Times New Roman"/>
          <w:szCs w:val="21"/>
        </w:rPr>
        <w:t>构筑物、轨道交通、铁路、公路、堤</w:t>
      </w:r>
      <w:r>
        <w:rPr>
          <w:rFonts w:hint="eastAsia" w:cs="Times New Roman"/>
          <w:szCs w:val="21"/>
        </w:rPr>
        <w:t>岸</w:t>
      </w:r>
      <w:r>
        <w:rPr>
          <w:rFonts w:cs="Times New Roman"/>
          <w:szCs w:val="21"/>
        </w:rPr>
        <w:t>、重要地下管线及遇到地下障碍物等时，应</w:t>
      </w:r>
      <w:r>
        <w:rPr>
          <w:rFonts w:hint="eastAsia" w:cs="Times New Roman"/>
          <w:szCs w:val="21"/>
        </w:rPr>
        <w:t>进行</w:t>
      </w:r>
      <w:r>
        <w:rPr>
          <w:rFonts w:hint="eastAsia" w:cs="Times New Roman"/>
          <w:szCs w:val="21"/>
          <w:lang w:eastAsia="zh-CN"/>
        </w:rPr>
        <w:t>安全</w:t>
      </w:r>
      <w:r>
        <w:rPr>
          <w:rFonts w:hint="eastAsia" w:cs="Times New Roman"/>
          <w:szCs w:val="21"/>
        </w:rPr>
        <w:t>评估并采取措施。</w:t>
      </w:r>
    </w:p>
    <w:p>
      <w:pPr>
        <w:textAlignment w:val="auto"/>
        <w:rPr>
          <w:rFonts w:hint="eastAsia" w:cs="Times New Roman"/>
          <w:szCs w:val="21"/>
        </w:rPr>
      </w:pPr>
    </w:p>
    <w:p>
      <w:pPr>
        <w:keepNext/>
        <w:keepLines/>
        <w:jc w:val="center"/>
        <w:textAlignment w:val="auto"/>
        <w:outlineLvl w:val="1"/>
        <w:rPr>
          <w:rFonts w:cs="Times New Roman"/>
          <w:b/>
          <w:bCs/>
          <w:sz w:val="28"/>
          <w:szCs w:val="32"/>
        </w:rPr>
      </w:pPr>
      <w:bookmarkStart w:id="397" w:name="_Toc12230"/>
      <w:bookmarkStart w:id="398" w:name="_Toc47692194"/>
      <w:bookmarkStart w:id="399" w:name="_Toc14689"/>
      <w:bookmarkStart w:id="400" w:name="_Toc25006"/>
      <w:bookmarkStart w:id="401" w:name="_Toc26205"/>
      <w:bookmarkStart w:id="402" w:name="_Toc18057081"/>
      <w:bookmarkStart w:id="403" w:name="_Toc24032"/>
      <w:bookmarkStart w:id="404" w:name="_Toc12028"/>
      <w:bookmarkStart w:id="405" w:name="_Toc29634"/>
      <w:bookmarkStart w:id="406" w:name="_Toc10778"/>
      <w:bookmarkStart w:id="407" w:name="_Toc15246"/>
      <w:bookmarkStart w:id="408" w:name="_Toc17374"/>
      <w:bookmarkStart w:id="409" w:name="_Toc930"/>
      <w:bookmarkStart w:id="410" w:name="_Toc25609"/>
      <w:bookmarkStart w:id="411" w:name="_Toc31289"/>
      <w:bookmarkStart w:id="412" w:name="_Toc60173822"/>
      <w:bookmarkStart w:id="413" w:name="_Toc28227"/>
      <w:bookmarkStart w:id="414" w:name="_Toc60172935"/>
      <w:r>
        <w:rPr>
          <w:rFonts w:cs="Times New Roman"/>
          <w:b/>
          <w:bCs/>
          <w:sz w:val="28"/>
          <w:szCs w:val="32"/>
        </w:rPr>
        <w:t>9.4</w:t>
      </w:r>
      <w:r>
        <w:rPr>
          <w:rFonts w:hint="eastAsia" w:cs="Times New Roman"/>
          <w:b/>
          <w:bCs/>
          <w:sz w:val="28"/>
          <w:szCs w:val="32"/>
        </w:rPr>
        <w:t xml:space="preserve">  </w:t>
      </w:r>
      <w:r>
        <w:rPr>
          <w:rFonts w:cs="Times New Roman"/>
          <w:b/>
          <w:bCs/>
          <w:sz w:val="28"/>
          <w:szCs w:val="32"/>
        </w:rPr>
        <w:t>质量</w:t>
      </w:r>
      <w:r>
        <w:rPr>
          <w:rFonts w:hint="eastAsia" w:cs="Times New Roman"/>
          <w:b/>
          <w:bCs/>
          <w:sz w:val="28"/>
          <w:szCs w:val="32"/>
        </w:rPr>
        <w:t>检验</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pPr>
        <w:jc w:val="center"/>
        <w:textAlignment w:val="auto"/>
        <w:rPr>
          <w:rFonts w:cs="Times New Roman"/>
          <w:b/>
          <w:bCs/>
          <w:szCs w:val="21"/>
        </w:rPr>
      </w:pPr>
      <w:r>
        <w:rPr>
          <w:rFonts w:cs="Times New Roman"/>
          <w:b/>
          <w:bCs/>
          <w:szCs w:val="21"/>
        </w:rPr>
        <w:t>Ⅰ 主控项目</w:t>
      </w:r>
    </w:p>
    <w:p>
      <w:pPr>
        <w:textAlignment w:val="auto"/>
        <w:rPr>
          <w:rFonts w:cs="Times New Roman"/>
          <w:bCs/>
          <w:szCs w:val="21"/>
        </w:rPr>
      </w:pPr>
      <w:r>
        <w:rPr>
          <w:rFonts w:cs="Times New Roman"/>
          <w:b/>
          <w:bCs/>
          <w:szCs w:val="21"/>
        </w:rPr>
        <w:t>9.4.1</w:t>
      </w:r>
      <w:r>
        <w:rPr>
          <w:rFonts w:hint="eastAsia" w:cs="Times New Roman"/>
          <w:b/>
          <w:bCs/>
          <w:szCs w:val="21"/>
        </w:rPr>
        <w:t xml:space="preserve">  </w:t>
      </w:r>
      <w:r>
        <w:rPr>
          <w:rFonts w:cs="Times New Roman"/>
          <w:bCs/>
          <w:szCs w:val="21"/>
        </w:rPr>
        <w:t>管节及附件等工程材料的产品质量应符合设计文件和本</w:t>
      </w:r>
      <w:r>
        <w:rPr>
          <w:rFonts w:hint="eastAsia" w:cs="Times New Roman"/>
          <w:bCs/>
          <w:szCs w:val="21"/>
          <w:lang w:eastAsia="zh-CN"/>
        </w:rPr>
        <w:t>标准</w:t>
      </w:r>
      <w:r>
        <w:rPr>
          <w:rFonts w:cs="Times New Roman"/>
          <w:bCs/>
          <w:szCs w:val="21"/>
        </w:rPr>
        <w:t>第</w:t>
      </w:r>
      <w:r>
        <w:rPr>
          <w:rFonts w:hint="eastAsia" w:cs="Times New Roman"/>
          <w:bCs/>
          <w:szCs w:val="21"/>
        </w:rPr>
        <w:t>4</w:t>
      </w:r>
      <w:r>
        <w:rPr>
          <w:rFonts w:cs="Times New Roman"/>
          <w:bCs/>
          <w:szCs w:val="21"/>
        </w:rPr>
        <w:t>章的有关规定。</w:t>
      </w:r>
    </w:p>
    <w:p>
      <w:pPr>
        <w:ind w:firstLine="480"/>
        <w:textAlignment w:val="auto"/>
        <w:rPr>
          <w:rFonts w:cs="Times New Roman"/>
          <w:bCs/>
          <w:szCs w:val="21"/>
        </w:rPr>
      </w:pPr>
      <w:r>
        <w:rPr>
          <w:rFonts w:hint="eastAsia" w:cs="Times New Roman"/>
          <w:bCs/>
          <w:szCs w:val="21"/>
        </w:rPr>
        <w:t>检验</w:t>
      </w:r>
      <w:r>
        <w:rPr>
          <w:rFonts w:cs="Times New Roman"/>
          <w:bCs/>
          <w:szCs w:val="21"/>
        </w:rPr>
        <w:t>方法：检查产品质量合格证明书、各项性能</w:t>
      </w:r>
      <w:r>
        <w:rPr>
          <w:rFonts w:hint="eastAsia" w:cs="Times New Roman"/>
          <w:bCs/>
          <w:szCs w:val="21"/>
        </w:rPr>
        <w:t>的</w:t>
      </w:r>
      <w:r>
        <w:rPr>
          <w:rFonts w:cs="Times New Roman"/>
          <w:bCs/>
          <w:szCs w:val="21"/>
        </w:rPr>
        <w:t>检验报告，检查产品制造原材料质量保证资料；检查产品进场验收记录。</w:t>
      </w:r>
    </w:p>
    <w:p>
      <w:pPr>
        <w:ind w:firstLine="480"/>
        <w:textAlignment w:val="auto"/>
        <w:rPr>
          <w:rFonts w:cs="Times New Roman"/>
          <w:bCs/>
          <w:szCs w:val="21"/>
        </w:rPr>
      </w:pPr>
      <w:r>
        <w:rPr>
          <w:rFonts w:cs="Times New Roman"/>
          <w:bCs/>
          <w:szCs w:val="21"/>
        </w:rPr>
        <w:t>检查数量：全数检查。</w:t>
      </w:r>
    </w:p>
    <w:p>
      <w:pPr>
        <w:textAlignment w:val="auto"/>
        <w:rPr>
          <w:rFonts w:cs="Times New Roman"/>
          <w:bCs/>
          <w:szCs w:val="21"/>
        </w:rPr>
      </w:pPr>
      <w:r>
        <w:rPr>
          <w:rFonts w:cs="Times New Roman"/>
          <w:b/>
          <w:szCs w:val="21"/>
        </w:rPr>
        <w:t xml:space="preserve">9.4.2 </w:t>
      </w:r>
      <w:r>
        <w:rPr>
          <w:rFonts w:hint="eastAsia" w:cs="Times New Roman"/>
          <w:b/>
          <w:szCs w:val="21"/>
        </w:rPr>
        <w:t xml:space="preserve"> </w:t>
      </w:r>
      <w:r>
        <w:rPr>
          <w:rFonts w:cs="Times New Roman"/>
          <w:bCs/>
          <w:szCs w:val="21"/>
        </w:rPr>
        <w:t>接口橡胶圈安装位置应正确，</w:t>
      </w:r>
      <w:r>
        <w:rPr>
          <w:rFonts w:hint="eastAsia" w:cs="Times New Roman"/>
          <w:bCs/>
          <w:szCs w:val="21"/>
          <w:lang w:eastAsia="zh-CN"/>
        </w:rPr>
        <w:t>不应</w:t>
      </w:r>
      <w:r>
        <w:rPr>
          <w:rFonts w:cs="Times New Roman"/>
          <w:bCs/>
          <w:szCs w:val="21"/>
        </w:rPr>
        <w:t>有位移、脱落现象；</w:t>
      </w:r>
    </w:p>
    <w:p>
      <w:pPr>
        <w:ind w:firstLine="480"/>
        <w:textAlignment w:val="auto"/>
        <w:rPr>
          <w:rFonts w:cs="Times New Roman"/>
          <w:bCs/>
          <w:szCs w:val="21"/>
        </w:rPr>
      </w:pPr>
      <w:r>
        <w:rPr>
          <w:rFonts w:hint="eastAsia" w:cs="Times New Roman"/>
          <w:bCs/>
          <w:szCs w:val="21"/>
        </w:rPr>
        <w:t>检验</w:t>
      </w:r>
      <w:r>
        <w:rPr>
          <w:rFonts w:cs="Times New Roman"/>
          <w:bCs/>
          <w:szCs w:val="21"/>
        </w:rPr>
        <w:t>方法：逐个接口观察。</w:t>
      </w:r>
    </w:p>
    <w:p>
      <w:pPr>
        <w:ind w:firstLine="480"/>
        <w:textAlignment w:val="auto"/>
        <w:rPr>
          <w:rFonts w:cs="Times New Roman"/>
          <w:bCs/>
          <w:szCs w:val="21"/>
        </w:rPr>
      </w:pPr>
      <w:r>
        <w:rPr>
          <w:rFonts w:cs="Times New Roman"/>
          <w:bCs/>
          <w:szCs w:val="21"/>
        </w:rPr>
        <w:t>检查数量：全数检查。</w:t>
      </w:r>
    </w:p>
    <w:p>
      <w:pPr>
        <w:textAlignment w:val="auto"/>
        <w:rPr>
          <w:rFonts w:cs="Times New Roman"/>
          <w:bCs/>
          <w:szCs w:val="21"/>
        </w:rPr>
      </w:pPr>
      <w:r>
        <w:rPr>
          <w:rFonts w:cs="Times New Roman"/>
          <w:b/>
          <w:szCs w:val="21"/>
        </w:rPr>
        <w:t xml:space="preserve">9.4.3  </w:t>
      </w:r>
      <w:r>
        <w:rPr>
          <w:rFonts w:cs="Times New Roman"/>
          <w:bCs/>
          <w:szCs w:val="21"/>
        </w:rPr>
        <w:t>管节及接口应无破损、无裂缝；</w:t>
      </w:r>
    </w:p>
    <w:p>
      <w:pPr>
        <w:ind w:firstLine="480"/>
        <w:textAlignment w:val="auto"/>
        <w:rPr>
          <w:rFonts w:cs="Times New Roman"/>
          <w:bCs/>
          <w:szCs w:val="21"/>
        </w:rPr>
      </w:pPr>
      <w:r>
        <w:rPr>
          <w:rFonts w:hint="eastAsia" w:cs="Times New Roman"/>
          <w:bCs/>
          <w:szCs w:val="21"/>
        </w:rPr>
        <w:t>检验</w:t>
      </w:r>
      <w:r>
        <w:rPr>
          <w:rFonts w:cs="Times New Roman"/>
          <w:bCs/>
          <w:szCs w:val="21"/>
        </w:rPr>
        <w:t>方法：逐节观察。</w:t>
      </w:r>
    </w:p>
    <w:p>
      <w:pPr>
        <w:ind w:firstLine="480"/>
        <w:textAlignment w:val="auto"/>
        <w:rPr>
          <w:rFonts w:cs="Times New Roman"/>
          <w:bCs/>
          <w:szCs w:val="21"/>
        </w:rPr>
      </w:pPr>
      <w:r>
        <w:rPr>
          <w:rFonts w:cs="Times New Roman"/>
          <w:bCs/>
          <w:szCs w:val="21"/>
        </w:rPr>
        <w:t>检查数量：全数检查。</w:t>
      </w:r>
    </w:p>
    <w:p>
      <w:pPr>
        <w:jc w:val="center"/>
        <w:textAlignment w:val="auto"/>
        <w:rPr>
          <w:rFonts w:cs="Times New Roman"/>
          <w:b/>
          <w:bCs/>
          <w:szCs w:val="21"/>
        </w:rPr>
      </w:pPr>
      <w:r>
        <w:rPr>
          <w:rFonts w:cs="Times New Roman"/>
          <w:b/>
          <w:bCs/>
          <w:szCs w:val="21"/>
        </w:rPr>
        <w:t>Ⅱ 一般项目</w:t>
      </w:r>
    </w:p>
    <w:p>
      <w:pPr>
        <w:textAlignment w:val="auto"/>
        <w:rPr>
          <w:rFonts w:cs="Times New Roman"/>
          <w:bCs/>
          <w:szCs w:val="21"/>
        </w:rPr>
      </w:pPr>
      <w:r>
        <w:rPr>
          <w:rFonts w:cs="Times New Roman"/>
          <w:b/>
          <w:szCs w:val="21"/>
        </w:rPr>
        <w:t>9.4.4</w:t>
      </w:r>
      <w:r>
        <w:rPr>
          <w:rFonts w:hint="eastAsia" w:cs="Times New Roman"/>
          <w:b/>
          <w:szCs w:val="21"/>
        </w:rPr>
        <w:t xml:space="preserve">  </w:t>
      </w:r>
      <w:r>
        <w:rPr>
          <w:rFonts w:cs="Times New Roman"/>
          <w:bCs/>
          <w:szCs w:val="21"/>
        </w:rPr>
        <w:t>顶管</w:t>
      </w:r>
      <w:r>
        <w:rPr>
          <w:rFonts w:hint="eastAsia" w:cs="Times New Roman"/>
          <w:bCs/>
          <w:szCs w:val="21"/>
        </w:rPr>
        <w:t>管廊</w:t>
      </w:r>
      <w:r>
        <w:rPr>
          <w:rFonts w:cs="Times New Roman"/>
          <w:bCs/>
          <w:szCs w:val="21"/>
        </w:rPr>
        <w:t>应无水珠、滴漏、线流</w:t>
      </w:r>
      <w:r>
        <w:rPr>
          <w:rFonts w:hint="eastAsia" w:cs="Times New Roman"/>
          <w:bCs/>
          <w:szCs w:val="21"/>
        </w:rPr>
        <w:t>等明显渗水现象</w:t>
      </w:r>
      <w:r>
        <w:rPr>
          <w:rFonts w:cs="Times New Roman"/>
          <w:bCs/>
          <w:szCs w:val="21"/>
        </w:rPr>
        <w:t>。</w:t>
      </w:r>
    </w:p>
    <w:p>
      <w:pPr>
        <w:ind w:firstLine="480"/>
        <w:textAlignment w:val="auto"/>
        <w:rPr>
          <w:rFonts w:cs="Times New Roman"/>
          <w:bCs/>
          <w:szCs w:val="21"/>
        </w:rPr>
      </w:pPr>
      <w:r>
        <w:rPr>
          <w:rFonts w:hint="eastAsia" w:cs="Times New Roman"/>
          <w:bCs/>
          <w:szCs w:val="21"/>
        </w:rPr>
        <w:t>检验</w:t>
      </w:r>
      <w:r>
        <w:rPr>
          <w:rFonts w:cs="Times New Roman"/>
          <w:bCs/>
          <w:szCs w:val="21"/>
        </w:rPr>
        <w:t>方法：逐节观察。</w:t>
      </w:r>
    </w:p>
    <w:p>
      <w:pPr>
        <w:snapToGrid/>
        <w:ind w:firstLine="480"/>
        <w:textAlignment w:val="auto"/>
        <w:rPr>
          <w:rFonts w:cs="Times New Roman"/>
          <w:b/>
          <w:szCs w:val="21"/>
        </w:rPr>
      </w:pPr>
      <w:r>
        <w:rPr>
          <w:rFonts w:cs="Times New Roman"/>
          <w:bCs/>
          <w:szCs w:val="21"/>
        </w:rPr>
        <w:t>检查数量：全数检查。</w:t>
      </w:r>
    </w:p>
    <w:p>
      <w:pPr>
        <w:snapToGrid w:val="0"/>
        <w:textAlignment w:val="auto"/>
        <w:rPr>
          <w:rFonts w:cs="Times New Roman"/>
          <w:bCs/>
          <w:szCs w:val="21"/>
        </w:rPr>
      </w:pPr>
      <w:r>
        <w:rPr>
          <w:rFonts w:cs="Times New Roman"/>
          <w:b/>
          <w:szCs w:val="21"/>
        </w:rPr>
        <w:t>9.4.</w:t>
      </w:r>
      <w:r>
        <w:rPr>
          <w:rFonts w:hint="eastAsia" w:cs="Times New Roman"/>
          <w:b/>
          <w:szCs w:val="21"/>
        </w:rPr>
        <w:t xml:space="preserve">5  </w:t>
      </w:r>
      <w:r>
        <w:rPr>
          <w:rFonts w:cs="Times New Roman"/>
          <w:bCs/>
          <w:szCs w:val="21"/>
        </w:rPr>
        <w:t>管节接口允许偏差应符合表9.4.</w:t>
      </w:r>
      <w:r>
        <w:rPr>
          <w:rFonts w:hint="eastAsia" w:cs="Times New Roman"/>
          <w:bCs/>
          <w:szCs w:val="21"/>
        </w:rPr>
        <w:t>5</w:t>
      </w:r>
      <w:r>
        <w:rPr>
          <w:rFonts w:cs="Times New Roman"/>
          <w:bCs/>
          <w:szCs w:val="21"/>
        </w:rPr>
        <w:t>的规定。</w:t>
      </w:r>
    </w:p>
    <w:p>
      <w:pPr>
        <w:snapToGrid w:val="0"/>
        <w:ind w:firstLine="480"/>
        <w:textAlignment w:val="auto"/>
        <w:rPr>
          <w:rFonts w:cs="Times New Roman"/>
          <w:bCs/>
          <w:szCs w:val="21"/>
        </w:rPr>
      </w:pPr>
      <w:r>
        <w:rPr>
          <w:rFonts w:hint="eastAsia" w:cs="Times New Roman"/>
          <w:bCs/>
          <w:szCs w:val="21"/>
        </w:rPr>
        <w:t>检验</w:t>
      </w:r>
      <w:r>
        <w:rPr>
          <w:rFonts w:cs="Times New Roman"/>
          <w:bCs/>
          <w:szCs w:val="21"/>
        </w:rPr>
        <w:t>方法：</w:t>
      </w:r>
      <w:r>
        <w:rPr>
          <w:rFonts w:hint="eastAsia" w:cs="Times New Roman"/>
          <w:bCs/>
          <w:szCs w:val="21"/>
          <w:lang w:val="en-US" w:eastAsia="zh-CN"/>
        </w:rPr>
        <w:t>钢尺</w:t>
      </w:r>
      <w:r>
        <w:rPr>
          <w:rFonts w:cs="Times New Roman"/>
          <w:bCs/>
          <w:szCs w:val="21"/>
        </w:rPr>
        <w:t>量测。</w:t>
      </w:r>
    </w:p>
    <w:p>
      <w:pPr>
        <w:snapToGrid w:val="0"/>
        <w:ind w:firstLine="480"/>
        <w:textAlignment w:val="auto"/>
        <w:rPr>
          <w:rFonts w:cs="Times New Roman"/>
          <w:bCs/>
          <w:szCs w:val="21"/>
        </w:rPr>
      </w:pPr>
      <w:r>
        <w:rPr>
          <w:rFonts w:cs="Times New Roman"/>
          <w:bCs/>
          <w:szCs w:val="21"/>
        </w:rPr>
        <w:t>检查数量：全数检查。</w:t>
      </w:r>
    </w:p>
    <w:p>
      <w:pPr>
        <w:ind w:firstLine="539"/>
        <w:jc w:val="center"/>
        <w:textAlignment w:val="auto"/>
        <w:rPr>
          <w:rFonts w:cs="Times New Roman"/>
          <w:b/>
          <w:bCs/>
          <w:szCs w:val="21"/>
        </w:rPr>
      </w:pPr>
      <w:r>
        <w:rPr>
          <w:rFonts w:cs="Times New Roman"/>
          <w:b/>
          <w:bCs/>
          <w:sz w:val="21"/>
          <w:szCs w:val="18"/>
        </w:rPr>
        <w:t>表9.4.</w:t>
      </w:r>
      <w:r>
        <w:rPr>
          <w:rFonts w:hint="eastAsia" w:cs="Times New Roman"/>
          <w:b/>
          <w:bCs/>
          <w:sz w:val="21"/>
          <w:szCs w:val="18"/>
        </w:rPr>
        <w:t>5  管节</w:t>
      </w:r>
      <w:r>
        <w:rPr>
          <w:rFonts w:cs="Times New Roman"/>
          <w:b/>
          <w:bCs/>
          <w:sz w:val="21"/>
          <w:szCs w:val="18"/>
        </w:rPr>
        <w:t>接口允许偏差（mm）</w:t>
      </w:r>
    </w:p>
    <w:tbl>
      <w:tblPr>
        <w:tblStyle w:val="38"/>
        <w:tblW w:w="72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0"/>
        <w:gridCol w:w="1559"/>
        <w:gridCol w:w="3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3649" w:type="dxa"/>
            <w:gridSpan w:val="2"/>
            <w:vAlign w:val="center"/>
          </w:tcPr>
          <w:p>
            <w:pPr>
              <w:spacing w:line="240" w:lineRule="auto"/>
              <w:jc w:val="center"/>
              <w:textAlignment w:val="auto"/>
              <w:rPr>
                <w:rFonts w:cs="Times New Roman"/>
                <w:sz w:val="21"/>
                <w:szCs w:val="21"/>
              </w:rPr>
            </w:pPr>
            <w:r>
              <w:rPr>
                <w:rFonts w:cs="Times New Roman"/>
                <w:sz w:val="21"/>
                <w:szCs w:val="21"/>
              </w:rPr>
              <w:t>项目</w:t>
            </w:r>
          </w:p>
        </w:tc>
        <w:tc>
          <w:tcPr>
            <w:tcW w:w="3557" w:type="dxa"/>
            <w:vAlign w:val="center"/>
          </w:tcPr>
          <w:p>
            <w:pPr>
              <w:spacing w:line="240" w:lineRule="auto"/>
              <w:jc w:val="center"/>
              <w:textAlignment w:val="auto"/>
              <w:rPr>
                <w:rFonts w:cs="Times New Roman"/>
                <w:sz w:val="21"/>
                <w:szCs w:val="21"/>
              </w:rPr>
            </w:pPr>
            <w:r>
              <w:rPr>
                <w:rFonts w:cs="Times New Roman"/>
                <w:sz w:val="21"/>
                <w:szCs w:val="21"/>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090" w:type="dxa"/>
            <w:vMerge w:val="restart"/>
            <w:vAlign w:val="center"/>
          </w:tcPr>
          <w:p>
            <w:pPr>
              <w:spacing w:line="240" w:lineRule="auto"/>
              <w:jc w:val="center"/>
              <w:textAlignment w:val="auto"/>
              <w:rPr>
                <w:rFonts w:cs="Times New Roman"/>
                <w:sz w:val="21"/>
                <w:szCs w:val="21"/>
              </w:rPr>
            </w:pPr>
            <w:r>
              <w:rPr>
                <w:rFonts w:cs="Times New Roman"/>
                <w:sz w:val="21"/>
                <w:szCs w:val="21"/>
              </w:rPr>
              <w:t>相邻管间错口</w:t>
            </w:r>
          </w:p>
        </w:tc>
        <w:tc>
          <w:tcPr>
            <w:tcW w:w="1559" w:type="dxa"/>
            <w:vAlign w:val="center"/>
          </w:tcPr>
          <w:p>
            <w:pPr>
              <w:widowControl/>
              <w:spacing w:line="240" w:lineRule="auto"/>
              <w:jc w:val="center"/>
              <w:textAlignment w:val="auto"/>
              <w:rPr>
                <w:rFonts w:cs="Times New Roman"/>
                <w:sz w:val="21"/>
                <w:szCs w:val="21"/>
              </w:rPr>
            </w:pPr>
            <w:r>
              <w:rPr>
                <w:rFonts w:cs="Times New Roman"/>
                <w:sz w:val="21"/>
                <w:szCs w:val="21"/>
              </w:rPr>
              <w:t>上下错口</w:t>
            </w:r>
          </w:p>
        </w:tc>
        <w:tc>
          <w:tcPr>
            <w:tcW w:w="3557" w:type="dxa"/>
            <w:vAlign w:val="center"/>
          </w:tcPr>
          <w:p>
            <w:pPr>
              <w:spacing w:line="240" w:lineRule="auto"/>
              <w:jc w:val="center"/>
              <w:textAlignment w:val="auto"/>
              <w:rPr>
                <w:rFonts w:cs="Times New Roman"/>
                <w:sz w:val="21"/>
                <w:szCs w:val="21"/>
              </w:rPr>
            </w:pPr>
            <w:r>
              <w:rPr>
                <w:rFonts w:cs="Times New Roman"/>
                <w:sz w:val="21"/>
                <w:szCs w:val="21"/>
              </w:rPr>
              <w:t>0.5%H，且≤10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090" w:type="dxa"/>
            <w:vMerge w:val="continue"/>
            <w:vAlign w:val="center"/>
          </w:tcPr>
          <w:p>
            <w:pPr>
              <w:spacing w:line="240" w:lineRule="auto"/>
              <w:jc w:val="center"/>
              <w:textAlignment w:val="auto"/>
              <w:rPr>
                <w:rFonts w:cs="Times New Roman"/>
                <w:sz w:val="21"/>
                <w:szCs w:val="21"/>
              </w:rPr>
            </w:pPr>
          </w:p>
        </w:tc>
        <w:tc>
          <w:tcPr>
            <w:tcW w:w="1559" w:type="dxa"/>
            <w:vAlign w:val="center"/>
          </w:tcPr>
          <w:p>
            <w:pPr>
              <w:spacing w:line="240" w:lineRule="auto"/>
              <w:jc w:val="center"/>
              <w:textAlignment w:val="auto"/>
              <w:rPr>
                <w:rFonts w:cs="Times New Roman"/>
                <w:sz w:val="21"/>
                <w:szCs w:val="21"/>
              </w:rPr>
            </w:pPr>
            <w:r>
              <w:rPr>
                <w:rFonts w:cs="Times New Roman"/>
                <w:sz w:val="21"/>
                <w:szCs w:val="21"/>
              </w:rPr>
              <w:t>左右错口</w:t>
            </w:r>
          </w:p>
        </w:tc>
        <w:tc>
          <w:tcPr>
            <w:tcW w:w="3557" w:type="dxa"/>
            <w:vAlign w:val="center"/>
          </w:tcPr>
          <w:p>
            <w:pPr>
              <w:spacing w:line="240" w:lineRule="auto"/>
              <w:jc w:val="center"/>
              <w:textAlignment w:val="auto"/>
              <w:rPr>
                <w:rFonts w:cs="Times New Roman"/>
                <w:sz w:val="21"/>
                <w:szCs w:val="21"/>
              </w:rPr>
            </w:pPr>
            <w:r>
              <w:rPr>
                <w:rFonts w:cs="Times New Roman"/>
                <w:sz w:val="21"/>
                <w:szCs w:val="21"/>
              </w:rPr>
              <w:t>0.5%B，且≤20</w:t>
            </w:r>
          </w:p>
        </w:tc>
      </w:tr>
    </w:tbl>
    <w:p>
      <w:pPr>
        <w:ind w:firstLine="720" w:firstLineChars="400"/>
        <w:textAlignment w:val="auto"/>
        <w:rPr>
          <w:rFonts w:cs="Times New Roman"/>
          <w:sz w:val="18"/>
          <w:szCs w:val="20"/>
        </w:rPr>
      </w:pPr>
      <w:r>
        <w:rPr>
          <w:rFonts w:cs="Times New Roman"/>
          <w:sz w:val="18"/>
          <w:szCs w:val="20"/>
        </w:rPr>
        <w:t>注：H为管节高度（mm），B为管节宽度（mm）。</w:t>
      </w:r>
    </w:p>
    <w:p>
      <w:pPr>
        <w:snapToGrid w:val="0"/>
        <w:textAlignment w:val="auto"/>
        <w:rPr>
          <w:rFonts w:cs="Times New Roman"/>
          <w:bCs/>
          <w:szCs w:val="21"/>
        </w:rPr>
      </w:pPr>
      <w:r>
        <w:rPr>
          <w:rFonts w:cs="Times New Roman"/>
          <w:b/>
          <w:bCs/>
          <w:szCs w:val="21"/>
        </w:rPr>
        <w:t>9.4.</w:t>
      </w:r>
      <w:r>
        <w:rPr>
          <w:rFonts w:hint="eastAsia" w:cs="Times New Roman"/>
          <w:b/>
          <w:bCs/>
          <w:szCs w:val="21"/>
        </w:rPr>
        <w:t xml:space="preserve">6  </w:t>
      </w:r>
      <w:r>
        <w:rPr>
          <w:rFonts w:cs="Times New Roman"/>
          <w:bCs/>
          <w:szCs w:val="21"/>
        </w:rPr>
        <w:t>管节接口嵌缝的质量除应符合现行国家标准《地下防水工程质量验收规范》GB 50208的有关规定外，管节接口嵌缝的厚度</w:t>
      </w:r>
      <w:r>
        <w:rPr>
          <w:rFonts w:hint="eastAsia" w:cs="Times New Roman"/>
          <w:bCs/>
          <w:szCs w:val="21"/>
        </w:rPr>
        <w:t>和</w:t>
      </w:r>
      <w:r>
        <w:rPr>
          <w:rFonts w:cs="Times New Roman"/>
          <w:bCs/>
          <w:szCs w:val="21"/>
        </w:rPr>
        <w:t>表面粘结力的允许偏差尚应符合表9.4.</w:t>
      </w:r>
      <w:r>
        <w:rPr>
          <w:rFonts w:hint="eastAsia" w:cs="Times New Roman"/>
          <w:bCs/>
          <w:szCs w:val="21"/>
        </w:rPr>
        <w:t>6</w:t>
      </w:r>
      <w:r>
        <w:rPr>
          <w:rFonts w:cs="Times New Roman"/>
          <w:bCs/>
          <w:szCs w:val="21"/>
        </w:rPr>
        <w:t>的规定。</w:t>
      </w:r>
    </w:p>
    <w:p>
      <w:pPr>
        <w:snapToGrid w:val="0"/>
        <w:ind w:firstLine="480"/>
        <w:textAlignment w:val="auto"/>
        <w:rPr>
          <w:rFonts w:cs="Times New Roman"/>
          <w:szCs w:val="21"/>
        </w:rPr>
      </w:pPr>
      <w:r>
        <w:rPr>
          <w:rFonts w:hint="eastAsia" w:cs="Times New Roman"/>
          <w:bCs/>
          <w:szCs w:val="21"/>
        </w:rPr>
        <w:t>检验</w:t>
      </w:r>
      <w:r>
        <w:rPr>
          <w:rFonts w:cs="Times New Roman"/>
          <w:bCs/>
          <w:szCs w:val="21"/>
        </w:rPr>
        <w:t>方法：量测。</w:t>
      </w:r>
    </w:p>
    <w:p>
      <w:pPr>
        <w:snapToGrid w:val="0"/>
        <w:ind w:firstLine="480"/>
        <w:textAlignment w:val="auto"/>
        <w:rPr>
          <w:rFonts w:cs="Times New Roman"/>
          <w:bCs/>
          <w:szCs w:val="21"/>
        </w:rPr>
      </w:pPr>
      <w:r>
        <w:rPr>
          <w:rFonts w:cs="Times New Roman"/>
          <w:bCs/>
          <w:szCs w:val="21"/>
        </w:rPr>
        <w:t>检查数量：全数检查。</w:t>
      </w:r>
    </w:p>
    <w:p>
      <w:pPr>
        <w:jc w:val="center"/>
        <w:textAlignment w:val="auto"/>
        <w:rPr>
          <w:rFonts w:cs="Times New Roman"/>
          <w:b/>
          <w:bCs/>
          <w:sz w:val="21"/>
          <w:szCs w:val="18"/>
        </w:rPr>
      </w:pPr>
      <w:r>
        <w:rPr>
          <w:rFonts w:cs="Times New Roman"/>
          <w:b/>
          <w:bCs/>
          <w:sz w:val="21"/>
          <w:szCs w:val="18"/>
        </w:rPr>
        <w:t>表9.4.</w:t>
      </w:r>
      <w:r>
        <w:rPr>
          <w:rFonts w:hint="eastAsia" w:cs="Times New Roman"/>
          <w:b/>
          <w:bCs/>
          <w:sz w:val="21"/>
          <w:szCs w:val="18"/>
        </w:rPr>
        <w:t xml:space="preserve">6  </w:t>
      </w:r>
      <w:r>
        <w:rPr>
          <w:rFonts w:cs="Times New Roman"/>
          <w:b/>
          <w:bCs/>
          <w:sz w:val="21"/>
          <w:szCs w:val="18"/>
        </w:rPr>
        <w:t>管</w:t>
      </w:r>
      <w:r>
        <w:rPr>
          <w:rFonts w:hint="eastAsia" w:cs="Times New Roman"/>
          <w:b/>
          <w:bCs/>
          <w:sz w:val="21"/>
          <w:szCs w:val="18"/>
        </w:rPr>
        <w:t>节</w:t>
      </w:r>
      <w:r>
        <w:rPr>
          <w:rFonts w:cs="Times New Roman"/>
          <w:b/>
          <w:bCs/>
          <w:sz w:val="21"/>
          <w:szCs w:val="18"/>
        </w:rPr>
        <w:t>接口嵌缝的</w:t>
      </w:r>
      <w:r>
        <w:rPr>
          <w:rFonts w:hint="eastAsia" w:cs="Times New Roman"/>
          <w:b/>
          <w:bCs/>
          <w:sz w:val="21"/>
          <w:szCs w:val="18"/>
        </w:rPr>
        <w:t>厚度和表面粘结力的</w:t>
      </w:r>
      <w:r>
        <w:rPr>
          <w:rFonts w:cs="Times New Roman"/>
          <w:b/>
          <w:bCs/>
          <w:sz w:val="21"/>
          <w:szCs w:val="18"/>
        </w:rPr>
        <w:t>允许偏差</w:t>
      </w:r>
    </w:p>
    <w:tbl>
      <w:tblPr>
        <w:tblStyle w:val="38"/>
        <w:tblW w:w="76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4"/>
        <w:gridCol w:w="1770"/>
        <w:gridCol w:w="4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vAlign w:val="center"/>
          </w:tcPr>
          <w:p>
            <w:pPr>
              <w:spacing w:line="240" w:lineRule="auto"/>
              <w:jc w:val="center"/>
              <w:textAlignment w:val="auto"/>
              <w:rPr>
                <w:rFonts w:cs="Times New Roman"/>
                <w:sz w:val="21"/>
                <w:szCs w:val="21"/>
              </w:rPr>
            </w:pPr>
            <w:r>
              <w:rPr>
                <w:rFonts w:cs="Times New Roman"/>
                <w:sz w:val="21"/>
                <w:szCs w:val="21"/>
              </w:rPr>
              <w:t>序号</w:t>
            </w:r>
          </w:p>
        </w:tc>
        <w:tc>
          <w:tcPr>
            <w:tcW w:w="1770" w:type="dxa"/>
            <w:vAlign w:val="center"/>
          </w:tcPr>
          <w:p>
            <w:pPr>
              <w:spacing w:line="240" w:lineRule="auto"/>
              <w:jc w:val="center"/>
              <w:textAlignment w:val="auto"/>
              <w:rPr>
                <w:rFonts w:cs="Times New Roman"/>
                <w:sz w:val="21"/>
                <w:szCs w:val="21"/>
              </w:rPr>
            </w:pPr>
            <w:r>
              <w:rPr>
                <w:rFonts w:cs="Times New Roman"/>
                <w:sz w:val="21"/>
                <w:szCs w:val="21"/>
              </w:rPr>
              <w:t>项目</w:t>
            </w:r>
          </w:p>
        </w:tc>
        <w:tc>
          <w:tcPr>
            <w:tcW w:w="4961" w:type="dxa"/>
            <w:vAlign w:val="center"/>
          </w:tcPr>
          <w:p>
            <w:pPr>
              <w:spacing w:line="240" w:lineRule="auto"/>
              <w:jc w:val="center"/>
              <w:textAlignment w:val="auto"/>
              <w:rPr>
                <w:rFonts w:cs="Times New Roman"/>
                <w:sz w:val="21"/>
                <w:szCs w:val="21"/>
              </w:rPr>
            </w:pPr>
            <w:r>
              <w:rPr>
                <w:rFonts w:cs="Times New Roman"/>
                <w:sz w:val="21"/>
                <w:szCs w:val="21"/>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vAlign w:val="center"/>
          </w:tcPr>
          <w:p>
            <w:pPr>
              <w:spacing w:line="240" w:lineRule="auto"/>
              <w:jc w:val="center"/>
              <w:textAlignment w:val="auto"/>
              <w:rPr>
                <w:rFonts w:cs="Times New Roman"/>
                <w:kern w:val="0"/>
                <w:sz w:val="21"/>
                <w:szCs w:val="21"/>
              </w:rPr>
            </w:pPr>
            <w:r>
              <w:rPr>
                <w:rFonts w:cs="Times New Roman"/>
                <w:kern w:val="0"/>
                <w:sz w:val="21"/>
                <w:szCs w:val="21"/>
              </w:rPr>
              <w:t>1</w:t>
            </w:r>
          </w:p>
        </w:tc>
        <w:tc>
          <w:tcPr>
            <w:tcW w:w="1770" w:type="dxa"/>
            <w:vAlign w:val="center"/>
          </w:tcPr>
          <w:p>
            <w:pPr>
              <w:spacing w:line="240" w:lineRule="auto"/>
              <w:jc w:val="center"/>
              <w:textAlignment w:val="auto"/>
              <w:rPr>
                <w:rFonts w:cs="Times New Roman"/>
                <w:kern w:val="0"/>
                <w:sz w:val="21"/>
                <w:szCs w:val="21"/>
              </w:rPr>
            </w:pPr>
            <w:r>
              <w:rPr>
                <w:rFonts w:cs="Times New Roman"/>
                <w:kern w:val="0"/>
                <w:sz w:val="21"/>
                <w:szCs w:val="21"/>
              </w:rPr>
              <w:t>厚度</w:t>
            </w:r>
          </w:p>
        </w:tc>
        <w:tc>
          <w:tcPr>
            <w:tcW w:w="4961" w:type="dxa"/>
            <w:vAlign w:val="center"/>
          </w:tcPr>
          <w:p>
            <w:pPr>
              <w:spacing w:line="240" w:lineRule="auto"/>
              <w:jc w:val="center"/>
              <w:textAlignment w:val="auto"/>
              <w:rPr>
                <w:rFonts w:cs="Times New Roman"/>
                <w:sz w:val="21"/>
                <w:szCs w:val="21"/>
              </w:rPr>
            </w:pPr>
            <w:r>
              <w:rPr>
                <w:rFonts w:hint="eastAsia" w:cs="Times New Roman"/>
                <w:kern w:val="0"/>
                <w:sz w:val="21"/>
                <w:szCs w:val="21"/>
                <w:lang w:val="en-US" w:eastAsia="zh-CN"/>
              </w:rPr>
              <w:t>0，</w:t>
            </w:r>
            <w:r>
              <w:rPr>
                <w:rFonts w:cs="Times New Roman"/>
                <w:kern w:val="0"/>
                <w:sz w:val="21"/>
                <w:szCs w:val="21"/>
              </w:rPr>
              <w:t>+3mm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64" w:type="dxa"/>
            <w:vAlign w:val="center"/>
          </w:tcPr>
          <w:p>
            <w:pPr>
              <w:spacing w:line="240" w:lineRule="auto"/>
              <w:jc w:val="center"/>
              <w:textAlignment w:val="auto"/>
              <w:rPr>
                <w:rFonts w:cs="Times New Roman"/>
                <w:kern w:val="0"/>
                <w:sz w:val="21"/>
                <w:szCs w:val="21"/>
              </w:rPr>
            </w:pPr>
            <w:r>
              <w:rPr>
                <w:rFonts w:cs="Times New Roman"/>
                <w:kern w:val="0"/>
                <w:sz w:val="21"/>
                <w:szCs w:val="21"/>
              </w:rPr>
              <w:t>2</w:t>
            </w:r>
          </w:p>
        </w:tc>
        <w:tc>
          <w:tcPr>
            <w:tcW w:w="1770" w:type="dxa"/>
            <w:vAlign w:val="center"/>
          </w:tcPr>
          <w:p>
            <w:pPr>
              <w:spacing w:line="240" w:lineRule="auto"/>
              <w:jc w:val="center"/>
              <w:textAlignment w:val="auto"/>
              <w:rPr>
                <w:rFonts w:cs="Times New Roman"/>
                <w:kern w:val="0"/>
                <w:sz w:val="21"/>
                <w:szCs w:val="21"/>
              </w:rPr>
            </w:pPr>
            <w:r>
              <w:rPr>
                <w:rFonts w:cs="Times New Roman"/>
                <w:kern w:val="0"/>
                <w:sz w:val="21"/>
                <w:szCs w:val="21"/>
              </w:rPr>
              <w:t>与砼表面粘结力</w:t>
            </w:r>
          </w:p>
        </w:tc>
        <w:tc>
          <w:tcPr>
            <w:tcW w:w="4961" w:type="dxa"/>
            <w:vAlign w:val="center"/>
          </w:tcPr>
          <w:p>
            <w:pPr>
              <w:spacing w:line="240" w:lineRule="auto"/>
              <w:textAlignment w:val="auto"/>
              <w:rPr>
                <w:rFonts w:cs="Times New Roman"/>
                <w:kern w:val="0"/>
                <w:sz w:val="21"/>
                <w:szCs w:val="21"/>
              </w:rPr>
            </w:pPr>
            <w:r>
              <w:rPr>
                <w:rFonts w:cs="Times New Roman"/>
                <w:kern w:val="0"/>
                <w:sz w:val="21"/>
                <w:szCs w:val="21"/>
              </w:rPr>
              <w:t>将嵌缝密封胶在缝中切断，用手以90°从一端拉起，胶条断裂或粘结剥离有效面积比≥60%为合格</w:t>
            </w:r>
          </w:p>
        </w:tc>
      </w:tr>
    </w:tbl>
    <w:p>
      <w:pPr>
        <w:spacing w:line="240" w:lineRule="auto"/>
        <w:ind w:left="775" w:leftChars="184" w:right="451" w:rightChars="188" w:hanging="333" w:hangingChars="185"/>
        <w:textAlignment w:val="auto"/>
        <w:rPr>
          <w:rFonts w:cs="Times New Roman"/>
          <w:sz w:val="18"/>
          <w:szCs w:val="20"/>
        </w:rPr>
      </w:pPr>
      <w:r>
        <w:rPr>
          <w:rFonts w:cs="Times New Roman"/>
          <w:bCs/>
          <w:sz w:val="18"/>
          <w:szCs w:val="20"/>
        </w:rPr>
        <w:t>注：</w:t>
      </w:r>
      <w:r>
        <w:rPr>
          <w:rFonts w:cs="Times New Roman"/>
          <w:sz w:val="18"/>
          <w:szCs w:val="20"/>
        </w:rPr>
        <w:t>粘结剥离有效面积比是指密封胶从槽中拉起时，两侧胶面扯裂面积加砼剥离附着面积之和与两侧总面积之比。</w:t>
      </w:r>
    </w:p>
    <w:p>
      <w:pPr>
        <w:textAlignment w:val="auto"/>
        <w:rPr>
          <w:rFonts w:cs="Times New Roman"/>
          <w:bCs/>
          <w:szCs w:val="21"/>
        </w:rPr>
      </w:pPr>
      <w:r>
        <w:rPr>
          <w:rFonts w:cs="Times New Roman"/>
          <w:b/>
          <w:bCs/>
          <w:szCs w:val="21"/>
        </w:rPr>
        <w:t>9.4.</w:t>
      </w:r>
      <w:r>
        <w:rPr>
          <w:rFonts w:hint="eastAsia" w:cs="Times New Roman"/>
          <w:b/>
          <w:bCs/>
          <w:szCs w:val="21"/>
        </w:rPr>
        <w:t xml:space="preserve">7  </w:t>
      </w:r>
      <w:r>
        <w:rPr>
          <w:rFonts w:cs="Times New Roman"/>
          <w:bCs/>
          <w:szCs w:val="21"/>
        </w:rPr>
        <w:t>矩形顶管</w:t>
      </w:r>
      <w:r>
        <w:rPr>
          <w:rFonts w:hint="eastAsia" w:cs="Times New Roman"/>
          <w:bCs/>
          <w:szCs w:val="21"/>
        </w:rPr>
        <w:t>管廊</w:t>
      </w:r>
      <w:r>
        <w:rPr>
          <w:rFonts w:cs="Times New Roman"/>
          <w:bCs/>
          <w:szCs w:val="21"/>
        </w:rPr>
        <w:t>轴线允许偏差应符合表9.4.</w:t>
      </w:r>
      <w:r>
        <w:rPr>
          <w:rFonts w:hint="eastAsia" w:cs="Times New Roman"/>
          <w:bCs/>
          <w:szCs w:val="21"/>
        </w:rPr>
        <w:t>7</w:t>
      </w:r>
      <w:r>
        <w:rPr>
          <w:rFonts w:cs="Times New Roman"/>
          <w:bCs/>
          <w:szCs w:val="21"/>
        </w:rPr>
        <w:t>的规定。</w:t>
      </w:r>
    </w:p>
    <w:p>
      <w:pPr>
        <w:ind w:firstLine="480"/>
        <w:textAlignment w:val="auto"/>
        <w:rPr>
          <w:rFonts w:cs="Times New Roman"/>
          <w:bCs/>
          <w:szCs w:val="21"/>
        </w:rPr>
      </w:pPr>
      <w:r>
        <w:rPr>
          <w:rFonts w:hint="eastAsia" w:cs="Times New Roman"/>
          <w:bCs/>
          <w:szCs w:val="21"/>
        </w:rPr>
        <w:t>检验</w:t>
      </w:r>
      <w:r>
        <w:rPr>
          <w:rFonts w:cs="Times New Roman"/>
          <w:bCs/>
          <w:szCs w:val="21"/>
        </w:rPr>
        <w:t>方法：量测。</w:t>
      </w:r>
    </w:p>
    <w:p>
      <w:pPr>
        <w:ind w:firstLine="480"/>
        <w:textAlignment w:val="auto"/>
        <w:rPr>
          <w:rFonts w:cs="Times New Roman"/>
          <w:bCs/>
          <w:szCs w:val="21"/>
        </w:rPr>
      </w:pPr>
      <w:r>
        <w:rPr>
          <w:rFonts w:cs="Times New Roman"/>
          <w:bCs/>
          <w:szCs w:val="21"/>
        </w:rPr>
        <w:t>检查数量：全数检查，每节1点。</w:t>
      </w:r>
    </w:p>
    <w:p>
      <w:pPr>
        <w:ind w:right="28"/>
        <w:jc w:val="center"/>
        <w:textAlignment w:val="auto"/>
        <w:rPr>
          <w:rFonts w:cs="Times New Roman"/>
          <w:b/>
          <w:bCs/>
          <w:sz w:val="21"/>
          <w:szCs w:val="18"/>
        </w:rPr>
      </w:pPr>
      <w:r>
        <w:rPr>
          <w:rFonts w:cs="Times New Roman"/>
          <w:b/>
          <w:bCs/>
          <w:sz w:val="21"/>
          <w:szCs w:val="18"/>
        </w:rPr>
        <w:t>表9.4.</w:t>
      </w:r>
      <w:r>
        <w:rPr>
          <w:rFonts w:hint="eastAsia" w:cs="Times New Roman"/>
          <w:b/>
          <w:bCs/>
          <w:sz w:val="21"/>
          <w:szCs w:val="18"/>
        </w:rPr>
        <w:t>7</w:t>
      </w:r>
      <w:r>
        <w:rPr>
          <w:rFonts w:hint="eastAsia" w:cs="Times New Roman"/>
          <w:b/>
          <w:bCs/>
          <w:sz w:val="21"/>
          <w:szCs w:val="18"/>
          <w:lang w:val="en-US" w:eastAsia="zh-CN"/>
        </w:rPr>
        <w:t xml:space="preserve"> </w:t>
      </w:r>
      <w:r>
        <w:rPr>
          <w:rFonts w:hint="eastAsia" w:cs="Times New Roman"/>
          <w:b/>
          <w:bCs/>
          <w:sz w:val="21"/>
          <w:szCs w:val="18"/>
        </w:rPr>
        <w:t>矩形顶管管廊轴线</w:t>
      </w:r>
      <w:r>
        <w:rPr>
          <w:rFonts w:cs="Times New Roman"/>
          <w:b/>
          <w:bCs/>
          <w:sz w:val="21"/>
          <w:szCs w:val="18"/>
        </w:rPr>
        <w:t>允许偏差（mm）</w:t>
      </w:r>
    </w:p>
    <w:tbl>
      <w:tblPr>
        <w:tblStyle w:val="38"/>
        <w:tblW w:w="723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94"/>
        <w:gridCol w:w="1909"/>
        <w:gridCol w:w="1825"/>
        <w:gridCol w:w="16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textAlignment w:val="auto"/>
              <w:rPr>
                <w:rFonts w:cs="Times New Roman"/>
                <w:sz w:val="21"/>
                <w:szCs w:val="21"/>
              </w:rPr>
            </w:pPr>
            <w:r>
              <w:rPr>
                <w:rFonts w:cs="Times New Roman"/>
                <w:sz w:val="21"/>
                <w:szCs w:val="21"/>
              </w:rPr>
              <w:t>顶进长度L</w:t>
            </w:r>
          </w:p>
          <w:p>
            <w:pPr>
              <w:spacing w:line="240" w:lineRule="auto"/>
              <w:jc w:val="center"/>
              <w:textAlignment w:val="auto"/>
              <w:rPr>
                <w:rFonts w:cs="Times New Roman"/>
                <w:sz w:val="21"/>
                <w:szCs w:val="21"/>
              </w:rPr>
            </w:pPr>
            <w:r>
              <w:rPr>
                <w:rFonts w:cs="Times New Roman"/>
                <w:sz w:val="21"/>
                <w:szCs w:val="21"/>
              </w:rPr>
              <w:t>（m）</w:t>
            </w:r>
          </w:p>
        </w:tc>
        <w:tc>
          <w:tcPr>
            <w:tcW w:w="1909" w:type="dxa"/>
            <w:vAlign w:val="center"/>
          </w:tcPr>
          <w:p>
            <w:pPr>
              <w:spacing w:line="240" w:lineRule="auto"/>
              <w:jc w:val="center"/>
              <w:textAlignment w:val="auto"/>
              <w:rPr>
                <w:rFonts w:cs="Times New Roman"/>
                <w:sz w:val="21"/>
                <w:szCs w:val="21"/>
              </w:rPr>
            </w:pPr>
            <w:r>
              <w:rPr>
                <w:rFonts w:cs="Times New Roman"/>
                <w:sz w:val="21"/>
                <w:szCs w:val="21"/>
              </w:rPr>
              <w:t>顶管底面高程</w:t>
            </w:r>
          </w:p>
        </w:tc>
        <w:tc>
          <w:tcPr>
            <w:tcW w:w="1825" w:type="dxa"/>
            <w:vAlign w:val="center"/>
          </w:tcPr>
          <w:p>
            <w:pPr>
              <w:spacing w:line="240" w:lineRule="auto"/>
              <w:jc w:val="center"/>
              <w:textAlignment w:val="auto"/>
              <w:rPr>
                <w:rFonts w:cs="Times New Roman"/>
                <w:sz w:val="21"/>
                <w:szCs w:val="21"/>
              </w:rPr>
            </w:pPr>
            <w:r>
              <w:rPr>
                <w:rFonts w:cs="Times New Roman"/>
                <w:sz w:val="21"/>
                <w:szCs w:val="21"/>
              </w:rPr>
              <w:t>平面</w:t>
            </w:r>
          </w:p>
        </w:tc>
        <w:tc>
          <w:tcPr>
            <w:tcW w:w="1605" w:type="dxa"/>
            <w:vAlign w:val="center"/>
          </w:tcPr>
          <w:p>
            <w:pPr>
              <w:spacing w:line="240" w:lineRule="auto"/>
              <w:jc w:val="center"/>
              <w:textAlignment w:val="auto"/>
              <w:rPr>
                <w:rFonts w:cs="Times New Roman"/>
                <w:sz w:val="21"/>
                <w:szCs w:val="21"/>
              </w:rPr>
            </w:pPr>
            <w:r>
              <w:rPr>
                <w:rFonts w:hint="eastAsia" w:cs="Times New Roman"/>
                <w:sz w:val="21"/>
                <w:szCs w:val="21"/>
              </w:rPr>
              <w:t>矩形</w:t>
            </w:r>
            <w:r>
              <w:rPr>
                <w:rFonts w:cs="Times New Roman"/>
                <w:sz w:val="21"/>
                <w:szCs w:val="21"/>
              </w:rPr>
              <w:t>管节旋转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textAlignment w:val="auto"/>
              <w:rPr>
                <w:rFonts w:cs="Times New Roman"/>
                <w:sz w:val="21"/>
                <w:szCs w:val="21"/>
              </w:rPr>
            </w:pPr>
            <w:r>
              <w:rPr>
                <w:rFonts w:cs="Times New Roman"/>
                <w:sz w:val="21"/>
                <w:szCs w:val="21"/>
              </w:rPr>
              <w:t>&lt;100</w:t>
            </w:r>
          </w:p>
        </w:tc>
        <w:tc>
          <w:tcPr>
            <w:tcW w:w="1909" w:type="dxa"/>
            <w:vAlign w:val="center"/>
          </w:tcPr>
          <w:p>
            <w:pPr>
              <w:spacing w:line="240" w:lineRule="auto"/>
              <w:jc w:val="center"/>
              <w:textAlignment w:val="auto"/>
              <w:rPr>
                <w:rFonts w:cs="Times New Roman"/>
                <w:sz w:val="21"/>
                <w:szCs w:val="21"/>
              </w:rPr>
            </w:pPr>
            <w:r>
              <w:rPr>
                <w:rFonts w:cs="Times New Roman"/>
                <w:sz w:val="21"/>
                <w:szCs w:val="21"/>
              </w:rPr>
              <w:t>±50</w:t>
            </w:r>
          </w:p>
        </w:tc>
        <w:tc>
          <w:tcPr>
            <w:tcW w:w="1825" w:type="dxa"/>
            <w:vAlign w:val="center"/>
          </w:tcPr>
          <w:p>
            <w:pPr>
              <w:spacing w:line="240" w:lineRule="auto"/>
              <w:jc w:val="center"/>
              <w:textAlignment w:val="auto"/>
              <w:rPr>
                <w:rFonts w:cs="Times New Roman"/>
                <w:sz w:val="21"/>
                <w:szCs w:val="21"/>
              </w:rPr>
            </w:pPr>
            <w:r>
              <w:rPr>
                <w:rFonts w:cs="Times New Roman"/>
                <w:sz w:val="21"/>
                <w:szCs w:val="21"/>
              </w:rPr>
              <w:t>±80</w:t>
            </w:r>
          </w:p>
        </w:tc>
        <w:tc>
          <w:tcPr>
            <w:tcW w:w="1605" w:type="dxa"/>
            <w:vAlign w:val="center"/>
          </w:tcPr>
          <w:p>
            <w:pPr>
              <w:spacing w:line="240" w:lineRule="auto"/>
              <w:jc w:val="center"/>
              <w:textAlignment w:val="auto"/>
              <w:rPr>
                <w:rFonts w:cs="Times New Roman"/>
                <w:sz w:val="21"/>
                <w:szCs w:val="21"/>
              </w:rPr>
            </w:pPr>
            <w:r>
              <w:rPr>
                <w:rFonts w:cs="Times New Roman"/>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textAlignment w:val="auto"/>
              <w:rPr>
                <w:rFonts w:cs="Times New Roman"/>
                <w:sz w:val="21"/>
                <w:szCs w:val="21"/>
              </w:rPr>
            </w:pPr>
            <w:r>
              <w:rPr>
                <w:rFonts w:cs="Times New Roman"/>
                <w:sz w:val="21"/>
                <w:szCs w:val="21"/>
              </w:rPr>
              <w:t>100≤</w:t>
            </w:r>
            <w:r>
              <w:rPr>
                <w:rFonts w:cs="Times New Roman"/>
                <w:i/>
                <w:sz w:val="21"/>
                <w:szCs w:val="21"/>
              </w:rPr>
              <w:t>L</w:t>
            </w:r>
            <w:r>
              <w:rPr>
                <w:rFonts w:cs="Times New Roman"/>
                <w:sz w:val="21"/>
                <w:szCs w:val="21"/>
              </w:rPr>
              <w:t>≤</w:t>
            </w:r>
            <w:r>
              <w:rPr>
                <w:rFonts w:cs="Times New Roman"/>
                <w:i/>
                <w:sz w:val="21"/>
                <w:szCs w:val="21"/>
              </w:rPr>
              <w:t>200</w:t>
            </w:r>
          </w:p>
        </w:tc>
        <w:tc>
          <w:tcPr>
            <w:tcW w:w="1909" w:type="dxa"/>
            <w:vAlign w:val="center"/>
          </w:tcPr>
          <w:p>
            <w:pPr>
              <w:spacing w:line="240" w:lineRule="auto"/>
              <w:jc w:val="center"/>
              <w:textAlignment w:val="auto"/>
              <w:rPr>
                <w:rFonts w:cs="Times New Roman"/>
                <w:sz w:val="21"/>
                <w:szCs w:val="21"/>
              </w:rPr>
            </w:pPr>
            <w:r>
              <w:rPr>
                <w:rFonts w:cs="Times New Roman"/>
                <w:sz w:val="21"/>
                <w:szCs w:val="21"/>
              </w:rPr>
              <w:t>±80</w:t>
            </w:r>
          </w:p>
        </w:tc>
        <w:tc>
          <w:tcPr>
            <w:tcW w:w="1825" w:type="dxa"/>
            <w:vAlign w:val="center"/>
          </w:tcPr>
          <w:p>
            <w:pPr>
              <w:spacing w:line="240" w:lineRule="auto"/>
              <w:jc w:val="center"/>
              <w:textAlignment w:val="auto"/>
              <w:rPr>
                <w:rFonts w:cs="Times New Roman"/>
                <w:sz w:val="21"/>
                <w:szCs w:val="21"/>
              </w:rPr>
            </w:pPr>
            <w:r>
              <w:rPr>
                <w:rFonts w:cs="Times New Roman"/>
                <w:sz w:val="21"/>
                <w:szCs w:val="21"/>
              </w:rPr>
              <w:t>±100</w:t>
            </w:r>
          </w:p>
        </w:tc>
        <w:tc>
          <w:tcPr>
            <w:tcW w:w="1605" w:type="dxa"/>
            <w:vAlign w:val="center"/>
          </w:tcPr>
          <w:p>
            <w:pPr>
              <w:spacing w:line="240" w:lineRule="auto"/>
              <w:jc w:val="center"/>
              <w:textAlignment w:val="auto"/>
              <w:rPr>
                <w:rFonts w:cs="Times New Roman"/>
                <w:sz w:val="21"/>
                <w:szCs w:val="21"/>
              </w:rPr>
            </w:pPr>
            <w:r>
              <w:rPr>
                <w:rFonts w:cs="Times New Roman"/>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textAlignment w:val="auto"/>
              <w:rPr>
                <w:rFonts w:cs="Times New Roman"/>
                <w:sz w:val="21"/>
                <w:szCs w:val="21"/>
              </w:rPr>
            </w:pPr>
            <w:r>
              <w:rPr>
                <w:rFonts w:cs="Times New Roman"/>
                <w:sz w:val="21"/>
                <w:szCs w:val="21"/>
              </w:rPr>
              <w:t>&gt;200</w:t>
            </w:r>
          </w:p>
        </w:tc>
        <w:tc>
          <w:tcPr>
            <w:tcW w:w="1909" w:type="dxa"/>
            <w:vAlign w:val="center"/>
          </w:tcPr>
          <w:p>
            <w:pPr>
              <w:spacing w:line="240" w:lineRule="auto"/>
              <w:jc w:val="center"/>
              <w:textAlignment w:val="auto"/>
              <w:rPr>
                <w:rFonts w:cs="Times New Roman"/>
                <w:sz w:val="21"/>
                <w:szCs w:val="21"/>
              </w:rPr>
            </w:pPr>
            <w:r>
              <w:rPr>
                <w:rFonts w:cs="Times New Roman"/>
                <w:sz w:val="21"/>
                <w:szCs w:val="21"/>
              </w:rPr>
              <w:t>±80</w:t>
            </w:r>
          </w:p>
        </w:tc>
        <w:tc>
          <w:tcPr>
            <w:tcW w:w="1825" w:type="dxa"/>
            <w:vAlign w:val="center"/>
          </w:tcPr>
          <w:p>
            <w:pPr>
              <w:spacing w:line="240" w:lineRule="auto"/>
              <w:jc w:val="center"/>
              <w:textAlignment w:val="auto"/>
              <w:rPr>
                <w:rFonts w:cs="Times New Roman"/>
                <w:sz w:val="21"/>
                <w:szCs w:val="21"/>
              </w:rPr>
            </w:pPr>
            <w:r>
              <w:rPr>
                <w:rFonts w:cs="Times New Roman"/>
                <w:sz w:val="21"/>
                <w:szCs w:val="21"/>
              </w:rPr>
              <w:t>±150</w:t>
            </w:r>
          </w:p>
        </w:tc>
        <w:tc>
          <w:tcPr>
            <w:tcW w:w="1605" w:type="dxa"/>
            <w:vAlign w:val="center"/>
          </w:tcPr>
          <w:p>
            <w:pPr>
              <w:spacing w:line="240" w:lineRule="auto"/>
              <w:jc w:val="center"/>
              <w:textAlignment w:val="auto"/>
              <w:rPr>
                <w:rFonts w:cs="Times New Roman"/>
                <w:sz w:val="21"/>
                <w:szCs w:val="21"/>
              </w:rPr>
            </w:pPr>
            <w:r>
              <w:rPr>
                <w:rFonts w:cs="Times New Roman"/>
                <w:sz w:val="21"/>
                <w:szCs w:val="21"/>
              </w:rPr>
              <w:t>±80</w:t>
            </w:r>
          </w:p>
        </w:tc>
      </w:tr>
    </w:tbl>
    <w:p>
      <w:pPr>
        <w:ind w:firstLine="810" w:firstLineChars="450"/>
        <w:textAlignment w:val="auto"/>
        <w:rPr>
          <w:rFonts w:cs="Times New Roman"/>
          <w:sz w:val="18"/>
          <w:szCs w:val="20"/>
        </w:rPr>
      </w:pPr>
      <w:r>
        <w:rPr>
          <w:rFonts w:cs="Times New Roman"/>
          <w:sz w:val="18"/>
          <w:szCs w:val="20"/>
        </w:rPr>
        <w:t>注：管节旋转指截面底板顶面中线高程与单侧角点底板顶面高程差。</w:t>
      </w:r>
    </w:p>
    <w:p>
      <w:pPr>
        <w:pStyle w:val="2"/>
      </w:pPr>
      <w:bookmarkStart w:id="415" w:name="_Toc31900"/>
      <w:bookmarkStart w:id="416" w:name="_Toc1521"/>
      <w:bookmarkStart w:id="417" w:name="_Toc9902"/>
      <w:bookmarkStart w:id="418" w:name="_Toc11850"/>
      <w:bookmarkStart w:id="419" w:name="_Toc12936"/>
      <w:bookmarkStart w:id="420" w:name="_Toc24134"/>
      <w:r>
        <w:rPr>
          <w:rFonts w:hint="eastAsia"/>
        </w:rPr>
        <w:t>1</w:t>
      </w:r>
      <w:r>
        <w:rPr>
          <w:rFonts w:hint="eastAsia"/>
          <w:lang w:val="en-US" w:eastAsia="zh-CN"/>
        </w:rPr>
        <w:t>0</w:t>
      </w:r>
      <w:r>
        <w:rPr>
          <w:rFonts w:hint="eastAsia"/>
        </w:rPr>
        <w:t xml:space="preserve">  防水工程施工</w:t>
      </w:r>
      <w:bookmarkEnd w:id="415"/>
      <w:bookmarkEnd w:id="416"/>
      <w:bookmarkEnd w:id="417"/>
      <w:bookmarkEnd w:id="418"/>
      <w:bookmarkEnd w:id="419"/>
      <w:bookmarkEnd w:id="420"/>
    </w:p>
    <w:p>
      <w:pPr>
        <w:pStyle w:val="3"/>
        <w:rPr>
          <w:rFonts w:hint="default"/>
          <w:lang w:val="en-US" w:eastAsia="zh-CN"/>
        </w:rPr>
      </w:pPr>
      <w:bookmarkStart w:id="421" w:name="_Toc24149"/>
      <w:bookmarkStart w:id="422" w:name="_Toc7503"/>
      <w:bookmarkStart w:id="423" w:name="_Toc17584"/>
      <w:bookmarkStart w:id="424" w:name="_Toc24353"/>
      <w:r>
        <w:rPr>
          <w:rFonts w:hint="default"/>
          <w:lang w:val="en-US" w:eastAsia="zh-CN"/>
        </w:rPr>
        <w:t>10.1  一般规定</w:t>
      </w:r>
      <w:bookmarkEnd w:id="421"/>
      <w:bookmarkEnd w:id="422"/>
      <w:bookmarkEnd w:id="423"/>
      <w:bookmarkEnd w:id="424"/>
    </w:p>
    <w:p>
      <w:pPr>
        <w:rPr>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1</w:t>
      </w:r>
      <w:r>
        <w:rPr>
          <w:b/>
          <w:bCs/>
          <w:szCs w:val="32"/>
        </w:rPr>
        <w:t>.</w:t>
      </w:r>
      <w:r>
        <w:rPr>
          <w:rFonts w:hint="eastAsia"/>
          <w:b/>
          <w:bCs/>
          <w:szCs w:val="32"/>
          <w:lang w:val="en-US" w:eastAsia="zh-CN"/>
        </w:rPr>
        <w:t>1</w:t>
      </w:r>
      <w:r>
        <w:rPr>
          <w:rFonts w:hint="eastAsia"/>
          <w:b/>
          <w:bCs/>
          <w:szCs w:val="32"/>
        </w:rPr>
        <w:t xml:space="preserve">  </w:t>
      </w:r>
      <w:r>
        <w:rPr>
          <w:rFonts w:hint="eastAsia"/>
          <w:szCs w:val="32"/>
        </w:rPr>
        <w:t>管廊防水工程所用防水材料及配套材料的品种、规格、性能及进厂检验应符合相关现行国家、行业标准的规定及设计要求。</w:t>
      </w:r>
    </w:p>
    <w:p>
      <w:pPr>
        <w:rPr>
          <w:szCs w:val="32"/>
        </w:rPr>
      </w:pPr>
      <w:r>
        <w:rPr>
          <w:b/>
          <w:bCs/>
          <w:szCs w:val="32"/>
        </w:rPr>
        <w:t>1</w:t>
      </w:r>
      <w:r>
        <w:rPr>
          <w:rFonts w:hint="eastAsia"/>
          <w:b/>
          <w:bCs/>
          <w:szCs w:val="32"/>
          <w:lang w:val="en-US" w:eastAsia="zh-CN"/>
        </w:rPr>
        <w:t>0</w:t>
      </w:r>
      <w:r>
        <w:rPr>
          <w:b/>
          <w:bCs/>
          <w:szCs w:val="32"/>
        </w:rPr>
        <w:t>.</w:t>
      </w:r>
      <w:r>
        <w:rPr>
          <w:rFonts w:hint="eastAsia"/>
          <w:b/>
          <w:bCs/>
          <w:szCs w:val="32"/>
          <w:lang w:val="en-US" w:eastAsia="zh-CN"/>
        </w:rPr>
        <w:t>1</w:t>
      </w:r>
      <w:r>
        <w:rPr>
          <w:b/>
          <w:bCs/>
          <w:szCs w:val="32"/>
        </w:rPr>
        <w:t xml:space="preserve">.2 </w:t>
      </w:r>
      <w:r>
        <w:rPr>
          <w:rFonts w:hint="eastAsia"/>
          <w:b/>
          <w:bCs/>
          <w:szCs w:val="32"/>
        </w:rPr>
        <w:t xml:space="preserve"> </w:t>
      </w:r>
      <w:r>
        <w:rPr>
          <w:rFonts w:hint="eastAsia"/>
          <w:szCs w:val="32"/>
        </w:rPr>
        <w:t>防水材料的施工环境条件应符合下列规定：</w:t>
      </w:r>
    </w:p>
    <w:p>
      <w:pPr>
        <w:ind w:firstLine="480" w:firstLineChars="200"/>
        <w:rPr>
          <w:szCs w:val="32"/>
        </w:rPr>
      </w:pPr>
      <w:r>
        <w:rPr>
          <w:szCs w:val="32"/>
        </w:rPr>
        <w:t xml:space="preserve">1 </w:t>
      </w:r>
      <w:r>
        <w:rPr>
          <w:rFonts w:hint="eastAsia"/>
          <w:szCs w:val="32"/>
        </w:rPr>
        <w:t xml:space="preserve"> </w:t>
      </w:r>
      <w:r>
        <w:rPr>
          <w:szCs w:val="32"/>
        </w:rPr>
        <w:t>极端天气不</w:t>
      </w:r>
      <w:r>
        <w:rPr>
          <w:rFonts w:hint="eastAsia"/>
          <w:szCs w:val="32"/>
          <w:lang w:eastAsia="zh-CN"/>
        </w:rPr>
        <w:t>得</w:t>
      </w:r>
      <w:r>
        <w:rPr>
          <w:szCs w:val="32"/>
        </w:rPr>
        <w:t>进行露天施工。</w:t>
      </w:r>
    </w:p>
    <w:p>
      <w:pPr>
        <w:ind w:firstLine="480" w:firstLineChars="200"/>
        <w:rPr>
          <w:szCs w:val="32"/>
        </w:rPr>
      </w:pPr>
      <w:r>
        <w:rPr>
          <w:szCs w:val="32"/>
        </w:rPr>
        <w:t xml:space="preserve">2 </w:t>
      </w:r>
      <w:r>
        <w:rPr>
          <w:rFonts w:hint="eastAsia"/>
          <w:szCs w:val="32"/>
        </w:rPr>
        <w:t xml:space="preserve"> </w:t>
      </w:r>
      <w:r>
        <w:rPr>
          <w:szCs w:val="32"/>
        </w:rPr>
        <w:t>密封胶施工温度宜为10℃~35℃。</w:t>
      </w:r>
    </w:p>
    <w:p>
      <w:pPr>
        <w:rPr>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1</w:t>
      </w:r>
      <w:r>
        <w:rPr>
          <w:b/>
          <w:bCs/>
          <w:szCs w:val="32"/>
        </w:rPr>
        <w:t>.3</w:t>
      </w:r>
      <w:r>
        <w:rPr>
          <w:rFonts w:hint="eastAsia"/>
          <w:b/>
          <w:bCs/>
          <w:szCs w:val="32"/>
        </w:rPr>
        <w:t xml:space="preserve">  </w:t>
      </w:r>
      <w:r>
        <w:rPr>
          <w:szCs w:val="32"/>
        </w:rPr>
        <w:t>管廊各类孔口、防水保护层、阴阳角处的构造措施及施工要求应符合</w:t>
      </w:r>
      <w:r>
        <w:rPr>
          <w:rFonts w:hint="eastAsia"/>
          <w:szCs w:val="32"/>
        </w:rPr>
        <w:t>现行</w:t>
      </w:r>
      <w:r>
        <w:rPr>
          <w:szCs w:val="32"/>
        </w:rPr>
        <w:t>国</w:t>
      </w:r>
      <w:r>
        <w:rPr>
          <w:rFonts w:hint="eastAsia"/>
          <w:szCs w:val="32"/>
        </w:rPr>
        <w:t>家标准《地下防水工程质量验收规范》</w:t>
      </w:r>
      <w:r>
        <w:rPr>
          <w:szCs w:val="32"/>
        </w:rPr>
        <w:t>GB</w:t>
      </w:r>
      <w:r>
        <w:rPr>
          <w:rFonts w:hint="eastAsia"/>
          <w:szCs w:val="32"/>
          <w:lang w:val="en-US" w:eastAsia="zh-CN"/>
        </w:rPr>
        <w:t xml:space="preserve"> </w:t>
      </w:r>
      <w:r>
        <w:rPr>
          <w:szCs w:val="32"/>
        </w:rPr>
        <w:t>50208的有关规定。</w:t>
      </w:r>
    </w:p>
    <w:p>
      <w:pPr>
        <w:rPr>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1</w:t>
      </w:r>
      <w:r>
        <w:rPr>
          <w:b/>
          <w:bCs/>
          <w:szCs w:val="32"/>
        </w:rPr>
        <w:t>.4</w:t>
      </w:r>
      <w:r>
        <w:rPr>
          <w:rFonts w:hAnsiTheme="minorEastAsia"/>
          <w:b/>
          <w:bCs/>
          <w:szCs w:val="21"/>
        </w:rPr>
        <w:t xml:space="preserve"> </w:t>
      </w:r>
      <w:r>
        <w:rPr>
          <w:rFonts w:hint="eastAsia" w:hAnsiTheme="minorEastAsia"/>
          <w:b/>
          <w:bCs/>
          <w:szCs w:val="21"/>
        </w:rPr>
        <w:t xml:space="preserve"> </w:t>
      </w:r>
      <w:r>
        <w:rPr>
          <w:szCs w:val="32"/>
        </w:rPr>
        <w:t>管廊防水工程</w:t>
      </w:r>
      <w:r>
        <w:rPr>
          <w:rFonts w:hint="eastAsia"/>
          <w:szCs w:val="32"/>
          <w:lang w:val="en-US" w:eastAsia="zh-CN"/>
        </w:rPr>
        <w:t>的</w:t>
      </w:r>
      <w:r>
        <w:rPr>
          <w:szCs w:val="32"/>
        </w:rPr>
        <w:t>施工应符合现行国家标准《地下工程防水技术规范》GB</w:t>
      </w:r>
      <w:r>
        <w:rPr>
          <w:rFonts w:hint="eastAsia"/>
          <w:szCs w:val="32"/>
          <w:lang w:val="en-US" w:eastAsia="zh-CN"/>
        </w:rPr>
        <w:t xml:space="preserve"> </w:t>
      </w:r>
      <w:r>
        <w:rPr>
          <w:szCs w:val="32"/>
        </w:rPr>
        <w:t>50108的规定</w:t>
      </w:r>
      <w:r>
        <w:rPr>
          <w:rFonts w:hint="eastAsia"/>
          <w:szCs w:val="32"/>
          <w:lang w:eastAsia="zh-CN"/>
        </w:rPr>
        <w:t>，</w:t>
      </w:r>
      <w:r>
        <w:rPr>
          <w:rFonts w:hint="eastAsia"/>
          <w:szCs w:val="32"/>
          <w:lang w:val="en-US" w:eastAsia="zh-CN"/>
        </w:rPr>
        <w:t>施工质量应</w:t>
      </w:r>
      <w:r>
        <w:rPr>
          <w:rFonts w:hint="eastAsia"/>
          <w:szCs w:val="32"/>
        </w:rPr>
        <w:t>符合现行国家标准《地下防水工程施工质量验收规范》</w:t>
      </w:r>
      <w:r>
        <w:rPr>
          <w:szCs w:val="32"/>
        </w:rPr>
        <w:t>GB 50208的规定。</w:t>
      </w:r>
    </w:p>
    <w:p>
      <w:pPr>
        <w:rPr>
          <w:b/>
          <w:bCs/>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1</w:t>
      </w:r>
      <w:r>
        <w:rPr>
          <w:b/>
          <w:bCs/>
          <w:szCs w:val="32"/>
        </w:rPr>
        <w:t>.</w:t>
      </w:r>
      <w:r>
        <w:rPr>
          <w:rFonts w:hint="eastAsia"/>
          <w:b/>
          <w:bCs/>
          <w:szCs w:val="32"/>
          <w:lang w:val="en-US" w:eastAsia="zh-CN"/>
        </w:rPr>
        <w:t>5</w:t>
      </w:r>
      <w:r>
        <w:rPr>
          <w:b/>
          <w:bCs/>
          <w:szCs w:val="32"/>
        </w:rPr>
        <w:t xml:space="preserve"> </w:t>
      </w:r>
      <w:r>
        <w:rPr>
          <w:rFonts w:hint="eastAsia"/>
          <w:b/>
          <w:bCs/>
          <w:szCs w:val="32"/>
        </w:rPr>
        <w:t xml:space="preserve"> </w:t>
      </w:r>
      <w:r>
        <w:rPr>
          <w:rFonts w:hint="eastAsia"/>
          <w:szCs w:val="32"/>
        </w:rPr>
        <w:t>竣工验收前应进行全面检查，并应对渗漏水缺陷部位进行治理，治理后的防水效果应符合工程设计防水等级的要求。</w:t>
      </w:r>
    </w:p>
    <w:p>
      <w:pPr>
        <w:rPr>
          <w:rFonts w:hint="eastAsia"/>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1</w:t>
      </w:r>
      <w:r>
        <w:rPr>
          <w:b/>
          <w:bCs/>
          <w:szCs w:val="32"/>
        </w:rPr>
        <w:t>.</w:t>
      </w:r>
      <w:r>
        <w:rPr>
          <w:rFonts w:hint="eastAsia"/>
          <w:b/>
          <w:bCs/>
          <w:szCs w:val="32"/>
          <w:lang w:val="en-US" w:eastAsia="zh-CN"/>
        </w:rPr>
        <w:t>6</w:t>
      </w:r>
      <w:r>
        <w:rPr>
          <w:b/>
          <w:bCs/>
          <w:szCs w:val="32"/>
        </w:rPr>
        <w:t xml:space="preserve"> </w:t>
      </w:r>
      <w:r>
        <w:rPr>
          <w:rFonts w:hint="eastAsia"/>
          <w:b/>
          <w:bCs/>
          <w:szCs w:val="32"/>
        </w:rPr>
        <w:t xml:space="preserve"> </w:t>
      </w:r>
      <w:r>
        <w:rPr>
          <w:rFonts w:hint="eastAsia"/>
          <w:szCs w:val="32"/>
        </w:rPr>
        <w:t>构件之间、构件与现浇结构之间的接缝应满足密封防水、适应变形、施工方便、检修容易等要求，接缝的防水构造应满足设计要求。</w:t>
      </w:r>
    </w:p>
    <w:p>
      <w:pPr>
        <w:rPr>
          <w:rFonts w:hint="eastAsia"/>
          <w:szCs w:val="32"/>
        </w:rPr>
      </w:pPr>
    </w:p>
    <w:p>
      <w:pPr>
        <w:pStyle w:val="3"/>
        <w:rPr>
          <w:rFonts w:hint="default"/>
          <w:lang w:val="en-US"/>
        </w:rPr>
      </w:pPr>
      <w:bookmarkStart w:id="425" w:name="_Toc26191"/>
      <w:bookmarkStart w:id="426" w:name="_Toc18115"/>
      <w:bookmarkStart w:id="427" w:name="_Toc6007"/>
      <w:bookmarkStart w:id="428" w:name="_Toc20733"/>
      <w:r>
        <w:rPr>
          <w:rFonts w:hint="default"/>
          <w:lang w:val="en-US" w:eastAsia="zh-CN"/>
        </w:rPr>
        <w:t>10.</w:t>
      </w:r>
      <w:r>
        <w:rPr>
          <w:rFonts w:hint="eastAsia"/>
          <w:lang w:val="en-US" w:eastAsia="zh-CN"/>
        </w:rPr>
        <w:t>2</w:t>
      </w:r>
      <w:r>
        <w:rPr>
          <w:rFonts w:hint="default"/>
          <w:lang w:val="en-US" w:eastAsia="zh-CN"/>
        </w:rPr>
        <w:t xml:space="preserve">  </w:t>
      </w:r>
      <w:r>
        <w:rPr>
          <w:rFonts w:hint="eastAsia"/>
          <w:lang w:val="en-US" w:eastAsia="zh-CN"/>
        </w:rPr>
        <w:t>防水施工</w:t>
      </w:r>
      <w:bookmarkEnd w:id="425"/>
      <w:bookmarkEnd w:id="426"/>
      <w:bookmarkEnd w:id="427"/>
      <w:bookmarkEnd w:id="428"/>
    </w:p>
    <w:p>
      <w:pPr>
        <w:rPr>
          <w:rFonts w:hint="eastAsia"/>
          <w:b/>
          <w:bCs/>
          <w:szCs w:val="32"/>
        </w:rPr>
      </w:pPr>
      <w:r>
        <w:rPr>
          <w:rFonts w:hint="eastAsia"/>
          <w:b/>
          <w:bCs/>
          <w:szCs w:val="32"/>
          <w:lang w:val="en-US" w:eastAsia="zh-CN"/>
        </w:rPr>
        <w:t>10</w:t>
      </w:r>
      <w:r>
        <w:rPr>
          <w:rFonts w:hint="eastAsia"/>
          <w:b/>
          <w:bCs/>
          <w:szCs w:val="32"/>
        </w:rPr>
        <w:t xml:space="preserve">.2.1  </w:t>
      </w:r>
      <w:r>
        <w:rPr>
          <w:rFonts w:hint="eastAsia"/>
          <w:b w:val="0"/>
          <w:bCs w:val="0"/>
          <w:szCs w:val="32"/>
          <w:lang w:val="en-US" w:eastAsia="zh-CN"/>
        </w:rPr>
        <w:t>管廊</w:t>
      </w:r>
      <w:r>
        <w:rPr>
          <w:rFonts w:hint="eastAsia"/>
          <w:b w:val="0"/>
          <w:bCs w:val="0"/>
          <w:szCs w:val="32"/>
        </w:rPr>
        <w:t>外设卷材防水层的施工应符合下列规定：</w:t>
      </w:r>
    </w:p>
    <w:p>
      <w:pPr>
        <w:ind w:firstLine="480" w:firstLineChars="200"/>
        <w:rPr>
          <w:rFonts w:hint="eastAsia"/>
          <w:b w:val="0"/>
          <w:bCs w:val="0"/>
          <w:szCs w:val="32"/>
        </w:rPr>
      </w:pPr>
      <w:r>
        <w:rPr>
          <w:rFonts w:hint="eastAsia"/>
          <w:b w:val="0"/>
          <w:bCs w:val="0"/>
          <w:szCs w:val="32"/>
        </w:rPr>
        <w:t>1  侧墙及顶板部位的外设防水层的施工宜在节段拼接缝检漏合格后进行</w:t>
      </w:r>
      <w:r>
        <w:rPr>
          <w:rFonts w:hint="eastAsia"/>
          <w:b w:val="0"/>
          <w:bCs w:val="0"/>
          <w:szCs w:val="32"/>
          <w:lang w:eastAsia="zh-CN"/>
        </w:rPr>
        <w:t>；</w:t>
      </w:r>
    </w:p>
    <w:p>
      <w:pPr>
        <w:ind w:firstLine="480" w:firstLineChars="200"/>
        <w:rPr>
          <w:rFonts w:hint="eastAsia"/>
          <w:b w:val="0"/>
          <w:bCs w:val="0"/>
          <w:szCs w:val="32"/>
        </w:rPr>
      </w:pPr>
      <w:r>
        <w:rPr>
          <w:rFonts w:hint="eastAsia"/>
          <w:b w:val="0"/>
          <w:bCs w:val="0"/>
          <w:szCs w:val="32"/>
        </w:rPr>
        <w:t>2  底板防水层的甩槎宜设置在混凝土垫层上，甩槎部位的防水层表面应设置隔离层及临时保护措施，保护措施宽度不应小于350mm。底板与侧墙部位防水层的搭接宽度不应小于150mm</w:t>
      </w:r>
      <w:r>
        <w:rPr>
          <w:rFonts w:hint="eastAsia"/>
          <w:b w:val="0"/>
          <w:bCs w:val="0"/>
          <w:szCs w:val="32"/>
          <w:lang w:eastAsia="zh-CN"/>
        </w:rPr>
        <w:t>；</w:t>
      </w:r>
    </w:p>
    <w:p>
      <w:pPr>
        <w:ind w:firstLine="480" w:firstLineChars="200"/>
        <w:rPr>
          <w:rFonts w:hint="eastAsia"/>
          <w:b w:val="0"/>
          <w:bCs w:val="0"/>
          <w:szCs w:val="32"/>
        </w:rPr>
      </w:pPr>
      <w:r>
        <w:rPr>
          <w:rFonts w:hint="eastAsia"/>
          <w:b w:val="0"/>
          <w:bCs w:val="0"/>
          <w:szCs w:val="32"/>
        </w:rPr>
        <w:t>3  拼接缝、变形缝处的加强层应满足设计要求</w:t>
      </w:r>
      <w:r>
        <w:rPr>
          <w:rFonts w:hint="eastAsia"/>
          <w:b w:val="0"/>
          <w:bCs w:val="0"/>
          <w:szCs w:val="32"/>
          <w:lang w:eastAsia="zh-CN"/>
        </w:rPr>
        <w:t>；</w:t>
      </w:r>
    </w:p>
    <w:p>
      <w:pPr>
        <w:ind w:firstLine="480" w:firstLineChars="200"/>
        <w:rPr>
          <w:rFonts w:hint="eastAsia"/>
          <w:b w:val="0"/>
          <w:bCs w:val="0"/>
          <w:szCs w:val="32"/>
        </w:rPr>
      </w:pPr>
      <w:r>
        <w:rPr>
          <w:rFonts w:hint="eastAsia"/>
          <w:b w:val="0"/>
          <w:bCs w:val="0"/>
          <w:szCs w:val="32"/>
        </w:rPr>
        <w:t>4  防水层的基层应坚实、平整、清洁，无孔洞、无裂缝、无灰尘、无油脂，阴角处宜做成圆弧或45°坡角，干燥程度应符合所选择材料的施工要求</w:t>
      </w:r>
      <w:r>
        <w:rPr>
          <w:rFonts w:hint="eastAsia"/>
          <w:b w:val="0"/>
          <w:bCs w:val="0"/>
          <w:szCs w:val="32"/>
          <w:lang w:eastAsia="zh-CN"/>
        </w:rPr>
        <w:t>；</w:t>
      </w:r>
    </w:p>
    <w:p>
      <w:pPr>
        <w:ind w:firstLine="480" w:firstLineChars="200"/>
        <w:rPr>
          <w:rFonts w:hint="eastAsia"/>
          <w:b w:val="0"/>
          <w:bCs w:val="0"/>
          <w:szCs w:val="32"/>
        </w:rPr>
      </w:pPr>
      <w:r>
        <w:rPr>
          <w:rFonts w:hint="eastAsia"/>
          <w:b w:val="0"/>
          <w:bCs w:val="0"/>
          <w:szCs w:val="32"/>
        </w:rPr>
        <w:t>5  侧墙及顶板防水层施工后，应及时施工保护层。侧墙外防外贴防水层宜采用砌体保护，也可采用软质材料保护；顶板防水层应设置细石混凝土保护层。</w:t>
      </w:r>
    </w:p>
    <w:p>
      <w:pPr>
        <w:rPr>
          <w:rFonts w:hint="eastAsia"/>
          <w:b/>
          <w:bCs/>
          <w:szCs w:val="32"/>
        </w:rPr>
      </w:pPr>
      <w:r>
        <w:rPr>
          <w:rFonts w:hint="eastAsia"/>
          <w:b/>
          <w:bCs/>
          <w:szCs w:val="32"/>
          <w:lang w:val="en-US" w:eastAsia="zh-CN"/>
        </w:rPr>
        <w:t>10</w:t>
      </w:r>
      <w:r>
        <w:rPr>
          <w:rFonts w:hint="eastAsia"/>
          <w:b/>
          <w:bCs/>
          <w:szCs w:val="32"/>
        </w:rPr>
        <w:t>.2.</w:t>
      </w:r>
      <w:r>
        <w:rPr>
          <w:rFonts w:hint="eastAsia"/>
          <w:b/>
          <w:bCs/>
          <w:szCs w:val="32"/>
          <w:lang w:val="en-US" w:eastAsia="zh-CN"/>
        </w:rPr>
        <w:t>2</w:t>
      </w:r>
      <w:r>
        <w:rPr>
          <w:rFonts w:hint="eastAsia"/>
          <w:b/>
          <w:bCs/>
          <w:szCs w:val="32"/>
        </w:rPr>
        <w:t xml:space="preserve">  </w:t>
      </w:r>
      <w:r>
        <w:rPr>
          <w:rFonts w:hint="eastAsia"/>
          <w:b w:val="0"/>
          <w:bCs w:val="0"/>
          <w:szCs w:val="32"/>
          <w:lang w:val="en-US" w:eastAsia="zh-CN"/>
        </w:rPr>
        <w:t>管廊</w:t>
      </w:r>
      <w:r>
        <w:rPr>
          <w:rFonts w:hint="eastAsia"/>
          <w:b w:val="0"/>
          <w:bCs w:val="0"/>
          <w:szCs w:val="32"/>
        </w:rPr>
        <w:t>外设</w:t>
      </w:r>
      <w:r>
        <w:rPr>
          <w:rFonts w:hint="eastAsia"/>
          <w:b w:val="0"/>
          <w:bCs w:val="0"/>
          <w:szCs w:val="32"/>
          <w:lang w:val="en-US" w:eastAsia="zh-CN"/>
        </w:rPr>
        <w:t>涂料</w:t>
      </w:r>
      <w:r>
        <w:rPr>
          <w:rFonts w:hint="eastAsia"/>
          <w:b w:val="0"/>
          <w:bCs w:val="0"/>
          <w:szCs w:val="32"/>
        </w:rPr>
        <w:t>防水层的施工应符合下列规定：</w:t>
      </w:r>
    </w:p>
    <w:p>
      <w:pPr>
        <w:ind w:firstLine="480" w:firstLineChars="200"/>
        <w:rPr>
          <w:rFonts w:hint="eastAsia" w:eastAsia="宋体"/>
          <w:b w:val="0"/>
          <w:bCs w:val="0"/>
          <w:szCs w:val="32"/>
          <w:lang w:eastAsia="zh-CN"/>
        </w:rPr>
      </w:pPr>
      <w:r>
        <w:rPr>
          <w:rFonts w:hint="eastAsia"/>
          <w:b w:val="0"/>
          <w:bCs w:val="0"/>
          <w:szCs w:val="32"/>
        </w:rPr>
        <w:t xml:space="preserve">1  </w:t>
      </w:r>
      <w:r>
        <w:rPr>
          <w:rFonts w:hint="eastAsia"/>
        </w:rPr>
        <w:t>防水涂料的施工应先做细部构造处理，再进行大面积施工</w:t>
      </w:r>
      <w:r>
        <w:rPr>
          <w:rFonts w:hint="eastAsia"/>
          <w:lang w:eastAsia="zh-CN"/>
        </w:rPr>
        <w:t>；</w:t>
      </w:r>
    </w:p>
    <w:p>
      <w:pPr>
        <w:ind w:firstLine="480" w:firstLineChars="200"/>
        <w:rPr>
          <w:rFonts w:hint="eastAsia"/>
          <w:lang w:eastAsia="zh-CN"/>
        </w:rPr>
      </w:pPr>
      <w:r>
        <w:rPr>
          <w:rFonts w:hint="eastAsia"/>
          <w:b w:val="0"/>
          <w:bCs w:val="0"/>
          <w:szCs w:val="32"/>
        </w:rPr>
        <w:t xml:space="preserve">2  </w:t>
      </w:r>
      <w:r>
        <w:rPr>
          <w:rFonts w:hint="eastAsia"/>
        </w:rPr>
        <w:t>防水涂料宜多遍均匀涂布，立面施工时宜采用抗流坠措施，两次作业的接槎宽度不应小于100mm</w:t>
      </w:r>
      <w:r>
        <w:rPr>
          <w:rFonts w:hint="eastAsia"/>
          <w:lang w:eastAsia="zh-CN"/>
        </w:rPr>
        <w:t>；</w:t>
      </w:r>
    </w:p>
    <w:p>
      <w:pPr>
        <w:ind w:firstLine="480" w:firstLineChars="200"/>
        <w:rPr>
          <w:rFonts w:hint="eastAsia"/>
          <w:lang w:val="en-US" w:eastAsia="zh-CN"/>
        </w:rPr>
      </w:pPr>
      <w:r>
        <w:rPr>
          <w:rFonts w:hint="eastAsia"/>
          <w:lang w:val="en-US" w:eastAsia="zh-CN"/>
        </w:rPr>
        <w:t>3  涂膜厚度应满足设计要求，外观应均匀，不应有起鼓、针孔、漏涂；</w:t>
      </w:r>
    </w:p>
    <w:p>
      <w:pPr>
        <w:ind w:firstLine="480" w:firstLineChars="200"/>
        <w:rPr>
          <w:rFonts w:hint="eastAsia"/>
          <w:lang w:val="en-US" w:eastAsia="zh-CN"/>
        </w:rPr>
      </w:pPr>
      <w:r>
        <w:rPr>
          <w:rFonts w:hint="eastAsia"/>
          <w:lang w:val="en-US" w:eastAsia="zh-CN"/>
        </w:rPr>
        <w:t>4  涂层内铺设胎体增强材料应符合下列规定：</w:t>
      </w:r>
    </w:p>
    <w:p>
      <w:pPr>
        <w:ind w:left="1080" w:leftChars="300" w:hanging="360" w:hangingChars="150"/>
        <w:textAlignment w:val="auto"/>
        <w:rPr>
          <w:rFonts w:hint="default" w:cs="Times New Roman"/>
          <w:szCs w:val="21"/>
          <w:lang w:val="en-US" w:eastAsia="zh-CN"/>
        </w:rPr>
      </w:pPr>
      <w:r>
        <w:rPr>
          <w:rFonts w:hint="default" w:cs="Times New Roman"/>
          <w:szCs w:val="21"/>
          <w:lang w:val="en-US" w:eastAsia="zh-CN"/>
        </w:rPr>
        <w:t>1</w:t>
      </w:r>
      <w:r>
        <w:rPr>
          <w:rFonts w:hint="eastAsia" w:cs="Times New Roman"/>
          <w:szCs w:val="21"/>
          <w:lang w:val="en-US" w:eastAsia="zh-CN"/>
        </w:rPr>
        <w:t>）</w:t>
      </w:r>
      <w:r>
        <w:rPr>
          <w:rFonts w:hint="default" w:cs="Times New Roman"/>
          <w:szCs w:val="21"/>
          <w:lang w:val="en-US" w:eastAsia="zh-CN"/>
        </w:rPr>
        <w:t>宜选用强度高且对涂料浸润性较好的胎体增强材料。</w:t>
      </w:r>
    </w:p>
    <w:p>
      <w:pPr>
        <w:ind w:left="1080" w:leftChars="300" w:hanging="360" w:hangingChars="150"/>
        <w:textAlignment w:val="auto"/>
        <w:rPr>
          <w:rFonts w:hint="default" w:cs="Times New Roman"/>
          <w:szCs w:val="21"/>
          <w:lang w:val="en-US" w:eastAsia="zh-CN"/>
        </w:rPr>
      </w:pPr>
      <w:r>
        <w:rPr>
          <w:rFonts w:hint="default" w:cs="Times New Roman"/>
          <w:szCs w:val="21"/>
          <w:lang w:val="en-US" w:eastAsia="zh-CN"/>
        </w:rPr>
        <w:t>2</w:t>
      </w:r>
      <w:r>
        <w:rPr>
          <w:rFonts w:hint="eastAsia" w:cs="Times New Roman"/>
          <w:szCs w:val="21"/>
          <w:lang w:val="en-US" w:eastAsia="zh-CN"/>
        </w:rPr>
        <w:t>）</w:t>
      </w:r>
      <w:r>
        <w:rPr>
          <w:rFonts w:hint="default" w:cs="Times New Roman"/>
          <w:szCs w:val="21"/>
          <w:lang w:val="en-US" w:eastAsia="zh-CN"/>
        </w:rPr>
        <w:t>铺贴应平整，不应起泡、皱折。</w:t>
      </w:r>
    </w:p>
    <w:p>
      <w:pPr>
        <w:ind w:left="1080" w:leftChars="300" w:hanging="360" w:hangingChars="150"/>
        <w:textAlignment w:val="auto"/>
        <w:rPr>
          <w:rFonts w:hint="default" w:cs="Times New Roman"/>
          <w:szCs w:val="21"/>
          <w:lang w:val="en-US" w:eastAsia="zh-CN"/>
        </w:rPr>
      </w:pPr>
      <w:r>
        <w:rPr>
          <w:rFonts w:hint="default" w:cs="Times New Roman"/>
          <w:szCs w:val="21"/>
          <w:lang w:val="en-US" w:eastAsia="zh-CN"/>
        </w:rPr>
        <w:t>3</w:t>
      </w:r>
      <w:r>
        <w:rPr>
          <w:rFonts w:hint="eastAsia" w:cs="Times New Roman"/>
          <w:szCs w:val="21"/>
          <w:lang w:val="en-US" w:eastAsia="zh-CN"/>
        </w:rPr>
        <w:t>）</w:t>
      </w:r>
      <w:r>
        <w:rPr>
          <w:rFonts w:hint="default" w:cs="Times New Roman"/>
          <w:szCs w:val="21"/>
          <w:lang w:val="en-US" w:eastAsia="zh-CN"/>
        </w:rPr>
        <w:t>涂料应浸透胎体，不应有胎体外露现象。</w:t>
      </w:r>
    </w:p>
    <w:p>
      <w:pPr>
        <w:ind w:left="1080" w:leftChars="300" w:hanging="360" w:hangingChars="150"/>
        <w:textAlignment w:val="auto"/>
        <w:rPr>
          <w:rFonts w:hint="default" w:cs="Times New Roman"/>
          <w:b w:val="0"/>
          <w:bCs w:val="0"/>
          <w:szCs w:val="21"/>
        </w:rPr>
      </w:pPr>
      <w:r>
        <w:rPr>
          <w:rFonts w:hint="default" w:cs="Times New Roman"/>
          <w:szCs w:val="21"/>
          <w:lang w:val="en-US" w:eastAsia="zh-CN"/>
        </w:rPr>
        <w:t>4</w:t>
      </w:r>
      <w:r>
        <w:rPr>
          <w:rFonts w:hint="eastAsia" w:cs="Times New Roman"/>
          <w:szCs w:val="21"/>
          <w:lang w:val="en-US" w:eastAsia="zh-CN"/>
        </w:rPr>
        <w:t>）</w:t>
      </w:r>
      <w:r>
        <w:rPr>
          <w:rFonts w:hint="default" w:cs="Times New Roman"/>
          <w:szCs w:val="21"/>
          <w:lang w:val="en-US" w:eastAsia="zh-CN"/>
        </w:rPr>
        <w:t>同层相邻的胎体增强材料搭接宽度不应小于100mm，上下层接缝应错开1/3幅宽。</w:t>
      </w:r>
    </w:p>
    <w:p>
      <w:pPr>
        <w:rPr>
          <w:szCs w:val="32"/>
        </w:rPr>
      </w:pPr>
      <w:r>
        <w:rPr>
          <w:b/>
          <w:bCs/>
          <w:szCs w:val="32"/>
        </w:rPr>
        <w:t>1</w:t>
      </w:r>
      <w:r>
        <w:rPr>
          <w:rFonts w:hint="eastAsia"/>
          <w:b/>
          <w:bCs/>
          <w:szCs w:val="32"/>
          <w:lang w:val="en-US" w:eastAsia="zh-CN"/>
        </w:rPr>
        <w:t>0</w:t>
      </w:r>
      <w:r>
        <w:rPr>
          <w:b/>
          <w:bCs/>
          <w:szCs w:val="32"/>
        </w:rPr>
        <w:t>.</w:t>
      </w:r>
      <w:r>
        <w:rPr>
          <w:rFonts w:hint="eastAsia"/>
          <w:b/>
          <w:bCs/>
          <w:szCs w:val="32"/>
          <w:lang w:val="en-US" w:eastAsia="zh-CN"/>
        </w:rPr>
        <w:t>2.3</w:t>
      </w:r>
      <w:r>
        <w:rPr>
          <w:b/>
          <w:bCs/>
          <w:szCs w:val="32"/>
        </w:rPr>
        <w:t xml:space="preserve"> </w:t>
      </w:r>
      <w:r>
        <w:rPr>
          <w:rFonts w:hint="eastAsia"/>
          <w:b/>
          <w:bCs/>
          <w:szCs w:val="32"/>
        </w:rPr>
        <w:t xml:space="preserve"> </w:t>
      </w:r>
      <w:r>
        <w:rPr>
          <w:rFonts w:hint="eastAsia"/>
          <w:szCs w:val="32"/>
        </w:rPr>
        <w:t>预制管廊承插式接口的密封应符合下列规定：</w:t>
      </w:r>
    </w:p>
    <w:p>
      <w:pPr>
        <w:ind w:firstLine="480" w:firstLineChars="200"/>
        <w:rPr>
          <w:szCs w:val="32"/>
        </w:rPr>
      </w:pPr>
      <w:r>
        <w:rPr>
          <w:szCs w:val="32"/>
        </w:rPr>
        <w:t xml:space="preserve">1 </w:t>
      </w:r>
      <w:r>
        <w:rPr>
          <w:rFonts w:hint="eastAsia"/>
          <w:szCs w:val="32"/>
        </w:rPr>
        <w:t xml:space="preserve"> </w:t>
      </w:r>
      <w:r>
        <w:rPr>
          <w:szCs w:val="32"/>
        </w:rPr>
        <w:t>承口及插口尺寸应</w:t>
      </w:r>
      <w:r>
        <w:rPr>
          <w:rFonts w:hint="eastAsia"/>
          <w:szCs w:val="32"/>
          <w:lang w:eastAsia="zh-CN"/>
        </w:rPr>
        <w:t>满足</w:t>
      </w:r>
      <w:r>
        <w:rPr>
          <w:szCs w:val="32"/>
        </w:rPr>
        <w:t>设计要求；</w:t>
      </w:r>
    </w:p>
    <w:p>
      <w:pPr>
        <w:ind w:firstLine="480" w:firstLineChars="200"/>
        <w:rPr>
          <w:szCs w:val="32"/>
        </w:rPr>
      </w:pPr>
      <w:r>
        <w:rPr>
          <w:szCs w:val="32"/>
        </w:rPr>
        <w:t xml:space="preserve">2 </w:t>
      </w:r>
      <w:r>
        <w:rPr>
          <w:rFonts w:hint="eastAsia"/>
          <w:szCs w:val="32"/>
        </w:rPr>
        <w:t xml:space="preserve"> </w:t>
      </w:r>
      <w:r>
        <w:rPr>
          <w:szCs w:val="32"/>
        </w:rPr>
        <w:t>当采用柔性矩形（弧形）承插接头时，宜在插口工作面上设置两道弹性橡胶密封圈，并应在其间预留检测孔；</w:t>
      </w:r>
    </w:p>
    <w:p>
      <w:pPr>
        <w:ind w:firstLine="480" w:firstLineChars="200"/>
        <w:rPr>
          <w:szCs w:val="32"/>
        </w:rPr>
      </w:pPr>
      <w:r>
        <w:rPr>
          <w:szCs w:val="32"/>
        </w:rPr>
        <w:t xml:space="preserve">3 </w:t>
      </w:r>
      <w:r>
        <w:rPr>
          <w:rFonts w:hint="eastAsia"/>
          <w:szCs w:val="32"/>
        </w:rPr>
        <w:t xml:space="preserve"> </w:t>
      </w:r>
      <w:r>
        <w:rPr>
          <w:szCs w:val="32"/>
        </w:rPr>
        <w:t>当采用纵向锁紧承插接头时，可在插口工作面上设置两道弹性橡胶密封圈，或在承口端面上设置一道遇水膨胀橡胶复合密封条（或自粘丁基橡胶复合密封条），同时在插口工作面上设置一道弹性橡胶密封圈，两道密封措施之间应预留检测孔；</w:t>
      </w:r>
    </w:p>
    <w:p>
      <w:pPr>
        <w:ind w:firstLine="480" w:firstLineChars="200"/>
        <w:rPr>
          <w:szCs w:val="32"/>
        </w:rPr>
      </w:pPr>
      <w:r>
        <w:rPr>
          <w:szCs w:val="32"/>
        </w:rPr>
        <w:t xml:space="preserve">4 </w:t>
      </w:r>
      <w:r>
        <w:rPr>
          <w:rFonts w:hint="eastAsia"/>
          <w:szCs w:val="32"/>
        </w:rPr>
        <w:t xml:space="preserve"> </w:t>
      </w:r>
      <w:r>
        <w:rPr>
          <w:szCs w:val="32"/>
        </w:rPr>
        <w:t>当采用钢承插口接头时，承口钢环和插口钢环所用钢板厚度不宜小于10mm，材质应符合现行国家标准《碳素结构钢和低合金结构钢热轧厚钢板和钢带》GB/T 3274的规定，并应采取防腐蚀措施。承口钢套环与混凝土之间宜设置遇水膨胀止水条/止水胶等防水措施，插口部位宜设置双道弹性橡胶密封圈，并宜在其间预留检测孔；</w:t>
      </w:r>
    </w:p>
    <w:p>
      <w:pPr>
        <w:ind w:firstLine="480" w:firstLineChars="200"/>
        <w:rPr>
          <w:szCs w:val="32"/>
        </w:rPr>
      </w:pPr>
      <w:r>
        <w:rPr>
          <w:szCs w:val="32"/>
        </w:rPr>
        <w:t>5</w:t>
      </w:r>
      <w:r>
        <w:rPr>
          <w:rFonts w:hint="eastAsia"/>
          <w:szCs w:val="32"/>
        </w:rPr>
        <w:t xml:space="preserve"> </w:t>
      </w:r>
      <w:r>
        <w:rPr>
          <w:szCs w:val="32"/>
        </w:rPr>
        <w:t xml:space="preserve"> 插口端面宜按设计要求设置聚乙烯泡沫嵌缝板衬垫，其性能应符合现行行业标准《混凝土接缝密封嵌缝板》JC/T 2255的规定。衬垫的厚度、铺设面积、压缩率等应符合设计要求；</w:t>
      </w:r>
    </w:p>
    <w:p>
      <w:pPr>
        <w:ind w:firstLine="480" w:firstLineChars="200"/>
        <w:rPr>
          <w:szCs w:val="32"/>
        </w:rPr>
      </w:pPr>
      <w:r>
        <w:rPr>
          <w:szCs w:val="32"/>
        </w:rPr>
        <w:t xml:space="preserve">6 </w:t>
      </w:r>
      <w:r>
        <w:rPr>
          <w:rFonts w:hint="eastAsia"/>
          <w:szCs w:val="32"/>
        </w:rPr>
        <w:t xml:space="preserve"> </w:t>
      </w:r>
      <w:r>
        <w:rPr>
          <w:szCs w:val="32"/>
        </w:rPr>
        <w:t>弹性橡胶密封圈、遇水膨胀橡胶复合密封条、自粘丁基橡胶复合密封条等应预先安装在承口预留的沟槽中，并应环向闭合；</w:t>
      </w:r>
    </w:p>
    <w:p>
      <w:pPr>
        <w:ind w:firstLine="480" w:firstLineChars="200"/>
        <w:rPr>
          <w:szCs w:val="32"/>
        </w:rPr>
      </w:pPr>
      <w:r>
        <w:rPr>
          <w:szCs w:val="32"/>
        </w:rPr>
        <w:t xml:space="preserve">7 </w:t>
      </w:r>
      <w:r>
        <w:rPr>
          <w:rFonts w:hint="eastAsia"/>
          <w:szCs w:val="32"/>
        </w:rPr>
        <w:t xml:space="preserve"> 预制构件表面</w:t>
      </w:r>
      <w:r>
        <w:rPr>
          <w:szCs w:val="32"/>
        </w:rPr>
        <w:t>沟槽的形式、截面尺寸应与密封条的形式和尺寸相匹配；</w:t>
      </w:r>
    </w:p>
    <w:p>
      <w:pPr>
        <w:ind w:firstLine="480" w:firstLineChars="200"/>
        <w:rPr>
          <w:szCs w:val="32"/>
        </w:rPr>
      </w:pPr>
      <w:r>
        <w:rPr>
          <w:szCs w:val="32"/>
        </w:rPr>
        <w:t xml:space="preserve">8 </w:t>
      </w:r>
      <w:r>
        <w:rPr>
          <w:rFonts w:hint="eastAsia"/>
          <w:szCs w:val="32"/>
        </w:rPr>
        <w:t xml:space="preserve"> </w:t>
      </w:r>
      <w:r>
        <w:rPr>
          <w:szCs w:val="32"/>
        </w:rPr>
        <w:t>接缝迎水面可嵌填低模量建筑密封胶，背水面宜嵌填高模量建筑密封胶；</w:t>
      </w:r>
    </w:p>
    <w:p>
      <w:pPr>
        <w:ind w:firstLine="480" w:firstLineChars="200"/>
        <w:rPr>
          <w:szCs w:val="32"/>
        </w:rPr>
      </w:pPr>
      <w:r>
        <w:rPr>
          <w:szCs w:val="32"/>
        </w:rPr>
        <w:t>9</w:t>
      </w:r>
      <w:r>
        <w:rPr>
          <w:rFonts w:hint="eastAsia"/>
          <w:szCs w:val="32"/>
        </w:rPr>
        <w:t xml:space="preserve"> </w:t>
      </w:r>
      <w:r>
        <w:rPr>
          <w:szCs w:val="32"/>
        </w:rPr>
        <w:t xml:space="preserve"> 预制合管廊拼装前，密封圈（条）和聚乙烯泡沫嵌缝板等应安装完毕；密封胶宜在接缝密闭性检测合格后再施工。</w:t>
      </w:r>
    </w:p>
    <w:p>
      <w:pPr>
        <w:rPr>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2.4</w:t>
      </w:r>
      <w:r>
        <w:rPr>
          <w:rFonts w:hint="eastAsia"/>
          <w:b/>
          <w:bCs/>
          <w:szCs w:val="32"/>
        </w:rPr>
        <w:t xml:space="preserve"> </w:t>
      </w:r>
      <w:r>
        <w:rPr>
          <w:szCs w:val="32"/>
        </w:rPr>
        <w:t xml:space="preserve"> </w:t>
      </w:r>
      <w:r>
        <w:rPr>
          <w:rFonts w:hint="eastAsia"/>
          <w:szCs w:val="32"/>
        </w:rPr>
        <w:t>橡胶密封垫的施工应符合下列规定：</w:t>
      </w:r>
    </w:p>
    <w:p>
      <w:pPr>
        <w:ind w:firstLine="480" w:firstLineChars="200"/>
        <w:rPr>
          <w:rFonts w:hint="eastAsia" w:eastAsia="宋体"/>
          <w:szCs w:val="32"/>
          <w:lang w:eastAsia="zh-CN"/>
        </w:rPr>
      </w:pPr>
      <w:r>
        <w:rPr>
          <w:szCs w:val="32"/>
        </w:rPr>
        <w:t xml:space="preserve">1 </w:t>
      </w:r>
      <w:r>
        <w:rPr>
          <w:rFonts w:hint="eastAsia"/>
          <w:szCs w:val="32"/>
        </w:rPr>
        <w:t xml:space="preserve"> </w:t>
      </w:r>
      <w:r>
        <w:rPr>
          <w:szCs w:val="32"/>
        </w:rPr>
        <w:t>密封垫基面的混凝土</w:t>
      </w:r>
      <w:r>
        <w:rPr>
          <w:rFonts w:hint="eastAsia"/>
          <w:szCs w:val="32"/>
        </w:rPr>
        <w:t>应坚实，</w:t>
      </w:r>
      <w:r>
        <w:rPr>
          <w:szCs w:val="32"/>
        </w:rPr>
        <w:t>表面应平整、密实、干燥，不应有疏松、起皮、起砂</w:t>
      </w:r>
      <w:r>
        <w:rPr>
          <w:rFonts w:hint="eastAsia"/>
          <w:szCs w:val="32"/>
          <w:lang w:eastAsia="zh-CN"/>
        </w:rPr>
        <w:t>；</w:t>
      </w:r>
    </w:p>
    <w:p>
      <w:pPr>
        <w:ind w:firstLine="480" w:firstLineChars="200"/>
        <w:rPr>
          <w:rFonts w:hint="eastAsia" w:eastAsia="宋体"/>
          <w:szCs w:val="32"/>
          <w:lang w:eastAsia="zh-CN"/>
        </w:rPr>
      </w:pPr>
      <w:r>
        <w:rPr>
          <w:szCs w:val="32"/>
        </w:rPr>
        <w:t>2</w:t>
      </w:r>
      <w:r>
        <w:rPr>
          <w:rFonts w:hint="eastAsia"/>
          <w:szCs w:val="32"/>
        </w:rPr>
        <w:t xml:space="preserve"> </w:t>
      </w:r>
      <w:r>
        <w:rPr>
          <w:szCs w:val="32"/>
        </w:rPr>
        <w:t xml:space="preserve"> 预留凹槽宽度及深度应满足设计要求</w:t>
      </w:r>
      <w:r>
        <w:rPr>
          <w:rFonts w:hint="eastAsia"/>
          <w:szCs w:val="32"/>
          <w:lang w:eastAsia="zh-CN"/>
        </w:rPr>
        <w:t>；</w:t>
      </w:r>
    </w:p>
    <w:p>
      <w:pPr>
        <w:ind w:firstLine="480" w:firstLineChars="200"/>
        <w:rPr>
          <w:rFonts w:hint="eastAsia" w:eastAsia="宋体"/>
          <w:szCs w:val="32"/>
          <w:lang w:eastAsia="zh-CN"/>
        </w:rPr>
      </w:pPr>
      <w:r>
        <w:rPr>
          <w:szCs w:val="32"/>
        </w:rPr>
        <w:t xml:space="preserve">3 </w:t>
      </w:r>
      <w:r>
        <w:rPr>
          <w:rFonts w:hint="eastAsia"/>
          <w:szCs w:val="32"/>
        </w:rPr>
        <w:t xml:space="preserve"> </w:t>
      </w:r>
      <w:r>
        <w:rPr>
          <w:szCs w:val="32"/>
        </w:rPr>
        <w:t>密封垫应紧贴混凝土表面，</w:t>
      </w:r>
      <w:r>
        <w:rPr>
          <w:rFonts w:hint="eastAsia"/>
          <w:szCs w:val="32"/>
          <w:lang w:eastAsia="zh-CN"/>
        </w:rPr>
        <w:t>不得</w:t>
      </w:r>
      <w:r>
        <w:rPr>
          <w:szCs w:val="32"/>
        </w:rPr>
        <w:t>有空鼓、脱离现象</w:t>
      </w:r>
      <w:r>
        <w:rPr>
          <w:rFonts w:hint="eastAsia"/>
          <w:szCs w:val="32"/>
          <w:lang w:eastAsia="zh-CN"/>
        </w:rPr>
        <w:t>；</w:t>
      </w:r>
    </w:p>
    <w:p>
      <w:pPr>
        <w:ind w:firstLine="480" w:firstLineChars="200"/>
        <w:rPr>
          <w:szCs w:val="32"/>
        </w:rPr>
      </w:pPr>
      <w:r>
        <w:rPr>
          <w:szCs w:val="32"/>
        </w:rPr>
        <w:t xml:space="preserve">4 </w:t>
      </w:r>
      <w:r>
        <w:rPr>
          <w:rFonts w:hint="eastAsia"/>
          <w:szCs w:val="32"/>
        </w:rPr>
        <w:t xml:space="preserve"> </w:t>
      </w:r>
      <w:r>
        <w:rPr>
          <w:szCs w:val="32"/>
        </w:rPr>
        <w:t>密封垫接头部位应采用对接，接口应紧密，一环接头不宜超过2处。</w:t>
      </w:r>
    </w:p>
    <w:p>
      <w:pPr>
        <w:rPr>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2.5</w:t>
      </w:r>
      <w:r>
        <w:rPr>
          <w:b/>
          <w:bCs/>
          <w:szCs w:val="32"/>
        </w:rPr>
        <w:t xml:space="preserve"> </w:t>
      </w:r>
      <w:r>
        <w:rPr>
          <w:rFonts w:hint="eastAsia"/>
          <w:b/>
          <w:bCs/>
          <w:szCs w:val="32"/>
        </w:rPr>
        <w:t xml:space="preserve"> </w:t>
      </w:r>
      <w:r>
        <w:rPr>
          <w:rFonts w:hint="eastAsia"/>
          <w:szCs w:val="32"/>
        </w:rPr>
        <w:t>密封胶的施工应符合下列规定：</w:t>
      </w:r>
    </w:p>
    <w:p>
      <w:pPr>
        <w:ind w:firstLine="480" w:firstLineChars="200"/>
        <w:rPr>
          <w:rFonts w:hint="eastAsia" w:eastAsia="宋体"/>
          <w:szCs w:val="32"/>
          <w:lang w:eastAsia="zh-CN"/>
        </w:rPr>
      </w:pPr>
      <w:r>
        <w:rPr>
          <w:szCs w:val="32"/>
        </w:rPr>
        <w:t xml:space="preserve">1 </w:t>
      </w:r>
      <w:r>
        <w:rPr>
          <w:rFonts w:hint="eastAsia"/>
          <w:szCs w:val="32"/>
        </w:rPr>
        <w:t xml:space="preserve"> </w:t>
      </w:r>
      <w:r>
        <w:rPr>
          <w:szCs w:val="32"/>
        </w:rPr>
        <w:t>接缝处密封胶的背衬材料宜选用聚乙烯泡沫塑料棒或发泡氯丁橡胶，直径不应小于缝宽的1.5倍</w:t>
      </w:r>
      <w:r>
        <w:rPr>
          <w:rFonts w:hint="eastAsia"/>
          <w:szCs w:val="32"/>
          <w:lang w:eastAsia="zh-CN"/>
        </w:rPr>
        <w:t>；</w:t>
      </w:r>
    </w:p>
    <w:p>
      <w:pPr>
        <w:ind w:firstLine="480" w:firstLineChars="200"/>
        <w:rPr>
          <w:rFonts w:hint="eastAsia" w:eastAsia="宋体"/>
          <w:szCs w:val="32"/>
          <w:lang w:eastAsia="zh-CN"/>
        </w:rPr>
      </w:pPr>
      <w:r>
        <w:rPr>
          <w:szCs w:val="32"/>
        </w:rPr>
        <w:t xml:space="preserve">2 </w:t>
      </w:r>
      <w:r>
        <w:rPr>
          <w:rFonts w:hint="eastAsia"/>
          <w:szCs w:val="32"/>
        </w:rPr>
        <w:t xml:space="preserve"> </w:t>
      </w:r>
      <w:r>
        <w:rPr>
          <w:szCs w:val="32"/>
        </w:rPr>
        <w:t>应采用注胶器挤出并粘结在节段构件接缝表面，胶体应连续、均匀、饱满、无气泡和孔洞</w:t>
      </w:r>
      <w:r>
        <w:rPr>
          <w:rFonts w:hint="eastAsia"/>
          <w:szCs w:val="32"/>
          <w:lang w:eastAsia="zh-CN"/>
        </w:rPr>
        <w:t>；</w:t>
      </w:r>
    </w:p>
    <w:p>
      <w:pPr>
        <w:ind w:firstLine="480" w:firstLineChars="200"/>
        <w:rPr>
          <w:rFonts w:hint="eastAsia" w:eastAsia="宋体"/>
          <w:szCs w:val="32"/>
          <w:lang w:eastAsia="zh-CN"/>
        </w:rPr>
      </w:pPr>
      <w:r>
        <w:rPr>
          <w:szCs w:val="32"/>
        </w:rPr>
        <w:t>3</w:t>
      </w:r>
      <w:r>
        <w:rPr>
          <w:rFonts w:hint="eastAsia"/>
          <w:szCs w:val="32"/>
        </w:rPr>
        <w:t xml:space="preserve"> </w:t>
      </w:r>
      <w:r>
        <w:rPr>
          <w:szCs w:val="32"/>
        </w:rPr>
        <w:t xml:space="preserve"> 打胶后固化期内应采取临时保护措施</w:t>
      </w:r>
      <w:r>
        <w:rPr>
          <w:rFonts w:hint="eastAsia"/>
          <w:szCs w:val="32"/>
          <w:lang w:eastAsia="zh-CN"/>
        </w:rPr>
        <w:t>；</w:t>
      </w:r>
    </w:p>
    <w:p>
      <w:pPr>
        <w:ind w:firstLine="480" w:firstLineChars="200"/>
        <w:rPr>
          <w:rFonts w:hint="eastAsia" w:eastAsia="宋体"/>
          <w:szCs w:val="32"/>
          <w:lang w:eastAsia="zh-CN"/>
        </w:rPr>
      </w:pPr>
      <w:r>
        <w:rPr>
          <w:szCs w:val="32"/>
        </w:rPr>
        <w:t xml:space="preserve">4 </w:t>
      </w:r>
      <w:r>
        <w:rPr>
          <w:rFonts w:hint="eastAsia"/>
          <w:szCs w:val="32"/>
        </w:rPr>
        <w:t xml:space="preserve"> </w:t>
      </w:r>
      <w:r>
        <w:rPr>
          <w:szCs w:val="32"/>
        </w:rPr>
        <w:t>当胶体出现破损、脱开或提前膨胀时，应割除损坏的胶体并重新打胶</w:t>
      </w:r>
      <w:r>
        <w:rPr>
          <w:rFonts w:hint="eastAsia"/>
          <w:szCs w:val="32"/>
          <w:lang w:eastAsia="zh-CN"/>
        </w:rPr>
        <w:t>；</w:t>
      </w:r>
    </w:p>
    <w:p>
      <w:pPr>
        <w:ind w:firstLine="480" w:firstLineChars="200"/>
        <w:rPr>
          <w:szCs w:val="32"/>
        </w:rPr>
      </w:pPr>
      <w:r>
        <w:rPr>
          <w:szCs w:val="32"/>
        </w:rPr>
        <w:t xml:space="preserve">5 </w:t>
      </w:r>
      <w:r>
        <w:rPr>
          <w:rFonts w:hint="eastAsia"/>
          <w:szCs w:val="32"/>
        </w:rPr>
        <w:t xml:space="preserve"> </w:t>
      </w:r>
      <w:r>
        <w:rPr>
          <w:szCs w:val="32"/>
        </w:rPr>
        <w:t>纵向缝的密封胶与横向缝的密封胶间的搭接</w:t>
      </w:r>
      <w:r>
        <w:rPr>
          <w:rFonts w:hint="eastAsia"/>
          <w:szCs w:val="32"/>
          <w:lang w:eastAsia="zh-CN"/>
        </w:rPr>
        <w:t>应</w:t>
      </w:r>
      <w:r>
        <w:rPr>
          <w:szCs w:val="32"/>
        </w:rPr>
        <w:t>满足设计要求。</w:t>
      </w:r>
    </w:p>
    <w:p>
      <w:pPr>
        <w:rPr>
          <w:szCs w:val="32"/>
        </w:rPr>
      </w:pPr>
      <w:r>
        <w:rPr>
          <w:rFonts w:hint="eastAsia"/>
          <w:b/>
          <w:bCs/>
          <w:szCs w:val="32"/>
        </w:rPr>
        <w:t>1</w:t>
      </w:r>
      <w:r>
        <w:rPr>
          <w:rFonts w:hint="eastAsia"/>
          <w:b/>
          <w:bCs/>
          <w:szCs w:val="32"/>
          <w:lang w:val="en-US" w:eastAsia="zh-CN"/>
        </w:rPr>
        <w:t>0</w:t>
      </w:r>
      <w:r>
        <w:rPr>
          <w:b/>
          <w:bCs/>
          <w:szCs w:val="32"/>
        </w:rPr>
        <w:t>.</w:t>
      </w:r>
      <w:r>
        <w:rPr>
          <w:rFonts w:hint="eastAsia"/>
          <w:b/>
          <w:bCs/>
          <w:szCs w:val="32"/>
          <w:lang w:val="en-US" w:eastAsia="zh-CN"/>
        </w:rPr>
        <w:t>2.6</w:t>
      </w:r>
      <w:r>
        <w:rPr>
          <w:b/>
          <w:bCs/>
          <w:szCs w:val="32"/>
        </w:rPr>
        <w:t xml:space="preserve"> </w:t>
      </w:r>
      <w:r>
        <w:rPr>
          <w:rFonts w:hint="eastAsia"/>
          <w:b/>
          <w:bCs/>
          <w:szCs w:val="32"/>
        </w:rPr>
        <w:t xml:space="preserve"> </w:t>
      </w:r>
      <w:r>
        <w:rPr>
          <w:rFonts w:hint="eastAsia"/>
          <w:szCs w:val="32"/>
        </w:rPr>
        <w:t>管廊预制</w:t>
      </w:r>
      <w:r>
        <w:rPr>
          <w:rFonts w:hint="eastAsia"/>
          <w:szCs w:val="32"/>
          <w:lang w:val="en-US" w:eastAsia="zh-CN"/>
        </w:rPr>
        <w:t>构件</w:t>
      </w:r>
      <w:r>
        <w:rPr>
          <w:rFonts w:hint="eastAsia"/>
          <w:szCs w:val="32"/>
        </w:rPr>
        <w:t>与现浇</w:t>
      </w:r>
      <w:r>
        <w:rPr>
          <w:rFonts w:hint="eastAsia"/>
          <w:szCs w:val="32"/>
          <w:lang w:val="en-US" w:eastAsia="zh-CN"/>
        </w:rPr>
        <w:t>混凝土管廊</w:t>
      </w:r>
      <w:r>
        <w:rPr>
          <w:rFonts w:hint="eastAsia"/>
          <w:szCs w:val="32"/>
        </w:rPr>
        <w:t>之间</w:t>
      </w:r>
      <w:r>
        <w:rPr>
          <w:rFonts w:hint="eastAsia"/>
          <w:szCs w:val="32"/>
          <w:lang w:val="en-US" w:eastAsia="zh-CN"/>
        </w:rPr>
        <w:t>设置</w:t>
      </w:r>
      <w:r>
        <w:rPr>
          <w:rFonts w:hint="eastAsia"/>
          <w:szCs w:val="32"/>
        </w:rPr>
        <w:t>的止水带施工应符合下列规定：</w:t>
      </w:r>
    </w:p>
    <w:p>
      <w:pPr>
        <w:ind w:firstLine="480" w:firstLineChars="200"/>
        <w:rPr>
          <w:rFonts w:hint="eastAsia" w:eastAsia="宋体"/>
          <w:szCs w:val="32"/>
          <w:lang w:eastAsia="zh-CN"/>
        </w:rPr>
      </w:pPr>
      <w:r>
        <w:rPr>
          <w:szCs w:val="32"/>
        </w:rPr>
        <w:t>1  止水带应与混凝土表面垂直设置，固定应牢固，偏差角度不应大于10°</w:t>
      </w:r>
      <w:r>
        <w:rPr>
          <w:rFonts w:hint="eastAsia"/>
          <w:szCs w:val="32"/>
          <w:lang w:eastAsia="zh-CN"/>
        </w:rPr>
        <w:t>；</w:t>
      </w:r>
    </w:p>
    <w:p>
      <w:pPr>
        <w:ind w:firstLine="480" w:firstLineChars="200"/>
        <w:rPr>
          <w:rFonts w:hint="eastAsia" w:eastAsia="宋体"/>
          <w:szCs w:val="32"/>
          <w:lang w:eastAsia="zh-CN"/>
        </w:rPr>
      </w:pPr>
      <w:r>
        <w:rPr>
          <w:szCs w:val="32"/>
        </w:rPr>
        <w:t>2  止水带在转弯处应做成转角半径不小于200mm的圆弧形</w:t>
      </w:r>
      <w:r>
        <w:rPr>
          <w:rFonts w:hint="eastAsia"/>
          <w:szCs w:val="32"/>
          <w:lang w:eastAsia="zh-CN"/>
        </w:rPr>
        <w:t>；</w:t>
      </w:r>
    </w:p>
    <w:p>
      <w:pPr>
        <w:ind w:firstLine="480" w:firstLineChars="200"/>
        <w:rPr>
          <w:rFonts w:hint="eastAsia" w:eastAsia="宋体"/>
          <w:szCs w:val="32"/>
          <w:lang w:eastAsia="zh-CN"/>
        </w:rPr>
      </w:pPr>
      <w:r>
        <w:rPr>
          <w:szCs w:val="32"/>
        </w:rPr>
        <w:t>3  橡胶止水带应采用热熔法连接，搭接宽度不应小于200 mm，搭接部位两侧止水带的纵向轴线偏差不应大于10mm</w:t>
      </w:r>
      <w:r>
        <w:rPr>
          <w:rFonts w:hint="eastAsia"/>
          <w:szCs w:val="32"/>
          <w:lang w:eastAsia="zh-CN"/>
        </w:rPr>
        <w:t>；</w:t>
      </w:r>
    </w:p>
    <w:p>
      <w:pPr>
        <w:ind w:firstLine="480" w:firstLineChars="200"/>
        <w:rPr>
          <w:szCs w:val="32"/>
        </w:rPr>
      </w:pPr>
      <w:r>
        <w:rPr>
          <w:szCs w:val="32"/>
        </w:rPr>
        <w:t>4  止水带表面一侧的隔离膜应在浇筑混凝土前撕掉，不应过早除掉止水带表面的隔离膜。</w:t>
      </w:r>
    </w:p>
    <w:p>
      <w:pPr>
        <w:ind w:firstLine="0" w:firstLineChars="0"/>
        <w:rPr>
          <w:rFonts w:hint="default" w:eastAsia="宋体"/>
          <w:szCs w:val="32"/>
          <w:lang w:val="en-US" w:eastAsia="zh-CN"/>
        </w:rPr>
      </w:pPr>
      <w:r>
        <w:rPr>
          <w:rFonts w:hint="eastAsia"/>
          <w:b/>
          <w:bCs/>
          <w:szCs w:val="32"/>
          <w:lang w:val="en-US" w:eastAsia="zh-CN"/>
        </w:rPr>
        <w:t>10.2.7</w:t>
      </w:r>
      <w:r>
        <w:rPr>
          <w:rFonts w:hint="eastAsia"/>
          <w:szCs w:val="32"/>
          <w:lang w:val="en-US" w:eastAsia="zh-CN"/>
        </w:rPr>
        <w:t xml:space="preserve">  节段预制顶进管廊的防水施工应符合下列规定：</w:t>
      </w:r>
    </w:p>
    <w:p>
      <w:pPr>
        <w:ind w:firstLine="480" w:firstLineChars="200"/>
        <w:rPr>
          <w:rFonts w:hint="eastAsia" w:eastAsia="宋体"/>
          <w:szCs w:val="32"/>
          <w:lang w:eastAsia="zh-CN"/>
        </w:rPr>
      </w:pPr>
      <w:r>
        <w:rPr>
          <w:rFonts w:hint="eastAsia"/>
          <w:szCs w:val="32"/>
        </w:rPr>
        <w:t>1  顶管接头应设置密封圈。密封圈在施工和运营中，应保持在设计水压作用下不渗漏</w:t>
      </w:r>
      <w:r>
        <w:rPr>
          <w:rFonts w:hint="eastAsia"/>
          <w:szCs w:val="32"/>
          <w:lang w:eastAsia="zh-CN"/>
        </w:rPr>
        <w:t>；</w:t>
      </w:r>
    </w:p>
    <w:p>
      <w:pPr>
        <w:ind w:firstLine="480" w:firstLineChars="200"/>
        <w:rPr>
          <w:rFonts w:hint="eastAsia" w:eastAsia="宋体"/>
          <w:szCs w:val="32"/>
          <w:lang w:eastAsia="zh-CN"/>
        </w:rPr>
      </w:pPr>
      <w:r>
        <w:rPr>
          <w:rFonts w:hint="eastAsia"/>
          <w:szCs w:val="32"/>
          <w:lang w:val="en-US" w:eastAsia="zh-CN"/>
        </w:rPr>
        <w:t>2</w:t>
      </w:r>
      <w:r>
        <w:rPr>
          <w:rFonts w:hint="eastAsia"/>
          <w:szCs w:val="32"/>
        </w:rPr>
        <w:t xml:space="preserve">  混凝土顶管接头宜采用钢承口接头和双插口接头，钢承口和双插口的套环宜采用Q235B材质，钢承口接头等钢构件的防腐要求应符合现行国家标准《工业建筑防腐蚀设计规范》GB50046的规定</w:t>
      </w:r>
      <w:r>
        <w:rPr>
          <w:rFonts w:hint="eastAsia"/>
          <w:szCs w:val="32"/>
          <w:lang w:eastAsia="zh-CN"/>
        </w:rPr>
        <w:t>；</w:t>
      </w:r>
    </w:p>
    <w:p>
      <w:pPr>
        <w:ind w:firstLine="480" w:firstLineChars="200"/>
        <w:rPr>
          <w:rFonts w:hint="default" w:eastAsia="宋体"/>
          <w:szCs w:val="32"/>
          <w:lang w:val="en-US" w:eastAsia="zh-CN"/>
        </w:rPr>
      </w:pPr>
      <w:r>
        <w:rPr>
          <w:rFonts w:hint="eastAsia"/>
          <w:szCs w:val="32"/>
          <w:lang w:val="en-US" w:eastAsia="zh-CN"/>
        </w:rPr>
        <w:t>3</w:t>
      </w:r>
      <w:r>
        <w:rPr>
          <w:rFonts w:hint="eastAsia"/>
          <w:szCs w:val="32"/>
        </w:rPr>
        <w:t xml:space="preserve">  钢承口接头的钢套环一端与混凝土管节的结合面应设置遇水膨胀止水条（胶）</w:t>
      </w:r>
      <w:r>
        <w:rPr>
          <w:rFonts w:hint="eastAsia"/>
          <w:szCs w:val="32"/>
          <w:lang w:eastAsia="zh-CN"/>
        </w:rPr>
        <w:t>，</w:t>
      </w:r>
      <w:r>
        <w:rPr>
          <w:rFonts w:hint="eastAsia"/>
          <w:szCs w:val="32"/>
        </w:rPr>
        <w:t>钢套环的另一端与后续管节外弧面的槽口内应设置密封圈</w:t>
      </w:r>
      <w:r>
        <w:rPr>
          <w:rFonts w:hint="eastAsia"/>
          <w:szCs w:val="32"/>
          <w:lang w:eastAsia="zh-CN"/>
        </w:rPr>
        <w:t>，</w:t>
      </w:r>
      <w:r>
        <w:rPr>
          <w:rFonts w:hint="eastAsia"/>
          <w:szCs w:val="32"/>
          <w:lang w:val="en-US" w:eastAsia="zh-CN"/>
        </w:rPr>
        <w:t>止水条与密封圈的安装位置应准确；</w:t>
      </w:r>
    </w:p>
    <w:p>
      <w:pPr>
        <w:ind w:firstLine="480" w:firstLineChars="200"/>
        <w:rPr>
          <w:rFonts w:hint="eastAsia"/>
          <w:szCs w:val="32"/>
        </w:rPr>
      </w:pPr>
      <w:r>
        <w:rPr>
          <w:rFonts w:hint="eastAsia"/>
          <w:szCs w:val="32"/>
        </w:rPr>
        <w:t>4  钢筋混凝土管插口橡胶密封圈槽口处的混凝土表面应平整、密实。当槽口处混凝土有气孔、裂纹和合缝漏浆缺陷时，应进行修补。</w:t>
      </w:r>
    </w:p>
    <w:p>
      <w:pPr>
        <w:ind w:firstLine="480" w:firstLineChars="200"/>
        <w:rPr>
          <w:rFonts w:hint="eastAsia"/>
          <w:szCs w:val="32"/>
        </w:rPr>
      </w:pPr>
    </w:p>
    <w:p>
      <w:pPr>
        <w:pStyle w:val="3"/>
        <w:rPr>
          <w:rFonts w:hint="default"/>
          <w:lang w:val="en-US"/>
        </w:rPr>
      </w:pPr>
      <w:bookmarkStart w:id="429" w:name="_Toc21390"/>
      <w:bookmarkStart w:id="430" w:name="_Toc30907"/>
      <w:bookmarkStart w:id="431" w:name="_Toc23397"/>
      <w:bookmarkStart w:id="432" w:name="_Toc22166"/>
      <w:r>
        <w:rPr>
          <w:rFonts w:hint="default"/>
          <w:lang w:val="en-US" w:eastAsia="zh-CN"/>
        </w:rPr>
        <w:t>10.</w:t>
      </w:r>
      <w:r>
        <w:rPr>
          <w:rFonts w:hint="eastAsia"/>
          <w:lang w:val="en-US" w:eastAsia="zh-CN"/>
        </w:rPr>
        <w:t>3</w:t>
      </w:r>
      <w:r>
        <w:rPr>
          <w:rFonts w:hint="default"/>
          <w:lang w:val="en-US" w:eastAsia="zh-CN"/>
        </w:rPr>
        <w:t xml:space="preserve">  </w:t>
      </w:r>
      <w:r>
        <w:rPr>
          <w:rFonts w:hint="eastAsia"/>
          <w:lang w:val="en-US" w:eastAsia="zh-CN"/>
        </w:rPr>
        <w:t>质量检验</w:t>
      </w:r>
      <w:bookmarkEnd w:id="429"/>
      <w:bookmarkEnd w:id="430"/>
      <w:bookmarkEnd w:id="431"/>
      <w:bookmarkEnd w:id="432"/>
    </w:p>
    <w:p>
      <w:pPr>
        <w:ind w:firstLine="482" w:firstLineChars="200"/>
        <w:jc w:val="center"/>
        <w:rPr>
          <w:b/>
          <w:bCs/>
          <w:szCs w:val="32"/>
        </w:rPr>
      </w:pPr>
      <w:r>
        <w:rPr>
          <w:rFonts w:hint="eastAsia"/>
          <w:b/>
          <w:bCs/>
          <w:szCs w:val="32"/>
        </w:rPr>
        <w:fldChar w:fldCharType="begin"/>
      </w:r>
      <w:r>
        <w:rPr>
          <w:rFonts w:hint="eastAsia"/>
          <w:b/>
          <w:bCs/>
          <w:szCs w:val="32"/>
        </w:rPr>
        <w:instrText xml:space="preserve"> = 1 \* ROMAN \* MERGEFORMAT </w:instrText>
      </w:r>
      <w:r>
        <w:rPr>
          <w:rFonts w:hint="eastAsia"/>
          <w:b/>
          <w:bCs/>
          <w:szCs w:val="32"/>
        </w:rPr>
        <w:fldChar w:fldCharType="separate"/>
      </w:r>
      <w:r>
        <w:t>I</w:t>
      </w:r>
      <w:r>
        <w:rPr>
          <w:rFonts w:hint="eastAsia"/>
          <w:b/>
          <w:bCs/>
          <w:szCs w:val="32"/>
        </w:rPr>
        <w:fldChar w:fldCharType="end"/>
      </w:r>
      <w:r>
        <w:rPr>
          <w:rFonts w:hint="eastAsia"/>
          <w:b/>
          <w:bCs/>
          <w:szCs w:val="32"/>
          <w:lang w:val="en-US" w:eastAsia="zh-CN"/>
        </w:rPr>
        <w:t xml:space="preserve"> </w:t>
      </w:r>
      <w:r>
        <w:rPr>
          <w:rFonts w:hint="eastAsia"/>
          <w:b/>
          <w:bCs/>
          <w:szCs w:val="32"/>
        </w:rPr>
        <w:t>主控项目</w:t>
      </w:r>
    </w:p>
    <w:p>
      <w:pPr>
        <w:ind w:firstLine="0" w:firstLineChars="0"/>
        <w:rPr>
          <w:rFonts w:hint="eastAsia" w:eastAsia="宋体"/>
          <w:szCs w:val="32"/>
          <w:lang w:eastAsia="zh-CN"/>
        </w:rPr>
      </w:pPr>
      <w:r>
        <w:rPr>
          <w:rFonts w:hint="eastAsia"/>
          <w:b/>
          <w:bCs/>
          <w:szCs w:val="32"/>
          <w:lang w:val="en-US" w:eastAsia="zh-CN"/>
        </w:rPr>
        <w:t>10.3.1</w:t>
      </w:r>
      <w:r>
        <w:rPr>
          <w:szCs w:val="32"/>
        </w:rPr>
        <w:t xml:space="preserve"> </w:t>
      </w:r>
      <w:r>
        <w:rPr>
          <w:rFonts w:hint="eastAsia"/>
          <w:szCs w:val="32"/>
        </w:rPr>
        <w:t xml:space="preserve"> </w:t>
      </w:r>
      <w:r>
        <w:rPr>
          <w:rFonts w:hint="eastAsia"/>
          <w:szCs w:val="32"/>
          <w:lang w:val="en-US" w:eastAsia="zh-CN"/>
        </w:rPr>
        <w:t>防水卷材、防水涂料、</w:t>
      </w:r>
      <w:r>
        <w:rPr>
          <w:szCs w:val="32"/>
        </w:rPr>
        <w:t>橡胶密封垫、密封胶、止水带等</w:t>
      </w:r>
      <w:r>
        <w:rPr>
          <w:rFonts w:hint="eastAsia"/>
          <w:szCs w:val="32"/>
          <w:lang w:val="en-US" w:eastAsia="zh-CN"/>
        </w:rPr>
        <w:t>材料规格及质量</w:t>
      </w:r>
      <w:r>
        <w:rPr>
          <w:szCs w:val="32"/>
        </w:rPr>
        <w:t>应满足设计要求</w:t>
      </w:r>
      <w:r>
        <w:rPr>
          <w:rFonts w:hint="eastAsia"/>
          <w:szCs w:val="32"/>
          <w:lang w:eastAsia="zh-CN"/>
        </w:rPr>
        <w:t>；</w:t>
      </w:r>
    </w:p>
    <w:p>
      <w:pPr>
        <w:ind w:firstLine="480" w:firstLineChars="200"/>
        <w:rPr>
          <w:szCs w:val="32"/>
        </w:rPr>
      </w:pPr>
      <w:r>
        <w:rPr>
          <w:rFonts w:hint="eastAsia"/>
          <w:szCs w:val="32"/>
        </w:rPr>
        <w:t>检查数量：按现行国家标准《地下防水工程施工质量验收规范》</w:t>
      </w:r>
      <w:r>
        <w:rPr>
          <w:szCs w:val="32"/>
        </w:rPr>
        <w:t>GB 50208的规定。</w:t>
      </w:r>
    </w:p>
    <w:p>
      <w:pPr>
        <w:ind w:firstLine="480" w:firstLineChars="200"/>
        <w:rPr>
          <w:rFonts w:hint="eastAsia"/>
          <w:szCs w:val="32"/>
        </w:rPr>
      </w:pPr>
      <w:r>
        <w:rPr>
          <w:rFonts w:hint="eastAsia"/>
          <w:szCs w:val="32"/>
        </w:rPr>
        <w:t>检验方法：检查产品合格证、产品性能检测报告和材料进场检验报告。</w:t>
      </w:r>
    </w:p>
    <w:p>
      <w:pPr>
        <w:ind w:firstLine="0" w:firstLineChars="0"/>
        <w:rPr>
          <w:rFonts w:hint="eastAsia"/>
          <w:szCs w:val="32"/>
          <w:lang w:val="en-US" w:eastAsia="zh-CN"/>
        </w:rPr>
      </w:pPr>
      <w:r>
        <w:rPr>
          <w:rFonts w:hint="eastAsia"/>
          <w:b/>
          <w:bCs/>
          <w:szCs w:val="32"/>
          <w:lang w:val="en-US" w:eastAsia="zh-CN"/>
        </w:rPr>
        <w:t>10.3.2</w:t>
      </w:r>
      <w:r>
        <w:rPr>
          <w:rFonts w:hint="eastAsia"/>
          <w:szCs w:val="32"/>
          <w:lang w:val="en-US" w:eastAsia="zh-CN"/>
        </w:rPr>
        <w:t xml:space="preserve">  涂料防水层的平均厚度应满足设计要求，最小厚度不得小于设计厚度的90%。</w:t>
      </w:r>
    </w:p>
    <w:p>
      <w:pPr>
        <w:ind w:firstLine="480" w:firstLineChars="200"/>
        <w:rPr>
          <w:rFonts w:hint="eastAsia"/>
          <w:szCs w:val="32"/>
          <w:lang w:val="en-US" w:eastAsia="zh-CN"/>
        </w:rPr>
      </w:pPr>
      <w:r>
        <w:rPr>
          <w:rFonts w:hint="eastAsia"/>
          <w:szCs w:val="32"/>
          <w:lang w:val="en-US" w:eastAsia="zh-CN"/>
        </w:rPr>
        <w:t>检查数量：每100m</w:t>
      </w:r>
      <w:r>
        <w:rPr>
          <w:rFonts w:hint="eastAsia"/>
          <w:szCs w:val="32"/>
          <w:vertAlign w:val="superscript"/>
          <w:lang w:val="en-US" w:eastAsia="zh-CN"/>
        </w:rPr>
        <w:t>2</w:t>
      </w:r>
      <w:r>
        <w:rPr>
          <w:rFonts w:hint="eastAsia"/>
          <w:szCs w:val="32"/>
          <w:lang w:val="en-US" w:eastAsia="zh-CN"/>
        </w:rPr>
        <w:t>抽查l处。</w:t>
      </w:r>
    </w:p>
    <w:p>
      <w:pPr>
        <w:ind w:firstLine="480" w:firstLineChars="200"/>
        <w:rPr>
          <w:rFonts w:hint="eastAsia"/>
          <w:szCs w:val="32"/>
          <w:lang w:val="en-US" w:eastAsia="zh-CN"/>
        </w:rPr>
      </w:pPr>
      <w:r>
        <w:rPr>
          <w:rFonts w:hint="eastAsia"/>
          <w:szCs w:val="32"/>
          <w:lang w:val="en-US" w:eastAsia="zh-CN"/>
        </w:rPr>
        <w:t>检验方法：用针测法检查。</w:t>
      </w:r>
    </w:p>
    <w:p>
      <w:r>
        <w:rPr>
          <w:rFonts w:hint="eastAsia"/>
          <w:b/>
          <w:bCs/>
          <w:lang w:val="en-US" w:eastAsia="zh-CN"/>
        </w:rPr>
        <w:t>10.3.3</w:t>
      </w:r>
      <w:r>
        <w:rPr>
          <w:b/>
          <w:bCs/>
        </w:rPr>
        <w:t xml:space="preserve"> </w:t>
      </w:r>
      <w:r>
        <w:t xml:space="preserve"> </w:t>
      </w:r>
      <w:r>
        <w:rPr>
          <w:rFonts w:hint="eastAsia"/>
        </w:rPr>
        <w:t>卷材防水层、涂料防水层在转角处、变形缝、接缝、施工缝、穿墙管等部位做法应满足设计要求。</w:t>
      </w:r>
    </w:p>
    <w:p>
      <w:pPr>
        <w:ind w:firstLine="480" w:firstLineChars="200"/>
      </w:pPr>
      <w:r>
        <w:rPr>
          <w:rFonts w:hint="eastAsia"/>
        </w:rPr>
        <w:t>检查数量：全数检查</w:t>
      </w:r>
      <w:r>
        <w:rPr>
          <w:rFonts w:hint="eastAsia"/>
          <w:kern w:val="56"/>
        </w:rPr>
        <w:t>。</w:t>
      </w:r>
    </w:p>
    <w:p>
      <w:pPr>
        <w:ind w:firstLine="480" w:firstLineChars="200"/>
        <w:rPr>
          <w:rFonts w:hint="default"/>
          <w:szCs w:val="32"/>
          <w:lang w:val="en-US" w:eastAsia="zh-CN"/>
        </w:rPr>
      </w:pPr>
      <w:r>
        <w:rPr>
          <w:rFonts w:hint="eastAsia"/>
        </w:rPr>
        <w:t>检验方法：观察；检查隐蔽工程验收记录。</w:t>
      </w:r>
    </w:p>
    <w:p>
      <w:pPr>
        <w:ind w:firstLine="482" w:firstLineChars="200"/>
        <w:jc w:val="center"/>
        <w:rPr>
          <w:b/>
          <w:bCs/>
          <w:szCs w:val="32"/>
        </w:rPr>
      </w:pPr>
      <w:r>
        <w:rPr>
          <w:rFonts w:hint="eastAsia"/>
          <w:b/>
          <w:bCs/>
          <w:szCs w:val="32"/>
        </w:rPr>
        <w:fldChar w:fldCharType="begin"/>
      </w:r>
      <w:r>
        <w:rPr>
          <w:rFonts w:hint="eastAsia"/>
          <w:b/>
          <w:bCs/>
          <w:szCs w:val="32"/>
        </w:rPr>
        <w:instrText xml:space="preserve"> = 2 \* ROMAN \* MERGEFORMAT </w:instrText>
      </w:r>
      <w:r>
        <w:rPr>
          <w:rFonts w:hint="eastAsia"/>
          <w:b/>
          <w:bCs/>
          <w:szCs w:val="32"/>
        </w:rPr>
        <w:fldChar w:fldCharType="separate"/>
      </w:r>
      <w:r>
        <w:t>II</w:t>
      </w:r>
      <w:r>
        <w:rPr>
          <w:rFonts w:hint="eastAsia"/>
          <w:b/>
          <w:bCs/>
          <w:szCs w:val="32"/>
        </w:rPr>
        <w:fldChar w:fldCharType="end"/>
      </w:r>
      <w:r>
        <w:rPr>
          <w:rFonts w:hint="eastAsia"/>
          <w:b/>
          <w:bCs/>
          <w:szCs w:val="32"/>
          <w:lang w:val="en-US" w:eastAsia="zh-CN"/>
        </w:rPr>
        <w:t xml:space="preserve"> </w:t>
      </w:r>
      <w:r>
        <w:rPr>
          <w:rFonts w:hint="eastAsia"/>
          <w:b/>
          <w:bCs/>
          <w:szCs w:val="32"/>
        </w:rPr>
        <w:t>一般项目</w:t>
      </w:r>
    </w:p>
    <w:p>
      <w:r>
        <w:rPr>
          <w:rFonts w:hint="eastAsia"/>
          <w:b/>
          <w:bCs/>
          <w:kern w:val="56"/>
          <w:lang w:val="en-US" w:eastAsia="zh-CN"/>
        </w:rPr>
        <w:t>10.3.4</w:t>
      </w:r>
      <w:r>
        <w:rPr>
          <w:kern w:val="56"/>
        </w:rPr>
        <w:t xml:space="preserve"> </w:t>
      </w:r>
      <w:r>
        <w:rPr>
          <w:rFonts w:hint="eastAsia"/>
          <w:kern w:val="56"/>
        </w:rPr>
        <w:t xml:space="preserve"> </w:t>
      </w:r>
      <w:r>
        <w:rPr>
          <w:kern w:val="56"/>
        </w:rPr>
        <w:t>卷材防水层的搭接应粘贴牢固，密封严密，不得有扭曲、皱折、翘边和起泡等缺陷</w:t>
      </w:r>
      <w:r>
        <w:rPr>
          <w:rFonts w:hint="eastAsia"/>
          <w:kern w:val="56"/>
          <w:lang w:eastAsia="zh-CN"/>
        </w:rPr>
        <w:t>；</w:t>
      </w:r>
      <w:r>
        <w:rPr>
          <w:rFonts w:hint="eastAsia"/>
          <w:kern w:val="56"/>
          <w:lang w:val="en-US" w:eastAsia="zh-CN"/>
        </w:rPr>
        <w:t>搭接宽度和长度满足要求</w:t>
      </w:r>
      <w:r>
        <w:rPr>
          <w:rFonts w:hint="eastAsia"/>
        </w:rPr>
        <w:t>。</w:t>
      </w:r>
    </w:p>
    <w:p>
      <w:pPr>
        <w:ind w:firstLine="480" w:firstLineChars="200"/>
      </w:pPr>
      <w:r>
        <w:rPr>
          <w:rFonts w:hint="eastAsia"/>
        </w:rPr>
        <w:t>检查数量：每100m</w:t>
      </w:r>
      <w:r>
        <w:rPr>
          <w:vertAlign w:val="superscript"/>
        </w:rPr>
        <w:t>2</w:t>
      </w:r>
      <w:r>
        <w:rPr>
          <w:rFonts w:hint="eastAsia"/>
        </w:rPr>
        <w:t>抽查l处，每处10m</w:t>
      </w:r>
      <w:r>
        <w:rPr>
          <w:vertAlign w:val="superscript"/>
        </w:rPr>
        <w:t>2</w:t>
      </w:r>
      <w:r>
        <w:rPr>
          <w:rFonts w:hint="eastAsia"/>
        </w:rPr>
        <w:t>，且不得少于3点。</w:t>
      </w:r>
    </w:p>
    <w:p>
      <w:pPr>
        <w:ind w:firstLine="480" w:firstLineChars="200"/>
        <w:rPr>
          <w:rFonts w:hint="eastAsia"/>
        </w:rPr>
      </w:pPr>
      <w:r>
        <w:rPr>
          <w:rFonts w:hint="eastAsia"/>
        </w:rPr>
        <w:t>检验方法：观察；尺量。</w:t>
      </w:r>
    </w:p>
    <w:p>
      <w:r>
        <w:rPr>
          <w:rFonts w:hint="eastAsia"/>
          <w:b/>
          <w:bCs/>
          <w:lang w:val="en-US" w:eastAsia="zh-CN"/>
        </w:rPr>
        <w:t>103.5</w:t>
      </w:r>
      <w:r>
        <w:t xml:space="preserve">  </w:t>
      </w:r>
      <w:r>
        <w:rPr>
          <w:rFonts w:hint="eastAsia"/>
        </w:rPr>
        <w:t>涂料防水层应与基层粘结牢固，涂刷均匀，不应流淌、鼓泡、露槎</w:t>
      </w:r>
      <w:r>
        <w:rPr>
          <w:rFonts w:hint="eastAsia"/>
          <w:lang w:eastAsia="zh-CN"/>
        </w:rPr>
        <w:t>；</w:t>
      </w:r>
      <w:r>
        <w:rPr>
          <w:rFonts w:hint="eastAsia"/>
        </w:rPr>
        <w:t>涂层间夹铺胎体增强材料时，防水涂料胎体应充分浸透，不应露胎体、翘边和皱折。</w:t>
      </w:r>
    </w:p>
    <w:p>
      <w:pPr>
        <w:ind w:firstLine="480" w:firstLineChars="200"/>
      </w:pPr>
      <w:r>
        <w:rPr>
          <w:rFonts w:hint="eastAsia"/>
        </w:rPr>
        <w:t>检查数量：每100m</w:t>
      </w:r>
      <w:r>
        <w:rPr>
          <w:vertAlign w:val="superscript"/>
        </w:rPr>
        <w:t>2</w:t>
      </w:r>
      <w:r>
        <w:rPr>
          <w:rFonts w:hint="eastAsia"/>
        </w:rPr>
        <w:t>抽查l处。</w:t>
      </w:r>
    </w:p>
    <w:p>
      <w:pPr>
        <w:ind w:firstLine="480" w:firstLineChars="200"/>
      </w:pPr>
      <w:r>
        <w:rPr>
          <w:rFonts w:hint="eastAsia"/>
        </w:rPr>
        <w:t>检验方法：观察。</w:t>
      </w:r>
    </w:p>
    <w:p>
      <w:r>
        <w:rPr>
          <w:rFonts w:hint="eastAsia"/>
          <w:b/>
          <w:bCs/>
          <w:kern w:val="56"/>
          <w:lang w:val="en-US" w:eastAsia="zh-CN"/>
        </w:rPr>
        <w:t>10.3</w:t>
      </w:r>
      <w:r>
        <w:rPr>
          <w:b/>
          <w:bCs/>
          <w:kern w:val="56"/>
        </w:rPr>
        <w:t>.</w:t>
      </w:r>
      <w:r>
        <w:rPr>
          <w:rFonts w:hint="eastAsia"/>
          <w:b/>
          <w:bCs/>
          <w:kern w:val="56"/>
          <w:lang w:val="en-US" w:eastAsia="zh-CN"/>
        </w:rPr>
        <w:t>6</w:t>
      </w:r>
      <w:r>
        <w:rPr>
          <w:kern w:val="56"/>
        </w:rPr>
        <w:t xml:space="preserve">  </w:t>
      </w:r>
      <w:r>
        <w:rPr>
          <w:rFonts w:hint="eastAsia"/>
        </w:rPr>
        <w:t>卷材防水层</w:t>
      </w:r>
      <w:r>
        <w:rPr>
          <w:rFonts w:hint="eastAsia"/>
          <w:lang w:eastAsia="zh-CN"/>
        </w:rPr>
        <w:t>、</w:t>
      </w:r>
      <w:r>
        <w:rPr>
          <w:rFonts w:hint="eastAsia"/>
          <w:lang w:val="en-US" w:eastAsia="zh-CN"/>
        </w:rPr>
        <w:t>涂料防水层</w:t>
      </w:r>
      <w:r>
        <w:rPr>
          <w:rFonts w:hint="eastAsia"/>
        </w:rPr>
        <w:t>的保护层应与防水层结合紧密，保护层</w:t>
      </w:r>
      <w:r>
        <w:rPr>
          <w:rFonts w:hint="eastAsia"/>
          <w:lang w:val="en-US" w:eastAsia="zh-CN"/>
        </w:rPr>
        <w:t>材料及</w:t>
      </w:r>
      <w:r>
        <w:rPr>
          <w:rFonts w:hint="eastAsia"/>
        </w:rPr>
        <w:t>厚度应满足设计要求。</w:t>
      </w:r>
    </w:p>
    <w:p>
      <w:pPr>
        <w:ind w:firstLine="480" w:firstLineChars="200"/>
      </w:pPr>
      <w:r>
        <w:rPr>
          <w:rFonts w:hint="eastAsia"/>
        </w:rPr>
        <w:t>检查数量：每100m</w:t>
      </w:r>
      <w:r>
        <w:rPr>
          <w:rFonts w:hint="eastAsia"/>
          <w:vertAlign w:val="superscript"/>
        </w:rPr>
        <w:t>2</w:t>
      </w:r>
      <w:r>
        <w:rPr>
          <w:rFonts w:hint="eastAsia"/>
        </w:rPr>
        <w:t>抽查l处。</w:t>
      </w:r>
    </w:p>
    <w:p>
      <w:pPr>
        <w:ind w:firstLine="480" w:firstLineChars="200"/>
        <w:rPr>
          <w:szCs w:val="32"/>
        </w:rPr>
      </w:pPr>
      <w:r>
        <w:rPr>
          <w:rFonts w:hint="eastAsia"/>
        </w:rPr>
        <w:t>检验方法：观察，</w:t>
      </w:r>
      <w:r>
        <w:rPr>
          <w:rFonts w:hint="eastAsia"/>
          <w:lang w:val="en-US" w:eastAsia="zh-CN"/>
        </w:rPr>
        <w:t>检查施工记录，</w:t>
      </w:r>
      <w:r>
        <w:rPr>
          <w:rFonts w:hint="eastAsia"/>
        </w:rPr>
        <w:t>尺量。</w:t>
      </w:r>
    </w:p>
    <w:p>
      <w:pPr>
        <w:ind w:firstLine="0" w:firstLineChars="0"/>
        <w:rPr>
          <w:rFonts w:hint="eastAsia" w:eastAsia="宋体"/>
          <w:szCs w:val="32"/>
          <w:lang w:eastAsia="zh-CN"/>
        </w:rPr>
      </w:pPr>
      <w:r>
        <w:rPr>
          <w:rFonts w:hint="eastAsia"/>
          <w:b/>
          <w:bCs/>
          <w:szCs w:val="32"/>
          <w:lang w:val="en-US" w:eastAsia="zh-CN"/>
        </w:rPr>
        <w:t>10.3.7</w:t>
      </w:r>
      <w:r>
        <w:rPr>
          <w:rFonts w:hint="eastAsia"/>
          <w:szCs w:val="32"/>
        </w:rPr>
        <w:t xml:space="preserve"> </w:t>
      </w:r>
      <w:r>
        <w:rPr>
          <w:szCs w:val="32"/>
        </w:rPr>
        <w:t xml:space="preserve"> 橡胶密封垫应与基层密贴，</w:t>
      </w:r>
      <w:r>
        <w:rPr>
          <w:rFonts w:hint="eastAsia"/>
          <w:szCs w:val="32"/>
          <w:lang w:eastAsia="zh-CN"/>
        </w:rPr>
        <w:t>不得</w:t>
      </w:r>
      <w:r>
        <w:rPr>
          <w:szCs w:val="32"/>
        </w:rPr>
        <w:t>出现空鼓、翘边等现象</w:t>
      </w:r>
      <w:r>
        <w:rPr>
          <w:rFonts w:hint="eastAsia"/>
          <w:szCs w:val="32"/>
          <w:lang w:val="en-US" w:eastAsia="zh-CN"/>
        </w:rPr>
        <w:t>。</w:t>
      </w:r>
    </w:p>
    <w:p>
      <w:pPr>
        <w:ind w:firstLine="480" w:firstLineChars="200"/>
        <w:rPr>
          <w:szCs w:val="32"/>
        </w:rPr>
      </w:pPr>
      <w:r>
        <w:rPr>
          <w:rFonts w:hint="eastAsia"/>
          <w:szCs w:val="32"/>
        </w:rPr>
        <w:t>检查数量：全数检查。</w:t>
      </w:r>
    </w:p>
    <w:p>
      <w:pPr>
        <w:ind w:firstLine="480" w:firstLineChars="200"/>
        <w:rPr>
          <w:szCs w:val="32"/>
        </w:rPr>
      </w:pPr>
      <w:r>
        <w:rPr>
          <w:rFonts w:hint="eastAsia"/>
          <w:szCs w:val="32"/>
        </w:rPr>
        <w:t>检验方法：观察；检查隐蔽工程验收记录。</w:t>
      </w:r>
    </w:p>
    <w:p>
      <w:pPr>
        <w:ind w:firstLine="0" w:firstLineChars="0"/>
        <w:rPr>
          <w:rFonts w:hint="eastAsia" w:eastAsia="宋体"/>
          <w:szCs w:val="32"/>
          <w:lang w:eastAsia="zh-CN"/>
        </w:rPr>
      </w:pPr>
      <w:r>
        <w:rPr>
          <w:rFonts w:hint="eastAsia"/>
          <w:b/>
          <w:bCs/>
          <w:szCs w:val="32"/>
          <w:lang w:val="en-US" w:eastAsia="zh-CN"/>
        </w:rPr>
        <w:t>10.3.8</w:t>
      </w:r>
      <w:r>
        <w:rPr>
          <w:szCs w:val="32"/>
        </w:rPr>
        <w:t xml:space="preserve"> </w:t>
      </w:r>
      <w:r>
        <w:rPr>
          <w:rFonts w:hint="eastAsia"/>
          <w:szCs w:val="32"/>
        </w:rPr>
        <w:t xml:space="preserve"> </w:t>
      </w:r>
      <w:r>
        <w:rPr>
          <w:szCs w:val="32"/>
        </w:rPr>
        <w:t>密封胶应连续、均匀、饱满，无气泡和孔洞，密封胶的宽度及厚度应满足设计要求</w:t>
      </w:r>
      <w:r>
        <w:rPr>
          <w:rFonts w:hint="eastAsia"/>
          <w:szCs w:val="32"/>
          <w:lang w:eastAsia="zh-CN"/>
        </w:rPr>
        <w:t>。</w:t>
      </w:r>
    </w:p>
    <w:p>
      <w:pPr>
        <w:ind w:firstLine="480" w:firstLineChars="200"/>
        <w:rPr>
          <w:szCs w:val="32"/>
        </w:rPr>
      </w:pPr>
      <w:r>
        <w:rPr>
          <w:rFonts w:hint="eastAsia"/>
          <w:szCs w:val="32"/>
        </w:rPr>
        <w:t>检查数量：全数检查。</w:t>
      </w:r>
    </w:p>
    <w:p>
      <w:pPr>
        <w:ind w:firstLine="480" w:firstLineChars="200"/>
        <w:rPr>
          <w:szCs w:val="32"/>
        </w:rPr>
      </w:pPr>
      <w:r>
        <w:rPr>
          <w:rFonts w:hint="eastAsia"/>
          <w:szCs w:val="32"/>
        </w:rPr>
        <w:t>检验方法：观察；检查隐蔽工程验收记录。</w:t>
      </w:r>
    </w:p>
    <w:p>
      <w:pPr>
        <w:ind w:firstLine="0" w:firstLineChars="0"/>
        <w:rPr>
          <w:szCs w:val="32"/>
        </w:rPr>
      </w:pPr>
      <w:r>
        <w:rPr>
          <w:rFonts w:hint="eastAsia"/>
          <w:b/>
          <w:bCs/>
          <w:szCs w:val="32"/>
          <w:lang w:val="en-US" w:eastAsia="zh-CN"/>
        </w:rPr>
        <w:t>10.3.9</w:t>
      </w:r>
      <w:r>
        <w:rPr>
          <w:rFonts w:hint="eastAsia"/>
          <w:szCs w:val="32"/>
        </w:rPr>
        <w:t xml:space="preserve"> </w:t>
      </w:r>
      <w:r>
        <w:rPr>
          <w:szCs w:val="32"/>
        </w:rPr>
        <w:t xml:space="preserve"> 嵌填密封材料的缝内两侧基面应平整、洁净、干燥，并应涂刷基层处理剂；嵌缝底部应设置背衬材料；密封材料嵌填应严密、连续、饱满，粘结牢固。</w:t>
      </w:r>
    </w:p>
    <w:p>
      <w:pPr>
        <w:ind w:firstLine="480" w:firstLineChars="200"/>
        <w:rPr>
          <w:szCs w:val="32"/>
        </w:rPr>
      </w:pPr>
      <w:r>
        <w:rPr>
          <w:rFonts w:hint="eastAsia"/>
          <w:szCs w:val="32"/>
        </w:rPr>
        <w:t>检查数量：全数检查。</w:t>
      </w:r>
    </w:p>
    <w:p>
      <w:pPr>
        <w:ind w:firstLine="480" w:firstLineChars="200"/>
        <w:rPr>
          <w:szCs w:val="32"/>
        </w:rPr>
      </w:pPr>
      <w:r>
        <w:rPr>
          <w:rFonts w:hint="eastAsia"/>
          <w:szCs w:val="32"/>
        </w:rPr>
        <w:t>检验方法：观察；检查隐蔽工程验收记录。</w:t>
      </w:r>
    </w:p>
    <w:p>
      <w:pPr>
        <w:ind w:firstLine="482" w:firstLineChars="200"/>
        <w:rPr>
          <w:b/>
          <w:bCs/>
          <w:szCs w:val="32"/>
        </w:rPr>
      </w:pPr>
    </w:p>
    <w:p/>
    <w:p>
      <w:pPr>
        <w:pStyle w:val="2"/>
      </w:pPr>
      <w:bookmarkStart w:id="433" w:name="_Toc31126"/>
      <w:bookmarkStart w:id="434" w:name="_Toc26090"/>
      <w:bookmarkStart w:id="435" w:name="_Toc24279"/>
      <w:bookmarkStart w:id="436" w:name="_Toc25373"/>
      <w:bookmarkStart w:id="437" w:name="_Toc10845"/>
      <w:bookmarkStart w:id="438" w:name="_Toc13637"/>
      <w:r>
        <w:t>1</w:t>
      </w:r>
      <w:r>
        <w:rPr>
          <w:rFonts w:hint="eastAsia"/>
          <w:lang w:val="en-US" w:eastAsia="zh-CN"/>
        </w:rPr>
        <w:t>1</w:t>
      </w:r>
      <w:r>
        <w:rPr>
          <w:rFonts w:hint="eastAsia"/>
        </w:rPr>
        <w:t xml:space="preserve">  工程验收</w:t>
      </w:r>
      <w:bookmarkEnd w:id="433"/>
      <w:bookmarkEnd w:id="434"/>
      <w:bookmarkEnd w:id="435"/>
      <w:bookmarkEnd w:id="436"/>
      <w:bookmarkEnd w:id="437"/>
      <w:bookmarkEnd w:id="438"/>
    </w:p>
    <w:p>
      <w:r>
        <w:rPr>
          <w:b/>
        </w:rPr>
        <w:t>1</w:t>
      </w:r>
      <w:r>
        <w:rPr>
          <w:rFonts w:hint="eastAsia"/>
          <w:b/>
          <w:lang w:val="en-US" w:eastAsia="zh-CN"/>
        </w:rPr>
        <w:t>1</w:t>
      </w:r>
      <w:r>
        <w:rPr>
          <w:b/>
        </w:rPr>
        <w:t xml:space="preserve">.0.1  </w:t>
      </w:r>
      <w:r>
        <w:rPr>
          <w:rFonts w:hint="eastAsia"/>
        </w:rPr>
        <w:t>施工前，施工单位应会同建设、质监</w:t>
      </w:r>
      <w:r>
        <w:rPr>
          <w:rFonts w:hint="eastAsia"/>
          <w:lang w:val="en-US" w:eastAsia="zh-CN"/>
        </w:rPr>
        <w:t>和</w:t>
      </w:r>
      <w:r>
        <w:rPr>
          <w:rFonts w:hint="eastAsia"/>
        </w:rPr>
        <w:t>监理</w:t>
      </w:r>
      <w:r>
        <w:rPr>
          <w:rFonts w:hint="eastAsia"/>
          <w:lang w:val="en-US" w:eastAsia="zh-CN"/>
        </w:rPr>
        <w:t>等</w:t>
      </w:r>
      <w:r>
        <w:rPr>
          <w:rFonts w:hint="eastAsia"/>
        </w:rPr>
        <w:t>单位确认构成建设项目的单位</w:t>
      </w:r>
      <w:r>
        <w:t>（</w:t>
      </w:r>
      <w:r>
        <w:rPr>
          <w:rFonts w:hint="eastAsia"/>
        </w:rPr>
        <w:t>子单位</w:t>
      </w:r>
      <w:r>
        <w:t>）</w:t>
      </w:r>
      <w:r>
        <w:rPr>
          <w:rFonts w:hint="eastAsia"/>
        </w:rPr>
        <w:t>工程、分部</w:t>
      </w:r>
      <w:r>
        <w:t>（</w:t>
      </w:r>
      <w:r>
        <w:rPr>
          <w:rFonts w:hint="eastAsia"/>
        </w:rPr>
        <w:t>子分部</w:t>
      </w:r>
      <w:r>
        <w:t>）</w:t>
      </w:r>
      <w:r>
        <w:rPr>
          <w:rFonts w:hint="eastAsia"/>
        </w:rPr>
        <w:t>工程、分项工程和检验批，作为施工质量检验、验收的基础。</w:t>
      </w:r>
    </w:p>
    <w:p>
      <w:pPr>
        <w:rPr>
          <w:rFonts w:eastAsiaTheme="minorEastAsia"/>
        </w:rPr>
      </w:pPr>
      <w:r>
        <w:rPr>
          <w:b/>
        </w:rPr>
        <w:t>1</w:t>
      </w:r>
      <w:r>
        <w:rPr>
          <w:rFonts w:hint="eastAsia"/>
          <w:b/>
          <w:lang w:val="en-US" w:eastAsia="zh-CN"/>
        </w:rPr>
        <w:t>1</w:t>
      </w:r>
      <w:r>
        <w:rPr>
          <w:b/>
        </w:rPr>
        <w:t xml:space="preserve">.0.2  </w:t>
      </w:r>
      <w:r>
        <w:rPr>
          <w:rFonts w:hint="eastAsia"/>
        </w:rPr>
        <w:t>单位(子单位)工程、分部(子分部)工程、分项工程和验收批的划分可按本</w:t>
      </w:r>
      <w:r>
        <w:rPr>
          <w:rFonts w:hint="eastAsia"/>
          <w:lang w:eastAsia="zh-CN"/>
        </w:rPr>
        <w:t>标准</w:t>
      </w:r>
      <w:r>
        <w:rPr>
          <w:rFonts w:hint="eastAsia"/>
        </w:rPr>
        <w:t>附录A执行</w:t>
      </w:r>
      <w:r>
        <w:rPr>
          <w:rFonts w:hint="eastAsia" w:eastAsiaTheme="minorEastAsia"/>
        </w:rPr>
        <w:t>。</w:t>
      </w:r>
    </w:p>
    <w:p>
      <w:r>
        <w:rPr>
          <w:b/>
        </w:rPr>
        <w:t>1</w:t>
      </w:r>
      <w:r>
        <w:rPr>
          <w:rFonts w:hint="eastAsia"/>
          <w:b/>
          <w:lang w:val="en-US" w:eastAsia="zh-CN"/>
        </w:rPr>
        <w:t>1</w:t>
      </w:r>
      <w:r>
        <w:rPr>
          <w:b/>
        </w:rPr>
        <w:t>.</w:t>
      </w:r>
      <w:r>
        <w:rPr>
          <w:rFonts w:hint="eastAsia"/>
          <w:b/>
        </w:rPr>
        <w:t>0</w:t>
      </w:r>
      <w:r>
        <w:rPr>
          <w:b/>
        </w:rPr>
        <w:t>.</w:t>
      </w:r>
      <w:r>
        <w:rPr>
          <w:rFonts w:hint="eastAsia"/>
          <w:b/>
        </w:rPr>
        <w:t>3</w:t>
      </w:r>
      <w:r>
        <w:rPr>
          <w:b/>
        </w:rPr>
        <w:t xml:space="preserve"> </w:t>
      </w:r>
      <w:r>
        <w:rPr>
          <w:rFonts w:eastAsiaTheme="minorEastAsia"/>
        </w:rPr>
        <w:t xml:space="preserve"> </w:t>
      </w:r>
      <w:r>
        <w:rPr>
          <w:rFonts w:hint="eastAsia"/>
        </w:rPr>
        <w:t>工程施工质量验收应在施工单位自检基础上，按验收批、分项工程、分部(子分部)工程、单位(子单位)工程的顺序分别填写附录B记录表进行，并应符合下列规定：</w:t>
      </w:r>
    </w:p>
    <w:p>
      <w:pPr>
        <w:ind w:firstLine="480"/>
      </w:pPr>
      <w:r>
        <w:rPr>
          <w:rFonts w:hint="eastAsia"/>
        </w:rPr>
        <w:t>1  工程施工质量应符合本</w:t>
      </w:r>
      <w:r>
        <w:rPr>
          <w:rFonts w:hint="eastAsia"/>
          <w:lang w:eastAsia="zh-CN"/>
        </w:rPr>
        <w:t>标准</w:t>
      </w:r>
      <w:r>
        <w:rPr>
          <w:rFonts w:hint="eastAsia"/>
        </w:rPr>
        <w:t>和相关专业验收</w:t>
      </w:r>
      <w:r>
        <w:rPr>
          <w:rFonts w:hint="eastAsia"/>
          <w:lang w:eastAsia="zh-CN"/>
        </w:rPr>
        <w:t>标准</w:t>
      </w:r>
      <w:r>
        <w:rPr>
          <w:rFonts w:hint="eastAsia"/>
        </w:rPr>
        <w:t>的规定；</w:t>
      </w:r>
    </w:p>
    <w:p>
      <w:pPr>
        <w:ind w:firstLine="480"/>
      </w:pPr>
      <w:r>
        <w:rPr>
          <w:rFonts w:hint="eastAsia"/>
        </w:rPr>
        <w:t>2  工程施工质量应满足工程勘察、设计文件的要求；</w:t>
      </w:r>
    </w:p>
    <w:p>
      <w:pPr>
        <w:ind w:firstLine="480"/>
      </w:pPr>
      <w:r>
        <w:rPr>
          <w:rFonts w:hint="eastAsia"/>
        </w:rPr>
        <w:t>3  参加工程施工质量验收的各方人员应具备相应的资格；</w:t>
      </w:r>
    </w:p>
    <w:p>
      <w:pPr>
        <w:ind w:firstLine="480"/>
      </w:pPr>
      <w:r>
        <w:rPr>
          <w:rFonts w:hint="eastAsia"/>
        </w:rPr>
        <w:t>4  工程施工质量的验收应在施工单位自行检查，评定合格的基础上进行；</w:t>
      </w:r>
    </w:p>
    <w:p>
      <w:pPr>
        <w:ind w:firstLine="480"/>
      </w:pPr>
      <w:r>
        <w:rPr>
          <w:rFonts w:hint="eastAsia"/>
        </w:rPr>
        <w:t>5  隐蔽工程在隐蔽前应由施工单位通知监理等单位进行验收，并形成验收文件；</w:t>
      </w:r>
    </w:p>
    <w:p>
      <w:pPr>
        <w:ind w:firstLine="480"/>
      </w:pPr>
      <w:r>
        <w:rPr>
          <w:rFonts w:hint="eastAsia"/>
        </w:rPr>
        <w:t>6  涉及结构安全和使用功能的试块、试件和现场检测项目，应按规定进行平行检测或见证取样检测；</w:t>
      </w:r>
    </w:p>
    <w:p>
      <w:pPr>
        <w:ind w:firstLine="480"/>
      </w:pPr>
      <w:r>
        <w:rPr>
          <w:rFonts w:hint="eastAsia"/>
        </w:rPr>
        <w:t>7  验收批的质量应按主控项目和一般项目进行验收；每个检查项目的检查数量，除本</w:t>
      </w:r>
      <w:r>
        <w:rPr>
          <w:rFonts w:hint="eastAsia"/>
          <w:lang w:eastAsia="zh-CN"/>
        </w:rPr>
        <w:t>标准</w:t>
      </w:r>
      <w:r>
        <w:rPr>
          <w:rFonts w:hint="eastAsia"/>
        </w:rPr>
        <w:t>有关条款有明确规定外，应全数检查；</w:t>
      </w:r>
    </w:p>
    <w:p>
      <w:pPr>
        <w:ind w:firstLine="480"/>
      </w:pPr>
      <w:r>
        <w:rPr>
          <w:rFonts w:hint="eastAsia"/>
        </w:rPr>
        <w:t>8  对涉及结构安全和使用功能的分部工程应进行试验或检测；</w:t>
      </w:r>
    </w:p>
    <w:p>
      <w:pPr>
        <w:ind w:firstLine="480"/>
      </w:pPr>
      <w:r>
        <w:rPr>
          <w:rFonts w:hint="eastAsia"/>
        </w:rPr>
        <w:t>9  承担检测的单位应具有相应资质；</w:t>
      </w:r>
    </w:p>
    <w:p>
      <w:pPr>
        <w:ind w:firstLine="480"/>
      </w:pPr>
      <w:r>
        <w:rPr>
          <w:rFonts w:hint="eastAsia"/>
        </w:rPr>
        <w:t>10  外观质量应由质量验收人员通过现场检查共同确认。</w:t>
      </w:r>
    </w:p>
    <w:p>
      <w:r>
        <w:rPr>
          <w:b/>
        </w:rPr>
        <w:t>1</w:t>
      </w:r>
      <w:r>
        <w:rPr>
          <w:rFonts w:hint="eastAsia"/>
          <w:b/>
          <w:lang w:val="en-US" w:eastAsia="zh-CN"/>
        </w:rPr>
        <w:t>1</w:t>
      </w:r>
      <w:r>
        <w:rPr>
          <w:b/>
        </w:rPr>
        <w:t xml:space="preserve">.0.4  </w:t>
      </w:r>
      <w:r>
        <w:rPr>
          <w:rFonts w:hint="eastAsia"/>
        </w:rPr>
        <w:t>验收批质量验收合格应符合下列规定：</w:t>
      </w:r>
    </w:p>
    <w:p>
      <w:pPr>
        <w:ind w:firstLine="480"/>
      </w:pPr>
      <w:r>
        <w:rPr>
          <w:rFonts w:hint="eastAsia"/>
        </w:rPr>
        <w:t>1  主控项目的质量经抽样</w:t>
      </w:r>
      <w:r>
        <w:rPr>
          <w:rFonts w:hint="eastAsia"/>
          <w:lang w:val="en-US" w:eastAsia="zh-CN"/>
        </w:rPr>
        <w:t>应全部</w:t>
      </w:r>
      <w:r>
        <w:rPr>
          <w:rFonts w:hint="eastAsia"/>
        </w:rPr>
        <w:t>检验合格；</w:t>
      </w:r>
    </w:p>
    <w:p>
      <w:pPr>
        <w:ind w:firstLine="480"/>
      </w:pPr>
      <w:r>
        <w:rPr>
          <w:rFonts w:hint="eastAsia"/>
        </w:rPr>
        <w:t>2  一般项目中的实测(允许偏差)项目抽样检验的合格率应达到80％，且超差点的最大偏差值应在允许偏差值的1.5倍范围内；</w:t>
      </w:r>
    </w:p>
    <w:p>
      <w:pPr>
        <w:ind w:firstLine="480"/>
      </w:pPr>
      <w:r>
        <w:rPr>
          <w:rFonts w:hint="eastAsia"/>
        </w:rPr>
        <w:t>3  主要工程材料的进场验收和复验合格，试块、试件检验合格；</w:t>
      </w:r>
    </w:p>
    <w:p>
      <w:pPr>
        <w:ind w:firstLine="480"/>
      </w:pPr>
      <w:r>
        <w:rPr>
          <w:rFonts w:hint="eastAsia"/>
        </w:rPr>
        <w:t>4  主要工程材料的质量保证资料以及相关试验检测资料齐全、正确；具有完整的施工操作依据和质量检查记录。</w:t>
      </w:r>
    </w:p>
    <w:p>
      <w:r>
        <w:rPr>
          <w:b/>
        </w:rPr>
        <w:t>1</w:t>
      </w:r>
      <w:r>
        <w:rPr>
          <w:rFonts w:hint="eastAsia"/>
          <w:b/>
          <w:lang w:val="en-US" w:eastAsia="zh-CN"/>
        </w:rPr>
        <w:t>1</w:t>
      </w:r>
      <w:r>
        <w:rPr>
          <w:b/>
        </w:rPr>
        <w:t xml:space="preserve">.0.5  </w:t>
      </w:r>
      <w:r>
        <w:rPr>
          <w:rFonts w:hint="eastAsia"/>
        </w:rPr>
        <w:t>分项工程质量验收合格应符合下列规定：</w:t>
      </w:r>
    </w:p>
    <w:p>
      <w:pPr>
        <w:ind w:firstLine="480"/>
      </w:pPr>
      <w:r>
        <w:rPr>
          <w:rFonts w:hint="eastAsia"/>
        </w:rPr>
        <w:t>1  分项工程所含的验收批质量验收</w:t>
      </w:r>
      <w:r>
        <w:rPr>
          <w:rFonts w:hint="eastAsia"/>
          <w:lang w:val="en-US" w:eastAsia="zh-CN"/>
        </w:rPr>
        <w:t>应</w:t>
      </w:r>
      <w:r>
        <w:rPr>
          <w:rFonts w:hint="eastAsia"/>
        </w:rPr>
        <w:t>全部合格；</w:t>
      </w:r>
    </w:p>
    <w:p>
      <w:pPr>
        <w:ind w:firstLine="480"/>
      </w:pPr>
      <w:r>
        <w:rPr>
          <w:rFonts w:hint="eastAsia"/>
        </w:rPr>
        <w:t>2  分项工程所含的验收批的质量验收记录应完整、正确；有关质量保证资料和试验检测资料应齐全、正确。</w:t>
      </w:r>
    </w:p>
    <w:p>
      <w:r>
        <w:rPr>
          <w:b/>
        </w:rPr>
        <w:t>1</w:t>
      </w:r>
      <w:r>
        <w:rPr>
          <w:rFonts w:hint="eastAsia"/>
          <w:b/>
          <w:lang w:val="en-US" w:eastAsia="zh-CN"/>
        </w:rPr>
        <w:t>1</w:t>
      </w:r>
      <w:r>
        <w:rPr>
          <w:b/>
        </w:rPr>
        <w:t>.0.6</w:t>
      </w:r>
      <w:r>
        <w:t xml:space="preserve">  </w:t>
      </w:r>
      <w:r>
        <w:rPr>
          <w:rFonts w:hint="eastAsia"/>
        </w:rPr>
        <w:t>分部(子分部)工程质量验收合格应符合下列规定：</w:t>
      </w:r>
    </w:p>
    <w:p>
      <w:pPr>
        <w:ind w:firstLine="480"/>
      </w:pPr>
      <w:r>
        <w:rPr>
          <w:rFonts w:hint="eastAsia"/>
        </w:rPr>
        <w:t>1  分部(子分部)工程所含分项工程的质量验收全部合格；</w:t>
      </w:r>
    </w:p>
    <w:p>
      <w:pPr>
        <w:ind w:firstLine="480"/>
      </w:pPr>
      <w:r>
        <w:rPr>
          <w:rFonts w:hint="eastAsia"/>
        </w:rPr>
        <w:t>2  质量控制资料应完整；</w:t>
      </w:r>
    </w:p>
    <w:p>
      <w:pPr>
        <w:ind w:firstLine="480"/>
      </w:pPr>
      <w:r>
        <w:rPr>
          <w:rFonts w:hint="eastAsia"/>
        </w:rPr>
        <w:t>3  分部(子分部)工程中，</w:t>
      </w:r>
      <w:r>
        <w:rPr>
          <w:rFonts w:hint="eastAsia"/>
          <w:lang w:val="en-US" w:eastAsia="zh-CN"/>
        </w:rPr>
        <w:t>有关安全、节能、环境保护和主要使用功能</w:t>
      </w:r>
      <w:r>
        <w:rPr>
          <w:rFonts w:hint="eastAsia"/>
        </w:rPr>
        <w:t>的检验和抽样检测结果应符合本</w:t>
      </w:r>
      <w:r>
        <w:rPr>
          <w:rFonts w:hint="eastAsia"/>
          <w:lang w:eastAsia="zh-CN"/>
        </w:rPr>
        <w:t>标准</w:t>
      </w:r>
      <w:r>
        <w:rPr>
          <w:rFonts w:hint="eastAsia"/>
        </w:rPr>
        <w:t>的有关规定；</w:t>
      </w:r>
    </w:p>
    <w:p>
      <w:pPr>
        <w:ind w:firstLine="480"/>
      </w:pPr>
      <w:r>
        <w:rPr>
          <w:rFonts w:hint="eastAsia"/>
        </w:rPr>
        <w:t>4  外观质量验收应满足要求。</w:t>
      </w:r>
    </w:p>
    <w:p>
      <w:r>
        <w:rPr>
          <w:b/>
        </w:rPr>
        <w:t>1</w:t>
      </w:r>
      <w:r>
        <w:rPr>
          <w:rFonts w:hint="eastAsia"/>
          <w:b/>
          <w:lang w:val="en-US" w:eastAsia="zh-CN"/>
        </w:rPr>
        <w:t>1</w:t>
      </w:r>
      <w:r>
        <w:rPr>
          <w:b/>
        </w:rPr>
        <w:t xml:space="preserve">.0.7  </w:t>
      </w:r>
      <w:r>
        <w:rPr>
          <w:rFonts w:hint="eastAsia"/>
        </w:rPr>
        <w:t>单位(子单位)工程质量验收合格应符合下列规定：</w:t>
      </w:r>
    </w:p>
    <w:p>
      <w:pPr>
        <w:ind w:firstLine="480"/>
      </w:pPr>
      <w:r>
        <w:rPr>
          <w:rFonts w:hint="eastAsia"/>
        </w:rPr>
        <w:t>1  单位(子单位)工程所含分部(子分部)工程的质量验收全部合格；</w:t>
      </w:r>
    </w:p>
    <w:p>
      <w:pPr>
        <w:ind w:firstLine="480"/>
      </w:pPr>
      <w:r>
        <w:rPr>
          <w:rFonts w:hint="eastAsia"/>
        </w:rPr>
        <w:t>2  质量控制资料应完整；</w:t>
      </w:r>
    </w:p>
    <w:p>
      <w:pPr>
        <w:ind w:firstLine="480"/>
      </w:pPr>
      <w:r>
        <w:rPr>
          <w:rFonts w:hint="eastAsia"/>
        </w:rPr>
        <w:t>3  单位(子单位)工程所含分部(子分部)工程有关安全及</w:t>
      </w:r>
      <w:r>
        <w:rPr>
          <w:rFonts w:hint="eastAsia"/>
          <w:lang w:val="en-US" w:eastAsia="zh-CN"/>
        </w:rPr>
        <w:t>主要</w:t>
      </w:r>
      <w:r>
        <w:rPr>
          <w:rFonts w:hint="eastAsia"/>
        </w:rPr>
        <w:t>使用功能的检测资料应完整；</w:t>
      </w:r>
    </w:p>
    <w:p>
      <w:pPr>
        <w:ind w:firstLine="480"/>
      </w:pPr>
      <w:r>
        <w:rPr>
          <w:rFonts w:hint="eastAsia"/>
        </w:rPr>
        <w:t>4  涉及</w:t>
      </w:r>
      <w:r>
        <w:rPr>
          <w:rFonts w:hint="eastAsia"/>
          <w:lang w:val="en-US" w:eastAsia="zh-CN"/>
        </w:rPr>
        <w:t>主要</w:t>
      </w:r>
      <w:r>
        <w:rPr>
          <w:rFonts w:hint="eastAsia"/>
        </w:rPr>
        <w:t>使用功能试验应符合</w:t>
      </w:r>
      <w:r>
        <w:rPr>
          <w:rFonts w:hint="eastAsia"/>
          <w:lang w:val="en-US" w:eastAsia="zh-CN"/>
        </w:rPr>
        <w:t>相关</w:t>
      </w:r>
      <w:r>
        <w:rPr>
          <w:rFonts w:hint="eastAsia"/>
        </w:rPr>
        <w:t>规定；</w:t>
      </w:r>
    </w:p>
    <w:p>
      <w:pPr>
        <w:ind w:firstLine="480"/>
      </w:pPr>
      <w:r>
        <w:rPr>
          <w:rFonts w:hint="eastAsia"/>
        </w:rPr>
        <w:t>5  外观质量验收应符合要求。</w:t>
      </w:r>
    </w:p>
    <w:p>
      <w:r>
        <w:rPr>
          <w:b/>
        </w:rPr>
        <w:t>1</w:t>
      </w:r>
      <w:r>
        <w:rPr>
          <w:rFonts w:hint="eastAsia"/>
          <w:b/>
          <w:lang w:val="en-US" w:eastAsia="zh-CN"/>
        </w:rPr>
        <w:t>1</w:t>
      </w:r>
      <w:r>
        <w:rPr>
          <w:b/>
        </w:rPr>
        <w:t xml:space="preserve">.0.8  </w:t>
      </w:r>
      <w:r>
        <w:rPr>
          <w:rFonts w:hint="eastAsia"/>
        </w:rPr>
        <w:t>工程质量验收不合格时，应按下列规定处理：</w:t>
      </w:r>
    </w:p>
    <w:p>
      <w:pPr>
        <w:ind w:firstLine="480"/>
      </w:pPr>
      <w:r>
        <w:rPr>
          <w:rFonts w:hint="eastAsia"/>
        </w:rPr>
        <w:t>1  经返工重做的验收批，应重新进行验收；</w:t>
      </w:r>
    </w:p>
    <w:p>
      <w:pPr>
        <w:ind w:firstLine="480"/>
      </w:pPr>
      <w:r>
        <w:rPr>
          <w:rFonts w:hint="eastAsia"/>
        </w:rPr>
        <w:t>2  经有相应资质的检测单位检测鉴定能够达到设计要求的验收批，应予以验收；</w:t>
      </w:r>
    </w:p>
    <w:p>
      <w:pPr>
        <w:ind w:firstLine="480"/>
      </w:pPr>
      <w:r>
        <w:rPr>
          <w:rFonts w:hint="eastAsia"/>
        </w:rPr>
        <w:t>3  经有相应资质的检测单位检测鉴定达不到设计要求，但经原设计单位验算认可，能够满足结构安全和使用功能要求的验收批，可予以验收；</w:t>
      </w:r>
    </w:p>
    <w:p>
      <w:pPr>
        <w:ind w:firstLine="480"/>
      </w:pPr>
      <w:r>
        <w:rPr>
          <w:rFonts w:hint="eastAsia"/>
        </w:rPr>
        <w:t>4  经返修或加固处理的分项工程、分部(子分部)工程，改变外形尺寸但仍能满足结构安全和使用功能要求，可按技术处理方案文件和协商文件进行验收。</w:t>
      </w:r>
    </w:p>
    <w:p>
      <w:r>
        <w:rPr>
          <w:b/>
        </w:rPr>
        <w:t>1</w:t>
      </w:r>
      <w:r>
        <w:rPr>
          <w:rFonts w:hint="eastAsia"/>
          <w:b/>
          <w:lang w:val="en-US" w:eastAsia="zh-CN"/>
        </w:rPr>
        <w:t>1</w:t>
      </w:r>
      <w:r>
        <w:rPr>
          <w:b/>
        </w:rPr>
        <w:t xml:space="preserve">.0.9  </w:t>
      </w:r>
      <w:r>
        <w:rPr>
          <w:rFonts w:hint="eastAsia"/>
        </w:rPr>
        <w:t>通过返修或加固处理仍不能满足结构安全或使用功能要求的分部(子分部)工程、单位(子单位)工程，</w:t>
      </w:r>
      <w:r>
        <w:rPr>
          <w:rFonts w:hint="eastAsia"/>
          <w:lang w:eastAsia="zh-CN"/>
        </w:rPr>
        <w:t>不得</w:t>
      </w:r>
      <w:r>
        <w:rPr>
          <w:rFonts w:hint="eastAsia"/>
        </w:rPr>
        <w:t>验收。</w:t>
      </w:r>
    </w:p>
    <w:p>
      <w:r>
        <w:rPr>
          <w:b/>
        </w:rPr>
        <w:t>1</w:t>
      </w:r>
      <w:r>
        <w:rPr>
          <w:rFonts w:hint="eastAsia"/>
          <w:b/>
          <w:lang w:val="en-US" w:eastAsia="zh-CN"/>
        </w:rPr>
        <w:t>1</w:t>
      </w:r>
      <w:r>
        <w:rPr>
          <w:b/>
        </w:rPr>
        <w:t>.0.10</w:t>
      </w:r>
      <w:r>
        <w:t xml:space="preserve">  </w:t>
      </w:r>
      <w:r>
        <w:rPr>
          <w:rFonts w:hint="eastAsia"/>
        </w:rPr>
        <w:t>验收批及分项工程应由专业监理工程师组织施工项目的技术负责人(专业质量检查员)等进行验收。</w:t>
      </w:r>
    </w:p>
    <w:p>
      <w:r>
        <w:rPr>
          <w:b/>
        </w:rPr>
        <w:t>1</w:t>
      </w:r>
      <w:r>
        <w:rPr>
          <w:rFonts w:hint="eastAsia"/>
          <w:b/>
          <w:lang w:val="en-US" w:eastAsia="zh-CN"/>
        </w:rPr>
        <w:t>1</w:t>
      </w:r>
      <w:r>
        <w:rPr>
          <w:b/>
        </w:rPr>
        <w:t xml:space="preserve">.0.11  </w:t>
      </w:r>
      <w:r>
        <w:rPr>
          <w:rFonts w:hint="eastAsia"/>
        </w:rPr>
        <w:t>分部（子分部）工程应由总监理工程师组织施工</w:t>
      </w:r>
      <w:r>
        <w:rPr>
          <w:rFonts w:hint="eastAsia"/>
          <w:lang w:eastAsia="zh-CN"/>
        </w:rPr>
        <w:t>单位</w:t>
      </w:r>
      <w:r>
        <w:rPr>
          <w:rFonts w:hint="eastAsia"/>
        </w:rPr>
        <w:t>项目负责人和项目技术负责人等进行验收。</w:t>
      </w:r>
    </w:p>
    <w:p>
      <w:pPr>
        <w:rPr>
          <w:rFonts w:hint="eastAsia"/>
        </w:rPr>
      </w:pPr>
      <w:r>
        <w:rPr>
          <w:b/>
        </w:rPr>
        <w:t>1</w:t>
      </w:r>
      <w:r>
        <w:rPr>
          <w:rFonts w:hint="eastAsia"/>
          <w:b/>
          <w:lang w:val="en-US" w:eastAsia="zh-CN"/>
        </w:rPr>
        <w:t>1</w:t>
      </w:r>
      <w:r>
        <w:rPr>
          <w:b/>
        </w:rPr>
        <w:t xml:space="preserve">.0.12 </w:t>
      </w:r>
      <w:r>
        <w:t xml:space="preserve"> </w:t>
      </w:r>
      <w:r>
        <w:rPr>
          <w:rFonts w:hint="eastAsia"/>
        </w:rPr>
        <w:t>单位工程完工后，施工单位应组织有关人员进行自检。总监理工程师应组织各专业监理工程师对工程质量进行竣工预验收。存在施工质量问题时，应由施工单位整改。整改完毕后，由施工单位向建设单位提交工程竣工报告，申请工程竣工验收。</w:t>
      </w:r>
    </w:p>
    <w:p>
      <w:r>
        <w:rPr>
          <w:rFonts w:hint="eastAsia"/>
          <w:b/>
          <w:bCs/>
          <w:lang w:val="en-US" w:eastAsia="zh-CN"/>
        </w:rPr>
        <w:t>11.0.</w:t>
      </w:r>
      <w:r>
        <w:rPr>
          <w:rFonts w:hint="eastAsia"/>
          <w:b/>
          <w:bCs/>
          <w:highlight w:val="none"/>
          <w:lang w:val="en-US" w:eastAsia="zh-CN"/>
        </w:rPr>
        <w:t>13</w:t>
      </w:r>
      <w:r>
        <w:rPr>
          <w:rFonts w:hint="eastAsia"/>
          <w:b/>
          <w:bCs/>
          <w:lang w:val="en-US" w:eastAsia="zh-CN"/>
        </w:rPr>
        <w:t xml:space="preserve"> </w:t>
      </w:r>
      <w:r>
        <w:rPr>
          <w:rFonts w:hint="eastAsia"/>
          <w:lang w:val="en-US" w:eastAsia="zh-CN"/>
        </w:rPr>
        <w:t xml:space="preserve"> </w:t>
      </w:r>
      <w:r>
        <w:rPr>
          <w:rFonts w:hint="eastAsia"/>
        </w:rPr>
        <w:t>单位工程有分包单位施工时，分包单位对所承包的工程应按本</w:t>
      </w:r>
      <w:r>
        <w:rPr>
          <w:rFonts w:hint="eastAsia"/>
          <w:lang w:eastAsia="zh-CN"/>
        </w:rPr>
        <w:t>标准</w:t>
      </w:r>
      <w:r>
        <w:rPr>
          <w:rFonts w:hint="eastAsia"/>
        </w:rPr>
        <w:t>的规定进行验收，验收时总承包单位应派人参加；分包工程完成后，应及时地将有关资料移交总承包单位。</w:t>
      </w:r>
    </w:p>
    <w:p>
      <w:r>
        <w:rPr>
          <w:b/>
        </w:rPr>
        <w:t>1</w:t>
      </w:r>
      <w:r>
        <w:rPr>
          <w:rFonts w:hint="eastAsia"/>
          <w:b/>
          <w:lang w:val="en-US" w:eastAsia="zh-CN"/>
        </w:rPr>
        <w:t>1</w:t>
      </w:r>
      <w:r>
        <w:rPr>
          <w:b/>
        </w:rPr>
        <w:t>.0.1</w:t>
      </w:r>
      <w:r>
        <w:rPr>
          <w:rFonts w:hint="eastAsia"/>
          <w:b/>
          <w:lang w:val="en-US" w:eastAsia="zh-CN"/>
        </w:rPr>
        <w:t>4</w:t>
      </w:r>
      <w:r>
        <w:rPr>
          <w:b/>
        </w:rPr>
        <w:t xml:space="preserve"> </w:t>
      </w:r>
      <w:r>
        <w:t xml:space="preserve"> </w:t>
      </w:r>
      <w:r>
        <w:rPr>
          <w:rFonts w:hint="eastAsia"/>
        </w:rPr>
        <w:t>对符合竣工验收条件的单位工程，应由建设单位按规定组织验收。施工、勘察、设计、监理等单位等有关负责人以及该工程的管理或使用单位有关人员应参加验收。</w:t>
      </w:r>
    </w:p>
    <w:p>
      <w:r>
        <w:rPr>
          <w:b/>
        </w:rPr>
        <w:t>1</w:t>
      </w:r>
      <w:r>
        <w:rPr>
          <w:rFonts w:hint="eastAsia"/>
          <w:b/>
          <w:lang w:val="en-US" w:eastAsia="zh-CN"/>
        </w:rPr>
        <w:t>1</w:t>
      </w:r>
      <w:r>
        <w:rPr>
          <w:b/>
        </w:rPr>
        <w:t>.0.1</w:t>
      </w:r>
      <w:r>
        <w:rPr>
          <w:rFonts w:hint="eastAsia"/>
          <w:b/>
          <w:lang w:val="en-US" w:eastAsia="zh-CN"/>
        </w:rPr>
        <w:t>5</w:t>
      </w:r>
      <w:r>
        <w:rPr>
          <w:b/>
        </w:rPr>
        <w:t xml:space="preserve"> </w:t>
      </w:r>
      <w:r>
        <w:t xml:space="preserve"> </w:t>
      </w:r>
      <w:r>
        <w:rPr>
          <w:rFonts w:hint="eastAsia"/>
        </w:rPr>
        <w:t>参加验收各方对工程质量验收意见不一致时，可由工程所在地建设行政主管部门或工程质量监督机构协调解决。</w:t>
      </w:r>
    </w:p>
    <w:p>
      <w:r>
        <w:rPr>
          <w:b/>
        </w:rPr>
        <w:t>1</w:t>
      </w:r>
      <w:r>
        <w:rPr>
          <w:rFonts w:hint="eastAsia"/>
          <w:b/>
          <w:lang w:val="en-US" w:eastAsia="zh-CN"/>
        </w:rPr>
        <w:t>1</w:t>
      </w:r>
      <w:r>
        <w:rPr>
          <w:b/>
        </w:rPr>
        <w:t>.0.1</w:t>
      </w:r>
      <w:r>
        <w:rPr>
          <w:rFonts w:hint="eastAsia"/>
          <w:b/>
          <w:lang w:val="en-US" w:eastAsia="zh-CN"/>
        </w:rPr>
        <w:t>6</w:t>
      </w:r>
      <w:r>
        <w:rPr>
          <w:b/>
        </w:rPr>
        <w:t xml:space="preserve">  </w:t>
      </w:r>
      <w:r>
        <w:rPr>
          <w:rFonts w:hint="eastAsia"/>
        </w:rPr>
        <w:t>单位工程质量验收合格后，建设单位应按规定将竣工验收报告和有关文件，报工程所在地建设行政主管部门备案。</w:t>
      </w:r>
    </w:p>
    <w:p>
      <w:r>
        <w:rPr>
          <w:b/>
        </w:rPr>
        <w:t>1</w:t>
      </w:r>
      <w:r>
        <w:rPr>
          <w:rFonts w:hint="eastAsia"/>
          <w:b/>
          <w:lang w:val="en-US" w:eastAsia="zh-CN"/>
        </w:rPr>
        <w:t>1</w:t>
      </w:r>
      <w:r>
        <w:rPr>
          <w:b/>
        </w:rPr>
        <w:t>.0.1</w:t>
      </w:r>
      <w:r>
        <w:rPr>
          <w:rFonts w:hint="eastAsia"/>
          <w:b/>
          <w:lang w:val="en-US" w:eastAsia="zh-CN"/>
        </w:rPr>
        <w:t>7</w:t>
      </w:r>
      <w:r>
        <w:rPr>
          <w:b/>
        </w:rPr>
        <w:t xml:space="preserve">  </w:t>
      </w:r>
      <w:r>
        <w:rPr>
          <w:rFonts w:hint="eastAsia"/>
        </w:rPr>
        <w:t>工程竣工验收后，建设单位应将有关文件和技术资料归档。</w:t>
      </w:r>
    </w:p>
    <w:p>
      <w:r>
        <w:rPr>
          <w:b/>
        </w:rPr>
        <w:t>1</w:t>
      </w:r>
      <w:r>
        <w:rPr>
          <w:rFonts w:hint="eastAsia"/>
          <w:b/>
          <w:lang w:val="en-US" w:eastAsia="zh-CN"/>
        </w:rPr>
        <w:t>1</w:t>
      </w:r>
      <w:r>
        <w:rPr>
          <w:b/>
        </w:rPr>
        <w:t>.0.1</w:t>
      </w:r>
      <w:r>
        <w:rPr>
          <w:rFonts w:hint="eastAsia"/>
          <w:b/>
          <w:lang w:val="en-US" w:eastAsia="zh-CN"/>
        </w:rPr>
        <w:t>8</w:t>
      </w:r>
      <w:r>
        <w:rPr>
          <w:b/>
        </w:rPr>
        <w:t xml:space="preserve">  </w:t>
      </w:r>
      <w:r>
        <w:rPr>
          <w:rFonts w:hint="eastAsia"/>
        </w:rPr>
        <w:t>工程应经过竣工验收合格后，方可投入使用。</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2"/>
      </w:pPr>
      <w:bookmarkStart w:id="439" w:name="_Toc21560_WPSOffice_Level1"/>
      <w:bookmarkStart w:id="440" w:name="_Toc22800"/>
      <w:bookmarkStart w:id="441" w:name="_Toc20125"/>
      <w:bookmarkStart w:id="442" w:name="_Toc23844"/>
      <w:bookmarkStart w:id="443" w:name="_Toc22650"/>
      <w:bookmarkStart w:id="444" w:name="_Toc20375"/>
      <w:bookmarkStart w:id="445" w:name="_Toc25338"/>
      <w:bookmarkStart w:id="446" w:name="_Toc24181"/>
      <w:bookmarkStart w:id="447" w:name="_Toc29567"/>
      <w:bookmarkStart w:id="448" w:name="_Toc14519"/>
      <w:bookmarkStart w:id="449" w:name="_Toc15920"/>
      <w:bookmarkStart w:id="450" w:name="_Toc17467"/>
      <w:bookmarkStart w:id="451" w:name="_Toc10164"/>
      <w:bookmarkStart w:id="452" w:name="_Toc30177621"/>
      <w:bookmarkStart w:id="453" w:name="_Toc35004232"/>
      <w:bookmarkStart w:id="454" w:name="_Toc456112626"/>
      <w:bookmarkStart w:id="455" w:name="_Toc34312171"/>
      <w:bookmarkStart w:id="456" w:name="_Toc31819"/>
      <w:bookmarkStart w:id="457" w:name="_Toc513828361"/>
      <w:bookmarkStart w:id="458" w:name="_Toc31927"/>
      <w:bookmarkStart w:id="459" w:name="_Toc513828269"/>
      <w:bookmarkStart w:id="460" w:name="_Toc8710"/>
      <w:bookmarkStart w:id="461" w:name="_Toc10788"/>
      <w:bookmarkStart w:id="462" w:name="_Toc35004565"/>
      <w:bookmarkStart w:id="463" w:name="_Toc406004327"/>
      <w:bookmarkStart w:id="464" w:name="_Toc21110"/>
      <w:bookmarkStart w:id="465" w:name="_Toc30897"/>
      <w:bookmarkStart w:id="466" w:name="_Toc25011"/>
      <w:r>
        <w:t>附录A</w:t>
      </w:r>
      <w:r>
        <w:rPr>
          <w:rFonts w:hint="eastAsia"/>
        </w:rPr>
        <w:t xml:space="preserve"> </w:t>
      </w:r>
      <w:r>
        <w:t xml:space="preserve"> 综合管廊分部、分项工程</w:t>
      </w:r>
      <w:r>
        <w:rPr>
          <w:rFonts w:hint="eastAsia"/>
        </w:rPr>
        <w:t>和检验批</w:t>
      </w:r>
      <w:r>
        <w:t>划分表</w:t>
      </w:r>
      <w:bookmarkEnd w:id="439"/>
      <w:bookmarkEnd w:id="440"/>
      <w:bookmarkEnd w:id="441"/>
      <w:bookmarkEnd w:id="442"/>
      <w:bookmarkEnd w:id="443"/>
      <w:bookmarkEnd w:id="444"/>
      <w:bookmarkEnd w:id="445"/>
      <w:bookmarkEnd w:id="446"/>
      <w:bookmarkEnd w:id="447"/>
      <w:bookmarkEnd w:id="448"/>
      <w:bookmarkEnd w:id="449"/>
      <w:bookmarkEnd w:id="450"/>
      <w:bookmarkEnd w:id="451"/>
    </w:p>
    <w:tbl>
      <w:tblPr>
        <w:tblStyle w:val="39"/>
        <w:tblpPr w:leftFromText="180" w:rightFromText="180" w:vertAnchor="text" w:horzAnchor="page" w:tblpX="1658" w:tblpY="474"/>
        <w:tblOverlap w:val="never"/>
        <w:tblW w:w="878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7" w:type="dxa"/>
          <w:bottom w:w="0" w:type="dxa"/>
          <w:right w:w="17" w:type="dxa"/>
        </w:tblCellMar>
      </w:tblPr>
      <w:tblGrid>
        <w:gridCol w:w="439"/>
        <w:gridCol w:w="791"/>
        <w:gridCol w:w="846"/>
        <w:gridCol w:w="941"/>
        <w:gridCol w:w="4104"/>
        <w:gridCol w:w="16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Align w:val="center"/>
          </w:tcPr>
          <w:p>
            <w:pPr>
              <w:pStyle w:val="92"/>
            </w:pPr>
            <w:bookmarkStart w:id="467" w:name="_Toc9705_WPSOffice_Level2"/>
            <w:r>
              <w:rPr>
                <w:rFonts w:hint="eastAsia"/>
              </w:rPr>
              <w:t>单位工程</w:t>
            </w:r>
          </w:p>
        </w:tc>
        <w:tc>
          <w:tcPr>
            <w:tcW w:w="791" w:type="dxa"/>
            <w:vAlign w:val="center"/>
          </w:tcPr>
          <w:p>
            <w:pPr>
              <w:pStyle w:val="92"/>
            </w:pPr>
            <w:r>
              <w:rPr>
                <w:rFonts w:hint="eastAsia"/>
              </w:rPr>
              <w:t>子</w:t>
            </w:r>
            <w:r>
              <w:t>单位工程</w:t>
            </w:r>
          </w:p>
        </w:tc>
        <w:tc>
          <w:tcPr>
            <w:tcW w:w="846" w:type="dxa"/>
            <w:vAlign w:val="center"/>
          </w:tcPr>
          <w:p>
            <w:pPr>
              <w:pStyle w:val="92"/>
            </w:pPr>
            <w:r>
              <w:t>分部工程</w:t>
            </w:r>
          </w:p>
        </w:tc>
        <w:tc>
          <w:tcPr>
            <w:tcW w:w="941" w:type="dxa"/>
            <w:vAlign w:val="center"/>
          </w:tcPr>
          <w:p>
            <w:pPr>
              <w:pStyle w:val="92"/>
            </w:pPr>
            <w:r>
              <w:t>子分部工程</w:t>
            </w:r>
          </w:p>
        </w:tc>
        <w:tc>
          <w:tcPr>
            <w:tcW w:w="4104" w:type="dxa"/>
            <w:vAlign w:val="center"/>
          </w:tcPr>
          <w:p>
            <w:pPr>
              <w:pStyle w:val="92"/>
            </w:pPr>
            <w:r>
              <w:t>分项工程</w:t>
            </w:r>
          </w:p>
        </w:tc>
        <w:tc>
          <w:tcPr>
            <w:tcW w:w="1663" w:type="dxa"/>
            <w:vAlign w:val="center"/>
          </w:tcPr>
          <w:p>
            <w:pPr>
              <w:pStyle w:val="92"/>
            </w:pPr>
            <w:r>
              <w:t>检验批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restart"/>
            <w:vAlign w:val="center"/>
          </w:tcPr>
          <w:p>
            <w:pPr>
              <w:pStyle w:val="92"/>
            </w:pPr>
            <w:r>
              <w:rPr>
                <w:rFonts w:hint="eastAsia"/>
              </w:rPr>
              <w:t>综合管廊工程</w:t>
            </w:r>
          </w:p>
        </w:tc>
        <w:tc>
          <w:tcPr>
            <w:tcW w:w="791" w:type="dxa"/>
            <w:vMerge w:val="restart"/>
            <w:vAlign w:val="center"/>
          </w:tcPr>
          <w:p>
            <w:pPr>
              <w:pStyle w:val="92"/>
            </w:pPr>
            <w:r>
              <w:rPr>
                <w:rFonts w:hint="eastAsia"/>
              </w:rPr>
              <w:t>土建结构</w:t>
            </w:r>
          </w:p>
        </w:tc>
        <w:tc>
          <w:tcPr>
            <w:tcW w:w="846" w:type="dxa"/>
            <w:vMerge w:val="restart"/>
            <w:vAlign w:val="center"/>
          </w:tcPr>
          <w:p>
            <w:pPr>
              <w:pStyle w:val="92"/>
            </w:pPr>
            <w:r>
              <w:t>地基与基础</w:t>
            </w:r>
          </w:p>
        </w:tc>
        <w:tc>
          <w:tcPr>
            <w:tcW w:w="941" w:type="dxa"/>
            <w:vAlign w:val="center"/>
          </w:tcPr>
          <w:p>
            <w:pPr>
              <w:pStyle w:val="92"/>
            </w:pPr>
            <w:r>
              <w:rPr>
                <w:rFonts w:hint="eastAsia"/>
              </w:rPr>
              <w:t>基坑支护</w:t>
            </w:r>
          </w:p>
        </w:tc>
        <w:tc>
          <w:tcPr>
            <w:tcW w:w="4104" w:type="dxa"/>
            <w:vAlign w:val="center"/>
          </w:tcPr>
          <w:p>
            <w:pPr>
              <w:pStyle w:val="92"/>
            </w:pPr>
            <w:r>
              <w:rPr>
                <w:rFonts w:hint="eastAsia"/>
              </w:rPr>
              <w:t>灌注桩排桩围护墙，板桩围护墙，咬合桩围护墙，型钢水泥土搅拌墙，土钉墙，水泥土重力式挡墙，内支撑，锚杆（索）</w:t>
            </w:r>
          </w:p>
        </w:tc>
        <w:tc>
          <w:tcPr>
            <w:tcW w:w="1663" w:type="dxa"/>
            <w:vMerge w:val="restart"/>
            <w:vAlign w:val="center"/>
          </w:tcPr>
          <w:p>
            <w:pPr>
              <w:pStyle w:val="92"/>
            </w:pPr>
            <w:r>
              <w:rPr>
                <w:rFonts w:hint="eastAsia"/>
              </w:rPr>
              <w:t>按施工段</w:t>
            </w:r>
          </w:p>
          <w:p>
            <w:pPr>
              <w:pStyle w:val="92"/>
            </w:pPr>
            <w:r>
              <w:rPr>
                <w:rFonts w:hint="eastAsia"/>
              </w:rPr>
              <w:t>（≤200m）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continue"/>
            <w:vAlign w:val="center"/>
          </w:tcPr>
          <w:p>
            <w:pPr>
              <w:pStyle w:val="92"/>
            </w:pPr>
          </w:p>
        </w:tc>
        <w:tc>
          <w:tcPr>
            <w:tcW w:w="941" w:type="dxa"/>
            <w:vAlign w:val="center"/>
          </w:tcPr>
          <w:p>
            <w:pPr>
              <w:pStyle w:val="92"/>
            </w:pPr>
            <w:r>
              <w:t>土方工程</w:t>
            </w:r>
          </w:p>
        </w:tc>
        <w:tc>
          <w:tcPr>
            <w:tcW w:w="4104" w:type="dxa"/>
            <w:vAlign w:val="center"/>
          </w:tcPr>
          <w:p>
            <w:pPr>
              <w:pStyle w:val="92"/>
            </w:pPr>
            <w:r>
              <w:t>土方开挖、土方回填</w:t>
            </w:r>
          </w:p>
        </w:tc>
        <w:tc>
          <w:tcPr>
            <w:tcW w:w="1663" w:type="dxa"/>
            <w:vMerge w:val="continue"/>
            <w:vAlign w:val="center"/>
          </w:tcPr>
          <w:p>
            <w:pPr>
              <w:pStyle w:val="92"/>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continue"/>
            <w:vAlign w:val="center"/>
          </w:tcPr>
          <w:p>
            <w:pPr>
              <w:pStyle w:val="92"/>
            </w:pPr>
          </w:p>
        </w:tc>
        <w:tc>
          <w:tcPr>
            <w:tcW w:w="941" w:type="dxa"/>
            <w:vAlign w:val="center"/>
          </w:tcPr>
          <w:p>
            <w:pPr>
              <w:pStyle w:val="92"/>
            </w:pPr>
            <w:r>
              <w:rPr>
                <w:rFonts w:hint="eastAsia"/>
              </w:rPr>
              <w:t>地基处理</w:t>
            </w:r>
          </w:p>
        </w:tc>
        <w:tc>
          <w:tcPr>
            <w:tcW w:w="4104" w:type="dxa"/>
            <w:vAlign w:val="center"/>
          </w:tcPr>
          <w:p>
            <w:pPr>
              <w:pStyle w:val="92"/>
            </w:pPr>
            <w:r>
              <w:rPr>
                <w:rFonts w:hint="eastAsia"/>
              </w:rPr>
              <w:t>砂和砂石地基，水泥土搅拌桩地基，注浆地基，水泥粉煤灰碎石桩地基</w:t>
            </w:r>
            <w:r>
              <w:t xml:space="preserve"> </w:t>
            </w:r>
          </w:p>
        </w:tc>
        <w:tc>
          <w:tcPr>
            <w:tcW w:w="1663" w:type="dxa"/>
            <w:vMerge w:val="continue"/>
            <w:vAlign w:val="center"/>
          </w:tcPr>
          <w:p>
            <w:pPr>
              <w:pStyle w:val="92"/>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restart"/>
            <w:vAlign w:val="center"/>
          </w:tcPr>
          <w:p>
            <w:pPr>
              <w:pStyle w:val="92"/>
            </w:pPr>
            <w:r>
              <w:rPr>
                <w:rFonts w:hint="eastAsia"/>
              </w:rPr>
              <w:t>节段预制管廊</w:t>
            </w:r>
          </w:p>
          <w:p>
            <w:pPr>
              <w:pStyle w:val="92"/>
            </w:pPr>
            <w:r>
              <w:t>主体结构</w:t>
            </w:r>
          </w:p>
        </w:tc>
        <w:tc>
          <w:tcPr>
            <w:tcW w:w="941" w:type="dxa"/>
            <w:vAlign w:val="center"/>
          </w:tcPr>
          <w:p>
            <w:pPr>
              <w:pStyle w:val="92"/>
            </w:pPr>
            <w:r>
              <w:t>预制</w:t>
            </w:r>
          </w:p>
        </w:tc>
        <w:tc>
          <w:tcPr>
            <w:tcW w:w="4104" w:type="dxa"/>
            <w:vAlign w:val="center"/>
          </w:tcPr>
          <w:p>
            <w:pPr>
              <w:pStyle w:val="92"/>
            </w:pPr>
            <w:r>
              <w:t>模具制作</w:t>
            </w:r>
            <w:r>
              <w:rPr>
                <w:rFonts w:hint="eastAsia"/>
              </w:rPr>
              <w:t>安装</w:t>
            </w:r>
            <w:r>
              <w:t>，钢筋</w:t>
            </w:r>
            <w:r>
              <w:rPr>
                <w:rFonts w:hint="eastAsia"/>
              </w:rPr>
              <w:t>加工安装</w:t>
            </w:r>
            <w:r>
              <w:t>，混凝土浇筑</w:t>
            </w:r>
          </w:p>
        </w:tc>
        <w:tc>
          <w:tcPr>
            <w:tcW w:w="1663" w:type="dxa"/>
            <w:vAlign w:val="center"/>
          </w:tcPr>
          <w:p>
            <w:pPr>
              <w:pStyle w:val="92"/>
              <w:rPr>
                <w:rFonts w:hint="eastAsia" w:eastAsia="宋体"/>
                <w:lang w:eastAsia="zh-CN"/>
              </w:rPr>
            </w:pPr>
            <w:r>
              <w:rPr>
                <w:rFonts w:hint="eastAsia"/>
                <w:lang w:val="en-US" w:eastAsia="zh-CN"/>
              </w:rPr>
              <w:t>每构件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962"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continue"/>
            <w:vAlign w:val="center"/>
          </w:tcPr>
          <w:p>
            <w:pPr>
              <w:pStyle w:val="92"/>
            </w:pPr>
          </w:p>
        </w:tc>
        <w:tc>
          <w:tcPr>
            <w:tcW w:w="941" w:type="dxa"/>
            <w:vAlign w:val="center"/>
          </w:tcPr>
          <w:p>
            <w:pPr>
              <w:pStyle w:val="92"/>
            </w:pPr>
            <w:r>
              <w:t>装配</w:t>
            </w:r>
          </w:p>
        </w:tc>
        <w:tc>
          <w:tcPr>
            <w:tcW w:w="4104" w:type="dxa"/>
            <w:vAlign w:val="center"/>
          </w:tcPr>
          <w:p>
            <w:pPr>
              <w:pStyle w:val="92"/>
              <w:rPr>
                <w:rFonts w:hint="eastAsia" w:eastAsia="宋体"/>
                <w:lang w:eastAsia="zh-CN"/>
              </w:rPr>
            </w:pPr>
            <w:r>
              <w:t>预制构件安装</w:t>
            </w:r>
            <w:r>
              <w:rPr>
                <w:rFonts w:hint="eastAsia"/>
                <w:lang w:eastAsia="zh-CN"/>
              </w:rPr>
              <w:t>、</w:t>
            </w:r>
            <w:r>
              <w:t>预制构件连接</w:t>
            </w:r>
          </w:p>
        </w:tc>
        <w:tc>
          <w:tcPr>
            <w:tcW w:w="1663" w:type="dxa"/>
            <w:vMerge w:val="restart"/>
            <w:vAlign w:val="center"/>
          </w:tcPr>
          <w:p>
            <w:pPr>
              <w:pStyle w:val="92"/>
            </w:pPr>
            <w:r>
              <w:rPr>
                <w:rFonts w:hint="eastAsia"/>
                <w:lang w:val="en-US" w:eastAsia="zh-CN"/>
              </w:rPr>
              <w:t>相邻沉降缝之间的管段，且</w:t>
            </w:r>
            <w:r>
              <w:rPr>
                <w:rFonts w:hint="eastAsia" w:ascii="宋体" w:hAnsi="宋体" w:eastAsia="宋体" w:cs="宋体"/>
                <w:lang w:val="en-US" w:eastAsia="zh-CN"/>
              </w:rPr>
              <w:t>≤10个节段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restart"/>
            <w:vAlign w:val="center"/>
          </w:tcPr>
          <w:p>
            <w:pPr>
              <w:pStyle w:val="92"/>
            </w:pPr>
            <w:r>
              <w:rPr>
                <w:rFonts w:hint="eastAsia"/>
              </w:rPr>
              <w:t>叠合预制管廊</w:t>
            </w:r>
          </w:p>
          <w:p>
            <w:pPr>
              <w:pStyle w:val="92"/>
            </w:pPr>
            <w:r>
              <w:t>主体结构</w:t>
            </w:r>
          </w:p>
        </w:tc>
        <w:tc>
          <w:tcPr>
            <w:tcW w:w="941" w:type="dxa"/>
            <w:vAlign w:val="center"/>
          </w:tcPr>
          <w:p>
            <w:pPr>
              <w:pStyle w:val="92"/>
            </w:pPr>
            <w:r>
              <w:t>预制</w:t>
            </w:r>
          </w:p>
        </w:tc>
        <w:tc>
          <w:tcPr>
            <w:tcW w:w="4104" w:type="dxa"/>
            <w:vAlign w:val="center"/>
          </w:tcPr>
          <w:p>
            <w:pPr>
              <w:pStyle w:val="92"/>
            </w:pPr>
            <w:r>
              <w:t>模具制作</w:t>
            </w:r>
            <w:r>
              <w:rPr>
                <w:rFonts w:hint="eastAsia"/>
              </w:rPr>
              <w:t>安装</w:t>
            </w:r>
            <w:r>
              <w:t>，钢筋</w:t>
            </w:r>
            <w:r>
              <w:rPr>
                <w:rFonts w:hint="eastAsia"/>
              </w:rPr>
              <w:t>加工安装</w:t>
            </w:r>
            <w:r>
              <w:t>，混凝土浇筑</w:t>
            </w:r>
          </w:p>
        </w:tc>
        <w:tc>
          <w:tcPr>
            <w:tcW w:w="1663" w:type="dxa"/>
            <w:vAlign w:val="center"/>
          </w:tcPr>
          <w:p>
            <w:pPr>
              <w:pStyle w:val="92"/>
              <w:rPr>
                <w:rFonts w:hint="default" w:eastAsia="宋体"/>
                <w:lang w:val="en-US" w:eastAsia="zh-CN"/>
              </w:rPr>
            </w:pPr>
            <w:r>
              <w:rPr>
                <w:rFonts w:hint="eastAsia"/>
                <w:lang w:val="en-US" w:eastAsia="zh-CN"/>
              </w:rPr>
              <w:t>同工班、同类型每10个构件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continue"/>
            <w:vAlign w:val="center"/>
          </w:tcPr>
          <w:p>
            <w:pPr>
              <w:pStyle w:val="92"/>
            </w:pPr>
          </w:p>
        </w:tc>
        <w:tc>
          <w:tcPr>
            <w:tcW w:w="941" w:type="dxa"/>
            <w:vAlign w:val="center"/>
          </w:tcPr>
          <w:p>
            <w:pPr>
              <w:pStyle w:val="92"/>
            </w:pPr>
            <w:r>
              <w:t>装配</w:t>
            </w:r>
          </w:p>
        </w:tc>
        <w:tc>
          <w:tcPr>
            <w:tcW w:w="4104" w:type="dxa"/>
            <w:vAlign w:val="center"/>
          </w:tcPr>
          <w:p>
            <w:pPr>
              <w:pStyle w:val="92"/>
              <w:rPr>
                <w:rFonts w:hint="eastAsia" w:eastAsia="宋体"/>
                <w:lang w:eastAsia="zh-CN"/>
              </w:rPr>
            </w:pPr>
            <w:r>
              <w:t>预制构件安装</w:t>
            </w:r>
            <w:r>
              <w:rPr>
                <w:rFonts w:hint="eastAsia"/>
              </w:rPr>
              <w:t>、钢筋制安、</w:t>
            </w:r>
            <w:r>
              <w:rPr>
                <w:rFonts w:hint="eastAsia"/>
                <w:lang w:val="en-US" w:eastAsia="zh-CN"/>
              </w:rPr>
              <w:t>模板安装、</w:t>
            </w:r>
            <w:r>
              <w:rPr>
                <w:rFonts w:hint="eastAsia"/>
              </w:rPr>
              <w:t>混凝土浇筑</w:t>
            </w:r>
            <w:r>
              <w:rPr>
                <w:rFonts w:hint="eastAsia"/>
                <w:lang w:eastAsia="zh-CN"/>
              </w:rPr>
              <w:t>、</w:t>
            </w:r>
            <w:r>
              <w:t>预制构件连接</w:t>
            </w:r>
          </w:p>
        </w:tc>
        <w:tc>
          <w:tcPr>
            <w:tcW w:w="1663" w:type="dxa"/>
            <w:vMerge w:val="restart"/>
            <w:vAlign w:val="center"/>
          </w:tcPr>
          <w:p>
            <w:pPr>
              <w:pStyle w:val="92"/>
              <w:rPr>
                <w:rFonts w:hint="default"/>
                <w:lang w:val="en-US"/>
              </w:rPr>
            </w:pPr>
            <w:r>
              <w:rPr>
                <w:rFonts w:hint="eastAsia"/>
                <w:lang w:val="en-US" w:eastAsia="zh-CN"/>
              </w:rPr>
              <w:t>相邻沉降缝之间的管段，且</w:t>
            </w:r>
            <w:r>
              <w:rPr>
                <w:rFonts w:hint="eastAsia" w:ascii="宋体" w:hAnsi="宋体" w:eastAsia="宋体" w:cs="宋体"/>
                <w:lang w:val="en-US" w:eastAsia="zh-CN"/>
              </w:rPr>
              <w:t>≤</w:t>
            </w:r>
            <w:r>
              <w:rPr>
                <w:rFonts w:hint="eastAsia" w:ascii="宋体" w:hAnsi="宋体" w:cs="宋体"/>
                <w:lang w:val="en-US" w:eastAsia="zh-CN"/>
              </w:rPr>
              <w:t>30m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restart"/>
            <w:vAlign w:val="center"/>
          </w:tcPr>
          <w:p>
            <w:pPr>
              <w:pStyle w:val="92"/>
            </w:pPr>
            <w:r>
              <w:rPr>
                <w:rFonts w:hint="eastAsia"/>
              </w:rPr>
              <w:t>分块预制管廊</w:t>
            </w:r>
          </w:p>
          <w:p>
            <w:pPr>
              <w:pStyle w:val="92"/>
            </w:pPr>
            <w:r>
              <w:t>主体结构</w:t>
            </w:r>
          </w:p>
        </w:tc>
        <w:tc>
          <w:tcPr>
            <w:tcW w:w="941" w:type="dxa"/>
            <w:vAlign w:val="center"/>
          </w:tcPr>
          <w:p>
            <w:pPr>
              <w:pStyle w:val="92"/>
            </w:pPr>
            <w:r>
              <w:t>预制</w:t>
            </w:r>
          </w:p>
        </w:tc>
        <w:tc>
          <w:tcPr>
            <w:tcW w:w="4104" w:type="dxa"/>
            <w:vAlign w:val="center"/>
          </w:tcPr>
          <w:p>
            <w:pPr>
              <w:pStyle w:val="92"/>
            </w:pPr>
            <w:r>
              <w:t>模具制作</w:t>
            </w:r>
            <w:r>
              <w:rPr>
                <w:rFonts w:hint="eastAsia"/>
              </w:rPr>
              <w:t>安装</w:t>
            </w:r>
            <w:r>
              <w:t>，钢筋及预埋件</w:t>
            </w:r>
            <w:r>
              <w:rPr>
                <w:rFonts w:hint="eastAsia"/>
              </w:rPr>
              <w:t>加工安装</w:t>
            </w:r>
            <w:r>
              <w:t>，混凝土浇筑</w:t>
            </w:r>
            <w:r>
              <w:rPr>
                <w:rFonts w:hint="eastAsia"/>
              </w:rPr>
              <w:t>，开模</w:t>
            </w:r>
            <w:r>
              <w:t>起吊</w:t>
            </w:r>
            <w:r>
              <w:rPr>
                <w:rFonts w:hint="eastAsia"/>
              </w:rPr>
              <w:t>存放</w:t>
            </w:r>
          </w:p>
        </w:tc>
        <w:tc>
          <w:tcPr>
            <w:tcW w:w="1663" w:type="dxa"/>
            <w:vAlign w:val="center"/>
          </w:tcPr>
          <w:p>
            <w:pPr>
              <w:pStyle w:val="92"/>
            </w:pPr>
            <w:r>
              <w:rPr>
                <w:rFonts w:hint="eastAsia"/>
                <w:lang w:val="en-US" w:eastAsia="zh-CN"/>
              </w:rPr>
              <w:t>同工班、同类型每10个构件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Merge w:val="continue"/>
            <w:vAlign w:val="center"/>
          </w:tcPr>
          <w:p>
            <w:pPr>
              <w:pStyle w:val="92"/>
            </w:pPr>
          </w:p>
        </w:tc>
        <w:tc>
          <w:tcPr>
            <w:tcW w:w="941" w:type="dxa"/>
            <w:vAlign w:val="center"/>
          </w:tcPr>
          <w:p>
            <w:pPr>
              <w:pStyle w:val="92"/>
            </w:pPr>
            <w:r>
              <w:t>装配</w:t>
            </w:r>
          </w:p>
        </w:tc>
        <w:tc>
          <w:tcPr>
            <w:tcW w:w="4104" w:type="dxa"/>
            <w:vAlign w:val="center"/>
          </w:tcPr>
          <w:p>
            <w:pPr>
              <w:pStyle w:val="92"/>
            </w:pPr>
            <w:r>
              <w:t>预制构件安装</w:t>
            </w:r>
            <w:r>
              <w:rPr>
                <w:rFonts w:hint="eastAsia"/>
              </w:rPr>
              <w:t>、</w:t>
            </w:r>
            <w:r>
              <w:t>预制构件连</w:t>
            </w:r>
            <w:r>
              <w:rPr>
                <w:rFonts w:hint="eastAsia"/>
                <w:lang w:val="en-US" w:eastAsia="zh-CN"/>
              </w:rPr>
              <w:t>接、</w:t>
            </w:r>
            <w:r>
              <w:rPr>
                <w:rFonts w:hint="eastAsia"/>
              </w:rPr>
              <w:t>钢筋制安、</w:t>
            </w:r>
            <w:r>
              <w:rPr>
                <w:rFonts w:hint="eastAsia"/>
                <w:lang w:val="en-US" w:eastAsia="zh-CN"/>
              </w:rPr>
              <w:t>模板安装、</w:t>
            </w:r>
            <w:r>
              <w:rPr>
                <w:rFonts w:hint="eastAsia"/>
              </w:rPr>
              <w:t>混凝土浇筑</w:t>
            </w:r>
          </w:p>
        </w:tc>
        <w:tc>
          <w:tcPr>
            <w:tcW w:w="1663" w:type="dxa"/>
            <w:vMerge w:val="restart"/>
            <w:vAlign w:val="center"/>
          </w:tcPr>
          <w:p>
            <w:pPr>
              <w:pStyle w:val="92"/>
            </w:pPr>
            <w:r>
              <w:rPr>
                <w:rFonts w:hint="eastAsia"/>
                <w:lang w:val="en-US" w:eastAsia="zh-CN"/>
              </w:rPr>
              <w:t>相邻沉降缝之间的管段，且</w:t>
            </w:r>
            <w:r>
              <w:rPr>
                <w:rFonts w:hint="eastAsia" w:ascii="宋体" w:hAnsi="宋体" w:eastAsia="宋体" w:cs="宋体"/>
                <w:lang w:val="en-US" w:eastAsia="zh-CN"/>
              </w:rPr>
              <w:t>≤</w:t>
            </w:r>
            <w:r>
              <w:rPr>
                <w:rFonts w:hint="eastAsia" w:ascii="宋体" w:hAnsi="宋体" w:cs="宋体"/>
                <w:lang w:val="en-US" w:eastAsia="zh-CN"/>
              </w:rPr>
              <w:t>30m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Align w:val="center"/>
          </w:tcPr>
          <w:p>
            <w:pPr>
              <w:pStyle w:val="92"/>
            </w:pPr>
            <w:r>
              <w:t>防水工程</w:t>
            </w:r>
          </w:p>
        </w:tc>
        <w:tc>
          <w:tcPr>
            <w:tcW w:w="941" w:type="dxa"/>
            <w:vAlign w:val="center"/>
          </w:tcPr>
          <w:p>
            <w:pPr>
              <w:pStyle w:val="92"/>
            </w:pPr>
            <w:r>
              <w:t>防水工程</w:t>
            </w:r>
          </w:p>
        </w:tc>
        <w:tc>
          <w:tcPr>
            <w:tcW w:w="4104" w:type="dxa"/>
            <w:vAlign w:val="center"/>
          </w:tcPr>
          <w:p>
            <w:pPr>
              <w:pStyle w:val="92"/>
            </w:pPr>
            <w:r>
              <w:t>卷材防水层</w:t>
            </w:r>
            <w:r>
              <w:rPr>
                <w:rFonts w:hint="eastAsia"/>
              </w:rPr>
              <w:t>，</w:t>
            </w:r>
            <w:r>
              <w:t>涂料防水层</w:t>
            </w:r>
            <w:r>
              <w:rPr>
                <w:rFonts w:hint="eastAsia"/>
              </w:rPr>
              <w:t>，</w:t>
            </w:r>
            <w:r>
              <w:rPr>
                <w:rFonts w:hint="eastAsia"/>
                <w:lang w:eastAsia="zh-CN"/>
              </w:rPr>
              <w:t>细部防水构造</w:t>
            </w:r>
            <w:r>
              <w:rPr>
                <w:rFonts w:hint="eastAsia"/>
              </w:rPr>
              <w:t>，水泥砂浆防水层，防水保护层</w:t>
            </w:r>
          </w:p>
        </w:tc>
        <w:tc>
          <w:tcPr>
            <w:tcW w:w="1663" w:type="dxa"/>
            <w:vAlign w:val="center"/>
          </w:tcPr>
          <w:p>
            <w:pPr>
              <w:pStyle w:val="92"/>
            </w:pPr>
            <w:r>
              <w:rPr>
                <w:rFonts w:hint="eastAsia"/>
              </w:rPr>
              <w:t>每1</w:t>
            </w:r>
            <w:r>
              <w:t>0</w:t>
            </w:r>
            <w:r>
              <w:rPr>
                <w:rFonts w:hint="eastAsia"/>
              </w:rPr>
              <w:t>0m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7" w:type="dxa"/>
            <w:bottom w:w="0" w:type="dxa"/>
            <w:right w:w="17" w:type="dxa"/>
          </w:tblCellMar>
        </w:tblPrEx>
        <w:trPr>
          <w:trHeight w:val="567" w:hRule="atLeast"/>
        </w:trPr>
        <w:tc>
          <w:tcPr>
            <w:tcW w:w="439" w:type="dxa"/>
            <w:vMerge w:val="continue"/>
            <w:vAlign w:val="center"/>
          </w:tcPr>
          <w:p>
            <w:pPr>
              <w:pStyle w:val="92"/>
            </w:pPr>
          </w:p>
        </w:tc>
        <w:tc>
          <w:tcPr>
            <w:tcW w:w="791" w:type="dxa"/>
            <w:vMerge w:val="continue"/>
            <w:vAlign w:val="center"/>
          </w:tcPr>
          <w:p>
            <w:pPr>
              <w:pStyle w:val="92"/>
            </w:pPr>
          </w:p>
        </w:tc>
        <w:tc>
          <w:tcPr>
            <w:tcW w:w="846" w:type="dxa"/>
            <w:vAlign w:val="center"/>
          </w:tcPr>
          <w:p>
            <w:pPr>
              <w:pStyle w:val="92"/>
            </w:pPr>
            <w:r>
              <w:rPr>
                <w:rFonts w:hint="eastAsia"/>
              </w:rPr>
              <w:t>附属构筑物</w:t>
            </w:r>
          </w:p>
        </w:tc>
        <w:tc>
          <w:tcPr>
            <w:tcW w:w="941" w:type="dxa"/>
            <w:vAlign w:val="center"/>
          </w:tcPr>
          <w:p>
            <w:pPr>
              <w:pStyle w:val="92"/>
            </w:pPr>
            <w:r>
              <w:rPr>
                <w:rFonts w:hint="eastAsia"/>
              </w:rPr>
              <w:t>附属构筑物</w:t>
            </w:r>
          </w:p>
        </w:tc>
        <w:tc>
          <w:tcPr>
            <w:tcW w:w="4104" w:type="dxa"/>
            <w:vAlign w:val="center"/>
          </w:tcPr>
          <w:p>
            <w:pPr>
              <w:pStyle w:val="92"/>
            </w:pPr>
            <w:r>
              <w:rPr>
                <w:rFonts w:hint="eastAsia"/>
              </w:rPr>
              <w:t>检查井，人员出入口，逃生口，吊装口，进风口，排风口</w:t>
            </w:r>
          </w:p>
        </w:tc>
        <w:tc>
          <w:tcPr>
            <w:tcW w:w="1663" w:type="dxa"/>
            <w:vAlign w:val="center"/>
          </w:tcPr>
          <w:p>
            <w:pPr>
              <w:pStyle w:val="92"/>
            </w:pPr>
            <w:r>
              <w:rPr>
                <w:rFonts w:hint="eastAsia"/>
              </w:rPr>
              <w:t>每类构筑物（不多于1</w:t>
            </w:r>
            <w:r>
              <w:t>0</w:t>
            </w:r>
            <w:r>
              <w:rPr>
                <w:rFonts w:hint="eastAsia"/>
              </w:rPr>
              <w:t>个）</w:t>
            </w:r>
          </w:p>
        </w:tc>
      </w:tr>
      <w:bookmarkEnd w:id="467"/>
    </w:tbl>
    <w:p>
      <w:pPr>
        <w:rPr>
          <w:b/>
          <w:bCs/>
          <w:sz w:val="21"/>
          <w:szCs w:val="21"/>
        </w:rPr>
      </w:pPr>
      <w:r>
        <w:rPr>
          <w:rFonts w:hint="eastAsia"/>
          <w:b/>
          <w:bCs/>
          <w:sz w:val="21"/>
          <w:szCs w:val="21"/>
        </w:rPr>
        <w:t>注：本标准不涉及综合管廊的消防、通风、供电、照明等附属设施的施工及验收</w:t>
      </w:r>
    </w:p>
    <w:p>
      <w:pPr>
        <w:ind w:firstLine="480"/>
      </w:pPr>
      <w:r>
        <w:br w:type="page"/>
      </w:r>
    </w:p>
    <w:p>
      <w:pPr>
        <w:pStyle w:val="2"/>
      </w:pPr>
      <w:bookmarkStart w:id="468" w:name="_Toc18025"/>
      <w:bookmarkStart w:id="469" w:name="_Toc30729"/>
      <w:bookmarkStart w:id="470" w:name="_Toc21993"/>
      <w:bookmarkStart w:id="471" w:name="_Toc22980"/>
      <w:bookmarkStart w:id="472" w:name="_Toc18237"/>
      <w:bookmarkStart w:id="473" w:name="_Toc29309"/>
      <w:r>
        <w:rPr>
          <w:rFonts w:hint="eastAsia"/>
        </w:rPr>
        <w:t>附录B</w:t>
      </w:r>
      <w:r>
        <w:t xml:space="preserve">  </w:t>
      </w:r>
      <w:r>
        <w:rPr>
          <w:rFonts w:hint="eastAsia"/>
        </w:rPr>
        <w:t>质量验收记录</w:t>
      </w:r>
      <w:bookmarkEnd w:id="468"/>
      <w:bookmarkEnd w:id="469"/>
      <w:bookmarkEnd w:id="470"/>
      <w:bookmarkEnd w:id="471"/>
      <w:bookmarkEnd w:id="472"/>
      <w:bookmarkEnd w:id="473"/>
    </w:p>
    <w:p>
      <w:pPr>
        <w:rPr>
          <w:rFonts w:ascii="宋体" w:hAnsi="宋体"/>
        </w:rPr>
      </w:pPr>
      <w:r>
        <w:rPr>
          <w:b/>
        </w:rPr>
        <w:t>B.0.1</w:t>
      </w:r>
      <w:r>
        <w:rPr>
          <w:rFonts w:hint="eastAsia" w:ascii="宋体" w:hAnsi="宋体"/>
          <w:b/>
        </w:rPr>
        <w:t xml:space="preserve"> </w:t>
      </w:r>
      <w:r>
        <w:rPr>
          <w:rFonts w:ascii="宋体" w:hAnsi="宋体"/>
          <w:b/>
        </w:rPr>
        <w:t xml:space="preserve"> </w:t>
      </w:r>
      <w:r>
        <w:t>检验批的质量验收记录由施工项目专业质量检查员填写，专业监理工程师（建设项目专业技术负责人）组织施工项目专业质量检查员、工长等进行验收，并按表B.0.1记录</w:t>
      </w:r>
      <w:r>
        <w:rPr>
          <w:rFonts w:ascii="宋体" w:hAnsi="宋体"/>
        </w:rPr>
        <w:t>。</w:t>
      </w:r>
    </w:p>
    <w:p>
      <w:pPr>
        <w:pStyle w:val="12"/>
      </w:pPr>
      <w:r>
        <w:t xml:space="preserve">表B.0.1 </w:t>
      </w:r>
      <w:r>
        <w:rPr>
          <w:rFonts w:hint="eastAsia"/>
        </w:rPr>
        <w:t xml:space="preserve"> </w:t>
      </w:r>
      <w:r>
        <w:t>检验批质量验收记录表</w:t>
      </w:r>
    </w:p>
    <w:p>
      <w:pPr>
        <w:ind w:firstLine="420"/>
        <w:jc w:val="right"/>
        <w:rPr>
          <w:rFonts w:ascii="宋体" w:hAnsi="宋体"/>
          <w:bCs/>
          <w:sz w:val="21"/>
          <w:szCs w:val="18"/>
        </w:rPr>
      </w:pPr>
      <w:r>
        <w:rPr>
          <w:rFonts w:hint="eastAsia" w:ascii="宋体" w:hAnsi="宋体"/>
          <w:bCs/>
          <w:sz w:val="21"/>
          <w:szCs w:val="18"/>
        </w:rPr>
        <w:t>编号:__________</w:t>
      </w:r>
    </w:p>
    <w:tbl>
      <w:tblPr>
        <w:tblStyle w:val="38"/>
        <w:tblW w:w="96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80"/>
        <w:gridCol w:w="1080"/>
        <w:gridCol w:w="300"/>
        <w:gridCol w:w="900"/>
        <w:gridCol w:w="348"/>
        <w:gridCol w:w="348"/>
        <w:gridCol w:w="348"/>
        <w:gridCol w:w="348"/>
        <w:gridCol w:w="348"/>
        <w:gridCol w:w="31"/>
        <w:gridCol w:w="317"/>
        <w:gridCol w:w="348"/>
        <w:gridCol w:w="348"/>
        <w:gridCol w:w="348"/>
        <w:gridCol w:w="288"/>
        <w:gridCol w:w="60"/>
        <w:gridCol w:w="348"/>
        <w:gridCol w:w="348"/>
        <w:gridCol w:w="324"/>
        <w:gridCol w:w="24"/>
        <w:gridCol w:w="348"/>
        <w:gridCol w:w="348"/>
        <w:gridCol w:w="720"/>
        <w:gridCol w:w="9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pStyle w:val="92"/>
            </w:pPr>
            <w:r>
              <w:rPr>
                <w:rFonts w:hint="eastAsia"/>
              </w:rPr>
              <w:t>工程名称</w:t>
            </w:r>
          </w:p>
        </w:tc>
        <w:tc>
          <w:tcPr>
            <w:tcW w:w="2971" w:type="dxa"/>
            <w:gridSpan w:val="8"/>
            <w:vAlign w:val="center"/>
          </w:tcPr>
          <w:p>
            <w:pPr>
              <w:pStyle w:val="92"/>
            </w:pPr>
          </w:p>
        </w:tc>
        <w:tc>
          <w:tcPr>
            <w:tcW w:w="1649" w:type="dxa"/>
            <w:gridSpan w:val="5"/>
            <w:vAlign w:val="center"/>
          </w:tcPr>
          <w:p>
            <w:pPr>
              <w:pStyle w:val="92"/>
            </w:pPr>
            <w:r>
              <w:rPr>
                <w:rFonts w:hint="eastAsia"/>
              </w:rPr>
              <w:t>分部工程名称</w:t>
            </w:r>
          </w:p>
        </w:tc>
        <w:tc>
          <w:tcPr>
            <w:tcW w:w="1080" w:type="dxa"/>
            <w:gridSpan w:val="4"/>
            <w:vAlign w:val="center"/>
          </w:tcPr>
          <w:p>
            <w:pPr>
              <w:pStyle w:val="92"/>
            </w:pPr>
          </w:p>
        </w:tc>
        <w:tc>
          <w:tcPr>
            <w:tcW w:w="1440" w:type="dxa"/>
            <w:gridSpan w:val="4"/>
            <w:vAlign w:val="center"/>
          </w:tcPr>
          <w:p>
            <w:pPr>
              <w:pStyle w:val="92"/>
            </w:pPr>
            <w:r>
              <w:rPr>
                <w:rFonts w:hint="eastAsia"/>
              </w:rPr>
              <w:t>分项工程名称</w:t>
            </w:r>
          </w:p>
        </w:tc>
        <w:tc>
          <w:tcPr>
            <w:tcW w:w="900"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pStyle w:val="92"/>
            </w:pPr>
            <w:r>
              <w:rPr>
                <w:rFonts w:hint="eastAsia"/>
              </w:rPr>
              <w:t>施工单位</w:t>
            </w:r>
          </w:p>
        </w:tc>
        <w:tc>
          <w:tcPr>
            <w:tcW w:w="2971" w:type="dxa"/>
            <w:gridSpan w:val="8"/>
            <w:vAlign w:val="center"/>
          </w:tcPr>
          <w:p>
            <w:pPr>
              <w:pStyle w:val="92"/>
            </w:pPr>
          </w:p>
        </w:tc>
        <w:tc>
          <w:tcPr>
            <w:tcW w:w="1649" w:type="dxa"/>
            <w:gridSpan w:val="5"/>
            <w:vAlign w:val="center"/>
          </w:tcPr>
          <w:p>
            <w:pPr>
              <w:pStyle w:val="92"/>
            </w:pPr>
            <w:r>
              <w:rPr>
                <w:rFonts w:hint="eastAsia"/>
              </w:rPr>
              <w:t>项目经理</w:t>
            </w:r>
          </w:p>
        </w:tc>
        <w:tc>
          <w:tcPr>
            <w:tcW w:w="1080" w:type="dxa"/>
            <w:gridSpan w:val="4"/>
            <w:vAlign w:val="center"/>
          </w:tcPr>
          <w:p>
            <w:pPr>
              <w:pStyle w:val="92"/>
            </w:pPr>
          </w:p>
        </w:tc>
        <w:tc>
          <w:tcPr>
            <w:tcW w:w="1440" w:type="dxa"/>
            <w:gridSpan w:val="4"/>
            <w:vAlign w:val="center"/>
          </w:tcPr>
          <w:p>
            <w:pPr>
              <w:pStyle w:val="92"/>
            </w:pPr>
            <w:r>
              <w:rPr>
                <w:rFonts w:hint="eastAsia"/>
              </w:rPr>
              <w:t>专业工长</w:t>
            </w:r>
          </w:p>
        </w:tc>
        <w:tc>
          <w:tcPr>
            <w:tcW w:w="900"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60" w:type="dxa"/>
            <w:gridSpan w:val="3"/>
            <w:vAlign w:val="center"/>
          </w:tcPr>
          <w:p>
            <w:pPr>
              <w:pStyle w:val="92"/>
            </w:pPr>
            <w:r>
              <w:rPr>
                <w:rFonts w:hint="eastAsia"/>
              </w:rPr>
              <w:t>检验批名称、部位</w:t>
            </w:r>
          </w:p>
        </w:tc>
        <w:tc>
          <w:tcPr>
            <w:tcW w:w="7740" w:type="dxa"/>
            <w:gridSpan w:val="21"/>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pStyle w:val="92"/>
            </w:pPr>
            <w:r>
              <w:rPr>
                <w:rFonts w:hint="eastAsia"/>
              </w:rPr>
              <w:t>专业分包单位</w:t>
            </w:r>
          </w:p>
        </w:tc>
        <w:tc>
          <w:tcPr>
            <w:tcW w:w="2971" w:type="dxa"/>
            <w:gridSpan w:val="8"/>
            <w:vAlign w:val="center"/>
          </w:tcPr>
          <w:p>
            <w:pPr>
              <w:pStyle w:val="92"/>
            </w:pPr>
          </w:p>
        </w:tc>
        <w:tc>
          <w:tcPr>
            <w:tcW w:w="1649" w:type="dxa"/>
            <w:gridSpan w:val="5"/>
            <w:vAlign w:val="center"/>
          </w:tcPr>
          <w:p>
            <w:pPr>
              <w:pStyle w:val="92"/>
            </w:pPr>
            <w:r>
              <w:rPr>
                <w:rFonts w:hint="eastAsia"/>
              </w:rPr>
              <w:t>专业分包项目经理</w:t>
            </w:r>
          </w:p>
        </w:tc>
        <w:tc>
          <w:tcPr>
            <w:tcW w:w="1080" w:type="dxa"/>
            <w:gridSpan w:val="4"/>
            <w:vAlign w:val="center"/>
          </w:tcPr>
          <w:p>
            <w:pPr>
              <w:pStyle w:val="92"/>
            </w:pPr>
          </w:p>
        </w:tc>
        <w:tc>
          <w:tcPr>
            <w:tcW w:w="1440" w:type="dxa"/>
            <w:gridSpan w:val="4"/>
            <w:vAlign w:val="center"/>
          </w:tcPr>
          <w:p>
            <w:pPr>
              <w:pStyle w:val="92"/>
            </w:pPr>
            <w:r>
              <w:rPr>
                <w:rFonts w:hint="eastAsia"/>
              </w:rPr>
              <w:t>施工班组长</w:t>
            </w:r>
          </w:p>
        </w:tc>
        <w:tc>
          <w:tcPr>
            <w:tcW w:w="900"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restart"/>
            <w:vAlign w:val="center"/>
          </w:tcPr>
          <w:p>
            <w:pPr>
              <w:pStyle w:val="92"/>
            </w:pPr>
          </w:p>
          <w:p>
            <w:pPr>
              <w:pStyle w:val="92"/>
            </w:pPr>
            <w:r>
              <w:rPr>
                <w:rFonts w:hint="eastAsia"/>
              </w:rPr>
              <w:t xml:space="preserve">主 </w:t>
            </w:r>
          </w:p>
          <w:p>
            <w:pPr>
              <w:pStyle w:val="92"/>
            </w:pPr>
          </w:p>
          <w:p>
            <w:pPr>
              <w:pStyle w:val="92"/>
            </w:pPr>
            <w:r>
              <w:rPr>
                <w:rFonts w:hint="eastAsia"/>
              </w:rPr>
              <w:t>控</w:t>
            </w:r>
          </w:p>
          <w:p>
            <w:pPr>
              <w:pStyle w:val="92"/>
            </w:pPr>
          </w:p>
          <w:p>
            <w:pPr>
              <w:pStyle w:val="92"/>
            </w:pPr>
            <w:r>
              <w:rPr>
                <w:rFonts w:hint="eastAsia"/>
              </w:rPr>
              <w:t>项</w:t>
            </w:r>
          </w:p>
          <w:p>
            <w:pPr>
              <w:pStyle w:val="92"/>
            </w:pPr>
          </w:p>
          <w:p>
            <w:pPr>
              <w:pStyle w:val="92"/>
            </w:pPr>
            <w:r>
              <w:rPr>
                <w:rFonts w:hint="eastAsia"/>
              </w:rPr>
              <w:t>目</w:t>
            </w:r>
          </w:p>
        </w:tc>
        <w:tc>
          <w:tcPr>
            <w:tcW w:w="2280" w:type="dxa"/>
            <w:gridSpan w:val="3"/>
            <w:vAlign w:val="center"/>
          </w:tcPr>
          <w:p>
            <w:pPr>
              <w:pStyle w:val="92"/>
            </w:pPr>
            <w:r>
              <w:rPr>
                <w:rFonts w:hint="eastAsia"/>
              </w:rPr>
              <w:t>质量验收规范规定的检查项目及验收标准</w:t>
            </w:r>
          </w:p>
        </w:tc>
        <w:tc>
          <w:tcPr>
            <w:tcW w:w="5220" w:type="dxa"/>
            <w:gridSpan w:val="18"/>
            <w:vAlign w:val="center"/>
          </w:tcPr>
          <w:p>
            <w:pPr>
              <w:pStyle w:val="92"/>
            </w:pPr>
            <w:r>
              <w:rPr>
                <w:rFonts w:hint="eastAsia"/>
              </w:rPr>
              <w:t>施工单位检查评定记录</w:t>
            </w:r>
          </w:p>
        </w:tc>
        <w:tc>
          <w:tcPr>
            <w:tcW w:w="1620" w:type="dxa"/>
            <w:gridSpan w:val="2"/>
            <w:vAlign w:val="center"/>
          </w:tcPr>
          <w:p>
            <w:pPr>
              <w:pStyle w:val="92"/>
            </w:pPr>
            <w:r>
              <w:rPr>
                <w:rFonts w:hint="eastAsia"/>
              </w:rPr>
              <w:t>监理(建设)</w:t>
            </w:r>
          </w:p>
          <w:p>
            <w:pPr>
              <w:pStyle w:val="92"/>
            </w:pPr>
            <w:r>
              <w:rPr>
                <w:rFonts w:hint="eastAsia"/>
              </w:rPr>
              <w:t>单位验收记录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1</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restart"/>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2</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3</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4</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5</w:t>
            </w:r>
          </w:p>
        </w:tc>
        <w:tc>
          <w:tcPr>
            <w:tcW w:w="1200"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1620" w:type="dxa"/>
            <w:gridSpan w:val="2"/>
            <w:vAlign w:val="center"/>
          </w:tcPr>
          <w:p>
            <w:pPr>
              <w:pStyle w:val="92"/>
            </w:pPr>
            <w:r>
              <w:rPr>
                <w:rFonts w:hint="eastAsia"/>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6</w:t>
            </w:r>
          </w:p>
        </w:tc>
        <w:tc>
          <w:tcPr>
            <w:tcW w:w="1200"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1620" w:type="dxa"/>
            <w:gridSpan w:val="2"/>
            <w:vAlign w:val="center"/>
          </w:tcPr>
          <w:p>
            <w:pPr>
              <w:pStyle w:val="92"/>
            </w:pPr>
            <w:r>
              <w:rPr>
                <w:rFonts w:hint="eastAsia"/>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p>
        </w:tc>
        <w:tc>
          <w:tcPr>
            <w:tcW w:w="1200" w:type="dxa"/>
            <w:gridSpan w:val="2"/>
            <w:vAlign w:val="center"/>
          </w:tcPr>
          <w:p>
            <w:pPr>
              <w:pStyle w:val="92"/>
            </w:pPr>
          </w:p>
        </w:tc>
        <w:tc>
          <w:tcPr>
            <w:tcW w:w="5220" w:type="dxa"/>
            <w:gridSpan w:val="18"/>
            <w:vAlign w:val="center"/>
          </w:tcPr>
          <w:p>
            <w:pPr>
              <w:pStyle w:val="92"/>
            </w:pPr>
          </w:p>
        </w:tc>
        <w:tc>
          <w:tcPr>
            <w:tcW w:w="1620" w:type="dxa"/>
            <w:gridSpan w:val="2"/>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restart"/>
            <w:vAlign w:val="center"/>
          </w:tcPr>
          <w:p>
            <w:pPr>
              <w:pStyle w:val="92"/>
            </w:pPr>
          </w:p>
          <w:p>
            <w:pPr>
              <w:pStyle w:val="92"/>
            </w:pPr>
            <w:r>
              <w:rPr>
                <w:rFonts w:hint="eastAsia"/>
              </w:rPr>
              <w:t>一般项目</w:t>
            </w:r>
          </w:p>
        </w:tc>
        <w:tc>
          <w:tcPr>
            <w:tcW w:w="1080" w:type="dxa"/>
            <w:vAlign w:val="center"/>
          </w:tcPr>
          <w:p>
            <w:pPr>
              <w:pStyle w:val="92"/>
            </w:pPr>
            <w:r>
              <w:rPr>
                <w:rFonts w:hint="eastAsia"/>
              </w:rPr>
              <w:t>1</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restart"/>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2</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3</w:t>
            </w:r>
          </w:p>
        </w:tc>
        <w:tc>
          <w:tcPr>
            <w:tcW w:w="1200" w:type="dxa"/>
            <w:gridSpan w:val="2"/>
            <w:vAlign w:val="center"/>
          </w:tcPr>
          <w:p>
            <w:pPr>
              <w:pStyle w:val="92"/>
            </w:pPr>
          </w:p>
        </w:tc>
        <w:tc>
          <w:tcPr>
            <w:tcW w:w="5220" w:type="dxa"/>
            <w:gridSpan w:val="18"/>
            <w:vAlign w:val="center"/>
          </w:tcPr>
          <w:p>
            <w:pPr>
              <w:pStyle w:val="92"/>
            </w:pPr>
          </w:p>
        </w:tc>
        <w:tc>
          <w:tcPr>
            <w:tcW w:w="1620"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4</w:t>
            </w:r>
          </w:p>
        </w:tc>
        <w:tc>
          <w:tcPr>
            <w:tcW w:w="1200"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1620" w:type="dxa"/>
            <w:gridSpan w:val="2"/>
            <w:vAlign w:val="center"/>
          </w:tcPr>
          <w:p>
            <w:pPr>
              <w:pStyle w:val="92"/>
            </w:pPr>
            <w:r>
              <w:rPr>
                <w:rFonts w:hint="eastAsia"/>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5</w:t>
            </w:r>
          </w:p>
        </w:tc>
        <w:tc>
          <w:tcPr>
            <w:tcW w:w="1200"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1620" w:type="dxa"/>
            <w:gridSpan w:val="2"/>
            <w:vAlign w:val="center"/>
          </w:tcPr>
          <w:p>
            <w:pPr>
              <w:pStyle w:val="92"/>
            </w:pPr>
            <w:r>
              <w:rPr>
                <w:rFonts w:hint="eastAsia"/>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r>
              <w:rPr>
                <w:rFonts w:hint="eastAsia"/>
              </w:rPr>
              <w:t>6</w:t>
            </w:r>
          </w:p>
        </w:tc>
        <w:tc>
          <w:tcPr>
            <w:tcW w:w="1200"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348" w:type="dxa"/>
            <w:gridSpan w:val="2"/>
            <w:vAlign w:val="center"/>
          </w:tcPr>
          <w:p>
            <w:pPr>
              <w:pStyle w:val="92"/>
            </w:pPr>
          </w:p>
        </w:tc>
        <w:tc>
          <w:tcPr>
            <w:tcW w:w="348" w:type="dxa"/>
            <w:vAlign w:val="center"/>
          </w:tcPr>
          <w:p>
            <w:pPr>
              <w:pStyle w:val="92"/>
            </w:pPr>
          </w:p>
        </w:tc>
        <w:tc>
          <w:tcPr>
            <w:tcW w:w="348" w:type="dxa"/>
            <w:vAlign w:val="center"/>
          </w:tcPr>
          <w:p>
            <w:pPr>
              <w:pStyle w:val="92"/>
            </w:pPr>
          </w:p>
        </w:tc>
        <w:tc>
          <w:tcPr>
            <w:tcW w:w="1620" w:type="dxa"/>
            <w:gridSpan w:val="2"/>
            <w:vAlign w:val="center"/>
          </w:tcPr>
          <w:p>
            <w:pPr>
              <w:pStyle w:val="92"/>
            </w:pPr>
            <w:r>
              <w:rPr>
                <w:rFonts w:hint="eastAsia"/>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0" w:type="dxa"/>
            <w:vMerge w:val="continue"/>
            <w:vAlign w:val="center"/>
          </w:tcPr>
          <w:p>
            <w:pPr>
              <w:pStyle w:val="92"/>
            </w:pPr>
          </w:p>
        </w:tc>
        <w:tc>
          <w:tcPr>
            <w:tcW w:w="1080" w:type="dxa"/>
            <w:vAlign w:val="center"/>
          </w:tcPr>
          <w:p>
            <w:pPr>
              <w:pStyle w:val="92"/>
            </w:pPr>
          </w:p>
        </w:tc>
        <w:tc>
          <w:tcPr>
            <w:tcW w:w="1200" w:type="dxa"/>
            <w:gridSpan w:val="2"/>
            <w:vAlign w:val="center"/>
          </w:tcPr>
          <w:p>
            <w:pPr>
              <w:pStyle w:val="92"/>
            </w:pPr>
          </w:p>
        </w:tc>
        <w:tc>
          <w:tcPr>
            <w:tcW w:w="5220" w:type="dxa"/>
            <w:gridSpan w:val="18"/>
            <w:vAlign w:val="center"/>
          </w:tcPr>
          <w:p>
            <w:pPr>
              <w:pStyle w:val="92"/>
            </w:pPr>
          </w:p>
        </w:tc>
        <w:tc>
          <w:tcPr>
            <w:tcW w:w="1620" w:type="dxa"/>
            <w:gridSpan w:val="2"/>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pStyle w:val="92"/>
            </w:pPr>
          </w:p>
          <w:p>
            <w:pPr>
              <w:pStyle w:val="92"/>
            </w:pPr>
            <w:r>
              <w:rPr>
                <w:rFonts w:hint="eastAsia"/>
              </w:rPr>
              <w:t>施工单位</w:t>
            </w:r>
          </w:p>
          <w:p>
            <w:pPr>
              <w:pStyle w:val="92"/>
            </w:pPr>
            <w:r>
              <w:rPr>
                <w:rFonts w:hint="eastAsia"/>
              </w:rPr>
              <w:t>检查评定</w:t>
            </w:r>
          </w:p>
          <w:p>
            <w:pPr>
              <w:pStyle w:val="92"/>
            </w:pPr>
            <w:r>
              <w:rPr>
                <w:rFonts w:hint="eastAsia"/>
              </w:rPr>
              <w:t>结果</w:t>
            </w:r>
          </w:p>
          <w:p>
            <w:pPr>
              <w:pStyle w:val="92"/>
            </w:pPr>
          </w:p>
        </w:tc>
        <w:tc>
          <w:tcPr>
            <w:tcW w:w="8040" w:type="dxa"/>
            <w:gridSpan w:val="22"/>
            <w:vAlign w:val="center"/>
          </w:tcPr>
          <w:p>
            <w:pPr>
              <w:pStyle w:val="92"/>
            </w:pPr>
          </w:p>
          <w:p>
            <w:pPr>
              <w:pStyle w:val="92"/>
            </w:pPr>
          </w:p>
          <w:p>
            <w:pPr>
              <w:pStyle w:val="92"/>
            </w:pPr>
          </w:p>
          <w:p>
            <w:pPr>
              <w:pStyle w:val="92"/>
            </w:pPr>
          </w:p>
          <w:p>
            <w:pPr>
              <w:pStyle w:val="92"/>
            </w:pPr>
            <w:r>
              <w:rPr>
                <w:rFonts w:hint="eastAsia"/>
              </w:rPr>
              <w:t>工长（施工员）：</w:t>
            </w:r>
          </w:p>
          <w:p>
            <w:pPr>
              <w:pStyle w:val="92"/>
            </w:pPr>
            <w:r>
              <w:rPr>
                <w:rFonts w:hint="eastAsia"/>
              </w:rPr>
              <w:t>项目专业质量检查员：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0" w:type="dxa"/>
            <w:gridSpan w:val="2"/>
            <w:vAlign w:val="center"/>
          </w:tcPr>
          <w:p>
            <w:pPr>
              <w:pStyle w:val="92"/>
            </w:pPr>
          </w:p>
          <w:p>
            <w:pPr>
              <w:pStyle w:val="92"/>
            </w:pPr>
            <w:r>
              <w:rPr>
                <w:rFonts w:hint="eastAsia"/>
              </w:rPr>
              <w:t>监理(建设)</w:t>
            </w:r>
          </w:p>
          <w:p>
            <w:pPr>
              <w:pStyle w:val="92"/>
            </w:pPr>
            <w:r>
              <w:rPr>
                <w:rFonts w:hint="eastAsia"/>
              </w:rPr>
              <w:t>单位验收</w:t>
            </w:r>
          </w:p>
          <w:p>
            <w:pPr>
              <w:pStyle w:val="92"/>
            </w:pPr>
            <w:r>
              <w:rPr>
                <w:rFonts w:hint="eastAsia"/>
              </w:rPr>
              <w:t>结论</w:t>
            </w:r>
          </w:p>
          <w:p>
            <w:pPr>
              <w:pStyle w:val="92"/>
            </w:pPr>
          </w:p>
        </w:tc>
        <w:tc>
          <w:tcPr>
            <w:tcW w:w="8040" w:type="dxa"/>
            <w:gridSpan w:val="22"/>
            <w:vAlign w:val="center"/>
          </w:tcPr>
          <w:p>
            <w:pPr>
              <w:pStyle w:val="92"/>
            </w:pPr>
          </w:p>
          <w:p>
            <w:pPr>
              <w:pStyle w:val="92"/>
            </w:pPr>
          </w:p>
          <w:p>
            <w:pPr>
              <w:pStyle w:val="92"/>
            </w:pPr>
          </w:p>
          <w:p>
            <w:pPr>
              <w:pStyle w:val="92"/>
            </w:pPr>
          </w:p>
          <w:p>
            <w:pPr>
              <w:pStyle w:val="92"/>
            </w:pPr>
            <w:r>
              <w:rPr>
                <w:rFonts w:hint="eastAsia"/>
              </w:rPr>
              <w:t>专业监理工程师</w:t>
            </w:r>
          </w:p>
          <w:p>
            <w:pPr>
              <w:pStyle w:val="92"/>
            </w:pPr>
            <w:r>
              <w:rPr>
                <w:rFonts w:hint="eastAsia"/>
              </w:rPr>
              <w:t>（建设单位项目专业技术负责人）　　　　　　　年　　　月　　日</w:t>
            </w:r>
          </w:p>
        </w:tc>
      </w:tr>
    </w:tbl>
    <w:p>
      <w:pPr>
        <w:rPr>
          <w:rFonts w:ascii="宋体" w:hAnsi="宋体"/>
        </w:rPr>
      </w:pPr>
      <w:r>
        <w:rPr>
          <w:b/>
        </w:rPr>
        <w:t>B.0.2</w:t>
      </w:r>
      <w:r>
        <w:rPr>
          <w:rFonts w:hint="eastAsia" w:ascii="宋体" w:hAnsi="宋体"/>
          <w:b/>
        </w:rPr>
        <w:t xml:space="preserve"> </w:t>
      </w:r>
      <w:r>
        <w:rPr>
          <w:rFonts w:ascii="宋体" w:hAnsi="宋体"/>
          <w:b/>
        </w:rPr>
        <w:t xml:space="preserve"> </w:t>
      </w:r>
      <w:r>
        <w:t>分项工程质量应由专业监理工程师（建设项目专业技术负责人）组织施工项目专业技术负责人等进行验收，并按表B.0.2记录</w:t>
      </w:r>
      <w:r>
        <w:rPr>
          <w:rFonts w:ascii="宋体" w:hAnsi="宋体"/>
        </w:rPr>
        <w:t>。</w:t>
      </w:r>
    </w:p>
    <w:p>
      <w:pPr>
        <w:pStyle w:val="12"/>
      </w:pPr>
      <w:r>
        <w:t>表B.0.2</w:t>
      </w:r>
      <w:r>
        <w:rPr>
          <w:rFonts w:hint="eastAsia"/>
        </w:rPr>
        <w:t xml:space="preserve"> </w:t>
      </w:r>
      <w:r>
        <w:t xml:space="preserve"> 分项工程质量验收记录表</w:t>
      </w:r>
    </w:p>
    <w:p>
      <w:pPr>
        <w:tabs>
          <w:tab w:val="left" w:pos="8460"/>
        </w:tabs>
        <w:ind w:right="1344" w:rightChars="560" w:firstLine="420"/>
        <w:jc w:val="right"/>
        <w:rPr>
          <w:rFonts w:ascii="宋体" w:hAnsi="宋体"/>
        </w:rPr>
      </w:pPr>
      <w:r>
        <w:rPr>
          <w:rFonts w:hint="eastAsia" w:ascii="宋体" w:hAnsi="宋体"/>
          <w:bCs/>
          <w:sz w:val="21"/>
          <w:szCs w:val="18"/>
        </w:rPr>
        <w:t>编号：</w:t>
      </w:r>
      <w:r>
        <w:rPr>
          <w:rFonts w:hint="eastAsia" w:ascii="宋体" w:hAnsi="宋体"/>
        </w:rPr>
        <w:t>　　　　　</w:t>
      </w:r>
    </w:p>
    <w:tbl>
      <w:tblPr>
        <w:tblStyle w:val="38"/>
        <w:tblW w:w="9693" w:type="dxa"/>
        <w:tblInd w:w="2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6"/>
        <w:gridCol w:w="1590"/>
        <w:gridCol w:w="1406"/>
        <w:gridCol w:w="1050"/>
        <w:gridCol w:w="426"/>
        <w:gridCol w:w="332"/>
        <w:gridCol w:w="1469"/>
        <w:gridCol w:w="1416"/>
        <w:gridCol w:w="1352"/>
        <w:gridCol w:w="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2186" w:type="dxa"/>
            <w:gridSpan w:val="2"/>
            <w:vAlign w:val="center"/>
          </w:tcPr>
          <w:p>
            <w:pPr>
              <w:pStyle w:val="92"/>
            </w:pPr>
            <w:r>
              <w:t>工程名称</w:t>
            </w:r>
          </w:p>
        </w:tc>
        <w:tc>
          <w:tcPr>
            <w:tcW w:w="1406" w:type="dxa"/>
            <w:vAlign w:val="center"/>
          </w:tcPr>
          <w:p>
            <w:pPr>
              <w:pStyle w:val="92"/>
            </w:pPr>
          </w:p>
        </w:tc>
        <w:tc>
          <w:tcPr>
            <w:tcW w:w="1808" w:type="dxa"/>
            <w:gridSpan w:val="3"/>
            <w:vAlign w:val="center"/>
          </w:tcPr>
          <w:p>
            <w:pPr>
              <w:pStyle w:val="92"/>
            </w:pPr>
            <w:r>
              <w:t>分项工程名称</w:t>
            </w:r>
          </w:p>
        </w:tc>
        <w:tc>
          <w:tcPr>
            <w:tcW w:w="1469" w:type="dxa"/>
            <w:vAlign w:val="center"/>
          </w:tcPr>
          <w:p>
            <w:pPr>
              <w:pStyle w:val="92"/>
            </w:pPr>
          </w:p>
        </w:tc>
        <w:tc>
          <w:tcPr>
            <w:tcW w:w="1416" w:type="dxa"/>
            <w:vAlign w:val="center"/>
          </w:tcPr>
          <w:p>
            <w:pPr>
              <w:pStyle w:val="92"/>
            </w:pPr>
            <w:r>
              <w:t>检验批数</w:t>
            </w:r>
          </w:p>
        </w:tc>
        <w:tc>
          <w:tcPr>
            <w:tcW w:w="1352"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2186" w:type="dxa"/>
            <w:gridSpan w:val="2"/>
            <w:vAlign w:val="center"/>
          </w:tcPr>
          <w:p>
            <w:pPr>
              <w:pStyle w:val="92"/>
            </w:pPr>
            <w:r>
              <w:t>施工单位</w:t>
            </w:r>
          </w:p>
        </w:tc>
        <w:tc>
          <w:tcPr>
            <w:tcW w:w="1406" w:type="dxa"/>
            <w:vAlign w:val="center"/>
          </w:tcPr>
          <w:p>
            <w:pPr>
              <w:pStyle w:val="92"/>
            </w:pPr>
          </w:p>
        </w:tc>
        <w:tc>
          <w:tcPr>
            <w:tcW w:w="1808" w:type="dxa"/>
            <w:gridSpan w:val="3"/>
            <w:vAlign w:val="center"/>
          </w:tcPr>
          <w:p>
            <w:pPr>
              <w:pStyle w:val="92"/>
            </w:pPr>
            <w:r>
              <w:t>项目经理</w:t>
            </w:r>
          </w:p>
        </w:tc>
        <w:tc>
          <w:tcPr>
            <w:tcW w:w="1469" w:type="dxa"/>
            <w:vAlign w:val="center"/>
          </w:tcPr>
          <w:p>
            <w:pPr>
              <w:pStyle w:val="92"/>
            </w:pPr>
          </w:p>
        </w:tc>
        <w:tc>
          <w:tcPr>
            <w:tcW w:w="1416" w:type="dxa"/>
            <w:vAlign w:val="center"/>
          </w:tcPr>
          <w:p>
            <w:pPr>
              <w:pStyle w:val="92"/>
            </w:pPr>
            <w:r>
              <w:t>项目技术负责人</w:t>
            </w:r>
          </w:p>
        </w:tc>
        <w:tc>
          <w:tcPr>
            <w:tcW w:w="1352"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2186" w:type="dxa"/>
            <w:gridSpan w:val="2"/>
            <w:vAlign w:val="center"/>
          </w:tcPr>
          <w:p>
            <w:pPr>
              <w:pStyle w:val="92"/>
            </w:pPr>
            <w:r>
              <w:rPr>
                <w:rFonts w:hint="eastAsia"/>
              </w:rPr>
              <w:t>专业</w:t>
            </w:r>
            <w:r>
              <w:t>分包单位</w:t>
            </w:r>
          </w:p>
        </w:tc>
        <w:tc>
          <w:tcPr>
            <w:tcW w:w="1406" w:type="dxa"/>
            <w:vAlign w:val="center"/>
          </w:tcPr>
          <w:p>
            <w:pPr>
              <w:pStyle w:val="92"/>
            </w:pPr>
          </w:p>
        </w:tc>
        <w:tc>
          <w:tcPr>
            <w:tcW w:w="1808" w:type="dxa"/>
            <w:gridSpan w:val="3"/>
            <w:vAlign w:val="center"/>
          </w:tcPr>
          <w:p>
            <w:pPr>
              <w:pStyle w:val="92"/>
            </w:pPr>
            <w:r>
              <w:rPr>
                <w:rFonts w:hint="eastAsia"/>
              </w:rPr>
              <w:t>专业</w:t>
            </w:r>
            <w:r>
              <w:t>分包单位负责人</w:t>
            </w:r>
          </w:p>
        </w:tc>
        <w:tc>
          <w:tcPr>
            <w:tcW w:w="1469" w:type="dxa"/>
            <w:vAlign w:val="center"/>
          </w:tcPr>
          <w:p>
            <w:pPr>
              <w:pStyle w:val="92"/>
            </w:pPr>
          </w:p>
        </w:tc>
        <w:tc>
          <w:tcPr>
            <w:tcW w:w="1416" w:type="dxa"/>
            <w:vAlign w:val="center"/>
          </w:tcPr>
          <w:p>
            <w:pPr>
              <w:pStyle w:val="92"/>
            </w:pPr>
            <w:r>
              <w:t>施工班组长</w:t>
            </w:r>
          </w:p>
        </w:tc>
        <w:tc>
          <w:tcPr>
            <w:tcW w:w="1352"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序号</w:t>
            </w:r>
          </w:p>
        </w:tc>
        <w:tc>
          <w:tcPr>
            <w:tcW w:w="1590" w:type="dxa"/>
            <w:vAlign w:val="center"/>
          </w:tcPr>
          <w:p>
            <w:pPr>
              <w:pStyle w:val="92"/>
            </w:pPr>
            <w:r>
              <w:t>检验批名称、部</w:t>
            </w:r>
          </w:p>
          <w:p>
            <w:pPr>
              <w:pStyle w:val="92"/>
            </w:pPr>
            <w:r>
              <w:t>位</w:t>
            </w:r>
          </w:p>
        </w:tc>
        <w:tc>
          <w:tcPr>
            <w:tcW w:w="2456" w:type="dxa"/>
            <w:gridSpan w:val="2"/>
            <w:vAlign w:val="center"/>
          </w:tcPr>
          <w:p>
            <w:pPr>
              <w:pStyle w:val="92"/>
            </w:pPr>
            <w:r>
              <w:t>施工单位检查</w:t>
            </w:r>
          </w:p>
          <w:p>
            <w:pPr>
              <w:pStyle w:val="92"/>
            </w:pPr>
            <w:r>
              <w:t>评定结果</w:t>
            </w:r>
          </w:p>
        </w:tc>
        <w:tc>
          <w:tcPr>
            <w:tcW w:w="4995" w:type="dxa"/>
            <w:gridSpan w:val="5"/>
            <w:vAlign w:val="center"/>
          </w:tcPr>
          <w:p>
            <w:pPr>
              <w:pStyle w:val="92"/>
            </w:pPr>
            <w:r>
              <w:t>监理(建设)单位验收结论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1</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2</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3</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4</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5</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6</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7</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8</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9</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10</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11</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r>
              <w:t>12</w:t>
            </w: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56" w:type="dxa"/>
          <w:trHeight w:val="397" w:hRule="atLeast"/>
        </w:trPr>
        <w:tc>
          <w:tcPr>
            <w:tcW w:w="596" w:type="dxa"/>
            <w:vAlign w:val="center"/>
          </w:tcPr>
          <w:p>
            <w:pPr>
              <w:pStyle w:val="92"/>
            </w:pPr>
          </w:p>
        </w:tc>
        <w:tc>
          <w:tcPr>
            <w:tcW w:w="1590" w:type="dxa"/>
            <w:vAlign w:val="center"/>
          </w:tcPr>
          <w:p>
            <w:pPr>
              <w:pStyle w:val="92"/>
            </w:pPr>
          </w:p>
        </w:tc>
        <w:tc>
          <w:tcPr>
            <w:tcW w:w="2456" w:type="dxa"/>
            <w:gridSpan w:val="2"/>
            <w:vAlign w:val="center"/>
          </w:tcPr>
          <w:p>
            <w:pPr>
              <w:pStyle w:val="92"/>
            </w:pPr>
          </w:p>
        </w:tc>
        <w:tc>
          <w:tcPr>
            <w:tcW w:w="4995" w:type="dxa"/>
            <w:gridSpan w:val="5"/>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96" w:type="dxa"/>
            <w:vAlign w:val="center"/>
          </w:tcPr>
          <w:p>
            <w:pPr>
              <w:pStyle w:val="92"/>
            </w:pPr>
            <w:r>
              <w:t>检</w:t>
            </w:r>
          </w:p>
          <w:p>
            <w:pPr>
              <w:pStyle w:val="92"/>
            </w:pPr>
            <w:r>
              <w:t>查</w:t>
            </w:r>
          </w:p>
          <w:p>
            <w:pPr>
              <w:pStyle w:val="92"/>
            </w:pPr>
            <w:r>
              <w:t>结</w:t>
            </w:r>
          </w:p>
          <w:p>
            <w:pPr>
              <w:pStyle w:val="92"/>
            </w:pPr>
            <w:r>
              <w:t>论</w:t>
            </w:r>
          </w:p>
          <w:p>
            <w:pPr>
              <w:pStyle w:val="92"/>
            </w:pPr>
          </w:p>
        </w:tc>
        <w:tc>
          <w:tcPr>
            <w:tcW w:w="4046" w:type="dxa"/>
            <w:gridSpan w:val="3"/>
            <w:vAlign w:val="center"/>
          </w:tcPr>
          <w:p>
            <w:pPr>
              <w:pStyle w:val="92"/>
            </w:pPr>
          </w:p>
          <w:p>
            <w:pPr>
              <w:pStyle w:val="92"/>
            </w:pPr>
          </w:p>
          <w:p>
            <w:pPr>
              <w:pStyle w:val="92"/>
            </w:pPr>
          </w:p>
          <w:p>
            <w:pPr>
              <w:pStyle w:val="92"/>
            </w:pPr>
          </w:p>
          <w:p>
            <w:pPr>
              <w:pStyle w:val="92"/>
            </w:pPr>
          </w:p>
          <w:p>
            <w:pPr>
              <w:pStyle w:val="92"/>
            </w:pPr>
          </w:p>
          <w:p>
            <w:pPr>
              <w:pStyle w:val="92"/>
            </w:pPr>
          </w:p>
          <w:p>
            <w:pPr>
              <w:pStyle w:val="92"/>
            </w:pPr>
          </w:p>
          <w:p>
            <w:pPr>
              <w:pStyle w:val="92"/>
            </w:pPr>
            <w:r>
              <w:t>施工员：</w:t>
            </w:r>
          </w:p>
          <w:p>
            <w:pPr>
              <w:pStyle w:val="92"/>
            </w:pPr>
            <w:r>
              <w:t>项目专业质量员：</w:t>
            </w:r>
          </w:p>
          <w:p>
            <w:pPr>
              <w:pStyle w:val="92"/>
            </w:pPr>
            <w:r>
              <w:t>年　  月　  日</w:t>
            </w:r>
          </w:p>
        </w:tc>
        <w:tc>
          <w:tcPr>
            <w:tcW w:w="426" w:type="dxa"/>
            <w:vAlign w:val="center"/>
          </w:tcPr>
          <w:p>
            <w:pPr>
              <w:pStyle w:val="92"/>
            </w:pPr>
            <w:r>
              <w:t>验</w:t>
            </w:r>
          </w:p>
          <w:p>
            <w:pPr>
              <w:pStyle w:val="92"/>
            </w:pPr>
            <w:r>
              <w:t>收</w:t>
            </w:r>
          </w:p>
          <w:p>
            <w:pPr>
              <w:pStyle w:val="92"/>
            </w:pPr>
            <w:r>
              <w:t>结</w:t>
            </w:r>
          </w:p>
          <w:p>
            <w:pPr>
              <w:pStyle w:val="92"/>
            </w:pPr>
            <w:r>
              <w:t>论</w:t>
            </w:r>
          </w:p>
          <w:p>
            <w:pPr>
              <w:pStyle w:val="92"/>
            </w:pPr>
          </w:p>
        </w:tc>
        <w:tc>
          <w:tcPr>
            <w:tcW w:w="4625" w:type="dxa"/>
            <w:gridSpan w:val="5"/>
            <w:vAlign w:val="center"/>
          </w:tcPr>
          <w:p>
            <w:pPr>
              <w:pStyle w:val="92"/>
            </w:pPr>
          </w:p>
          <w:p>
            <w:pPr>
              <w:pStyle w:val="92"/>
            </w:pPr>
          </w:p>
          <w:p>
            <w:pPr>
              <w:pStyle w:val="92"/>
            </w:pPr>
          </w:p>
          <w:p>
            <w:pPr>
              <w:pStyle w:val="92"/>
            </w:pPr>
          </w:p>
          <w:p>
            <w:pPr>
              <w:pStyle w:val="92"/>
            </w:pPr>
          </w:p>
          <w:p>
            <w:pPr>
              <w:pStyle w:val="92"/>
            </w:pPr>
          </w:p>
          <w:p>
            <w:pPr>
              <w:pStyle w:val="92"/>
            </w:pPr>
          </w:p>
          <w:p>
            <w:pPr>
              <w:pStyle w:val="92"/>
            </w:pPr>
          </w:p>
          <w:p>
            <w:pPr>
              <w:pStyle w:val="92"/>
            </w:pPr>
            <w:r>
              <w:t>专业监理工程师</w:t>
            </w:r>
          </w:p>
          <w:p>
            <w:pPr>
              <w:pStyle w:val="92"/>
            </w:pPr>
            <w:r>
              <w:t xml:space="preserve">        （建设项目专业技术负责人）</w:t>
            </w:r>
          </w:p>
          <w:p>
            <w:pPr>
              <w:pStyle w:val="92"/>
            </w:pPr>
            <w:r>
              <w:t>年　　月　　日</w:t>
            </w:r>
          </w:p>
        </w:tc>
      </w:tr>
    </w:tbl>
    <w:p>
      <w:r>
        <w:rPr>
          <w:b/>
        </w:rPr>
        <w:t>B.0.3</w:t>
      </w:r>
      <w:r>
        <w:rPr>
          <w:rFonts w:hint="eastAsia"/>
          <w:b/>
        </w:rPr>
        <w:t xml:space="preserve"> </w:t>
      </w:r>
      <w:r>
        <w:rPr>
          <w:b/>
        </w:rPr>
        <w:t xml:space="preserve"> </w:t>
      </w:r>
      <w:r>
        <w:t>分部（子分部）工程质量应由总监理工程师组织施工单位项目负责人和项目技术负责人以及有关单位的项目负责人进行验收，并按表B.0.3记录。</w:t>
      </w:r>
    </w:p>
    <w:p>
      <w:pPr>
        <w:pStyle w:val="12"/>
      </w:pPr>
      <w:r>
        <w:t>表B.0.3</w:t>
      </w:r>
      <w:r>
        <w:rPr>
          <w:rFonts w:hint="eastAsia"/>
        </w:rPr>
        <w:t xml:space="preserve"> </w:t>
      </w:r>
      <w:r>
        <w:t xml:space="preserve"> 分部（子分部）工程质量验收记录表</w:t>
      </w:r>
    </w:p>
    <w:p>
      <w:pPr>
        <w:wordWrap w:val="0"/>
        <w:ind w:firstLine="420"/>
        <w:jc w:val="right"/>
        <w:rPr>
          <w:rFonts w:ascii="宋体" w:hAnsi="宋体"/>
          <w:bCs/>
          <w:sz w:val="21"/>
          <w:szCs w:val="18"/>
        </w:rPr>
      </w:pPr>
      <w:r>
        <w:rPr>
          <w:rFonts w:hint="eastAsia" w:ascii="宋体" w:hAnsi="宋体"/>
          <w:bCs/>
          <w:sz w:val="21"/>
          <w:szCs w:val="18"/>
        </w:rPr>
        <w:t>编号</w:t>
      </w:r>
      <w:r>
        <w:rPr>
          <w:rFonts w:ascii="宋体" w:hAnsi="宋体"/>
          <w:bCs/>
          <w:sz w:val="21"/>
          <w:szCs w:val="18"/>
        </w:rPr>
        <w:t>:</w:t>
      </w:r>
      <w:r>
        <w:rPr>
          <w:rFonts w:hint="eastAsia" w:ascii="宋体" w:hAnsi="宋体"/>
          <w:bCs/>
          <w:sz w:val="21"/>
          <w:szCs w:val="18"/>
        </w:rPr>
        <w:t>　　　　　</w:t>
      </w:r>
    </w:p>
    <w:tbl>
      <w:tblPr>
        <w:tblStyle w:val="38"/>
        <w:tblW w:w="96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7"/>
        <w:gridCol w:w="531"/>
        <w:gridCol w:w="1192"/>
        <w:gridCol w:w="1514"/>
        <w:gridCol w:w="1899"/>
        <w:gridCol w:w="1627"/>
        <w:gridCol w:w="2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8" w:type="dxa"/>
            <w:gridSpan w:val="2"/>
            <w:vAlign w:val="center"/>
          </w:tcPr>
          <w:p>
            <w:pPr>
              <w:pStyle w:val="92"/>
            </w:pPr>
            <w:r>
              <w:rPr>
                <w:rFonts w:hint="eastAsia"/>
              </w:rPr>
              <w:t>工程名称</w:t>
            </w:r>
          </w:p>
        </w:tc>
        <w:tc>
          <w:tcPr>
            <w:tcW w:w="4605" w:type="dxa"/>
            <w:gridSpan w:val="3"/>
            <w:vAlign w:val="center"/>
          </w:tcPr>
          <w:p>
            <w:pPr>
              <w:pStyle w:val="92"/>
            </w:pPr>
          </w:p>
        </w:tc>
        <w:tc>
          <w:tcPr>
            <w:tcW w:w="1627" w:type="dxa"/>
            <w:vAlign w:val="center"/>
          </w:tcPr>
          <w:p>
            <w:pPr>
              <w:pStyle w:val="92"/>
            </w:pPr>
            <w:r>
              <w:rPr>
                <w:rFonts w:hint="eastAsia"/>
              </w:rPr>
              <w:t>分部</w:t>
            </w:r>
            <w:r>
              <w:rPr>
                <w:rFonts w:hint="eastAsia"/>
                <w:lang w:eastAsia="zh-CN"/>
              </w:rPr>
              <w:t>（</w:t>
            </w:r>
            <w:r>
              <w:rPr>
                <w:rFonts w:hint="eastAsia"/>
                <w:lang w:val="en-US" w:eastAsia="zh-CN"/>
              </w:rPr>
              <w:t>子分部</w:t>
            </w:r>
            <w:r>
              <w:rPr>
                <w:rFonts w:hint="eastAsia"/>
                <w:lang w:eastAsia="zh-CN"/>
              </w:rPr>
              <w:t>）</w:t>
            </w:r>
            <w:r>
              <w:rPr>
                <w:rFonts w:hint="eastAsia"/>
              </w:rPr>
              <w:t>工程名称</w:t>
            </w:r>
          </w:p>
        </w:tc>
        <w:tc>
          <w:tcPr>
            <w:tcW w:w="2160"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8" w:type="dxa"/>
            <w:gridSpan w:val="2"/>
            <w:vAlign w:val="center"/>
          </w:tcPr>
          <w:p>
            <w:pPr>
              <w:pStyle w:val="92"/>
            </w:pPr>
            <w:r>
              <w:rPr>
                <w:rFonts w:hint="eastAsia"/>
              </w:rPr>
              <w:t>施工单位</w:t>
            </w:r>
          </w:p>
        </w:tc>
        <w:tc>
          <w:tcPr>
            <w:tcW w:w="1192" w:type="dxa"/>
            <w:vAlign w:val="center"/>
          </w:tcPr>
          <w:p>
            <w:pPr>
              <w:pStyle w:val="92"/>
            </w:pPr>
          </w:p>
        </w:tc>
        <w:tc>
          <w:tcPr>
            <w:tcW w:w="1514" w:type="dxa"/>
            <w:vAlign w:val="center"/>
          </w:tcPr>
          <w:p>
            <w:pPr>
              <w:pStyle w:val="92"/>
            </w:pPr>
            <w:r>
              <w:rPr>
                <w:rFonts w:hint="eastAsia"/>
              </w:rPr>
              <w:t>技术部门负责人</w:t>
            </w:r>
          </w:p>
        </w:tc>
        <w:tc>
          <w:tcPr>
            <w:tcW w:w="1899" w:type="dxa"/>
            <w:vAlign w:val="center"/>
          </w:tcPr>
          <w:p>
            <w:pPr>
              <w:pStyle w:val="92"/>
            </w:pPr>
          </w:p>
        </w:tc>
        <w:tc>
          <w:tcPr>
            <w:tcW w:w="1627" w:type="dxa"/>
            <w:vAlign w:val="center"/>
          </w:tcPr>
          <w:p>
            <w:pPr>
              <w:pStyle w:val="92"/>
            </w:pPr>
            <w:r>
              <w:rPr>
                <w:rFonts w:hint="eastAsia"/>
              </w:rPr>
              <w:t>质量部门负责人</w:t>
            </w:r>
          </w:p>
        </w:tc>
        <w:tc>
          <w:tcPr>
            <w:tcW w:w="2160"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08" w:type="dxa"/>
            <w:gridSpan w:val="2"/>
            <w:vAlign w:val="center"/>
          </w:tcPr>
          <w:p>
            <w:pPr>
              <w:pStyle w:val="92"/>
            </w:pPr>
            <w:r>
              <w:rPr>
                <w:rFonts w:hint="eastAsia"/>
                <w:lang w:val="en-US" w:eastAsia="zh-CN"/>
              </w:rPr>
              <w:t>专业</w:t>
            </w:r>
            <w:r>
              <w:rPr>
                <w:rFonts w:hint="eastAsia"/>
              </w:rPr>
              <w:t>分包单位</w:t>
            </w:r>
          </w:p>
        </w:tc>
        <w:tc>
          <w:tcPr>
            <w:tcW w:w="1192" w:type="dxa"/>
            <w:vAlign w:val="center"/>
          </w:tcPr>
          <w:p>
            <w:pPr>
              <w:pStyle w:val="92"/>
            </w:pPr>
          </w:p>
        </w:tc>
        <w:tc>
          <w:tcPr>
            <w:tcW w:w="1514" w:type="dxa"/>
            <w:vAlign w:val="center"/>
          </w:tcPr>
          <w:p>
            <w:pPr>
              <w:pStyle w:val="92"/>
            </w:pPr>
            <w:r>
              <w:rPr>
                <w:rFonts w:hint="eastAsia"/>
                <w:lang w:val="en-US" w:eastAsia="zh-CN"/>
              </w:rPr>
              <w:t>专业</w:t>
            </w:r>
            <w:r>
              <w:rPr>
                <w:rFonts w:hint="eastAsia"/>
              </w:rPr>
              <w:t>分包单位负责人</w:t>
            </w:r>
          </w:p>
        </w:tc>
        <w:tc>
          <w:tcPr>
            <w:tcW w:w="1899" w:type="dxa"/>
            <w:vAlign w:val="center"/>
          </w:tcPr>
          <w:p>
            <w:pPr>
              <w:pStyle w:val="92"/>
            </w:pPr>
          </w:p>
        </w:tc>
        <w:tc>
          <w:tcPr>
            <w:tcW w:w="1627" w:type="dxa"/>
            <w:vAlign w:val="center"/>
          </w:tcPr>
          <w:p>
            <w:pPr>
              <w:pStyle w:val="92"/>
            </w:pPr>
            <w:r>
              <w:rPr>
                <w:rFonts w:hint="eastAsia"/>
                <w:lang w:val="en-US" w:eastAsia="zh-CN"/>
              </w:rPr>
              <w:t>专业</w:t>
            </w:r>
            <w:r>
              <w:rPr>
                <w:rFonts w:hint="eastAsia"/>
              </w:rPr>
              <w:t>分包技术负责人</w:t>
            </w:r>
          </w:p>
        </w:tc>
        <w:tc>
          <w:tcPr>
            <w:tcW w:w="2160"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92"/>
            </w:pPr>
            <w:r>
              <w:rPr>
                <w:rFonts w:hint="eastAsia"/>
              </w:rPr>
              <w:t>序号</w:t>
            </w:r>
          </w:p>
        </w:tc>
        <w:tc>
          <w:tcPr>
            <w:tcW w:w="1723" w:type="dxa"/>
            <w:gridSpan w:val="2"/>
            <w:vAlign w:val="center"/>
          </w:tcPr>
          <w:p>
            <w:pPr>
              <w:pStyle w:val="92"/>
            </w:pPr>
            <w:r>
              <w:rPr>
                <w:rFonts w:hint="eastAsia"/>
              </w:rPr>
              <w:t>分项工程名称</w:t>
            </w:r>
          </w:p>
        </w:tc>
        <w:tc>
          <w:tcPr>
            <w:tcW w:w="1514" w:type="dxa"/>
            <w:vAlign w:val="center"/>
          </w:tcPr>
          <w:p>
            <w:pPr>
              <w:pStyle w:val="92"/>
            </w:pPr>
            <w:r>
              <w:rPr>
                <w:rFonts w:hint="eastAsia"/>
              </w:rPr>
              <w:t>检验批数</w:t>
            </w:r>
          </w:p>
        </w:tc>
        <w:tc>
          <w:tcPr>
            <w:tcW w:w="1899" w:type="dxa"/>
            <w:vAlign w:val="center"/>
          </w:tcPr>
          <w:p>
            <w:pPr>
              <w:pStyle w:val="92"/>
            </w:pPr>
            <w:r>
              <w:rPr>
                <w:rFonts w:hint="eastAsia"/>
              </w:rPr>
              <w:t>施工单位检查评定</w:t>
            </w:r>
          </w:p>
        </w:tc>
        <w:tc>
          <w:tcPr>
            <w:tcW w:w="3787" w:type="dxa"/>
            <w:gridSpan w:val="2"/>
            <w:vAlign w:val="center"/>
          </w:tcPr>
          <w:p>
            <w:pPr>
              <w:pStyle w:val="92"/>
            </w:pPr>
            <w:r>
              <w:rPr>
                <w:rFonts w:hint="eastAsia"/>
              </w:rPr>
              <w:t>验　收　意　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92"/>
            </w:pPr>
            <w:r>
              <w:t>1</w:t>
            </w:r>
          </w:p>
        </w:tc>
        <w:tc>
          <w:tcPr>
            <w:tcW w:w="1723" w:type="dxa"/>
            <w:gridSpan w:val="2"/>
            <w:vAlign w:val="center"/>
          </w:tcPr>
          <w:p>
            <w:pPr>
              <w:pStyle w:val="92"/>
            </w:pPr>
          </w:p>
        </w:tc>
        <w:tc>
          <w:tcPr>
            <w:tcW w:w="1514" w:type="dxa"/>
            <w:vAlign w:val="center"/>
          </w:tcPr>
          <w:p>
            <w:pPr>
              <w:pStyle w:val="92"/>
            </w:pPr>
          </w:p>
        </w:tc>
        <w:tc>
          <w:tcPr>
            <w:tcW w:w="1899" w:type="dxa"/>
            <w:vAlign w:val="center"/>
          </w:tcPr>
          <w:p>
            <w:pPr>
              <w:pStyle w:val="92"/>
            </w:pPr>
          </w:p>
        </w:tc>
        <w:tc>
          <w:tcPr>
            <w:tcW w:w="3787" w:type="dxa"/>
            <w:gridSpan w:val="2"/>
            <w:vMerge w:val="restart"/>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92"/>
            </w:pPr>
            <w:r>
              <w:t>2</w:t>
            </w:r>
          </w:p>
        </w:tc>
        <w:tc>
          <w:tcPr>
            <w:tcW w:w="1723" w:type="dxa"/>
            <w:gridSpan w:val="2"/>
            <w:vAlign w:val="center"/>
          </w:tcPr>
          <w:p>
            <w:pPr>
              <w:pStyle w:val="92"/>
            </w:pPr>
          </w:p>
        </w:tc>
        <w:tc>
          <w:tcPr>
            <w:tcW w:w="1514" w:type="dxa"/>
            <w:vAlign w:val="center"/>
          </w:tcPr>
          <w:p>
            <w:pPr>
              <w:pStyle w:val="92"/>
            </w:pPr>
          </w:p>
        </w:tc>
        <w:tc>
          <w:tcPr>
            <w:tcW w:w="1899" w:type="dxa"/>
            <w:vAlign w:val="center"/>
          </w:tcPr>
          <w:p>
            <w:pPr>
              <w:pStyle w:val="92"/>
            </w:pPr>
          </w:p>
        </w:tc>
        <w:tc>
          <w:tcPr>
            <w:tcW w:w="3787"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92"/>
            </w:pPr>
            <w:r>
              <w:t>3</w:t>
            </w:r>
          </w:p>
        </w:tc>
        <w:tc>
          <w:tcPr>
            <w:tcW w:w="1723" w:type="dxa"/>
            <w:gridSpan w:val="2"/>
            <w:vAlign w:val="center"/>
          </w:tcPr>
          <w:p>
            <w:pPr>
              <w:pStyle w:val="92"/>
            </w:pPr>
          </w:p>
        </w:tc>
        <w:tc>
          <w:tcPr>
            <w:tcW w:w="1514" w:type="dxa"/>
            <w:vAlign w:val="center"/>
          </w:tcPr>
          <w:p>
            <w:pPr>
              <w:pStyle w:val="92"/>
            </w:pPr>
          </w:p>
        </w:tc>
        <w:tc>
          <w:tcPr>
            <w:tcW w:w="1899" w:type="dxa"/>
            <w:vAlign w:val="center"/>
          </w:tcPr>
          <w:p>
            <w:pPr>
              <w:pStyle w:val="92"/>
            </w:pPr>
          </w:p>
        </w:tc>
        <w:tc>
          <w:tcPr>
            <w:tcW w:w="3787"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92"/>
            </w:pPr>
            <w:r>
              <w:t>4</w:t>
            </w:r>
          </w:p>
        </w:tc>
        <w:tc>
          <w:tcPr>
            <w:tcW w:w="1723" w:type="dxa"/>
            <w:gridSpan w:val="2"/>
            <w:vAlign w:val="center"/>
          </w:tcPr>
          <w:p>
            <w:pPr>
              <w:pStyle w:val="92"/>
            </w:pPr>
          </w:p>
        </w:tc>
        <w:tc>
          <w:tcPr>
            <w:tcW w:w="1514" w:type="dxa"/>
            <w:vAlign w:val="center"/>
          </w:tcPr>
          <w:p>
            <w:pPr>
              <w:pStyle w:val="92"/>
            </w:pPr>
          </w:p>
        </w:tc>
        <w:tc>
          <w:tcPr>
            <w:tcW w:w="1899" w:type="dxa"/>
            <w:vAlign w:val="center"/>
          </w:tcPr>
          <w:p>
            <w:pPr>
              <w:pStyle w:val="92"/>
            </w:pPr>
          </w:p>
        </w:tc>
        <w:tc>
          <w:tcPr>
            <w:tcW w:w="3787"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Align w:val="center"/>
          </w:tcPr>
          <w:p>
            <w:pPr>
              <w:pStyle w:val="92"/>
            </w:pPr>
            <w:r>
              <w:t>5</w:t>
            </w:r>
          </w:p>
        </w:tc>
        <w:tc>
          <w:tcPr>
            <w:tcW w:w="1723" w:type="dxa"/>
            <w:gridSpan w:val="2"/>
            <w:vAlign w:val="center"/>
          </w:tcPr>
          <w:p>
            <w:pPr>
              <w:pStyle w:val="92"/>
            </w:pPr>
          </w:p>
        </w:tc>
        <w:tc>
          <w:tcPr>
            <w:tcW w:w="1514" w:type="dxa"/>
            <w:vAlign w:val="center"/>
          </w:tcPr>
          <w:p>
            <w:pPr>
              <w:pStyle w:val="92"/>
            </w:pPr>
          </w:p>
        </w:tc>
        <w:tc>
          <w:tcPr>
            <w:tcW w:w="1899" w:type="dxa"/>
            <w:vAlign w:val="center"/>
          </w:tcPr>
          <w:p>
            <w:pPr>
              <w:pStyle w:val="92"/>
            </w:pPr>
          </w:p>
        </w:tc>
        <w:tc>
          <w:tcPr>
            <w:tcW w:w="3787" w:type="dxa"/>
            <w:gridSpan w:val="2"/>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0" w:type="dxa"/>
            <w:gridSpan w:val="3"/>
            <w:vAlign w:val="center"/>
          </w:tcPr>
          <w:p>
            <w:pPr>
              <w:pStyle w:val="92"/>
            </w:pPr>
            <w:r>
              <w:rPr>
                <w:rFonts w:hint="eastAsia"/>
              </w:rPr>
              <w:t>质量控制资料</w:t>
            </w:r>
          </w:p>
        </w:tc>
        <w:tc>
          <w:tcPr>
            <w:tcW w:w="3413" w:type="dxa"/>
            <w:gridSpan w:val="2"/>
            <w:vAlign w:val="center"/>
          </w:tcPr>
          <w:p>
            <w:pPr>
              <w:pStyle w:val="92"/>
            </w:pPr>
          </w:p>
          <w:p>
            <w:pPr>
              <w:pStyle w:val="92"/>
            </w:pPr>
          </w:p>
        </w:tc>
        <w:tc>
          <w:tcPr>
            <w:tcW w:w="3787" w:type="dxa"/>
            <w:gridSpan w:val="2"/>
            <w:vAlign w:val="center"/>
          </w:tcPr>
          <w:p>
            <w:pPr>
              <w:pStyle w:val="92"/>
            </w:pPr>
          </w:p>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0" w:type="dxa"/>
            <w:gridSpan w:val="3"/>
            <w:vAlign w:val="center"/>
          </w:tcPr>
          <w:p>
            <w:pPr>
              <w:pStyle w:val="92"/>
            </w:pPr>
            <w:r>
              <w:rPr>
                <w:rFonts w:hint="eastAsia"/>
              </w:rPr>
              <w:t>安全和功能检验</w:t>
            </w:r>
          </w:p>
          <w:p>
            <w:pPr>
              <w:pStyle w:val="92"/>
            </w:pPr>
            <w:r>
              <w:rPr>
                <w:rFonts w:hint="eastAsia"/>
              </w:rPr>
              <w:t>（检测）报告</w:t>
            </w:r>
          </w:p>
        </w:tc>
        <w:tc>
          <w:tcPr>
            <w:tcW w:w="3413" w:type="dxa"/>
            <w:gridSpan w:val="2"/>
            <w:vAlign w:val="center"/>
          </w:tcPr>
          <w:p>
            <w:pPr>
              <w:pStyle w:val="92"/>
            </w:pPr>
          </w:p>
          <w:p>
            <w:pPr>
              <w:pStyle w:val="92"/>
            </w:pPr>
          </w:p>
        </w:tc>
        <w:tc>
          <w:tcPr>
            <w:tcW w:w="3787" w:type="dxa"/>
            <w:gridSpan w:val="2"/>
            <w:vAlign w:val="center"/>
          </w:tcPr>
          <w:p>
            <w:pPr>
              <w:pStyle w:val="92"/>
            </w:pPr>
          </w:p>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00" w:type="dxa"/>
            <w:gridSpan w:val="3"/>
            <w:vAlign w:val="center"/>
          </w:tcPr>
          <w:p>
            <w:pPr>
              <w:pStyle w:val="92"/>
            </w:pPr>
            <w:r>
              <w:rPr>
                <w:rFonts w:hint="eastAsia"/>
              </w:rPr>
              <w:t>观感质量验收</w:t>
            </w:r>
          </w:p>
        </w:tc>
        <w:tc>
          <w:tcPr>
            <w:tcW w:w="3413" w:type="dxa"/>
            <w:gridSpan w:val="2"/>
            <w:vAlign w:val="center"/>
          </w:tcPr>
          <w:p>
            <w:pPr>
              <w:pStyle w:val="92"/>
            </w:pPr>
          </w:p>
          <w:p>
            <w:pPr>
              <w:pStyle w:val="92"/>
            </w:pPr>
          </w:p>
        </w:tc>
        <w:tc>
          <w:tcPr>
            <w:tcW w:w="3787" w:type="dxa"/>
            <w:gridSpan w:val="2"/>
            <w:vAlign w:val="center"/>
          </w:tcPr>
          <w:p>
            <w:pPr>
              <w:pStyle w:val="92"/>
            </w:pPr>
          </w:p>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restart"/>
            <w:vAlign w:val="center"/>
          </w:tcPr>
          <w:p>
            <w:pPr>
              <w:pStyle w:val="92"/>
            </w:pPr>
            <w:r>
              <w:rPr>
                <w:rFonts w:hint="eastAsia"/>
              </w:rPr>
              <w:t>验</w:t>
            </w:r>
          </w:p>
          <w:p>
            <w:pPr>
              <w:pStyle w:val="92"/>
            </w:pPr>
            <w:r>
              <w:rPr>
                <w:rFonts w:hint="eastAsia"/>
              </w:rPr>
              <w:t>收</w:t>
            </w:r>
          </w:p>
          <w:p>
            <w:pPr>
              <w:pStyle w:val="92"/>
            </w:pPr>
            <w:r>
              <w:rPr>
                <w:rFonts w:hint="eastAsia"/>
              </w:rPr>
              <w:t>单</w:t>
            </w:r>
          </w:p>
          <w:p>
            <w:pPr>
              <w:pStyle w:val="92"/>
            </w:pPr>
            <w:r>
              <w:rPr>
                <w:rFonts w:hint="eastAsia"/>
              </w:rPr>
              <w:t>位</w:t>
            </w:r>
          </w:p>
        </w:tc>
        <w:tc>
          <w:tcPr>
            <w:tcW w:w="1723" w:type="dxa"/>
            <w:gridSpan w:val="2"/>
            <w:vAlign w:val="center"/>
          </w:tcPr>
          <w:p>
            <w:pPr>
              <w:pStyle w:val="92"/>
            </w:pPr>
            <w:r>
              <w:rPr>
                <w:rFonts w:hint="eastAsia"/>
                <w:lang w:val="en-US" w:eastAsia="zh-CN"/>
              </w:rPr>
              <w:t>专业</w:t>
            </w:r>
            <w:r>
              <w:rPr>
                <w:rFonts w:hint="eastAsia"/>
              </w:rPr>
              <w:t>分包单位</w:t>
            </w:r>
          </w:p>
        </w:tc>
        <w:tc>
          <w:tcPr>
            <w:tcW w:w="7200" w:type="dxa"/>
            <w:gridSpan w:val="4"/>
            <w:vAlign w:val="center"/>
          </w:tcPr>
          <w:p>
            <w:pPr>
              <w:pStyle w:val="92"/>
            </w:pPr>
            <w:r>
              <w:rPr>
                <w:rFonts w:hint="eastAsia"/>
              </w:rPr>
              <w:t>项目经理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pStyle w:val="92"/>
            </w:pPr>
          </w:p>
        </w:tc>
        <w:tc>
          <w:tcPr>
            <w:tcW w:w="1723" w:type="dxa"/>
            <w:gridSpan w:val="2"/>
            <w:vAlign w:val="center"/>
          </w:tcPr>
          <w:p>
            <w:pPr>
              <w:pStyle w:val="92"/>
            </w:pPr>
            <w:r>
              <w:rPr>
                <w:rFonts w:hint="eastAsia"/>
              </w:rPr>
              <w:t>施工单位</w:t>
            </w:r>
          </w:p>
        </w:tc>
        <w:tc>
          <w:tcPr>
            <w:tcW w:w="7200" w:type="dxa"/>
            <w:gridSpan w:val="4"/>
            <w:vAlign w:val="center"/>
          </w:tcPr>
          <w:p>
            <w:pPr>
              <w:pStyle w:val="92"/>
            </w:pPr>
            <w:r>
              <w:rPr>
                <w:rFonts w:hint="eastAsia"/>
              </w:rPr>
              <w:t>项目经理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pStyle w:val="92"/>
            </w:pPr>
          </w:p>
        </w:tc>
        <w:tc>
          <w:tcPr>
            <w:tcW w:w="1723" w:type="dxa"/>
            <w:gridSpan w:val="2"/>
            <w:vAlign w:val="center"/>
          </w:tcPr>
          <w:p>
            <w:pPr>
              <w:pStyle w:val="92"/>
            </w:pPr>
          </w:p>
        </w:tc>
        <w:tc>
          <w:tcPr>
            <w:tcW w:w="7200" w:type="dxa"/>
            <w:gridSpan w:val="4"/>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pStyle w:val="92"/>
            </w:pPr>
          </w:p>
        </w:tc>
        <w:tc>
          <w:tcPr>
            <w:tcW w:w="1723" w:type="dxa"/>
            <w:gridSpan w:val="2"/>
            <w:vAlign w:val="center"/>
          </w:tcPr>
          <w:p>
            <w:pPr>
              <w:pStyle w:val="92"/>
            </w:pPr>
          </w:p>
        </w:tc>
        <w:tc>
          <w:tcPr>
            <w:tcW w:w="7200" w:type="dxa"/>
            <w:gridSpan w:val="4"/>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7" w:type="dxa"/>
            <w:vMerge w:val="continue"/>
            <w:vAlign w:val="center"/>
          </w:tcPr>
          <w:p>
            <w:pPr>
              <w:pStyle w:val="92"/>
            </w:pPr>
          </w:p>
        </w:tc>
        <w:tc>
          <w:tcPr>
            <w:tcW w:w="1723" w:type="dxa"/>
            <w:gridSpan w:val="2"/>
            <w:vAlign w:val="center"/>
          </w:tcPr>
          <w:p>
            <w:pPr>
              <w:pStyle w:val="92"/>
            </w:pPr>
            <w:r>
              <w:rPr>
                <w:rFonts w:hint="eastAsia"/>
              </w:rPr>
              <w:t>监理（建设）单位</w:t>
            </w:r>
          </w:p>
        </w:tc>
        <w:tc>
          <w:tcPr>
            <w:tcW w:w="7200" w:type="dxa"/>
            <w:gridSpan w:val="4"/>
            <w:vAlign w:val="center"/>
          </w:tcPr>
          <w:p>
            <w:pPr>
              <w:pStyle w:val="92"/>
            </w:pPr>
            <w:r>
              <w:rPr>
                <w:rFonts w:hint="eastAsia"/>
              </w:rPr>
              <w:t>总监理工程师（项目负责人专业技术负责人）　　　                        年　　月　　日</w:t>
            </w:r>
          </w:p>
        </w:tc>
      </w:tr>
    </w:tbl>
    <w:p>
      <w:pPr>
        <w:ind w:firstLine="480"/>
        <w:rPr>
          <w:rFonts w:ascii="Calibri" w:hAnsi="Calibri"/>
        </w:rPr>
      </w:pPr>
      <w:r>
        <w:br w:type="page"/>
      </w:r>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Pr>
        <w:pStyle w:val="2"/>
        <w:spacing w:before="332"/>
        <w:rPr>
          <w:rFonts w:cs="Times New Roman"/>
        </w:rPr>
      </w:pPr>
      <w:bookmarkStart w:id="474" w:name="_Toc456112625"/>
      <w:bookmarkStart w:id="475" w:name="_Toc311639744"/>
      <w:bookmarkStart w:id="476" w:name="_Toc27167"/>
      <w:bookmarkStart w:id="477" w:name="_Toc17881"/>
      <w:bookmarkStart w:id="478" w:name="_Toc19710"/>
      <w:bookmarkStart w:id="479" w:name="_Toc363222528"/>
      <w:bookmarkStart w:id="480" w:name="_Toc18469"/>
      <w:bookmarkStart w:id="481" w:name="_Toc12723"/>
      <w:bookmarkStart w:id="482" w:name="_Toc1864"/>
      <w:bookmarkStart w:id="483" w:name="_Toc363217612"/>
      <w:bookmarkStart w:id="484" w:name="_Toc34312175"/>
      <w:bookmarkStart w:id="485" w:name="_Toc406004326"/>
      <w:bookmarkStart w:id="486" w:name="_Toc15241"/>
      <w:bookmarkStart w:id="487" w:name="_Toc29182"/>
      <w:bookmarkStart w:id="488" w:name="_Toc311553615"/>
      <w:bookmarkStart w:id="489" w:name="_Toc35004569"/>
      <w:bookmarkStart w:id="490" w:name="_Toc363218017"/>
      <w:bookmarkStart w:id="491" w:name="_Toc27118"/>
      <w:bookmarkStart w:id="492" w:name="_Toc30177624"/>
      <w:bookmarkStart w:id="493" w:name="_Toc35004236"/>
      <w:bookmarkStart w:id="494" w:name="_Toc311558038"/>
      <w:bookmarkStart w:id="495" w:name="_Toc12495"/>
      <w:bookmarkStart w:id="496" w:name="_Toc38546218"/>
      <w:r>
        <w:rPr>
          <w:rFonts w:cs="Times New Roman"/>
        </w:rPr>
        <w:t>本</w:t>
      </w:r>
      <w:r>
        <w:rPr>
          <w:rFonts w:hint="eastAsia" w:cs="Times New Roman"/>
        </w:rPr>
        <w:t>标准</w:t>
      </w:r>
      <w:r>
        <w:rPr>
          <w:rFonts w:cs="Times New Roman"/>
        </w:rPr>
        <w:t>用词说明</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ind w:firstLine="482"/>
        <w:rPr>
          <w:rFonts w:cs="Times New Roman"/>
          <w:szCs w:val="28"/>
        </w:rPr>
      </w:pPr>
      <w:bookmarkStart w:id="497" w:name="_Toc311553896"/>
      <w:bookmarkStart w:id="498" w:name="_Toc363222529"/>
      <w:r>
        <w:rPr>
          <w:rFonts w:cs="Times New Roman"/>
          <w:b/>
          <w:szCs w:val="28"/>
        </w:rPr>
        <w:t>1　</w:t>
      </w:r>
      <w:r>
        <w:rPr>
          <w:rFonts w:cs="Times New Roman"/>
          <w:szCs w:val="28"/>
        </w:rPr>
        <w:t>为便于在执行本</w:t>
      </w:r>
      <w:r>
        <w:rPr>
          <w:rFonts w:hint="eastAsia" w:cs="Times New Roman"/>
          <w:szCs w:val="28"/>
          <w:lang w:eastAsia="zh-CN"/>
        </w:rPr>
        <w:t>标准</w:t>
      </w:r>
      <w:r>
        <w:rPr>
          <w:rFonts w:cs="Times New Roman"/>
          <w:szCs w:val="28"/>
        </w:rPr>
        <w:t>条文时区别对待，对要求严格程度不同的用词说明如下：</w:t>
      </w:r>
      <w:bookmarkEnd w:id="497"/>
      <w:bookmarkEnd w:id="498"/>
    </w:p>
    <w:p>
      <w:pPr>
        <w:ind w:firstLine="851" w:firstLineChars="353"/>
        <w:rPr>
          <w:rFonts w:cs="Times New Roman"/>
          <w:szCs w:val="28"/>
        </w:rPr>
      </w:pPr>
      <w:r>
        <w:rPr>
          <w:rFonts w:cs="Times New Roman"/>
          <w:b/>
          <w:szCs w:val="28"/>
        </w:rPr>
        <w:t>1)</w:t>
      </w:r>
      <w:r>
        <w:rPr>
          <w:rFonts w:cs="Times New Roman"/>
          <w:szCs w:val="28"/>
        </w:rPr>
        <w:t>表示很严格，非这样做不可的：</w:t>
      </w:r>
    </w:p>
    <w:p>
      <w:pPr>
        <w:ind w:firstLine="1087" w:firstLineChars="453"/>
        <w:rPr>
          <w:rFonts w:cs="Times New Roman"/>
          <w:szCs w:val="28"/>
        </w:rPr>
      </w:pPr>
      <w:r>
        <w:rPr>
          <w:rFonts w:cs="Times New Roman"/>
          <w:szCs w:val="28"/>
        </w:rPr>
        <w:t>正面词采用“必须”，反面词采用“</w:t>
      </w:r>
      <w:r>
        <w:rPr>
          <w:rFonts w:hint="eastAsia" w:cs="Times New Roman"/>
          <w:szCs w:val="28"/>
          <w:lang w:val="en-US" w:eastAsia="zh-CN"/>
        </w:rPr>
        <w:t>严禁</w:t>
      </w:r>
      <w:r>
        <w:rPr>
          <w:rFonts w:cs="Times New Roman"/>
          <w:szCs w:val="28"/>
        </w:rPr>
        <w:t>”；</w:t>
      </w:r>
    </w:p>
    <w:p>
      <w:pPr>
        <w:ind w:firstLine="851" w:firstLineChars="353"/>
        <w:rPr>
          <w:rFonts w:cs="Times New Roman"/>
          <w:szCs w:val="28"/>
        </w:rPr>
      </w:pPr>
      <w:r>
        <w:rPr>
          <w:rFonts w:cs="Times New Roman"/>
          <w:b/>
          <w:szCs w:val="28"/>
        </w:rPr>
        <w:t>2)</w:t>
      </w:r>
      <w:r>
        <w:rPr>
          <w:rFonts w:cs="Times New Roman"/>
          <w:szCs w:val="28"/>
        </w:rPr>
        <w:t>表示严格，在正常情况下均应这样做的：</w:t>
      </w:r>
    </w:p>
    <w:p>
      <w:pPr>
        <w:ind w:firstLine="1087" w:firstLineChars="453"/>
        <w:rPr>
          <w:rFonts w:cs="Times New Roman"/>
          <w:szCs w:val="28"/>
        </w:rPr>
      </w:pPr>
      <w:r>
        <w:rPr>
          <w:rFonts w:cs="Times New Roman"/>
          <w:szCs w:val="28"/>
        </w:rPr>
        <w:t>正面词采用“应”，反面词采用“不应”或“</w:t>
      </w:r>
      <w:r>
        <w:rPr>
          <w:rFonts w:hint="eastAsia" w:cs="Times New Roman"/>
          <w:szCs w:val="28"/>
          <w:lang w:val="en-US" w:eastAsia="zh-CN"/>
        </w:rPr>
        <w:t>不得</w:t>
      </w:r>
      <w:r>
        <w:rPr>
          <w:rFonts w:cs="Times New Roman"/>
          <w:szCs w:val="28"/>
        </w:rPr>
        <w:t>”；</w:t>
      </w:r>
    </w:p>
    <w:p>
      <w:pPr>
        <w:ind w:firstLine="851" w:firstLineChars="353"/>
        <w:rPr>
          <w:rFonts w:cs="Times New Roman"/>
          <w:szCs w:val="28"/>
        </w:rPr>
      </w:pPr>
      <w:r>
        <w:rPr>
          <w:rFonts w:cs="Times New Roman"/>
          <w:b/>
          <w:szCs w:val="28"/>
        </w:rPr>
        <w:t>3)</w:t>
      </w:r>
      <w:r>
        <w:rPr>
          <w:rFonts w:cs="Times New Roman"/>
          <w:szCs w:val="28"/>
        </w:rPr>
        <w:t>表示允许稍有选择，在条件许可时首先应这样做的：</w:t>
      </w:r>
    </w:p>
    <w:p>
      <w:pPr>
        <w:ind w:firstLine="1087" w:firstLineChars="453"/>
        <w:rPr>
          <w:rFonts w:cs="Times New Roman"/>
          <w:szCs w:val="28"/>
        </w:rPr>
      </w:pPr>
      <w:r>
        <w:rPr>
          <w:rFonts w:cs="Times New Roman"/>
          <w:szCs w:val="28"/>
        </w:rPr>
        <w:t>正面词采用“宜”或“可“，反面词采用“不宜”；</w:t>
      </w:r>
    </w:p>
    <w:p>
      <w:pPr>
        <w:ind w:firstLine="851" w:firstLineChars="353"/>
        <w:rPr>
          <w:rFonts w:cs="Times New Roman"/>
          <w:szCs w:val="28"/>
        </w:rPr>
      </w:pPr>
      <w:r>
        <w:rPr>
          <w:rFonts w:cs="Times New Roman"/>
          <w:b/>
          <w:szCs w:val="28"/>
        </w:rPr>
        <w:t>4)</w:t>
      </w:r>
      <w:r>
        <w:rPr>
          <w:rFonts w:cs="Times New Roman"/>
          <w:szCs w:val="28"/>
        </w:rPr>
        <w:t>表示有选择，在一定条件下可以这样做的，采用“可”。</w:t>
      </w:r>
    </w:p>
    <w:p>
      <w:pPr>
        <w:ind w:firstLine="482"/>
        <w:rPr>
          <w:rFonts w:cs="Times New Roman"/>
          <w:szCs w:val="28"/>
        </w:rPr>
      </w:pPr>
      <w:bookmarkStart w:id="499" w:name="_Toc311553897"/>
      <w:bookmarkStart w:id="500" w:name="_Toc363222530"/>
      <w:r>
        <w:rPr>
          <w:rFonts w:cs="Times New Roman"/>
          <w:b/>
          <w:szCs w:val="28"/>
        </w:rPr>
        <w:t>2　</w:t>
      </w:r>
      <w:r>
        <w:rPr>
          <w:rFonts w:cs="Times New Roman"/>
          <w:szCs w:val="28"/>
        </w:rPr>
        <w:t>条文中指明应按其他有关标准执行的写法为：“应符合……的规定”或“应按……执行”。</w:t>
      </w:r>
      <w:bookmarkEnd w:id="499"/>
      <w:bookmarkEnd w:id="500"/>
    </w:p>
    <w:p>
      <w:pPr>
        <w:rPr>
          <w:rFonts w:cs="Times New Roman"/>
          <w:szCs w:val="28"/>
        </w:rPr>
      </w:pPr>
      <w:r>
        <w:rPr>
          <w:rFonts w:cs="Times New Roman"/>
          <w:szCs w:val="28"/>
        </w:rPr>
        <w:br w:type="page"/>
      </w:r>
    </w:p>
    <w:p>
      <w:pPr>
        <w:pStyle w:val="2"/>
        <w:keepNext w:val="0"/>
        <w:keepLines w:val="0"/>
        <w:pageBreakBefore w:val="0"/>
        <w:textAlignment w:val="auto"/>
        <w:rPr>
          <w:rFonts w:cs="Times New Roman"/>
          <w:b w:val="0"/>
          <w:bCs w:val="0"/>
          <w:kern w:val="0"/>
          <w:szCs w:val="20"/>
          <w:lang w:val="el-GR"/>
        </w:rPr>
      </w:pPr>
      <w:bookmarkStart w:id="501" w:name="_Toc11622"/>
      <w:bookmarkStart w:id="502" w:name="_Toc7998"/>
      <w:bookmarkStart w:id="503" w:name="_Toc9057"/>
      <w:bookmarkStart w:id="504" w:name="_Toc38546219"/>
      <w:bookmarkStart w:id="505" w:name="_Toc6245"/>
      <w:bookmarkStart w:id="506" w:name="_Toc26763"/>
      <w:bookmarkStart w:id="507" w:name="_Toc35004237"/>
      <w:bookmarkStart w:id="508" w:name="_Toc34312176"/>
      <w:bookmarkStart w:id="509" w:name="_Toc35004570"/>
      <w:bookmarkStart w:id="510" w:name="_Toc23026"/>
      <w:bookmarkStart w:id="511" w:name="_Toc32415"/>
      <w:bookmarkStart w:id="512" w:name="_Toc19471"/>
      <w:bookmarkStart w:id="513" w:name="_Toc26319"/>
      <w:bookmarkStart w:id="514" w:name="_Toc27959"/>
      <w:bookmarkStart w:id="515" w:name="_Toc30177625"/>
      <w:r>
        <w:rPr>
          <w:rFonts w:cs="Times New Roman"/>
          <w:bCs w:val="0"/>
          <w:kern w:val="0"/>
          <w:szCs w:val="20"/>
          <w:lang w:val="el-GR"/>
        </w:rPr>
        <w:t>引用标准名录</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numPr>
          <w:ilvl w:val="0"/>
          <w:numId w:val="10"/>
        </w:numPr>
        <w:jc w:val="left"/>
        <w:rPr>
          <w:rFonts w:cs="Times New Roman"/>
          <w:szCs w:val="24"/>
        </w:rPr>
      </w:pPr>
      <w:r>
        <w:rPr>
          <w:rFonts w:cs="Times New Roman"/>
          <w:szCs w:val="24"/>
        </w:rPr>
        <w:t>《钢结构设计标准》GB 50017</w:t>
      </w:r>
    </w:p>
    <w:p>
      <w:pPr>
        <w:numPr>
          <w:ilvl w:val="0"/>
          <w:numId w:val="10"/>
        </w:numPr>
        <w:jc w:val="left"/>
        <w:rPr>
          <w:rFonts w:cs="Times New Roman"/>
          <w:szCs w:val="24"/>
        </w:rPr>
      </w:pPr>
      <w:r>
        <w:rPr>
          <w:rFonts w:cs="Times New Roman"/>
          <w:szCs w:val="24"/>
        </w:rPr>
        <w:t>《钢结构工程施工质量验收</w:t>
      </w:r>
      <w:r>
        <w:rPr>
          <w:rFonts w:hint="eastAsia" w:cs="Times New Roman"/>
          <w:szCs w:val="24"/>
          <w:lang w:eastAsia="zh-CN"/>
        </w:rPr>
        <w:t>标准</w:t>
      </w:r>
      <w:r>
        <w:rPr>
          <w:rFonts w:cs="Times New Roman"/>
          <w:szCs w:val="24"/>
        </w:rPr>
        <w:t>》GB 50205</w:t>
      </w:r>
    </w:p>
    <w:p>
      <w:pPr>
        <w:numPr>
          <w:ilvl w:val="0"/>
          <w:numId w:val="10"/>
        </w:numPr>
        <w:jc w:val="left"/>
        <w:rPr>
          <w:rFonts w:cs="Times New Roman"/>
          <w:szCs w:val="24"/>
        </w:rPr>
      </w:pPr>
      <w:r>
        <w:rPr>
          <w:rFonts w:cs="Times New Roman"/>
          <w:szCs w:val="24"/>
        </w:rPr>
        <w:t>《钢结构焊接规范》GB 50661</w:t>
      </w:r>
    </w:p>
    <w:p>
      <w:pPr>
        <w:numPr>
          <w:ilvl w:val="0"/>
          <w:numId w:val="10"/>
        </w:numPr>
        <w:jc w:val="left"/>
        <w:rPr>
          <w:rFonts w:cs="Times New Roman"/>
          <w:szCs w:val="24"/>
        </w:rPr>
      </w:pPr>
      <w:r>
        <w:rPr>
          <w:rFonts w:cs="Times New Roman"/>
          <w:szCs w:val="24"/>
        </w:rPr>
        <w:t>《碳素结构钢》GB/T</w:t>
      </w:r>
      <w:r>
        <w:rPr>
          <w:rFonts w:hint="eastAsia" w:cs="Times New Roman"/>
          <w:szCs w:val="24"/>
        </w:rPr>
        <w:t xml:space="preserve"> </w:t>
      </w:r>
      <w:r>
        <w:rPr>
          <w:rFonts w:cs="Times New Roman"/>
          <w:szCs w:val="24"/>
        </w:rPr>
        <w:t>700</w:t>
      </w:r>
    </w:p>
    <w:p>
      <w:pPr>
        <w:numPr>
          <w:ilvl w:val="0"/>
          <w:numId w:val="10"/>
        </w:numPr>
        <w:jc w:val="left"/>
        <w:rPr>
          <w:rFonts w:cs="Times New Roman"/>
          <w:szCs w:val="24"/>
        </w:rPr>
      </w:pPr>
      <w:r>
        <w:rPr>
          <w:rFonts w:cs="Times New Roman"/>
          <w:szCs w:val="24"/>
        </w:rPr>
        <w:t>《热轧型钢》GB/T</w:t>
      </w:r>
      <w:r>
        <w:rPr>
          <w:rFonts w:hint="eastAsia" w:cs="Times New Roman"/>
          <w:szCs w:val="24"/>
        </w:rPr>
        <w:t xml:space="preserve"> </w:t>
      </w:r>
      <w:r>
        <w:rPr>
          <w:rFonts w:cs="Times New Roman"/>
          <w:szCs w:val="24"/>
        </w:rPr>
        <w:t>706</w:t>
      </w:r>
    </w:p>
    <w:p>
      <w:pPr>
        <w:numPr>
          <w:ilvl w:val="0"/>
          <w:numId w:val="10"/>
        </w:numPr>
        <w:jc w:val="left"/>
        <w:rPr>
          <w:rFonts w:cs="Times New Roman"/>
          <w:szCs w:val="24"/>
        </w:rPr>
      </w:pPr>
      <w:r>
        <w:rPr>
          <w:rFonts w:cs="Times New Roman"/>
          <w:szCs w:val="24"/>
        </w:rPr>
        <w:t xml:space="preserve">《热轧钢板和钢带的尺寸、外形、重量及允许偏差》GB/T 709 </w:t>
      </w:r>
    </w:p>
    <w:p>
      <w:pPr>
        <w:numPr>
          <w:ilvl w:val="0"/>
          <w:numId w:val="10"/>
        </w:numPr>
        <w:jc w:val="left"/>
        <w:rPr>
          <w:rFonts w:cs="Times New Roman"/>
          <w:szCs w:val="24"/>
        </w:rPr>
      </w:pPr>
      <w:r>
        <w:rPr>
          <w:rFonts w:hint="eastAsia" w:cs="Times New Roman"/>
          <w:szCs w:val="24"/>
        </w:rPr>
        <w:t>《低合金高强度结构钢》GB/T 1591</w:t>
      </w:r>
    </w:p>
    <w:p>
      <w:pPr>
        <w:numPr>
          <w:ilvl w:val="0"/>
          <w:numId w:val="10"/>
        </w:numPr>
        <w:jc w:val="left"/>
        <w:rPr>
          <w:rFonts w:cs="Times New Roman"/>
          <w:szCs w:val="24"/>
        </w:rPr>
      </w:pPr>
      <w:r>
        <w:rPr>
          <w:rFonts w:hint="eastAsia" w:cs="Times New Roman"/>
          <w:szCs w:val="24"/>
        </w:rPr>
        <w:t>《冷弯波纹钢管》GB/T 34567</w:t>
      </w:r>
    </w:p>
    <w:p>
      <w:pPr>
        <w:numPr>
          <w:ilvl w:val="0"/>
          <w:numId w:val="10"/>
        </w:numPr>
        <w:jc w:val="left"/>
        <w:rPr>
          <w:rFonts w:cs="Times New Roman"/>
          <w:szCs w:val="24"/>
        </w:rPr>
      </w:pPr>
      <w:r>
        <w:rPr>
          <w:rFonts w:cs="Times New Roman"/>
          <w:szCs w:val="24"/>
        </w:rPr>
        <w:t>《</w:t>
      </w:r>
      <w:r>
        <w:rPr>
          <w:rFonts w:hint="eastAsia" w:cs="Times New Roman"/>
          <w:szCs w:val="24"/>
        </w:rPr>
        <w:t>公路桥涵用波形钢板</w:t>
      </w:r>
      <w:r>
        <w:rPr>
          <w:rFonts w:cs="Times New Roman"/>
          <w:szCs w:val="24"/>
        </w:rPr>
        <w:t>》J</w:t>
      </w:r>
      <w:r>
        <w:rPr>
          <w:rFonts w:hint="eastAsia" w:cs="Times New Roman"/>
          <w:szCs w:val="24"/>
        </w:rPr>
        <w:t>T</w:t>
      </w:r>
      <w:r>
        <w:rPr>
          <w:rFonts w:cs="Times New Roman"/>
          <w:szCs w:val="24"/>
        </w:rPr>
        <w:t xml:space="preserve">/T </w:t>
      </w:r>
      <w:r>
        <w:rPr>
          <w:rFonts w:hint="eastAsia" w:cs="Times New Roman"/>
          <w:szCs w:val="24"/>
        </w:rPr>
        <w:t>710</w:t>
      </w:r>
    </w:p>
    <w:p>
      <w:pPr>
        <w:numPr>
          <w:ilvl w:val="0"/>
          <w:numId w:val="10"/>
        </w:numPr>
        <w:jc w:val="left"/>
        <w:rPr>
          <w:rFonts w:cs="Times New Roman"/>
          <w:szCs w:val="24"/>
        </w:rPr>
      </w:pPr>
      <w:r>
        <w:rPr>
          <w:rFonts w:cs="Times New Roman"/>
          <w:szCs w:val="24"/>
        </w:rPr>
        <w:t>《</w:t>
      </w:r>
      <w:r>
        <w:rPr>
          <w:rFonts w:hint="eastAsia" w:cs="Times New Roman"/>
          <w:szCs w:val="24"/>
        </w:rPr>
        <w:t>公路涵洞通道用波纹钢管（板）》JT/T 791</w:t>
      </w:r>
    </w:p>
    <w:p>
      <w:pPr>
        <w:numPr>
          <w:ilvl w:val="0"/>
          <w:numId w:val="10"/>
        </w:numPr>
        <w:jc w:val="left"/>
        <w:rPr>
          <w:rFonts w:cs="Times New Roman"/>
          <w:szCs w:val="24"/>
        </w:rPr>
      </w:pPr>
      <w:r>
        <w:rPr>
          <w:rFonts w:hint="eastAsia" w:cs="Times New Roman"/>
          <w:szCs w:val="24"/>
        </w:rPr>
        <w:t>《地下工程防水技术规范》GB 50108</w:t>
      </w:r>
    </w:p>
    <w:p>
      <w:pPr>
        <w:numPr>
          <w:ilvl w:val="0"/>
          <w:numId w:val="10"/>
        </w:numPr>
        <w:jc w:val="left"/>
        <w:rPr>
          <w:rFonts w:cs="Times New Roman"/>
          <w:szCs w:val="24"/>
        </w:rPr>
      </w:pPr>
      <w:r>
        <w:rPr>
          <w:rFonts w:hint="eastAsia" w:cs="Times New Roman"/>
          <w:szCs w:val="24"/>
        </w:rPr>
        <w:t>《建筑地基基础工程施工质量验收</w:t>
      </w:r>
      <w:r>
        <w:rPr>
          <w:rFonts w:hint="eastAsia" w:cs="Times New Roman"/>
          <w:szCs w:val="24"/>
          <w:lang w:eastAsia="zh-CN"/>
        </w:rPr>
        <w:t>标准</w:t>
      </w:r>
      <w:r>
        <w:rPr>
          <w:rFonts w:hint="eastAsia" w:cs="Times New Roman"/>
          <w:szCs w:val="24"/>
        </w:rPr>
        <w:t>》GB 50202</w:t>
      </w:r>
    </w:p>
    <w:p>
      <w:pPr>
        <w:numPr>
          <w:ilvl w:val="0"/>
          <w:numId w:val="10"/>
        </w:numPr>
        <w:jc w:val="left"/>
        <w:rPr>
          <w:rFonts w:cs="Times New Roman"/>
          <w:szCs w:val="24"/>
        </w:rPr>
      </w:pPr>
      <w:r>
        <w:rPr>
          <w:rFonts w:hint="eastAsia" w:cs="Times New Roman"/>
          <w:szCs w:val="24"/>
        </w:rPr>
        <w:t>《混凝土结构工程施工质量验收规范》GB 50204</w:t>
      </w:r>
    </w:p>
    <w:p>
      <w:pPr>
        <w:numPr>
          <w:ilvl w:val="0"/>
          <w:numId w:val="10"/>
        </w:numPr>
        <w:jc w:val="left"/>
        <w:rPr>
          <w:rFonts w:cs="Times New Roman"/>
          <w:szCs w:val="24"/>
        </w:rPr>
      </w:pPr>
      <w:r>
        <w:rPr>
          <w:rFonts w:hint="eastAsia" w:cs="Times New Roman"/>
          <w:szCs w:val="24"/>
        </w:rPr>
        <w:t>《地下防水工程施工质量验收规范》GB 50208</w:t>
      </w:r>
    </w:p>
    <w:p>
      <w:pPr>
        <w:numPr>
          <w:ilvl w:val="0"/>
          <w:numId w:val="10"/>
        </w:numPr>
        <w:jc w:val="left"/>
        <w:rPr>
          <w:rFonts w:cs="Times New Roman"/>
          <w:szCs w:val="24"/>
        </w:rPr>
      </w:pPr>
      <w:r>
        <w:rPr>
          <w:rFonts w:hint="eastAsia" w:cs="Times New Roman"/>
          <w:szCs w:val="24"/>
        </w:rPr>
        <w:t>《混凝土结构耐久性设计规范》GB/T 50476</w:t>
      </w:r>
    </w:p>
    <w:p>
      <w:pPr>
        <w:numPr>
          <w:ilvl w:val="0"/>
          <w:numId w:val="10"/>
        </w:numPr>
        <w:jc w:val="left"/>
        <w:rPr>
          <w:rFonts w:cs="Times New Roman"/>
          <w:szCs w:val="24"/>
        </w:rPr>
      </w:pPr>
      <w:r>
        <w:rPr>
          <w:rFonts w:hint="eastAsia" w:cs="Times New Roman"/>
          <w:szCs w:val="24"/>
        </w:rPr>
        <w:t>《混凝土结构工程施工规范》 GB 50666</w:t>
      </w:r>
    </w:p>
    <w:p>
      <w:pPr>
        <w:numPr>
          <w:ilvl w:val="0"/>
          <w:numId w:val="10"/>
        </w:numPr>
        <w:jc w:val="left"/>
        <w:rPr>
          <w:rFonts w:cs="Times New Roman"/>
          <w:szCs w:val="24"/>
        </w:rPr>
      </w:pPr>
      <w:r>
        <w:rPr>
          <w:rFonts w:hint="eastAsia" w:cs="Times New Roman"/>
          <w:szCs w:val="24"/>
          <w:lang w:eastAsia="zh-CN"/>
        </w:rPr>
        <w:t>《混凝土结构设计规范》</w:t>
      </w:r>
      <w:r>
        <w:rPr>
          <w:rFonts w:hint="eastAsia" w:cs="Times New Roman"/>
          <w:szCs w:val="24"/>
          <w:lang w:val="en-US" w:eastAsia="zh-CN"/>
        </w:rPr>
        <w:t xml:space="preserve"> </w:t>
      </w:r>
      <w:r>
        <w:rPr>
          <w:rFonts w:hint="eastAsia" w:cs="Times New Roman"/>
          <w:szCs w:val="24"/>
        </w:rPr>
        <w:t>GB</w:t>
      </w:r>
      <w:r>
        <w:rPr>
          <w:rFonts w:hint="eastAsia" w:cs="Times New Roman"/>
          <w:szCs w:val="24"/>
          <w:lang w:val="en-US" w:eastAsia="zh-CN"/>
        </w:rPr>
        <w:t xml:space="preserve"> </w:t>
      </w:r>
      <w:r>
        <w:rPr>
          <w:rFonts w:hint="eastAsia" w:cs="Times New Roman"/>
          <w:szCs w:val="24"/>
        </w:rPr>
        <w:t>50010</w:t>
      </w:r>
    </w:p>
    <w:p>
      <w:pPr>
        <w:numPr>
          <w:ilvl w:val="0"/>
          <w:numId w:val="10"/>
        </w:numPr>
        <w:jc w:val="left"/>
        <w:rPr>
          <w:rFonts w:cs="Times New Roman"/>
          <w:szCs w:val="24"/>
        </w:rPr>
      </w:pPr>
      <w:r>
        <w:rPr>
          <w:rFonts w:hint="eastAsia" w:cs="Times New Roman"/>
          <w:szCs w:val="24"/>
        </w:rPr>
        <w:t>《预拌混凝土》GB/T 14902</w:t>
      </w:r>
    </w:p>
    <w:p>
      <w:pPr>
        <w:numPr>
          <w:ilvl w:val="0"/>
          <w:numId w:val="10"/>
        </w:numPr>
        <w:jc w:val="left"/>
        <w:rPr>
          <w:rFonts w:cs="Times New Roman"/>
          <w:szCs w:val="24"/>
        </w:rPr>
      </w:pPr>
      <w:r>
        <w:rPr>
          <w:rFonts w:hint="eastAsia" w:cs="Times New Roman"/>
          <w:szCs w:val="24"/>
        </w:rPr>
        <w:t>《钢筋焊接及验收规程》JGJ 18</w:t>
      </w:r>
    </w:p>
    <w:p>
      <w:pPr>
        <w:numPr>
          <w:ilvl w:val="0"/>
          <w:numId w:val="10"/>
        </w:numPr>
        <w:jc w:val="left"/>
        <w:rPr>
          <w:rFonts w:cs="Times New Roman"/>
          <w:szCs w:val="24"/>
        </w:rPr>
      </w:pPr>
      <w:r>
        <w:rPr>
          <w:rFonts w:hint="eastAsia" w:cs="Times New Roman"/>
          <w:szCs w:val="24"/>
        </w:rPr>
        <w:t>《普通混凝土配合比设计规程》JGJ 55</w:t>
      </w:r>
    </w:p>
    <w:p>
      <w:pPr>
        <w:numPr>
          <w:ilvl w:val="0"/>
          <w:numId w:val="10"/>
        </w:numPr>
        <w:jc w:val="left"/>
        <w:rPr>
          <w:rFonts w:cs="Times New Roman"/>
          <w:szCs w:val="24"/>
        </w:rPr>
      </w:pPr>
      <w:r>
        <w:rPr>
          <w:rFonts w:hint="eastAsia" w:cs="Times New Roman"/>
          <w:szCs w:val="24"/>
        </w:rPr>
        <w:t>《钢筋机械连接技术规程》JGJ 107</w:t>
      </w:r>
    </w:p>
    <w:p>
      <w:pPr>
        <w:numPr>
          <w:ilvl w:val="0"/>
          <w:numId w:val="10"/>
        </w:numPr>
        <w:jc w:val="left"/>
        <w:rPr>
          <w:rFonts w:cs="Times New Roman"/>
          <w:szCs w:val="24"/>
        </w:rPr>
      </w:pPr>
      <w:r>
        <w:rPr>
          <w:rFonts w:hint="eastAsia" w:cs="Times New Roman"/>
          <w:szCs w:val="24"/>
        </w:rPr>
        <w:t>《建筑基坑支护技术规程》JGJ 120</w:t>
      </w:r>
    </w:p>
    <w:p>
      <w:pPr>
        <w:numPr>
          <w:ilvl w:val="0"/>
          <w:numId w:val="10"/>
        </w:numPr>
        <w:jc w:val="left"/>
      </w:pPr>
      <w:r>
        <w:rPr>
          <w:rFonts w:hint="eastAsia" w:cs="Times New Roman"/>
          <w:szCs w:val="24"/>
        </w:rPr>
        <w:t>《混凝土结构用钢筋间</w:t>
      </w:r>
      <w:r>
        <w:rPr>
          <w:rFonts w:hint="eastAsia"/>
        </w:rPr>
        <w:t>隔件应用技术规程》JGJ/ T 219</w:t>
      </w:r>
    </w:p>
    <w:p>
      <w:pPr>
        <w:numPr>
          <w:ilvl w:val="0"/>
          <w:numId w:val="10"/>
        </w:numPr>
        <w:jc w:val="left"/>
      </w:pPr>
      <w:r>
        <w:rPr>
          <w:rFonts w:hint="eastAsia"/>
        </w:rPr>
        <w:t>《城市综合管廊工程施工及质量验收规范》DB11/T 1630</w:t>
      </w:r>
      <w:bookmarkStart w:id="747" w:name="_GoBack"/>
      <w:bookmarkEnd w:id="747"/>
    </w:p>
    <w:p>
      <w:pPr>
        <w:numPr>
          <w:ilvl w:val="0"/>
          <w:numId w:val="10"/>
        </w:numPr>
        <w:jc w:val="left"/>
      </w:pPr>
      <w:r>
        <w:rPr>
          <w:rFonts w:hint="eastAsia"/>
        </w:rPr>
        <w:t>《装配式混凝土综合管廊工程技术规程》DB22/JT 158</w:t>
      </w:r>
    </w:p>
    <w:p>
      <w:pPr>
        <w:numPr>
          <w:ilvl w:val="0"/>
          <w:numId w:val="10"/>
        </w:numPr>
        <w:jc w:val="left"/>
      </w:pPr>
      <w:r>
        <w:rPr>
          <w:rFonts w:hint="eastAsia"/>
        </w:rPr>
        <w:t>《青海省波纹钢综合管廊施工技术规范》DB63T 1845</w:t>
      </w:r>
    </w:p>
    <w:p>
      <w:pPr>
        <w:ind w:firstLine="643"/>
        <w:rPr>
          <w:rFonts w:eastAsia="新宋体" w:cs="Times New Roman"/>
          <w:b/>
          <w:sz w:val="32"/>
          <w:szCs w:val="28"/>
        </w:rPr>
      </w:pPr>
      <w:r>
        <w:rPr>
          <w:rFonts w:eastAsia="新宋体" w:cs="Times New Roman"/>
          <w:b/>
          <w:sz w:val="32"/>
          <w:szCs w:val="28"/>
        </w:rPr>
        <w:br w:type="page"/>
      </w:r>
    </w:p>
    <w:p>
      <w:pPr>
        <w:jc w:val="center"/>
        <w:rPr>
          <w:rFonts w:eastAsia="新宋体" w:cs="Times New Roman"/>
          <w:b/>
          <w:sz w:val="32"/>
          <w:szCs w:val="28"/>
        </w:rPr>
      </w:pPr>
    </w:p>
    <w:p>
      <w:pPr>
        <w:jc w:val="center"/>
        <w:rPr>
          <w:b/>
          <w:sz w:val="48"/>
          <w:szCs w:val="48"/>
        </w:rPr>
      </w:pPr>
      <w:r>
        <w:rPr>
          <w:b/>
          <w:sz w:val="48"/>
          <w:szCs w:val="48"/>
        </w:rPr>
        <w:t>广东省标准</w:t>
      </w:r>
    </w:p>
    <w:p>
      <w:pPr>
        <w:jc w:val="center"/>
        <w:rPr>
          <w:b/>
          <w:szCs w:val="21"/>
        </w:rPr>
      </w:pPr>
    </w:p>
    <w:p>
      <w:pPr>
        <w:rPr>
          <w:b/>
          <w:szCs w:val="21"/>
        </w:rPr>
      </w:pPr>
    </w:p>
    <w:p>
      <w:pPr>
        <w:jc w:val="center"/>
        <w:rPr>
          <w:b/>
          <w:sz w:val="48"/>
          <w:szCs w:val="48"/>
        </w:rPr>
      </w:pPr>
      <w:bookmarkStart w:id="516" w:name="_Toc20669865"/>
      <w:bookmarkStart w:id="517" w:name="_Toc31486"/>
      <w:bookmarkStart w:id="518" w:name="_Toc20669813"/>
      <w:r>
        <w:rPr>
          <w:rFonts w:hint="eastAsia"/>
          <w:b/>
          <w:sz w:val="48"/>
          <w:szCs w:val="48"/>
        </w:rPr>
        <w:t>装配式综合管廊施工及验收标准</w:t>
      </w:r>
      <w:bookmarkEnd w:id="516"/>
      <w:bookmarkEnd w:id="517"/>
      <w:bookmarkEnd w:id="518"/>
    </w:p>
    <w:p>
      <w:pPr>
        <w:jc w:val="center"/>
        <w:rPr>
          <w:b/>
          <w:sz w:val="28"/>
          <w:szCs w:val="28"/>
        </w:rPr>
      </w:pPr>
    </w:p>
    <w:p>
      <w:pPr>
        <w:jc w:val="center"/>
        <w:rPr>
          <w:b/>
          <w:bCs/>
          <w:sz w:val="28"/>
          <w:szCs w:val="28"/>
        </w:rPr>
      </w:pPr>
    </w:p>
    <w:p>
      <w:pPr>
        <w:jc w:val="center"/>
        <w:rPr>
          <w:b/>
          <w:sz w:val="28"/>
          <w:szCs w:val="28"/>
        </w:rPr>
      </w:pPr>
      <w:r>
        <w:rPr>
          <w:b/>
          <w:sz w:val="28"/>
          <w:szCs w:val="28"/>
        </w:rPr>
        <w:t>DBJ XXXX-20</w:t>
      </w:r>
      <w:r>
        <w:rPr>
          <w:rFonts w:hint="eastAsia"/>
          <w:b/>
          <w:sz w:val="28"/>
          <w:szCs w:val="28"/>
        </w:rPr>
        <w:t>2</w:t>
      </w:r>
      <w:r>
        <w:rPr>
          <w:b/>
          <w:sz w:val="28"/>
          <w:szCs w:val="28"/>
        </w:rPr>
        <w:t>X</w:t>
      </w:r>
    </w:p>
    <w:p>
      <w:pPr>
        <w:jc w:val="center"/>
        <w:rPr>
          <w:b/>
          <w:sz w:val="28"/>
          <w:szCs w:val="28"/>
        </w:rPr>
      </w:pPr>
    </w:p>
    <w:p>
      <w:pPr>
        <w:jc w:val="center"/>
        <w:rPr>
          <w:b/>
          <w:sz w:val="30"/>
          <w:szCs w:val="30"/>
        </w:rPr>
      </w:pPr>
      <w:r>
        <w:rPr>
          <w:rFonts w:hint="eastAsia"/>
          <w:b/>
          <w:sz w:val="30"/>
          <w:szCs w:val="30"/>
        </w:rPr>
        <w:t>条文说明</w:t>
      </w:r>
    </w:p>
    <w:p>
      <w:pPr>
        <w:jc w:val="center"/>
        <w:rPr>
          <w:b/>
          <w:sz w:val="30"/>
          <w:szCs w:val="30"/>
        </w:rPr>
      </w:pPr>
    </w:p>
    <w:p>
      <w:pPr>
        <w:jc w:val="center"/>
        <w:rPr>
          <w:rFonts w:eastAsia="新宋体" w:cs="Times New Roman"/>
          <w:b/>
          <w:sz w:val="32"/>
          <w:szCs w:val="28"/>
        </w:rPr>
      </w:pPr>
    </w:p>
    <w:p>
      <w:pPr>
        <w:widowControl/>
        <w:spacing w:line="240" w:lineRule="auto"/>
        <w:jc w:val="center"/>
        <w:textAlignment w:val="auto"/>
        <w:rPr>
          <w:rFonts w:cs="Times New Roman"/>
          <w:b/>
          <w:bCs/>
          <w:sz w:val="28"/>
          <w:szCs w:val="28"/>
          <w:highlight w:val="yellow"/>
        </w:rPr>
      </w:pPr>
    </w:p>
    <w:p>
      <w:pPr>
        <w:widowControl/>
        <w:spacing w:line="240" w:lineRule="auto"/>
        <w:jc w:val="center"/>
        <w:textAlignment w:val="auto"/>
        <w:rPr>
          <w:rFonts w:cs="Times New Roman"/>
          <w:b/>
          <w:bCs/>
          <w:sz w:val="28"/>
          <w:szCs w:val="28"/>
          <w:highlight w:val="yellow"/>
        </w:rPr>
      </w:pPr>
    </w:p>
    <w:p>
      <w:pPr>
        <w:widowControl/>
        <w:spacing w:line="240" w:lineRule="auto"/>
        <w:jc w:val="center"/>
        <w:textAlignment w:val="auto"/>
        <w:rPr>
          <w:rFonts w:cs="Times New Roman"/>
          <w:b/>
          <w:bCs/>
          <w:sz w:val="28"/>
          <w:szCs w:val="28"/>
          <w:highlight w:val="yellow"/>
        </w:rPr>
      </w:pPr>
    </w:p>
    <w:p>
      <w:pPr>
        <w:widowControl/>
        <w:spacing w:line="240" w:lineRule="auto"/>
        <w:jc w:val="center"/>
        <w:textAlignment w:val="auto"/>
        <w:rPr>
          <w:rFonts w:cs="Times New Roman"/>
          <w:b/>
          <w:bCs/>
          <w:sz w:val="28"/>
          <w:szCs w:val="28"/>
          <w:highlight w:val="yellow"/>
        </w:rPr>
      </w:pPr>
    </w:p>
    <w:p>
      <w:pPr>
        <w:widowControl/>
        <w:spacing w:line="240" w:lineRule="auto"/>
        <w:jc w:val="center"/>
        <w:textAlignment w:val="auto"/>
        <w:rPr>
          <w:rFonts w:cs="Times New Roman"/>
          <w:b/>
          <w:bCs/>
          <w:sz w:val="28"/>
          <w:szCs w:val="28"/>
          <w:highlight w:val="yellow"/>
        </w:rPr>
      </w:pPr>
    </w:p>
    <w:p>
      <w:pPr>
        <w:widowControl/>
        <w:spacing w:line="240" w:lineRule="auto"/>
        <w:jc w:val="center"/>
        <w:textAlignment w:val="auto"/>
        <w:rPr>
          <w:rFonts w:cs="Times New Roman"/>
          <w:b/>
          <w:bCs/>
          <w:sz w:val="28"/>
          <w:szCs w:val="28"/>
          <w:highlight w:val="yellow"/>
        </w:rPr>
      </w:pPr>
    </w:p>
    <w:p>
      <w:pPr>
        <w:widowControl/>
        <w:spacing w:line="240" w:lineRule="auto"/>
        <w:jc w:val="center"/>
        <w:textAlignment w:val="auto"/>
        <w:rPr>
          <w:rFonts w:cs="Times New Roman"/>
          <w:b/>
          <w:bCs/>
          <w:sz w:val="28"/>
          <w:szCs w:val="28"/>
        </w:rPr>
        <w:sectPr>
          <w:headerReference r:id="rId9" w:type="first"/>
          <w:headerReference r:id="rId7" w:type="default"/>
          <w:footerReference r:id="rId10" w:type="default"/>
          <w:headerReference r:id="rId8" w:type="even"/>
          <w:pgSz w:w="11906" w:h="16838"/>
          <w:pgMar w:top="1276" w:right="1276" w:bottom="1276" w:left="1418" w:header="851" w:footer="891" w:gutter="0"/>
          <w:cols w:space="0" w:num="1"/>
          <w:docGrid w:type="lines" w:linePitch="332" w:charSpace="0"/>
        </w:sectPr>
      </w:pPr>
    </w:p>
    <w:p>
      <w:pPr>
        <w:pStyle w:val="2"/>
        <w:bidi w:val="0"/>
        <w:rPr>
          <w:rFonts w:hint="eastAsia"/>
        </w:rPr>
      </w:pPr>
      <w:bookmarkStart w:id="519" w:name="_Toc18351"/>
      <w:bookmarkStart w:id="520" w:name="_Toc5291"/>
      <w:bookmarkStart w:id="521" w:name="_Toc11347"/>
      <w:bookmarkStart w:id="522" w:name="_Toc808"/>
      <w:bookmarkStart w:id="523" w:name="_Toc5407"/>
      <w:bookmarkStart w:id="524" w:name="_Toc1019"/>
      <w:bookmarkStart w:id="525" w:name="_Toc18376"/>
      <w:bookmarkStart w:id="526" w:name="_Toc1878"/>
      <w:bookmarkStart w:id="527" w:name="_Toc22909"/>
      <w:bookmarkStart w:id="528" w:name="_Toc2540"/>
      <w:bookmarkStart w:id="529" w:name="_Toc6951"/>
      <w:bookmarkStart w:id="530" w:name="_Toc15439"/>
      <w:bookmarkStart w:id="531" w:name="_Toc19963"/>
      <w:bookmarkStart w:id="532" w:name="_Toc12431"/>
      <w:bookmarkStart w:id="533" w:name="_Toc25540"/>
      <w:bookmarkStart w:id="534" w:name="_Toc17364190"/>
      <w:r>
        <w:rPr>
          <w:rFonts w:hint="eastAsia"/>
        </w:rPr>
        <w:t>制 定 说 明</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
      <w:pPr>
        <w:ind w:firstLine="480" w:firstLineChars="200"/>
      </w:pPr>
      <w:r>
        <w:rPr>
          <w:rFonts w:hint="eastAsia"/>
        </w:rPr>
        <w:t>《装配</w:t>
      </w:r>
      <w:r>
        <w:rPr>
          <w:rFonts w:hint="eastAsia"/>
          <w:lang w:eastAsia="zh-CN"/>
        </w:rPr>
        <w:t>式</w:t>
      </w:r>
      <w:r>
        <w:rPr>
          <w:rFonts w:hint="eastAsia"/>
        </w:rPr>
        <w:t>综合管廊施工及验收标准》经广东省住房和城乡建设厅202</w:t>
      </w:r>
      <w:r>
        <w:rPr>
          <w:rFonts w:hint="eastAsia"/>
          <w:lang w:val="en-US" w:eastAsia="zh-CN"/>
        </w:rPr>
        <w:t>2</w:t>
      </w:r>
      <w:r>
        <w:rPr>
          <w:rFonts w:hint="eastAsia"/>
        </w:rPr>
        <w:t xml:space="preserve"> 年 </w:t>
      </w:r>
      <w:r>
        <w:rPr>
          <w:rFonts w:hint="eastAsia"/>
          <w:lang w:val="en-US" w:eastAsia="zh-CN"/>
        </w:rPr>
        <w:t xml:space="preserve"> </w:t>
      </w:r>
      <w:r>
        <w:rPr>
          <w:rFonts w:hint="eastAsia"/>
        </w:rPr>
        <w:t>月</w:t>
      </w:r>
      <w:r>
        <w:rPr>
          <w:rFonts w:hint="eastAsia"/>
          <w:lang w:val="en-US" w:eastAsia="zh-CN"/>
        </w:rPr>
        <w:t xml:space="preserve">  </w:t>
      </w:r>
      <w:r>
        <w:rPr>
          <w:rFonts w:hint="eastAsia"/>
        </w:rPr>
        <w:t>日以</w:t>
      </w:r>
      <w:r>
        <w:rPr>
          <w:rFonts w:hint="eastAsia"/>
          <w:lang w:eastAsia="zh-CN"/>
        </w:rPr>
        <w:t>公告</w:t>
      </w:r>
      <w:r>
        <w:rPr>
          <w:rFonts w:hint="eastAsia"/>
        </w:rPr>
        <w:t>批准、发布。</w:t>
      </w:r>
    </w:p>
    <w:p>
      <w:pPr>
        <w:ind w:firstLine="480" w:firstLineChars="200"/>
      </w:pPr>
      <w:r>
        <w:rPr>
          <w:rFonts w:hint="eastAsia"/>
        </w:rPr>
        <w:t>本标准制定过程中，编制组进行了认真细致的调查研究，总结了我国预制装配综合管廊工程施工的实践经验，同时参考了现行国家标准及行业标准，为我</w:t>
      </w:r>
      <w:r>
        <w:rPr>
          <w:rFonts w:hint="eastAsia"/>
          <w:lang w:val="en-US" w:eastAsia="zh-CN"/>
        </w:rPr>
        <w:t>省</w:t>
      </w:r>
      <w:r>
        <w:rPr>
          <w:rFonts w:hint="eastAsia"/>
        </w:rPr>
        <w:t>装配</w:t>
      </w:r>
      <w:r>
        <w:rPr>
          <w:rFonts w:hint="eastAsia"/>
          <w:lang w:eastAsia="zh-CN"/>
        </w:rPr>
        <w:t>式</w:t>
      </w:r>
      <w:r>
        <w:rPr>
          <w:rFonts w:hint="eastAsia"/>
        </w:rPr>
        <w:t>综合管廊工程施工提供依据。</w:t>
      </w:r>
    </w:p>
    <w:p>
      <w:pPr>
        <w:ind w:firstLine="480" w:firstLineChars="200"/>
      </w:pPr>
      <w:r>
        <w:rPr>
          <w:rFonts w:hint="eastAsia"/>
        </w:rPr>
        <w:t>为便于广大设计、施工、科研、学校等单位有关人员在使用本标准时能正确理解和执行条文规定，《装配式综合管廊施工及验收标准》编制组按章、节、条顺序编制了本标准的条文说明供使用者参考，但是本条文说明不具备与标准正文同等的法律效力，仅供使用者作为理解和把握标准规定的参考。</w:t>
      </w:r>
    </w:p>
    <w:p>
      <w:pPr>
        <w:widowControl/>
        <w:spacing w:line="240" w:lineRule="auto"/>
        <w:jc w:val="center"/>
        <w:textAlignment w:val="auto"/>
        <w:rPr>
          <w:rFonts w:cs="Times New Roman"/>
          <w:b/>
          <w:bCs/>
          <w:sz w:val="28"/>
          <w:szCs w:val="28"/>
        </w:rPr>
        <w:sectPr>
          <w:pgSz w:w="11906" w:h="16838"/>
          <w:pgMar w:top="1276" w:right="1276" w:bottom="1276" w:left="1418" w:header="851" w:footer="891" w:gutter="0"/>
          <w:cols w:space="0" w:num="1"/>
          <w:docGrid w:type="lines" w:linePitch="332" w:charSpace="0"/>
        </w:sectPr>
      </w:pPr>
    </w:p>
    <w:p>
      <w:pPr>
        <w:pStyle w:val="28"/>
        <w:tabs>
          <w:tab w:val="right" w:leader="dot" w:pos="8306"/>
        </w:tabs>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 xml:space="preserve">目  </w:t>
      </w:r>
      <w:r>
        <w:rPr>
          <w:rFonts w:hint="default" w:ascii="Times New Roman" w:hAnsi="Times New Roman" w:eastAsia="宋体" w:cs="Times New Roman"/>
          <w:b/>
          <w:bCs/>
          <w:sz w:val="28"/>
          <w:szCs w:val="28"/>
          <w:lang w:val="en-US" w:eastAsia="zh-CN"/>
        </w:rPr>
        <w:t>次</w:t>
      </w:r>
    </w:p>
    <w:p>
      <w:pPr>
        <w:pStyle w:val="28"/>
        <w:tabs>
          <w:tab w:val="right" w:leader="dot" w:pos="9360"/>
        </w:tabs>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"1-2"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_Toc4597 </w:instrText>
      </w:r>
      <w:r>
        <w:rPr>
          <w:rFonts w:hint="default" w:ascii="Times New Roman" w:hAnsi="Times New Roman" w:eastAsia="宋体" w:cs="Times New Roman"/>
          <w:szCs w:val="24"/>
        </w:rPr>
        <w:fldChar w:fldCharType="separate"/>
      </w:r>
      <w:r>
        <w:rPr>
          <w:rFonts w:hint="eastAsia"/>
          <w:lang w:val="en-US" w:eastAsia="zh-CN"/>
        </w:rPr>
        <w:t xml:space="preserve">1  </w:t>
      </w:r>
      <w:r>
        <w:rPr>
          <w:rFonts w:hint="eastAsia"/>
          <w:lang w:eastAsia="zh-CN"/>
        </w:rPr>
        <w:t>总则</w:t>
      </w:r>
      <w:r>
        <w:tab/>
      </w:r>
      <w:r>
        <w:fldChar w:fldCharType="begin"/>
      </w:r>
      <w:r>
        <w:instrText xml:space="preserve"> PAGEREF _Toc4597 \h </w:instrText>
      </w:r>
      <w:r>
        <w:fldChar w:fldCharType="separate"/>
      </w:r>
      <w:r>
        <w:t>74</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_Toc18051 </w:instrText>
      </w:r>
      <w:r>
        <w:rPr>
          <w:rFonts w:hint="default" w:ascii="Times New Roman" w:hAnsi="Times New Roman" w:eastAsia="宋体" w:cs="Times New Roman"/>
          <w:szCs w:val="24"/>
        </w:rPr>
        <w:fldChar w:fldCharType="separate"/>
      </w:r>
      <w:r>
        <w:rPr>
          <w:rFonts w:hint="eastAsia"/>
          <w:lang w:val="en-US" w:eastAsia="zh-CN"/>
        </w:rPr>
        <w:t>2  术语</w:t>
      </w:r>
      <w:r>
        <w:tab/>
      </w:r>
      <w:r>
        <w:fldChar w:fldCharType="begin"/>
      </w:r>
      <w:r>
        <w:instrText xml:space="preserve"> PAGEREF _Toc18051 \h </w:instrText>
      </w:r>
      <w:r>
        <w:fldChar w:fldCharType="separate"/>
      </w:r>
      <w:r>
        <w:t>75</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_Toc23384 </w:instrText>
      </w:r>
      <w:r>
        <w:rPr>
          <w:rFonts w:hint="default" w:ascii="Times New Roman" w:hAnsi="Times New Roman" w:eastAsia="宋体" w:cs="Times New Roman"/>
          <w:szCs w:val="24"/>
        </w:rPr>
        <w:fldChar w:fldCharType="separate"/>
      </w:r>
      <w:r>
        <w:rPr>
          <w:rFonts w:hint="eastAsia"/>
          <w:lang w:val="en-US" w:eastAsia="zh-CN"/>
        </w:rPr>
        <w:t>3  基本规定</w:t>
      </w:r>
      <w:r>
        <w:tab/>
      </w:r>
      <w:r>
        <w:fldChar w:fldCharType="begin"/>
      </w:r>
      <w:r>
        <w:instrText xml:space="preserve"> PAGEREF _Toc23384 \h </w:instrText>
      </w:r>
      <w:r>
        <w:fldChar w:fldCharType="separate"/>
      </w:r>
      <w:r>
        <w:t>76</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_Toc23433 </w:instrText>
      </w:r>
      <w:r>
        <w:rPr>
          <w:rFonts w:hint="default" w:ascii="Times New Roman" w:hAnsi="Times New Roman" w:eastAsia="宋体" w:cs="Times New Roman"/>
          <w:szCs w:val="24"/>
        </w:rPr>
        <w:fldChar w:fldCharType="separate"/>
      </w:r>
      <w:r>
        <w:rPr>
          <w:rFonts w:hint="eastAsia"/>
          <w:lang w:val="en-US" w:eastAsia="zh-CN"/>
        </w:rPr>
        <w:t xml:space="preserve">4  </w:t>
      </w:r>
      <w:r>
        <w:rPr>
          <w:rFonts w:hint="eastAsia" w:asciiTheme="minorEastAsia" w:hAnsiTheme="minorEastAsia" w:eastAsiaTheme="minorEastAsia" w:cstheme="minorEastAsia"/>
          <w:szCs w:val="32"/>
        </w:rPr>
        <w:t>混凝土构件的预制、存放和运输</w:t>
      </w:r>
      <w:r>
        <w:tab/>
      </w:r>
      <w:r>
        <w:fldChar w:fldCharType="begin"/>
      </w:r>
      <w:r>
        <w:instrText xml:space="preserve"> PAGEREF _Toc23433 \h </w:instrText>
      </w:r>
      <w:r>
        <w:fldChar w:fldCharType="separate"/>
      </w:r>
      <w:r>
        <w:t>77</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_Toc23638 </w:instrText>
      </w:r>
      <w:r>
        <w:rPr>
          <w:rFonts w:hint="default" w:ascii="Times New Roman" w:hAnsi="Times New Roman" w:eastAsia="宋体" w:cs="Times New Roman"/>
          <w:szCs w:val="24"/>
        </w:rPr>
        <w:fldChar w:fldCharType="separate"/>
      </w:r>
      <w:r>
        <w:rPr>
          <w:rFonts w:hint="eastAsia"/>
          <w:lang w:val="en-US" w:eastAsia="zh-CN"/>
        </w:rPr>
        <w:t>4.1  一般规定</w:t>
      </w:r>
      <w:r>
        <w:tab/>
      </w:r>
      <w:r>
        <w:fldChar w:fldCharType="begin"/>
      </w:r>
      <w:r>
        <w:instrText xml:space="preserve"> PAGEREF _Toc23638 \h </w:instrText>
      </w:r>
      <w:r>
        <w:fldChar w:fldCharType="separate"/>
      </w:r>
      <w:r>
        <w:t>77</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_Toc23941 </w:instrText>
      </w:r>
      <w:r>
        <w:rPr>
          <w:rFonts w:hint="default" w:ascii="Times New Roman" w:hAnsi="Times New Roman" w:eastAsia="宋体" w:cs="Times New Roman"/>
          <w:szCs w:val="24"/>
        </w:rPr>
        <w:fldChar w:fldCharType="separate"/>
      </w:r>
      <w:r>
        <w:rPr>
          <w:rFonts w:hint="eastAsia"/>
          <w:lang w:val="en-US" w:eastAsia="zh-CN"/>
        </w:rPr>
        <w:t>4.2  材料</w:t>
      </w:r>
      <w:r>
        <w:tab/>
      </w:r>
      <w:r>
        <w:fldChar w:fldCharType="begin"/>
      </w:r>
      <w:r>
        <w:instrText xml:space="preserve"> PAGEREF _Toc23941 \h </w:instrText>
      </w:r>
      <w:r>
        <w:fldChar w:fldCharType="separate"/>
      </w:r>
      <w:r>
        <w:t>77</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_Toc30757 </w:instrText>
      </w:r>
      <w:r>
        <w:rPr>
          <w:rFonts w:hint="default" w:ascii="Times New Roman" w:hAnsi="Times New Roman" w:eastAsia="宋体" w:cs="Times New Roman"/>
          <w:szCs w:val="24"/>
        </w:rPr>
        <w:fldChar w:fldCharType="separate"/>
      </w:r>
      <w:r>
        <w:rPr>
          <w:rFonts w:hint="eastAsia"/>
          <w:lang w:val="en-US" w:eastAsia="zh-CN"/>
        </w:rPr>
        <w:t>4.4  钢筋工程</w:t>
      </w:r>
      <w:r>
        <w:tab/>
      </w:r>
      <w:r>
        <w:fldChar w:fldCharType="begin"/>
      </w:r>
      <w:r>
        <w:instrText xml:space="preserve"> PAGEREF _Toc30757 \h </w:instrText>
      </w:r>
      <w:r>
        <w:fldChar w:fldCharType="separate"/>
      </w:r>
      <w:r>
        <w:t>77</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_Toc4838 </w:instrText>
      </w:r>
      <w:r>
        <w:rPr>
          <w:rFonts w:hint="default" w:ascii="Times New Roman" w:hAnsi="Times New Roman" w:eastAsia="宋体" w:cs="Times New Roman"/>
          <w:szCs w:val="24"/>
        </w:rPr>
        <w:fldChar w:fldCharType="separate"/>
      </w:r>
      <w:r>
        <w:t xml:space="preserve">4.5 </w:t>
      </w:r>
      <w:r>
        <w:rPr>
          <w:rFonts w:hint="eastAsia"/>
        </w:rPr>
        <w:t xml:space="preserve"> </w:t>
      </w:r>
      <w:r>
        <w:t>混凝土浇筑、脱模</w:t>
      </w:r>
      <w:r>
        <w:tab/>
      </w:r>
      <w:r>
        <w:fldChar w:fldCharType="begin"/>
      </w:r>
      <w:r>
        <w:instrText xml:space="preserve"> PAGEREF _Toc4838 \h </w:instrText>
      </w:r>
      <w:r>
        <w:fldChar w:fldCharType="separate"/>
      </w:r>
      <w:r>
        <w:t>78</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_Toc29487 </w:instrText>
      </w:r>
      <w:r>
        <w:rPr>
          <w:rFonts w:hint="default" w:ascii="Times New Roman" w:hAnsi="Times New Roman" w:eastAsia="宋体" w:cs="Times New Roman"/>
          <w:szCs w:val="24"/>
        </w:rPr>
        <w:fldChar w:fldCharType="separate"/>
      </w:r>
      <w:r>
        <w:rPr>
          <w:rFonts w:hint="eastAsia"/>
          <w:lang w:val="en-US" w:eastAsia="zh-CN"/>
        </w:rPr>
        <w:t>4.6  构件养护</w:t>
      </w:r>
      <w:r>
        <w:tab/>
      </w:r>
      <w:r>
        <w:fldChar w:fldCharType="begin"/>
      </w:r>
      <w:r>
        <w:instrText xml:space="preserve"> PAGEREF _Toc29487 \h </w:instrText>
      </w:r>
      <w:r>
        <w:fldChar w:fldCharType="separate"/>
      </w:r>
      <w:r>
        <w:t>78</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_Toc12129 </w:instrText>
      </w:r>
      <w:r>
        <w:rPr>
          <w:rFonts w:hint="default" w:ascii="Times New Roman" w:hAnsi="Times New Roman" w:eastAsia="宋体" w:cs="Times New Roman"/>
          <w:szCs w:val="24"/>
        </w:rPr>
        <w:fldChar w:fldCharType="separate"/>
      </w:r>
      <w:r>
        <w:rPr>
          <w:rFonts w:hint="eastAsia"/>
          <w:lang w:val="en-US" w:eastAsia="zh-CN"/>
        </w:rPr>
        <w:t>4.7  构件质量检验</w:t>
      </w:r>
      <w:r>
        <w:tab/>
      </w:r>
      <w:r>
        <w:fldChar w:fldCharType="begin"/>
      </w:r>
      <w:r>
        <w:instrText xml:space="preserve"> PAGEREF _Toc12129 \h </w:instrText>
      </w:r>
      <w:r>
        <w:fldChar w:fldCharType="separate"/>
      </w:r>
      <w:r>
        <w:t>78</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_Toc22424 </w:instrText>
      </w:r>
      <w:r>
        <w:rPr>
          <w:rFonts w:hint="default" w:ascii="Times New Roman" w:hAnsi="Times New Roman" w:eastAsia="宋体" w:cs="Times New Roman"/>
          <w:szCs w:val="24"/>
        </w:rPr>
        <w:fldChar w:fldCharType="separate"/>
      </w:r>
      <w:r>
        <w:t xml:space="preserve">4.8 </w:t>
      </w:r>
      <w:r>
        <w:rPr>
          <w:rFonts w:hint="eastAsia"/>
        </w:rPr>
        <w:t xml:space="preserve"> 存放</w:t>
      </w:r>
      <w:r>
        <w:t>及运输</w:t>
      </w:r>
      <w:r>
        <w:tab/>
      </w:r>
      <w:r>
        <w:fldChar w:fldCharType="begin"/>
      </w:r>
      <w:r>
        <w:instrText xml:space="preserve"> PAGEREF _Toc22424 \h </w:instrText>
      </w:r>
      <w:r>
        <w:fldChar w:fldCharType="separate"/>
      </w:r>
      <w:r>
        <w:t>79</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_Toc11456 </w:instrText>
      </w:r>
      <w:r>
        <w:rPr>
          <w:rFonts w:hint="default" w:ascii="Times New Roman" w:hAnsi="Times New Roman" w:eastAsia="宋体" w:cs="Times New Roman"/>
          <w:szCs w:val="24"/>
        </w:rPr>
        <w:fldChar w:fldCharType="separate"/>
      </w:r>
      <w:r>
        <w:rPr>
          <w:rFonts w:hint="eastAsia" w:cs="Times New Roman"/>
        </w:rPr>
        <w:t>5  基坑（槽）与</w:t>
      </w:r>
      <w:r>
        <w:rPr>
          <w:rFonts w:cs="Times New Roman"/>
          <w:lang w:val="el-GR"/>
        </w:rPr>
        <w:t>地基基础</w:t>
      </w:r>
      <w:r>
        <w:tab/>
      </w:r>
      <w:r>
        <w:fldChar w:fldCharType="begin"/>
      </w:r>
      <w:r>
        <w:instrText xml:space="preserve"> PAGEREF _Toc11456 \h </w:instrText>
      </w:r>
      <w:r>
        <w:fldChar w:fldCharType="separate"/>
      </w:r>
      <w:r>
        <w:t>80</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_Toc22351 </w:instrText>
      </w:r>
      <w:r>
        <w:rPr>
          <w:rFonts w:hint="default" w:ascii="Times New Roman" w:hAnsi="Times New Roman" w:eastAsia="宋体" w:cs="Times New Roman"/>
          <w:szCs w:val="24"/>
        </w:rPr>
        <w:fldChar w:fldCharType="separate"/>
      </w:r>
      <w:r>
        <w:t>5.1  一般规定</w:t>
      </w:r>
      <w:r>
        <w:tab/>
      </w:r>
      <w:r>
        <w:fldChar w:fldCharType="begin"/>
      </w:r>
      <w:r>
        <w:instrText xml:space="preserve"> PAGEREF _Toc22351 \h </w:instrText>
      </w:r>
      <w:r>
        <w:fldChar w:fldCharType="separate"/>
      </w:r>
      <w:r>
        <w:t>80</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_Toc24385 </w:instrText>
      </w:r>
      <w:r>
        <w:rPr>
          <w:rFonts w:hint="default" w:ascii="Times New Roman" w:hAnsi="Times New Roman" w:eastAsia="宋体" w:cs="Times New Roman"/>
          <w:szCs w:val="24"/>
        </w:rPr>
        <w:fldChar w:fldCharType="separate"/>
      </w:r>
      <w:r>
        <w:rPr>
          <w:rFonts w:hint="eastAsia"/>
          <w:lang w:val="en-US" w:eastAsia="zh-CN"/>
        </w:rPr>
        <w:t xml:space="preserve">5.2  </w:t>
      </w:r>
      <w:r>
        <w:t>基坑（槽）工程</w:t>
      </w:r>
      <w:r>
        <w:tab/>
      </w:r>
      <w:r>
        <w:fldChar w:fldCharType="begin"/>
      </w:r>
      <w:r>
        <w:instrText xml:space="preserve"> PAGEREF _Toc24385 \h </w:instrText>
      </w:r>
      <w:r>
        <w:fldChar w:fldCharType="separate"/>
      </w:r>
      <w:r>
        <w:t>80</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_Toc24446 </w:instrText>
      </w:r>
      <w:r>
        <w:rPr>
          <w:rFonts w:hint="default" w:ascii="Times New Roman" w:hAnsi="Times New Roman" w:eastAsia="宋体" w:cs="Times New Roman"/>
          <w:szCs w:val="24"/>
        </w:rPr>
        <w:fldChar w:fldCharType="separate"/>
      </w:r>
      <w:r>
        <w:rPr>
          <w:rFonts w:hint="eastAsia"/>
          <w:lang w:val="en-US" w:eastAsia="zh-CN"/>
        </w:rPr>
        <w:t>5.3  地基与基础工程</w:t>
      </w:r>
      <w:r>
        <w:tab/>
      </w:r>
      <w:r>
        <w:fldChar w:fldCharType="begin"/>
      </w:r>
      <w:r>
        <w:instrText xml:space="preserve"> PAGEREF _Toc24446 \h </w:instrText>
      </w:r>
      <w:r>
        <w:fldChar w:fldCharType="separate"/>
      </w:r>
      <w:r>
        <w:t>80</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_Toc18877 </w:instrText>
      </w:r>
      <w:r>
        <w:rPr>
          <w:rFonts w:hint="default" w:ascii="Times New Roman" w:hAnsi="Times New Roman" w:eastAsia="宋体" w:cs="Times New Roman"/>
          <w:szCs w:val="24"/>
        </w:rPr>
        <w:fldChar w:fldCharType="separate"/>
      </w:r>
      <w:r>
        <w:t>5.4  基坑回填</w:t>
      </w:r>
      <w:r>
        <w:tab/>
      </w:r>
      <w:r>
        <w:fldChar w:fldCharType="begin"/>
      </w:r>
      <w:r>
        <w:instrText xml:space="preserve"> PAGEREF _Toc18877 \h </w:instrText>
      </w:r>
      <w:r>
        <w:fldChar w:fldCharType="separate"/>
      </w:r>
      <w:r>
        <w:t>81</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_Toc28811 </w:instrText>
      </w:r>
      <w:r>
        <w:rPr>
          <w:rFonts w:hint="default" w:ascii="Times New Roman" w:hAnsi="Times New Roman" w:eastAsia="宋体" w:cs="Times New Roman"/>
          <w:szCs w:val="24"/>
        </w:rPr>
        <w:fldChar w:fldCharType="separate"/>
      </w:r>
      <w:r>
        <w:rPr>
          <w:rFonts w:hint="eastAsia"/>
          <w:lang w:val="en-US" w:eastAsia="zh-CN"/>
        </w:rPr>
        <w:t>5.5  质量检验与控制</w:t>
      </w:r>
      <w:r>
        <w:tab/>
      </w:r>
      <w:r>
        <w:fldChar w:fldCharType="begin"/>
      </w:r>
      <w:r>
        <w:instrText xml:space="preserve"> PAGEREF _Toc28811 \h </w:instrText>
      </w:r>
      <w:r>
        <w:fldChar w:fldCharType="separate"/>
      </w:r>
      <w:r>
        <w:t>81</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_Toc6191 </w:instrText>
      </w:r>
      <w:r>
        <w:rPr>
          <w:rFonts w:hint="default" w:ascii="Times New Roman" w:hAnsi="Times New Roman" w:eastAsia="宋体" w:cs="Times New Roman"/>
          <w:szCs w:val="24"/>
        </w:rPr>
        <w:fldChar w:fldCharType="separate"/>
      </w:r>
      <w:r>
        <w:t xml:space="preserve">6 </w:t>
      </w:r>
      <w:r>
        <w:rPr>
          <w:rFonts w:hint="eastAsia"/>
        </w:rPr>
        <w:t xml:space="preserve"> </w:t>
      </w:r>
      <w:r>
        <w:t>节段预制管廊的装配</w:t>
      </w:r>
      <w:r>
        <w:tab/>
      </w:r>
      <w:r>
        <w:fldChar w:fldCharType="begin"/>
      </w:r>
      <w:r>
        <w:instrText xml:space="preserve"> PAGEREF _Toc6191 \h </w:instrText>
      </w:r>
      <w:r>
        <w:fldChar w:fldCharType="separate"/>
      </w:r>
      <w:r>
        <w:t>82</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_Toc9993 </w:instrText>
      </w:r>
      <w:r>
        <w:rPr>
          <w:rFonts w:hint="default" w:ascii="Times New Roman" w:hAnsi="Times New Roman" w:eastAsia="宋体" w:cs="Times New Roman"/>
          <w:szCs w:val="24"/>
        </w:rPr>
        <w:fldChar w:fldCharType="separate"/>
      </w:r>
      <w:r>
        <w:rPr>
          <w:rFonts w:hint="eastAsia"/>
          <w:lang w:val="en-US" w:eastAsia="zh-CN"/>
        </w:rPr>
        <w:t xml:space="preserve">6.2  </w:t>
      </w:r>
      <w:r>
        <w:rPr>
          <w:rFonts w:hint="eastAsia"/>
        </w:rPr>
        <w:t>节段管廊安装</w:t>
      </w:r>
      <w:r>
        <w:tab/>
      </w:r>
      <w:r>
        <w:fldChar w:fldCharType="begin"/>
      </w:r>
      <w:r>
        <w:instrText xml:space="preserve"> PAGEREF _Toc9993 \h </w:instrText>
      </w:r>
      <w:r>
        <w:fldChar w:fldCharType="separate"/>
      </w:r>
      <w:r>
        <w:t>82</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_Toc6999 </w:instrText>
      </w:r>
      <w:r>
        <w:rPr>
          <w:rFonts w:hint="default" w:ascii="Times New Roman" w:hAnsi="Times New Roman" w:eastAsia="宋体" w:cs="Times New Roman"/>
          <w:szCs w:val="24"/>
        </w:rPr>
        <w:fldChar w:fldCharType="separate"/>
      </w:r>
      <w:r>
        <w:t xml:space="preserve">6.3 </w:t>
      </w:r>
      <w:r>
        <w:rPr>
          <w:rFonts w:hint="eastAsia"/>
        </w:rPr>
        <w:t xml:space="preserve"> 节段管廊连接</w:t>
      </w:r>
      <w:r>
        <w:tab/>
      </w:r>
      <w:r>
        <w:fldChar w:fldCharType="begin"/>
      </w:r>
      <w:r>
        <w:instrText xml:space="preserve"> PAGEREF _Toc6999 \h </w:instrText>
      </w:r>
      <w:r>
        <w:fldChar w:fldCharType="separate"/>
      </w:r>
      <w:r>
        <w:t>83</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_Toc1355 </w:instrText>
      </w:r>
      <w:r>
        <w:rPr>
          <w:rFonts w:hint="default" w:ascii="Times New Roman" w:hAnsi="Times New Roman" w:eastAsia="宋体" w:cs="Times New Roman"/>
          <w:szCs w:val="24"/>
        </w:rPr>
        <w:fldChar w:fldCharType="separate"/>
      </w:r>
      <w:r>
        <w:rPr>
          <w:rFonts w:hint="eastAsia"/>
        </w:rPr>
        <w:t>7  叠合预制管廊的装配</w:t>
      </w:r>
      <w:r>
        <w:tab/>
      </w:r>
      <w:r>
        <w:fldChar w:fldCharType="begin"/>
      </w:r>
      <w:r>
        <w:instrText xml:space="preserve"> PAGEREF _Toc1355 \h </w:instrText>
      </w:r>
      <w:r>
        <w:fldChar w:fldCharType="separate"/>
      </w:r>
      <w:r>
        <w:t>86</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_Toc13960 </w:instrText>
      </w:r>
      <w:r>
        <w:rPr>
          <w:rFonts w:hint="default" w:ascii="Times New Roman" w:hAnsi="Times New Roman" w:eastAsia="宋体" w:cs="Times New Roman"/>
          <w:szCs w:val="24"/>
        </w:rPr>
        <w:fldChar w:fldCharType="separate"/>
      </w:r>
      <w:r>
        <w:rPr>
          <w:rFonts w:cs="Times New Roman"/>
        </w:rPr>
        <w:t>7.1  一般规定</w:t>
      </w:r>
      <w:r>
        <w:tab/>
      </w:r>
      <w:r>
        <w:fldChar w:fldCharType="begin"/>
      </w:r>
      <w:r>
        <w:instrText xml:space="preserve"> PAGEREF _Toc13960 \h </w:instrText>
      </w:r>
      <w:r>
        <w:fldChar w:fldCharType="separate"/>
      </w:r>
      <w:r>
        <w:t>86</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_Toc19062 </w:instrText>
      </w:r>
      <w:r>
        <w:rPr>
          <w:rFonts w:hint="default" w:ascii="Times New Roman" w:hAnsi="Times New Roman" w:eastAsia="宋体" w:cs="Times New Roman"/>
          <w:szCs w:val="24"/>
        </w:rPr>
        <w:fldChar w:fldCharType="separate"/>
      </w:r>
      <w:r>
        <w:rPr>
          <w:rFonts w:hint="eastAsia"/>
          <w:lang w:val="en-US" w:eastAsia="zh-CN"/>
        </w:rPr>
        <w:t>7.2  叠合构件安装</w:t>
      </w:r>
      <w:r>
        <w:tab/>
      </w:r>
      <w:r>
        <w:fldChar w:fldCharType="begin"/>
      </w:r>
      <w:r>
        <w:instrText xml:space="preserve"> PAGEREF _Toc19062 \h </w:instrText>
      </w:r>
      <w:r>
        <w:fldChar w:fldCharType="separate"/>
      </w:r>
      <w:r>
        <w:t>86</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_Toc30954 </w:instrText>
      </w:r>
      <w:r>
        <w:rPr>
          <w:rFonts w:hint="default" w:ascii="Times New Roman" w:hAnsi="Times New Roman" w:eastAsia="宋体" w:cs="Times New Roman"/>
          <w:szCs w:val="24"/>
        </w:rPr>
        <w:fldChar w:fldCharType="separate"/>
      </w:r>
      <w:r>
        <w:rPr>
          <w:rFonts w:hint="eastAsia"/>
        </w:rPr>
        <w:t>8 分块预制管廊的装配</w:t>
      </w:r>
      <w:r>
        <w:tab/>
      </w:r>
      <w:r>
        <w:fldChar w:fldCharType="begin"/>
      </w:r>
      <w:r>
        <w:instrText xml:space="preserve"> PAGEREF _Toc30954 \h </w:instrText>
      </w:r>
      <w:r>
        <w:fldChar w:fldCharType="separate"/>
      </w:r>
      <w:r>
        <w:t>87</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_Toc19272 </w:instrText>
      </w:r>
      <w:r>
        <w:rPr>
          <w:rFonts w:hint="default" w:ascii="Times New Roman" w:hAnsi="Times New Roman" w:eastAsia="宋体" w:cs="Times New Roman"/>
          <w:szCs w:val="24"/>
        </w:rPr>
        <w:fldChar w:fldCharType="separate"/>
      </w:r>
      <w:r>
        <w:rPr>
          <w:rFonts w:hint="eastAsia"/>
          <w:lang w:val="en-US" w:eastAsia="zh-CN"/>
        </w:rPr>
        <w:t>8.1  一般规定</w:t>
      </w:r>
      <w:r>
        <w:tab/>
      </w:r>
      <w:r>
        <w:fldChar w:fldCharType="begin"/>
      </w:r>
      <w:r>
        <w:instrText xml:space="preserve"> PAGEREF _Toc19272 \h </w:instrText>
      </w:r>
      <w:r>
        <w:fldChar w:fldCharType="separate"/>
      </w:r>
      <w:r>
        <w:t>87</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_Toc9646 </w:instrText>
      </w:r>
      <w:r>
        <w:rPr>
          <w:rFonts w:hint="default" w:ascii="Times New Roman" w:hAnsi="Times New Roman" w:eastAsia="宋体" w:cs="Times New Roman"/>
          <w:szCs w:val="24"/>
        </w:rPr>
        <w:fldChar w:fldCharType="separate"/>
      </w:r>
      <w:r>
        <w:rPr>
          <w:rFonts w:hint="eastAsia"/>
          <w:lang w:val="en-US" w:eastAsia="zh-CN"/>
        </w:rPr>
        <w:t>8.2  分块构件安装</w:t>
      </w:r>
      <w:r>
        <w:tab/>
      </w:r>
      <w:r>
        <w:fldChar w:fldCharType="begin"/>
      </w:r>
      <w:r>
        <w:instrText xml:space="preserve"> PAGEREF _Toc9646 \h </w:instrText>
      </w:r>
      <w:r>
        <w:fldChar w:fldCharType="separate"/>
      </w:r>
      <w:r>
        <w:t>88</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_Toc8684 </w:instrText>
      </w:r>
      <w:r>
        <w:rPr>
          <w:rFonts w:hint="default" w:ascii="Times New Roman" w:hAnsi="Times New Roman" w:eastAsia="宋体" w:cs="Times New Roman"/>
          <w:szCs w:val="24"/>
        </w:rPr>
        <w:fldChar w:fldCharType="separate"/>
      </w:r>
      <w:r>
        <w:rPr>
          <w:rFonts w:cs="Times New Roman"/>
          <w:szCs w:val="28"/>
        </w:rPr>
        <w:t xml:space="preserve">8.3 </w:t>
      </w:r>
      <w:r>
        <w:rPr>
          <w:rFonts w:hint="eastAsia" w:cs="Times New Roman"/>
          <w:szCs w:val="28"/>
        </w:rPr>
        <w:t xml:space="preserve"> </w:t>
      </w:r>
      <w:r>
        <w:rPr>
          <w:rFonts w:cs="Times New Roman"/>
          <w:szCs w:val="28"/>
        </w:rPr>
        <w:t>分块</w:t>
      </w:r>
      <w:r>
        <w:rPr>
          <w:rFonts w:hint="eastAsia" w:cs="Times New Roman"/>
          <w:szCs w:val="28"/>
        </w:rPr>
        <w:t>构件</w:t>
      </w:r>
      <w:r>
        <w:rPr>
          <w:rFonts w:cs="Times New Roman"/>
          <w:szCs w:val="28"/>
        </w:rPr>
        <w:t>连接</w:t>
      </w:r>
      <w:r>
        <w:tab/>
      </w:r>
      <w:r>
        <w:fldChar w:fldCharType="begin"/>
      </w:r>
      <w:r>
        <w:instrText xml:space="preserve"> PAGEREF _Toc8684 \h </w:instrText>
      </w:r>
      <w:r>
        <w:fldChar w:fldCharType="separate"/>
      </w:r>
      <w:r>
        <w:t>88</w:t>
      </w:r>
      <w:r>
        <w:fldChar w:fldCharType="end"/>
      </w:r>
      <w:r>
        <w:rPr>
          <w:rFonts w:hint="default" w:ascii="Times New Roman" w:hAnsi="Times New Roman" w:eastAsia="宋体" w:cs="Times New Roman"/>
          <w:szCs w:val="24"/>
        </w:rPr>
        <w:fldChar w:fldCharType="end"/>
      </w:r>
    </w:p>
    <w:p>
      <w:pPr>
        <w:pStyle w:val="28"/>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_Toc30099 </w:instrText>
      </w:r>
      <w:r>
        <w:rPr>
          <w:rFonts w:hint="default" w:ascii="Times New Roman" w:hAnsi="Times New Roman" w:eastAsia="宋体" w:cs="Times New Roman"/>
          <w:szCs w:val="24"/>
        </w:rPr>
        <w:fldChar w:fldCharType="separate"/>
      </w:r>
      <w:r>
        <w:rPr>
          <w:rFonts w:hint="eastAsia"/>
        </w:rPr>
        <w:t>9</w:t>
      </w:r>
      <w:r>
        <w:t xml:space="preserve"> </w:t>
      </w:r>
      <w:r>
        <w:rPr>
          <w:rFonts w:hint="eastAsia"/>
        </w:rPr>
        <w:t xml:space="preserve"> 节段预制管廊的顶进</w:t>
      </w:r>
      <w:r>
        <w:tab/>
      </w:r>
      <w:r>
        <w:fldChar w:fldCharType="begin"/>
      </w:r>
      <w:r>
        <w:instrText xml:space="preserve"> PAGEREF _Toc30099 \h </w:instrText>
      </w:r>
      <w:r>
        <w:fldChar w:fldCharType="separate"/>
      </w:r>
      <w:r>
        <w:t>90</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_Toc17918 </w:instrText>
      </w:r>
      <w:r>
        <w:rPr>
          <w:rFonts w:hint="default" w:ascii="Times New Roman" w:hAnsi="Times New Roman" w:eastAsia="宋体" w:cs="Times New Roman"/>
          <w:szCs w:val="24"/>
        </w:rPr>
        <w:fldChar w:fldCharType="separate"/>
      </w:r>
      <w:r>
        <w:rPr>
          <w:rFonts w:cs="Times New Roman"/>
          <w:szCs w:val="32"/>
        </w:rPr>
        <w:t>9.1  一般规定</w:t>
      </w:r>
      <w:r>
        <w:tab/>
      </w:r>
      <w:r>
        <w:fldChar w:fldCharType="begin"/>
      </w:r>
      <w:r>
        <w:instrText xml:space="preserve"> PAGEREF _Toc17918 \h </w:instrText>
      </w:r>
      <w:r>
        <w:fldChar w:fldCharType="separate"/>
      </w:r>
      <w:r>
        <w:t>90</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_Toc24488 </w:instrText>
      </w:r>
      <w:r>
        <w:rPr>
          <w:rFonts w:hint="default" w:ascii="Times New Roman" w:hAnsi="Times New Roman" w:eastAsia="宋体" w:cs="Times New Roman"/>
          <w:szCs w:val="24"/>
        </w:rPr>
        <w:fldChar w:fldCharType="separate"/>
      </w:r>
      <w:r>
        <w:rPr>
          <w:rFonts w:hint="eastAsia"/>
          <w:lang w:val="en-US" w:eastAsia="zh-CN"/>
        </w:rPr>
        <w:t>9.2  顶管始发与接收</w:t>
      </w:r>
      <w:r>
        <w:tab/>
      </w:r>
      <w:r>
        <w:fldChar w:fldCharType="begin"/>
      </w:r>
      <w:r>
        <w:instrText xml:space="preserve"> PAGEREF _Toc24488 \h </w:instrText>
      </w:r>
      <w:r>
        <w:fldChar w:fldCharType="separate"/>
      </w:r>
      <w:r>
        <w:t>91</w:t>
      </w:r>
      <w:r>
        <w:fldChar w:fldCharType="end"/>
      </w:r>
      <w:r>
        <w:rPr>
          <w:rFonts w:hint="default" w:ascii="Times New Roman" w:hAnsi="Times New Roman" w:eastAsia="宋体" w:cs="Times New Roman"/>
          <w:szCs w:val="24"/>
        </w:rPr>
        <w:fldChar w:fldCharType="end"/>
      </w:r>
    </w:p>
    <w:p>
      <w:pPr>
        <w:pStyle w:val="32"/>
        <w:tabs>
          <w:tab w:val="right" w:leader="dot" w:pos="9360"/>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_Toc16668 </w:instrText>
      </w:r>
      <w:r>
        <w:rPr>
          <w:rFonts w:hint="default" w:ascii="Times New Roman" w:hAnsi="Times New Roman" w:eastAsia="宋体" w:cs="Times New Roman"/>
          <w:szCs w:val="24"/>
        </w:rPr>
        <w:fldChar w:fldCharType="separate"/>
      </w:r>
      <w:r>
        <w:rPr>
          <w:rFonts w:hint="eastAsia"/>
          <w:lang w:val="en-US" w:eastAsia="zh-CN"/>
        </w:rPr>
        <w:t>9.3  顶管顶进</w:t>
      </w:r>
      <w:r>
        <w:tab/>
      </w:r>
      <w:r>
        <w:fldChar w:fldCharType="begin"/>
      </w:r>
      <w:r>
        <w:instrText xml:space="preserve"> PAGEREF _Toc16668 \h </w:instrText>
      </w:r>
      <w:r>
        <w:fldChar w:fldCharType="separate"/>
      </w:r>
      <w:r>
        <w:t>91</w:t>
      </w:r>
      <w:r>
        <w:fldChar w:fldCharType="end"/>
      </w:r>
      <w:r>
        <w:rPr>
          <w:rFonts w:hint="default" w:ascii="Times New Roman" w:hAnsi="Times New Roman" w:eastAsia="宋体" w:cs="Times New Roman"/>
          <w:szCs w:val="24"/>
        </w:rPr>
        <w:fldChar w:fldCharType="end"/>
      </w:r>
    </w:p>
    <w:p>
      <w:pPr>
        <w:ind w:firstLine="480" w:firstLineChars="200"/>
        <w:jc w:val="center"/>
        <w:rPr>
          <w:color w:val="0000FF"/>
        </w:rPr>
      </w:pPr>
      <w:r>
        <w:rPr>
          <w:rFonts w:hint="default" w:ascii="Times New Roman" w:hAnsi="Times New Roman" w:eastAsia="宋体" w:cs="Times New Roman"/>
          <w:szCs w:val="24"/>
        </w:rPr>
        <w:fldChar w:fldCharType="end"/>
      </w:r>
    </w:p>
    <w:p>
      <w:pPr>
        <w:ind w:firstLine="480" w:firstLineChars="200"/>
        <w:rPr>
          <w:color w:val="0000FF"/>
        </w:rPr>
        <w:sectPr>
          <w:pgSz w:w="12240" w:h="15840"/>
          <w:pgMar w:top="1440" w:right="1440" w:bottom="1440" w:left="1440" w:header="720" w:footer="720" w:gutter="0"/>
          <w:pgNumType w:fmt="decimal"/>
          <w:cols w:space="720" w:num="1"/>
          <w:docGrid w:linePitch="360" w:charSpace="0"/>
        </w:sectPr>
      </w:pPr>
    </w:p>
    <w:p>
      <w:pPr>
        <w:pStyle w:val="2"/>
        <w:bidi w:val="0"/>
        <w:rPr>
          <w:rFonts w:hint="eastAsia"/>
          <w:lang w:eastAsia="zh-CN"/>
        </w:rPr>
      </w:pPr>
      <w:bookmarkStart w:id="535" w:name="_Toc2165"/>
      <w:bookmarkStart w:id="536" w:name="_Toc11705"/>
      <w:bookmarkStart w:id="537" w:name="_Toc5510"/>
      <w:bookmarkStart w:id="538" w:name="_Toc31921"/>
      <w:bookmarkStart w:id="539" w:name="_Toc4597"/>
      <w:bookmarkStart w:id="540" w:name="_Toc26089"/>
      <w:bookmarkStart w:id="541" w:name="_Toc1527"/>
      <w:r>
        <w:rPr>
          <w:rFonts w:hint="eastAsia"/>
          <w:lang w:val="en-US" w:eastAsia="zh-CN"/>
        </w:rPr>
        <w:t xml:space="preserve">1  </w:t>
      </w:r>
      <w:r>
        <w:rPr>
          <w:rFonts w:hint="eastAsia"/>
          <w:lang w:eastAsia="zh-CN"/>
        </w:rPr>
        <w:t>总则</w:t>
      </w:r>
      <w:bookmarkEnd w:id="535"/>
      <w:bookmarkEnd w:id="536"/>
      <w:bookmarkEnd w:id="537"/>
      <w:bookmarkEnd w:id="538"/>
      <w:bookmarkEnd w:id="539"/>
      <w:bookmarkEnd w:id="540"/>
      <w:bookmarkEnd w:id="541"/>
    </w:p>
    <w:p>
      <w:pPr>
        <w:bidi w:val="0"/>
      </w:pPr>
      <w:r>
        <w:rPr>
          <w:rFonts w:hint="eastAsia" w:eastAsia="仿宋" w:cs="Times New Roman"/>
          <w:b/>
          <w:bCs/>
          <w:lang w:val="en-US" w:eastAsia="zh-CN"/>
        </w:rPr>
        <w:t xml:space="preserve">1.0.2  </w:t>
      </w:r>
      <w:r>
        <w:t>本</w:t>
      </w:r>
      <w:r>
        <w:rPr>
          <w:rFonts w:hint="eastAsia"/>
          <w:lang w:eastAsia="zh-CN"/>
        </w:rPr>
        <w:t>标准</w:t>
      </w:r>
      <w:r>
        <w:rPr>
          <w:rFonts w:hint="eastAsia"/>
          <w:lang w:val="en-US" w:eastAsia="zh-CN"/>
        </w:rPr>
        <w:t>适用于装配式钢筋混凝土综合管廊，不涉及装配式钢结构综合管廊。装配式钢筋混凝土管廊分为明挖法和顶管法两种工法，其中明挖法装配式式管廊包括</w:t>
      </w:r>
      <w:r>
        <w:t>节段预制管廊、叠合预制管廊</w:t>
      </w:r>
      <w:r>
        <w:rPr>
          <w:rFonts w:hint="eastAsia"/>
          <w:lang w:val="en-US" w:eastAsia="zh-CN"/>
        </w:rPr>
        <w:t>和</w:t>
      </w:r>
      <w:r>
        <w:t>分块预制管廊</w:t>
      </w:r>
      <w:r>
        <w:rPr>
          <w:rFonts w:hint="eastAsia"/>
          <w:lang w:val="en-US" w:eastAsia="zh-CN"/>
        </w:rPr>
        <w:t>等</w:t>
      </w:r>
      <w:r>
        <w:rPr>
          <w:rFonts w:hint="eastAsia"/>
          <w:lang w:eastAsia="zh-CN"/>
        </w:rPr>
        <w:t>。</w:t>
      </w:r>
      <w:r>
        <w:rPr>
          <w:rFonts w:hint="eastAsia"/>
          <w:lang w:val="en-US" w:eastAsia="zh-CN"/>
        </w:rPr>
        <w:t>本标准主要的内容包括管廊结构的土建工程施工及质量验收，</w:t>
      </w:r>
      <w:r>
        <w:t>本标准不涉及综合管廊的消防、通风、供电、照明、监控、排水等附属设施的施工及验收，附属设施的施工及验收可参照现行国家标准《城市综合管廊工程技术规范》GB 50838的相关规定执行。</w:t>
      </w:r>
    </w:p>
    <w:p>
      <w:pPr>
        <w:rPr>
          <w:rFonts w:hint="eastAsia"/>
          <w:lang w:eastAsia="zh-CN"/>
        </w:rPr>
        <w:sectPr>
          <w:pgSz w:w="11906" w:h="16838"/>
          <w:pgMar w:top="1276" w:right="1276" w:bottom="1276" w:left="1418" w:header="851" w:footer="891" w:gutter="0"/>
          <w:cols w:space="0" w:num="1"/>
          <w:docGrid w:type="lines" w:linePitch="332" w:charSpace="0"/>
        </w:sectPr>
      </w:pPr>
      <w:r>
        <w:rPr>
          <w:rFonts w:hint="eastAsia"/>
          <w:b/>
          <w:bCs/>
          <w:lang w:val="en-US" w:eastAsia="zh-CN"/>
        </w:rPr>
        <w:t>1.0.3</w:t>
      </w:r>
      <w:r>
        <w:rPr>
          <w:rFonts w:hint="eastAsia"/>
          <w:lang w:val="en-US" w:eastAsia="zh-CN"/>
        </w:rPr>
        <w:t xml:space="preserve">  </w:t>
      </w:r>
      <w:r>
        <w:rPr>
          <w:rFonts w:hint="eastAsia"/>
          <w:lang w:eastAsia="zh-CN"/>
        </w:rPr>
        <w:t>主要涉及下列规范：《城市综合管廊工程技术规范》GB 50838、《地下工程防水技术规范》GB 50108、《城市综合管廊运营服务规范》GB∕T 38550、《城市地下综合管廊运行维护及安全技术标准》GB 51354、</w:t>
      </w:r>
      <w:r>
        <w:rPr>
          <w:rFonts w:hint="eastAsia"/>
          <w:lang w:val="en-US" w:eastAsia="zh-CN"/>
        </w:rPr>
        <w:t>广东省标准</w:t>
      </w:r>
      <w:r>
        <w:rPr>
          <w:rFonts w:hint="eastAsia"/>
          <w:lang w:eastAsia="zh-CN"/>
        </w:rPr>
        <w:t>《城市综合管廊工程技术规程》DBJ/T15-188等。</w:t>
      </w:r>
    </w:p>
    <w:p>
      <w:pPr>
        <w:pStyle w:val="2"/>
        <w:bidi w:val="0"/>
        <w:rPr>
          <w:rFonts w:hint="eastAsia"/>
          <w:lang w:val="en-US" w:eastAsia="zh-CN"/>
        </w:rPr>
      </w:pPr>
      <w:bookmarkStart w:id="542" w:name="_Toc26387"/>
      <w:bookmarkStart w:id="543" w:name="_Toc11388"/>
      <w:bookmarkStart w:id="544" w:name="_Toc3148"/>
      <w:bookmarkStart w:id="545" w:name="_Toc18051"/>
      <w:bookmarkStart w:id="546" w:name="_Toc6778"/>
      <w:bookmarkStart w:id="547" w:name="_Toc12430"/>
      <w:bookmarkStart w:id="548" w:name="_Toc12279"/>
      <w:r>
        <w:rPr>
          <w:rFonts w:hint="eastAsia"/>
          <w:lang w:val="en-US" w:eastAsia="zh-CN"/>
        </w:rPr>
        <w:t>2  术语</w:t>
      </w:r>
      <w:bookmarkEnd w:id="542"/>
      <w:bookmarkEnd w:id="543"/>
      <w:bookmarkEnd w:id="544"/>
      <w:bookmarkEnd w:id="545"/>
      <w:bookmarkEnd w:id="546"/>
      <w:bookmarkEnd w:id="547"/>
      <w:bookmarkEnd w:id="548"/>
    </w:p>
    <w:p>
      <w:pPr>
        <w:rPr>
          <w:rFonts w:hint="default"/>
          <w:lang w:val="en-US" w:eastAsia="zh-CN"/>
        </w:rPr>
      </w:pPr>
      <w:r>
        <w:rPr>
          <w:rFonts w:hint="eastAsia"/>
          <w:b/>
          <w:bCs/>
          <w:lang w:val="en-US" w:eastAsia="zh-CN"/>
        </w:rPr>
        <w:t>2.0.5</w:t>
      </w:r>
      <w:r>
        <w:rPr>
          <w:rFonts w:hint="eastAsia"/>
          <w:lang w:val="en-US" w:eastAsia="zh-CN"/>
        </w:rPr>
        <w:t xml:space="preserve">  节段预制</w:t>
      </w:r>
      <w:r>
        <w:rPr>
          <w:rFonts w:hint="default"/>
          <w:lang w:val="en-US" w:eastAsia="zh-CN"/>
        </w:rPr>
        <w:t>管廊</w:t>
      </w:r>
      <w:r>
        <w:rPr>
          <w:rFonts w:hint="eastAsia"/>
          <w:lang w:val="en-US" w:eastAsia="zh-CN"/>
        </w:rPr>
        <w:t>的</w:t>
      </w:r>
      <w:r>
        <w:rPr>
          <w:rFonts w:hint="default"/>
          <w:lang w:val="en-US" w:eastAsia="zh-CN"/>
        </w:rPr>
        <w:t>节段包括两种情况，第一种是管廊节段全断面预制，每一节管廊就是一个预制构件；第二种是管廊节段在横断面分上、下两部分进行预制，每部分叫做节段构件，这样每节段管廊由两个节段构件组合而成。考虑到运输和起吊条件，每个管廊节段的长度一般为2.0m~3.0m。</w:t>
      </w:r>
    </w:p>
    <w:p>
      <w:pPr>
        <w:ind w:firstLine="480" w:firstLineChars="200"/>
        <w:rPr>
          <w:rFonts w:hint="default"/>
          <w:lang w:val="en-US" w:eastAsia="zh-CN"/>
        </w:rPr>
      </w:pPr>
      <w:r>
        <w:rPr>
          <w:rFonts w:hint="default"/>
          <w:lang w:val="en-US" w:eastAsia="zh-CN"/>
        </w:rPr>
        <w:t>对于分上、下两部分进行预制的</w:t>
      </w:r>
      <w:r>
        <w:rPr>
          <w:rFonts w:hint="eastAsia"/>
          <w:lang w:val="en-US" w:eastAsia="zh-CN"/>
        </w:rPr>
        <w:t>节段</w:t>
      </w:r>
      <w:r>
        <w:rPr>
          <w:rFonts w:hint="default"/>
          <w:lang w:val="en-US" w:eastAsia="zh-CN"/>
        </w:rPr>
        <w:t>管廊，在预制厂内，先制作节段构件，节段构件为预制管廊的基本制作单元；上节段构件和下节段构件在现场组合成一个完整的节段后，就可与已完成安装的管廊进行纵向装配，节段为</w:t>
      </w:r>
      <w:r>
        <w:rPr>
          <w:rFonts w:hint="eastAsia"/>
          <w:lang w:val="en-US" w:eastAsia="zh-CN"/>
        </w:rPr>
        <w:t>节段</w:t>
      </w:r>
      <w:r>
        <w:rPr>
          <w:rFonts w:hint="default"/>
          <w:lang w:val="en-US" w:eastAsia="zh-CN"/>
        </w:rPr>
        <w:t>预制管廊的基本装配单元。</w:t>
      </w:r>
    </w:p>
    <w:p>
      <w:pPr>
        <w:rPr>
          <w:rFonts w:hint="default"/>
          <w:lang w:val="en-US" w:eastAsia="zh-CN"/>
        </w:rPr>
      </w:pPr>
      <w:r>
        <w:rPr>
          <w:rFonts w:hint="default"/>
          <w:b/>
          <w:bCs/>
          <w:lang w:val="en-US" w:eastAsia="zh-CN"/>
        </w:rPr>
        <w:t>2.0.12</w:t>
      </w:r>
      <w:r>
        <w:rPr>
          <w:rFonts w:hint="eastAsia"/>
          <w:b/>
          <w:bCs/>
          <w:lang w:val="en-US" w:eastAsia="zh-CN"/>
        </w:rPr>
        <w:t>、</w:t>
      </w:r>
      <w:r>
        <w:rPr>
          <w:rFonts w:hint="default"/>
          <w:b/>
          <w:bCs/>
          <w:lang w:val="en-US" w:eastAsia="zh-CN"/>
        </w:rPr>
        <w:t>2.0.13</w:t>
      </w:r>
      <w:r>
        <w:rPr>
          <w:rFonts w:hint="default"/>
          <w:lang w:val="en-US" w:eastAsia="zh-CN"/>
        </w:rPr>
        <w:t xml:space="preserve"> </w:t>
      </w:r>
      <w:r>
        <w:rPr>
          <w:rFonts w:hint="eastAsia"/>
          <w:lang w:val="en-US" w:eastAsia="zh-CN"/>
        </w:rPr>
        <w:t xml:space="preserve"> </w:t>
      </w:r>
      <w:r>
        <w:rPr>
          <w:rFonts w:hint="default"/>
          <w:lang w:val="en-US" w:eastAsia="zh-CN"/>
        </w:rPr>
        <w:t>按构件混凝土浇筑成型时，其节长方向与水平方向关系的不同，可分为卧式模具和立式模具。本两条规定了立式模具和卧式模具的定义，模具主要由底座（兼作底模）、侧模、承插口端模、内模及其他辅助系统组成。</w:t>
      </w:r>
    </w:p>
    <w:p>
      <w:pPr>
        <w:rPr>
          <w:rFonts w:hint="default"/>
          <w:lang w:val="en-US" w:eastAsia="zh-CN"/>
        </w:rPr>
      </w:pPr>
      <w:r>
        <w:rPr>
          <w:rFonts w:hint="eastAsia"/>
          <w:b/>
          <w:bCs/>
          <w:lang w:val="en-US" w:eastAsia="zh-CN"/>
        </w:rPr>
        <w:t>2.0.15</w:t>
      </w:r>
      <w:r>
        <w:rPr>
          <w:rFonts w:hint="eastAsia"/>
          <w:lang w:val="en-US" w:eastAsia="zh-CN"/>
        </w:rPr>
        <w:t xml:space="preserve">  预拌流态固化土</w:t>
      </w:r>
      <w:r>
        <w:rPr>
          <w:rFonts w:hint="default"/>
          <w:lang w:val="en-US" w:eastAsia="zh-CN"/>
        </w:rPr>
        <w:t>的主要成分是土、固化剂和水，可根据土质和设计要求加入掺合料和外加剂。填筑料中的土，也可采用建筑垃圾等进行替代。</w:t>
      </w:r>
      <w:r>
        <w:rPr>
          <w:rFonts w:hint="eastAsia"/>
          <w:lang w:val="en-US" w:eastAsia="zh-CN"/>
        </w:rPr>
        <w:t>预拌流态固化土的</w:t>
      </w:r>
      <w:r>
        <w:rPr>
          <w:rFonts w:hint="default"/>
          <w:lang w:val="en-US" w:eastAsia="zh-CN"/>
        </w:rPr>
        <w:t>流动性是其最重要的一个特点</w:t>
      </w:r>
      <w:r>
        <w:rPr>
          <w:rFonts w:hint="eastAsia"/>
          <w:lang w:val="en-US" w:eastAsia="zh-CN"/>
        </w:rPr>
        <w:t>，</w:t>
      </w:r>
      <w:r>
        <w:rPr>
          <w:rFonts w:hint="default"/>
          <w:lang w:val="en-US" w:eastAsia="zh-CN"/>
        </w:rPr>
        <w:t>特别是对于狭窄基槽，为方便浇筑施工，需考虑采用大流动性的填筑拌合料。</w:t>
      </w:r>
    </w:p>
    <w:p>
      <w:pPr>
        <w:rPr>
          <w:rFonts w:hint="default"/>
          <w:lang w:val="en-US" w:eastAsia="zh-CN"/>
        </w:rPr>
        <w:sectPr>
          <w:pgSz w:w="11906" w:h="16838"/>
          <w:pgMar w:top="1276" w:right="1276" w:bottom="1276" w:left="1418" w:header="851" w:footer="891" w:gutter="0"/>
          <w:cols w:space="0" w:num="1"/>
          <w:docGrid w:type="lines" w:linePitch="332" w:charSpace="0"/>
        </w:sectPr>
      </w:pPr>
    </w:p>
    <w:p>
      <w:pPr>
        <w:pStyle w:val="2"/>
        <w:bidi w:val="0"/>
        <w:rPr>
          <w:rFonts w:hint="eastAsia"/>
          <w:lang w:val="en-US" w:eastAsia="zh-CN"/>
        </w:rPr>
      </w:pPr>
      <w:bookmarkStart w:id="549" w:name="_Toc23384"/>
      <w:bookmarkStart w:id="550" w:name="_Toc14157"/>
      <w:bookmarkStart w:id="551" w:name="_Toc10292"/>
      <w:bookmarkStart w:id="552" w:name="_Toc22228"/>
      <w:bookmarkStart w:id="553" w:name="_Toc22152"/>
      <w:bookmarkStart w:id="554" w:name="_Toc25319"/>
      <w:bookmarkStart w:id="555" w:name="_Toc736"/>
      <w:r>
        <w:rPr>
          <w:rFonts w:hint="eastAsia"/>
          <w:lang w:val="en-US" w:eastAsia="zh-CN"/>
        </w:rPr>
        <w:t>3  基本规定</w:t>
      </w:r>
      <w:bookmarkEnd w:id="549"/>
      <w:bookmarkEnd w:id="550"/>
      <w:bookmarkEnd w:id="551"/>
      <w:bookmarkEnd w:id="552"/>
      <w:bookmarkEnd w:id="553"/>
      <w:bookmarkEnd w:id="554"/>
      <w:bookmarkEnd w:id="555"/>
    </w:p>
    <w:p>
      <w:pPr>
        <w:rPr>
          <w:rFonts w:hint="default"/>
          <w:lang w:val="en-US" w:eastAsia="zh-CN"/>
        </w:rPr>
        <w:sectPr>
          <w:pgSz w:w="11906" w:h="16838"/>
          <w:pgMar w:top="1276" w:right="1276" w:bottom="1276" w:left="1418" w:header="851" w:footer="891" w:gutter="0"/>
          <w:cols w:space="0" w:num="1"/>
          <w:docGrid w:type="lines" w:linePitch="332" w:charSpace="0"/>
        </w:sectPr>
      </w:pPr>
      <w:r>
        <w:rPr>
          <w:rFonts w:hint="eastAsia"/>
          <w:b/>
          <w:bCs/>
          <w:lang w:val="en-US" w:eastAsia="zh-CN"/>
        </w:rPr>
        <w:t xml:space="preserve">3.0.1 </w:t>
      </w:r>
      <w:r>
        <w:rPr>
          <w:rFonts w:hint="eastAsia"/>
          <w:lang w:val="en-US" w:eastAsia="zh-CN"/>
        </w:rPr>
        <w:t xml:space="preserve"> </w:t>
      </w:r>
      <w:r>
        <w:rPr>
          <w:rFonts w:hint="default"/>
          <w:lang w:val="en-US" w:eastAsia="zh-CN"/>
        </w:rPr>
        <w:t>依据《危险性较大的分部分项工程安全管理规定》（住建部37号令）、《住房城乡建设部办公厅关于实施&lt;危险性较大的分部分项工程安全管理规定&gt;有关问题的通知》（建办质〔2018〕31号文）、《广东省住房和城乡建设厅关于印发房屋市政工程危险性较大的分部分项工程安全管理实施细则的通知》（粤建规范〔2019〕2号），对于超过一定规模的危大工程，施工单位应当组织召开专家论证会对专项施工方案进行论证。</w:t>
      </w:r>
    </w:p>
    <w:p>
      <w:pPr>
        <w:pStyle w:val="2"/>
        <w:bidi w:val="0"/>
        <w:rPr>
          <w:rFonts w:hint="eastAsia" w:asciiTheme="minorEastAsia" w:hAnsiTheme="minorEastAsia" w:eastAsiaTheme="minorEastAsia" w:cstheme="minorEastAsia"/>
          <w:szCs w:val="32"/>
        </w:rPr>
      </w:pPr>
      <w:bookmarkStart w:id="556" w:name="_Toc22732"/>
      <w:bookmarkStart w:id="557" w:name="_Toc23433"/>
      <w:bookmarkStart w:id="558" w:name="_Toc19187"/>
      <w:bookmarkStart w:id="559" w:name="_Toc1005"/>
      <w:bookmarkStart w:id="560" w:name="_Toc31109"/>
      <w:bookmarkStart w:id="561" w:name="_Toc22786"/>
      <w:bookmarkStart w:id="562" w:name="_Toc2960"/>
      <w:r>
        <w:rPr>
          <w:rFonts w:hint="eastAsia"/>
          <w:lang w:val="en-US" w:eastAsia="zh-CN"/>
        </w:rPr>
        <w:t xml:space="preserve">4  </w:t>
      </w:r>
      <w:r>
        <w:rPr>
          <w:rFonts w:hint="eastAsia" w:asciiTheme="minorEastAsia" w:hAnsiTheme="minorEastAsia" w:eastAsiaTheme="minorEastAsia" w:cstheme="minorEastAsia"/>
          <w:szCs w:val="32"/>
        </w:rPr>
        <w:t>混凝土构件的预制、存放和运输</w:t>
      </w:r>
      <w:bookmarkEnd w:id="556"/>
      <w:bookmarkEnd w:id="557"/>
      <w:bookmarkEnd w:id="558"/>
      <w:bookmarkEnd w:id="559"/>
      <w:bookmarkEnd w:id="560"/>
      <w:bookmarkEnd w:id="561"/>
      <w:bookmarkEnd w:id="562"/>
    </w:p>
    <w:p>
      <w:pPr>
        <w:pStyle w:val="3"/>
        <w:bidi w:val="0"/>
        <w:rPr>
          <w:rFonts w:hint="default" w:eastAsia="宋体"/>
          <w:lang w:val="en-US" w:eastAsia="zh-CN"/>
        </w:rPr>
      </w:pPr>
      <w:bookmarkStart w:id="563" w:name="_Toc32697"/>
      <w:bookmarkStart w:id="564" w:name="_Toc26435"/>
      <w:bookmarkStart w:id="565" w:name="_Toc31946"/>
      <w:bookmarkStart w:id="566" w:name="_Toc10358"/>
      <w:bookmarkStart w:id="567" w:name="_Toc23638"/>
      <w:bookmarkStart w:id="568" w:name="_Toc4879"/>
      <w:bookmarkStart w:id="569" w:name="_Toc9804"/>
      <w:r>
        <w:rPr>
          <w:rFonts w:hint="eastAsia"/>
          <w:lang w:val="en-US" w:eastAsia="zh-CN"/>
        </w:rPr>
        <w:t>4.1  一般规定</w:t>
      </w:r>
      <w:bookmarkEnd w:id="563"/>
      <w:bookmarkEnd w:id="564"/>
      <w:bookmarkEnd w:id="565"/>
      <w:bookmarkEnd w:id="566"/>
      <w:bookmarkEnd w:id="567"/>
      <w:bookmarkEnd w:id="568"/>
      <w:bookmarkEnd w:id="569"/>
    </w:p>
    <w:p>
      <w:pPr>
        <w:rPr>
          <w:rFonts w:hint="default"/>
          <w:lang w:val="en-US" w:eastAsia="zh-CN"/>
        </w:rPr>
      </w:pPr>
      <w:r>
        <w:rPr>
          <w:rFonts w:hint="default"/>
          <w:b/>
          <w:bCs/>
          <w:lang w:val="en-US" w:eastAsia="zh-CN"/>
        </w:rPr>
        <w:t>4.1.</w:t>
      </w:r>
      <w:r>
        <w:rPr>
          <w:rFonts w:hint="eastAsia"/>
          <w:b/>
          <w:bCs/>
          <w:lang w:val="en-US" w:eastAsia="zh-CN"/>
        </w:rPr>
        <w:t>1~</w:t>
      </w:r>
      <w:r>
        <w:rPr>
          <w:rFonts w:hint="default"/>
          <w:b/>
          <w:bCs/>
          <w:lang w:val="en-US" w:eastAsia="zh-CN"/>
        </w:rPr>
        <w:t>4.1.</w:t>
      </w:r>
      <w:r>
        <w:rPr>
          <w:rFonts w:hint="eastAsia"/>
          <w:b/>
          <w:bCs/>
          <w:lang w:val="en-US" w:eastAsia="zh-CN"/>
        </w:rPr>
        <w:t>2</w:t>
      </w:r>
      <w:r>
        <w:rPr>
          <w:rFonts w:hint="default"/>
          <w:lang w:val="en-US" w:eastAsia="zh-CN"/>
        </w:rPr>
        <w:t xml:space="preserve"> </w:t>
      </w:r>
      <w:r>
        <w:rPr>
          <w:rFonts w:hint="eastAsia"/>
          <w:lang w:val="en-US" w:eastAsia="zh-CN"/>
        </w:rPr>
        <w:t xml:space="preserve"> </w:t>
      </w:r>
      <w:r>
        <w:rPr>
          <w:rFonts w:hint="default"/>
          <w:lang w:val="en-US" w:eastAsia="zh-CN"/>
        </w:rPr>
        <w:t>预制构件制作前，建设单位应组织设计、生产、施工单位进行技术交底。如预制构件技术详图无法满足制作要求，应进行深化设计和施工验算，完善预制构件制作详图和施工装配详图，避免在构件加工和施工过程中，出现错、漏、碰、缺等问题。对应预留的孔洞及预埋部件，应在构件加工前进行认真核对，以免现场剔凿，造成损失。</w:t>
      </w:r>
    </w:p>
    <w:p>
      <w:pPr>
        <w:rPr>
          <w:rFonts w:hint="default"/>
          <w:lang w:val="en-US" w:eastAsia="zh-CN"/>
        </w:rPr>
      </w:pPr>
      <w:r>
        <w:rPr>
          <w:rFonts w:hint="default"/>
          <w:lang w:val="en-US" w:eastAsia="zh-CN"/>
        </w:rPr>
        <w:t>进行构件预制时，既要遵循设计图纸，又要充分考虑施工方法及综合管廊的功能之后再进行预制。预制过程中需要注意构件的连接面，其平面度和直角度的精度下降会造成漏水和构件顶端的破损，同时在预制时要特别注意模具的管理。</w:t>
      </w:r>
    </w:p>
    <w:p>
      <w:pPr>
        <w:rPr>
          <w:rFonts w:hint="default"/>
          <w:lang w:val="en-US" w:eastAsia="zh-CN"/>
        </w:rPr>
      </w:pPr>
    </w:p>
    <w:p>
      <w:pPr>
        <w:pStyle w:val="3"/>
        <w:bidi w:val="0"/>
        <w:rPr>
          <w:rFonts w:hint="eastAsia"/>
          <w:lang w:val="en-US" w:eastAsia="zh-CN"/>
        </w:rPr>
      </w:pPr>
      <w:bookmarkStart w:id="570" w:name="_Toc18751"/>
      <w:bookmarkStart w:id="571" w:name="_Toc23941"/>
      <w:bookmarkStart w:id="572" w:name="_Toc8154"/>
      <w:bookmarkStart w:id="573" w:name="_Toc20031"/>
      <w:bookmarkStart w:id="574" w:name="_Toc8932"/>
      <w:bookmarkStart w:id="575" w:name="_Toc8763"/>
      <w:bookmarkStart w:id="576" w:name="_Toc17448"/>
      <w:r>
        <w:rPr>
          <w:rFonts w:hint="eastAsia"/>
          <w:lang w:val="en-US" w:eastAsia="zh-CN"/>
        </w:rPr>
        <w:t>4.2  材料</w:t>
      </w:r>
      <w:bookmarkEnd w:id="570"/>
      <w:bookmarkEnd w:id="571"/>
      <w:bookmarkEnd w:id="572"/>
      <w:bookmarkEnd w:id="573"/>
      <w:bookmarkEnd w:id="574"/>
      <w:bookmarkEnd w:id="575"/>
      <w:bookmarkEnd w:id="576"/>
    </w:p>
    <w:p>
      <w:pPr>
        <w:rPr>
          <w:rFonts w:hint="default"/>
          <w:lang w:val="en-US" w:eastAsia="zh-CN"/>
        </w:rPr>
      </w:pPr>
      <w:r>
        <w:rPr>
          <w:rFonts w:hint="eastAsia"/>
          <w:b/>
          <w:bCs/>
          <w:lang w:val="en-US" w:eastAsia="zh-CN"/>
        </w:rPr>
        <w:t>4.2.3</w:t>
      </w:r>
      <w:r>
        <w:rPr>
          <w:rFonts w:hint="eastAsia"/>
          <w:lang w:val="en-US" w:eastAsia="zh-CN"/>
        </w:rPr>
        <w:t xml:space="preserve">  </w:t>
      </w:r>
      <w:r>
        <w:rPr>
          <w:rFonts w:hint="default"/>
          <w:lang w:val="en-US" w:eastAsia="zh-CN"/>
        </w:rPr>
        <w:t>实际生产过程中用于混凝土的水泥不应有风化、结块现象，水泥贮存期在3个月以内，且做到先到先用。对过期或对水泥质量有怀疑时，可复验其强度等级、标准稠度用水量、凝结时间和体积安定性。</w:t>
      </w:r>
    </w:p>
    <w:p>
      <w:pPr>
        <w:ind w:firstLine="720" w:firstLineChars="300"/>
        <w:rPr>
          <w:rFonts w:hint="default"/>
          <w:lang w:val="en-US" w:eastAsia="zh-CN"/>
        </w:rPr>
      </w:pPr>
      <w:r>
        <w:rPr>
          <w:rFonts w:hint="default"/>
          <w:lang w:val="en-US" w:eastAsia="zh-CN"/>
        </w:rPr>
        <w:t>综合管廊结构长期受地下水，地表水的作用，为改善结构的耐久性，避免碱骨料反应，具体给出混凝土中的氯离子含量和含碱量的控制量。现行国家标准《地下工程防水技术规范》GB 5010和《混凝土结构耐久性设计标准》GB/T 50476中，对防水混凝土总碱含量予以限制。若混凝土中水泥和外加剂中含碱量高，遇到混凝土中的集料具有碱活性时，即有引起碱骨料反应的危险，因此在地下工程中应对所用的水泥和外加剂的含碱量有所控制。</w:t>
      </w:r>
    </w:p>
    <w:p>
      <w:pPr>
        <w:rPr>
          <w:rFonts w:hint="default"/>
          <w:lang w:val="en-US" w:eastAsia="zh-CN"/>
        </w:rPr>
      </w:pPr>
      <w:r>
        <w:rPr>
          <w:rFonts w:hint="eastAsia"/>
          <w:b/>
          <w:bCs/>
          <w:lang w:val="en-US" w:eastAsia="zh-CN"/>
        </w:rPr>
        <w:t xml:space="preserve">4.2.17 </w:t>
      </w:r>
      <w:r>
        <w:rPr>
          <w:rFonts w:hint="eastAsia"/>
          <w:lang w:val="en-US" w:eastAsia="zh-CN"/>
        </w:rPr>
        <w:t xml:space="preserve"> </w:t>
      </w:r>
      <w:r>
        <w:rPr>
          <w:rFonts w:hint="default"/>
          <w:lang w:val="en-US" w:eastAsia="zh-CN"/>
        </w:rPr>
        <w:t>预制构件起吊用预埋件，需要同时考虑脱模、翻转等各个环节的工况。吊环的选取需经过专门设计，并满足此条规定，当采用其他材质的吊环时，须提供可靠依据。</w:t>
      </w:r>
    </w:p>
    <w:p>
      <w:pPr>
        <w:rPr>
          <w:rFonts w:hint="default"/>
          <w:lang w:val="en-US" w:eastAsia="zh-CN"/>
        </w:rPr>
      </w:pPr>
    </w:p>
    <w:p>
      <w:pPr>
        <w:rPr>
          <w:rFonts w:hint="default"/>
          <w:lang w:val="en-US" w:eastAsia="zh-CN"/>
        </w:rPr>
      </w:pPr>
    </w:p>
    <w:p>
      <w:pPr>
        <w:pStyle w:val="3"/>
        <w:bidi w:val="0"/>
        <w:rPr>
          <w:rFonts w:hint="eastAsia"/>
          <w:lang w:val="en-US" w:eastAsia="zh-CN"/>
        </w:rPr>
      </w:pPr>
      <w:bookmarkStart w:id="577" w:name="_Toc22077"/>
      <w:bookmarkStart w:id="578" w:name="_Toc29265"/>
      <w:bookmarkStart w:id="579" w:name="_Toc30757"/>
      <w:bookmarkStart w:id="580" w:name="_Toc30572"/>
      <w:bookmarkStart w:id="581" w:name="_Toc2792"/>
      <w:bookmarkStart w:id="582" w:name="_Toc8588"/>
      <w:bookmarkStart w:id="583" w:name="_Toc14521"/>
      <w:r>
        <w:rPr>
          <w:rFonts w:hint="eastAsia"/>
          <w:lang w:val="en-US" w:eastAsia="zh-CN"/>
        </w:rPr>
        <w:t>4.4  钢筋工程</w:t>
      </w:r>
      <w:bookmarkEnd w:id="577"/>
      <w:bookmarkEnd w:id="578"/>
      <w:bookmarkEnd w:id="579"/>
      <w:bookmarkEnd w:id="580"/>
      <w:bookmarkEnd w:id="581"/>
      <w:bookmarkEnd w:id="582"/>
      <w:bookmarkEnd w:id="583"/>
    </w:p>
    <w:p>
      <w:pPr>
        <w:rPr>
          <w:rFonts w:hint="default"/>
          <w:lang w:val="en-US" w:eastAsia="zh-CN"/>
        </w:rPr>
      </w:pPr>
      <w:r>
        <w:rPr>
          <w:rFonts w:hint="eastAsia"/>
          <w:b/>
          <w:bCs/>
          <w:lang w:val="en-US" w:eastAsia="zh-CN"/>
        </w:rPr>
        <w:t>4.4.1</w:t>
      </w:r>
      <w:r>
        <w:rPr>
          <w:rFonts w:hint="eastAsia"/>
          <w:lang w:val="en-US" w:eastAsia="zh-CN"/>
        </w:rPr>
        <w:t xml:space="preserve">  </w:t>
      </w:r>
      <w:r>
        <w:rPr>
          <w:rFonts w:hint="default"/>
          <w:lang w:val="en-US" w:eastAsia="zh-CN"/>
        </w:rPr>
        <w:t>使用自动化机械设备进行钢筋加工与制作，可减少钢筋损耗且有利于质量控制，有条件时应尽量采用。自动化机械设备进行钢筋调直、切割和弯折，其性能应符合现行行业标准《混凝土结构用成型钢筋》JG/T 226的有关规定。</w:t>
      </w:r>
    </w:p>
    <w:p>
      <w:pPr>
        <w:rPr>
          <w:rFonts w:hint="default"/>
          <w:lang w:val="en-US" w:eastAsia="zh-CN"/>
        </w:rPr>
      </w:pPr>
      <w:r>
        <w:rPr>
          <w:rFonts w:hint="eastAsia"/>
          <w:b/>
          <w:bCs/>
          <w:lang w:val="en-US" w:eastAsia="zh-CN"/>
        </w:rPr>
        <w:t>4.4.3</w:t>
      </w:r>
      <w:r>
        <w:rPr>
          <w:rFonts w:hint="eastAsia"/>
          <w:lang w:val="en-US" w:eastAsia="zh-CN"/>
        </w:rPr>
        <w:t xml:space="preserve">  </w:t>
      </w:r>
      <w:r>
        <w:rPr>
          <w:rFonts w:hint="default"/>
          <w:lang w:val="en-US" w:eastAsia="zh-CN"/>
        </w:rPr>
        <w:t>钢筋骨架的加工和安装是保证构件性能的关键环节，一般需要通过试生产来验证生产工艺，故对第一个钢筋骨架应进行</w:t>
      </w:r>
      <w:r>
        <w:rPr>
          <w:rFonts w:hint="eastAsia"/>
          <w:lang w:val="en-US" w:eastAsia="zh-CN"/>
        </w:rPr>
        <w:t>首件检查</w:t>
      </w:r>
      <w:r>
        <w:rPr>
          <w:rFonts w:hint="default"/>
          <w:lang w:val="en-US" w:eastAsia="zh-CN"/>
        </w:rPr>
        <w:t>，</w:t>
      </w:r>
      <w:r>
        <w:rPr>
          <w:rFonts w:hint="eastAsia"/>
          <w:lang w:val="en-US" w:eastAsia="zh-CN"/>
        </w:rPr>
        <w:t>检查</w:t>
      </w:r>
      <w:r>
        <w:rPr>
          <w:rFonts w:hint="default"/>
          <w:lang w:val="en-US" w:eastAsia="zh-CN"/>
        </w:rPr>
        <w:t>内容为钢筋骨架尺寸、环筋、箍筋的平均间距、钢筋搭接、钢筋焊接质量是否符合规范和设计要求，检验合格后方可批量加工生产。</w:t>
      </w:r>
    </w:p>
    <w:p>
      <w:pPr>
        <w:rPr>
          <w:rFonts w:hint="default"/>
          <w:lang w:val="en-US" w:eastAsia="zh-CN"/>
        </w:rPr>
      </w:pPr>
      <w:r>
        <w:rPr>
          <w:rFonts w:hint="eastAsia"/>
          <w:b/>
          <w:bCs/>
          <w:lang w:val="en-US" w:eastAsia="zh-CN"/>
        </w:rPr>
        <w:t>4.4.4</w:t>
      </w:r>
      <w:r>
        <w:rPr>
          <w:rFonts w:hint="eastAsia"/>
          <w:lang w:val="en-US" w:eastAsia="zh-CN"/>
        </w:rPr>
        <w:t xml:space="preserve">  </w:t>
      </w:r>
      <w:r>
        <w:rPr>
          <w:rFonts w:hint="default"/>
          <w:lang w:val="en-US" w:eastAsia="zh-CN"/>
        </w:rPr>
        <w:t>钢筋骨架</w:t>
      </w:r>
      <w:r>
        <w:rPr>
          <w:rFonts w:hint="eastAsia"/>
          <w:lang w:val="en-US" w:eastAsia="zh-CN"/>
        </w:rPr>
        <w:t>的</w:t>
      </w:r>
      <w:r>
        <w:rPr>
          <w:rFonts w:hint="default"/>
          <w:lang w:val="en-US" w:eastAsia="zh-CN"/>
        </w:rPr>
        <w:t>保护层垫块要求采用专业化压制设备或标准模具生产，与钢筋骨架或网片绑扎牢固；垫块按梅花状布置，间距满足钢筋限位及控制变形要求</w:t>
      </w:r>
      <w:r>
        <w:rPr>
          <w:rFonts w:hint="eastAsia"/>
          <w:lang w:val="en-US" w:eastAsia="zh-CN"/>
        </w:rPr>
        <w:t>。</w:t>
      </w:r>
    </w:p>
    <w:p>
      <w:pPr>
        <w:ind w:firstLine="720" w:firstLineChars="300"/>
        <w:rPr>
          <w:rFonts w:hint="default"/>
          <w:lang w:val="en-US" w:eastAsia="zh-CN"/>
        </w:rPr>
      </w:pPr>
    </w:p>
    <w:p>
      <w:pPr>
        <w:ind w:firstLine="720" w:firstLineChars="300"/>
        <w:rPr>
          <w:rFonts w:hint="default"/>
          <w:lang w:val="en-US" w:eastAsia="zh-CN"/>
        </w:rPr>
      </w:pPr>
    </w:p>
    <w:p>
      <w:pPr>
        <w:pStyle w:val="3"/>
        <w:bidi w:val="0"/>
      </w:pPr>
      <w:bookmarkStart w:id="584" w:name="_Toc8697"/>
      <w:bookmarkStart w:id="585" w:name="_Toc30608"/>
      <w:bookmarkStart w:id="586" w:name="_Toc21675"/>
      <w:bookmarkStart w:id="587" w:name="_Toc5716"/>
      <w:bookmarkStart w:id="588" w:name="_Toc27310"/>
      <w:bookmarkStart w:id="589" w:name="_Toc4838"/>
      <w:bookmarkStart w:id="590" w:name="_Toc16025"/>
      <w:r>
        <w:t xml:space="preserve">4.5 </w:t>
      </w:r>
      <w:r>
        <w:rPr>
          <w:rFonts w:hint="eastAsia"/>
        </w:rPr>
        <w:t xml:space="preserve"> </w:t>
      </w:r>
      <w:r>
        <w:t>混凝土浇筑、脱模</w:t>
      </w:r>
      <w:bookmarkEnd w:id="584"/>
      <w:bookmarkEnd w:id="585"/>
      <w:bookmarkEnd w:id="586"/>
      <w:bookmarkEnd w:id="587"/>
      <w:bookmarkEnd w:id="588"/>
      <w:bookmarkEnd w:id="589"/>
      <w:bookmarkEnd w:id="590"/>
    </w:p>
    <w:p>
      <w:pPr>
        <w:rPr>
          <w:rFonts w:hint="default"/>
          <w:lang w:val="en-US" w:eastAsia="zh-CN"/>
        </w:rPr>
      </w:pPr>
      <w:r>
        <w:rPr>
          <w:rFonts w:hint="eastAsia"/>
          <w:b/>
          <w:bCs/>
          <w:lang w:val="en-US" w:eastAsia="zh-CN"/>
        </w:rPr>
        <w:t>4.5.1</w:t>
      </w:r>
      <w:r>
        <w:rPr>
          <w:rFonts w:hint="eastAsia"/>
          <w:lang w:val="en-US" w:eastAsia="zh-CN"/>
        </w:rPr>
        <w:t xml:space="preserve">  </w:t>
      </w:r>
      <w:r>
        <w:rPr>
          <w:rFonts w:hint="default"/>
          <w:lang w:val="en-US" w:eastAsia="zh-CN"/>
        </w:rPr>
        <w:t>混凝土浇筑前，对混凝土质量、钢筋骨架、模具、预埋件、止水胶条的安装进行检查，这是保证预制构件结构性能的关键质量环节。检查项目包括下列内容： 钢筋的牌号、规格、数量、位置、间距等；预埋件、吊环、插筋的规格、数量、位置等；灌浆套筒、预留孔洞的规格、数量、位置等；钢筋的混凝土保护层厚度。</w:t>
      </w:r>
    </w:p>
    <w:p>
      <w:pPr>
        <w:ind w:firstLine="720" w:firstLineChars="300"/>
        <w:rPr>
          <w:rFonts w:hint="default"/>
          <w:lang w:val="en-US" w:eastAsia="zh-CN"/>
        </w:rPr>
      </w:pPr>
    </w:p>
    <w:p>
      <w:pPr>
        <w:pStyle w:val="3"/>
        <w:bidi w:val="0"/>
        <w:rPr>
          <w:rFonts w:hint="eastAsia"/>
          <w:lang w:val="en-US" w:eastAsia="zh-CN"/>
        </w:rPr>
      </w:pPr>
      <w:bookmarkStart w:id="591" w:name="_Toc22216"/>
      <w:bookmarkStart w:id="592" w:name="_Toc29487"/>
      <w:bookmarkStart w:id="593" w:name="_Toc27570"/>
      <w:bookmarkStart w:id="594" w:name="_Toc9501"/>
      <w:bookmarkStart w:id="595" w:name="_Toc14246"/>
      <w:bookmarkStart w:id="596" w:name="_Toc18519"/>
      <w:bookmarkStart w:id="597" w:name="_Toc3803"/>
      <w:r>
        <w:rPr>
          <w:rFonts w:hint="eastAsia"/>
          <w:lang w:val="en-US" w:eastAsia="zh-CN"/>
        </w:rPr>
        <w:t>4.6  构件养护</w:t>
      </w:r>
      <w:bookmarkEnd w:id="591"/>
      <w:bookmarkEnd w:id="592"/>
      <w:bookmarkEnd w:id="593"/>
      <w:bookmarkEnd w:id="594"/>
      <w:bookmarkEnd w:id="595"/>
      <w:bookmarkEnd w:id="596"/>
      <w:bookmarkEnd w:id="597"/>
    </w:p>
    <w:p>
      <w:pPr>
        <w:rPr>
          <w:rFonts w:hint="default"/>
          <w:lang w:val="en-US" w:eastAsia="zh-CN"/>
        </w:rPr>
      </w:pPr>
      <w:r>
        <w:rPr>
          <w:rFonts w:hint="eastAsia"/>
          <w:b/>
          <w:bCs/>
          <w:lang w:val="en-US" w:eastAsia="zh-CN"/>
        </w:rPr>
        <w:t>4.6.2</w:t>
      </w:r>
      <w:r>
        <w:rPr>
          <w:rFonts w:hint="eastAsia"/>
          <w:lang w:val="en-US" w:eastAsia="zh-CN"/>
        </w:rPr>
        <w:t xml:space="preserve">  </w:t>
      </w:r>
      <w:r>
        <w:rPr>
          <w:rFonts w:hint="default"/>
          <w:lang w:val="en-US" w:eastAsia="zh-CN"/>
        </w:rPr>
        <w:t>预制构件的蒸汽养护主要是为了加速混凝土凝结硬化，缩短脱模时间，加快模板的周转，提高生产效率，蒸汽养护分为：静停、升温、恒温和降温四个阶段。养护时应按照养护制度的规定进行控制，这对于有效避免构件的温差收缩裂缝，保证产品质量非常重要。确认混凝土已达到规定的脱模强度后方可脱模。脱模强度的确定以</w:t>
      </w:r>
      <w:r>
        <w:rPr>
          <w:rFonts w:hint="eastAsia"/>
          <w:lang w:val="en-US" w:eastAsia="zh-CN"/>
        </w:rPr>
        <w:t>构件</w:t>
      </w:r>
      <w:r>
        <w:rPr>
          <w:rFonts w:hint="default"/>
          <w:lang w:val="en-US" w:eastAsia="zh-CN"/>
        </w:rPr>
        <w:t>在脱模中不会发生结构和外观损坏并满足吊运强度要求为准。</w:t>
      </w:r>
    </w:p>
    <w:p>
      <w:pPr>
        <w:pStyle w:val="3"/>
        <w:bidi w:val="0"/>
        <w:rPr>
          <w:rFonts w:hint="default"/>
          <w:lang w:val="en-US" w:eastAsia="zh-CN"/>
        </w:rPr>
      </w:pPr>
      <w:bookmarkStart w:id="598" w:name="_Toc11005"/>
      <w:bookmarkStart w:id="599" w:name="_Toc12129"/>
      <w:bookmarkStart w:id="600" w:name="_Toc10352"/>
      <w:bookmarkStart w:id="601" w:name="_Toc20767"/>
      <w:bookmarkStart w:id="602" w:name="_Toc2784"/>
      <w:r>
        <w:rPr>
          <w:rFonts w:hint="eastAsia"/>
          <w:lang w:val="en-US" w:eastAsia="zh-CN"/>
        </w:rPr>
        <w:t>4.7  构件质量检验</w:t>
      </w:r>
      <w:bookmarkEnd w:id="598"/>
      <w:bookmarkEnd w:id="599"/>
      <w:bookmarkEnd w:id="600"/>
      <w:bookmarkEnd w:id="601"/>
      <w:bookmarkEnd w:id="602"/>
    </w:p>
    <w:p>
      <w:pPr>
        <w:rPr>
          <w:szCs w:val="24"/>
        </w:rPr>
      </w:pPr>
      <w:r>
        <w:rPr>
          <w:b/>
          <w:szCs w:val="24"/>
        </w:rPr>
        <w:t>4.7.</w:t>
      </w:r>
      <w:r>
        <w:rPr>
          <w:rFonts w:hint="eastAsia"/>
          <w:b/>
          <w:szCs w:val="24"/>
          <w:lang w:val="en-US" w:eastAsia="zh-CN"/>
        </w:rPr>
        <w:t>25</w:t>
      </w:r>
      <w:r>
        <w:rPr>
          <w:bCs/>
          <w:szCs w:val="24"/>
        </w:rPr>
        <w:t xml:space="preserve">  </w:t>
      </w:r>
      <w:r>
        <w:rPr>
          <w:rFonts w:hint="eastAsia"/>
          <w:szCs w:val="24"/>
        </w:rPr>
        <w:t>构件的外观质量缺陷</w:t>
      </w:r>
      <w:r>
        <w:rPr>
          <w:rFonts w:hint="eastAsia"/>
          <w:szCs w:val="24"/>
          <w:lang w:val="en-US" w:eastAsia="zh-CN"/>
        </w:rPr>
        <w:t>可</w:t>
      </w:r>
      <w:r>
        <w:rPr>
          <w:rFonts w:hint="eastAsia"/>
          <w:szCs w:val="24"/>
        </w:rPr>
        <w:t>划分为严重缺陷和一般缺陷</w:t>
      </w:r>
      <w:r>
        <w:rPr>
          <w:rFonts w:hint="eastAsia"/>
          <w:szCs w:val="24"/>
          <w:lang w:eastAsia="zh-CN"/>
        </w:rPr>
        <w:t>，</w:t>
      </w:r>
      <w:r>
        <w:rPr>
          <w:rFonts w:hint="eastAsia"/>
          <w:szCs w:val="24"/>
          <w:lang w:val="en-US" w:eastAsia="zh-CN"/>
        </w:rPr>
        <w:t>参照国家相关标准，严重缺陷和一般缺陷的划分见表1</w:t>
      </w:r>
      <w:r>
        <w:rPr>
          <w:rFonts w:hint="eastAsia"/>
          <w:szCs w:val="24"/>
        </w:rPr>
        <w:t>。构件不宜有一般缺陷，对出现的一般缺陷应进行修整并重新检验。</w:t>
      </w:r>
    </w:p>
    <w:p>
      <w:pPr>
        <w:pStyle w:val="193"/>
        <w:spacing w:line="360" w:lineRule="auto"/>
        <w:jc w:val="center"/>
        <w:rPr>
          <w:b/>
          <w:color w:val="000000"/>
          <w:sz w:val="21"/>
          <w:szCs w:val="21"/>
        </w:rPr>
      </w:pPr>
      <w:r>
        <w:rPr>
          <w:b/>
          <w:color w:val="000000"/>
          <w:sz w:val="21"/>
          <w:szCs w:val="21"/>
        </w:rPr>
        <w:t>表</w:t>
      </w:r>
      <w:r>
        <w:rPr>
          <w:rFonts w:hint="eastAsia"/>
          <w:b/>
          <w:color w:val="000000"/>
          <w:sz w:val="21"/>
          <w:szCs w:val="21"/>
        </w:rPr>
        <w:t>1</w:t>
      </w:r>
      <w:r>
        <w:rPr>
          <w:b/>
          <w:color w:val="000000"/>
          <w:sz w:val="21"/>
          <w:szCs w:val="21"/>
        </w:rPr>
        <w:t xml:space="preserve">  </w:t>
      </w:r>
      <w:r>
        <w:rPr>
          <w:rFonts w:hint="eastAsia"/>
          <w:b/>
          <w:color w:val="000000"/>
          <w:sz w:val="21"/>
          <w:szCs w:val="21"/>
        </w:rPr>
        <w:t>构件</w:t>
      </w:r>
      <w:r>
        <w:rPr>
          <w:b/>
          <w:color w:val="000000"/>
          <w:sz w:val="21"/>
          <w:szCs w:val="21"/>
        </w:rPr>
        <w:t>外观质量缺陷</w:t>
      </w:r>
      <w:r>
        <w:rPr>
          <w:rFonts w:hint="eastAsia"/>
          <w:b/>
          <w:color w:val="000000"/>
          <w:sz w:val="21"/>
          <w:szCs w:val="21"/>
        </w:rPr>
        <w:t>划分</w:t>
      </w:r>
    </w:p>
    <w:tbl>
      <w:tblPr>
        <w:tblStyle w:val="39"/>
        <w:tblW w:w="85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3"/>
        <w:gridCol w:w="3121"/>
        <w:gridCol w:w="2427"/>
        <w:gridCol w:w="2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名称</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现象</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严重缺陷</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一般缺陷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露筋</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构件内钢筋未被混凝土包裹而外露</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rFonts w:hint="eastAsia"/>
                <w:color w:val="000000"/>
                <w:kern w:val="0"/>
                <w:sz w:val="21"/>
                <w:szCs w:val="21"/>
              </w:rPr>
              <w:t>主要</w:t>
            </w:r>
            <w:r>
              <w:rPr>
                <w:color w:val="000000"/>
                <w:kern w:val="0"/>
                <w:sz w:val="21"/>
                <w:szCs w:val="21"/>
              </w:rPr>
              <w:t>受力钢筋有露筋</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其他钢筋有少量露筋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蜂窝</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混凝土表面缺少水泥浆而形成石子外露</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构件主要受力部位有蜂窝</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其他部位有少量蜂窝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孔洞</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混凝土中空穴深度和长度均超过保护层厚度</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构件主要受力部位有孔洞</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其他部位有少量孔洞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夹渣</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混凝土中夹有杂物且深度超过保护层厚度</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构件主要受力部位有夹渣</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其他部位有少量夹渣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疏松</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混凝土中局部不密实</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构件主要受力部位有疏松</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其他部位有少量疏松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裂缝</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缝隙从混凝土表面延伸至混凝土内部</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w:t>
            </w:r>
            <w:r>
              <w:rPr>
                <w:rFonts w:hint="eastAsia"/>
                <w:color w:val="000000"/>
                <w:kern w:val="0"/>
                <w:sz w:val="21"/>
                <w:szCs w:val="21"/>
              </w:rPr>
              <w:t>出现深层或贯穿性裂缝，可能</w:t>
            </w:r>
            <w:r>
              <w:rPr>
                <w:color w:val="000000"/>
                <w:kern w:val="0"/>
                <w:sz w:val="21"/>
                <w:szCs w:val="21"/>
              </w:rPr>
              <w:t>影响结构性能或使用功能</w:t>
            </w:r>
            <w:r>
              <w:rPr>
                <w:rFonts w:hint="eastAsia"/>
                <w:color w:val="000000"/>
                <w:kern w:val="0"/>
                <w:sz w:val="21"/>
                <w:szCs w:val="21"/>
              </w:rPr>
              <w:t>；裂缝宽度大于</w:t>
            </w:r>
            <w:r>
              <w:rPr>
                <w:rFonts w:hint="eastAsia"/>
                <w:color w:val="000000"/>
                <w:kern w:val="0"/>
                <w:sz w:val="21"/>
                <w:szCs w:val="21"/>
                <w:highlight w:val="none"/>
              </w:rPr>
              <w:t>0</w:t>
            </w:r>
            <w:r>
              <w:rPr>
                <w:color w:val="000000"/>
                <w:kern w:val="0"/>
                <w:sz w:val="21"/>
                <w:szCs w:val="21"/>
                <w:highlight w:val="none"/>
              </w:rPr>
              <w:t>.</w:t>
            </w:r>
            <w:r>
              <w:rPr>
                <w:rFonts w:hint="eastAsia"/>
                <w:color w:val="000000"/>
                <w:kern w:val="0"/>
                <w:sz w:val="21"/>
                <w:szCs w:val="21"/>
                <w:highlight w:val="none"/>
                <w:lang w:val="en-US" w:eastAsia="zh-CN"/>
              </w:rPr>
              <w:t>05</w:t>
            </w:r>
            <w:r>
              <w:rPr>
                <w:color w:val="000000"/>
                <w:kern w:val="0"/>
                <w:sz w:val="21"/>
                <w:szCs w:val="21"/>
                <w:highlight w:val="none"/>
              </w:rPr>
              <w:t>mm</w:t>
            </w:r>
            <w:r>
              <w:rPr>
                <w:rFonts w:hint="eastAsia"/>
                <w:color w:val="000000"/>
                <w:kern w:val="0"/>
                <w:sz w:val="21"/>
                <w:szCs w:val="21"/>
              </w:rPr>
              <w:t>。</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rFonts w:hint="eastAsia"/>
                <w:color w:val="000000"/>
                <w:kern w:val="0"/>
                <w:sz w:val="21"/>
                <w:szCs w:val="21"/>
              </w:rPr>
              <w:t>构件出现表层裂缝或裂缝宽度小于0.</w:t>
            </w:r>
            <w:r>
              <w:rPr>
                <w:rFonts w:hint="eastAsia"/>
                <w:color w:val="000000"/>
                <w:kern w:val="0"/>
                <w:sz w:val="21"/>
                <w:szCs w:val="21"/>
                <w:lang w:val="en-US" w:eastAsia="zh-CN"/>
              </w:rPr>
              <w:t>05</w:t>
            </w:r>
            <w:r>
              <w:rPr>
                <w:rFonts w:hint="eastAsia"/>
                <w:color w:val="000000"/>
                <w:kern w:val="0"/>
                <w:sz w:val="21"/>
                <w:szCs w:val="21"/>
              </w:rPr>
              <w:t>mm，</w:t>
            </w:r>
            <w:r>
              <w:rPr>
                <w:color w:val="000000"/>
                <w:kern w:val="0"/>
                <w:sz w:val="21"/>
                <w:szCs w:val="21"/>
              </w:rPr>
              <w:t>基本不影响结构性能或使用功能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连</w:t>
            </w:r>
            <w:r>
              <w:rPr>
                <w:rFonts w:hint="eastAsia"/>
                <w:color w:val="000000"/>
                <w:kern w:val="0"/>
                <w:sz w:val="21"/>
                <w:szCs w:val="21"/>
              </w:rPr>
              <w:t>接</w:t>
            </w:r>
            <w:r>
              <w:rPr>
                <w:color w:val="000000"/>
                <w:kern w:val="0"/>
                <w:sz w:val="21"/>
                <w:szCs w:val="21"/>
              </w:rPr>
              <w:t>部位缺陷</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构件连接处混凝土缺陷及连接钢筋、连接件松动</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连接部位有影响结构传力性能的缺陷</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连接部位有基本不影响结构传力性能的缺陷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外形缺陷</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缺棱掉角、棱角不宜、翘曲不平、飞出凸肋等</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清水混凝土构件内有影响使用功能或装饰效果的外形缺陷</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其他混凝土构件有不影响使用功能的外形缺陷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43"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外表缺陷</w:t>
            </w:r>
          </w:p>
        </w:tc>
        <w:tc>
          <w:tcPr>
            <w:tcW w:w="312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构件表面麻面、掉皮、起砂、玷污等</w:t>
            </w:r>
          </w:p>
        </w:tc>
        <w:tc>
          <w:tcPr>
            <w:tcW w:w="2427"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具有重要装饰效果的清水混凝土构件有外表缺陷</w:t>
            </w:r>
          </w:p>
        </w:tc>
        <w:tc>
          <w:tcPr>
            <w:tcW w:w="2131" w:type="dxa"/>
            <w:tcMar>
              <w:left w:w="34" w:type="dxa"/>
              <w:right w:w="34" w:type="dxa"/>
            </w:tcMar>
            <w:vAlign w:val="center"/>
          </w:tcPr>
          <w:p>
            <w:pPr>
              <w:widowControl/>
              <w:adjustRightInd w:val="0"/>
              <w:snapToGrid w:val="0"/>
              <w:spacing w:line="240" w:lineRule="auto"/>
              <w:jc w:val="center"/>
              <w:rPr>
                <w:color w:val="000000"/>
                <w:kern w:val="0"/>
                <w:sz w:val="21"/>
                <w:szCs w:val="21"/>
              </w:rPr>
            </w:pPr>
            <w:r>
              <w:rPr>
                <w:color w:val="000000"/>
                <w:kern w:val="0"/>
                <w:sz w:val="21"/>
                <w:szCs w:val="21"/>
              </w:rPr>
              <w:t>其他混凝土构件有不影响使用功能的外表缺陷</w:t>
            </w:r>
          </w:p>
        </w:tc>
      </w:tr>
    </w:tbl>
    <w:p>
      <w:pPr>
        <w:rPr>
          <w:rFonts w:hint="default"/>
          <w:lang w:val="en-US" w:eastAsia="zh-CN"/>
        </w:rPr>
      </w:pPr>
    </w:p>
    <w:p>
      <w:pPr>
        <w:pStyle w:val="3"/>
      </w:pPr>
      <w:bookmarkStart w:id="603" w:name="_Toc10923"/>
      <w:bookmarkStart w:id="604" w:name="_Toc22424"/>
      <w:bookmarkStart w:id="605" w:name="_Toc22282"/>
      <w:bookmarkStart w:id="606" w:name="_Toc30070"/>
      <w:bookmarkStart w:id="607" w:name="_Toc5843"/>
      <w:bookmarkStart w:id="608" w:name="_Toc22819"/>
      <w:bookmarkStart w:id="609" w:name="_Toc636"/>
      <w:r>
        <w:t xml:space="preserve">4.8 </w:t>
      </w:r>
      <w:r>
        <w:rPr>
          <w:rFonts w:hint="eastAsia"/>
        </w:rPr>
        <w:t xml:space="preserve"> 存放</w:t>
      </w:r>
      <w:r>
        <w:t>及运输</w:t>
      </w:r>
      <w:bookmarkEnd w:id="603"/>
      <w:bookmarkEnd w:id="604"/>
      <w:bookmarkEnd w:id="605"/>
      <w:bookmarkEnd w:id="606"/>
      <w:bookmarkEnd w:id="607"/>
      <w:bookmarkEnd w:id="608"/>
      <w:bookmarkEnd w:id="609"/>
    </w:p>
    <w:p>
      <w:pPr>
        <w:rPr>
          <w:rFonts w:hint="default"/>
          <w:lang w:val="en-US" w:eastAsia="zh-CN"/>
        </w:rPr>
      </w:pPr>
      <w:r>
        <w:rPr>
          <w:rFonts w:hint="eastAsia"/>
          <w:b/>
          <w:bCs/>
          <w:lang w:val="en-US" w:eastAsia="zh-CN"/>
        </w:rPr>
        <w:t>4.8.1</w:t>
      </w:r>
      <w:r>
        <w:rPr>
          <w:rFonts w:hint="eastAsia"/>
          <w:lang w:val="en-US" w:eastAsia="zh-CN"/>
        </w:rPr>
        <w:t xml:space="preserve">  </w:t>
      </w:r>
      <w:r>
        <w:rPr>
          <w:rFonts w:hint="default"/>
          <w:lang w:val="en-US" w:eastAsia="zh-CN"/>
        </w:rPr>
        <w:t>预制构件的运输和堆放涉及质量和安全要求，应按工程或产品特点制定运输堆放方案，策划重点控制环节，对于特殊构件还要制定专门质量安全保证措施。构件临时码放场地可合理布置在吊装机械可覆盖范围内，避免二次搬运。</w:t>
      </w:r>
    </w:p>
    <w:p>
      <w:pPr>
        <w:rPr>
          <w:rFonts w:hint="default"/>
          <w:lang w:val="en-US" w:eastAsia="zh-CN"/>
        </w:rPr>
        <w:sectPr>
          <w:pgSz w:w="11906" w:h="16838"/>
          <w:pgMar w:top="1276" w:right="1276" w:bottom="1276" w:left="1418" w:header="851" w:footer="891" w:gutter="0"/>
          <w:cols w:space="0" w:num="1"/>
          <w:docGrid w:type="lines" w:linePitch="332" w:charSpace="0"/>
        </w:sectPr>
      </w:pPr>
    </w:p>
    <w:p>
      <w:pPr>
        <w:pStyle w:val="2"/>
        <w:bidi w:val="0"/>
        <w:rPr>
          <w:rFonts w:cs="Times New Roman"/>
          <w:bCs w:val="0"/>
          <w:sz w:val="28"/>
        </w:rPr>
      </w:pPr>
      <w:bookmarkStart w:id="610" w:name="_Toc11456"/>
      <w:bookmarkStart w:id="611" w:name="_Toc4637"/>
      <w:bookmarkStart w:id="612" w:name="_Toc19799"/>
      <w:bookmarkStart w:id="613" w:name="_Toc30416"/>
      <w:bookmarkStart w:id="614" w:name="_Toc29102"/>
      <w:bookmarkStart w:id="615" w:name="_Toc28787"/>
      <w:bookmarkStart w:id="616" w:name="_Toc2255"/>
      <w:r>
        <w:rPr>
          <w:rFonts w:hint="eastAsia" w:cs="Times New Roman"/>
        </w:rPr>
        <w:t>5  基坑（槽）与</w:t>
      </w:r>
      <w:r>
        <w:rPr>
          <w:rFonts w:cs="Times New Roman"/>
          <w:lang w:val="el-GR"/>
        </w:rPr>
        <w:t>地基基础</w:t>
      </w:r>
      <w:bookmarkEnd w:id="610"/>
      <w:bookmarkEnd w:id="611"/>
      <w:bookmarkEnd w:id="612"/>
      <w:bookmarkEnd w:id="613"/>
      <w:bookmarkEnd w:id="614"/>
      <w:bookmarkEnd w:id="615"/>
      <w:bookmarkEnd w:id="616"/>
    </w:p>
    <w:p>
      <w:pPr>
        <w:pStyle w:val="3"/>
        <w:bidi w:val="0"/>
      </w:pPr>
      <w:bookmarkStart w:id="617" w:name="_Toc27460"/>
      <w:bookmarkStart w:id="618" w:name="_Toc8689"/>
      <w:bookmarkStart w:id="619" w:name="_Toc22351"/>
      <w:bookmarkStart w:id="620" w:name="_Toc27496"/>
      <w:bookmarkStart w:id="621" w:name="_Toc10934"/>
      <w:bookmarkStart w:id="622" w:name="_Toc19596"/>
      <w:bookmarkStart w:id="623" w:name="_Toc30259"/>
      <w:r>
        <w:t>5.1  一般规定</w:t>
      </w:r>
      <w:bookmarkEnd w:id="617"/>
      <w:bookmarkEnd w:id="618"/>
      <w:bookmarkEnd w:id="619"/>
      <w:bookmarkEnd w:id="620"/>
      <w:bookmarkEnd w:id="621"/>
      <w:bookmarkEnd w:id="622"/>
      <w:bookmarkEnd w:id="623"/>
    </w:p>
    <w:p>
      <w:pPr>
        <w:rPr>
          <w:rFonts w:hint="default"/>
          <w:lang w:val="en-US" w:eastAsia="zh-CN"/>
        </w:rPr>
      </w:pPr>
      <w:r>
        <w:rPr>
          <w:rFonts w:hint="eastAsia"/>
          <w:b/>
          <w:bCs/>
          <w:lang w:val="en-US" w:eastAsia="zh-CN"/>
        </w:rPr>
        <w:t>5.1.1</w:t>
      </w:r>
      <w:r>
        <w:rPr>
          <w:rFonts w:hint="eastAsia"/>
          <w:lang w:val="en-US" w:eastAsia="zh-CN"/>
        </w:rPr>
        <w:t xml:space="preserve">  </w:t>
      </w:r>
      <w:r>
        <w:rPr>
          <w:rFonts w:hint="default"/>
          <w:lang w:val="en-US" w:eastAsia="zh-CN"/>
        </w:rPr>
        <w:t>综合管廊一般建设在城市的中心地区，同时涉及的线长面广，施工组织和管理的难度大。为了保证施工的顺利，应当对施工现场、地下管线和建（构）筑物等进行详细的调查。</w:t>
      </w:r>
    </w:p>
    <w:p>
      <w:pPr>
        <w:rPr>
          <w:rFonts w:hint="default"/>
          <w:lang w:val="en-US" w:eastAsia="zh-CN"/>
        </w:rPr>
      </w:pPr>
      <w:r>
        <w:rPr>
          <w:rFonts w:hint="eastAsia"/>
          <w:b/>
          <w:bCs/>
          <w:lang w:val="en-US" w:eastAsia="zh-CN"/>
        </w:rPr>
        <w:t>5.1.3</w:t>
      </w:r>
      <w:r>
        <w:rPr>
          <w:rFonts w:hint="eastAsia"/>
          <w:lang w:val="en-US" w:eastAsia="zh-CN"/>
        </w:rPr>
        <w:t xml:space="preserve">  </w:t>
      </w:r>
      <w:r>
        <w:rPr>
          <w:rFonts w:hint="default"/>
          <w:lang w:val="en-US" w:eastAsia="zh-CN"/>
        </w:rPr>
        <w:t>综合管廊施工期间未达到设计要求的抗浮条件时，应采取防止管廊上浮的临时措施。</w:t>
      </w:r>
    </w:p>
    <w:p>
      <w:pPr>
        <w:rPr>
          <w:rFonts w:hint="default"/>
          <w:lang w:val="en-US" w:eastAsia="zh-CN"/>
        </w:rPr>
      </w:pPr>
      <w:r>
        <w:rPr>
          <w:rFonts w:hint="eastAsia"/>
          <w:b/>
          <w:bCs/>
          <w:lang w:val="en-US" w:eastAsia="zh-CN"/>
        </w:rPr>
        <w:t>5.1.6</w:t>
      </w:r>
      <w:r>
        <w:rPr>
          <w:rFonts w:hint="eastAsia"/>
          <w:lang w:val="en-US" w:eastAsia="zh-CN"/>
        </w:rPr>
        <w:t xml:space="preserve">  </w:t>
      </w:r>
      <w:r>
        <w:rPr>
          <w:rFonts w:hint="default"/>
          <w:lang w:val="en-US" w:eastAsia="zh-CN"/>
        </w:rPr>
        <w:t>其他现行行业标准主要有：《建筑基坑支护技术规程》JGJ 120、《建筑地基处理技术规范》JGJ 79等；其他现行广东省相关标准主要有《建筑地基基础施工规范》DBJT 15-152、《建筑地基基础设计规范》DBJ 15-31、《建筑基坑工程技术规程》DBJ/T 15-20等。</w:t>
      </w:r>
    </w:p>
    <w:p>
      <w:pPr>
        <w:rPr>
          <w:rFonts w:hint="default"/>
          <w:lang w:val="en-US" w:eastAsia="zh-CN"/>
        </w:rPr>
      </w:pPr>
    </w:p>
    <w:p>
      <w:pPr>
        <w:pStyle w:val="3"/>
        <w:bidi w:val="0"/>
        <w:rPr>
          <w:rFonts w:hint="eastAsia"/>
          <w:lang w:val="en-US" w:eastAsia="zh-CN"/>
        </w:rPr>
      </w:pPr>
      <w:bookmarkStart w:id="624" w:name="_Toc7669"/>
      <w:bookmarkStart w:id="625" w:name="_Toc24385"/>
      <w:bookmarkStart w:id="626" w:name="_Toc6357"/>
      <w:bookmarkStart w:id="627" w:name="_Toc26096"/>
      <w:bookmarkStart w:id="628" w:name="_Toc2525"/>
      <w:bookmarkStart w:id="629" w:name="_Toc25641"/>
      <w:bookmarkStart w:id="630" w:name="_Toc16492"/>
      <w:r>
        <w:rPr>
          <w:rFonts w:hint="eastAsia"/>
          <w:lang w:val="en-US" w:eastAsia="zh-CN"/>
        </w:rPr>
        <w:t xml:space="preserve">5.2  </w:t>
      </w:r>
      <w:r>
        <w:t>基坑（槽）工程</w:t>
      </w:r>
      <w:bookmarkEnd w:id="624"/>
      <w:bookmarkEnd w:id="625"/>
      <w:bookmarkEnd w:id="626"/>
      <w:bookmarkEnd w:id="627"/>
      <w:bookmarkEnd w:id="628"/>
      <w:bookmarkEnd w:id="629"/>
      <w:bookmarkEnd w:id="630"/>
    </w:p>
    <w:p>
      <w:pPr>
        <w:rPr>
          <w:rFonts w:hint="default"/>
          <w:lang w:val="en-US" w:eastAsia="zh-CN"/>
        </w:rPr>
      </w:pPr>
    </w:p>
    <w:p>
      <w:pPr>
        <w:pStyle w:val="16"/>
        <w:rPr>
          <w:rFonts w:hint="default"/>
          <w:lang w:val="en-US"/>
        </w:rPr>
      </w:pPr>
      <w:r>
        <w:rPr>
          <w:rFonts w:hint="eastAsia"/>
          <w:b/>
          <w:bCs/>
          <w:lang w:val="en-US" w:eastAsia="zh-CN"/>
        </w:rPr>
        <w:t>5.2.2</w:t>
      </w:r>
      <w:r>
        <w:rPr>
          <w:rFonts w:hint="eastAsia"/>
          <w:lang w:val="en-US" w:eastAsia="zh-CN"/>
        </w:rPr>
        <w:t xml:space="preserve">  </w:t>
      </w:r>
      <w:r>
        <w:rPr>
          <w:rFonts w:hint="eastAsia" w:ascii="Times New Roman" w:hAnsi="Times New Roman" w:eastAsia="宋体" w:cstheme="minorBidi"/>
          <w:kern w:val="2"/>
          <w:sz w:val="24"/>
          <w:szCs w:val="22"/>
          <w:lang w:val="en-US" w:eastAsia="zh-CN" w:bidi="ar-SA"/>
        </w:rPr>
        <w:t>一般需进行试验性</w:t>
      </w:r>
      <w:r>
        <w:rPr>
          <w:rFonts w:hint="eastAsia" w:eastAsia="宋体" w:cstheme="minorBidi"/>
          <w:kern w:val="2"/>
          <w:sz w:val="24"/>
          <w:szCs w:val="22"/>
          <w:lang w:val="en-US" w:eastAsia="zh-CN" w:bidi="ar-SA"/>
        </w:rPr>
        <w:t>施工</w:t>
      </w:r>
      <w:r>
        <w:rPr>
          <w:rFonts w:hint="eastAsia" w:ascii="Times New Roman" w:hAnsi="Times New Roman" w:eastAsia="宋体" w:cstheme="minorBidi"/>
          <w:kern w:val="2"/>
          <w:sz w:val="24"/>
          <w:szCs w:val="22"/>
          <w:lang w:val="en-US" w:eastAsia="zh-CN" w:bidi="ar-SA"/>
        </w:rPr>
        <w:t>的基坑支护项目见表</w:t>
      </w:r>
      <w:r>
        <w:rPr>
          <w:rFonts w:hint="eastAsia" w:eastAsia="宋体" w:cstheme="minorBidi"/>
          <w:kern w:val="2"/>
          <w:sz w:val="24"/>
          <w:szCs w:val="22"/>
          <w:lang w:val="en-US" w:eastAsia="zh-CN" w:bidi="ar-SA"/>
        </w:rPr>
        <w:t>2</w:t>
      </w:r>
      <w:r>
        <w:rPr>
          <w:rFonts w:hint="eastAsia" w:ascii="Times New Roman" w:hAnsi="Times New Roman" w:eastAsia="宋体" w:cstheme="minorBidi"/>
          <w:kern w:val="2"/>
          <w:sz w:val="24"/>
          <w:szCs w:val="22"/>
          <w:lang w:val="en-US" w:eastAsia="zh-CN" w:bidi="ar-SA"/>
        </w:rPr>
        <w:t>。</w:t>
      </w:r>
    </w:p>
    <w:p>
      <w:pPr>
        <w:pStyle w:val="16"/>
        <w:jc w:val="center"/>
        <w:rPr>
          <w:rFonts w:hint="eastAsia" w:ascii="宋体" w:hAnsi="宋体" w:eastAsia="宋体" w:cs="宋体"/>
          <w:b/>
          <w:bCs/>
          <w:sz w:val="21"/>
          <w:szCs w:val="21"/>
          <w:lang w:val="en-US"/>
        </w:rPr>
      </w:pPr>
      <w:r>
        <w:rPr>
          <w:rFonts w:hint="default" w:ascii="Times New Roman" w:hAnsi="Times New Roman" w:eastAsia="宋体" w:cs="Times New Roman"/>
          <w:b/>
          <w:bCs/>
          <w:sz w:val="21"/>
          <w:szCs w:val="21"/>
          <w:lang w:val="en-US" w:eastAsia="zh-CN"/>
        </w:rPr>
        <w:t>表</w:t>
      </w:r>
      <w:r>
        <w:rPr>
          <w:rFonts w:hint="eastAsia" w:eastAsia="宋体" w:cs="Times New Roman"/>
          <w:b/>
          <w:bCs/>
          <w:sz w:val="21"/>
          <w:szCs w:val="21"/>
          <w:lang w:val="en-US" w:eastAsia="zh-CN"/>
        </w:rPr>
        <w:t>2</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val="en-US"/>
        </w:rPr>
        <w:t>一般需进行试验性施工的基坑支护</w:t>
      </w:r>
      <w:r>
        <w:rPr>
          <w:rFonts w:hint="eastAsia" w:ascii="宋体" w:hAnsi="宋体" w:eastAsia="宋体" w:cs="宋体"/>
          <w:b/>
          <w:bCs/>
          <w:sz w:val="21"/>
          <w:szCs w:val="21"/>
          <w:lang w:val="en-US" w:eastAsia="zh-CN"/>
        </w:rPr>
        <w:t>工程</w:t>
      </w:r>
      <w:r>
        <w:rPr>
          <w:rFonts w:hint="eastAsia" w:ascii="宋体" w:hAnsi="宋体" w:eastAsia="宋体" w:cs="宋体"/>
          <w:b/>
          <w:bCs/>
          <w:sz w:val="21"/>
          <w:szCs w:val="21"/>
          <w:lang w:val="en-US"/>
        </w:rPr>
        <w:t>项目表</w:t>
      </w:r>
    </w:p>
    <w:tbl>
      <w:tblPr>
        <w:tblStyle w:val="39"/>
        <w:tblW w:w="906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116"/>
        <w:gridCol w:w="5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116"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支护结构</w:t>
            </w:r>
          </w:p>
        </w:tc>
        <w:tc>
          <w:tcPr>
            <w:tcW w:w="5951"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试验项目及条件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116"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地下连续墙</w:t>
            </w:r>
          </w:p>
        </w:tc>
        <w:tc>
          <w:tcPr>
            <w:tcW w:w="5951"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成槽试验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116" w:type="dxa"/>
            <w:vAlign w:val="center"/>
          </w:tcPr>
          <w:p>
            <w:pPr>
              <w:pStyle w:val="16"/>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排桩</w:t>
            </w:r>
          </w:p>
        </w:tc>
        <w:tc>
          <w:tcPr>
            <w:tcW w:w="5951"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工艺性试桩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116"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锚杆及土钉墙</w:t>
            </w:r>
          </w:p>
        </w:tc>
        <w:tc>
          <w:tcPr>
            <w:tcW w:w="5951" w:type="dxa"/>
            <w:vAlign w:val="center"/>
          </w:tcPr>
          <w:p>
            <w:pPr>
              <w:pStyle w:val="16"/>
              <w:spacing w:line="240" w:lineRule="auto"/>
              <w:jc w:val="left"/>
              <w:rPr>
                <w:rFonts w:hint="eastAsia" w:ascii="宋体" w:hAnsi="宋体" w:eastAsia="宋体" w:cs="宋体"/>
                <w:sz w:val="21"/>
                <w:szCs w:val="21"/>
                <w:lang w:val="en-US"/>
              </w:rPr>
            </w:pPr>
            <w:r>
              <w:rPr>
                <w:rFonts w:hint="eastAsia" w:ascii="宋体" w:hAnsi="宋体" w:eastAsia="宋体" w:cs="宋体"/>
                <w:sz w:val="21"/>
                <w:szCs w:val="21"/>
                <w:lang w:val="en-US"/>
              </w:rPr>
              <w:t>复杂地质条件下工艺性试验，如有地下水时，对易产生流砂或塌孔的砂土、粉土、碎石土等土层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116"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水泥土搅拌桩、旋喷桩等止水桩</w:t>
            </w:r>
          </w:p>
        </w:tc>
        <w:tc>
          <w:tcPr>
            <w:tcW w:w="5951"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工艺性试桩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3116"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钢板桩</w:t>
            </w:r>
          </w:p>
        </w:tc>
        <w:tc>
          <w:tcPr>
            <w:tcW w:w="5951" w:type="dxa"/>
            <w:vAlign w:val="center"/>
          </w:tcPr>
          <w:p>
            <w:pPr>
              <w:pStyle w:val="16"/>
              <w:spacing w:line="24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t>沉桩、拔桩试验</w:t>
            </w:r>
          </w:p>
        </w:tc>
      </w:tr>
    </w:tbl>
    <w:p>
      <w:pPr>
        <w:rPr>
          <w:rFonts w:hint="default"/>
          <w:lang w:val="en-US" w:eastAsia="zh-CN"/>
        </w:rPr>
      </w:pPr>
    </w:p>
    <w:p>
      <w:pPr>
        <w:pStyle w:val="3"/>
        <w:bidi w:val="0"/>
        <w:rPr>
          <w:rFonts w:hint="eastAsia"/>
          <w:lang w:val="en-US" w:eastAsia="zh-CN"/>
        </w:rPr>
      </w:pPr>
      <w:bookmarkStart w:id="631" w:name="_Toc24446"/>
      <w:bookmarkStart w:id="632" w:name="_Toc20373"/>
      <w:bookmarkStart w:id="633" w:name="_Toc8262"/>
      <w:bookmarkStart w:id="634" w:name="_Toc5207"/>
      <w:bookmarkStart w:id="635" w:name="_Toc4623"/>
      <w:bookmarkStart w:id="636" w:name="_Toc29293"/>
      <w:bookmarkStart w:id="637" w:name="_Toc5183"/>
      <w:r>
        <w:rPr>
          <w:rFonts w:hint="eastAsia"/>
          <w:lang w:val="en-US" w:eastAsia="zh-CN"/>
        </w:rPr>
        <w:t>5.3  地基与基础工程</w:t>
      </w:r>
      <w:bookmarkEnd w:id="631"/>
      <w:bookmarkEnd w:id="632"/>
      <w:bookmarkEnd w:id="633"/>
      <w:bookmarkEnd w:id="634"/>
      <w:bookmarkEnd w:id="635"/>
      <w:bookmarkEnd w:id="636"/>
      <w:bookmarkEnd w:id="637"/>
    </w:p>
    <w:p>
      <w:pPr>
        <w:rPr>
          <w:rFonts w:hint="default"/>
          <w:lang w:val="en-US" w:eastAsia="zh-CN"/>
        </w:rPr>
      </w:pPr>
      <w:r>
        <w:rPr>
          <w:rFonts w:hint="eastAsia"/>
          <w:b/>
          <w:bCs/>
          <w:lang w:val="en-US" w:eastAsia="zh-CN"/>
        </w:rPr>
        <w:t>5.3.5</w:t>
      </w:r>
      <w:r>
        <w:rPr>
          <w:rFonts w:hint="eastAsia"/>
          <w:lang w:val="en-US" w:eastAsia="zh-CN"/>
        </w:rPr>
        <w:t xml:space="preserve">  </w:t>
      </w:r>
      <w:r>
        <w:rPr>
          <w:rFonts w:hint="default"/>
          <w:lang w:val="en-US" w:eastAsia="zh-CN"/>
        </w:rPr>
        <w:t>垫层应满足不同构件安装施工要求，如果采用专用安装设备在垫层上进行预制构件运输及安装时，垫层要满足安装设备和预制构件对垫层承载力的要求</w:t>
      </w:r>
      <w:r>
        <w:rPr>
          <w:rFonts w:hint="eastAsia"/>
          <w:lang w:val="en-US" w:eastAsia="zh-CN"/>
        </w:rPr>
        <w:t>；</w:t>
      </w:r>
      <w:r>
        <w:rPr>
          <w:rFonts w:hint="default"/>
          <w:lang w:val="en-US" w:eastAsia="zh-CN"/>
        </w:rPr>
        <w:t>如果混凝土垫层平整度达不到要求时，宜采用铺设1:3灰砂找平层找平；或座浆处理措施；但其厚度不宜大于20mm。</w:t>
      </w:r>
    </w:p>
    <w:p>
      <w:pPr>
        <w:rPr>
          <w:rFonts w:hint="default"/>
          <w:lang w:val="en-US" w:eastAsia="zh-CN"/>
        </w:rPr>
      </w:pPr>
    </w:p>
    <w:p>
      <w:pPr>
        <w:pStyle w:val="3"/>
        <w:bidi w:val="0"/>
      </w:pPr>
      <w:bookmarkStart w:id="638" w:name="_Toc28151"/>
      <w:bookmarkStart w:id="639" w:name="_Toc32442"/>
      <w:bookmarkStart w:id="640" w:name="_Toc21707"/>
      <w:bookmarkStart w:id="641" w:name="_Toc12296"/>
      <w:bookmarkStart w:id="642" w:name="_Toc7007"/>
      <w:bookmarkStart w:id="643" w:name="_Toc18877"/>
      <w:bookmarkStart w:id="644" w:name="_Toc8388"/>
      <w:r>
        <w:t>5.4  基坑回填</w:t>
      </w:r>
      <w:bookmarkEnd w:id="638"/>
      <w:bookmarkEnd w:id="639"/>
      <w:bookmarkEnd w:id="640"/>
      <w:bookmarkEnd w:id="641"/>
      <w:bookmarkEnd w:id="642"/>
      <w:bookmarkEnd w:id="643"/>
      <w:bookmarkEnd w:id="644"/>
    </w:p>
    <w:p>
      <w:pPr>
        <w:rPr>
          <w:rFonts w:hint="default"/>
          <w:lang w:val="en-US" w:eastAsia="zh-CN"/>
        </w:rPr>
      </w:pPr>
      <w:r>
        <w:rPr>
          <w:rFonts w:hint="eastAsia"/>
          <w:b/>
          <w:bCs/>
          <w:lang w:val="en-US" w:eastAsia="zh-CN"/>
        </w:rPr>
        <w:t>5.4.1</w:t>
      </w:r>
      <w:r>
        <w:rPr>
          <w:rFonts w:hint="eastAsia"/>
          <w:lang w:val="en-US" w:eastAsia="zh-CN"/>
        </w:rPr>
        <w:t xml:space="preserve">  </w:t>
      </w:r>
      <w:r>
        <w:rPr>
          <w:rFonts w:hint="default"/>
          <w:lang w:val="en-US" w:eastAsia="zh-CN"/>
        </w:rPr>
        <w:t>综合管廊基坑的回填应尽快进行，以免长期暴露导致地下水和地表水侵入基坑。根据地下工程的验收要求，应当首先通过结构和防水工程验收，合格后方能进行下道工序施工。</w:t>
      </w:r>
    </w:p>
    <w:p>
      <w:pPr>
        <w:rPr>
          <w:rFonts w:hint="default"/>
          <w:lang w:val="en-US" w:eastAsia="zh-CN"/>
        </w:rPr>
      </w:pPr>
      <w:r>
        <w:rPr>
          <w:rFonts w:hint="eastAsia"/>
          <w:b/>
          <w:bCs/>
          <w:lang w:val="en-US" w:eastAsia="zh-CN"/>
        </w:rPr>
        <w:t>5.4.4</w:t>
      </w:r>
      <w:r>
        <w:rPr>
          <w:rFonts w:hint="eastAsia"/>
          <w:lang w:val="en-US" w:eastAsia="zh-CN"/>
        </w:rPr>
        <w:t xml:space="preserve">  </w:t>
      </w:r>
      <w:r>
        <w:rPr>
          <w:rFonts w:hint="default"/>
          <w:lang w:val="en-US" w:eastAsia="zh-CN"/>
        </w:rPr>
        <w:t>预拌流态固化土是近几年研究应用的一种新型建筑回填材料，是在土中加入一定量的固化剂、外加剂和水拌合均匀，形成具有一定流动性，且凝固后能达到一定强度的混合物。预拌流态固化土的材料要求及其填筑工程的设计、施工及验收要求可参考现行相关标准的规定。扩展度是流态填筑料流动性的重要控制指标，是指将固化土拌合物注入混凝土塌落度筒，测试拌合物在自重作用下的扩展宽度。</w:t>
      </w:r>
    </w:p>
    <w:p>
      <w:pPr>
        <w:rPr>
          <w:rFonts w:hint="default"/>
          <w:lang w:val="en-US" w:eastAsia="zh-CN"/>
        </w:rPr>
      </w:pPr>
      <w:r>
        <w:rPr>
          <w:rFonts w:hint="eastAsia"/>
          <w:b/>
          <w:bCs/>
          <w:lang w:val="en-US" w:eastAsia="zh-CN"/>
        </w:rPr>
        <w:t>5.4.6</w:t>
      </w:r>
      <w:r>
        <w:rPr>
          <w:rFonts w:hint="eastAsia"/>
          <w:lang w:val="en-US" w:eastAsia="zh-CN"/>
        </w:rPr>
        <w:t xml:space="preserve">  </w:t>
      </w:r>
      <w:r>
        <w:rPr>
          <w:rFonts w:hint="default"/>
          <w:lang w:val="en-US" w:eastAsia="zh-CN"/>
        </w:rPr>
        <w:t>综合管廊属于狭长形结构，两侧回填土的高度较高，如果两侧回填土不对称均匀回填，会产生较大的侧向压力差，严重时导致综合管廊的侧向滑动。</w:t>
      </w:r>
    </w:p>
    <w:p>
      <w:pPr>
        <w:rPr>
          <w:rFonts w:hint="default"/>
          <w:lang w:val="en-US" w:eastAsia="zh-CN"/>
        </w:rPr>
      </w:pPr>
    </w:p>
    <w:p>
      <w:pPr>
        <w:pStyle w:val="3"/>
        <w:bidi w:val="0"/>
        <w:rPr>
          <w:rFonts w:hint="eastAsia"/>
          <w:lang w:val="en-US" w:eastAsia="zh-CN"/>
        </w:rPr>
      </w:pPr>
      <w:bookmarkStart w:id="645" w:name="_Toc684"/>
      <w:bookmarkStart w:id="646" w:name="_Toc12"/>
      <w:bookmarkStart w:id="647" w:name="_Toc28811"/>
      <w:bookmarkStart w:id="648" w:name="_Toc10344"/>
      <w:bookmarkStart w:id="649" w:name="_Toc31675"/>
      <w:bookmarkStart w:id="650" w:name="_Toc3334"/>
      <w:bookmarkStart w:id="651" w:name="_Toc1978"/>
      <w:r>
        <w:rPr>
          <w:rFonts w:hint="eastAsia"/>
          <w:lang w:val="en-US" w:eastAsia="zh-CN"/>
        </w:rPr>
        <w:t>5.5  质量检验与控制</w:t>
      </w:r>
      <w:bookmarkEnd w:id="645"/>
      <w:bookmarkEnd w:id="646"/>
      <w:bookmarkEnd w:id="647"/>
      <w:bookmarkEnd w:id="648"/>
      <w:bookmarkEnd w:id="649"/>
      <w:bookmarkEnd w:id="650"/>
      <w:bookmarkEnd w:id="651"/>
    </w:p>
    <w:p>
      <w:pPr>
        <w:textAlignment w:val="auto"/>
        <w:rPr>
          <w:rFonts w:hint="default" w:ascii="Times New Roman" w:hAnsi="Times New Roman" w:cs="Times New Roman"/>
          <w:lang w:val="en-US" w:eastAsia="zh-CN"/>
        </w:rPr>
      </w:pPr>
      <w:r>
        <w:rPr>
          <w:rFonts w:eastAsia="仿宋" w:cs="Times New Roman"/>
          <w:b/>
          <w:bCs/>
        </w:rPr>
        <w:t>5.5.2 第4</w:t>
      </w:r>
      <w:r>
        <w:rPr>
          <w:rFonts w:hint="eastAsia" w:eastAsia="仿宋" w:cs="Times New Roman"/>
          <w:b/>
          <w:bCs/>
          <w:lang w:eastAsia="zh-CN"/>
        </w:rPr>
        <w:t>款</w:t>
      </w:r>
      <w:r>
        <w:rPr>
          <w:rFonts w:hint="eastAsia" w:eastAsia="仿宋" w:cs="Times New Roman"/>
          <w:b/>
          <w:bCs/>
          <w:lang w:val="en-US" w:eastAsia="zh-CN"/>
        </w:rPr>
        <w:t xml:space="preserve"> </w:t>
      </w:r>
      <w:r>
        <w:rPr>
          <w:rFonts w:hint="eastAsia" w:eastAsia="仿宋" w:cs="Times New Roman"/>
          <w:b/>
          <w:bCs/>
        </w:rPr>
        <w:t xml:space="preserve"> </w:t>
      </w:r>
      <w:r>
        <w:rPr>
          <w:rFonts w:hint="default" w:ascii="Times New Roman" w:hAnsi="Times New Roman" w:eastAsia="宋体" w:cs="Times New Roman"/>
        </w:rPr>
        <w:t>经查阅相关文献及咨询相关检测单位意见，原位试验测试手段严重依赖于地区工程经验，目前，原位测试手段尚未有足够的理论及经验支撑，尚未查阅到国内规程中利用原位测试填土压实系数的相关条款，因此</w:t>
      </w:r>
      <w:r>
        <w:rPr>
          <w:rFonts w:hint="eastAsia" w:cs="Times New Roman"/>
          <w:lang w:val="en-US" w:eastAsia="zh-CN"/>
        </w:rPr>
        <w:t>本标准的填土压实系数检测仍采用环刀法、灌砂法等试验方法。</w:t>
      </w:r>
    </w:p>
    <w:p>
      <w:pPr>
        <w:rPr>
          <w:rFonts w:hint="default" w:ascii="Times New Roman" w:hAnsi="Times New Roman" w:eastAsia="宋体" w:cs="Times New Roman"/>
          <w:lang w:val="en-US" w:eastAsia="zh-CN"/>
        </w:rPr>
      </w:pPr>
      <w:r>
        <w:rPr>
          <w:rFonts w:hint="eastAsia" w:ascii="Times New Roman" w:hAnsi="Times New Roman" w:cs="Times New Roman"/>
          <w:b/>
          <w:bCs/>
          <w:lang w:val="en-US" w:eastAsia="zh-CN"/>
        </w:rPr>
        <w:t xml:space="preserve">5.5.5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参考《建筑地基基础工程施工质量验收标准》GB 50202中砂石地基质量检测标准，结合综合管廊工程实际，提出碎石垫层的质量检测要求。</w:t>
      </w:r>
    </w:p>
    <w:p>
      <w:pPr>
        <w:rPr>
          <w:rFonts w:hint="default" w:ascii="Times New Roman" w:hAnsi="Times New Roman" w:eastAsia="宋体" w:cs="Times New Roman"/>
          <w:lang w:val="en-US" w:eastAsia="zh-CN"/>
        </w:rPr>
        <w:sectPr>
          <w:pgSz w:w="11906" w:h="16838"/>
          <w:pgMar w:top="1276" w:right="1276" w:bottom="1276" w:left="1418" w:header="851" w:footer="891" w:gutter="0"/>
          <w:cols w:space="0" w:num="1"/>
          <w:docGrid w:type="lines" w:linePitch="332" w:charSpace="0"/>
        </w:sectPr>
      </w:pPr>
    </w:p>
    <w:p>
      <w:pPr>
        <w:pStyle w:val="2"/>
        <w:bidi w:val="0"/>
      </w:pPr>
      <w:bookmarkStart w:id="652" w:name="_Toc17590"/>
      <w:bookmarkStart w:id="653" w:name="_Toc26630"/>
      <w:bookmarkStart w:id="654" w:name="_Toc30262"/>
      <w:bookmarkStart w:id="655" w:name="_Toc3506"/>
      <w:bookmarkStart w:id="656" w:name="_Toc11114"/>
      <w:bookmarkStart w:id="657" w:name="_Toc6191"/>
      <w:bookmarkStart w:id="658" w:name="_Toc17680"/>
      <w:r>
        <w:t xml:space="preserve">6 </w:t>
      </w:r>
      <w:r>
        <w:rPr>
          <w:rFonts w:hint="eastAsia"/>
        </w:rPr>
        <w:t xml:space="preserve"> </w:t>
      </w:r>
      <w:r>
        <w:t>节段预制管廊的装配</w:t>
      </w:r>
      <w:bookmarkEnd w:id="652"/>
      <w:bookmarkEnd w:id="653"/>
      <w:bookmarkEnd w:id="654"/>
      <w:bookmarkEnd w:id="655"/>
      <w:bookmarkEnd w:id="656"/>
      <w:bookmarkEnd w:id="657"/>
      <w:bookmarkEnd w:id="658"/>
    </w:p>
    <w:p>
      <w:pPr>
        <w:pStyle w:val="3"/>
        <w:bidi w:val="0"/>
      </w:pPr>
      <w:bookmarkStart w:id="659" w:name="_Toc9455"/>
      <w:bookmarkStart w:id="660" w:name="_Toc30364"/>
      <w:bookmarkStart w:id="661" w:name="_Toc82"/>
      <w:bookmarkStart w:id="662" w:name="_Toc7991"/>
      <w:bookmarkStart w:id="663" w:name="_Toc2524"/>
      <w:bookmarkStart w:id="664" w:name="_Toc9993"/>
      <w:bookmarkStart w:id="665" w:name="_Toc7393"/>
      <w:r>
        <w:rPr>
          <w:rFonts w:hint="eastAsia"/>
          <w:lang w:val="en-US" w:eastAsia="zh-CN"/>
        </w:rPr>
        <w:t xml:space="preserve">6.2  </w:t>
      </w:r>
      <w:r>
        <w:rPr>
          <w:rFonts w:hint="eastAsia"/>
        </w:rPr>
        <w:t>节段管廊安装</w:t>
      </w:r>
      <w:bookmarkEnd w:id="659"/>
      <w:bookmarkEnd w:id="660"/>
      <w:bookmarkEnd w:id="661"/>
      <w:bookmarkEnd w:id="662"/>
      <w:bookmarkEnd w:id="663"/>
      <w:bookmarkEnd w:id="664"/>
      <w:bookmarkEnd w:id="665"/>
    </w:p>
    <w:p>
      <w:pPr>
        <w:rPr>
          <w:rFonts w:hint="default" w:eastAsia="宋体"/>
          <w:lang w:val="en-US" w:eastAsia="zh-CN"/>
        </w:rPr>
      </w:pPr>
      <w:r>
        <w:rPr>
          <w:rFonts w:hint="eastAsia"/>
          <w:b/>
          <w:bCs/>
          <w:lang w:val="en-US" w:eastAsia="zh-CN"/>
        </w:rPr>
        <w:t>6.2.1</w:t>
      </w:r>
      <w:r>
        <w:rPr>
          <w:rFonts w:hint="eastAsia"/>
          <w:lang w:val="en-US" w:eastAsia="zh-CN"/>
        </w:rPr>
        <w:t xml:space="preserve">  </w:t>
      </w:r>
      <w:r>
        <w:rPr>
          <w:rFonts w:hint="default" w:eastAsia="宋体"/>
          <w:lang w:val="en-US" w:eastAsia="zh-CN"/>
        </w:rPr>
        <w:t>现场周边环境包括交通状况、作业空间、周边建筑物、空中缆线等情况。管廊节段安装方法包括：起重机直接安装法、坑内管廊安装车安装法等。</w:t>
      </w:r>
    </w:p>
    <w:p>
      <w:pPr>
        <w:rPr>
          <w:rFonts w:hint="default" w:eastAsia="宋体"/>
          <w:lang w:val="en-US" w:eastAsia="zh-CN"/>
        </w:rPr>
      </w:pPr>
      <w:r>
        <w:rPr>
          <w:rFonts w:hint="default" w:eastAsia="宋体"/>
          <w:b/>
          <w:bCs/>
          <w:lang w:val="en-US" w:eastAsia="zh-CN"/>
        </w:rPr>
        <w:t>6.2.4 第1款</w:t>
      </w:r>
      <w:r>
        <w:rPr>
          <w:rFonts w:hint="eastAsia"/>
          <w:lang w:val="en-US" w:eastAsia="zh-CN"/>
        </w:rPr>
        <w:t xml:space="preserve">  </w:t>
      </w:r>
      <w:r>
        <w:rPr>
          <w:rFonts w:hint="default" w:eastAsia="宋体"/>
          <w:lang w:val="en-US" w:eastAsia="zh-CN"/>
        </w:rPr>
        <w:t>对于基坑内部不设内支撑体系、管廊节段可直接吊装就位的，可根据现场情况采用起重机直接安装法。</w:t>
      </w:r>
    </w:p>
    <w:p>
      <w:pPr>
        <w:bidi w:val="0"/>
      </w:pPr>
      <w:r>
        <w:rPr>
          <w:rFonts w:eastAsia="仿宋" w:cs="Times New Roman"/>
          <w:b/>
          <w:bCs/>
        </w:rPr>
        <w:t>6.2.</w:t>
      </w:r>
      <w:r>
        <w:rPr>
          <w:rFonts w:hint="eastAsia" w:eastAsia="仿宋" w:cs="Times New Roman"/>
          <w:b/>
          <w:bCs/>
          <w:lang w:val="en-US" w:eastAsia="zh-CN"/>
        </w:rPr>
        <w:t>5</w:t>
      </w:r>
      <w:r>
        <w:rPr>
          <w:rFonts w:eastAsia="仿宋" w:cs="Times New Roman"/>
          <w:b/>
          <w:bCs/>
        </w:rPr>
        <w:t xml:space="preserve"> </w:t>
      </w:r>
      <w:r>
        <w:rPr>
          <w:rFonts w:eastAsia="仿宋" w:cs="Times New Roman"/>
          <w:b/>
          <w:bCs/>
          <w:szCs w:val="24"/>
        </w:rPr>
        <w:t>第</w:t>
      </w:r>
      <w:r>
        <w:rPr>
          <w:rFonts w:hint="eastAsia" w:eastAsia="仿宋" w:cs="Times New Roman"/>
          <w:b/>
          <w:bCs/>
          <w:szCs w:val="24"/>
          <w:lang w:val="en-US" w:eastAsia="zh-CN"/>
        </w:rPr>
        <w:t>1</w:t>
      </w:r>
      <w:r>
        <w:rPr>
          <w:rFonts w:eastAsia="仿宋" w:cs="Times New Roman"/>
          <w:b/>
          <w:bCs/>
          <w:szCs w:val="24"/>
        </w:rPr>
        <w:t>款</w:t>
      </w:r>
      <w:r>
        <w:rPr>
          <w:rFonts w:hint="eastAsia" w:eastAsia="仿宋" w:cs="Times New Roman"/>
          <w:b/>
          <w:bCs/>
          <w:szCs w:val="24"/>
          <w:lang w:val="en-US" w:eastAsia="zh-CN"/>
        </w:rPr>
        <w:t xml:space="preserve">  </w:t>
      </w:r>
      <w:r>
        <w:rPr>
          <w:rFonts w:hint="default" w:eastAsia="宋体" w:cstheme="minorBidi"/>
          <w:b w:val="0"/>
          <w:bCs w:val="0"/>
          <w:szCs w:val="22"/>
          <w:lang w:val="en-US" w:eastAsia="zh-CN"/>
        </w:rPr>
        <w:t>国内有部分管廊工程案例是</w:t>
      </w:r>
      <w:r>
        <w:t>采用坑内管廊安装车</w:t>
      </w:r>
      <w:r>
        <w:rPr>
          <w:rFonts w:hint="default"/>
          <w:lang w:val="en-US" w:eastAsia="zh-CN"/>
        </w:rPr>
        <w:t>进行节段预制管廊的安装，其</w:t>
      </w:r>
      <w:r>
        <w:t>优点是：预制管廊节段可在某个合适的位置由起重机吊装入基坑，基坑内可用水平运输台车纵向运输管廊节段至管廊安装车位置，管廊安装车再独立完成管廊节段的安装，这样可避开基坑支护内支撑的影响，也可解决拟安装位置起重机无法设置的困难。</w:t>
      </w:r>
    </w:p>
    <w:p>
      <w:pPr>
        <w:bidi w:val="0"/>
        <w:ind w:firstLine="480" w:firstLineChars="200"/>
      </w:pPr>
      <w:r>
        <w:t>专用管廊安装设备结构简单（参见图</w:t>
      </w:r>
      <w:r>
        <w:rPr>
          <w:rFonts w:hint="eastAsia"/>
          <w:lang w:val="en-US" w:eastAsia="zh-CN"/>
        </w:rPr>
        <w:t>1</w:t>
      </w:r>
      <w:r>
        <w:t>和图</w:t>
      </w:r>
      <w:r>
        <w:rPr>
          <w:rFonts w:hint="eastAsia"/>
          <w:lang w:val="en-US" w:eastAsia="zh-CN"/>
        </w:rPr>
        <w:t>2</w:t>
      </w:r>
      <w:r>
        <w:t>），可实现预制管廊在基坑内的运输及安装。长距离运输</w:t>
      </w:r>
      <w:r>
        <w:rPr>
          <w:rFonts w:hint="eastAsia"/>
          <w:lang w:eastAsia="zh-CN"/>
        </w:rPr>
        <w:t>可</w:t>
      </w:r>
      <w:r>
        <w:t>采用水平运输台车，运送至待安装位置后，采用管廊安装车进行精准安装。管廊安装车的三向液压调节系统指的是可在横向、竖向和纵向进行精确调节，使得管廊可准确就位。</w:t>
      </w:r>
    </w:p>
    <w:p>
      <w:pPr>
        <w:ind w:firstLine="480"/>
        <w:jc w:val="center"/>
        <w:rPr>
          <w:szCs w:val="24"/>
          <w:shd w:val="clear" w:color="FFFFFF" w:fill="D9D9D9"/>
        </w:rPr>
      </w:pPr>
      <w:r>
        <w:rPr>
          <w:szCs w:val="24"/>
          <w:shd w:val="clear" w:color="FFFFFF" w:fill="D9D9D9"/>
        </w:rPr>
        <w:drawing>
          <wp:inline distT="0" distB="0" distL="0" distR="0">
            <wp:extent cx="3942080" cy="1384935"/>
            <wp:effectExtent l="0" t="0" r="1270" b="5715"/>
            <wp:docPr id="2" name="图片 2" descr="C:\Users\Administrator\Desktop\156462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56462224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42080" cy="1384935"/>
                    </a:xfrm>
                    <a:prstGeom prst="rect">
                      <a:avLst/>
                    </a:prstGeom>
                    <a:noFill/>
                    <a:ln>
                      <a:noFill/>
                    </a:ln>
                  </pic:spPr>
                </pic:pic>
              </a:graphicData>
            </a:graphic>
          </wp:inline>
        </w:drawing>
      </w:r>
    </w:p>
    <w:p>
      <w:pPr>
        <w:spacing w:line="240" w:lineRule="auto"/>
        <w:ind w:firstLine="422"/>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图</w:t>
      </w:r>
      <w:r>
        <w:rPr>
          <w:rFonts w:hint="default" w:ascii="Times New Roman" w:hAnsi="Times New Roman" w:eastAsia="宋体" w:cs="Times New Roman"/>
          <w:b/>
          <w:bCs/>
          <w:sz w:val="21"/>
          <w:szCs w:val="18"/>
          <w:lang w:val="en-US" w:eastAsia="zh-CN"/>
        </w:rPr>
        <w:t>1</w:t>
      </w:r>
      <w:r>
        <w:rPr>
          <w:rFonts w:hint="default" w:ascii="Times New Roman" w:hAnsi="Times New Roman" w:eastAsia="宋体" w:cs="Times New Roman"/>
          <w:b/>
          <w:bCs/>
          <w:sz w:val="21"/>
          <w:szCs w:val="18"/>
        </w:rPr>
        <w:t xml:space="preserve">  坑内安装系统</w:t>
      </w:r>
    </w:p>
    <w:p>
      <w:pPr>
        <w:pStyle w:val="133"/>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1-水平运输台车；2-管廊安装车；3-待安装管廊节段；4-安装完的管廊</w:t>
      </w:r>
    </w:p>
    <w:p>
      <w:pPr>
        <w:ind w:firstLine="482"/>
        <w:jc w:val="center"/>
        <w:rPr>
          <w:b/>
          <w:bCs/>
          <w:shd w:val="clear" w:color="FFFFFF" w:fill="D9D9D9"/>
        </w:rPr>
      </w:pPr>
      <w:r>
        <w:rPr>
          <w:b/>
          <w:bCs/>
          <w:shd w:val="clear" w:color="FFFFFF" w:fill="D9D9D9"/>
        </w:rPr>
        <w:drawing>
          <wp:inline distT="0" distB="0" distL="0" distR="0">
            <wp:extent cx="2982595" cy="2126615"/>
            <wp:effectExtent l="0" t="0" r="8255" b="6985"/>
            <wp:docPr id="17" name="图片 17" descr="C:\Users\Administrator\Desktop\微信图片_201908011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微信图片_201908011103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82595" cy="2126615"/>
                    </a:xfrm>
                    <a:prstGeom prst="rect">
                      <a:avLst/>
                    </a:prstGeom>
                    <a:noFill/>
                    <a:ln>
                      <a:noFill/>
                    </a:ln>
                  </pic:spPr>
                </pic:pic>
              </a:graphicData>
            </a:graphic>
          </wp:inline>
        </w:drawing>
      </w:r>
    </w:p>
    <w:p>
      <w:pPr>
        <w:spacing w:line="240" w:lineRule="auto"/>
        <w:ind w:firstLine="422"/>
        <w:jc w:val="center"/>
        <w:rPr>
          <w:rFonts w:hint="default" w:ascii="Times New Roman" w:hAnsi="Times New Roman" w:eastAsia="仿宋" w:cs="Times New Roman"/>
          <w:b/>
          <w:bCs/>
          <w:sz w:val="21"/>
          <w:szCs w:val="18"/>
        </w:rPr>
      </w:pPr>
      <w:r>
        <w:rPr>
          <w:rFonts w:hint="default" w:ascii="Times New Roman" w:hAnsi="Times New Roman" w:eastAsia="仿宋" w:cs="Times New Roman"/>
          <w:b/>
          <w:bCs/>
          <w:sz w:val="21"/>
          <w:szCs w:val="18"/>
        </w:rPr>
        <w:t>图</w:t>
      </w:r>
      <w:r>
        <w:rPr>
          <w:rFonts w:hint="default" w:ascii="Times New Roman" w:hAnsi="Times New Roman" w:eastAsia="仿宋" w:cs="Times New Roman"/>
          <w:b/>
          <w:bCs/>
          <w:sz w:val="21"/>
          <w:szCs w:val="18"/>
          <w:lang w:val="en-US" w:eastAsia="zh-CN"/>
        </w:rPr>
        <w:t>2</w:t>
      </w:r>
      <w:r>
        <w:rPr>
          <w:rFonts w:hint="default" w:ascii="Times New Roman" w:hAnsi="Times New Roman" w:eastAsia="仿宋" w:cs="Times New Roman"/>
          <w:b/>
          <w:bCs/>
          <w:sz w:val="21"/>
          <w:szCs w:val="18"/>
        </w:rPr>
        <w:t xml:space="preserve">  管廊安装车</w:t>
      </w:r>
    </w:p>
    <w:p>
      <w:pPr>
        <w:pStyle w:val="133"/>
        <w:spacing w:line="240" w:lineRule="auto"/>
        <w:ind w:left="84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1-前支腿；2-后支腿；3-前升降轮；4-尾轮; 5-驱动轮; 6-安装导向装置;</w:t>
      </w:r>
    </w:p>
    <w:p>
      <w:pPr>
        <w:pStyle w:val="133"/>
        <w:spacing w:line="240" w:lineRule="auto"/>
        <w:ind w:left="840"/>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7-行走导向装置; 8-后升降轮; 9-走台; 10-举升平台</w:t>
      </w:r>
    </w:p>
    <w:p>
      <w:pPr>
        <w:bidi w:val="0"/>
      </w:pPr>
      <w:r>
        <w:rPr>
          <w:rFonts w:hint="eastAsia" w:eastAsia="仿宋" w:cs="Times New Roman"/>
          <w:b/>
          <w:bCs/>
          <w:szCs w:val="24"/>
          <w:lang w:val="en-US" w:eastAsia="zh-CN"/>
        </w:rPr>
        <w:t xml:space="preserve">6.2.7  </w:t>
      </w:r>
      <w:r>
        <w:t>有时管廊的横截面积较大，为降低运输及吊装的难度，在管廊横断面上分成两部分来预制，通常是分成上、下两部分。上、下两部分可以完全对称（侧墙高度相等），此时只需一套模具即可，也可上半部分和下半部分的侧墙高度不同。</w:t>
      </w:r>
    </w:p>
    <w:p>
      <w:pPr>
        <w:bidi w:val="0"/>
        <w:ind w:firstLine="720" w:firstLineChars="300"/>
        <w:rPr>
          <w:rFonts w:eastAsia="仿宋" w:cs="Times New Roman"/>
          <w:szCs w:val="24"/>
        </w:rPr>
      </w:pPr>
      <w:r>
        <w:t>某综合管廊项目，三舱管廊外轮廓尺寸（宽度×高度）为10.9m×4.9m，管廊节段长度为2.4m，每节管廊重约86t，运输和吊装难度均较大。在预制厂采用上下相等尺寸的两部分进行预制（侧墙高度均为2.45m，见图</w:t>
      </w:r>
      <w:r>
        <w:rPr>
          <w:rFonts w:hint="eastAsia"/>
          <w:lang w:val="en-US" w:eastAsia="zh-CN"/>
        </w:rPr>
        <w:t>3</w:t>
      </w:r>
      <w:r>
        <w:t>），上半部分构件（见图</w:t>
      </w:r>
      <w:r>
        <w:rPr>
          <w:rFonts w:hint="eastAsia"/>
          <w:lang w:val="en-US" w:eastAsia="zh-CN"/>
        </w:rPr>
        <w:t>4</w:t>
      </w:r>
      <w:r>
        <w:t>）采用卧式模具浇筑混凝土，下半部分构件由上半部分构件尺寸翻转而成。上半部分外轮廓尺寸为10.9m×2.45m，重量约43t。</w:t>
      </w:r>
    </w:p>
    <w:p>
      <w:pPr>
        <w:ind w:firstLine="480"/>
        <w:jc w:val="center"/>
      </w:pPr>
      <w:r>
        <w:drawing>
          <wp:inline distT="0" distB="0" distL="114300" distR="114300">
            <wp:extent cx="3832860" cy="1995805"/>
            <wp:effectExtent l="9525" t="9525" r="24765" b="13970"/>
            <wp:docPr id="245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5" name="图片 34"/>
                    <pic:cNvPicPr>
                      <a:picLocks noChangeAspect="1"/>
                    </pic:cNvPicPr>
                  </pic:nvPicPr>
                  <pic:blipFill>
                    <a:blip r:embed="rId15"/>
                    <a:stretch>
                      <a:fillRect/>
                    </a:stretch>
                  </pic:blipFill>
                  <pic:spPr>
                    <a:xfrm>
                      <a:off x="0" y="0"/>
                      <a:ext cx="3832860" cy="1995805"/>
                    </a:xfrm>
                    <a:prstGeom prst="rect">
                      <a:avLst/>
                    </a:prstGeom>
                    <a:noFill/>
                    <a:ln w="9525" cap="flat" cmpd="sng">
                      <a:solidFill>
                        <a:schemeClr val="tx1"/>
                      </a:solidFill>
                      <a:prstDash val="solid"/>
                      <a:miter/>
                      <a:headEnd type="none" w="med" len="med"/>
                      <a:tailEnd type="none" w="med" len="med"/>
                    </a:ln>
                  </pic:spPr>
                </pic:pic>
              </a:graphicData>
            </a:graphic>
          </wp:inline>
        </w:drawing>
      </w:r>
    </w:p>
    <w:p>
      <w:pPr>
        <w:ind w:firstLine="422"/>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图</w:t>
      </w:r>
      <w:r>
        <w:rPr>
          <w:rFonts w:hint="default" w:ascii="Times New Roman" w:hAnsi="Times New Roman" w:eastAsia="宋体" w:cs="Times New Roman"/>
          <w:b/>
          <w:bCs/>
          <w:sz w:val="21"/>
          <w:szCs w:val="18"/>
          <w:lang w:val="en-US" w:eastAsia="zh-CN"/>
        </w:rPr>
        <w:t>3</w:t>
      </w:r>
      <w:r>
        <w:rPr>
          <w:rFonts w:hint="default" w:ascii="Times New Roman" w:hAnsi="Times New Roman" w:eastAsia="宋体" w:cs="Times New Roman"/>
          <w:b/>
          <w:bCs/>
          <w:sz w:val="21"/>
          <w:szCs w:val="18"/>
        </w:rPr>
        <w:t xml:space="preserve">  三舱管廊分上、下两部分预制</w:t>
      </w:r>
    </w:p>
    <w:p>
      <w:pPr>
        <w:ind w:firstLine="480"/>
        <w:jc w:val="center"/>
      </w:pPr>
      <w:r>
        <w:drawing>
          <wp:inline distT="0" distB="0" distL="114300" distR="114300">
            <wp:extent cx="3837305" cy="2221865"/>
            <wp:effectExtent l="9525" t="9525" r="20320" b="16510"/>
            <wp:docPr id="10" name="Picture 6" descr="g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gz2"/>
                    <pic:cNvPicPr>
                      <a:picLocks noChangeAspect="1" noChangeArrowheads="1"/>
                    </pic:cNvPicPr>
                  </pic:nvPicPr>
                  <pic:blipFill>
                    <a:blip r:embed="rId16" cstate="print"/>
                    <a:srcRect l="3846" r="3846"/>
                    <a:stretch>
                      <a:fillRect/>
                    </a:stretch>
                  </pic:blipFill>
                  <pic:spPr>
                    <a:xfrm>
                      <a:off x="0" y="0"/>
                      <a:ext cx="3837305" cy="2221865"/>
                    </a:xfrm>
                    <a:prstGeom prst="rect">
                      <a:avLst/>
                    </a:prstGeom>
                    <a:noFill/>
                    <a:ln>
                      <a:solidFill>
                        <a:schemeClr val="tx1"/>
                      </a:solidFill>
                    </a:ln>
                  </pic:spPr>
                </pic:pic>
              </a:graphicData>
            </a:graphic>
          </wp:inline>
        </w:drawing>
      </w:r>
    </w:p>
    <w:p>
      <w:pPr>
        <w:ind w:firstLine="422"/>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图</w:t>
      </w:r>
      <w:r>
        <w:rPr>
          <w:rFonts w:hint="default" w:ascii="Times New Roman" w:hAnsi="Times New Roman" w:eastAsia="宋体" w:cs="Times New Roman"/>
          <w:b/>
          <w:bCs/>
          <w:sz w:val="21"/>
          <w:szCs w:val="18"/>
          <w:lang w:val="en-US" w:eastAsia="zh-CN"/>
        </w:rPr>
        <w:t>4</w:t>
      </w:r>
      <w:r>
        <w:rPr>
          <w:rFonts w:hint="default" w:ascii="Times New Roman" w:hAnsi="Times New Roman" w:eastAsia="宋体" w:cs="Times New Roman"/>
          <w:b/>
          <w:bCs/>
          <w:sz w:val="21"/>
          <w:szCs w:val="18"/>
        </w:rPr>
        <w:t xml:space="preserve">  上部分节段构件的预制</w:t>
      </w:r>
    </w:p>
    <w:p>
      <w:pPr>
        <w:rPr>
          <w:rFonts w:hint="default" w:eastAsia="宋体"/>
          <w:lang w:val="en-US" w:eastAsia="zh-CN"/>
        </w:rPr>
      </w:pPr>
    </w:p>
    <w:p>
      <w:pPr>
        <w:pStyle w:val="3"/>
      </w:pPr>
      <w:bookmarkStart w:id="666" w:name="_Toc6999"/>
      <w:bookmarkStart w:id="667" w:name="_Toc21364"/>
      <w:bookmarkStart w:id="668" w:name="_Toc11911"/>
      <w:bookmarkStart w:id="669" w:name="_Toc11021"/>
      <w:bookmarkStart w:id="670" w:name="_Toc5017"/>
      <w:bookmarkStart w:id="671" w:name="_Toc20028"/>
      <w:bookmarkStart w:id="672" w:name="_Toc24324"/>
      <w:r>
        <w:t xml:space="preserve">6.3 </w:t>
      </w:r>
      <w:r>
        <w:rPr>
          <w:rFonts w:hint="eastAsia"/>
        </w:rPr>
        <w:t xml:space="preserve"> 节段管廊连接</w:t>
      </w:r>
      <w:bookmarkEnd w:id="666"/>
      <w:bookmarkEnd w:id="667"/>
      <w:bookmarkEnd w:id="668"/>
      <w:bookmarkEnd w:id="669"/>
      <w:bookmarkEnd w:id="670"/>
      <w:bookmarkEnd w:id="671"/>
      <w:bookmarkEnd w:id="672"/>
    </w:p>
    <w:p>
      <w:pPr>
        <w:jc w:val="left"/>
        <w:rPr>
          <w:rFonts w:eastAsia="仿宋" w:cs="Times New Roman"/>
          <w:b/>
          <w:bCs/>
          <w:sz w:val="21"/>
          <w:szCs w:val="18"/>
        </w:rPr>
      </w:pPr>
      <w:r>
        <w:rPr>
          <w:rFonts w:hint="eastAsia" w:eastAsia="仿宋" w:cs="Times New Roman"/>
          <w:b/>
          <w:bCs/>
          <w:lang w:val="en-US" w:eastAsia="zh-CN"/>
        </w:rPr>
        <w:t xml:space="preserve">6.3.2  </w:t>
      </w:r>
      <w:r>
        <w:rPr>
          <w:rFonts w:hint="default" w:ascii="Times New Roman" w:hAnsi="Times New Roman" w:eastAsia="宋体" w:cs="Times New Roman"/>
        </w:rPr>
        <w:t>如果节段整体当管廊节段分成上下两部分进行预制时，应按设计要求先进行上下两部分构件的竖向连接。上、下部分的连接通常为预应力筋连接。某工程的上、下两部分采用预应力混凝土用钢棒（简称PC钢棒）连接，直径Φ29mm，抗拉强度1570MPa，管廊节段长度2.4m，双舱管廊，每条侧墙上设置4根Φ29mm钢棒，如图</w:t>
      </w:r>
      <w:r>
        <w:rPr>
          <w:rFonts w:hint="eastAsia" w:ascii="Times New Roman" w:hAnsi="Times New Roman" w:cs="Times New Roman"/>
          <w:lang w:val="en-US" w:eastAsia="zh-CN"/>
        </w:rPr>
        <w:t>5</w:t>
      </w:r>
      <w:r>
        <w:rPr>
          <w:rFonts w:hint="default" w:ascii="Times New Roman" w:hAnsi="Times New Roman" w:eastAsia="宋体" w:cs="Times New Roman"/>
        </w:rPr>
        <w:t>示。该工程竖向PC钢棒张拉时采用张拉力控制应力σ</w:t>
      </w:r>
      <w:r>
        <w:rPr>
          <w:rFonts w:hint="default" w:ascii="Times New Roman" w:hAnsi="Times New Roman" w:eastAsia="宋体" w:cs="Times New Roman"/>
          <w:vertAlign w:val="subscript"/>
        </w:rPr>
        <w:t>con</w:t>
      </w:r>
      <w:r>
        <w:rPr>
          <w:rFonts w:hint="default" w:ascii="Times New Roman" w:hAnsi="Times New Roman" w:eastAsia="宋体" w:cs="Times New Roman"/>
        </w:rPr>
        <w:t>控制及实测的横缝接缝宽度应≤5mm双控。</w:t>
      </w:r>
    </w:p>
    <w:p>
      <w:pPr>
        <w:ind w:firstLine="480"/>
        <w:jc w:val="center"/>
      </w:pPr>
      <w:r>
        <w:drawing>
          <wp:inline distT="0" distB="0" distL="114300" distR="114300">
            <wp:extent cx="3963670" cy="2381250"/>
            <wp:effectExtent l="0" t="0" r="1778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3963670" cy="2381250"/>
                    </a:xfrm>
                    <a:prstGeom prst="rect">
                      <a:avLst/>
                    </a:prstGeom>
                  </pic:spPr>
                </pic:pic>
              </a:graphicData>
            </a:graphic>
          </wp:inline>
        </w:drawing>
      </w:r>
    </w:p>
    <w:p>
      <w:pPr>
        <w:ind w:firstLine="422"/>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图</w:t>
      </w:r>
      <w:r>
        <w:rPr>
          <w:rFonts w:hint="default" w:ascii="Times New Roman" w:hAnsi="Times New Roman" w:eastAsia="宋体" w:cs="Times New Roman"/>
          <w:b/>
          <w:bCs/>
          <w:sz w:val="21"/>
          <w:szCs w:val="18"/>
          <w:lang w:val="en-US" w:eastAsia="zh-CN"/>
        </w:rPr>
        <w:t>5</w:t>
      </w:r>
      <w:r>
        <w:rPr>
          <w:rFonts w:hint="default" w:ascii="Times New Roman" w:hAnsi="Times New Roman" w:eastAsia="宋体" w:cs="Times New Roman"/>
          <w:b/>
          <w:bCs/>
          <w:sz w:val="21"/>
          <w:szCs w:val="18"/>
        </w:rPr>
        <w:t xml:space="preserve">  管廊节段安装预应力布置示意图</w:t>
      </w:r>
    </w:p>
    <w:p>
      <w:pPr>
        <w:rPr>
          <w:rFonts w:hint="default" w:ascii="Times New Roman" w:hAnsi="Times New Roman" w:eastAsia="宋体" w:cs="Times New Roman"/>
        </w:rPr>
      </w:pPr>
      <w:r>
        <w:rPr>
          <w:rFonts w:hint="eastAsia" w:eastAsia="仿宋" w:cs="Times New Roman"/>
          <w:b/>
          <w:bCs/>
          <w:lang w:val="en-US" w:eastAsia="zh-CN"/>
        </w:rPr>
        <w:t xml:space="preserve">6.3.3 </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rPr>
        <w:t>对于横断面尺寸较大的预制管廊通常采用预应力筋连接，包括预应力钢绞线、预应力钢棒、螺纹钢筋等；地基较好的综合管廊节段也可采用螺栓连接，通常为高强螺栓连接，包括直螺栓连接、弧形螺栓连接等；对于地下水位较低、地基条件较差、横断面尺寸较小（比如单舱管廊，特别时圆形单舱管廊）的预制管廊，可采用柔性承插口接头，通常在承插口位置设置两道橡胶密封垫，此时称为双胶圈柔性承插口接头。</w:t>
      </w:r>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6.3.4 第6款</w:t>
      </w:r>
      <w:r>
        <w:rPr>
          <w:rFonts w:hint="eastAsia" w:ascii="Times New Roman" w:hAnsi="Times New Roman" w:cs="Times New Roman"/>
          <w:b/>
          <w:bCs/>
          <w:lang w:val="en-US" w:eastAsia="zh-CN"/>
        </w:rPr>
        <w:t xml:space="preserve">  </w:t>
      </w:r>
      <w:r>
        <w:rPr>
          <w:rFonts w:hint="default" w:ascii="Times New Roman" w:hAnsi="Times New Roman" w:eastAsia="宋体" w:cs="Times New Roman"/>
          <w:lang w:val="en-US" w:eastAsia="zh-CN"/>
        </w:rPr>
        <w:t>同一断面的预应力筋宜同步、分级施加预应力。当无法全断面同步张拉时，可先同步张拉管廊四角部位预应力筋至50%~80%控制应力，再同步张拉剩余预应力筋至100%控制应力，然后再同步张拉四角部位预应力筋至100%控制应力。</w:t>
      </w:r>
    </w:p>
    <w:p>
      <w:pPr>
        <w:ind w:firstLine="482" w:firstLineChars="200"/>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第7款</w:t>
      </w:r>
      <w:r>
        <w:rPr>
          <w:rFonts w:hint="eastAsia" w:ascii="Times New Roman" w:hAnsi="Times New Roman" w:cs="Times New Roman"/>
          <w:b/>
          <w:bCs/>
          <w:lang w:val="en-US" w:eastAsia="zh-CN"/>
        </w:rPr>
        <w:t xml:space="preserve">  </w:t>
      </w:r>
      <w:r>
        <w:rPr>
          <w:rFonts w:hint="default" w:ascii="Times New Roman" w:hAnsi="Times New Roman" w:eastAsia="宋体" w:cs="Times New Roman"/>
          <w:lang w:val="en-US" w:eastAsia="zh-CN"/>
        </w:rPr>
        <w:t>预应力筋张拉时，应按照设计要求采用张拉应力和节段接缝宽度双控法。纵向预应力筋张拉以接缝宽度控制为主，张拉应力控制为辅。当接缝宽度达到设计要求时（一般实测的接缝宽度应≤5mm），应停止张拉。张拉过程中应观测接缝处钢筋砼，避免出现偏心张拉而导致砼破坏。节段接缝宽度设计值与节段之间橡胶密封垫的厚度及性能有关，接缝宽度一般在5mm之内，以橡胶密封垫挤密程度适中、能保证止水效果为宜。</w:t>
      </w:r>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6.3.5 第5款</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螺栓连接后的管廊节段接缝宽度设计值与本标准第6.3.4条第7款一样，也是与节段之间橡胶密封垫有关，接缝宽度一般在5mm之内。</w:t>
      </w:r>
    </w:p>
    <w:p>
      <w:pPr>
        <w:rPr>
          <w:rFonts w:eastAsia="仿宋" w:cs="Times New Roman"/>
          <w:szCs w:val="24"/>
        </w:rPr>
      </w:pPr>
      <w:r>
        <w:rPr>
          <w:rFonts w:hint="eastAsia" w:eastAsia="仿宋" w:cs="Times New Roman"/>
          <w:b/>
          <w:bCs/>
          <w:szCs w:val="24"/>
          <w:lang w:val="en-US" w:eastAsia="zh-CN"/>
        </w:rPr>
        <w:t xml:space="preserve">6.3.6  </w:t>
      </w:r>
      <w:r>
        <w:rPr>
          <w:rFonts w:hint="default" w:ascii="Times New Roman" w:hAnsi="Times New Roman" w:eastAsia="宋体" w:cs="Times New Roman"/>
          <w:szCs w:val="24"/>
        </w:rPr>
        <w:t>当管廊纵坡较大时，管廊节段的安装方向宜从低处向高处进行（图</w:t>
      </w:r>
      <w:r>
        <w:rPr>
          <w:rFonts w:hint="eastAsia" w:ascii="Times New Roman" w:hAnsi="Times New Roman" w:cs="Times New Roman"/>
          <w:szCs w:val="24"/>
          <w:lang w:val="en-US" w:eastAsia="zh-CN"/>
        </w:rPr>
        <w:t>6</w:t>
      </w:r>
      <w:r>
        <w:rPr>
          <w:rFonts w:hint="default" w:ascii="Times New Roman" w:hAnsi="Times New Roman" w:eastAsia="宋体" w:cs="Times New Roman"/>
          <w:szCs w:val="24"/>
        </w:rPr>
        <w:t>），同一节段管廊的承口侧宜在高处，插口侧宜在低处。</w:t>
      </w:r>
    </w:p>
    <w:p>
      <w:pPr>
        <w:jc w:val="center"/>
      </w:pPr>
      <w:r>
        <w:drawing>
          <wp:inline distT="0" distB="0" distL="114300" distR="114300">
            <wp:extent cx="3980180" cy="1628140"/>
            <wp:effectExtent l="0" t="0" r="127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18"/>
                    <a:stretch>
                      <a:fillRect/>
                    </a:stretch>
                  </pic:blipFill>
                  <pic:spPr>
                    <a:xfrm>
                      <a:off x="0" y="0"/>
                      <a:ext cx="3980180" cy="1628140"/>
                    </a:xfrm>
                    <a:prstGeom prst="rect">
                      <a:avLst/>
                    </a:prstGeom>
                    <a:noFill/>
                    <a:ln w="9525">
                      <a:noFill/>
                    </a:ln>
                  </pic:spPr>
                </pic:pic>
              </a:graphicData>
            </a:graphic>
          </wp:inline>
        </w:drawing>
      </w:r>
    </w:p>
    <w:p>
      <w:pPr>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图</w:t>
      </w:r>
      <w:r>
        <w:rPr>
          <w:rFonts w:hint="eastAsia" w:ascii="Times New Roman" w:hAnsi="Times New Roman" w:cs="Times New Roman"/>
          <w:b/>
          <w:bCs/>
          <w:sz w:val="21"/>
          <w:szCs w:val="18"/>
          <w:lang w:val="en-US" w:eastAsia="zh-CN"/>
        </w:rPr>
        <w:t>6</w:t>
      </w:r>
      <w:r>
        <w:rPr>
          <w:rFonts w:hint="default" w:ascii="Times New Roman" w:hAnsi="Times New Roman" w:eastAsia="宋体" w:cs="Times New Roman"/>
          <w:b/>
          <w:bCs/>
          <w:sz w:val="21"/>
          <w:szCs w:val="18"/>
        </w:rPr>
        <w:t xml:space="preserve">  管廊节段安装方向示意图</w:t>
      </w:r>
    </w:p>
    <w:p>
      <w:pPr>
        <w:rPr>
          <w:rFonts w:hint="default" w:ascii="Times New Roman" w:hAnsi="Times New Roman" w:eastAsia="宋体" w:cs="Times New Roman"/>
        </w:rPr>
      </w:pPr>
      <w:r>
        <w:rPr>
          <w:rFonts w:hint="eastAsia" w:eastAsia="仿宋" w:cs="Times New Roman"/>
          <w:b/>
          <w:bCs/>
          <w:lang w:val="en-US" w:eastAsia="zh-CN"/>
        </w:rPr>
        <w:t xml:space="preserve">6.3.15  </w:t>
      </w:r>
      <w:r>
        <w:rPr>
          <w:rFonts w:hint="default" w:ascii="Times New Roman" w:hAnsi="Times New Roman" w:eastAsia="宋体" w:cs="Times New Roman"/>
        </w:rPr>
        <w:t>管廊预制段与现浇段通常采用湿接缝连接，过渡节段制作时已安装环向橡胶止水带，常见的连接构造见图</w:t>
      </w:r>
      <w:r>
        <w:rPr>
          <w:rFonts w:hint="eastAsia" w:ascii="Times New Roman" w:hAnsi="Times New Roman" w:cs="Times New Roman"/>
          <w:lang w:val="en-US" w:eastAsia="zh-CN"/>
        </w:rPr>
        <w:t>7</w:t>
      </w:r>
      <w:r>
        <w:rPr>
          <w:rFonts w:hint="default" w:ascii="Times New Roman" w:hAnsi="Times New Roman" w:eastAsia="宋体" w:cs="Times New Roman"/>
        </w:rPr>
        <w:t>。</w:t>
      </w:r>
    </w:p>
    <w:p>
      <w:pPr>
        <w:ind w:firstLine="480"/>
        <w:jc w:val="center"/>
      </w:pPr>
      <w:r>
        <w:drawing>
          <wp:inline distT="0" distB="0" distL="114300" distR="114300">
            <wp:extent cx="3943350" cy="2166620"/>
            <wp:effectExtent l="9525" t="9525" r="9525" b="14605"/>
            <wp:docPr id="23" name="图片 1346" descr="C:\Users\ADMINI~1\AppData\Local\Temp\ksohtml\wpsED3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46" descr="C:\Users\ADMINI~1\AppData\Local\Temp\ksohtml\wpsED3C.tmp.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a:xfrm>
                      <a:off x="0" y="0"/>
                      <a:ext cx="3943350" cy="2166620"/>
                    </a:xfrm>
                    <a:prstGeom prst="rect">
                      <a:avLst/>
                    </a:prstGeom>
                    <a:noFill/>
                    <a:ln w="9525" cmpd="sng">
                      <a:solidFill>
                        <a:srgbClr val="000000"/>
                      </a:solidFill>
                      <a:miter lim="800000"/>
                      <a:headEnd/>
                      <a:tailEnd/>
                    </a:ln>
                  </pic:spPr>
                </pic:pic>
              </a:graphicData>
            </a:graphic>
          </wp:inline>
        </w:drawing>
      </w:r>
    </w:p>
    <w:p>
      <w:pPr>
        <w:bidi w:val="0"/>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图</w:t>
      </w:r>
      <w:r>
        <w:rPr>
          <w:rFonts w:hint="eastAsia" w:ascii="Times New Roman" w:hAnsi="Times New Roman" w:cs="Times New Roman"/>
          <w:b/>
          <w:bCs/>
          <w:sz w:val="21"/>
          <w:szCs w:val="18"/>
          <w:lang w:val="en-US" w:eastAsia="zh-CN"/>
        </w:rPr>
        <w:t>7</w:t>
      </w:r>
      <w:r>
        <w:rPr>
          <w:rFonts w:hint="default" w:ascii="Times New Roman" w:hAnsi="Times New Roman" w:eastAsia="宋体" w:cs="Times New Roman"/>
          <w:b/>
          <w:bCs/>
          <w:sz w:val="21"/>
          <w:szCs w:val="18"/>
        </w:rPr>
        <w:t xml:space="preserve">  预制管廊与现浇管廊的连接大样图</w:t>
      </w:r>
    </w:p>
    <w:p>
      <w:pPr>
        <w:bidi w:val="0"/>
        <w:jc w:val="center"/>
        <w:rPr>
          <w:rFonts w:hint="default" w:ascii="Times New Roman" w:hAnsi="Times New Roman" w:eastAsia="宋体" w:cs="Times New Roman"/>
          <w:b/>
          <w:bCs/>
          <w:sz w:val="21"/>
          <w:szCs w:val="18"/>
        </w:rPr>
        <w:sectPr>
          <w:pgSz w:w="11906" w:h="16838"/>
          <w:pgMar w:top="1276" w:right="1276" w:bottom="1276" w:left="1418" w:header="851" w:footer="891" w:gutter="0"/>
          <w:cols w:space="0" w:num="1"/>
          <w:docGrid w:type="lines" w:linePitch="332" w:charSpace="0"/>
        </w:sectPr>
      </w:pPr>
    </w:p>
    <w:p>
      <w:pPr>
        <w:pStyle w:val="2"/>
      </w:pPr>
      <w:bookmarkStart w:id="673" w:name="_Toc24896"/>
      <w:bookmarkStart w:id="674" w:name="_Toc1355"/>
      <w:bookmarkStart w:id="675" w:name="_Toc29631"/>
      <w:bookmarkStart w:id="676" w:name="_Toc20176"/>
      <w:bookmarkStart w:id="677" w:name="_Toc9129"/>
      <w:bookmarkStart w:id="678" w:name="_Toc30795"/>
      <w:bookmarkStart w:id="679" w:name="_Toc14822"/>
      <w:r>
        <w:rPr>
          <w:rFonts w:hint="eastAsia"/>
        </w:rPr>
        <w:t>7  叠合预制管廊的装配</w:t>
      </w:r>
      <w:bookmarkEnd w:id="673"/>
      <w:bookmarkEnd w:id="674"/>
      <w:bookmarkEnd w:id="675"/>
      <w:bookmarkEnd w:id="676"/>
      <w:bookmarkEnd w:id="677"/>
      <w:bookmarkEnd w:id="678"/>
      <w:bookmarkEnd w:id="679"/>
    </w:p>
    <w:p>
      <w:pPr>
        <w:pStyle w:val="3"/>
        <w:bidi w:val="0"/>
        <w:rPr>
          <w:rFonts w:cs="Times New Roman"/>
        </w:rPr>
      </w:pPr>
      <w:bookmarkStart w:id="680" w:name="_Toc15501"/>
      <w:bookmarkStart w:id="681" w:name="_Toc13960"/>
      <w:bookmarkStart w:id="682" w:name="_Toc29045"/>
      <w:bookmarkStart w:id="683" w:name="_Toc486"/>
      <w:bookmarkStart w:id="684" w:name="_Toc4848"/>
      <w:bookmarkStart w:id="685" w:name="_Toc28232"/>
      <w:bookmarkStart w:id="686" w:name="_Toc17962"/>
      <w:r>
        <w:rPr>
          <w:rFonts w:cs="Times New Roman"/>
        </w:rPr>
        <w:fldChar w:fldCharType="begin"/>
      </w:r>
      <w:r>
        <w:rPr>
          <w:rFonts w:cs="Times New Roman"/>
        </w:rPr>
        <w:instrText xml:space="preserve"> HYPERLINK "file:///C:\\Users\\xy155\\Desktop\\矩形顶管工程技术规程2019.3.22.docx" \l "_Toc23090" </w:instrText>
      </w:r>
      <w:r>
        <w:rPr>
          <w:rFonts w:cs="Times New Roman"/>
        </w:rPr>
        <w:fldChar w:fldCharType="separate"/>
      </w:r>
      <w:r>
        <w:rPr>
          <w:rFonts w:cs="Times New Roman"/>
        </w:rPr>
        <w:t>7.1  一般规定</w:t>
      </w:r>
      <w:r>
        <w:rPr>
          <w:rFonts w:cs="Times New Roman"/>
        </w:rPr>
        <w:fldChar w:fldCharType="end"/>
      </w:r>
      <w:bookmarkEnd w:id="680"/>
      <w:bookmarkEnd w:id="681"/>
      <w:bookmarkEnd w:id="682"/>
      <w:bookmarkEnd w:id="683"/>
      <w:bookmarkEnd w:id="684"/>
      <w:bookmarkEnd w:id="685"/>
      <w:bookmarkEnd w:id="686"/>
    </w:p>
    <w:p>
      <w:pPr>
        <w:rPr>
          <w:rFonts w:hint="default"/>
          <w:lang w:val="en-US" w:eastAsia="zh-CN"/>
        </w:rPr>
      </w:pPr>
      <w:r>
        <w:rPr>
          <w:rFonts w:hint="eastAsia"/>
          <w:b/>
          <w:bCs/>
          <w:lang w:val="en-US" w:eastAsia="zh-CN"/>
        </w:rPr>
        <w:t>7.1.1</w:t>
      </w:r>
      <w:r>
        <w:rPr>
          <w:rFonts w:hint="eastAsia"/>
          <w:lang w:val="en-US" w:eastAsia="zh-CN"/>
        </w:rPr>
        <w:t xml:space="preserve">  </w:t>
      </w:r>
      <w:r>
        <w:rPr>
          <w:rFonts w:hint="default"/>
          <w:lang w:val="en-US" w:eastAsia="zh-CN"/>
        </w:rPr>
        <w:t>叠合预制管廊施工具有其固有特性，应设立与装配施工技术相匹配的项目部机构和人员。装配施工对不同岗位的技能和知识要求区别于以往的传统施工方式，需要配置满足装配施工要求的专业人员，且在施工前应对相关作业人员进行培训和技术、安全、质量交底。培训和交底对象包括一线管理人员和作业人员、监理人员等。</w:t>
      </w:r>
    </w:p>
    <w:p>
      <w:pPr>
        <w:rPr>
          <w:rFonts w:hint="default"/>
          <w:lang w:val="en-US" w:eastAsia="zh-CN"/>
        </w:rPr>
      </w:pPr>
    </w:p>
    <w:p>
      <w:pPr>
        <w:pStyle w:val="3"/>
        <w:bidi w:val="0"/>
        <w:rPr>
          <w:rFonts w:hint="eastAsia"/>
          <w:lang w:val="en-US" w:eastAsia="zh-CN"/>
        </w:rPr>
      </w:pPr>
      <w:bookmarkStart w:id="687" w:name="_Toc9845"/>
      <w:bookmarkStart w:id="688" w:name="_Toc32411"/>
      <w:bookmarkStart w:id="689" w:name="_Toc15910"/>
      <w:bookmarkStart w:id="690" w:name="_Toc19062"/>
      <w:bookmarkStart w:id="691" w:name="_Toc774"/>
      <w:bookmarkStart w:id="692" w:name="_Toc10461"/>
      <w:bookmarkStart w:id="693" w:name="_Toc31161"/>
      <w:r>
        <w:rPr>
          <w:rFonts w:hint="eastAsia"/>
          <w:lang w:val="en-US" w:eastAsia="zh-CN"/>
        </w:rPr>
        <w:t>7.2  叠合构件安装</w:t>
      </w:r>
      <w:bookmarkEnd w:id="687"/>
      <w:bookmarkEnd w:id="688"/>
      <w:bookmarkEnd w:id="689"/>
      <w:bookmarkEnd w:id="690"/>
      <w:bookmarkEnd w:id="691"/>
      <w:bookmarkEnd w:id="692"/>
      <w:bookmarkEnd w:id="693"/>
    </w:p>
    <w:p>
      <w:pPr>
        <w:rPr>
          <w:rFonts w:hint="default"/>
          <w:lang w:val="en-US" w:eastAsia="zh-CN"/>
        </w:rPr>
      </w:pPr>
      <w:r>
        <w:rPr>
          <w:rFonts w:hint="eastAsia"/>
          <w:b/>
          <w:bCs/>
          <w:lang w:val="en-US" w:eastAsia="zh-CN"/>
        </w:rPr>
        <w:t>7.2.4</w:t>
      </w:r>
      <w:r>
        <w:rPr>
          <w:rFonts w:hint="eastAsia"/>
          <w:lang w:val="en-US" w:eastAsia="zh-CN"/>
        </w:rPr>
        <w:t xml:space="preserve">  </w:t>
      </w:r>
      <w:r>
        <w:rPr>
          <w:rFonts w:hint="default"/>
          <w:lang w:val="en-US" w:eastAsia="zh-CN"/>
        </w:rPr>
        <w:t>当顶板采用单层叠合板上部现浇混凝土施工时，为了防止单层叠合板混凝土浇筑阶段受力损坏，需要在单层叠合板底部设置临时支撑。</w:t>
      </w:r>
    </w:p>
    <w:p>
      <w:pPr>
        <w:rPr>
          <w:rFonts w:hint="default"/>
          <w:lang w:val="en-US" w:eastAsia="zh-CN"/>
        </w:rPr>
        <w:sectPr>
          <w:pgSz w:w="11906" w:h="16838"/>
          <w:pgMar w:top="1276" w:right="1276" w:bottom="1276" w:left="1418" w:header="851" w:footer="891" w:gutter="0"/>
          <w:cols w:space="0" w:num="1"/>
          <w:docGrid w:type="lines" w:linePitch="332" w:charSpace="0"/>
        </w:sectPr>
      </w:pPr>
    </w:p>
    <w:p>
      <w:pPr>
        <w:pStyle w:val="2"/>
        <w:rPr>
          <w:rFonts w:hint="default"/>
          <w:lang w:val="en-US" w:eastAsia="zh-CN"/>
        </w:rPr>
      </w:pPr>
      <w:bookmarkStart w:id="694" w:name="_Toc30954"/>
      <w:bookmarkStart w:id="695" w:name="_Toc26625"/>
      <w:bookmarkStart w:id="696" w:name="_Toc29810"/>
      <w:bookmarkStart w:id="697" w:name="_Toc15222"/>
      <w:bookmarkStart w:id="698" w:name="_Toc13089"/>
      <w:bookmarkStart w:id="699" w:name="_Toc7314"/>
      <w:bookmarkStart w:id="700" w:name="_Toc15557"/>
      <w:r>
        <w:rPr>
          <w:rFonts w:hint="eastAsia"/>
        </w:rPr>
        <w:t>8 分块预制管廊的装配</w:t>
      </w:r>
      <w:bookmarkEnd w:id="694"/>
      <w:bookmarkEnd w:id="695"/>
      <w:bookmarkEnd w:id="696"/>
      <w:bookmarkEnd w:id="697"/>
      <w:bookmarkEnd w:id="698"/>
      <w:bookmarkEnd w:id="699"/>
      <w:bookmarkEnd w:id="700"/>
    </w:p>
    <w:p>
      <w:pPr>
        <w:pStyle w:val="3"/>
        <w:rPr>
          <w:rFonts w:hint="default"/>
          <w:b/>
          <w:bCs/>
          <w:lang w:val="en-US" w:eastAsia="zh-CN"/>
        </w:rPr>
      </w:pPr>
      <w:bookmarkStart w:id="701" w:name="_Toc19272"/>
      <w:bookmarkStart w:id="702" w:name="_Toc15275"/>
      <w:bookmarkStart w:id="703" w:name="_Toc9650"/>
      <w:bookmarkStart w:id="704" w:name="_Toc15876"/>
      <w:r>
        <w:rPr>
          <w:rFonts w:hint="eastAsia"/>
          <w:lang w:val="en-US" w:eastAsia="zh-CN"/>
        </w:rPr>
        <w:t>8.1  一般规定</w:t>
      </w:r>
      <w:bookmarkEnd w:id="701"/>
      <w:bookmarkEnd w:id="702"/>
      <w:bookmarkEnd w:id="703"/>
      <w:bookmarkEnd w:id="704"/>
    </w:p>
    <w:p>
      <w:pPr>
        <w:shd w:val="clear"/>
        <w:rPr>
          <w:rFonts w:hint="eastAsia"/>
          <w:b w:val="0"/>
          <w:bCs w:val="0"/>
          <w:color w:val="auto"/>
          <w:lang w:val="en-US" w:eastAsia="zh-CN"/>
        </w:rPr>
      </w:pPr>
      <w:r>
        <w:rPr>
          <w:rFonts w:hint="eastAsia"/>
          <w:b/>
          <w:bCs/>
          <w:color w:val="auto"/>
          <w:lang w:val="en-US" w:eastAsia="zh-CN"/>
        </w:rPr>
        <w:t xml:space="preserve">8.1.1  </w:t>
      </w:r>
      <w:r>
        <w:rPr>
          <w:rFonts w:hint="eastAsia"/>
          <w:b w:val="0"/>
          <w:bCs w:val="0"/>
          <w:color w:val="auto"/>
          <w:lang w:val="en-US" w:eastAsia="zh-CN"/>
        </w:rPr>
        <w:t>分块预制管廊的拆分设计非常重要，在施工前要对原设计拆分方案进行复核，并提出优化措施，使构件尺寸标准化、模块化，块件的规格尽量少，以多种块件组合的形式满足管廊结构尺寸要求。</w:t>
      </w:r>
    </w:p>
    <w:p>
      <w:pPr>
        <w:shd w:val="clear"/>
        <w:ind w:firstLine="480" w:firstLineChars="200"/>
        <w:rPr>
          <w:rFonts w:hint="eastAsia"/>
          <w:b w:val="0"/>
          <w:bCs w:val="0"/>
          <w:color w:val="auto"/>
          <w:lang w:val="en-US" w:eastAsia="zh-CN"/>
        </w:rPr>
      </w:pPr>
      <w:r>
        <w:rPr>
          <w:rFonts w:hint="eastAsia"/>
          <w:b w:val="0"/>
          <w:bCs w:val="0"/>
          <w:color w:val="auto"/>
          <w:lang w:val="en-US" w:eastAsia="zh-CN"/>
        </w:rPr>
        <w:t>国内的分块预制管廊的工程实例不多，下面以四川绵阳科技城的综合管廊PPP项目为例说明分块预制管廊的分块拆分。该管廊项目采取分块预制装配式管廊，其中四舱管廊的总宽×总高=10.95m×4.0m，主体结构为C40砼，抗渗等级P8，后浇混凝土采用C45微膨胀混凝土。该管廊底板采取现浇，纵向每30m设一道沉降缝；管廊外墙、内墙和顶板均采用分块预制方式，管廊标准单元纵向长度采用6m标准模数长度（3m为附加长度），组合成30m标准段。</w:t>
      </w:r>
    </w:p>
    <w:p>
      <w:pPr>
        <w:ind w:firstLine="480" w:firstLineChars="200"/>
        <w:rPr>
          <w:rFonts w:hint="eastAsia"/>
          <w:b w:val="0"/>
          <w:bCs w:val="0"/>
          <w:color w:val="auto"/>
          <w:lang w:val="en-US" w:eastAsia="zh-CN"/>
        </w:rPr>
      </w:pPr>
      <w:r>
        <w:rPr>
          <w:rFonts w:hint="eastAsia"/>
          <w:b w:val="0"/>
          <w:bCs w:val="0"/>
          <w:color w:val="auto"/>
          <w:lang w:val="en-US" w:eastAsia="zh-CN"/>
        </w:rPr>
        <w:t>该管廊在横断面上有7块预制分块构件组成，其中 包括2块预制外墙、3块预制内墙和2块预制顶板。管廊横断面图见图8。</w:t>
      </w:r>
    </w:p>
    <w:p>
      <w:pPr>
        <w:rPr>
          <w:rFonts w:hint="default"/>
          <w:b w:val="0"/>
          <w:bCs w:val="0"/>
          <w:color w:val="FF0000"/>
          <w:lang w:val="en-US" w:eastAsia="zh-CN"/>
        </w:rPr>
      </w:pPr>
      <w:r>
        <w:rPr>
          <w:rFonts w:hint="default"/>
          <w:b w:val="0"/>
          <w:bCs w:val="0"/>
          <w:color w:val="FF0000"/>
          <w:lang w:val="en-US" w:eastAsia="zh-CN"/>
        </w:rPr>
        <w:object>
          <v:shape id="_x0000_i1025" o:spt="75" type="#_x0000_t75" style="height:228.3pt;width:459.55pt;" o:ole="t" filled="f" o:preferrelative="t" stroked="f" coordsize="21600,21600">
            <v:path/>
            <v:fill on="f" focussize="0,0"/>
            <v:stroke on="f"/>
            <v:imagedata r:id="rId22" cropleft="11384f" croptop="8413f" cropright="4625f" cropbottom="10695f" o:title=""/>
            <o:lock v:ext="edit" aspectratio="f"/>
            <w10:wrap type="none"/>
            <w10:anchorlock/>
          </v:shape>
          <o:OLEObject Type="Embed" ProgID="ZWCAD.Drawing.2015" ShapeID="_x0000_i1025" DrawAspect="Content" ObjectID="_1468075725" r:id="rId21">
            <o:LockedField>false</o:LockedField>
          </o:OLEObject>
        </w:object>
      </w:r>
    </w:p>
    <w:p>
      <w:pPr>
        <w:jc w:val="center"/>
        <w:rPr>
          <w:rFonts w:hint="default"/>
          <w:b/>
          <w:bCs/>
          <w:color w:val="auto"/>
          <w:sz w:val="21"/>
          <w:szCs w:val="20"/>
          <w:lang w:val="en-US" w:eastAsia="zh-CN"/>
        </w:rPr>
      </w:pPr>
      <w:r>
        <w:rPr>
          <w:rFonts w:hint="eastAsia"/>
          <w:b/>
          <w:bCs/>
          <w:color w:val="auto"/>
          <w:sz w:val="21"/>
          <w:szCs w:val="20"/>
          <w:lang w:val="en-US" w:eastAsia="zh-CN"/>
        </w:rPr>
        <w:t>图8  四川绵阳科技城的综合管廊PPP项目某路段管廊横断面图（单位：cm）</w:t>
      </w:r>
    </w:p>
    <w:p>
      <w:pPr>
        <w:rPr>
          <w:rFonts w:hint="default"/>
          <w:b w:val="0"/>
          <w:bCs w:val="0"/>
          <w:color w:val="FF0000"/>
          <w:lang w:val="en-US" w:eastAsia="zh-CN"/>
        </w:rPr>
      </w:pPr>
    </w:p>
    <w:p>
      <w:pPr>
        <w:rPr>
          <w:rFonts w:hint="default"/>
          <w:b w:val="0"/>
          <w:bCs w:val="0"/>
          <w:color w:val="FF0000"/>
          <w:lang w:val="en-US" w:eastAsia="zh-CN"/>
        </w:rPr>
      </w:pPr>
    </w:p>
    <w:p>
      <w:pPr>
        <w:rPr>
          <w:rFonts w:hint="default"/>
          <w:b w:val="0"/>
          <w:bCs w:val="0"/>
          <w:color w:val="FF0000"/>
          <w:lang w:val="en-US" w:eastAsia="zh-CN"/>
        </w:rPr>
      </w:pPr>
    </w:p>
    <w:p>
      <w:pPr>
        <w:rPr>
          <w:rFonts w:hint="default"/>
          <w:b w:val="0"/>
          <w:bCs w:val="0"/>
          <w:color w:val="FF0000"/>
          <w:lang w:val="en-US" w:eastAsia="zh-CN"/>
        </w:rPr>
      </w:pPr>
    </w:p>
    <w:p>
      <w:pPr>
        <w:rPr>
          <w:rFonts w:hint="default"/>
          <w:b w:val="0"/>
          <w:bCs w:val="0"/>
          <w:lang w:val="en-US" w:eastAsia="zh-CN"/>
        </w:rPr>
      </w:pPr>
    </w:p>
    <w:p>
      <w:pPr>
        <w:pStyle w:val="3"/>
        <w:bidi w:val="0"/>
        <w:rPr>
          <w:rFonts w:hint="eastAsia"/>
          <w:lang w:val="en-US" w:eastAsia="zh-CN"/>
        </w:rPr>
      </w:pPr>
      <w:bookmarkStart w:id="705" w:name="_Toc21330"/>
      <w:bookmarkStart w:id="706" w:name="_Toc17890"/>
      <w:bookmarkStart w:id="707" w:name="_Toc5890"/>
      <w:bookmarkStart w:id="708" w:name="_Toc9646"/>
      <w:bookmarkStart w:id="709" w:name="_Toc9342"/>
      <w:bookmarkStart w:id="710" w:name="_Toc23816"/>
      <w:bookmarkStart w:id="711" w:name="_Toc354"/>
      <w:r>
        <w:rPr>
          <w:rFonts w:hint="eastAsia"/>
          <w:lang w:val="en-US" w:eastAsia="zh-CN"/>
        </w:rPr>
        <w:t>8.2  分块构件安装</w:t>
      </w:r>
      <w:bookmarkEnd w:id="705"/>
      <w:bookmarkEnd w:id="706"/>
      <w:bookmarkEnd w:id="707"/>
      <w:bookmarkEnd w:id="708"/>
      <w:bookmarkEnd w:id="709"/>
      <w:bookmarkEnd w:id="710"/>
      <w:bookmarkEnd w:id="711"/>
    </w:p>
    <w:p>
      <w:pPr>
        <w:rPr>
          <w:rFonts w:hint="default"/>
          <w:lang w:val="en-US" w:eastAsia="zh-CN"/>
        </w:rPr>
      </w:pPr>
      <w:r>
        <w:rPr>
          <w:rFonts w:hint="eastAsia"/>
          <w:b/>
          <w:bCs/>
          <w:lang w:val="en-US" w:eastAsia="zh-CN"/>
        </w:rPr>
        <w:t>8.2.3</w:t>
      </w:r>
      <w:r>
        <w:rPr>
          <w:rFonts w:hint="eastAsia"/>
          <w:lang w:val="en-US" w:eastAsia="zh-CN"/>
        </w:rPr>
        <w:t xml:space="preserve">  </w:t>
      </w:r>
      <w:r>
        <w:rPr>
          <w:rFonts w:hint="default"/>
          <w:lang w:val="en-US" w:eastAsia="zh-CN"/>
        </w:rPr>
        <w:t>当采用常规吊装工艺拼装时，管廊底部可采用座浆找平；当采用专用机械顶进拼装时，管廊底部可采用压浆工艺找平。</w:t>
      </w:r>
    </w:p>
    <w:p>
      <w:pPr>
        <w:rPr>
          <w:rFonts w:hint="default"/>
          <w:lang w:val="en-US" w:eastAsia="zh-CN"/>
        </w:rPr>
      </w:pPr>
    </w:p>
    <w:p>
      <w:pPr>
        <w:pStyle w:val="3"/>
        <w:rPr>
          <w:rFonts w:cs="Times New Roman"/>
          <w:szCs w:val="28"/>
        </w:rPr>
      </w:pPr>
      <w:bookmarkStart w:id="712" w:name="_Toc23513"/>
      <w:bookmarkStart w:id="713" w:name="_Toc31552"/>
      <w:bookmarkStart w:id="714" w:name="_Toc727"/>
      <w:bookmarkStart w:id="715" w:name="_Toc954"/>
      <w:bookmarkStart w:id="716" w:name="_Toc26282"/>
      <w:bookmarkStart w:id="717" w:name="_Toc8684"/>
      <w:bookmarkStart w:id="718" w:name="_Toc52"/>
      <w:r>
        <w:rPr>
          <w:rFonts w:cs="Times New Roman"/>
          <w:szCs w:val="28"/>
        </w:rPr>
        <w:t xml:space="preserve">8.3 </w:t>
      </w:r>
      <w:r>
        <w:rPr>
          <w:rFonts w:hint="eastAsia" w:cs="Times New Roman"/>
          <w:szCs w:val="28"/>
        </w:rPr>
        <w:t xml:space="preserve"> </w:t>
      </w:r>
      <w:r>
        <w:rPr>
          <w:rFonts w:cs="Times New Roman"/>
          <w:szCs w:val="28"/>
        </w:rPr>
        <w:t>分块</w:t>
      </w:r>
      <w:r>
        <w:rPr>
          <w:rFonts w:hint="eastAsia" w:cs="Times New Roman"/>
          <w:szCs w:val="28"/>
        </w:rPr>
        <w:t>构件</w:t>
      </w:r>
      <w:r>
        <w:rPr>
          <w:rFonts w:cs="Times New Roman"/>
          <w:szCs w:val="28"/>
        </w:rPr>
        <w:t>连接</w:t>
      </w:r>
      <w:bookmarkEnd w:id="712"/>
      <w:bookmarkEnd w:id="713"/>
      <w:bookmarkEnd w:id="714"/>
      <w:bookmarkEnd w:id="715"/>
      <w:bookmarkEnd w:id="716"/>
      <w:bookmarkEnd w:id="717"/>
      <w:bookmarkEnd w:id="718"/>
    </w:p>
    <w:p>
      <w:pPr>
        <w:rPr>
          <w:rFonts w:hint="default"/>
          <w:color w:val="auto"/>
          <w:lang w:val="en-US" w:eastAsia="zh-CN"/>
        </w:rPr>
      </w:pPr>
      <w:r>
        <w:rPr>
          <w:rFonts w:hint="eastAsia"/>
          <w:b/>
          <w:bCs/>
          <w:color w:val="auto"/>
          <w:lang w:val="en-US" w:eastAsia="zh-CN"/>
        </w:rPr>
        <w:t>8.3.2</w:t>
      </w:r>
      <w:r>
        <w:rPr>
          <w:rFonts w:hint="eastAsia"/>
          <w:color w:val="auto"/>
          <w:lang w:val="en-US" w:eastAsia="zh-CN"/>
        </w:rPr>
        <w:t xml:space="preserve">  </w:t>
      </w:r>
      <w:r>
        <w:rPr>
          <w:rFonts w:hint="default"/>
          <w:color w:val="auto"/>
          <w:lang w:val="en-US" w:eastAsia="zh-CN"/>
        </w:rPr>
        <w:t>分块构件的连接方式</w:t>
      </w:r>
      <w:r>
        <w:rPr>
          <w:rFonts w:hint="eastAsia"/>
          <w:color w:val="auto"/>
          <w:lang w:val="en-US" w:eastAsia="zh-CN"/>
        </w:rPr>
        <w:t>可以很多。由于目前国内的分块预制管廊的工程实例不多，下面介绍一下四川绵阳科技城的综合管廊PPP项目的分块构件的连接形式。该管廊分块构件的连接方式主要分以下几种：</w: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auto"/>
          <w:lang w:val="en-US" w:eastAsia="zh-CN"/>
        </w:rPr>
      </w:pPr>
      <w:r>
        <w:rPr>
          <w:rFonts w:hint="default"/>
          <w:color w:val="auto"/>
          <w:lang w:val="en-US" w:eastAsia="zh-CN"/>
        </w:rPr>
        <w:pict>
          <v:shape id="_x0000_s1027" o:spid="_x0000_s1027" o:spt="75" type="#_x0000_t75" style="position:absolute;left:0pt;margin-left:83.05pt;margin-top:42.9pt;height:165.2pt;width:267.95pt;z-index:251664384;mso-width-relative:page;mso-height-relative:page;" o:ole="t" filled="f" o:preferrelative="t" stroked="f" coordsize="21600,21600">
            <v:path/>
            <v:fill on="f" focussize="0,0"/>
            <v:stroke on="f"/>
            <v:imagedata r:id="rId24" cropleft="36286f" croptop="13546f" cropbottom="15685f" o:title=""/>
            <o:lock v:ext="edit" aspectratio="f"/>
          </v:shape>
          <o:OLEObject Type="Embed" ProgID="ZWCAD.Drawing.2015" ShapeID="_x0000_s1027" DrawAspect="Content" ObjectID="_1468075726" r:id="rId23">
            <o:LockedField>false</o:LockedField>
          </o:OLEObject>
        </w:pict>
      </w:r>
      <w:r>
        <w:rPr>
          <w:rFonts w:hint="eastAsia"/>
          <w:color w:val="auto"/>
          <w:lang w:val="en-US" w:eastAsia="zh-CN"/>
        </w:rPr>
        <w:t xml:space="preserve">1  </w:t>
      </w:r>
      <w:r>
        <w:rPr>
          <w:rFonts w:hint="default"/>
          <w:color w:val="auto"/>
          <w:lang w:val="en-US" w:eastAsia="zh-CN"/>
        </w:rPr>
        <w:t>相邻预制外墙之间的纵向连接采用现浇混凝土湿接缝（见图</w:t>
      </w:r>
      <w:r>
        <w:rPr>
          <w:rFonts w:hint="eastAsia"/>
          <w:color w:val="auto"/>
          <w:lang w:val="en-US" w:eastAsia="zh-CN"/>
        </w:rPr>
        <w:t>9</w:t>
      </w:r>
      <w:r>
        <w:rPr>
          <w:rFonts w:hint="default"/>
          <w:color w:val="auto"/>
          <w:lang w:val="en-US" w:eastAsia="zh-CN"/>
        </w:rPr>
        <w:t>）；预制内墙的纵向连接节点采用弹性砂浆勾缝做法</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baseline"/>
        <w:rPr>
          <w:rFonts w:hint="default"/>
          <w:b/>
          <w:bCs/>
          <w:color w:val="FF0000"/>
          <w:sz w:val="21"/>
          <w:szCs w:val="20"/>
          <w:lang w:val="en-US" w:eastAsia="zh-CN"/>
        </w:rPr>
      </w:pPr>
      <w:r>
        <w:rPr>
          <w:rFonts w:hint="eastAsia"/>
          <w:b/>
          <w:bCs/>
          <w:color w:val="auto"/>
          <w:sz w:val="21"/>
          <w:szCs w:val="20"/>
          <w:lang w:val="en-US" w:eastAsia="zh-CN"/>
        </w:rPr>
        <w:t>图9  预制外墙之间的纵向连接（单位：mm）</w: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auto"/>
          <w:lang w:val="en-US" w:eastAsia="zh-CN"/>
        </w:rPr>
      </w:pPr>
      <w:r>
        <w:rPr>
          <w:rFonts w:hint="eastAsia"/>
          <w:color w:val="auto"/>
          <w:lang w:val="en-US" w:eastAsia="zh-CN"/>
        </w:rPr>
        <w:t xml:space="preserve">2  </w:t>
      </w:r>
      <w:r>
        <w:rPr>
          <w:rFonts w:hint="default"/>
          <w:color w:val="auto"/>
          <w:lang w:val="en-US" w:eastAsia="zh-CN"/>
        </w:rPr>
        <w:t>预制外墙与预制顶板、预制顶板与预制顶板之间均采用现浇混凝土湿接缝连接（见图</w:t>
      </w:r>
      <w:r>
        <w:rPr>
          <w:rFonts w:hint="eastAsia"/>
          <w:color w:val="auto"/>
          <w:lang w:val="en-US" w:eastAsia="zh-CN"/>
        </w:rPr>
        <w:t>10</w:t>
      </w:r>
      <w:r>
        <w:rPr>
          <w:rFonts w:hint="default"/>
          <w:color w:val="auto"/>
          <w:lang w:val="en-US" w:eastAsia="zh-CN"/>
        </w:rPr>
        <w:t>和图</w:t>
      </w:r>
      <w:r>
        <w:rPr>
          <w:rFonts w:hint="eastAsia"/>
          <w:color w:val="auto"/>
          <w:lang w:val="en-US" w:eastAsia="zh-CN"/>
        </w:rPr>
        <w:t>11</w:t>
      </w:r>
      <w:r>
        <w:rPr>
          <w:rFonts w:hint="default"/>
          <w:color w:val="auto"/>
          <w:lang w:val="en-US" w:eastAsia="zh-CN"/>
        </w:rPr>
        <w:t>）</w:t>
      </w:r>
      <w:r>
        <w:rPr>
          <w:rFonts w:hint="eastAsia"/>
          <w:color w:val="auto"/>
          <w:lang w:val="en-US" w:eastAsia="zh-CN"/>
        </w:rPr>
        <w:t>。</w:t>
      </w:r>
    </w:p>
    <w:p>
      <w:pPr>
        <w:rPr>
          <w:rFonts w:hint="eastAsia"/>
          <w:color w:val="FF0000"/>
          <w:lang w:val="en-US" w:eastAsia="zh-CN"/>
        </w:rPr>
      </w:pPr>
      <w:r>
        <w:rPr>
          <w:rFonts w:hint="eastAsia"/>
          <w:color w:val="FF0000"/>
          <w:lang w:val="en-US" w:eastAsia="zh-CN"/>
        </w:rPr>
        <w:br w:type="page"/>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r>
        <w:rPr>
          <w:rFonts w:hint="eastAsia"/>
          <w:color w:val="FF0000"/>
          <w:lang w:val="en-US" w:eastAsia="zh-CN"/>
        </w:rPr>
        <w:pict>
          <v:shape id="_x0000_s1028" o:spid="_x0000_s1028" o:spt="75" type="#_x0000_t75" style="position:absolute;left:0pt;margin-left:-3.5pt;margin-top:9.75pt;height:216.2pt;width:441pt;z-index:251664384;mso-width-relative:page;mso-height-relative:page;" o:ole="t" filled="f" o:preferrelative="t" stroked="f" coordsize="21600,21600">
            <v:path/>
            <v:fill on="f" focussize="0,0"/>
            <v:stroke on="f"/>
            <v:imagedata r:id="rId26" cropleft="9748f" croptop="32318f" cropright="31655f" cropbottom="7700f" o:title=""/>
            <o:lock v:ext="edit" aspectratio="f"/>
          </v:shape>
          <o:OLEObject Type="Embed" ProgID="ZWCAD.Drawing.2015" ShapeID="_x0000_s1028" DrawAspect="Content" ObjectID="_1468075727" r:id="rId25">
            <o:LockedField>false</o:LockedField>
          </o:OLEObject>
        </w:pic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eastAsia"/>
          <w:color w:val="FF0000"/>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211" w:firstLineChars="100"/>
        <w:jc w:val="left"/>
        <w:textAlignment w:val="baseline"/>
        <w:rPr>
          <w:rFonts w:hint="default"/>
          <w:b/>
          <w:bCs/>
          <w:color w:val="auto"/>
          <w:sz w:val="21"/>
          <w:szCs w:val="21"/>
          <w:lang w:val="en-US" w:eastAsia="zh-CN"/>
        </w:rPr>
      </w:pPr>
      <w:r>
        <w:rPr>
          <w:rFonts w:hint="eastAsia"/>
          <w:b/>
          <w:bCs/>
          <w:color w:val="auto"/>
          <w:sz w:val="21"/>
          <w:szCs w:val="21"/>
          <w:lang w:val="en-US" w:eastAsia="zh-CN"/>
        </w:rPr>
        <w:t>图10 预制外墙与顶板的连接（单位：mm）      图11 预制顶板之间的连接（单位：mm）</w: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auto"/>
          <w:lang w:val="en-US" w:eastAsia="zh-CN"/>
        </w:rPr>
      </w:pPr>
      <w:r>
        <w:rPr>
          <w:rFonts w:hint="eastAsia"/>
          <w:color w:val="auto"/>
          <w:lang w:val="en-US" w:eastAsia="zh-CN"/>
        </w:rPr>
        <w:t xml:space="preserve">3  </w:t>
      </w:r>
      <w:r>
        <w:rPr>
          <w:rFonts w:hint="default"/>
          <w:color w:val="auto"/>
          <w:lang w:val="en-US" w:eastAsia="zh-CN"/>
        </w:rPr>
        <w:t>预制内墙与现浇底板采用承插式（底板预留插槽）连接（见图</w:t>
      </w:r>
      <w:r>
        <w:rPr>
          <w:rFonts w:hint="eastAsia"/>
          <w:color w:val="auto"/>
          <w:lang w:val="en-US" w:eastAsia="zh-CN"/>
        </w:rPr>
        <w:t>12</w:t>
      </w:r>
      <w:r>
        <w:rPr>
          <w:rFonts w:hint="default"/>
          <w:color w:val="auto"/>
          <w:lang w:val="en-US" w:eastAsia="zh-CN"/>
        </w:rPr>
        <w:t>）</w:t>
      </w:r>
      <w:r>
        <w:rPr>
          <w:rFonts w:hint="eastAsia"/>
          <w:color w:val="auto"/>
          <w:lang w:val="en-US" w:eastAsia="zh-CN"/>
        </w:rPr>
        <w:t>，</w:t>
      </w:r>
      <w:r>
        <w:rPr>
          <w:rFonts w:hint="default"/>
          <w:color w:val="auto"/>
          <w:lang w:val="en-US" w:eastAsia="zh-CN"/>
        </w:rPr>
        <w:t>预制内墙与预制顶板的连接采用插孔式（顶板预留孔洞插筋）</w:t>
      </w:r>
      <w:r>
        <w:rPr>
          <w:rFonts w:hint="eastAsia"/>
          <w:color w:val="auto"/>
          <w:lang w:val="en-US" w:eastAsia="zh-CN"/>
        </w:rPr>
        <w:t>连接</w:t>
      </w:r>
      <w:r>
        <w:rPr>
          <w:rFonts w:hint="default"/>
          <w:color w:val="auto"/>
          <w:lang w:val="en-US" w:eastAsia="zh-CN"/>
        </w:rPr>
        <w:t>（见图</w:t>
      </w:r>
      <w:r>
        <w:rPr>
          <w:rFonts w:hint="eastAsia"/>
          <w:color w:val="auto"/>
          <w:lang w:val="en-US" w:eastAsia="zh-CN"/>
        </w:rPr>
        <w:t>13</w:t>
      </w:r>
      <w:r>
        <w:rPr>
          <w:rFonts w:hint="default"/>
          <w:color w:val="auto"/>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r>
        <w:rPr>
          <w:rFonts w:hint="default"/>
          <w:color w:val="FF0000"/>
          <w:lang w:val="en-US" w:eastAsia="zh-CN"/>
        </w:rPr>
        <w:pict>
          <v:shape id="_x0000_s1029" o:spid="_x0000_s1029" o:spt="75" type="#_x0000_t75" style="position:absolute;left:0pt;margin-left:-30.4pt;margin-top:5.95pt;height:151.85pt;width:491.1pt;z-index:251664384;mso-width-relative:page;mso-height-relative:page;" o:ole="t" filled="f" o:preferrelative="t" stroked="f" coordsize="21600,21600">
            <v:path/>
            <v:fill on="f" focussize="0,0"/>
            <v:stroke on="f"/>
            <v:imagedata r:id="rId28" cropleft="21860f" croptop="15962f" cropright="6052f" cropbottom="21370f" o:title=""/>
            <o:lock v:ext="edit" aspectratio="f"/>
          </v:shape>
          <o:OLEObject Type="Embed" ProgID="ZWCAD.Drawing.2015" ShapeID="_x0000_s1029" DrawAspect="Content" ObjectID="_1468075728" r:id="rId27">
            <o:LockedField>false</o:LockedField>
          </o:OLEObject>
        </w:pic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211" w:firstLineChars="100"/>
        <w:jc w:val="left"/>
        <w:textAlignment w:val="baseline"/>
        <w:rPr>
          <w:rFonts w:hint="default"/>
          <w:b/>
          <w:bCs/>
          <w:color w:val="FF0000"/>
          <w:sz w:val="21"/>
          <w:szCs w:val="21"/>
          <w:lang w:val="en-US" w:eastAsia="zh-CN"/>
        </w:rPr>
      </w:pPr>
      <w:r>
        <w:rPr>
          <w:rFonts w:hint="eastAsia"/>
          <w:b/>
          <w:bCs/>
          <w:color w:val="auto"/>
          <w:sz w:val="21"/>
          <w:szCs w:val="21"/>
          <w:lang w:val="en-US" w:eastAsia="zh-CN"/>
        </w:rPr>
        <w:t>图12 预制内墙与底板的连接（单位：mm）     图13 预制内墙与顶板的连接（单位：mm）</w:t>
      </w:r>
    </w:p>
    <w:p>
      <w:pPr>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color w:val="FF0000"/>
          <w:lang w:val="en-US" w:eastAsia="zh-CN"/>
        </w:rPr>
      </w:pPr>
    </w:p>
    <w:p>
      <w:pPr>
        <w:pStyle w:val="2"/>
      </w:pPr>
      <w:bookmarkStart w:id="719" w:name="_Toc7760"/>
      <w:bookmarkStart w:id="720" w:name="_Toc13087"/>
      <w:bookmarkStart w:id="721" w:name="_Toc2001"/>
      <w:bookmarkStart w:id="722" w:name="_Toc800"/>
      <w:bookmarkStart w:id="723" w:name="_Toc30099"/>
      <w:bookmarkStart w:id="724" w:name="_Toc23192"/>
      <w:bookmarkStart w:id="725" w:name="_Toc27404"/>
      <w:r>
        <w:rPr>
          <w:rFonts w:hint="eastAsia"/>
        </w:rPr>
        <w:t>9</w:t>
      </w:r>
      <w:r>
        <w:t xml:space="preserve"> </w:t>
      </w:r>
      <w:r>
        <w:rPr>
          <w:rFonts w:hint="eastAsia"/>
        </w:rPr>
        <w:t xml:space="preserve"> 节段预制管廊的顶进</w:t>
      </w:r>
      <w:bookmarkEnd w:id="719"/>
      <w:bookmarkEnd w:id="720"/>
      <w:bookmarkEnd w:id="721"/>
      <w:bookmarkEnd w:id="722"/>
      <w:bookmarkEnd w:id="723"/>
      <w:bookmarkEnd w:id="724"/>
      <w:bookmarkEnd w:id="725"/>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本标准所述管廊顶进施工仅涉及矩形管廊顶管顶进施工及验收，其他管廊如圆形管廊等的顶进施工应参照其他相关规范标准执行。</w:t>
      </w:r>
    </w:p>
    <w:p>
      <w:pPr>
        <w:keepNext/>
        <w:keepLines/>
        <w:spacing w:before="166" w:beforeLines="50" w:after="166" w:afterLines="50"/>
        <w:jc w:val="center"/>
        <w:textAlignment w:val="auto"/>
        <w:outlineLvl w:val="1"/>
        <w:rPr>
          <w:rFonts w:cs="Times New Roman"/>
          <w:b/>
          <w:sz w:val="28"/>
          <w:szCs w:val="32"/>
        </w:rPr>
      </w:pPr>
      <w:bookmarkStart w:id="726" w:name="_Toc26741"/>
      <w:bookmarkStart w:id="727" w:name="_Toc306"/>
      <w:bookmarkStart w:id="728" w:name="_Toc17918"/>
      <w:bookmarkStart w:id="729" w:name="_Toc11271"/>
      <w:bookmarkStart w:id="730" w:name="_Toc28053"/>
      <w:bookmarkStart w:id="731" w:name="_Toc20801"/>
      <w:bookmarkStart w:id="732" w:name="_Toc15792"/>
      <w:r>
        <w:rPr>
          <w:rFonts w:cs="Times New Roman"/>
          <w:b/>
          <w:sz w:val="28"/>
          <w:szCs w:val="32"/>
        </w:rPr>
        <w:t>9.1  一般规定</w:t>
      </w:r>
      <w:bookmarkEnd w:id="726"/>
      <w:bookmarkEnd w:id="727"/>
      <w:bookmarkEnd w:id="728"/>
      <w:bookmarkEnd w:id="729"/>
      <w:bookmarkEnd w:id="730"/>
      <w:bookmarkEnd w:id="731"/>
      <w:bookmarkEnd w:id="732"/>
    </w:p>
    <w:p>
      <w:pPr>
        <w:rPr>
          <w:rFonts w:hint="default" w:ascii="Times New Roman" w:hAnsi="Times New Roman" w:eastAsia="宋体" w:cs="Times New Roman"/>
        </w:rPr>
      </w:pPr>
      <w:r>
        <w:rPr>
          <w:rFonts w:hint="eastAsia" w:eastAsia="仿宋" w:cs="Times New Roman"/>
          <w:b/>
          <w:bCs/>
          <w:lang w:val="en-US" w:eastAsia="zh-CN"/>
        </w:rPr>
        <w:t xml:space="preserve">9.1.2  </w:t>
      </w:r>
      <w:r>
        <w:rPr>
          <w:rFonts w:hint="default" w:ascii="Times New Roman" w:hAnsi="Times New Roman" w:eastAsia="宋体" w:cs="Times New Roman"/>
        </w:rPr>
        <w:t>顶管施工属于地下工程，影响施工的因素很多，除了施工工艺方法多、技术要求差异大等特点外，工程地质条件、原有地下设施和地下障碍物情况以及施工现场环境等因素均可对施工进度、工程质量、施工安全和施工成本造成影响。为了保证顶管施工项目的顺利进行，取得良好的经济效益和社会效益，编写好顶管施工组织设计是十分关键的。节段预制管廊顶进施工组织设计应包括下列内容：</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1  编制依据及采用标准；</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2  工程概况，包括工程基本情况、施工场地特征、工程地质和水文地质、地面及地下建筑物或构筑物、地下管线及其他地下障碍物等内容；</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3  施工现场总平面布置；</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4  工程重难点分析及措施；</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5  施工工作计划，包括施工进度计划、机械设备计划及劳动力安排计划等；</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6  顶管设备选型与配置，包括顶管机、中继间、主顶液压缸等，注明主要设备性能参数；</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7  施工准备工作</w:t>
      </w:r>
      <w:r>
        <w:rPr>
          <w:rFonts w:hint="default" w:ascii="Times New Roman" w:hAnsi="Times New Roman" w:eastAsia="宋体" w:cs="Times New Roman"/>
          <w:lang w:eastAsia="zh-CN"/>
        </w:rPr>
        <w:t>；</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8  主要施工技术方案</w:t>
      </w:r>
      <w:r>
        <w:rPr>
          <w:rFonts w:hint="default" w:ascii="Times New Roman" w:hAnsi="Times New Roman" w:eastAsia="宋体" w:cs="Times New Roman"/>
          <w:lang w:eastAsia="zh-CN"/>
        </w:rPr>
        <w:t>；</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9  顶管工程吊装方案；</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10  施工安全和质量保证措施；</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11  季节性施工技术措施；</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12  施工文明和环境保护措施；</w:t>
      </w:r>
    </w:p>
    <w:p>
      <w:pPr>
        <w:ind w:firstLine="480" w:firstLineChars="200"/>
        <w:rPr>
          <w:rFonts w:hint="default" w:ascii="Times New Roman" w:hAnsi="Times New Roman" w:eastAsia="宋体" w:cs="Times New Roman"/>
          <w:lang w:eastAsia="zh-CN"/>
        </w:rPr>
      </w:pPr>
      <w:r>
        <w:rPr>
          <w:rFonts w:hint="default" w:ascii="Times New Roman" w:hAnsi="Times New Roman" w:eastAsia="宋体" w:cs="Times New Roman"/>
        </w:rPr>
        <w:t>13  根据工程风险分析及风险源排查、评估、施工措施及风险控制等编制施工应急预案</w:t>
      </w:r>
      <w:r>
        <w:rPr>
          <w:rFonts w:hint="default" w:ascii="Times New Roman" w:hAnsi="Times New Roman" w:eastAsia="宋体" w:cs="Times New Roman"/>
          <w:lang w:eastAsia="zh-CN"/>
        </w:rPr>
        <w:t>；</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14  现场远程管理和视频监控。</w:t>
      </w:r>
    </w:p>
    <w:p>
      <w:pPr>
        <w:rPr>
          <w:rFonts w:hint="default" w:ascii="Times New Roman" w:hAnsi="Times New Roman" w:eastAsia="宋体" w:cs="Times New Roman"/>
          <w:lang w:val="en-US" w:eastAsia="zh-CN"/>
        </w:rPr>
      </w:pPr>
    </w:p>
    <w:p>
      <w:pPr>
        <w:pStyle w:val="3"/>
        <w:bidi w:val="0"/>
        <w:rPr>
          <w:rFonts w:hint="default"/>
          <w:lang w:val="en-US" w:eastAsia="zh-CN"/>
        </w:rPr>
      </w:pPr>
      <w:bookmarkStart w:id="733" w:name="_Toc4406"/>
      <w:bookmarkStart w:id="734" w:name="_Toc18422"/>
      <w:bookmarkStart w:id="735" w:name="_Toc791"/>
      <w:bookmarkStart w:id="736" w:name="_Toc27382"/>
      <w:bookmarkStart w:id="737" w:name="_Toc24488"/>
      <w:bookmarkStart w:id="738" w:name="_Toc4323"/>
      <w:bookmarkStart w:id="739" w:name="_Toc6450"/>
      <w:r>
        <w:rPr>
          <w:rFonts w:hint="eastAsia"/>
          <w:lang w:val="en-US" w:eastAsia="zh-CN"/>
        </w:rPr>
        <w:t>9.2  顶管始发与接收</w:t>
      </w:r>
      <w:bookmarkEnd w:id="733"/>
      <w:bookmarkEnd w:id="734"/>
      <w:bookmarkEnd w:id="735"/>
      <w:bookmarkEnd w:id="736"/>
      <w:bookmarkEnd w:id="737"/>
      <w:bookmarkEnd w:id="738"/>
      <w:bookmarkEnd w:id="739"/>
    </w:p>
    <w:p>
      <w:pPr>
        <w:rPr>
          <w:rFonts w:hint="default" w:ascii="Times New Roman" w:hAnsi="Times New Roman" w:eastAsia="宋体" w:cs="Times New Roman"/>
        </w:rPr>
      </w:pPr>
      <w:r>
        <w:rPr>
          <w:rFonts w:hint="eastAsia" w:eastAsia="仿宋" w:cs="Times New Roman"/>
          <w:b/>
          <w:bCs/>
          <w:lang w:val="en-US" w:eastAsia="zh-CN"/>
        </w:rPr>
        <w:t>9.2.4</w:t>
      </w:r>
      <w:r>
        <w:rPr>
          <w:rFonts w:hint="eastAsia" w:eastAsia="仿宋" w:cs="Times New Roman"/>
          <w:lang w:val="en-US" w:eastAsia="zh-CN"/>
        </w:rPr>
        <w:t xml:space="preserve">  </w:t>
      </w:r>
      <w:r>
        <w:rPr>
          <w:rFonts w:hint="default" w:ascii="Times New Roman" w:hAnsi="Times New Roman" w:eastAsia="宋体" w:cs="Times New Roman"/>
        </w:rPr>
        <w:t>加固区顶进时，因刀盘转速一般宜为1—1.5r/min，为使刀盘转动有效切削加固土体和搅拌改良切削下来的土体，同时盲区位置的三角锥和齿刀切削加固土体时速度慢刀具不易损坏，根据施工经验顶进速度一般控制在2-3mm/min。</w:t>
      </w:r>
    </w:p>
    <w:p>
      <w:pPr>
        <w:ind w:firstLine="720" w:firstLineChars="300"/>
        <w:rPr>
          <w:rFonts w:hint="default" w:ascii="Times New Roman" w:hAnsi="Times New Roman" w:eastAsia="宋体" w:cs="Times New Roman"/>
        </w:rPr>
      </w:pPr>
      <w:r>
        <w:rPr>
          <w:rFonts w:hint="default" w:ascii="Times New Roman" w:hAnsi="Times New Roman" w:eastAsia="宋体" w:cs="Times New Roman"/>
        </w:rPr>
        <w:t>正常顶进时，应使刀盘转速、土体改良搅拌时间、螺旋出土器的出土速度三者相匹配，根据施工经验一般控制在10-20mm/min，实际顶进时还应根据顶管覆土深度，掌子面水土压力，地质变化，地面沉降变化等因素做适当的调整。</w:t>
      </w:r>
    </w:p>
    <w:p>
      <w:pPr>
        <w:ind w:firstLine="720" w:firstLineChars="300"/>
        <w:rPr>
          <w:rFonts w:hint="default" w:ascii="Times New Roman" w:hAnsi="Times New Roman" w:eastAsia="宋体" w:cs="Times New Roman"/>
        </w:rPr>
      </w:pPr>
    </w:p>
    <w:p>
      <w:pPr>
        <w:pStyle w:val="3"/>
        <w:bidi w:val="0"/>
        <w:rPr>
          <w:rFonts w:hint="default"/>
          <w:lang w:val="en-US" w:eastAsia="zh-CN"/>
        </w:rPr>
      </w:pPr>
      <w:bookmarkStart w:id="740" w:name="_Toc10196"/>
      <w:bookmarkStart w:id="741" w:name="_Toc5951"/>
      <w:bookmarkStart w:id="742" w:name="_Toc132"/>
      <w:bookmarkStart w:id="743" w:name="_Toc16668"/>
      <w:bookmarkStart w:id="744" w:name="_Toc12844"/>
      <w:bookmarkStart w:id="745" w:name="_Toc606"/>
      <w:bookmarkStart w:id="746" w:name="_Toc29691"/>
      <w:r>
        <w:rPr>
          <w:rFonts w:hint="eastAsia"/>
          <w:lang w:val="en-US" w:eastAsia="zh-CN"/>
        </w:rPr>
        <w:t>9.3  顶管顶进</w:t>
      </w:r>
      <w:bookmarkEnd w:id="740"/>
      <w:bookmarkEnd w:id="741"/>
      <w:bookmarkEnd w:id="742"/>
      <w:bookmarkEnd w:id="743"/>
      <w:bookmarkEnd w:id="744"/>
      <w:bookmarkEnd w:id="745"/>
      <w:bookmarkEnd w:id="746"/>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9.3.3 第6款</w:t>
      </w:r>
      <w:r>
        <w:rPr>
          <w:rFonts w:hint="eastAsia" w:ascii="Times New Roman" w:hAnsi="Times New Roman" w:cs="Times New Roman"/>
          <w:b/>
          <w:bCs/>
          <w:lang w:val="en-US" w:eastAsia="zh-CN"/>
        </w:rPr>
        <w:t xml:space="preserve"> </w:t>
      </w:r>
      <w:r>
        <w:rPr>
          <w:rFonts w:hint="default" w:ascii="Times New Roman" w:hAnsi="Times New Roman" w:eastAsia="宋体" w:cs="Times New Roman"/>
          <w:lang w:val="en-US" w:eastAsia="zh-CN"/>
        </w:rPr>
        <w:t xml:space="preserve"> 顶管定向测量应采用激光指向法，当定向测量存在困难时，应在管内设置测站，采用导线法转站测量。</w:t>
      </w:r>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9.3.3 第7款</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 xml:space="preserve"> 顶管机遇到不良土体时，由于土体流动性差，给出土造成很大困难，通过注浆对土体进行改良，可以控制开挖量与出渣量的平衡，加快顶进速度。</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渣土改良作泥材料配比宜为：膨润土98kg、黏土392kg、水892kg。</w:t>
      </w:r>
    </w:p>
    <w:p>
      <w:pPr>
        <w:rPr>
          <w:rFonts w:hint="default" w:ascii="Times New Roman" w:hAnsi="Times New Roman" w:eastAsia="宋体" w:cs="Times New Roman"/>
          <w:b w:val="0"/>
          <w:bCs w:val="0"/>
          <w:lang w:val="en-US" w:eastAsia="zh-CN"/>
        </w:rPr>
      </w:pPr>
      <w:r>
        <w:rPr>
          <w:rFonts w:eastAsia="仿宋" w:cs="Times New Roman"/>
          <w:b/>
          <w:bCs/>
        </w:rPr>
        <w:t>9.3.5 第3款</w:t>
      </w:r>
      <w:r>
        <w:rPr>
          <w:rFonts w:hint="eastAsia" w:eastAsia="仿宋" w:cs="Times New Roman"/>
          <w:b/>
          <w:bCs/>
          <w:lang w:val="en-US" w:eastAsia="zh-CN"/>
        </w:rPr>
        <w:t xml:space="preserve"> </w:t>
      </w:r>
      <w:r>
        <w:rPr>
          <w:rFonts w:hint="default" w:ascii="Times New Roman" w:hAnsi="Times New Roman" w:eastAsia="宋体" w:cs="Times New Roman"/>
          <w:b w:val="0"/>
          <w:bCs w:val="0"/>
          <w:lang w:val="en-US" w:eastAsia="zh-CN"/>
        </w:rPr>
        <w:t>土压平衡式顶管机土舱内的土压力值</w:t>
      </w:r>
      <w:r>
        <w:rPr>
          <w:rFonts w:hint="eastAsia" w:ascii="Times New Roman" w:hAnsi="Times New Roman" w:cs="Times New Roman"/>
          <w:b w:val="0"/>
          <w:bCs w:val="0"/>
          <w:lang w:val="en-US" w:eastAsia="zh-CN"/>
        </w:rPr>
        <w:t>P</w:t>
      </w:r>
      <w:r>
        <w:rPr>
          <w:rFonts w:hint="default" w:ascii="Times New Roman" w:hAnsi="Times New Roman" w:eastAsia="宋体" w:cs="Times New Roman"/>
          <w:b w:val="0"/>
          <w:bCs w:val="0"/>
          <w:lang w:val="en-US" w:eastAsia="zh-CN"/>
        </w:rPr>
        <w:t>应控制在顶管机所处土层的主动土压力值</w:t>
      </w:r>
      <w:r>
        <w:rPr>
          <w:rFonts w:hint="eastAsia" w:ascii="Times New Roman" w:hAnsi="Times New Roman" w:cs="Times New Roman"/>
          <w:b w:val="0"/>
          <w:bCs w:val="0"/>
          <w:lang w:val="en-US" w:eastAsia="zh-CN"/>
        </w:rPr>
        <w:t>Pa</w:t>
      </w:r>
      <w:r>
        <w:rPr>
          <w:rFonts w:hint="default" w:ascii="Times New Roman" w:hAnsi="Times New Roman" w:eastAsia="宋体" w:cs="Times New Roman"/>
          <w:b w:val="0"/>
          <w:bCs w:val="0"/>
          <w:lang w:val="en-US" w:eastAsia="zh-CN"/>
        </w:rPr>
        <w:t>与被动土压力值</w:t>
      </w:r>
      <w:r>
        <w:rPr>
          <w:rFonts w:hint="eastAsia" w:ascii="Times New Roman" w:hAnsi="Times New Roman" w:cs="Times New Roman"/>
          <w:b w:val="0"/>
          <w:bCs w:val="0"/>
          <w:lang w:val="en-US" w:eastAsia="zh-CN"/>
        </w:rPr>
        <w:t>Pp</w:t>
      </w:r>
      <w:r>
        <w:rPr>
          <w:rFonts w:hint="default" w:ascii="Times New Roman" w:hAnsi="Times New Roman" w:eastAsia="宋体" w:cs="Times New Roman"/>
          <w:b w:val="0"/>
          <w:bCs w:val="0"/>
          <w:lang w:val="en-US" w:eastAsia="zh-CN"/>
        </w:rPr>
        <w:t>之间</w:t>
      </w:r>
      <w:r>
        <w:rPr>
          <w:rFonts w:hint="eastAsia" w:ascii="Times New Roman" w:hAnsi="Times New Roman" w:cs="Times New Roman"/>
          <w:b w:val="0"/>
          <w:bCs w:val="0"/>
          <w:lang w:val="en-US" w:eastAsia="zh-CN"/>
        </w:rPr>
        <w:t>：</w:t>
      </w:r>
    </w:p>
    <w:p>
      <w:pPr>
        <w:jc w:val="center"/>
      </w:pPr>
      <w:r>
        <w:object>
          <v:shape id="_x0000_i1026" o:spt="75" type="#_x0000_t75" style="height:18.9pt;width:57.35pt;" o:ole="t" filled="f" o:preferrelative="t" stroked="f" coordsize="21600,21600">
            <v:path/>
            <v:fill on="f" focussize="0,0"/>
            <v:stroke on="f" joinstyle="miter"/>
            <v:imagedata r:id="rId30" o:title=""/>
            <o:lock v:ext="edit" aspectratio="t"/>
            <w10:wrap type="none"/>
            <w10:anchorlock/>
          </v:shape>
          <o:OLEObject Type="Embed" ProgID="Equations" ShapeID="_x0000_i1026" DrawAspect="Content" ObjectID="_1468075729" r:id="rId29">
            <o:LockedField>false</o:LockedField>
          </o:OLEObject>
        </w:object>
      </w:r>
      <w:r>
        <w:t xml:space="preserve">                       </w:t>
      </w:r>
      <w:r>
        <w:rPr>
          <w:rFonts w:hint="eastAsia"/>
        </w:rPr>
        <w:t xml:space="preserve"> </w:t>
      </w:r>
      <w:r>
        <w:t xml:space="preserve">   （</w:t>
      </w:r>
      <w:r>
        <w:rPr>
          <w:rFonts w:hint="eastAsia"/>
          <w:lang w:val="en-US" w:eastAsia="zh-CN"/>
        </w:rPr>
        <w:t>1</w:t>
      </w:r>
      <w:r>
        <w:t>）</w:t>
      </w:r>
    </w:p>
    <w:p>
      <w:pPr>
        <w:jc w:val="center"/>
      </w:pPr>
      <w:r>
        <w:object>
          <v:shape id="_x0000_i1027" o:spt="75" type="#_x0000_t75" style="height:18.9pt;width:54.9pt;" o:ole="t" filled="f" o:preferrelative="t" stroked="f" coordsize="21600,21600">
            <v:path/>
            <v:fill on="f" focussize="0,0"/>
            <v:stroke on="f" joinstyle="miter"/>
            <v:imagedata r:id="rId32" o:title=""/>
            <o:lock v:ext="edit" aspectratio="t"/>
            <w10:wrap type="none"/>
            <w10:anchorlock/>
          </v:shape>
          <o:OLEObject Type="Embed" ProgID="Equations" ShapeID="_x0000_i1027" DrawAspect="Content" ObjectID="_1468075730" r:id="rId31">
            <o:LockedField>false</o:LockedField>
          </o:OLEObject>
        </w:object>
      </w:r>
      <w:r>
        <w:t xml:space="preserve">                          （</w:t>
      </w:r>
      <w:r>
        <w:rPr>
          <w:rFonts w:hint="eastAsia"/>
          <w:lang w:val="en-US" w:eastAsia="zh-CN"/>
        </w:rPr>
        <w:t>2</w:t>
      </w:r>
      <w:r>
        <w:t>）</w:t>
      </w:r>
    </w:p>
    <w:p>
      <w:pPr>
        <w:jc w:val="center"/>
      </w:pPr>
      <w:r>
        <w:object>
          <v:shape id="_x0000_i1028" o:spt="75" type="#_x0000_t75" style="height:18.9pt;width:51.25pt;" o:ole="t" filled="f" o:preferrelative="t" stroked="f" coordsize="21600,21600">
            <v:path/>
            <v:fill on="f" focussize="0,0"/>
            <v:stroke on="f" joinstyle="miter"/>
            <v:imagedata r:id="rId34" o:title=""/>
            <o:lock v:ext="edit" aspectratio="t"/>
            <w10:wrap type="none"/>
            <w10:anchorlock/>
          </v:shape>
          <o:OLEObject Type="Embed" ProgID="Equation.DSMT4" ShapeID="_x0000_i1028" DrawAspect="Content" ObjectID="_1468075731" r:id="rId33">
            <o:LockedField>false</o:LockedField>
          </o:OLEObject>
        </w:object>
      </w:r>
      <w:r>
        <w:t xml:space="preserve">                          （</w:t>
      </w:r>
      <w:r>
        <w:rPr>
          <w:rFonts w:hint="eastAsia"/>
          <w:lang w:val="en-US" w:eastAsia="zh-CN"/>
        </w:rPr>
        <w:t>3</w:t>
      </w:r>
      <w:r>
        <w:t>）</w:t>
      </w:r>
    </w:p>
    <w:p>
      <w:pPr>
        <w:jc w:val="center"/>
      </w:pPr>
      <w:r>
        <w:object>
          <v:shape id="_x0000_i1029" o:spt="75" type="#_x0000_t75" style="height:21.35pt;width:235.55pt;" o:ole="t" filled="f" o:preferrelative="t" stroked="f" coordsize="21600,21600">
            <v:path/>
            <v:fill on="f" focussize="0,0"/>
            <v:stroke on="f" joinstyle="miter"/>
            <v:imagedata r:id="rId36" o:title=""/>
            <o:lock v:ext="edit" aspectratio="t"/>
            <w10:wrap type="none"/>
            <w10:anchorlock/>
          </v:shape>
          <o:OLEObject Type="Embed" ProgID="Equation.DSMT4" ShapeID="_x0000_i1029" DrawAspect="Content" ObjectID="_1468075732" r:id="rId35">
            <o:LockedField>false</o:LockedField>
          </o:OLEObject>
        </w:object>
      </w:r>
      <w:r>
        <w:t xml:space="preserve">           （</w:t>
      </w:r>
      <w:r>
        <w:rPr>
          <w:rFonts w:hint="eastAsia"/>
          <w:lang w:val="en-US" w:eastAsia="zh-CN"/>
        </w:rPr>
        <w:t>4</w:t>
      </w:r>
      <w:r>
        <w:t>）</w:t>
      </w:r>
    </w:p>
    <w:p>
      <w:pPr>
        <w:jc w:val="center"/>
      </w:pPr>
      <w:r>
        <w:object>
          <v:shape id="_x0000_i1030" o:spt="75" type="#_x0000_t75" style="height:21.35pt;width:238.6pt;" o:ole="t" filled="f" o:preferrelative="t" stroked="f" coordsize="21600,21600">
            <v:path/>
            <v:fill on="f" focussize="0,0"/>
            <v:stroke on="f" joinstyle="miter"/>
            <v:imagedata r:id="rId38" o:title=""/>
            <o:lock v:ext="edit" aspectratio="t"/>
            <w10:wrap type="none"/>
            <w10:anchorlock/>
          </v:shape>
          <o:OLEObject Type="Embed" ProgID="Equation.DSMT4" ShapeID="_x0000_i1030" DrawAspect="Content" ObjectID="_1468075733" r:id="rId37">
            <o:LockedField>false</o:LockedField>
          </o:OLEObject>
        </w:object>
      </w:r>
      <w:r>
        <w:t xml:space="preserve">           （</w:t>
      </w:r>
      <w:r>
        <w:rPr>
          <w:rFonts w:hint="eastAsia"/>
          <w:lang w:val="en-US" w:eastAsia="zh-CN"/>
        </w:rPr>
        <w:t>5</w:t>
      </w:r>
      <w:r>
        <w:t>）</w:t>
      </w:r>
    </w:p>
    <w:p>
      <w:pPr>
        <w:ind w:firstLine="480" w:firstLineChars="200"/>
        <w:rPr>
          <w:rFonts w:hint="default" w:ascii="Times New Roman" w:hAnsi="Times New Roman" w:eastAsia="宋体" w:cs="Times New Roman"/>
        </w:rPr>
      </w:pPr>
      <w:r>
        <w:rPr>
          <w:rFonts w:hint="default" w:ascii="Times New Roman" w:hAnsi="Times New Roman" w:eastAsia="宋体" w:cs="Times New Roman"/>
        </w:rPr>
        <w:t>式中：</w:t>
      </w:r>
      <w:r>
        <w:rPr>
          <w:rFonts w:hint="default" w:ascii="Times New Roman" w:hAnsi="Times New Roman" w:eastAsia="宋体" w:cs="Times New Roman"/>
          <w:position w:val="-10"/>
        </w:rPr>
        <w:object>
          <v:shape id="_x0000_i1031" o:spt="75" type="#_x0000_t75" style="height:15pt;width:13pt;" o:ole="t" filled="f" o:preferrelative="t" stroked="f" coordsize="21600,21600">
            <v:path/>
            <v:fill on="f" focussize="0,0"/>
            <v:stroke on="f"/>
            <v:imagedata r:id="rId40" o:title=""/>
            <o:lock v:ext="edit" aspectratio="t"/>
            <w10:wrap type="none"/>
            <w10:anchorlock/>
          </v:shape>
          <o:OLEObject Type="Embed" ProgID="Equation.KSEE3" ShapeID="_x0000_i1031" DrawAspect="Content" ObjectID="_1468075734" r:id="rId39">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主动土压力（kPa）；</w:t>
      </w:r>
    </w:p>
    <w:p>
      <w:pPr>
        <w:ind w:firstLine="1200" w:firstLineChars="500"/>
        <w:rPr>
          <w:rFonts w:hint="default" w:ascii="Times New Roman" w:hAnsi="Times New Roman" w:eastAsia="宋体" w:cs="Times New Roman"/>
        </w:rPr>
      </w:pPr>
      <w:r>
        <w:rPr>
          <w:rFonts w:hint="default" w:ascii="Times New Roman" w:hAnsi="Times New Roman" w:eastAsia="宋体" w:cs="Times New Roman"/>
          <w:position w:val="-4"/>
        </w:rPr>
        <w:object>
          <v:shape id="_x0000_i1032" o:spt="75" type="#_x0000_t75" style="height:11pt;width:11pt;" o:ole="t" filled="f" o:preferrelative="t" stroked="f" coordsize="21600,21600">
            <v:path/>
            <v:fill on="f" focussize="0,0"/>
            <v:stroke on="f"/>
            <v:imagedata r:id="rId42" o:title=""/>
            <o:lock v:ext="edit" aspectratio="t"/>
            <w10:wrap type="none"/>
            <w10:anchorlock/>
          </v:shape>
          <o:OLEObject Type="Embed" ProgID="Equation.KSEE3" ShapeID="_x0000_i1032" DrawAspect="Content" ObjectID="_1468075735" r:id="rId41">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控制土压力（kPa）；</w:t>
      </w:r>
    </w:p>
    <w:p>
      <w:pPr>
        <w:ind w:firstLine="1200" w:firstLineChars="500"/>
        <w:rPr>
          <w:rFonts w:hint="default" w:ascii="Times New Roman" w:hAnsi="Times New Roman" w:eastAsia="宋体" w:cs="Times New Roman"/>
        </w:rPr>
      </w:pPr>
      <w:r>
        <w:rPr>
          <w:rFonts w:hint="default" w:ascii="Times New Roman" w:hAnsi="Times New Roman" w:eastAsia="宋体" w:cs="Times New Roman"/>
          <w:position w:val="-14"/>
        </w:rPr>
        <w:object>
          <v:shape id="_x0000_i1033" o:spt="75" type="#_x0000_t75" style="height:17pt;width:13pt;" o:ole="t" filled="f" o:preferrelative="t" stroked="f" coordsize="21600,21600">
            <v:path/>
            <v:fill on="f" focussize="0,0"/>
            <v:stroke on="f"/>
            <v:imagedata r:id="rId44" o:title=""/>
            <o:lock v:ext="edit" aspectratio="t"/>
            <w10:wrap type="none"/>
            <w10:anchorlock/>
          </v:shape>
          <o:OLEObject Type="Embed" ProgID="Equation.KSEE3" ShapeID="_x0000_i1033" DrawAspect="Content" ObjectID="_1468075736" r:id="rId43">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被动土压力（kPa）；</w:t>
      </w:r>
    </w:p>
    <w:p>
      <w:pPr>
        <w:ind w:firstLine="1200" w:firstLineChars="500"/>
        <w:rPr>
          <w:rFonts w:hint="default" w:ascii="Times New Roman" w:hAnsi="Times New Roman" w:eastAsia="宋体" w:cs="Times New Roman"/>
        </w:rPr>
      </w:pPr>
      <w:r>
        <w:rPr>
          <w:rFonts w:hint="default" w:ascii="Times New Roman" w:hAnsi="Times New Roman" w:eastAsia="宋体" w:cs="Times New Roman"/>
          <w:position w:val="-10"/>
        </w:rPr>
        <w:object>
          <v:shape id="_x0000_i1034" o:spt="75" type="#_x0000_t75" style="height:15pt;width:15pt;" o:ole="t" filled="f" o:preferrelative="t" stroked="f" coordsize="21600,21600">
            <v:path/>
            <v:fill on="f" focussize="0,0"/>
            <v:stroke on="f"/>
            <v:imagedata r:id="rId46" o:title=""/>
            <o:lock v:ext="edit" aspectratio="t"/>
            <w10:wrap type="none"/>
            <w10:anchorlock/>
          </v:shape>
          <o:OLEObject Type="Embed" ProgID="Equation.KSEE3" ShapeID="_x0000_i1034" DrawAspect="Content" ObjectID="_1468075737" r:id="rId45">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静土压系数，砂性土取0.25～0.33，黏性土取0.33～0.7；</w:t>
      </w:r>
    </w:p>
    <w:p>
      <w:pPr>
        <w:ind w:firstLine="960" w:firstLineChars="400"/>
        <w:rPr>
          <w:rFonts w:hint="default" w:ascii="Times New Roman" w:hAnsi="Times New Roman" w:eastAsia="宋体" w:cs="Times New Roman"/>
        </w:rPr>
      </w:pPr>
      <w:r>
        <w:rPr>
          <w:rFonts w:hint="default" w:ascii="Times New Roman" w:hAnsi="Times New Roman" w:eastAsia="宋体" w:cs="Times New Roman"/>
          <w:position w:val="-10"/>
        </w:rPr>
        <w:object>
          <v:shape id="_x0000_i1035" o:spt="75" type="#_x0000_t75" style="height:15pt;width:13pt;" o:ole="t" filled="f" o:preferrelative="t" stroked="f" coordsize="21600,21600">
            <v:path/>
            <v:fill on="f" focussize="0,0"/>
            <v:stroke on="f"/>
            <v:imagedata r:id="rId48" o:title=""/>
            <o:lock v:ext="edit" aspectratio="t"/>
            <w10:wrap type="none"/>
            <w10:anchorlock/>
          </v:shape>
          <o:OLEObject Type="Embed" ProgID="Equation.KSEE3" ShapeID="_x0000_i1035" DrawAspect="Content" ObjectID="_1468075738" r:id="rId47">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静止土压力（kPa）；</w:t>
      </w:r>
    </w:p>
    <w:p>
      <w:pPr>
        <w:ind w:firstLine="960" w:firstLineChars="400"/>
        <w:rPr>
          <w:rFonts w:hint="default" w:ascii="Times New Roman" w:hAnsi="Times New Roman" w:eastAsia="宋体" w:cs="Times New Roman"/>
        </w:rPr>
      </w:pPr>
      <w:r>
        <w:rPr>
          <w:rFonts w:hint="default" w:ascii="Times New Roman" w:hAnsi="Times New Roman" w:eastAsia="宋体" w:cs="Times New Roman"/>
          <w:position w:val="-10"/>
        </w:rPr>
        <w:object>
          <v:shape id="_x0000_i1036" o:spt="75" type="#_x0000_t75" style="height:12pt;width:9pt;" o:ole="t" filled="f" o:preferrelative="t" stroked="f" coordsize="21600,21600">
            <v:path/>
            <v:fill on="f" focussize="0,0"/>
            <v:stroke on="f"/>
            <v:imagedata r:id="rId50" o:title=""/>
            <o:lock v:ext="edit" aspectratio="t"/>
            <w10:wrap type="none"/>
            <w10:anchorlock/>
          </v:shape>
          <o:OLEObject Type="Embed" ProgID="Equation.KSEE3" ShapeID="_x0000_i1036" DrawAspect="Content" ObjectID="_1468075739" r:id="rId49">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土的重度（kN/m³）；</w:t>
      </w:r>
    </w:p>
    <w:p>
      <w:pPr>
        <w:ind w:firstLine="960" w:firstLineChars="400"/>
        <w:rPr>
          <w:rFonts w:hint="default" w:ascii="Times New Roman" w:hAnsi="Times New Roman" w:eastAsia="宋体" w:cs="Times New Roman"/>
        </w:rPr>
      </w:pPr>
      <w:r>
        <w:rPr>
          <w:rFonts w:hint="default" w:ascii="Times New Roman" w:hAnsi="Times New Roman" w:eastAsia="宋体" w:cs="Times New Roman"/>
          <w:position w:val="-10"/>
        </w:rPr>
        <w:object>
          <v:shape id="_x0000_i1037" o:spt="75" type="#_x0000_t75" style="height:15pt;width:16pt;" o:ole="t" filled="f" o:preferrelative="t" stroked="f" coordsize="21600,21600">
            <v:path/>
            <v:fill on="f" focussize="0,0"/>
            <v:stroke on="f"/>
            <v:imagedata r:id="rId52" o:title=""/>
            <o:lock v:ext="edit" aspectratio="t"/>
            <w10:wrap type="none"/>
            <w10:anchorlock/>
          </v:shape>
          <o:OLEObject Type="Embed" ProgID="Equation.KSEE3" ShapeID="_x0000_i1037" DrawAspect="Content" ObjectID="_1468075740" r:id="rId51">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管顶至原状土地面的覆土深度（m）；</w:t>
      </w:r>
    </w:p>
    <w:p>
      <w:pPr>
        <w:ind w:firstLine="960" w:firstLineChars="400"/>
        <w:rPr>
          <w:rFonts w:hint="default" w:ascii="Times New Roman" w:hAnsi="Times New Roman" w:eastAsia="宋体" w:cs="Times New Roman"/>
        </w:rPr>
      </w:pPr>
      <w:r>
        <w:rPr>
          <w:rFonts w:hint="default" w:ascii="Times New Roman" w:hAnsi="Times New Roman" w:eastAsia="宋体" w:cs="Times New Roman"/>
          <w:position w:val="-10"/>
        </w:rPr>
        <w:object>
          <v:shape id="_x0000_i1038" o:spt="75" type="#_x0000_t75" style="height:12pt;width:10pt;" o:ole="t" filled="f" o:preferrelative="t" stroked="f" coordsize="21600,21600">
            <v:path/>
            <v:fill on="f" focussize="0,0"/>
            <v:stroke on="f"/>
            <v:imagedata r:id="rId54" o:title=""/>
            <o:lock v:ext="edit" aspectratio="t"/>
            <w10:wrap type="none"/>
            <w10:anchorlock/>
          </v:shape>
          <o:OLEObject Type="Embed" ProgID="Equation.KSEE3" ShapeID="_x0000_i1038" DrawAspect="Content" ObjectID="_1468075741" r:id="rId53">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土的内摩擦角（°）；</w:t>
      </w:r>
    </w:p>
    <w:p>
      <w:pPr>
        <w:ind w:firstLine="960" w:firstLineChars="400"/>
        <w:rPr>
          <w:rFonts w:hint="default" w:ascii="Times New Roman" w:hAnsi="Times New Roman" w:eastAsia="宋体" w:cs="Times New Roman"/>
        </w:rPr>
      </w:pPr>
      <w:r>
        <w:rPr>
          <w:rFonts w:hint="default" w:ascii="Times New Roman" w:hAnsi="Times New Roman" w:eastAsia="宋体" w:cs="Times New Roman"/>
          <w:position w:val="-6"/>
        </w:rPr>
        <w:object>
          <v:shape id="_x0000_i1039" o:spt="75" type="#_x0000_t75" style="height:10pt;width:8pt;" o:ole="t" filled="f" o:preferrelative="t" stroked="f" coordsize="21600,21600">
            <v:path/>
            <v:fill on="f" focussize="0,0"/>
            <v:stroke on="f"/>
            <v:imagedata r:id="rId56" o:title=""/>
            <o:lock v:ext="edit" aspectratio="t"/>
            <w10:wrap type="none"/>
            <w10:anchorlock/>
          </v:shape>
          <o:OLEObject Type="Embed" ProgID="Equation.KSEE3" ShapeID="_x0000_i1039" DrawAspect="Content" ObjectID="_1468075742" r:id="rId55">
            <o:LockedField>false</o:LockedField>
          </o:OLEObject>
        </w:object>
      </w:r>
      <w:r>
        <w:rPr>
          <w:rFonts w:hint="default" w:ascii="Times New Roman" w:hAnsi="Times New Roman" w:eastAsia="宋体" w:cs="Times New Roman"/>
          <w:lang w:eastAsia="zh-CN"/>
        </w:rPr>
        <w:t>—</w:t>
      </w:r>
      <w:r>
        <w:rPr>
          <w:rFonts w:hint="default" w:ascii="Times New Roman" w:hAnsi="Times New Roman" w:eastAsia="宋体" w:cs="Times New Roman"/>
        </w:rPr>
        <w:t>土的黏聚力（kPa）。</w:t>
      </w:r>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9.3.7 第2款</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 xml:space="preserve"> 顶管机的姿态包括顶管机轴线空间位置、垂直方向倾角、水平方向偏转角、机身自转的转角。纠偏基本纲领：及时纠偏和小角度纠偏；挖土纠偏和调整合力方向的纠偏；刀盘式矩形顶管机纠偏时，可采用调整挖土方法、调整顶进合力方向、改变切削刀盘的转动方向、在管内相对于机头旋转的方向增加配重等措施。</w:t>
      </w:r>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9.3.7 第4款</w:t>
      </w:r>
      <w:r>
        <w:rPr>
          <w:rFonts w:hint="default" w:ascii="Times New Roman" w:hAnsi="Times New Roman" w:eastAsia="宋体" w:cs="Times New Roman"/>
          <w:lang w:val="en-US" w:eastAsia="zh-CN"/>
        </w:rPr>
        <w:t xml:space="preserve">  为防止顶管机头扭转可遵循下列原则：</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  在壳体两侧安装纠扭装置，根据需要将翼板伸出壳体插入土体内，在机头向前推进时，土体在翼板上产生一侧向分力，形成力偶使机头按所需的方向旋转，以达到纠扭目的；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  在壳体上安装压浆管注浆，将浆液分隔成四个区域，根据纠转方向的要求，选择适当的压浆点，使压出的浆液在机头形成力偶，使机头按所需的方向旋转，以达到纠扭目的；</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  偏差较大时调整两个矩形刀盘同向旋转，并与机头的扭转方向一致，将产生反向力偶，以控制机头的姿态，达到纠转的目的。</w:t>
      </w:r>
    </w:p>
    <w:p>
      <w:pPr>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9.3.9 第3款</w:t>
      </w:r>
      <w:r>
        <w:rPr>
          <w:rFonts w:hint="eastAsia" w:ascii="Times New Roman" w:hAnsi="Times New Roman" w:cs="Times New Roman"/>
          <w:b/>
          <w:bCs/>
          <w:lang w:val="en-US" w:eastAsia="zh-CN"/>
        </w:rPr>
        <w:t xml:space="preserve">  </w:t>
      </w:r>
      <w:r>
        <w:rPr>
          <w:rFonts w:hint="default" w:ascii="Times New Roman" w:hAnsi="Times New Roman" w:eastAsia="宋体" w:cs="Times New Roman"/>
          <w:lang w:val="en-US" w:eastAsia="zh-CN"/>
        </w:rPr>
        <w:t>一般情况下，在现场按配合比进行泥浆的配置，所用的主要材料包括：膨润土、水、Na2CO3和CMC，有时也可以加入其他掺和剂，如废机油、粉煤灰和其他高分子化合物等。材料的配比通常为：</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水：土=（4～5）：1</w:t>
      </w:r>
    </w:p>
    <w:p>
      <w:pPr>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土：掺和剂=（20～30）：1</w:t>
      </w:r>
    </w:p>
    <w:sectPr>
      <w:pgSz w:w="11906" w:h="16838"/>
      <w:pgMar w:top="1276" w:right="1276" w:bottom="1276" w:left="1418" w:header="851" w:footer="891" w:gutter="0"/>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font-weight : 400">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TSSBUF+TimesNewRomanPSMT">
    <w:altName w:val="Segoe Print"/>
    <w:panose1 w:val="00000000000000000000"/>
    <w:charset w:val="01"/>
    <w:family w:val="roman"/>
    <w:pitch w:val="default"/>
    <w:sig w:usb0="00000000" w:usb1="00000000" w:usb2="01010101" w:usb3="01010101" w:csb0="01010101" w:csb1="01010101"/>
  </w:font>
  <w:font w:name="FHDNAG+TimesNewRomanPSMT">
    <w:altName w:val="Segoe Print"/>
    <w:panose1 w:val="00000000000000000000"/>
    <w:charset w:val="01"/>
    <w:family w:val="roman"/>
    <w:pitch w:val="default"/>
    <w:sig w:usb0="00000000" w:usb1="00000000" w:usb2="01010101" w:usb3="01010101" w:csb0="01010101" w:csb1="01010101"/>
  </w:font>
  <w:font w:name="新宋体">
    <w:panose1 w:val="02010609030101010101"/>
    <w:charset w:val="86"/>
    <w:family w:val="modern"/>
    <w:pitch w:val="default"/>
    <w:sig w:usb0="000002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before="120" w:after="120"/>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ind w:firstLine="360"/>
                          </w:pPr>
                          <w:r>
                            <w:rPr>
                              <w:rFonts w:hint="eastAsia"/>
                            </w:rPr>
                            <w:fldChar w:fldCharType="begin"/>
                          </w:r>
                          <w:r>
                            <w:rPr>
                              <w:rFonts w:hint="eastAsia"/>
                            </w:rPr>
                            <w:instrText xml:space="preserve"> PAGE  \* MERGEFORMAT </w:instrText>
                          </w:r>
                          <w:r>
                            <w:rPr>
                              <w:rFonts w:hint="eastAsia"/>
                            </w:rPr>
                            <w:fldChar w:fldCharType="separate"/>
                          </w:r>
                          <w:r>
                            <w:t>136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26"/>
                      <w:ind w:firstLine="360"/>
                    </w:pPr>
                    <w:r>
                      <w:rPr>
                        <w:rFonts w:hint="eastAsia"/>
                      </w:rPr>
                      <w:fldChar w:fldCharType="begin"/>
                    </w:r>
                    <w:r>
                      <w:rPr>
                        <w:rFonts w:hint="eastAsia"/>
                      </w:rPr>
                      <w:instrText xml:space="preserve"> PAGE  \* MERGEFORMAT </w:instrText>
                    </w:r>
                    <w:r>
                      <w:rPr>
                        <w:rFonts w:hint="eastAsia"/>
                      </w:rPr>
                      <w:fldChar w:fldCharType="separate"/>
                    </w:r>
                    <w:r>
                      <w:t>136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l+6YPAgAACQ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ANl+6YPAgAACQQAAA4AAAAAAAAAAQAgAAAA&#10;HwEAAGRycy9lMm9Eb2MueG1sUEsFBgAAAAAGAAYAWQEAAKAFAAAAAA==&#10;">
              <v:fill on="f" focussize="0,0"/>
              <v:stroke on="f" weight="0.5pt"/>
              <v:imagedata o:title=""/>
              <o:lock v:ext="edit" aspectratio="f"/>
              <v:textbox inset="0mm,0mm,0mm,0mm" style="mso-fit-shape-to-text:t;">
                <w:txbxContent>
                  <w:p>
                    <w:pPr>
                      <w:pStyle w:val="2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pict>
        <v:shape id="PowerPlusWaterMarkObject373908050" o:spid="_x0000_s2051" o:spt="136" type="#_x0000_t136" style="position:absolute;left:0pt;height:56.6pt;width:622.7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t" xscale="f" string="广州市市政集团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pict>
        <v:shape id="PowerPlusWaterMarkObject373908049" o:spid="_x0000_s2049" o:spt="136" type="#_x0000_t136" style="position:absolute;left:0pt;height:56.6pt;width:622.7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t" xscale="f" string="广州市市政集团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pict>
        <v:shape id="PowerPlusWaterMarkObject373908059" o:spid="_x0000_s2054" o:spt="136" type="#_x0000_t136" style="position:absolute;left:0pt;height:56.6pt;width:622.7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t" xscale="f" string="广州市市政集团有限公司" style="font-family:黑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pict>
        <v:shape id="PowerPlusWaterMarkObject373908058" o:spid="_x0000_s2052" o:spt="136" type="#_x0000_t136" style="position:absolute;left:0pt;height:56.6pt;width:622.7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t" xscale="f" string="广州市市政集团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17E9"/>
    <w:multiLevelType w:val="multilevel"/>
    <w:tmpl w:val="03FF17E9"/>
    <w:lvl w:ilvl="0" w:tentative="0">
      <w:start w:val="1"/>
      <w:numFmt w:val="decimal"/>
      <w:lvlText w:val="%1"/>
      <w:lvlJc w:val="left"/>
      <w:pPr>
        <w:ind w:left="432" w:hanging="432"/>
      </w:pPr>
      <w:rPr>
        <w:rFonts w:hint="default" w:ascii="宋体" w:hAnsi="宋体" w:eastAsia="宋体" w:cs="宋体"/>
      </w:rPr>
    </w:lvl>
    <w:lvl w:ilvl="1" w:tentative="0">
      <w:start w:val="1"/>
      <w:numFmt w:val="decimal"/>
      <w:lvlText w:val="%1.%2"/>
      <w:lvlJc w:val="left"/>
      <w:pPr>
        <w:tabs>
          <w:tab w:val="left" w:pos="567"/>
        </w:tabs>
        <w:ind w:left="0" w:firstLine="0"/>
      </w:pPr>
      <w:rPr>
        <w:rFonts w:hint="default" w:ascii="宋体" w:hAnsi="宋体" w:eastAsia="宋体" w:cs="宋体"/>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ligatures w14:val="none"/>
        <w14:numForm w14:val="default"/>
        <w14:numSpacing w14:val="default"/>
      </w:rPr>
    </w:lvl>
    <w:lvl w:ilvl="2" w:tentative="0">
      <w:start w:val="1"/>
      <w:numFmt w:val="decimal"/>
      <w:lvlText w:val="%1.%2.%3"/>
      <w:lvlJc w:val="left"/>
      <w:pPr>
        <w:tabs>
          <w:tab w:val="left" w:pos="1560"/>
        </w:tabs>
        <w:ind w:left="993" w:firstLine="0"/>
      </w:pPr>
      <w:rPr>
        <w:rFonts w:hint="default" w:ascii="宋体" w:hAnsi="宋体" w:eastAsia="宋体" w:cs="宋体"/>
        <w:b/>
        <w:bCs w:val="0"/>
        <w:i w:val="0"/>
        <w:iCs w:val="0"/>
        <w:caps w:val="0"/>
        <w:smallCaps w:val="0"/>
        <w:strike w:val="0"/>
        <w:dstrike w:val="0"/>
        <w:vanish w:val="0"/>
        <w:color w:val="auto"/>
        <w:spacing w:val="0"/>
        <w:position w:val="0"/>
        <w:sz w:val="24"/>
        <w:szCs w:val="24"/>
        <w:u w:val="none"/>
        <w:vertAlign w:val="baseline"/>
        <w14:shadow w14:blurRad="0" w14:dist="0" w14:dir="0" w14:sx="0" w14:sy="0" w14:kx="0" w14:ky="0" w14:algn="none">
          <w14:srgbClr w14:val="000000"/>
        </w14:shadow>
        <w14:ligatures w14:val="none"/>
        <w14:numForm w14:val="default"/>
        <w14:numSpacing w14:val="default"/>
      </w:rPr>
    </w:lvl>
    <w:lvl w:ilvl="3" w:tentative="0">
      <w:start w:val="1"/>
      <w:numFmt w:val="decimal"/>
      <w:lvlText w:val="%1.%2.%3.%4"/>
      <w:lvlJc w:val="left"/>
      <w:pPr>
        <w:ind w:left="864" w:hanging="864"/>
      </w:pPr>
      <w:rPr>
        <w:rFonts w:hint="eastAsia"/>
        <w:b/>
        <w:sz w:val="28"/>
        <w:szCs w:val="28"/>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06064940"/>
    <w:multiLevelType w:val="multilevel"/>
    <w:tmpl w:val="0606494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5.%2.%3 "/>
      <w:lvlJc w:val="left"/>
      <w:pPr>
        <w:ind w:left="0" w:firstLine="0"/>
      </w:pPr>
      <w:rPr>
        <w:rFonts w:hint="eastAsia"/>
        <w:b/>
        <w:bCs w:val="0"/>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
    <w:nsid w:val="09BA4880"/>
    <w:multiLevelType w:val="multilevel"/>
    <w:tmpl w:val="09BA488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5.4.%3 "/>
      <w:lvlJc w:val="left"/>
      <w:pPr>
        <w:ind w:left="0" w:firstLine="0"/>
      </w:pPr>
      <w:rPr>
        <w:rFonts w:hint="eastAsia"/>
        <w:b/>
        <w:bCs w:val="0"/>
        <w:color w:val="auto"/>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
    <w:nsid w:val="0D983844"/>
    <w:multiLevelType w:val="multilevel"/>
    <w:tmpl w:val="0D983844"/>
    <w:lvl w:ilvl="0" w:tentative="0">
      <w:start w:val="1"/>
      <w:numFmt w:val="decimal"/>
      <w:pStyle w:val="157"/>
      <w:suff w:val="nothing"/>
      <w:lvlText w:val="图%1　"/>
      <w:lvlJc w:val="left"/>
      <w:pPr>
        <w:ind w:left="3403"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4"/>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156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31C21B00"/>
    <w:multiLevelType w:val="multilevel"/>
    <w:tmpl w:val="31C21B0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5.5.%3 "/>
      <w:lvlJc w:val="left"/>
      <w:pPr>
        <w:ind w:left="0" w:firstLine="0"/>
      </w:pPr>
      <w:rPr>
        <w:rFonts w:hint="eastAsia"/>
        <w:b/>
        <w:bCs w:val="0"/>
        <w:color w:val="auto"/>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
    <w:nsid w:val="37B6078F"/>
    <w:multiLevelType w:val="multilevel"/>
    <w:tmpl w:val="37B6078F"/>
    <w:lvl w:ilvl="0" w:tentative="0">
      <w:start w:val="1"/>
      <w:numFmt w:val="lowerLetter"/>
      <w:pStyle w:val="158"/>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4D35277F"/>
    <w:multiLevelType w:val="multilevel"/>
    <w:tmpl w:val="4D35277F"/>
    <w:lvl w:ilvl="0" w:tentative="0">
      <w:start w:val="1"/>
      <w:numFmt w:val="decimal"/>
      <w:lvlText w:val="%1"/>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CBC677A"/>
    <w:multiLevelType w:val="multilevel"/>
    <w:tmpl w:val="5CBC677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5.2.%3 "/>
      <w:lvlJc w:val="left"/>
      <w:pPr>
        <w:ind w:left="0" w:firstLine="0"/>
      </w:pPr>
      <w:rPr>
        <w:rFonts w:hint="eastAsia"/>
        <w:b/>
        <w:bCs w:val="0"/>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6369768F"/>
    <w:multiLevelType w:val="multilevel"/>
    <w:tmpl w:val="6369768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5.3.%3 "/>
      <w:lvlJc w:val="left"/>
      <w:pPr>
        <w:ind w:left="0" w:firstLine="0"/>
      </w:pPr>
      <w:rPr>
        <w:rFonts w:hint="eastAsia"/>
        <w:b/>
        <w:bCs w:val="0"/>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 w:numId="2">
    <w:abstractNumId w:val="4"/>
  </w:num>
  <w:num w:numId="3">
    <w:abstractNumId w:val="3"/>
  </w:num>
  <w:num w:numId="4">
    <w:abstractNumId w:val="6"/>
  </w:num>
  <w:num w:numId="5">
    <w:abstractNumId w:val="1"/>
  </w:num>
  <w:num w:numId="6">
    <w:abstractNumId w:val="8"/>
  </w:num>
  <w:num w:numId="7">
    <w:abstractNumId w:val="9"/>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val="1"/>
  <w:bordersDoNotSurroundHeader w:val="0"/>
  <w:bordersDoNotSurroundFooter w:val="0"/>
  <w:hideSpellingErrors/>
  <w:documentProtection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yNGQyZDQ5ZDQ0ZTAxNjFkMWExN2E2MzRiMDEwMmUifQ=="/>
  </w:docVars>
  <w:rsids>
    <w:rsidRoot w:val="00172A27"/>
    <w:rsid w:val="00000785"/>
    <w:rsid w:val="00001190"/>
    <w:rsid w:val="00001A11"/>
    <w:rsid w:val="000021ED"/>
    <w:rsid w:val="00003261"/>
    <w:rsid w:val="00003FB4"/>
    <w:rsid w:val="00004229"/>
    <w:rsid w:val="000043FF"/>
    <w:rsid w:val="000054DB"/>
    <w:rsid w:val="00005EC2"/>
    <w:rsid w:val="000061DD"/>
    <w:rsid w:val="000071A5"/>
    <w:rsid w:val="0000771B"/>
    <w:rsid w:val="0000773E"/>
    <w:rsid w:val="000077DD"/>
    <w:rsid w:val="000100C0"/>
    <w:rsid w:val="0001027F"/>
    <w:rsid w:val="000108CF"/>
    <w:rsid w:val="000114E0"/>
    <w:rsid w:val="00011504"/>
    <w:rsid w:val="00011A1E"/>
    <w:rsid w:val="00011A20"/>
    <w:rsid w:val="00011CF0"/>
    <w:rsid w:val="00012A4D"/>
    <w:rsid w:val="000137E4"/>
    <w:rsid w:val="00013D01"/>
    <w:rsid w:val="00015180"/>
    <w:rsid w:val="00015E2B"/>
    <w:rsid w:val="00017FAE"/>
    <w:rsid w:val="00020A2B"/>
    <w:rsid w:val="000211BD"/>
    <w:rsid w:val="000214C8"/>
    <w:rsid w:val="00021BEF"/>
    <w:rsid w:val="00022192"/>
    <w:rsid w:val="000222B8"/>
    <w:rsid w:val="00023057"/>
    <w:rsid w:val="00023403"/>
    <w:rsid w:val="00023C09"/>
    <w:rsid w:val="00023F9C"/>
    <w:rsid w:val="00024755"/>
    <w:rsid w:val="00024BA5"/>
    <w:rsid w:val="00024E79"/>
    <w:rsid w:val="00025312"/>
    <w:rsid w:val="00025547"/>
    <w:rsid w:val="000260AE"/>
    <w:rsid w:val="0002688D"/>
    <w:rsid w:val="0002696C"/>
    <w:rsid w:val="00027BD6"/>
    <w:rsid w:val="000304A4"/>
    <w:rsid w:val="00030BA3"/>
    <w:rsid w:val="00030C5F"/>
    <w:rsid w:val="00031164"/>
    <w:rsid w:val="000311EA"/>
    <w:rsid w:val="000314DC"/>
    <w:rsid w:val="000325A2"/>
    <w:rsid w:val="0003456B"/>
    <w:rsid w:val="000352D0"/>
    <w:rsid w:val="0003551A"/>
    <w:rsid w:val="00037A3F"/>
    <w:rsid w:val="00042371"/>
    <w:rsid w:val="00044B9C"/>
    <w:rsid w:val="00044CFF"/>
    <w:rsid w:val="00045317"/>
    <w:rsid w:val="00045470"/>
    <w:rsid w:val="00045DBB"/>
    <w:rsid w:val="00046C5A"/>
    <w:rsid w:val="00050BB1"/>
    <w:rsid w:val="00051218"/>
    <w:rsid w:val="00051C34"/>
    <w:rsid w:val="00051FD8"/>
    <w:rsid w:val="00052152"/>
    <w:rsid w:val="0005244C"/>
    <w:rsid w:val="00052872"/>
    <w:rsid w:val="00053E57"/>
    <w:rsid w:val="00053FD5"/>
    <w:rsid w:val="00055B31"/>
    <w:rsid w:val="00055D2A"/>
    <w:rsid w:val="00056298"/>
    <w:rsid w:val="0005718F"/>
    <w:rsid w:val="00057196"/>
    <w:rsid w:val="00060CBE"/>
    <w:rsid w:val="00061792"/>
    <w:rsid w:val="0006217C"/>
    <w:rsid w:val="000622A0"/>
    <w:rsid w:val="0006270A"/>
    <w:rsid w:val="00062B83"/>
    <w:rsid w:val="00064B1B"/>
    <w:rsid w:val="00064C33"/>
    <w:rsid w:val="00067493"/>
    <w:rsid w:val="00067CD6"/>
    <w:rsid w:val="0007013A"/>
    <w:rsid w:val="00070400"/>
    <w:rsid w:val="00071968"/>
    <w:rsid w:val="00072CD9"/>
    <w:rsid w:val="00072CF0"/>
    <w:rsid w:val="00074B5E"/>
    <w:rsid w:val="00075279"/>
    <w:rsid w:val="00075A7D"/>
    <w:rsid w:val="00075A8C"/>
    <w:rsid w:val="00076E3E"/>
    <w:rsid w:val="0007791F"/>
    <w:rsid w:val="000779A9"/>
    <w:rsid w:val="00077E55"/>
    <w:rsid w:val="00080821"/>
    <w:rsid w:val="00084455"/>
    <w:rsid w:val="00084C33"/>
    <w:rsid w:val="00084CED"/>
    <w:rsid w:val="00084CF4"/>
    <w:rsid w:val="000852DC"/>
    <w:rsid w:val="000852F8"/>
    <w:rsid w:val="00085530"/>
    <w:rsid w:val="00086522"/>
    <w:rsid w:val="00086E59"/>
    <w:rsid w:val="000873E9"/>
    <w:rsid w:val="0008752C"/>
    <w:rsid w:val="00087757"/>
    <w:rsid w:val="00087DC7"/>
    <w:rsid w:val="00090978"/>
    <w:rsid w:val="0009101F"/>
    <w:rsid w:val="0009188B"/>
    <w:rsid w:val="0009240C"/>
    <w:rsid w:val="00092C65"/>
    <w:rsid w:val="00093D35"/>
    <w:rsid w:val="0009436B"/>
    <w:rsid w:val="00094D12"/>
    <w:rsid w:val="00094DC0"/>
    <w:rsid w:val="000969EE"/>
    <w:rsid w:val="0009774C"/>
    <w:rsid w:val="000A0E45"/>
    <w:rsid w:val="000A0E90"/>
    <w:rsid w:val="000A2101"/>
    <w:rsid w:val="000A21CC"/>
    <w:rsid w:val="000A2641"/>
    <w:rsid w:val="000A31AE"/>
    <w:rsid w:val="000A3602"/>
    <w:rsid w:val="000A36E9"/>
    <w:rsid w:val="000A378C"/>
    <w:rsid w:val="000A4829"/>
    <w:rsid w:val="000A4AFD"/>
    <w:rsid w:val="000A66BB"/>
    <w:rsid w:val="000B0141"/>
    <w:rsid w:val="000B0182"/>
    <w:rsid w:val="000B2631"/>
    <w:rsid w:val="000B2830"/>
    <w:rsid w:val="000B28CF"/>
    <w:rsid w:val="000B4360"/>
    <w:rsid w:val="000B45D4"/>
    <w:rsid w:val="000B5858"/>
    <w:rsid w:val="000B6105"/>
    <w:rsid w:val="000B65FB"/>
    <w:rsid w:val="000B66D7"/>
    <w:rsid w:val="000C0592"/>
    <w:rsid w:val="000C103D"/>
    <w:rsid w:val="000C16AF"/>
    <w:rsid w:val="000C1CF0"/>
    <w:rsid w:val="000C23C8"/>
    <w:rsid w:val="000C23F2"/>
    <w:rsid w:val="000C29F7"/>
    <w:rsid w:val="000C4D98"/>
    <w:rsid w:val="000C5BBC"/>
    <w:rsid w:val="000C61BD"/>
    <w:rsid w:val="000C79B1"/>
    <w:rsid w:val="000D11DD"/>
    <w:rsid w:val="000D36F2"/>
    <w:rsid w:val="000D3A72"/>
    <w:rsid w:val="000D48D0"/>
    <w:rsid w:val="000D59A0"/>
    <w:rsid w:val="000D5D42"/>
    <w:rsid w:val="000D6216"/>
    <w:rsid w:val="000D64AE"/>
    <w:rsid w:val="000D658C"/>
    <w:rsid w:val="000D6B6B"/>
    <w:rsid w:val="000D7B34"/>
    <w:rsid w:val="000D7EDD"/>
    <w:rsid w:val="000D7FB0"/>
    <w:rsid w:val="000E063B"/>
    <w:rsid w:val="000E11F1"/>
    <w:rsid w:val="000E1504"/>
    <w:rsid w:val="000E3324"/>
    <w:rsid w:val="000E3B56"/>
    <w:rsid w:val="000E3FDF"/>
    <w:rsid w:val="000E43E2"/>
    <w:rsid w:val="000E53D6"/>
    <w:rsid w:val="000E6A67"/>
    <w:rsid w:val="000E744A"/>
    <w:rsid w:val="000F13CE"/>
    <w:rsid w:val="000F161E"/>
    <w:rsid w:val="000F20CF"/>
    <w:rsid w:val="000F2581"/>
    <w:rsid w:val="000F2754"/>
    <w:rsid w:val="000F2AFA"/>
    <w:rsid w:val="000F3A6C"/>
    <w:rsid w:val="000F3C77"/>
    <w:rsid w:val="000F3D4E"/>
    <w:rsid w:val="000F4C71"/>
    <w:rsid w:val="000F5014"/>
    <w:rsid w:val="000F5679"/>
    <w:rsid w:val="000F5963"/>
    <w:rsid w:val="000F746F"/>
    <w:rsid w:val="000F7E15"/>
    <w:rsid w:val="000F7F70"/>
    <w:rsid w:val="001009F0"/>
    <w:rsid w:val="001011C0"/>
    <w:rsid w:val="00101871"/>
    <w:rsid w:val="0010211F"/>
    <w:rsid w:val="00102A1A"/>
    <w:rsid w:val="00102BF1"/>
    <w:rsid w:val="0010478D"/>
    <w:rsid w:val="00104D95"/>
    <w:rsid w:val="0010507F"/>
    <w:rsid w:val="00106D5E"/>
    <w:rsid w:val="00106F21"/>
    <w:rsid w:val="00106F3B"/>
    <w:rsid w:val="00110002"/>
    <w:rsid w:val="0011062E"/>
    <w:rsid w:val="00111791"/>
    <w:rsid w:val="001126EA"/>
    <w:rsid w:val="00112AF9"/>
    <w:rsid w:val="00112FA2"/>
    <w:rsid w:val="001131D4"/>
    <w:rsid w:val="00113CF0"/>
    <w:rsid w:val="00113E07"/>
    <w:rsid w:val="001140C5"/>
    <w:rsid w:val="00114A2A"/>
    <w:rsid w:val="00115083"/>
    <w:rsid w:val="0011620E"/>
    <w:rsid w:val="001170F2"/>
    <w:rsid w:val="00117F42"/>
    <w:rsid w:val="001208AC"/>
    <w:rsid w:val="00120BCE"/>
    <w:rsid w:val="00121E1E"/>
    <w:rsid w:val="001221DF"/>
    <w:rsid w:val="001222C7"/>
    <w:rsid w:val="0012238C"/>
    <w:rsid w:val="0012278E"/>
    <w:rsid w:val="00122E2F"/>
    <w:rsid w:val="0012630A"/>
    <w:rsid w:val="00126366"/>
    <w:rsid w:val="00126AA4"/>
    <w:rsid w:val="0012720E"/>
    <w:rsid w:val="001305D8"/>
    <w:rsid w:val="00131277"/>
    <w:rsid w:val="0013134C"/>
    <w:rsid w:val="00131584"/>
    <w:rsid w:val="00131C78"/>
    <w:rsid w:val="001327B0"/>
    <w:rsid w:val="0013337A"/>
    <w:rsid w:val="00133FE5"/>
    <w:rsid w:val="00134418"/>
    <w:rsid w:val="0013449E"/>
    <w:rsid w:val="001349FA"/>
    <w:rsid w:val="00134CDD"/>
    <w:rsid w:val="00135A7C"/>
    <w:rsid w:val="00135BA7"/>
    <w:rsid w:val="00136ACE"/>
    <w:rsid w:val="00140740"/>
    <w:rsid w:val="001408AF"/>
    <w:rsid w:val="00140DBD"/>
    <w:rsid w:val="001410DD"/>
    <w:rsid w:val="00141CBC"/>
    <w:rsid w:val="00141DF4"/>
    <w:rsid w:val="001421B9"/>
    <w:rsid w:val="00144177"/>
    <w:rsid w:val="0014457E"/>
    <w:rsid w:val="00144ACE"/>
    <w:rsid w:val="00145517"/>
    <w:rsid w:val="001468C6"/>
    <w:rsid w:val="00146CB9"/>
    <w:rsid w:val="001473C2"/>
    <w:rsid w:val="00147E35"/>
    <w:rsid w:val="00151295"/>
    <w:rsid w:val="00151AFD"/>
    <w:rsid w:val="00151E79"/>
    <w:rsid w:val="00152276"/>
    <w:rsid w:val="0015281B"/>
    <w:rsid w:val="00153721"/>
    <w:rsid w:val="00153836"/>
    <w:rsid w:val="00153F69"/>
    <w:rsid w:val="00155450"/>
    <w:rsid w:val="00155569"/>
    <w:rsid w:val="001562A0"/>
    <w:rsid w:val="00160B41"/>
    <w:rsid w:val="00161090"/>
    <w:rsid w:val="00162877"/>
    <w:rsid w:val="00163640"/>
    <w:rsid w:val="0016372E"/>
    <w:rsid w:val="00164537"/>
    <w:rsid w:val="00164B8C"/>
    <w:rsid w:val="00164F3D"/>
    <w:rsid w:val="0016515E"/>
    <w:rsid w:val="0016527D"/>
    <w:rsid w:val="00165479"/>
    <w:rsid w:val="0016588C"/>
    <w:rsid w:val="00165C5C"/>
    <w:rsid w:val="001671CF"/>
    <w:rsid w:val="001705F5"/>
    <w:rsid w:val="00170D79"/>
    <w:rsid w:val="0017110C"/>
    <w:rsid w:val="00172A27"/>
    <w:rsid w:val="00173605"/>
    <w:rsid w:val="001758DE"/>
    <w:rsid w:val="001760A0"/>
    <w:rsid w:val="00176461"/>
    <w:rsid w:val="00177502"/>
    <w:rsid w:val="001775C9"/>
    <w:rsid w:val="00177ABA"/>
    <w:rsid w:val="00181502"/>
    <w:rsid w:val="001828D2"/>
    <w:rsid w:val="00182CC4"/>
    <w:rsid w:val="00183417"/>
    <w:rsid w:val="00184EB7"/>
    <w:rsid w:val="00185A06"/>
    <w:rsid w:val="00185D74"/>
    <w:rsid w:val="00187645"/>
    <w:rsid w:val="0019022D"/>
    <w:rsid w:val="001922E9"/>
    <w:rsid w:val="0019263C"/>
    <w:rsid w:val="00192870"/>
    <w:rsid w:val="00193777"/>
    <w:rsid w:val="00193831"/>
    <w:rsid w:val="00193E1D"/>
    <w:rsid w:val="00194B1F"/>
    <w:rsid w:val="00194BE7"/>
    <w:rsid w:val="00194D73"/>
    <w:rsid w:val="0019559E"/>
    <w:rsid w:val="001956B1"/>
    <w:rsid w:val="00195907"/>
    <w:rsid w:val="0019643F"/>
    <w:rsid w:val="001964F2"/>
    <w:rsid w:val="00196954"/>
    <w:rsid w:val="00196D07"/>
    <w:rsid w:val="00197842"/>
    <w:rsid w:val="001A02EF"/>
    <w:rsid w:val="001A136B"/>
    <w:rsid w:val="001A1745"/>
    <w:rsid w:val="001A3562"/>
    <w:rsid w:val="001A3EEA"/>
    <w:rsid w:val="001A4222"/>
    <w:rsid w:val="001A4C35"/>
    <w:rsid w:val="001A55B5"/>
    <w:rsid w:val="001A5822"/>
    <w:rsid w:val="001A5C54"/>
    <w:rsid w:val="001A6A3F"/>
    <w:rsid w:val="001A711A"/>
    <w:rsid w:val="001B0949"/>
    <w:rsid w:val="001B0E53"/>
    <w:rsid w:val="001B11EE"/>
    <w:rsid w:val="001B1281"/>
    <w:rsid w:val="001B13F8"/>
    <w:rsid w:val="001B1C2A"/>
    <w:rsid w:val="001B2689"/>
    <w:rsid w:val="001B3475"/>
    <w:rsid w:val="001B3708"/>
    <w:rsid w:val="001B3DDA"/>
    <w:rsid w:val="001B4837"/>
    <w:rsid w:val="001B4EA9"/>
    <w:rsid w:val="001B5069"/>
    <w:rsid w:val="001B59FE"/>
    <w:rsid w:val="001B6051"/>
    <w:rsid w:val="001B64F9"/>
    <w:rsid w:val="001B70F2"/>
    <w:rsid w:val="001C051A"/>
    <w:rsid w:val="001C1683"/>
    <w:rsid w:val="001C2729"/>
    <w:rsid w:val="001C3A43"/>
    <w:rsid w:val="001C4526"/>
    <w:rsid w:val="001C6E85"/>
    <w:rsid w:val="001C71EA"/>
    <w:rsid w:val="001D038D"/>
    <w:rsid w:val="001D099A"/>
    <w:rsid w:val="001D09FE"/>
    <w:rsid w:val="001D0FF6"/>
    <w:rsid w:val="001D1A74"/>
    <w:rsid w:val="001D1DA3"/>
    <w:rsid w:val="001D28B2"/>
    <w:rsid w:val="001D2DC4"/>
    <w:rsid w:val="001D3CE2"/>
    <w:rsid w:val="001D52C5"/>
    <w:rsid w:val="001D59AE"/>
    <w:rsid w:val="001D6C8C"/>
    <w:rsid w:val="001D6FB9"/>
    <w:rsid w:val="001E00C6"/>
    <w:rsid w:val="001E0132"/>
    <w:rsid w:val="001E0477"/>
    <w:rsid w:val="001E0C28"/>
    <w:rsid w:val="001E2848"/>
    <w:rsid w:val="001E3FC2"/>
    <w:rsid w:val="001E6605"/>
    <w:rsid w:val="001E6E2C"/>
    <w:rsid w:val="001F007C"/>
    <w:rsid w:val="001F038A"/>
    <w:rsid w:val="001F062E"/>
    <w:rsid w:val="001F131A"/>
    <w:rsid w:val="001F205F"/>
    <w:rsid w:val="001F23EF"/>
    <w:rsid w:val="001F2AC5"/>
    <w:rsid w:val="001F36A5"/>
    <w:rsid w:val="001F4441"/>
    <w:rsid w:val="001F4486"/>
    <w:rsid w:val="001F59E8"/>
    <w:rsid w:val="001F5EF1"/>
    <w:rsid w:val="001F6972"/>
    <w:rsid w:val="001F7980"/>
    <w:rsid w:val="00200C5C"/>
    <w:rsid w:val="00201AF6"/>
    <w:rsid w:val="00202994"/>
    <w:rsid w:val="00203232"/>
    <w:rsid w:val="0020442E"/>
    <w:rsid w:val="002047FA"/>
    <w:rsid w:val="00204D56"/>
    <w:rsid w:val="002055B9"/>
    <w:rsid w:val="00210CC1"/>
    <w:rsid w:val="00210F5D"/>
    <w:rsid w:val="002126CF"/>
    <w:rsid w:val="00212FBC"/>
    <w:rsid w:val="002158CF"/>
    <w:rsid w:val="00216B28"/>
    <w:rsid w:val="00217267"/>
    <w:rsid w:val="0022082F"/>
    <w:rsid w:val="00220BAD"/>
    <w:rsid w:val="0022149F"/>
    <w:rsid w:val="00222662"/>
    <w:rsid w:val="00222C2B"/>
    <w:rsid w:val="00223879"/>
    <w:rsid w:val="00224470"/>
    <w:rsid w:val="0022453E"/>
    <w:rsid w:val="00224D24"/>
    <w:rsid w:val="00225919"/>
    <w:rsid w:val="002260EC"/>
    <w:rsid w:val="00227BAC"/>
    <w:rsid w:val="00227BF6"/>
    <w:rsid w:val="00230064"/>
    <w:rsid w:val="0023225D"/>
    <w:rsid w:val="00233D2B"/>
    <w:rsid w:val="00234D1A"/>
    <w:rsid w:val="00234DC0"/>
    <w:rsid w:val="00237925"/>
    <w:rsid w:val="00240B8D"/>
    <w:rsid w:val="00240BEA"/>
    <w:rsid w:val="002422B8"/>
    <w:rsid w:val="00242C6A"/>
    <w:rsid w:val="00242CB8"/>
    <w:rsid w:val="00243292"/>
    <w:rsid w:val="00243552"/>
    <w:rsid w:val="00244710"/>
    <w:rsid w:val="00245C24"/>
    <w:rsid w:val="00246462"/>
    <w:rsid w:val="00246558"/>
    <w:rsid w:val="002476E8"/>
    <w:rsid w:val="00250ECF"/>
    <w:rsid w:val="00251AF1"/>
    <w:rsid w:val="00251CC1"/>
    <w:rsid w:val="00252785"/>
    <w:rsid w:val="00252950"/>
    <w:rsid w:val="00252B13"/>
    <w:rsid w:val="00253070"/>
    <w:rsid w:val="00254646"/>
    <w:rsid w:val="00254E50"/>
    <w:rsid w:val="0025535E"/>
    <w:rsid w:val="002557A5"/>
    <w:rsid w:val="00256067"/>
    <w:rsid w:val="002565B7"/>
    <w:rsid w:val="00257405"/>
    <w:rsid w:val="0026149E"/>
    <w:rsid w:val="00261C7A"/>
    <w:rsid w:val="002641B5"/>
    <w:rsid w:val="002645EC"/>
    <w:rsid w:val="00264871"/>
    <w:rsid w:val="00264ECF"/>
    <w:rsid w:val="00265922"/>
    <w:rsid w:val="00265C1A"/>
    <w:rsid w:val="002667C0"/>
    <w:rsid w:val="00266849"/>
    <w:rsid w:val="002676BD"/>
    <w:rsid w:val="00267AB2"/>
    <w:rsid w:val="00267F34"/>
    <w:rsid w:val="00270143"/>
    <w:rsid w:val="0027054F"/>
    <w:rsid w:val="002706D1"/>
    <w:rsid w:val="002717F4"/>
    <w:rsid w:val="00272B3C"/>
    <w:rsid w:val="00272D20"/>
    <w:rsid w:val="002730C5"/>
    <w:rsid w:val="002732AC"/>
    <w:rsid w:val="00274059"/>
    <w:rsid w:val="002743D3"/>
    <w:rsid w:val="002750D4"/>
    <w:rsid w:val="002755DB"/>
    <w:rsid w:val="00276C82"/>
    <w:rsid w:val="0028010E"/>
    <w:rsid w:val="002801CC"/>
    <w:rsid w:val="00280990"/>
    <w:rsid w:val="0028220B"/>
    <w:rsid w:val="00282214"/>
    <w:rsid w:val="002826C8"/>
    <w:rsid w:val="00283137"/>
    <w:rsid w:val="00284FFD"/>
    <w:rsid w:val="00285454"/>
    <w:rsid w:val="0028652F"/>
    <w:rsid w:val="0028679B"/>
    <w:rsid w:val="00286BD8"/>
    <w:rsid w:val="00286E8F"/>
    <w:rsid w:val="00287EDF"/>
    <w:rsid w:val="0029058C"/>
    <w:rsid w:val="002905AF"/>
    <w:rsid w:val="00290770"/>
    <w:rsid w:val="0029180D"/>
    <w:rsid w:val="002919EC"/>
    <w:rsid w:val="002935FC"/>
    <w:rsid w:val="00293720"/>
    <w:rsid w:val="002943E5"/>
    <w:rsid w:val="0029561F"/>
    <w:rsid w:val="00296B77"/>
    <w:rsid w:val="00297D11"/>
    <w:rsid w:val="00297DF1"/>
    <w:rsid w:val="002A0DCB"/>
    <w:rsid w:val="002A12B3"/>
    <w:rsid w:val="002A15E0"/>
    <w:rsid w:val="002A1BA7"/>
    <w:rsid w:val="002A34F5"/>
    <w:rsid w:val="002A3983"/>
    <w:rsid w:val="002A44F3"/>
    <w:rsid w:val="002A5987"/>
    <w:rsid w:val="002A5F12"/>
    <w:rsid w:val="002A7813"/>
    <w:rsid w:val="002B018C"/>
    <w:rsid w:val="002B0236"/>
    <w:rsid w:val="002B0AF5"/>
    <w:rsid w:val="002B2158"/>
    <w:rsid w:val="002B3338"/>
    <w:rsid w:val="002B3D27"/>
    <w:rsid w:val="002B4B31"/>
    <w:rsid w:val="002B4C33"/>
    <w:rsid w:val="002B4CD3"/>
    <w:rsid w:val="002B5801"/>
    <w:rsid w:val="002B5BCC"/>
    <w:rsid w:val="002B6FE5"/>
    <w:rsid w:val="002C1114"/>
    <w:rsid w:val="002C2070"/>
    <w:rsid w:val="002C5A2B"/>
    <w:rsid w:val="002C6029"/>
    <w:rsid w:val="002C6DE5"/>
    <w:rsid w:val="002C72B0"/>
    <w:rsid w:val="002C7332"/>
    <w:rsid w:val="002C7AC7"/>
    <w:rsid w:val="002C7F5E"/>
    <w:rsid w:val="002D083E"/>
    <w:rsid w:val="002D0870"/>
    <w:rsid w:val="002D1E30"/>
    <w:rsid w:val="002D3EE3"/>
    <w:rsid w:val="002D457B"/>
    <w:rsid w:val="002D475E"/>
    <w:rsid w:val="002D4F50"/>
    <w:rsid w:val="002D56C1"/>
    <w:rsid w:val="002D5C56"/>
    <w:rsid w:val="002D5D0A"/>
    <w:rsid w:val="002D7CB9"/>
    <w:rsid w:val="002E023F"/>
    <w:rsid w:val="002E10A9"/>
    <w:rsid w:val="002E12C0"/>
    <w:rsid w:val="002E1DFB"/>
    <w:rsid w:val="002E2093"/>
    <w:rsid w:val="002E2A3A"/>
    <w:rsid w:val="002E2B91"/>
    <w:rsid w:val="002E3A07"/>
    <w:rsid w:val="002E3B39"/>
    <w:rsid w:val="002E3CC3"/>
    <w:rsid w:val="002E4A35"/>
    <w:rsid w:val="002E53DE"/>
    <w:rsid w:val="002E77FE"/>
    <w:rsid w:val="002E7901"/>
    <w:rsid w:val="002F043A"/>
    <w:rsid w:val="002F106A"/>
    <w:rsid w:val="002F2500"/>
    <w:rsid w:val="002F26A9"/>
    <w:rsid w:val="002F3089"/>
    <w:rsid w:val="002F3B65"/>
    <w:rsid w:val="002F3F1A"/>
    <w:rsid w:val="002F4EF3"/>
    <w:rsid w:val="002F552B"/>
    <w:rsid w:val="002F5C2D"/>
    <w:rsid w:val="002F62A8"/>
    <w:rsid w:val="002F778C"/>
    <w:rsid w:val="0030016B"/>
    <w:rsid w:val="0030143D"/>
    <w:rsid w:val="0030145D"/>
    <w:rsid w:val="00301B09"/>
    <w:rsid w:val="00301D2B"/>
    <w:rsid w:val="00302979"/>
    <w:rsid w:val="00302AA8"/>
    <w:rsid w:val="0030347F"/>
    <w:rsid w:val="003034E4"/>
    <w:rsid w:val="0030406A"/>
    <w:rsid w:val="0030480C"/>
    <w:rsid w:val="00304B58"/>
    <w:rsid w:val="00305004"/>
    <w:rsid w:val="003055C1"/>
    <w:rsid w:val="00305F0B"/>
    <w:rsid w:val="00306662"/>
    <w:rsid w:val="00306886"/>
    <w:rsid w:val="00306AE1"/>
    <w:rsid w:val="00306E35"/>
    <w:rsid w:val="003106CF"/>
    <w:rsid w:val="00310AAF"/>
    <w:rsid w:val="0031190E"/>
    <w:rsid w:val="00311CE9"/>
    <w:rsid w:val="00314CD4"/>
    <w:rsid w:val="003158F3"/>
    <w:rsid w:val="00317C43"/>
    <w:rsid w:val="00320062"/>
    <w:rsid w:val="00321C5A"/>
    <w:rsid w:val="00322B7F"/>
    <w:rsid w:val="003231C2"/>
    <w:rsid w:val="00323226"/>
    <w:rsid w:val="00324794"/>
    <w:rsid w:val="00325351"/>
    <w:rsid w:val="00326103"/>
    <w:rsid w:val="00326662"/>
    <w:rsid w:val="00326717"/>
    <w:rsid w:val="00327F2E"/>
    <w:rsid w:val="0033020E"/>
    <w:rsid w:val="0033048F"/>
    <w:rsid w:val="00330874"/>
    <w:rsid w:val="003329EB"/>
    <w:rsid w:val="003340A2"/>
    <w:rsid w:val="00334776"/>
    <w:rsid w:val="00334E68"/>
    <w:rsid w:val="00336692"/>
    <w:rsid w:val="003371A9"/>
    <w:rsid w:val="0033769A"/>
    <w:rsid w:val="00337AD4"/>
    <w:rsid w:val="003403BC"/>
    <w:rsid w:val="003405C1"/>
    <w:rsid w:val="00340609"/>
    <w:rsid w:val="00341DEF"/>
    <w:rsid w:val="00342B33"/>
    <w:rsid w:val="00342F15"/>
    <w:rsid w:val="003438B1"/>
    <w:rsid w:val="00343E71"/>
    <w:rsid w:val="00344628"/>
    <w:rsid w:val="00344BA9"/>
    <w:rsid w:val="003454C1"/>
    <w:rsid w:val="003461ED"/>
    <w:rsid w:val="003462C2"/>
    <w:rsid w:val="00347A47"/>
    <w:rsid w:val="00351556"/>
    <w:rsid w:val="00352824"/>
    <w:rsid w:val="00352BD4"/>
    <w:rsid w:val="0035318A"/>
    <w:rsid w:val="00353644"/>
    <w:rsid w:val="003543BD"/>
    <w:rsid w:val="0035528E"/>
    <w:rsid w:val="00356527"/>
    <w:rsid w:val="00356F61"/>
    <w:rsid w:val="0035743C"/>
    <w:rsid w:val="00357CF0"/>
    <w:rsid w:val="00360C6A"/>
    <w:rsid w:val="00360F75"/>
    <w:rsid w:val="00361342"/>
    <w:rsid w:val="00361ADF"/>
    <w:rsid w:val="003625D1"/>
    <w:rsid w:val="003629AD"/>
    <w:rsid w:val="00362E40"/>
    <w:rsid w:val="0036329D"/>
    <w:rsid w:val="0036539F"/>
    <w:rsid w:val="003678A0"/>
    <w:rsid w:val="00367CAF"/>
    <w:rsid w:val="00370764"/>
    <w:rsid w:val="00372CA1"/>
    <w:rsid w:val="00372D6B"/>
    <w:rsid w:val="00373121"/>
    <w:rsid w:val="00374060"/>
    <w:rsid w:val="00375838"/>
    <w:rsid w:val="00376C40"/>
    <w:rsid w:val="00376E16"/>
    <w:rsid w:val="0038004A"/>
    <w:rsid w:val="00381356"/>
    <w:rsid w:val="00381D82"/>
    <w:rsid w:val="003825EB"/>
    <w:rsid w:val="00382CE9"/>
    <w:rsid w:val="00382F1E"/>
    <w:rsid w:val="0038330A"/>
    <w:rsid w:val="00384121"/>
    <w:rsid w:val="003856CF"/>
    <w:rsid w:val="00385AAE"/>
    <w:rsid w:val="003870C5"/>
    <w:rsid w:val="00387313"/>
    <w:rsid w:val="00387BB2"/>
    <w:rsid w:val="00392228"/>
    <w:rsid w:val="003922C5"/>
    <w:rsid w:val="0039457D"/>
    <w:rsid w:val="003949B9"/>
    <w:rsid w:val="00394BA9"/>
    <w:rsid w:val="00394D91"/>
    <w:rsid w:val="00395519"/>
    <w:rsid w:val="003958D9"/>
    <w:rsid w:val="003960A2"/>
    <w:rsid w:val="003961E6"/>
    <w:rsid w:val="003962E1"/>
    <w:rsid w:val="00397443"/>
    <w:rsid w:val="00397AD2"/>
    <w:rsid w:val="003A043E"/>
    <w:rsid w:val="003A0B26"/>
    <w:rsid w:val="003A26D2"/>
    <w:rsid w:val="003A2A24"/>
    <w:rsid w:val="003A3D78"/>
    <w:rsid w:val="003A51C2"/>
    <w:rsid w:val="003A52B9"/>
    <w:rsid w:val="003A5575"/>
    <w:rsid w:val="003A5EA7"/>
    <w:rsid w:val="003A6E46"/>
    <w:rsid w:val="003A70D9"/>
    <w:rsid w:val="003A73D1"/>
    <w:rsid w:val="003A7ACF"/>
    <w:rsid w:val="003B053B"/>
    <w:rsid w:val="003B0EB0"/>
    <w:rsid w:val="003B1722"/>
    <w:rsid w:val="003B185E"/>
    <w:rsid w:val="003B19A5"/>
    <w:rsid w:val="003B1DEB"/>
    <w:rsid w:val="003B2C4A"/>
    <w:rsid w:val="003B3E5F"/>
    <w:rsid w:val="003B423D"/>
    <w:rsid w:val="003B44F1"/>
    <w:rsid w:val="003B453C"/>
    <w:rsid w:val="003C0884"/>
    <w:rsid w:val="003C117E"/>
    <w:rsid w:val="003C3CF2"/>
    <w:rsid w:val="003C3D32"/>
    <w:rsid w:val="003C4235"/>
    <w:rsid w:val="003C4330"/>
    <w:rsid w:val="003C549D"/>
    <w:rsid w:val="003C71A6"/>
    <w:rsid w:val="003C7498"/>
    <w:rsid w:val="003C74A4"/>
    <w:rsid w:val="003D0374"/>
    <w:rsid w:val="003D053E"/>
    <w:rsid w:val="003D09B6"/>
    <w:rsid w:val="003D184A"/>
    <w:rsid w:val="003D1FEE"/>
    <w:rsid w:val="003D22D0"/>
    <w:rsid w:val="003D29D7"/>
    <w:rsid w:val="003D3EE0"/>
    <w:rsid w:val="003D403D"/>
    <w:rsid w:val="003D43B0"/>
    <w:rsid w:val="003D689B"/>
    <w:rsid w:val="003D6C5B"/>
    <w:rsid w:val="003E04B5"/>
    <w:rsid w:val="003E0CA1"/>
    <w:rsid w:val="003E10CD"/>
    <w:rsid w:val="003E14A4"/>
    <w:rsid w:val="003E2E34"/>
    <w:rsid w:val="003E369E"/>
    <w:rsid w:val="003E6053"/>
    <w:rsid w:val="003E7445"/>
    <w:rsid w:val="003E7FB8"/>
    <w:rsid w:val="003F0275"/>
    <w:rsid w:val="003F08AA"/>
    <w:rsid w:val="003F1A9C"/>
    <w:rsid w:val="003F2330"/>
    <w:rsid w:val="003F240D"/>
    <w:rsid w:val="003F3E52"/>
    <w:rsid w:val="003F58BA"/>
    <w:rsid w:val="003F5E18"/>
    <w:rsid w:val="003F5F36"/>
    <w:rsid w:val="003F7144"/>
    <w:rsid w:val="003F758B"/>
    <w:rsid w:val="003F795C"/>
    <w:rsid w:val="004005FA"/>
    <w:rsid w:val="004011B2"/>
    <w:rsid w:val="004012D0"/>
    <w:rsid w:val="00401794"/>
    <w:rsid w:val="00401938"/>
    <w:rsid w:val="00402725"/>
    <w:rsid w:val="00402D63"/>
    <w:rsid w:val="00402EA7"/>
    <w:rsid w:val="00403834"/>
    <w:rsid w:val="004040CA"/>
    <w:rsid w:val="0040471F"/>
    <w:rsid w:val="00405244"/>
    <w:rsid w:val="00406238"/>
    <w:rsid w:val="00407A6D"/>
    <w:rsid w:val="00407D14"/>
    <w:rsid w:val="0041138D"/>
    <w:rsid w:val="00411BAF"/>
    <w:rsid w:val="00412443"/>
    <w:rsid w:val="0041256B"/>
    <w:rsid w:val="004126C8"/>
    <w:rsid w:val="00412B01"/>
    <w:rsid w:val="00413D23"/>
    <w:rsid w:val="00414A6E"/>
    <w:rsid w:val="00414E75"/>
    <w:rsid w:val="00416A48"/>
    <w:rsid w:val="00420F0E"/>
    <w:rsid w:val="00420FBE"/>
    <w:rsid w:val="004212D2"/>
    <w:rsid w:val="00421CFB"/>
    <w:rsid w:val="00422CC5"/>
    <w:rsid w:val="00424C2A"/>
    <w:rsid w:val="0042581E"/>
    <w:rsid w:val="00425B24"/>
    <w:rsid w:val="004261B2"/>
    <w:rsid w:val="004262D3"/>
    <w:rsid w:val="0042677E"/>
    <w:rsid w:val="00426B08"/>
    <w:rsid w:val="0042723B"/>
    <w:rsid w:val="004306B8"/>
    <w:rsid w:val="0043096D"/>
    <w:rsid w:val="00430ADF"/>
    <w:rsid w:val="00430DE2"/>
    <w:rsid w:val="0043270A"/>
    <w:rsid w:val="00432CAB"/>
    <w:rsid w:val="00432F77"/>
    <w:rsid w:val="004338C1"/>
    <w:rsid w:val="00435261"/>
    <w:rsid w:val="0043596B"/>
    <w:rsid w:val="00435BD2"/>
    <w:rsid w:val="00435CA6"/>
    <w:rsid w:val="00436CF2"/>
    <w:rsid w:val="00437266"/>
    <w:rsid w:val="00442A87"/>
    <w:rsid w:val="00443ECE"/>
    <w:rsid w:val="004442A4"/>
    <w:rsid w:val="00444AF0"/>
    <w:rsid w:val="0044578C"/>
    <w:rsid w:val="00445EE6"/>
    <w:rsid w:val="00446158"/>
    <w:rsid w:val="00446F92"/>
    <w:rsid w:val="00447A7B"/>
    <w:rsid w:val="004500BB"/>
    <w:rsid w:val="004509A7"/>
    <w:rsid w:val="004519C6"/>
    <w:rsid w:val="00453464"/>
    <w:rsid w:val="00453898"/>
    <w:rsid w:val="00456265"/>
    <w:rsid w:val="00456686"/>
    <w:rsid w:val="00457E29"/>
    <w:rsid w:val="004609EB"/>
    <w:rsid w:val="00460DF9"/>
    <w:rsid w:val="0046122E"/>
    <w:rsid w:val="0046188E"/>
    <w:rsid w:val="00462937"/>
    <w:rsid w:val="00464515"/>
    <w:rsid w:val="004645C5"/>
    <w:rsid w:val="00465608"/>
    <w:rsid w:val="00465FCD"/>
    <w:rsid w:val="004661F1"/>
    <w:rsid w:val="004670B6"/>
    <w:rsid w:val="00467954"/>
    <w:rsid w:val="00467D44"/>
    <w:rsid w:val="00467E73"/>
    <w:rsid w:val="0047003D"/>
    <w:rsid w:val="00470C65"/>
    <w:rsid w:val="004710D6"/>
    <w:rsid w:val="00472F7D"/>
    <w:rsid w:val="00473ABF"/>
    <w:rsid w:val="00474C72"/>
    <w:rsid w:val="00475676"/>
    <w:rsid w:val="004760A5"/>
    <w:rsid w:val="004760F2"/>
    <w:rsid w:val="00476759"/>
    <w:rsid w:val="00477D19"/>
    <w:rsid w:val="0048092B"/>
    <w:rsid w:val="00481849"/>
    <w:rsid w:val="00481B96"/>
    <w:rsid w:val="004827A7"/>
    <w:rsid w:val="00482C1F"/>
    <w:rsid w:val="00484F8B"/>
    <w:rsid w:val="004851CA"/>
    <w:rsid w:val="00485563"/>
    <w:rsid w:val="004878EF"/>
    <w:rsid w:val="00487D50"/>
    <w:rsid w:val="00490298"/>
    <w:rsid w:val="004912D2"/>
    <w:rsid w:val="0049195C"/>
    <w:rsid w:val="00491E8E"/>
    <w:rsid w:val="00491F91"/>
    <w:rsid w:val="00492333"/>
    <w:rsid w:val="004924FA"/>
    <w:rsid w:val="0049328E"/>
    <w:rsid w:val="0049335A"/>
    <w:rsid w:val="00493401"/>
    <w:rsid w:val="00493410"/>
    <w:rsid w:val="00493AEE"/>
    <w:rsid w:val="00493C04"/>
    <w:rsid w:val="004967F1"/>
    <w:rsid w:val="004969AC"/>
    <w:rsid w:val="004A0167"/>
    <w:rsid w:val="004A046E"/>
    <w:rsid w:val="004A14B0"/>
    <w:rsid w:val="004A2BFA"/>
    <w:rsid w:val="004A3A9D"/>
    <w:rsid w:val="004A4BE6"/>
    <w:rsid w:val="004A4E40"/>
    <w:rsid w:val="004A5B7A"/>
    <w:rsid w:val="004A6957"/>
    <w:rsid w:val="004A6C4B"/>
    <w:rsid w:val="004A7441"/>
    <w:rsid w:val="004A7998"/>
    <w:rsid w:val="004A7C41"/>
    <w:rsid w:val="004B13E7"/>
    <w:rsid w:val="004B243B"/>
    <w:rsid w:val="004B32D1"/>
    <w:rsid w:val="004B379D"/>
    <w:rsid w:val="004B3FCF"/>
    <w:rsid w:val="004B41BC"/>
    <w:rsid w:val="004B4856"/>
    <w:rsid w:val="004B4DE3"/>
    <w:rsid w:val="004B5C27"/>
    <w:rsid w:val="004B6258"/>
    <w:rsid w:val="004B688A"/>
    <w:rsid w:val="004C1CD5"/>
    <w:rsid w:val="004C3A0F"/>
    <w:rsid w:val="004C3BC4"/>
    <w:rsid w:val="004C4216"/>
    <w:rsid w:val="004C4667"/>
    <w:rsid w:val="004C5B75"/>
    <w:rsid w:val="004C73A3"/>
    <w:rsid w:val="004D0F04"/>
    <w:rsid w:val="004D2C8E"/>
    <w:rsid w:val="004D2CF4"/>
    <w:rsid w:val="004D2F90"/>
    <w:rsid w:val="004D35C8"/>
    <w:rsid w:val="004D39E2"/>
    <w:rsid w:val="004D3B42"/>
    <w:rsid w:val="004D3F75"/>
    <w:rsid w:val="004D41DC"/>
    <w:rsid w:val="004D4A93"/>
    <w:rsid w:val="004D56D6"/>
    <w:rsid w:val="004D5988"/>
    <w:rsid w:val="004D5B40"/>
    <w:rsid w:val="004D5D21"/>
    <w:rsid w:val="004D6EB8"/>
    <w:rsid w:val="004D7323"/>
    <w:rsid w:val="004D7336"/>
    <w:rsid w:val="004D7C49"/>
    <w:rsid w:val="004E101E"/>
    <w:rsid w:val="004E159F"/>
    <w:rsid w:val="004E5767"/>
    <w:rsid w:val="004E5845"/>
    <w:rsid w:val="004E78B2"/>
    <w:rsid w:val="004E7B10"/>
    <w:rsid w:val="004E7DD2"/>
    <w:rsid w:val="004F01FA"/>
    <w:rsid w:val="004F0451"/>
    <w:rsid w:val="004F188E"/>
    <w:rsid w:val="004F1D82"/>
    <w:rsid w:val="004F2319"/>
    <w:rsid w:val="004F2ABC"/>
    <w:rsid w:val="004F6394"/>
    <w:rsid w:val="004F6635"/>
    <w:rsid w:val="004F6B72"/>
    <w:rsid w:val="004F6BB0"/>
    <w:rsid w:val="004F73A9"/>
    <w:rsid w:val="004F7765"/>
    <w:rsid w:val="00500D7A"/>
    <w:rsid w:val="0050223A"/>
    <w:rsid w:val="00502593"/>
    <w:rsid w:val="0050279C"/>
    <w:rsid w:val="00503A21"/>
    <w:rsid w:val="00503E8A"/>
    <w:rsid w:val="00504666"/>
    <w:rsid w:val="00506126"/>
    <w:rsid w:val="00506682"/>
    <w:rsid w:val="0050669A"/>
    <w:rsid w:val="0050675D"/>
    <w:rsid w:val="00506B06"/>
    <w:rsid w:val="00506BC3"/>
    <w:rsid w:val="00506D08"/>
    <w:rsid w:val="00507AD0"/>
    <w:rsid w:val="00510912"/>
    <w:rsid w:val="00510DE5"/>
    <w:rsid w:val="00511DD9"/>
    <w:rsid w:val="00513348"/>
    <w:rsid w:val="00513DD3"/>
    <w:rsid w:val="00514738"/>
    <w:rsid w:val="005176D1"/>
    <w:rsid w:val="00520065"/>
    <w:rsid w:val="00520092"/>
    <w:rsid w:val="00521879"/>
    <w:rsid w:val="005226A0"/>
    <w:rsid w:val="00523465"/>
    <w:rsid w:val="00523B0F"/>
    <w:rsid w:val="00524D8E"/>
    <w:rsid w:val="00524F59"/>
    <w:rsid w:val="00525D69"/>
    <w:rsid w:val="005279B1"/>
    <w:rsid w:val="00530615"/>
    <w:rsid w:val="00531037"/>
    <w:rsid w:val="00531378"/>
    <w:rsid w:val="00532033"/>
    <w:rsid w:val="0053274D"/>
    <w:rsid w:val="00532CEE"/>
    <w:rsid w:val="00532DD0"/>
    <w:rsid w:val="00533378"/>
    <w:rsid w:val="00533725"/>
    <w:rsid w:val="00534767"/>
    <w:rsid w:val="005348D4"/>
    <w:rsid w:val="0053765B"/>
    <w:rsid w:val="00540F06"/>
    <w:rsid w:val="0054290D"/>
    <w:rsid w:val="0054334E"/>
    <w:rsid w:val="005439F4"/>
    <w:rsid w:val="005447B7"/>
    <w:rsid w:val="00545E29"/>
    <w:rsid w:val="00546697"/>
    <w:rsid w:val="00546945"/>
    <w:rsid w:val="00546D6F"/>
    <w:rsid w:val="005471D8"/>
    <w:rsid w:val="00547763"/>
    <w:rsid w:val="00550115"/>
    <w:rsid w:val="00550B92"/>
    <w:rsid w:val="0055320A"/>
    <w:rsid w:val="005535BF"/>
    <w:rsid w:val="0055398C"/>
    <w:rsid w:val="00553B04"/>
    <w:rsid w:val="005541C5"/>
    <w:rsid w:val="005545F0"/>
    <w:rsid w:val="00554AF9"/>
    <w:rsid w:val="00554CB6"/>
    <w:rsid w:val="005569F9"/>
    <w:rsid w:val="00557485"/>
    <w:rsid w:val="005576A4"/>
    <w:rsid w:val="00557AF5"/>
    <w:rsid w:val="0056065B"/>
    <w:rsid w:val="005606FD"/>
    <w:rsid w:val="00561648"/>
    <w:rsid w:val="005619DD"/>
    <w:rsid w:val="00562C80"/>
    <w:rsid w:val="00562DEF"/>
    <w:rsid w:val="005637AF"/>
    <w:rsid w:val="00563C96"/>
    <w:rsid w:val="005640FC"/>
    <w:rsid w:val="0056441A"/>
    <w:rsid w:val="00564BD8"/>
    <w:rsid w:val="00564FDC"/>
    <w:rsid w:val="00565408"/>
    <w:rsid w:val="005656C7"/>
    <w:rsid w:val="00565BC1"/>
    <w:rsid w:val="00566B4A"/>
    <w:rsid w:val="00567E80"/>
    <w:rsid w:val="00567EC1"/>
    <w:rsid w:val="005706EF"/>
    <w:rsid w:val="005707F7"/>
    <w:rsid w:val="00570978"/>
    <w:rsid w:val="00570A53"/>
    <w:rsid w:val="00570B59"/>
    <w:rsid w:val="005710CC"/>
    <w:rsid w:val="0057369B"/>
    <w:rsid w:val="00574D07"/>
    <w:rsid w:val="00575484"/>
    <w:rsid w:val="0057597F"/>
    <w:rsid w:val="0057630A"/>
    <w:rsid w:val="00576E2B"/>
    <w:rsid w:val="00577240"/>
    <w:rsid w:val="005806EE"/>
    <w:rsid w:val="005811B8"/>
    <w:rsid w:val="005826CB"/>
    <w:rsid w:val="005828B0"/>
    <w:rsid w:val="005828CF"/>
    <w:rsid w:val="00582D00"/>
    <w:rsid w:val="00582E1E"/>
    <w:rsid w:val="005838AA"/>
    <w:rsid w:val="00583C72"/>
    <w:rsid w:val="005851C7"/>
    <w:rsid w:val="00585E8C"/>
    <w:rsid w:val="005874C3"/>
    <w:rsid w:val="00587C7E"/>
    <w:rsid w:val="00587D74"/>
    <w:rsid w:val="005912E1"/>
    <w:rsid w:val="00591BCE"/>
    <w:rsid w:val="00591C35"/>
    <w:rsid w:val="00593AE8"/>
    <w:rsid w:val="00593D4B"/>
    <w:rsid w:val="005962D7"/>
    <w:rsid w:val="0059669A"/>
    <w:rsid w:val="00597A86"/>
    <w:rsid w:val="005A0732"/>
    <w:rsid w:val="005A1E59"/>
    <w:rsid w:val="005A2065"/>
    <w:rsid w:val="005A2F38"/>
    <w:rsid w:val="005A4B5E"/>
    <w:rsid w:val="005A4E05"/>
    <w:rsid w:val="005A5DCA"/>
    <w:rsid w:val="005A6860"/>
    <w:rsid w:val="005A7687"/>
    <w:rsid w:val="005A7FE2"/>
    <w:rsid w:val="005B0332"/>
    <w:rsid w:val="005B03E8"/>
    <w:rsid w:val="005B123C"/>
    <w:rsid w:val="005B19FD"/>
    <w:rsid w:val="005B1F53"/>
    <w:rsid w:val="005B2000"/>
    <w:rsid w:val="005B2CC8"/>
    <w:rsid w:val="005B382D"/>
    <w:rsid w:val="005B43C0"/>
    <w:rsid w:val="005B4F12"/>
    <w:rsid w:val="005B5CD4"/>
    <w:rsid w:val="005B605A"/>
    <w:rsid w:val="005B64DC"/>
    <w:rsid w:val="005B6AF7"/>
    <w:rsid w:val="005B6FF2"/>
    <w:rsid w:val="005B738C"/>
    <w:rsid w:val="005B79BB"/>
    <w:rsid w:val="005B7A11"/>
    <w:rsid w:val="005B7E09"/>
    <w:rsid w:val="005C1213"/>
    <w:rsid w:val="005C2292"/>
    <w:rsid w:val="005C3004"/>
    <w:rsid w:val="005C3FB7"/>
    <w:rsid w:val="005C451E"/>
    <w:rsid w:val="005C5F62"/>
    <w:rsid w:val="005C6362"/>
    <w:rsid w:val="005C6523"/>
    <w:rsid w:val="005C7384"/>
    <w:rsid w:val="005D0E12"/>
    <w:rsid w:val="005D155B"/>
    <w:rsid w:val="005D1654"/>
    <w:rsid w:val="005D301F"/>
    <w:rsid w:val="005D4037"/>
    <w:rsid w:val="005D4F48"/>
    <w:rsid w:val="005D560B"/>
    <w:rsid w:val="005D5A7D"/>
    <w:rsid w:val="005D64DD"/>
    <w:rsid w:val="005D7630"/>
    <w:rsid w:val="005E0371"/>
    <w:rsid w:val="005E093C"/>
    <w:rsid w:val="005E2161"/>
    <w:rsid w:val="005E2276"/>
    <w:rsid w:val="005E23E4"/>
    <w:rsid w:val="005E2977"/>
    <w:rsid w:val="005E3BFF"/>
    <w:rsid w:val="005E3C23"/>
    <w:rsid w:val="005E44B2"/>
    <w:rsid w:val="005E4AA1"/>
    <w:rsid w:val="005E4AB5"/>
    <w:rsid w:val="005E4AE9"/>
    <w:rsid w:val="005E5B81"/>
    <w:rsid w:val="005E637F"/>
    <w:rsid w:val="005E7AEF"/>
    <w:rsid w:val="005F0176"/>
    <w:rsid w:val="005F06D4"/>
    <w:rsid w:val="005F106B"/>
    <w:rsid w:val="005F17FD"/>
    <w:rsid w:val="005F2489"/>
    <w:rsid w:val="005F4355"/>
    <w:rsid w:val="005F4443"/>
    <w:rsid w:val="005F5578"/>
    <w:rsid w:val="005F7B1E"/>
    <w:rsid w:val="00600B47"/>
    <w:rsid w:val="00600FFE"/>
    <w:rsid w:val="006012FC"/>
    <w:rsid w:val="0060152D"/>
    <w:rsid w:val="00602A9C"/>
    <w:rsid w:val="00605A6A"/>
    <w:rsid w:val="00605FCB"/>
    <w:rsid w:val="0060626F"/>
    <w:rsid w:val="006063D5"/>
    <w:rsid w:val="00606464"/>
    <w:rsid w:val="00606F1B"/>
    <w:rsid w:val="00607377"/>
    <w:rsid w:val="0060738E"/>
    <w:rsid w:val="0061032F"/>
    <w:rsid w:val="006105DD"/>
    <w:rsid w:val="00611A1E"/>
    <w:rsid w:val="00611A9D"/>
    <w:rsid w:val="00612847"/>
    <w:rsid w:val="00612FE1"/>
    <w:rsid w:val="00613EE8"/>
    <w:rsid w:val="00614399"/>
    <w:rsid w:val="00614585"/>
    <w:rsid w:val="00614B23"/>
    <w:rsid w:val="00614DEE"/>
    <w:rsid w:val="0061527E"/>
    <w:rsid w:val="00617A2D"/>
    <w:rsid w:val="006200DA"/>
    <w:rsid w:val="0062023C"/>
    <w:rsid w:val="006214EF"/>
    <w:rsid w:val="00621BA0"/>
    <w:rsid w:val="00622802"/>
    <w:rsid w:val="00623382"/>
    <w:rsid w:val="00623518"/>
    <w:rsid w:val="00623F17"/>
    <w:rsid w:val="00624C89"/>
    <w:rsid w:val="00624EBD"/>
    <w:rsid w:val="00624F26"/>
    <w:rsid w:val="006265ED"/>
    <w:rsid w:val="006274F1"/>
    <w:rsid w:val="00627692"/>
    <w:rsid w:val="006308B9"/>
    <w:rsid w:val="00630A2E"/>
    <w:rsid w:val="006310E2"/>
    <w:rsid w:val="00631392"/>
    <w:rsid w:val="006315AB"/>
    <w:rsid w:val="00632BAF"/>
    <w:rsid w:val="00633D0C"/>
    <w:rsid w:val="00633E1F"/>
    <w:rsid w:val="00633F1C"/>
    <w:rsid w:val="0063471D"/>
    <w:rsid w:val="00640C7B"/>
    <w:rsid w:val="00640DEF"/>
    <w:rsid w:val="00641985"/>
    <w:rsid w:val="00641AA2"/>
    <w:rsid w:val="00641EA9"/>
    <w:rsid w:val="00642D4E"/>
    <w:rsid w:val="00644372"/>
    <w:rsid w:val="00644F5B"/>
    <w:rsid w:val="00645B6A"/>
    <w:rsid w:val="00646716"/>
    <w:rsid w:val="0065074C"/>
    <w:rsid w:val="00650C77"/>
    <w:rsid w:val="00651B57"/>
    <w:rsid w:val="00651F51"/>
    <w:rsid w:val="00651F7F"/>
    <w:rsid w:val="00653218"/>
    <w:rsid w:val="006536FE"/>
    <w:rsid w:val="00653EA0"/>
    <w:rsid w:val="00654AC0"/>
    <w:rsid w:val="00654CC1"/>
    <w:rsid w:val="00656021"/>
    <w:rsid w:val="00656877"/>
    <w:rsid w:val="0065712F"/>
    <w:rsid w:val="00657528"/>
    <w:rsid w:val="00660F7A"/>
    <w:rsid w:val="006614E4"/>
    <w:rsid w:val="0066182C"/>
    <w:rsid w:val="00661973"/>
    <w:rsid w:val="006621CD"/>
    <w:rsid w:val="0066281A"/>
    <w:rsid w:val="00662CC0"/>
    <w:rsid w:val="006640EB"/>
    <w:rsid w:val="00664120"/>
    <w:rsid w:val="006643BC"/>
    <w:rsid w:val="0066553F"/>
    <w:rsid w:val="00665A95"/>
    <w:rsid w:val="00666902"/>
    <w:rsid w:val="00666A65"/>
    <w:rsid w:val="00666EFF"/>
    <w:rsid w:val="006700D7"/>
    <w:rsid w:val="006701E4"/>
    <w:rsid w:val="00670968"/>
    <w:rsid w:val="006711A5"/>
    <w:rsid w:val="006711C5"/>
    <w:rsid w:val="006712B8"/>
    <w:rsid w:val="00671B64"/>
    <w:rsid w:val="0067276C"/>
    <w:rsid w:val="00672D67"/>
    <w:rsid w:val="00673038"/>
    <w:rsid w:val="006736A2"/>
    <w:rsid w:val="006757D9"/>
    <w:rsid w:val="006759BA"/>
    <w:rsid w:val="0067652E"/>
    <w:rsid w:val="00676A5E"/>
    <w:rsid w:val="00676DA5"/>
    <w:rsid w:val="00680414"/>
    <w:rsid w:val="00680C74"/>
    <w:rsid w:val="00680E5D"/>
    <w:rsid w:val="00680E79"/>
    <w:rsid w:val="00681941"/>
    <w:rsid w:val="00683AF1"/>
    <w:rsid w:val="006842B0"/>
    <w:rsid w:val="00685B10"/>
    <w:rsid w:val="0068686C"/>
    <w:rsid w:val="00686CBD"/>
    <w:rsid w:val="00690616"/>
    <w:rsid w:val="00691580"/>
    <w:rsid w:val="006917EF"/>
    <w:rsid w:val="006922AB"/>
    <w:rsid w:val="00692366"/>
    <w:rsid w:val="006923E2"/>
    <w:rsid w:val="006924A7"/>
    <w:rsid w:val="0069434F"/>
    <w:rsid w:val="00694616"/>
    <w:rsid w:val="006952E9"/>
    <w:rsid w:val="0069560A"/>
    <w:rsid w:val="00695935"/>
    <w:rsid w:val="006971FE"/>
    <w:rsid w:val="006A0071"/>
    <w:rsid w:val="006A1678"/>
    <w:rsid w:val="006A17F9"/>
    <w:rsid w:val="006A1A87"/>
    <w:rsid w:val="006A1B71"/>
    <w:rsid w:val="006A1CAA"/>
    <w:rsid w:val="006A22E2"/>
    <w:rsid w:val="006A23E9"/>
    <w:rsid w:val="006A299F"/>
    <w:rsid w:val="006A2B5C"/>
    <w:rsid w:val="006A47B4"/>
    <w:rsid w:val="006A4958"/>
    <w:rsid w:val="006A5087"/>
    <w:rsid w:val="006A557C"/>
    <w:rsid w:val="006A6D57"/>
    <w:rsid w:val="006B0529"/>
    <w:rsid w:val="006B14C9"/>
    <w:rsid w:val="006B290B"/>
    <w:rsid w:val="006B32A1"/>
    <w:rsid w:val="006B350F"/>
    <w:rsid w:val="006B3DFD"/>
    <w:rsid w:val="006B4C10"/>
    <w:rsid w:val="006B4E97"/>
    <w:rsid w:val="006B564C"/>
    <w:rsid w:val="006B7D42"/>
    <w:rsid w:val="006C0408"/>
    <w:rsid w:val="006C12B1"/>
    <w:rsid w:val="006C1335"/>
    <w:rsid w:val="006C15F0"/>
    <w:rsid w:val="006C228C"/>
    <w:rsid w:val="006C2C81"/>
    <w:rsid w:val="006C2CD6"/>
    <w:rsid w:val="006C3033"/>
    <w:rsid w:val="006C33EE"/>
    <w:rsid w:val="006C3400"/>
    <w:rsid w:val="006C3B6A"/>
    <w:rsid w:val="006C498F"/>
    <w:rsid w:val="006C4ED6"/>
    <w:rsid w:val="006C541F"/>
    <w:rsid w:val="006C58B4"/>
    <w:rsid w:val="006C65A9"/>
    <w:rsid w:val="006C70B1"/>
    <w:rsid w:val="006C7691"/>
    <w:rsid w:val="006D0A56"/>
    <w:rsid w:val="006D2CC8"/>
    <w:rsid w:val="006D2E86"/>
    <w:rsid w:val="006D4DC9"/>
    <w:rsid w:val="006D54BD"/>
    <w:rsid w:val="006D54BF"/>
    <w:rsid w:val="006D686F"/>
    <w:rsid w:val="006D6A2E"/>
    <w:rsid w:val="006D6EA8"/>
    <w:rsid w:val="006D77C1"/>
    <w:rsid w:val="006D7EE1"/>
    <w:rsid w:val="006E13AE"/>
    <w:rsid w:val="006E1924"/>
    <w:rsid w:val="006E2DA2"/>
    <w:rsid w:val="006E32F7"/>
    <w:rsid w:val="006E3480"/>
    <w:rsid w:val="006E383C"/>
    <w:rsid w:val="006E4FBF"/>
    <w:rsid w:val="006E5731"/>
    <w:rsid w:val="006E5ABD"/>
    <w:rsid w:val="006E612E"/>
    <w:rsid w:val="006E7322"/>
    <w:rsid w:val="006F03BE"/>
    <w:rsid w:val="006F04F1"/>
    <w:rsid w:val="006F06DF"/>
    <w:rsid w:val="006F1333"/>
    <w:rsid w:val="006F2E81"/>
    <w:rsid w:val="006F30A0"/>
    <w:rsid w:val="006F33E5"/>
    <w:rsid w:val="006F3A7D"/>
    <w:rsid w:val="006F42D1"/>
    <w:rsid w:val="006F4DEC"/>
    <w:rsid w:val="006F6636"/>
    <w:rsid w:val="006F69DE"/>
    <w:rsid w:val="006F70EE"/>
    <w:rsid w:val="006F7111"/>
    <w:rsid w:val="006F736F"/>
    <w:rsid w:val="006F795F"/>
    <w:rsid w:val="00700983"/>
    <w:rsid w:val="00700D91"/>
    <w:rsid w:val="00700E5B"/>
    <w:rsid w:val="00701B38"/>
    <w:rsid w:val="0070304B"/>
    <w:rsid w:val="007037B6"/>
    <w:rsid w:val="0070384C"/>
    <w:rsid w:val="00703DDE"/>
    <w:rsid w:val="00703EC2"/>
    <w:rsid w:val="00705431"/>
    <w:rsid w:val="00705E00"/>
    <w:rsid w:val="00705FA5"/>
    <w:rsid w:val="00707F0B"/>
    <w:rsid w:val="007106D7"/>
    <w:rsid w:val="00710975"/>
    <w:rsid w:val="00710B0D"/>
    <w:rsid w:val="00710BDE"/>
    <w:rsid w:val="00710CAC"/>
    <w:rsid w:val="00710E9D"/>
    <w:rsid w:val="0071179F"/>
    <w:rsid w:val="007119FA"/>
    <w:rsid w:val="007122C4"/>
    <w:rsid w:val="007127DE"/>
    <w:rsid w:val="0071429E"/>
    <w:rsid w:val="0071484E"/>
    <w:rsid w:val="0071488F"/>
    <w:rsid w:val="00715909"/>
    <w:rsid w:val="0071600B"/>
    <w:rsid w:val="007165FA"/>
    <w:rsid w:val="00716CED"/>
    <w:rsid w:val="0071786D"/>
    <w:rsid w:val="0072083B"/>
    <w:rsid w:val="00720DEC"/>
    <w:rsid w:val="0072211B"/>
    <w:rsid w:val="0072357B"/>
    <w:rsid w:val="007235B8"/>
    <w:rsid w:val="0072398C"/>
    <w:rsid w:val="00723E0B"/>
    <w:rsid w:val="00724421"/>
    <w:rsid w:val="0072518B"/>
    <w:rsid w:val="00725992"/>
    <w:rsid w:val="00726434"/>
    <w:rsid w:val="00727DAE"/>
    <w:rsid w:val="00731126"/>
    <w:rsid w:val="007313B1"/>
    <w:rsid w:val="00731525"/>
    <w:rsid w:val="00731830"/>
    <w:rsid w:val="007318A9"/>
    <w:rsid w:val="00731B03"/>
    <w:rsid w:val="00731DD6"/>
    <w:rsid w:val="0073209B"/>
    <w:rsid w:val="00732608"/>
    <w:rsid w:val="00734EAC"/>
    <w:rsid w:val="007352CB"/>
    <w:rsid w:val="00735691"/>
    <w:rsid w:val="00736075"/>
    <w:rsid w:val="007363A3"/>
    <w:rsid w:val="00736622"/>
    <w:rsid w:val="007369AA"/>
    <w:rsid w:val="00737671"/>
    <w:rsid w:val="0074032D"/>
    <w:rsid w:val="007403BA"/>
    <w:rsid w:val="00740B30"/>
    <w:rsid w:val="00742BDE"/>
    <w:rsid w:val="007437A5"/>
    <w:rsid w:val="00744290"/>
    <w:rsid w:val="00744A1C"/>
    <w:rsid w:val="00745516"/>
    <w:rsid w:val="00746714"/>
    <w:rsid w:val="007467E1"/>
    <w:rsid w:val="007467FF"/>
    <w:rsid w:val="00746A37"/>
    <w:rsid w:val="00747AC6"/>
    <w:rsid w:val="00747E73"/>
    <w:rsid w:val="0075050A"/>
    <w:rsid w:val="00751776"/>
    <w:rsid w:val="00752A06"/>
    <w:rsid w:val="00752FF1"/>
    <w:rsid w:val="00753692"/>
    <w:rsid w:val="0075385F"/>
    <w:rsid w:val="00753EB3"/>
    <w:rsid w:val="00754DFD"/>
    <w:rsid w:val="0075577C"/>
    <w:rsid w:val="0075697A"/>
    <w:rsid w:val="00756C35"/>
    <w:rsid w:val="00760C3A"/>
    <w:rsid w:val="00760CF5"/>
    <w:rsid w:val="0076184B"/>
    <w:rsid w:val="00761A77"/>
    <w:rsid w:val="00761BD5"/>
    <w:rsid w:val="00762966"/>
    <w:rsid w:val="0076321E"/>
    <w:rsid w:val="00763817"/>
    <w:rsid w:val="00763B6D"/>
    <w:rsid w:val="00764621"/>
    <w:rsid w:val="00764763"/>
    <w:rsid w:val="00764913"/>
    <w:rsid w:val="00765373"/>
    <w:rsid w:val="00765B23"/>
    <w:rsid w:val="0076729C"/>
    <w:rsid w:val="00767D87"/>
    <w:rsid w:val="00767E7A"/>
    <w:rsid w:val="00767EF9"/>
    <w:rsid w:val="007701C0"/>
    <w:rsid w:val="007705A3"/>
    <w:rsid w:val="0077138B"/>
    <w:rsid w:val="00771A17"/>
    <w:rsid w:val="007727AB"/>
    <w:rsid w:val="00772A76"/>
    <w:rsid w:val="00772CF9"/>
    <w:rsid w:val="00775716"/>
    <w:rsid w:val="00775F40"/>
    <w:rsid w:val="00776440"/>
    <w:rsid w:val="00776665"/>
    <w:rsid w:val="00776D27"/>
    <w:rsid w:val="00777724"/>
    <w:rsid w:val="00777C24"/>
    <w:rsid w:val="00777EF0"/>
    <w:rsid w:val="00781C2A"/>
    <w:rsid w:val="00781F7F"/>
    <w:rsid w:val="00783F1E"/>
    <w:rsid w:val="0078480B"/>
    <w:rsid w:val="00785492"/>
    <w:rsid w:val="0078551F"/>
    <w:rsid w:val="00785A18"/>
    <w:rsid w:val="00786988"/>
    <w:rsid w:val="00786ABC"/>
    <w:rsid w:val="00786F1A"/>
    <w:rsid w:val="00787E98"/>
    <w:rsid w:val="00790829"/>
    <w:rsid w:val="00791172"/>
    <w:rsid w:val="00791F44"/>
    <w:rsid w:val="007927B5"/>
    <w:rsid w:val="00793082"/>
    <w:rsid w:val="00794F90"/>
    <w:rsid w:val="00795D82"/>
    <w:rsid w:val="00797AD4"/>
    <w:rsid w:val="00797F4D"/>
    <w:rsid w:val="007A1292"/>
    <w:rsid w:val="007A258C"/>
    <w:rsid w:val="007A2B96"/>
    <w:rsid w:val="007A3874"/>
    <w:rsid w:val="007A402A"/>
    <w:rsid w:val="007A4C8F"/>
    <w:rsid w:val="007A62E6"/>
    <w:rsid w:val="007A690D"/>
    <w:rsid w:val="007B28BB"/>
    <w:rsid w:val="007B3F66"/>
    <w:rsid w:val="007B5509"/>
    <w:rsid w:val="007B5FCB"/>
    <w:rsid w:val="007B6D93"/>
    <w:rsid w:val="007B755C"/>
    <w:rsid w:val="007B763F"/>
    <w:rsid w:val="007B79EB"/>
    <w:rsid w:val="007C00C4"/>
    <w:rsid w:val="007C112B"/>
    <w:rsid w:val="007C22E4"/>
    <w:rsid w:val="007C2543"/>
    <w:rsid w:val="007C2768"/>
    <w:rsid w:val="007C3031"/>
    <w:rsid w:val="007C3B13"/>
    <w:rsid w:val="007C4CB0"/>
    <w:rsid w:val="007C5084"/>
    <w:rsid w:val="007C5D33"/>
    <w:rsid w:val="007C748A"/>
    <w:rsid w:val="007D07F7"/>
    <w:rsid w:val="007D0C7D"/>
    <w:rsid w:val="007D2694"/>
    <w:rsid w:val="007D31A2"/>
    <w:rsid w:val="007D35C8"/>
    <w:rsid w:val="007D3EC1"/>
    <w:rsid w:val="007D4084"/>
    <w:rsid w:val="007D4728"/>
    <w:rsid w:val="007D6868"/>
    <w:rsid w:val="007D708D"/>
    <w:rsid w:val="007E119C"/>
    <w:rsid w:val="007E3CDC"/>
    <w:rsid w:val="007E3D2D"/>
    <w:rsid w:val="007E48B5"/>
    <w:rsid w:val="007F07A5"/>
    <w:rsid w:val="007F11E0"/>
    <w:rsid w:val="007F1437"/>
    <w:rsid w:val="007F245B"/>
    <w:rsid w:val="007F29E0"/>
    <w:rsid w:val="007F2D3E"/>
    <w:rsid w:val="007F5350"/>
    <w:rsid w:val="007F5832"/>
    <w:rsid w:val="007F5C5E"/>
    <w:rsid w:val="007F5EB4"/>
    <w:rsid w:val="007F6DAF"/>
    <w:rsid w:val="00800052"/>
    <w:rsid w:val="00800790"/>
    <w:rsid w:val="00800C0D"/>
    <w:rsid w:val="00801436"/>
    <w:rsid w:val="0080238E"/>
    <w:rsid w:val="008026C5"/>
    <w:rsid w:val="00803BF9"/>
    <w:rsid w:val="00804862"/>
    <w:rsid w:val="00807E07"/>
    <w:rsid w:val="0081005D"/>
    <w:rsid w:val="008104AF"/>
    <w:rsid w:val="0081170F"/>
    <w:rsid w:val="00811B07"/>
    <w:rsid w:val="00811CF3"/>
    <w:rsid w:val="0081219F"/>
    <w:rsid w:val="008137F3"/>
    <w:rsid w:val="0081384F"/>
    <w:rsid w:val="00813948"/>
    <w:rsid w:val="00814920"/>
    <w:rsid w:val="0081588B"/>
    <w:rsid w:val="008158D4"/>
    <w:rsid w:val="00815E80"/>
    <w:rsid w:val="00816650"/>
    <w:rsid w:val="00816B9F"/>
    <w:rsid w:val="00816F78"/>
    <w:rsid w:val="00817D48"/>
    <w:rsid w:val="00820669"/>
    <w:rsid w:val="00821509"/>
    <w:rsid w:val="00823513"/>
    <w:rsid w:val="008240B2"/>
    <w:rsid w:val="008244E6"/>
    <w:rsid w:val="008247F6"/>
    <w:rsid w:val="0082634C"/>
    <w:rsid w:val="00826C50"/>
    <w:rsid w:val="00826F91"/>
    <w:rsid w:val="00830BD3"/>
    <w:rsid w:val="0083181E"/>
    <w:rsid w:val="0083222C"/>
    <w:rsid w:val="00833279"/>
    <w:rsid w:val="00833E85"/>
    <w:rsid w:val="0083410E"/>
    <w:rsid w:val="0083412C"/>
    <w:rsid w:val="00834BF8"/>
    <w:rsid w:val="008356D1"/>
    <w:rsid w:val="008358EC"/>
    <w:rsid w:val="00836B49"/>
    <w:rsid w:val="00837209"/>
    <w:rsid w:val="00837464"/>
    <w:rsid w:val="00837E98"/>
    <w:rsid w:val="00840773"/>
    <w:rsid w:val="0084085B"/>
    <w:rsid w:val="008408FD"/>
    <w:rsid w:val="00840A98"/>
    <w:rsid w:val="008415CA"/>
    <w:rsid w:val="00841729"/>
    <w:rsid w:val="00842984"/>
    <w:rsid w:val="00843B9C"/>
    <w:rsid w:val="00843F73"/>
    <w:rsid w:val="00844059"/>
    <w:rsid w:val="00844A1B"/>
    <w:rsid w:val="00846028"/>
    <w:rsid w:val="00846212"/>
    <w:rsid w:val="008474B2"/>
    <w:rsid w:val="00847530"/>
    <w:rsid w:val="00847538"/>
    <w:rsid w:val="0085039E"/>
    <w:rsid w:val="0085074F"/>
    <w:rsid w:val="00851547"/>
    <w:rsid w:val="00851C66"/>
    <w:rsid w:val="0085230A"/>
    <w:rsid w:val="00852D27"/>
    <w:rsid w:val="008539CC"/>
    <w:rsid w:val="00853D48"/>
    <w:rsid w:val="00855728"/>
    <w:rsid w:val="00855E16"/>
    <w:rsid w:val="00856408"/>
    <w:rsid w:val="00856C35"/>
    <w:rsid w:val="00860235"/>
    <w:rsid w:val="00861337"/>
    <w:rsid w:val="00861FB4"/>
    <w:rsid w:val="0086216C"/>
    <w:rsid w:val="00862419"/>
    <w:rsid w:val="00862592"/>
    <w:rsid w:val="00863A2F"/>
    <w:rsid w:val="00864C57"/>
    <w:rsid w:val="00864F47"/>
    <w:rsid w:val="00865DC5"/>
    <w:rsid w:val="00867487"/>
    <w:rsid w:val="00867F53"/>
    <w:rsid w:val="00867F8D"/>
    <w:rsid w:val="008700AE"/>
    <w:rsid w:val="00870130"/>
    <w:rsid w:val="00870761"/>
    <w:rsid w:val="008709CB"/>
    <w:rsid w:val="0087205B"/>
    <w:rsid w:val="008733B4"/>
    <w:rsid w:val="0087691B"/>
    <w:rsid w:val="00876AF6"/>
    <w:rsid w:val="00877381"/>
    <w:rsid w:val="0087783A"/>
    <w:rsid w:val="00880074"/>
    <w:rsid w:val="00880B89"/>
    <w:rsid w:val="0088221D"/>
    <w:rsid w:val="00882E99"/>
    <w:rsid w:val="00883484"/>
    <w:rsid w:val="00883B5C"/>
    <w:rsid w:val="00884700"/>
    <w:rsid w:val="00885A68"/>
    <w:rsid w:val="0088664F"/>
    <w:rsid w:val="008867A3"/>
    <w:rsid w:val="00886812"/>
    <w:rsid w:val="008869EE"/>
    <w:rsid w:val="00886B0A"/>
    <w:rsid w:val="00887889"/>
    <w:rsid w:val="00887F17"/>
    <w:rsid w:val="00890FEF"/>
    <w:rsid w:val="00891075"/>
    <w:rsid w:val="00891CD1"/>
    <w:rsid w:val="008926C2"/>
    <w:rsid w:val="00892F86"/>
    <w:rsid w:val="00894C9D"/>
    <w:rsid w:val="008959D1"/>
    <w:rsid w:val="00895A08"/>
    <w:rsid w:val="00896021"/>
    <w:rsid w:val="00896267"/>
    <w:rsid w:val="00896338"/>
    <w:rsid w:val="00896789"/>
    <w:rsid w:val="0089790A"/>
    <w:rsid w:val="008A0831"/>
    <w:rsid w:val="008A1BD5"/>
    <w:rsid w:val="008A1E10"/>
    <w:rsid w:val="008A23DB"/>
    <w:rsid w:val="008A2A74"/>
    <w:rsid w:val="008A50C6"/>
    <w:rsid w:val="008A6BC8"/>
    <w:rsid w:val="008A7115"/>
    <w:rsid w:val="008B057B"/>
    <w:rsid w:val="008B0885"/>
    <w:rsid w:val="008B1C15"/>
    <w:rsid w:val="008B2382"/>
    <w:rsid w:val="008B262E"/>
    <w:rsid w:val="008B4DE0"/>
    <w:rsid w:val="008B5BE5"/>
    <w:rsid w:val="008B5EB1"/>
    <w:rsid w:val="008B5EC0"/>
    <w:rsid w:val="008B6988"/>
    <w:rsid w:val="008B7743"/>
    <w:rsid w:val="008B7888"/>
    <w:rsid w:val="008B7B29"/>
    <w:rsid w:val="008B7C56"/>
    <w:rsid w:val="008C3CC1"/>
    <w:rsid w:val="008C4417"/>
    <w:rsid w:val="008C5536"/>
    <w:rsid w:val="008C56CF"/>
    <w:rsid w:val="008C5905"/>
    <w:rsid w:val="008C6300"/>
    <w:rsid w:val="008C6AAB"/>
    <w:rsid w:val="008C6E4D"/>
    <w:rsid w:val="008D024A"/>
    <w:rsid w:val="008D0262"/>
    <w:rsid w:val="008D0836"/>
    <w:rsid w:val="008D1116"/>
    <w:rsid w:val="008D206E"/>
    <w:rsid w:val="008D3C24"/>
    <w:rsid w:val="008D3EF6"/>
    <w:rsid w:val="008D3FC0"/>
    <w:rsid w:val="008D4647"/>
    <w:rsid w:val="008D4B22"/>
    <w:rsid w:val="008D5B4C"/>
    <w:rsid w:val="008D6192"/>
    <w:rsid w:val="008D65C0"/>
    <w:rsid w:val="008D6F83"/>
    <w:rsid w:val="008D7193"/>
    <w:rsid w:val="008E0131"/>
    <w:rsid w:val="008E01C9"/>
    <w:rsid w:val="008E0ACC"/>
    <w:rsid w:val="008E2B41"/>
    <w:rsid w:val="008E34F5"/>
    <w:rsid w:val="008E3DCD"/>
    <w:rsid w:val="008E4681"/>
    <w:rsid w:val="008E4E14"/>
    <w:rsid w:val="008E522C"/>
    <w:rsid w:val="008E642F"/>
    <w:rsid w:val="008E6742"/>
    <w:rsid w:val="008E6D20"/>
    <w:rsid w:val="008E77B5"/>
    <w:rsid w:val="008F0855"/>
    <w:rsid w:val="008F1345"/>
    <w:rsid w:val="008F1ACF"/>
    <w:rsid w:val="008F269B"/>
    <w:rsid w:val="008F2FEC"/>
    <w:rsid w:val="008F3083"/>
    <w:rsid w:val="008F326C"/>
    <w:rsid w:val="008F3CC8"/>
    <w:rsid w:val="008F513A"/>
    <w:rsid w:val="008F53E8"/>
    <w:rsid w:val="008F585B"/>
    <w:rsid w:val="008F5A14"/>
    <w:rsid w:val="008F6E5C"/>
    <w:rsid w:val="008F70D4"/>
    <w:rsid w:val="008F7524"/>
    <w:rsid w:val="009008C8"/>
    <w:rsid w:val="00900DF3"/>
    <w:rsid w:val="00900E97"/>
    <w:rsid w:val="0090195E"/>
    <w:rsid w:val="00901B6F"/>
    <w:rsid w:val="00902023"/>
    <w:rsid w:val="009036F2"/>
    <w:rsid w:val="009036F9"/>
    <w:rsid w:val="0090436A"/>
    <w:rsid w:val="00904D18"/>
    <w:rsid w:val="009055F0"/>
    <w:rsid w:val="00905607"/>
    <w:rsid w:val="00905D44"/>
    <w:rsid w:val="00906376"/>
    <w:rsid w:val="00906860"/>
    <w:rsid w:val="0091085A"/>
    <w:rsid w:val="009136C8"/>
    <w:rsid w:val="00913CE1"/>
    <w:rsid w:val="009144CA"/>
    <w:rsid w:val="0091478B"/>
    <w:rsid w:val="009148B3"/>
    <w:rsid w:val="00914AF1"/>
    <w:rsid w:val="0091537A"/>
    <w:rsid w:val="00915793"/>
    <w:rsid w:val="0091579C"/>
    <w:rsid w:val="0091589F"/>
    <w:rsid w:val="00916412"/>
    <w:rsid w:val="00916AC3"/>
    <w:rsid w:val="00921865"/>
    <w:rsid w:val="00922807"/>
    <w:rsid w:val="00922D2F"/>
    <w:rsid w:val="00923531"/>
    <w:rsid w:val="009237F8"/>
    <w:rsid w:val="009239F1"/>
    <w:rsid w:val="0092488D"/>
    <w:rsid w:val="00924EF1"/>
    <w:rsid w:val="00925174"/>
    <w:rsid w:val="009252D9"/>
    <w:rsid w:val="009265C6"/>
    <w:rsid w:val="00926B8E"/>
    <w:rsid w:val="00930A3E"/>
    <w:rsid w:val="00931153"/>
    <w:rsid w:val="00931A61"/>
    <w:rsid w:val="00931BDF"/>
    <w:rsid w:val="0093247D"/>
    <w:rsid w:val="00933974"/>
    <w:rsid w:val="00933AE1"/>
    <w:rsid w:val="00933F1F"/>
    <w:rsid w:val="0093473B"/>
    <w:rsid w:val="00934BB9"/>
    <w:rsid w:val="00935561"/>
    <w:rsid w:val="009358A9"/>
    <w:rsid w:val="00935B06"/>
    <w:rsid w:val="00935CCF"/>
    <w:rsid w:val="00936D99"/>
    <w:rsid w:val="00937216"/>
    <w:rsid w:val="009373F5"/>
    <w:rsid w:val="0093785E"/>
    <w:rsid w:val="00937BF4"/>
    <w:rsid w:val="00940E0E"/>
    <w:rsid w:val="00941408"/>
    <w:rsid w:val="0094189F"/>
    <w:rsid w:val="00941B68"/>
    <w:rsid w:val="00941CDF"/>
    <w:rsid w:val="00942648"/>
    <w:rsid w:val="0094269C"/>
    <w:rsid w:val="0094298B"/>
    <w:rsid w:val="00942BA0"/>
    <w:rsid w:val="009438F0"/>
    <w:rsid w:val="00944E2C"/>
    <w:rsid w:val="0094555E"/>
    <w:rsid w:val="009458F2"/>
    <w:rsid w:val="00946AE3"/>
    <w:rsid w:val="009472C7"/>
    <w:rsid w:val="00950201"/>
    <w:rsid w:val="009506F6"/>
    <w:rsid w:val="009509B4"/>
    <w:rsid w:val="00952B9D"/>
    <w:rsid w:val="009532DF"/>
    <w:rsid w:val="00954856"/>
    <w:rsid w:val="00954F47"/>
    <w:rsid w:val="00955142"/>
    <w:rsid w:val="00955457"/>
    <w:rsid w:val="009579F6"/>
    <w:rsid w:val="00960324"/>
    <w:rsid w:val="00960773"/>
    <w:rsid w:val="009621FE"/>
    <w:rsid w:val="0096694C"/>
    <w:rsid w:val="00966A39"/>
    <w:rsid w:val="0097001E"/>
    <w:rsid w:val="00970092"/>
    <w:rsid w:val="00971EA9"/>
    <w:rsid w:val="009733B9"/>
    <w:rsid w:val="00973596"/>
    <w:rsid w:val="009737E7"/>
    <w:rsid w:val="00973812"/>
    <w:rsid w:val="00976316"/>
    <w:rsid w:val="009767C2"/>
    <w:rsid w:val="00976B8E"/>
    <w:rsid w:val="00976ECB"/>
    <w:rsid w:val="00977060"/>
    <w:rsid w:val="009770B2"/>
    <w:rsid w:val="009779DC"/>
    <w:rsid w:val="00980229"/>
    <w:rsid w:val="00980430"/>
    <w:rsid w:val="00980877"/>
    <w:rsid w:val="00983650"/>
    <w:rsid w:val="009838E6"/>
    <w:rsid w:val="00983CF9"/>
    <w:rsid w:val="00983DAA"/>
    <w:rsid w:val="0098529A"/>
    <w:rsid w:val="009853A3"/>
    <w:rsid w:val="009855B2"/>
    <w:rsid w:val="00985E01"/>
    <w:rsid w:val="00985EFE"/>
    <w:rsid w:val="00986103"/>
    <w:rsid w:val="00986F2C"/>
    <w:rsid w:val="0099067C"/>
    <w:rsid w:val="00990B08"/>
    <w:rsid w:val="00993648"/>
    <w:rsid w:val="00993941"/>
    <w:rsid w:val="00993E76"/>
    <w:rsid w:val="00994427"/>
    <w:rsid w:val="00994A18"/>
    <w:rsid w:val="0099617C"/>
    <w:rsid w:val="00996BCC"/>
    <w:rsid w:val="009A0370"/>
    <w:rsid w:val="009A0944"/>
    <w:rsid w:val="009A104A"/>
    <w:rsid w:val="009A1055"/>
    <w:rsid w:val="009A1E59"/>
    <w:rsid w:val="009A2148"/>
    <w:rsid w:val="009A2B02"/>
    <w:rsid w:val="009A2BF6"/>
    <w:rsid w:val="009A3D01"/>
    <w:rsid w:val="009A4039"/>
    <w:rsid w:val="009A42A9"/>
    <w:rsid w:val="009A46F7"/>
    <w:rsid w:val="009A48CC"/>
    <w:rsid w:val="009A558C"/>
    <w:rsid w:val="009A5789"/>
    <w:rsid w:val="009A5910"/>
    <w:rsid w:val="009A6500"/>
    <w:rsid w:val="009A6D58"/>
    <w:rsid w:val="009B0582"/>
    <w:rsid w:val="009B0CFF"/>
    <w:rsid w:val="009B27F0"/>
    <w:rsid w:val="009B333D"/>
    <w:rsid w:val="009B3ED5"/>
    <w:rsid w:val="009B4146"/>
    <w:rsid w:val="009B602B"/>
    <w:rsid w:val="009B6B58"/>
    <w:rsid w:val="009C012A"/>
    <w:rsid w:val="009C0FB5"/>
    <w:rsid w:val="009C19DA"/>
    <w:rsid w:val="009C26BA"/>
    <w:rsid w:val="009C274D"/>
    <w:rsid w:val="009C2C3D"/>
    <w:rsid w:val="009C365E"/>
    <w:rsid w:val="009C39DB"/>
    <w:rsid w:val="009C5BB3"/>
    <w:rsid w:val="009C5C8A"/>
    <w:rsid w:val="009C5F95"/>
    <w:rsid w:val="009C6340"/>
    <w:rsid w:val="009C6C00"/>
    <w:rsid w:val="009C7304"/>
    <w:rsid w:val="009C7B44"/>
    <w:rsid w:val="009D0A02"/>
    <w:rsid w:val="009D0C1E"/>
    <w:rsid w:val="009D0FD2"/>
    <w:rsid w:val="009D3223"/>
    <w:rsid w:val="009D3534"/>
    <w:rsid w:val="009D3F4C"/>
    <w:rsid w:val="009D4948"/>
    <w:rsid w:val="009D52B3"/>
    <w:rsid w:val="009D56EC"/>
    <w:rsid w:val="009D61C2"/>
    <w:rsid w:val="009D7522"/>
    <w:rsid w:val="009D7832"/>
    <w:rsid w:val="009D78E3"/>
    <w:rsid w:val="009E0463"/>
    <w:rsid w:val="009E067A"/>
    <w:rsid w:val="009E119A"/>
    <w:rsid w:val="009E1361"/>
    <w:rsid w:val="009E1A71"/>
    <w:rsid w:val="009E5AD1"/>
    <w:rsid w:val="009E5CBA"/>
    <w:rsid w:val="009E6002"/>
    <w:rsid w:val="009E6B66"/>
    <w:rsid w:val="009F00B1"/>
    <w:rsid w:val="009F070C"/>
    <w:rsid w:val="009F145C"/>
    <w:rsid w:val="009F2136"/>
    <w:rsid w:val="009F2B08"/>
    <w:rsid w:val="009F2F8A"/>
    <w:rsid w:val="009F3547"/>
    <w:rsid w:val="009F4042"/>
    <w:rsid w:val="009F4304"/>
    <w:rsid w:val="009F5F8E"/>
    <w:rsid w:val="009F7D6B"/>
    <w:rsid w:val="00A0116E"/>
    <w:rsid w:val="00A02170"/>
    <w:rsid w:val="00A03026"/>
    <w:rsid w:val="00A031B8"/>
    <w:rsid w:val="00A038DF"/>
    <w:rsid w:val="00A04BDF"/>
    <w:rsid w:val="00A05532"/>
    <w:rsid w:val="00A064C2"/>
    <w:rsid w:val="00A06A62"/>
    <w:rsid w:val="00A06C05"/>
    <w:rsid w:val="00A0738B"/>
    <w:rsid w:val="00A07742"/>
    <w:rsid w:val="00A07E34"/>
    <w:rsid w:val="00A102AC"/>
    <w:rsid w:val="00A10309"/>
    <w:rsid w:val="00A10390"/>
    <w:rsid w:val="00A10B34"/>
    <w:rsid w:val="00A11711"/>
    <w:rsid w:val="00A12678"/>
    <w:rsid w:val="00A12703"/>
    <w:rsid w:val="00A12FA4"/>
    <w:rsid w:val="00A134AB"/>
    <w:rsid w:val="00A14BAB"/>
    <w:rsid w:val="00A154B7"/>
    <w:rsid w:val="00A16F7A"/>
    <w:rsid w:val="00A1705C"/>
    <w:rsid w:val="00A17553"/>
    <w:rsid w:val="00A20CE2"/>
    <w:rsid w:val="00A2186F"/>
    <w:rsid w:val="00A21873"/>
    <w:rsid w:val="00A21FBE"/>
    <w:rsid w:val="00A231CB"/>
    <w:rsid w:val="00A2352C"/>
    <w:rsid w:val="00A2387C"/>
    <w:rsid w:val="00A23AD1"/>
    <w:rsid w:val="00A253CB"/>
    <w:rsid w:val="00A25DDC"/>
    <w:rsid w:val="00A26092"/>
    <w:rsid w:val="00A2679E"/>
    <w:rsid w:val="00A27AE4"/>
    <w:rsid w:val="00A27B04"/>
    <w:rsid w:val="00A30BA5"/>
    <w:rsid w:val="00A31036"/>
    <w:rsid w:val="00A31AA8"/>
    <w:rsid w:val="00A31B33"/>
    <w:rsid w:val="00A32E27"/>
    <w:rsid w:val="00A32E9A"/>
    <w:rsid w:val="00A3390F"/>
    <w:rsid w:val="00A3518F"/>
    <w:rsid w:val="00A3538B"/>
    <w:rsid w:val="00A35FBB"/>
    <w:rsid w:val="00A373B1"/>
    <w:rsid w:val="00A37737"/>
    <w:rsid w:val="00A424C7"/>
    <w:rsid w:val="00A42B52"/>
    <w:rsid w:val="00A42E0F"/>
    <w:rsid w:val="00A4393F"/>
    <w:rsid w:val="00A44A1C"/>
    <w:rsid w:val="00A45441"/>
    <w:rsid w:val="00A45512"/>
    <w:rsid w:val="00A462F6"/>
    <w:rsid w:val="00A464D3"/>
    <w:rsid w:val="00A474A6"/>
    <w:rsid w:val="00A47A2A"/>
    <w:rsid w:val="00A502EB"/>
    <w:rsid w:val="00A50340"/>
    <w:rsid w:val="00A50B9E"/>
    <w:rsid w:val="00A51304"/>
    <w:rsid w:val="00A516D3"/>
    <w:rsid w:val="00A51FBA"/>
    <w:rsid w:val="00A5227D"/>
    <w:rsid w:val="00A52B87"/>
    <w:rsid w:val="00A52D4F"/>
    <w:rsid w:val="00A52EE3"/>
    <w:rsid w:val="00A53058"/>
    <w:rsid w:val="00A53601"/>
    <w:rsid w:val="00A5373E"/>
    <w:rsid w:val="00A538DA"/>
    <w:rsid w:val="00A53F85"/>
    <w:rsid w:val="00A54182"/>
    <w:rsid w:val="00A54201"/>
    <w:rsid w:val="00A543D3"/>
    <w:rsid w:val="00A54AA4"/>
    <w:rsid w:val="00A550BE"/>
    <w:rsid w:val="00A5665A"/>
    <w:rsid w:val="00A56954"/>
    <w:rsid w:val="00A575B7"/>
    <w:rsid w:val="00A57B50"/>
    <w:rsid w:val="00A610CB"/>
    <w:rsid w:val="00A618A7"/>
    <w:rsid w:val="00A61929"/>
    <w:rsid w:val="00A619F2"/>
    <w:rsid w:val="00A61D5C"/>
    <w:rsid w:val="00A61F1F"/>
    <w:rsid w:val="00A641E0"/>
    <w:rsid w:val="00A646A2"/>
    <w:rsid w:val="00A652A2"/>
    <w:rsid w:val="00A6648E"/>
    <w:rsid w:val="00A668F1"/>
    <w:rsid w:val="00A669F0"/>
    <w:rsid w:val="00A67AC8"/>
    <w:rsid w:val="00A70904"/>
    <w:rsid w:val="00A70D0B"/>
    <w:rsid w:val="00A728E1"/>
    <w:rsid w:val="00A74CB2"/>
    <w:rsid w:val="00A74E28"/>
    <w:rsid w:val="00A750F5"/>
    <w:rsid w:val="00A75226"/>
    <w:rsid w:val="00A76AEC"/>
    <w:rsid w:val="00A77E58"/>
    <w:rsid w:val="00A805F1"/>
    <w:rsid w:val="00A8073F"/>
    <w:rsid w:val="00A81053"/>
    <w:rsid w:val="00A836E2"/>
    <w:rsid w:val="00A83A05"/>
    <w:rsid w:val="00A83FA4"/>
    <w:rsid w:val="00A847B3"/>
    <w:rsid w:val="00A857D6"/>
    <w:rsid w:val="00A858AB"/>
    <w:rsid w:val="00A862EA"/>
    <w:rsid w:val="00A8673D"/>
    <w:rsid w:val="00A87816"/>
    <w:rsid w:val="00A90086"/>
    <w:rsid w:val="00A92014"/>
    <w:rsid w:val="00A92B7C"/>
    <w:rsid w:val="00A933E1"/>
    <w:rsid w:val="00A93C2A"/>
    <w:rsid w:val="00A93C49"/>
    <w:rsid w:val="00A946A2"/>
    <w:rsid w:val="00A965CF"/>
    <w:rsid w:val="00A96708"/>
    <w:rsid w:val="00A977BC"/>
    <w:rsid w:val="00A97B6E"/>
    <w:rsid w:val="00AA0145"/>
    <w:rsid w:val="00AA01F1"/>
    <w:rsid w:val="00AA0273"/>
    <w:rsid w:val="00AA13C8"/>
    <w:rsid w:val="00AA19C5"/>
    <w:rsid w:val="00AA356C"/>
    <w:rsid w:val="00AA39C1"/>
    <w:rsid w:val="00AA49EA"/>
    <w:rsid w:val="00AA5161"/>
    <w:rsid w:val="00AA5773"/>
    <w:rsid w:val="00AA6A7F"/>
    <w:rsid w:val="00AA7211"/>
    <w:rsid w:val="00AB01AD"/>
    <w:rsid w:val="00AB11D8"/>
    <w:rsid w:val="00AB1590"/>
    <w:rsid w:val="00AB1E89"/>
    <w:rsid w:val="00AB2125"/>
    <w:rsid w:val="00AB2CE5"/>
    <w:rsid w:val="00AB3963"/>
    <w:rsid w:val="00AB40AE"/>
    <w:rsid w:val="00AB4D26"/>
    <w:rsid w:val="00AB60C8"/>
    <w:rsid w:val="00AB637B"/>
    <w:rsid w:val="00AB6A76"/>
    <w:rsid w:val="00AB7ADC"/>
    <w:rsid w:val="00AB7C17"/>
    <w:rsid w:val="00AC018B"/>
    <w:rsid w:val="00AC0CF1"/>
    <w:rsid w:val="00AC126F"/>
    <w:rsid w:val="00AC36A6"/>
    <w:rsid w:val="00AC3F24"/>
    <w:rsid w:val="00AC437B"/>
    <w:rsid w:val="00AC519B"/>
    <w:rsid w:val="00AC5373"/>
    <w:rsid w:val="00AC69DD"/>
    <w:rsid w:val="00AC78D8"/>
    <w:rsid w:val="00AD11C8"/>
    <w:rsid w:val="00AD272A"/>
    <w:rsid w:val="00AD2AA0"/>
    <w:rsid w:val="00AD4C45"/>
    <w:rsid w:val="00AD5B25"/>
    <w:rsid w:val="00AD5F9C"/>
    <w:rsid w:val="00AD6134"/>
    <w:rsid w:val="00AD6B58"/>
    <w:rsid w:val="00AD6C31"/>
    <w:rsid w:val="00AD72C6"/>
    <w:rsid w:val="00AD79F0"/>
    <w:rsid w:val="00AE0074"/>
    <w:rsid w:val="00AE06BC"/>
    <w:rsid w:val="00AE2091"/>
    <w:rsid w:val="00AE285D"/>
    <w:rsid w:val="00AE295A"/>
    <w:rsid w:val="00AE2D67"/>
    <w:rsid w:val="00AE3776"/>
    <w:rsid w:val="00AE3A63"/>
    <w:rsid w:val="00AE42D5"/>
    <w:rsid w:val="00AE4671"/>
    <w:rsid w:val="00AE4D19"/>
    <w:rsid w:val="00AE5436"/>
    <w:rsid w:val="00AE5EAD"/>
    <w:rsid w:val="00AE63CF"/>
    <w:rsid w:val="00AE69A9"/>
    <w:rsid w:val="00AE6D15"/>
    <w:rsid w:val="00AE6D62"/>
    <w:rsid w:val="00AE76AB"/>
    <w:rsid w:val="00AE7E78"/>
    <w:rsid w:val="00AF2EA6"/>
    <w:rsid w:val="00AF44A7"/>
    <w:rsid w:val="00AF4B48"/>
    <w:rsid w:val="00AF4BEA"/>
    <w:rsid w:val="00AF4F9B"/>
    <w:rsid w:val="00AF617B"/>
    <w:rsid w:val="00AF68F2"/>
    <w:rsid w:val="00AF7657"/>
    <w:rsid w:val="00AF7D68"/>
    <w:rsid w:val="00AF7F57"/>
    <w:rsid w:val="00AF7FF6"/>
    <w:rsid w:val="00B00353"/>
    <w:rsid w:val="00B0060C"/>
    <w:rsid w:val="00B007DD"/>
    <w:rsid w:val="00B00AE1"/>
    <w:rsid w:val="00B0273E"/>
    <w:rsid w:val="00B028DD"/>
    <w:rsid w:val="00B0305C"/>
    <w:rsid w:val="00B052F4"/>
    <w:rsid w:val="00B05E81"/>
    <w:rsid w:val="00B06F78"/>
    <w:rsid w:val="00B0773C"/>
    <w:rsid w:val="00B10CB0"/>
    <w:rsid w:val="00B10E3A"/>
    <w:rsid w:val="00B111D6"/>
    <w:rsid w:val="00B12526"/>
    <w:rsid w:val="00B130B3"/>
    <w:rsid w:val="00B13C3D"/>
    <w:rsid w:val="00B13FD4"/>
    <w:rsid w:val="00B143AD"/>
    <w:rsid w:val="00B148E5"/>
    <w:rsid w:val="00B14A31"/>
    <w:rsid w:val="00B14C7F"/>
    <w:rsid w:val="00B14F3A"/>
    <w:rsid w:val="00B1525B"/>
    <w:rsid w:val="00B156C5"/>
    <w:rsid w:val="00B1603C"/>
    <w:rsid w:val="00B163CB"/>
    <w:rsid w:val="00B167D5"/>
    <w:rsid w:val="00B17531"/>
    <w:rsid w:val="00B17985"/>
    <w:rsid w:val="00B20B37"/>
    <w:rsid w:val="00B20D6B"/>
    <w:rsid w:val="00B21C2E"/>
    <w:rsid w:val="00B21C67"/>
    <w:rsid w:val="00B21EAB"/>
    <w:rsid w:val="00B22CA0"/>
    <w:rsid w:val="00B233E2"/>
    <w:rsid w:val="00B248E0"/>
    <w:rsid w:val="00B25444"/>
    <w:rsid w:val="00B25F3D"/>
    <w:rsid w:val="00B25FD5"/>
    <w:rsid w:val="00B260E0"/>
    <w:rsid w:val="00B26167"/>
    <w:rsid w:val="00B261B6"/>
    <w:rsid w:val="00B26433"/>
    <w:rsid w:val="00B26A1C"/>
    <w:rsid w:val="00B2750C"/>
    <w:rsid w:val="00B27564"/>
    <w:rsid w:val="00B31230"/>
    <w:rsid w:val="00B3324D"/>
    <w:rsid w:val="00B33760"/>
    <w:rsid w:val="00B33799"/>
    <w:rsid w:val="00B34288"/>
    <w:rsid w:val="00B3523D"/>
    <w:rsid w:val="00B37A93"/>
    <w:rsid w:val="00B37F57"/>
    <w:rsid w:val="00B4003D"/>
    <w:rsid w:val="00B41267"/>
    <w:rsid w:val="00B4137E"/>
    <w:rsid w:val="00B4223F"/>
    <w:rsid w:val="00B422AE"/>
    <w:rsid w:val="00B43023"/>
    <w:rsid w:val="00B434FD"/>
    <w:rsid w:val="00B43818"/>
    <w:rsid w:val="00B442DB"/>
    <w:rsid w:val="00B44E3F"/>
    <w:rsid w:val="00B4593B"/>
    <w:rsid w:val="00B45A9F"/>
    <w:rsid w:val="00B45B6F"/>
    <w:rsid w:val="00B460C7"/>
    <w:rsid w:val="00B4618C"/>
    <w:rsid w:val="00B46198"/>
    <w:rsid w:val="00B467ED"/>
    <w:rsid w:val="00B478F4"/>
    <w:rsid w:val="00B50A70"/>
    <w:rsid w:val="00B50DA5"/>
    <w:rsid w:val="00B510FB"/>
    <w:rsid w:val="00B517ED"/>
    <w:rsid w:val="00B5218B"/>
    <w:rsid w:val="00B523EE"/>
    <w:rsid w:val="00B528E8"/>
    <w:rsid w:val="00B52C20"/>
    <w:rsid w:val="00B54D19"/>
    <w:rsid w:val="00B54F91"/>
    <w:rsid w:val="00B54FB5"/>
    <w:rsid w:val="00B55310"/>
    <w:rsid w:val="00B557CC"/>
    <w:rsid w:val="00B55879"/>
    <w:rsid w:val="00B55D7F"/>
    <w:rsid w:val="00B61B56"/>
    <w:rsid w:val="00B61CFE"/>
    <w:rsid w:val="00B61D2B"/>
    <w:rsid w:val="00B63074"/>
    <w:rsid w:val="00B633E8"/>
    <w:rsid w:val="00B65545"/>
    <w:rsid w:val="00B655A6"/>
    <w:rsid w:val="00B658C3"/>
    <w:rsid w:val="00B66197"/>
    <w:rsid w:val="00B665D3"/>
    <w:rsid w:val="00B66E07"/>
    <w:rsid w:val="00B67B24"/>
    <w:rsid w:val="00B707E1"/>
    <w:rsid w:val="00B7408C"/>
    <w:rsid w:val="00B74738"/>
    <w:rsid w:val="00B750B9"/>
    <w:rsid w:val="00B75E68"/>
    <w:rsid w:val="00B77513"/>
    <w:rsid w:val="00B7771A"/>
    <w:rsid w:val="00B7799D"/>
    <w:rsid w:val="00B77AEF"/>
    <w:rsid w:val="00B81228"/>
    <w:rsid w:val="00B824BD"/>
    <w:rsid w:val="00B82761"/>
    <w:rsid w:val="00B83769"/>
    <w:rsid w:val="00B83894"/>
    <w:rsid w:val="00B83D95"/>
    <w:rsid w:val="00B84478"/>
    <w:rsid w:val="00B847CA"/>
    <w:rsid w:val="00B84E1B"/>
    <w:rsid w:val="00B858BB"/>
    <w:rsid w:val="00B86114"/>
    <w:rsid w:val="00B8663C"/>
    <w:rsid w:val="00B869AE"/>
    <w:rsid w:val="00B8751A"/>
    <w:rsid w:val="00B906FF"/>
    <w:rsid w:val="00B90A7A"/>
    <w:rsid w:val="00B90E18"/>
    <w:rsid w:val="00B916FB"/>
    <w:rsid w:val="00B93C55"/>
    <w:rsid w:val="00B9441D"/>
    <w:rsid w:val="00B94FA3"/>
    <w:rsid w:val="00B95270"/>
    <w:rsid w:val="00B95D23"/>
    <w:rsid w:val="00B96965"/>
    <w:rsid w:val="00B96C26"/>
    <w:rsid w:val="00B96D9C"/>
    <w:rsid w:val="00BA0F23"/>
    <w:rsid w:val="00BA12F7"/>
    <w:rsid w:val="00BA19BC"/>
    <w:rsid w:val="00BA1CB0"/>
    <w:rsid w:val="00BA28F9"/>
    <w:rsid w:val="00BA3141"/>
    <w:rsid w:val="00BA3311"/>
    <w:rsid w:val="00BA41EF"/>
    <w:rsid w:val="00BA5BB6"/>
    <w:rsid w:val="00BA5D9A"/>
    <w:rsid w:val="00BA7AEC"/>
    <w:rsid w:val="00BA7E93"/>
    <w:rsid w:val="00BB0A73"/>
    <w:rsid w:val="00BB19BA"/>
    <w:rsid w:val="00BB2D8D"/>
    <w:rsid w:val="00BB2E18"/>
    <w:rsid w:val="00BB3EBE"/>
    <w:rsid w:val="00BB5A6A"/>
    <w:rsid w:val="00BB7D8A"/>
    <w:rsid w:val="00BB7E8D"/>
    <w:rsid w:val="00BC0720"/>
    <w:rsid w:val="00BC1B67"/>
    <w:rsid w:val="00BC1C86"/>
    <w:rsid w:val="00BC1DC7"/>
    <w:rsid w:val="00BC2783"/>
    <w:rsid w:val="00BC3627"/>
    <w:rsid w:val="00BC3B37"/>
    <w:rsid w:val="00BC6E12"/>
    <w:rsid w:val="00BC7372"/>
    <w:rsid w:val="00BC74B9"/>
    <w:rsid w:val="00BD017D"/>
    <w:rsid w:val="00BD064B"/>
    <w:rsid w:val="00BD11B3"/>
    <w:rsid w:val="00BD19B2"/>
    <w:rsid w:val="00BD1F9D"/>
    <w:rsid w:val="00BD27F7"/>
    <w:rsid w:val="00BD38E1"/>
    <w:rsid w:val="00BD4097"/>
    <w:rsid w:val="00BD4D13"/>
    <w:rsid w:val="00BD4D7D"/>
    <w:rsid w:val="00BD5F03"/>
    <w:rsid w:val="00BD6018"/>
    <w:rsid w:val="00BD717D"/>
    <w:rsid w:val="00BD7819"/>
    <w:rsid w:val="00BD78BA"/>
    <w:rsid w:val="00BD78DD"/>
    <w:rsid w:val="00BE0B12"/>
    <w:rsid w:val="00BE162B"/>
    <w:rsid w:val="00BE1B61"/>
    <w:rsid w:val="00BE24B4"/>
    <w:rsid w:val="00BE27EA"/>
    <w:rsid w:val="00BE34C7"/>
    <w:rsid w:val="00BE37A5"/>
    <w:rsid w:val="00BE3873"/>
    <w:rsid w:val="00BE38CB"/>
    <w:rsid w:val="00BE529A"/>
    <w:rsid w:val="00BE5419"/>
    <w:rsid w:val="00BE70CE"/>
    <w:rsid w:val="00BE75DD"/>
    <w:rsid w:val="00BE7A19"/>
    <w:rsid w:val="00BE7ADD"/>
    <w:rsid w:val="00BF0034"/>
    <w:rsid w:val="00BF0DA6"/>
    <w:rsid w:val="00BF183E"/>
    <w:rsid w:val="00BF1912"/>
    <w:rsid w:val="00BF1C2E"/>
    <w:rsid w:val="00BF2E2D"/>
    <w:rsid w:val="00BF3636"/>
    <w:rsid w:val="00BF3955"/>
    <w:rsid w:val="00BF4924"/>
    <w:rsid w:val="00BF4CEC"/>
    <w:rsid w:val="00BF5447"/>
    <w:rsid w:val="00BF5940"/>
    <w:rsid w:val="00BF6AEA"/>
    <w:rsid w:val="00BF733F"/>
    <w:rsid w:val="00BF7B4D"/>
    <w:rsid w:val="00C00016"/>
    <w:rsid w:val="00C0002C"/>
    <w:rsid w:val="00C00235"/>
    <w:rsid w:val="00C00B27"/>
    <w:rsid w:val="00C015E2"/>
    <w:rsid w:val="00C0237C"/>
    <w:rsid w:val="00C024EB"/>
    <w:rsid w:val="00C02B18"/>
    <w:rsid w:val="00C033CD"/>
    <w:rsid w:val="00C03A8E"/>
    <w:rsid w:val="00C06258"/>
    <w:rsid w:val="00C07171"/>
    <w:rsid w:val="00C1108A"/>
    <w:rsid w:val="00C12095"/>
    <w:rsid w:val="00C129C2"/>
    <w:rsid w:val="00C12B60"/>
    <w:rsid w:val="00C12E58"/>
    <w:rsid w:val="00C12EAB"/>
    <w:rsid w:val="00C13906"/>
    <w:rsid w:val="00C154C3"/>
    <w:rsid w:val="00C15575"/>
    <w:rsid w:val="00C15C6E"/>
    <w:rsid w:val="00C2147A"/>
    <w:rsid w:val="00C232C7"/>
    <w:rsid w:val="00C2330C"/>
    <w:rsid w:val="00C234FF"/>
    <w:rsid w:val="00C23759"/>
    <w:rsid w:val="00C24361"/>
    <w:rsid w:val="00C24F3B"/>
    <w:rsid w:val="00C258E9"/>
    <w:rsid w:val="00C261B5"/>
    <w:rsid w:val="00C2650A"/>
    <w:rsid w:val="00C26F77"/>
    <w:rsid w:val="00C27278"/>
    <w:rsid w:val="00C27652"/>
    <w:rsid w:val="00C306AE"/>
    <w:rsid w:val="00C30F94"/>
    <w:rsid w:val="00C32361"/>
    <w:rsid w:val="00C325A0"/>
    <w:rsid w:val="00C32A6B"/>
    <w:rsid w:val="00C32F5D"/>
    <w:rsid w:val="00C342B8"/>
    <w:rsid w:val="00C34E0C"/>
    <w:rsid w:val="00C364FA"/>
    <w:rsid w:val="00C379BE"/>
    <w:rsid w:val="00C37DE0"/>
    <w:rsid w:val="00C37FAA"/>
    <w:rsid w:val="00C405B7"/>
    <w:rsid w:val="00C40B6B"/>
    <w:rsid w:val="00C40C9F"/>
    <w:rsid w:val="00C41AB1"/>
    <w:rsid w:val="00C41F87"/>
    <w:rsid w:val="00C44433"/>
    <w:rsid w:val="00C4551C"/>
    <w:rsid w:val="00C45B13"/>
    <w:rsid w:val="00C45DD1"/>
    <w:rsid w:val="00C46762"/>
    <w:rsid w:val="00C47622"/>
    <w:rsid w:val="00C50DF8"/>
    <w:rsid w:val="00C51141"/>
    <w:rsid w:val="00C51ABA"/>
    <w:rsid w:val="00C51C66"/>
    <w:rsid w:val="00C51FFF"/>
    <w:rsid w:val="00C537C2"/>
    <w:rsid w:val="00C53A00"/>
    <w:rsid w:val="00C54057"/>
    <w:rsid w:val="00C54A40"/>
    <w:rsid w:val="00C555D2"/>
    <w:rsid w:val="00C60347"/>
    <w:rsid w:val="00C60C9B"/>
    <w:rsid w:val="00C61199"/>
    <w:rsid w:val="00C617C6"/>
    <w:rsid w:val="00C61CAA"/>
    <w:rsid w:val="00C624A9"/>
    <w:rsid w:val="00C63DFB"/>
    <w:rsid w:val="00C63F5D"/>
    <w:rsid w:val="00C64DBD"/>
    <w:rsid w:val="00C65723"/>
    <w:rsid w:val="00C65FDA"/>
    <w:rsid w:val="00C663F5"/>
    <w:rsid w:val="00C66A15"/>
    <w:rsid w:val="00C67E14"/>
    <w:rsid w:val="00C708B1"/>
    <w:rsid w:val="00C710F4"/>
    <w:rsid w:val="00C7181B"/>
    <w:rsid w:val="00C71DD4"/>
    <w:rsid w:val="00C722A2"/>
    <w:rsid w:val="00C72804"/>
    <w:rsid w:val="00C728CB"/>
    <w:rsid w:val="00C7532D"/>
    <w:rsid w:val="00C761B5"/>
    <w:rsid w:val="00C77467"/>
    <w:rsid w:val="00C801F8"/>
    <w:rsid w:val="00C80788"/>
    <w:rsid w:val="00C825A3"/>
    <w:rsid w:val="00C8296C"/>
    <w:rsid w:val="00C83440"/>
    <w:rsid w:val="00C83E7E"/>
    <w:rsid w:val="00C84166"/>
    <w:rsid w:val="00C84375"/>
    <w:rsid w:val="00C845DB"/>
    <w:rsid w:val="00C85B3D"/>
    <w:rsid w:val="00C8727C"/>
    <w:rsid w:val="00C87575"/>
    <w:rsid w:val="00C878DB"/>
    <w:rsid w:val="00C915BC"/>
    <w:rsid w:val="00C929A5"/>
    <w:rsid w:val="00C93C83"/>
    <w:rsid w:val="00C946FA"/>
    <w:rsid w:val="00C94926"/>
    <w:rsid w:val="00C958C8"/>
    <w:rsid w:val="00C95A86"/>
    <w:rsid w:val="00C963EA"/>
    <w:rsid w:val="00C96E52"/>
    <w:rsid w:val="00C97210"/>
    <w:rsid w:val="00C97F10"/>
    <w:rsid w:val="00CA06CC"/>
    <w:rsid w:val="00CA14F9"/>
    <w:rsid w:val="00CA1595"/>
    <w:rsid w:val="00CA21D4"/>
    <w:rsid w:val="00CA2767"/>
    <w:rsid w:val="00CA2CEE"/>
    <w:rsid w:val="00CA2FED"/>
    <w:rsid w:val="00CA309F"/>
    <w:rsid w:val="00CA40C2"/>
    <w:rsid w:val="00CA4CC0"/>
    <w:rsid w:val="00CA5CF1"/>
    <w:rsid w:val="00CB004F"/>
    <w:rsid w:val="00CB0735"/>
    <w:rsid w:val="00CB097E"/>
    <w:rsid w:val="00CB16B9"/>
    <w:rsid w:val="00CB2CF3"/>
    <w:rsid w:val="00CB2FAA"/>
    <w:rsid w:val="00CB3033"/>
    <w:rsid w:val="00CB3CEF"/>
    <w:rsid w:val="00CB4248"/>
    <w:rsid w:val="00CB45D2"/>
    <w:rsid w:val="00CB5C45"/>
    <w:rsid w:val="00CB5EC8"/>
    <w:rsid w:val="00CB757C"/>
    <w:rsid w:val="00CB7D97"/>
    <w:rsid w:val="00CC0205"/>
    <w:rsid w:val="00CC0565"/>
    <w:rsid w:val="00CC0D7D"/>
    <w:rsid w:val="00CC1458"/>
    <w:rsid w:val="00CC2C73"/>
    <w:rsid w:val="00CC3ADB"/>
    <w:rsid w:val="00CC3BF1"/>
    <w:rsid w:val="00CC3C98"/>
    <w:rsid w:val="00CC5BB1"/>
    <w:rsid w:val="00CC64C8"/>
    <w:rsid w:val="00CC6C40"/>
    <w:rsid w:val="00CC79D7"/>
    <w:rsid w:val="00CD0287"/>
    <w:rsid w:val="00CD0D2F"/>
    <w:rsid w:val="00CD0E0B"/>
    <w:rsid w:val="00CD13DF"/>
    <w:rsid w:val="00CD325D"/>
    <w:rsid w:val="00CD4323"/>
    <w:rsid w:val="00CD4818"/>
    <w:rsid w:val="00CD49B3"/>
    <w:rsid w:val="00CD52F9"/>
    <w:rsid w:val="00CD5924"/>
    <w:rsid w:val="00CD66AB"/>
    <w:rsid w:val="00CD67B4"/>
    <w:rsid w:val="00CD6EF2"/>
    <w:rsid w:val="00CD6FA5"/>
    <w:rsid w:val="00CD72CB"/>
    <w:rsid w:val="00CD74ED"/>
    <w:rsid w:val="00CD7763"/>
    <w:rsid w:val="00CE0D36"/>
    <w:rsid w:val="00CE154B"/>
    <w:rsid w:val="00CE2920"/>
    <w:rsid w:val="00CE2DEE"/>
    <w:rsid w:val="00CE3B6A"/>
    <w:rsid w:val="00CE446F"/>
    <w:rsid w:val="00CE464D"/>
    <w:rsid w:val="00CE47A5"/>
    <w:rsid w:val="00CE4E47"/>
    <w:rsid w:val="00CE5BC9"/>
    <w:rsid w:val="00CE5D01"/>
    <w:rsid w:val="00CE5E66"/>
    <w:rsid w:val="00CE6608"/>
    <w:rsid w:val="00CE73C8"/>
    <w:rsid w:val="00CE7BA6"/>
    <w:rsid w:val="00CE7D81"/>
    <w:rsid w:val="00CF0D84"/>
    <w:rsid w:val="00CF0F38"/>
    <w:rsid w:val="00CF2EB1"/>
    <w:rsid w:val="00CF370E"/>
    <w:rsid w:val="00CF3C02"/>
    <w:rsid w:val="00CF41BC"/>
    <w:rsid w:val="00CF42C8"/>
    <w:rsid w:val="00CF4382"/>
    <w:rsid w:val="00CF5101"/>
    <w:rsid w:val="00CF52B3"/>
    <w:rsid w:val="00CF6A67"/>
    <w:rsid w:val="00CF6C09"/>
    <w:rsid w:val="00CF71C4"/>
    <w:rsid w:val="00CF75D4"/>
    <w:rsid w:val="00D008F7"/>
    <w:rsid w:val="00D018DB"/>
    <w:rsid w:val="00D01EEF"/>
    <w:rsid w:val="00D02298"/>
    <w:rsid w:val="00D036C4"/>
    <w:rsid w:val="00D037FF"/>
    <w:rsid w:val="00D03F5C"/>
    <w:rsid w:val="00D03FC6"/>
    <w:rsid w:val="00D07B22"/>
    <w:rsid w:val="00D10948"/>
    <w:rsid w:val="00D10C48"/>
    <w:rsid w:val="00D12753"/>
    <w:rsid w:val="00D13C01"/>
    <w:rsid w:val="00D14631"/>
    <w:rsid w:val="00D14BA8"/>
    <w:rsid w:val="00D15BF3"/>
    <w:rsid w:val="00D1631F"/>
    <w:rsid w:val="00D16AB6"/>
    <w:rsid w:val="00D16E3A"/>
    <w:rsid w:val="00D16EA3"/>
    <w:rsid w:val="00D17D3F"/>
    <w:rsid w:val="00D200D0"/>
    <w:rsid w:val="00D20530"/>
    <w:rsid w:val="00D22A5A"/>
    <w:rsid w:val="00D230AB"/>
    <w:rsid w:val="00D232B2"/>
    <w:rsid w:val="00D2379E"/>
    <w:rsid w:val="00D23EC1"/>
    <w:rsid w:val="00D245E6"/>
    <w:rsid w:val="00D24F8D"/>
    <w:rsid w:val="00D24FDC"/>
    <w:rsid w:val="00D26099"/>
    <w:rsid w:val="00D267D8"/>
    <w:rsid w:val="00D269A0"/>
    <w:rsid w:val="00D26E6C"/>
    <w:rsid w:val="00D27371"/>
    <w:rsid w:val="00D31A79"/>
    <w:rsid w:val="00D32000"/>
    <w:rsid w:val="00D32007"/>
    <w:rsid w:val="00D32B75"/>
    <w:rsid w:val="00D32EDA"/>
    <w:rsid w:val="00D33098"/>
    <w:rsid w:val="00D33CFA"/>
    <w:rsid w:val="00D34E7F"/>
    <w:rsid w:val="00D35893"/>
    <w:rsid w:val="00D37039"/>
    <w:rsid w:val="00D37533"/>
    <w:rsid w:val="00D37629"/>
    <w:rsid w:val="00D37797"/>
    <w:rsid w:val="00D40985"/>
    <w:rsid w:val="00D41566"/>
    <w:rsid w:val="00D4156B"/>
    <w:rsid w:val="00D42B37"/>
    <w:rsid w:val="00D432F0"/>
    <w:rsid w:val="00D44423"/>
    <w:rsid w:val="00D4468A"/>
    <w:rsid w:val="00D451B5"/>
    <w:rsid w:val="00D456F6"/>
    <w:rsid w:val="00D47FF6"/>
    <w:rsid w:val="00D5087D"/>
    <w:rsid w:val="00D50E94"/>
    <w:rsid w:val="00D51166"/>
    <w:rsid w:val="00D52291"/>
    <w:rsid w:val="00D52903"/>
    <w:rsid w:val="00D52924"/>
    <w:rsid w:val="00D529BE"/>
    <w:rsid w:val="00D52CAD"/>
    <w:rsid w:val="00D55764"/>
    <w:rsid w:val="00D562D2"/>
    <w:rsid w:val="00D56819"/>
    <w:rsid w:val="00D569E0"/>
    <w:rsid w:val="00D57C63"/>
    <w:rsid w:val="00D6217D"/>
    <w:rsid w:val="00D624ED"/>
    <w:rsid w:val="00D64169"/>
    <w:rsid w:val="00D646F8"/>
    <w:rsid w:val="00D64852"/>
    <w:rsid w:val="00D6756B"/>
    <w:rsid w:val="00D6762A"/>
    <w:rsid w:val="00D67A1C"/>
    <w:rsid w:val="00D7081B"/>
    <w:rsid w:val="00D70F70"/>
    <w:rsid w:val="00D71B28"/>
    <w:rsid w:val="00D72F49"/>
    <w:rsid w:val="00D75DD3"/>
    <w:rsid w:val="00D76879"/>
    <w:rsid w:val="00D76911"/>
    <w:rsid w:val="00D77CBE"/>
    <w:rsid w:val="00D800B3"/>
    <w:rsid w:val="00D804F3"/>
    <w:rsid w:val="00D80A27"/>
    <w:rsid w:val="00D80B1E"/>
    <w:rsid w:val="00D80F6F"/>
    <w:rsid w:val="00D81A46"/>
    <w:rsid w:val="00D81FEF"/>
    <w:rsid w:val="00D820C0"/>
    <w:rsid w:val="00D82237"/>
    <w:rsid w:val="00D83C0D"/>
    <w:rsid w:val="00D8414A"/>
    <w:rsid w:val="00D844D4"/>
    <w:rsid w:val="00D85769"/>
    <w:rsid w:val="00D85A44"/>
    <w:rsid w:val="00D86753"/>
    <w:rsid w:val="00D86F65"/>
    <w:rsid w:val="00D870E0"/>
    <w:rsid w:val="00D87AB8"/>
    <w:rsid w:val="00D90054"/>
    <w:rsid w:val="00D90063"/>
    <w:rsid w:val="00D90B6B"/>
    <w:rsid w:val="00D90C0E"/>
    <w:rsid w:val="00D9162D"/>
    <w:rsid w:val="00D91BFF"/>
    <w:rsid w:val="00D928D5"/>
    <w:rsid w:val="00D92D26"/>
    <w:rsid w:val="00D93025"/>
    <w:rsid w:val="00D93253"/>
    <w:rsid w:val="00D93658"/>
    <w:rsid w:val="00D94356"/>
    <w:rsid w:val="00D96C8D"/>
    <w:rsid w:val="00D973E2"/>
    <w:rsid w:val="00D97413"/>
    <w:rsid w:val="00D97FA5"/>
    <w:rsid w:val="00DA058C"/>
    <w:rsid w:val="00DA0F2A"/>
    <w:rsid w:val="00DA17FE"/>
    <w:rsid w:val="00DA18BB"/>
    <w:rsid w:val="00DA1E44"/>
    <w:rsid w:val="00DA2D6C"/>
    <w:rsid w:val="00DA3B07"/>
    <w:rsid w:val="00DA4293"/>
    <w:rsid w:val="00DA5818"/>
    <w:rsid w:val="00DA660C"/>
    <w:rsid w:val="00DA6E78"/>
    <w:rsid w:val="00DA7CA7"/>
    <w:rsid w:val="00DB047B"/>
    <w:rsid w:val="00DB05B1"/>
    <w:rsid w:val="00DB217C"/>
    <w:rsid w:val="00DB3B24"/>
    <w:rsid w:val="00DB4033"/>
    <w:rsid w:val="00DB7C32"/>
    <w:rsid w:val="00DC0236"/>
    <w:rsid w:val="00DC1021"/>
    <w:rsid w:val="00DC10B7"/>
    <w:rsid w:val="00DC11DB"/>
    <w:rsid w:val="00DC1390"/>
    <w:rsid w:val="00DC19DD"/>
    <w:rsid w:val="00DC1AB3"/>
    <w:rsid w:val="00DC1E14"/>
    <w:rsid w:val="00DC2A59"/>
    <w:rsid w:val="00DC3039"/>
    <w:rsid w:val="00DC337D"/>
    <w:rsid w:val="00DC38EF"/>
    <w:rsid w:val="00DC3C73"/>
    <w:rsid w:val="00DC45D3"/>
    <w:rsid w:val="00DC48A4"/>
    <w:rsid w:val="00DC58AC"/>
    <w:rsid w:val="00DC7DB0"/>
    <w:rsid w:val="00DD0494"/>
    <w:rsid w:val="00DD06B6"/>
    <w:rsid w:val="00DD0A09"/>
    <w:rsid w:val="00DD2ECE"/>
    <w:rsid w:val="00DD2FA0"/>
    <w:rsid w:val="00DD332E"/>
    <w:rsid w:val="00DD3C8C"/>
    <w:rsid w:val="00DD40AB"/>
    <w:rsid w:val="00DD4515"/>
    <w:rsid w:val="00DD4770"/>
    <w:rsid w:val="00DD4CC0"/>
    <w:rsid w:val="00DD4E41"/>
    <w:rsid w:val="00DD4EA9"/>
    <w:rsid w:val="00DD5130"/>
    <w:rsid w:val="00DD5DE9"/>
    <w:rsid w:val="00DE037C"/>
    <w:rsid w:val="00DE09B1"/>
    <w:rsid w:val="00DE0B85"/>
    <w:rsid w:val="00DE1C53"/>
    <w:rsid w:val="00DE1CA1"/>
    <w:rsid w:val="00DE1E0B"/>
    <w:rsid w:val="00DE2520"/>
    <w:rsid w:val="00DE3392"/>
    <w:rsid w:val="00DE42A5"/>
    <w:rsid w:val="00DE5332"/>
    <w:rsid w:val="00DE799D"/>
    <w:rsid w:val="00DF085A"/>
    <w:rsid w:val="00DF0B34"/>
    <w:rsid w:val="00DF15B6"/>
    <w:rsid w:val="00DF15C1"/>
    <w:rsid w:val="00DF1C61"/>
    <w:rsid w:val="00DF300A"/>
    <w:rsid w:val="00DF33A2"/>
    <w:rsid w:val="00DF44C3"/>
    <w:rsid w:val="00DF601C"/>
    <w:rsid w:val="00DF613F"/>
    <w:rsid w:val="00DF7B59"/>
    <w:rsid w:val="00DF7D50"/>
    <w:rsid w:val="00E009CE"/>
    <w:rsid w:val="00E00C55"/>
    <w:rsid w:val="00E00DAE"/>
    <w:rsid w:val="00E024DA"/>
    <w:rsid w:val="00E02F1F"/>
    <w:rsid w:val="00E030DE"/>
    <w:rsid w:val="00E03CE6"/>
    <w:rsid w:val="00E042B5"/>
    <w:rsid w:val="00E05BF0"/>
    <w:rsid w:val="00E069E2"/>
    <w:rsid w:val="00E100DD"/>
    <w:rsid w:val="00E10AE7"/>
    <w:rsid w:val="00E11655"/>
    <w:rsid w:val="00E11CA7"/>
    <w:rsid w:val="00E125BE"/>
    <w:rsid w:val="00E12AF9"/>
    <w:rsid w:val="00E12D3F"/>
    <w:rsid w:val="00E13810"/>
    <w:rsid w:val="00E13BB9"/>
    <w:rsid w:val="00E14252"/>
    <w:rsid w:val="00E15ED3"/>
    <w:rsid w:val="00E1792D"/>
    <w:rsid w:val="00E17B60"/>
    <w:rsid w:val="00E204D9"/>
    <w:rsid w:val="00E22F7E"/>
    <w:rsid w:val="00E2479F"/>
    <w:rsid w:val="00E247F5"/>
    <w:rsid w:val="00E271E2"/>
    <w:rsid w:val="00E27BDE"/>
    <w:rsid w:val="00E31FDC"/>
    <w:rsid w:val="00E33234"/>
    <w:rsid w:val="00E33953"/>
    <w:rsid w:val="00E33CD8"/>
    <w:rsid w:val="00E340F2"/>
    <w:rsid w:val="00E34DE0"/>
    <w:rsid w:val="00E35164"/>
    <w:rsid w:val="00E35C5C"/>
    <w:rsid w:val="00E36330"/>
    <w:rsid w:val="00E36B5F"/>
    <w:rsid w:val="00E418B1"/>
    <w:rsid w:val="00E41A59"/>
    <w:rsid w:val="00E423DF"/>
    <w:rsid w:val="00E427EE"/>
    <w:rsid w:val="00E449FF"/>
    <w:rsid w:val="00E45AC8"/>
    <w:rsid w:val="00E45B53"/>
    <w:rsid w:val="00E46A00"/>
    <w:rsid w:val="00E47AD0"/>
    <w:rsid w:val="00E50BA4"/>
    <w:rsid w:val="00E51D1A"/>
    <w:rsid w:val="00E5221B"/>
    <w:rsid w:val="00E531AA"/>
    <w:rsid w:val="00E53430"/>
    <w:rsid w:val="00E535CE"/>
    <w:rsid w:val="00E53A31"/>
    <w:rsid w:val="00E54218"/>
    <w:rsid w:val="00E558A4"/>
    <w:rsid w:val="00E56089"/>
    <w:rsid w:val="00E562F5"/>
    <w:rsid w:val="00E6046F"/>
    <w:rsid w:val="00E61813"/>
    <w:rsid w:val="00E62449"/>
    <w:rsid w:val="00E65BFD"/>
    <w:rsid w:val="00E6667E"/>
    <w:rsid w:val="00E669B7"/>
    <w:rsid w:val="00E66A78"/>
    <w:rsid w:val="00E6715B"/>
    <w:rsid w:val="00E672D8"/>
    <w:rsid w:val="00E7122D"/>
    <w:rsid w:val="00E7230C"/>
    <w:rsid w:val="00E72763"/>
    <w:rsid w:val="00E72B66"/>
    <w:rsid w:val="00E7345A"/>
    <w:rsid w:val="00E7427D"/>
    <w:rsid w:val="00E7505C"/>
    <w:rsid w:val="00E75C02"/>
    <w:rsid w:val="00E76FC1"/>
    <w:rsid w:val="00E772D2"/>
    <w:rsid w:val="00E7769C"/>
    <w:rsid w:val="00E801C0"/>
    <w:rsid w:val="00E805D2"/>
    <w:rsid w:val="00E80D44"/>
    <w:rsid w:val="00E825EC"/>
    <w:rsid w:val="00E82E9A"/>
    <w:rsid w:val="00E842E7"/>
    <w:rsid w:val="00E8633A"/>
    <w:rsid w:val="00E86D46"/>
    <w:rsid w:val="00E87210"/>
    <w:rsid w:val="00E874AE"/>
    <w:rsid w:val="00E87A8F"/>
    <w:rsid w:val="00E87B35"/>
    <w:rsid w:val="00E87B52"/>
    <w:rsid w:val="00E87DC2"/>
    <w:rsid w:val="00E91860"/>
    <w:rsid w:val="00E9207F"/>
    <w:rsid w:val="00E920E6"/>
    <w:rsid w:val="00E929B5"/>
    <w:rsid w:val="00E93AF0"/>
    <w:rsid w:val="00E94067"/>
    <w:rsid w:val="00E9499D"/>
    <w:rsid w:val="00E957BC"/>
    <w:rsid w:val="00E962C7"/>
    <w:rsid w:val="00E9675C"/>
    <w:rsid w:val="00E96CAB"/>
    <w:rsid w:val="00EA0F17"/>
    <w:rsid w:val="00EA122E"/>
    <w:rsid w:val="00EA214D"/>
    <w:rsid w:val="00EA244A"/>
    <w:rsid w:val="00EA26EB"/>
    <w:rsid w:val="00EA2CF1"/>
    <w:rsid w:val="00EA3BA6"/>
    <w:rsid w:val="00EA3CEA"/>
    <w:rsid w:val="00EA517B"/>
    <w:rsid w:val="00EA5DEE"/>
    <w:rsid w:val="00EA694E"/>
    <w:rsid w:val="00EA779E"/>
    <w:rsid w:val="00EA7EEE"/>
    <w:rsid w:val="00EA7F56"/>
    <w:rsid w:val="00EB108C"/>
    <w:rsid w:val="00EB10E4"/>
    <w:rsid w:val="00EB1B6D"/>
    <w:rsid w:val="00EB2738"/>
    <w:rsid w:val="00EB34A6"/>
    <w:rsid w:val="00EB3583"/>
    <w:rsid w:val="00EB3B00"/>
    <w:rsid w:val="00EB3EF8"/>
    <w:rsid w:val="00EB429F"/>
    <w:rsid w:val="00EB59CA"/>
    <w:rsid w:val="00EB6516"/>
    <w:rsid w:val="00EB6C27"/>
    <w:rsid w:val="00EB6E54"/>
    <w:rsid w:val="00EC06C9"/>
    <w:rsid w:val="00EC0BFC"/>
    <w:rsid w:val="00EC1095"/>
    <w:rsid w:val="00EC1124"/>
    <w:rsid w:val="00EC1424"/>
    <w:rsid w:val="00EC1813"/>
    <w:rsid w:val="00EC2944"/>
    <w:rsid w:val="00EC2C81"/>
    <w:rsid w:val="00EC2DD9"/>
    <w:rsid w:val="00EC3137"/>
    <w:rsid w:val="00EC3A50"/>
    <w:rsid w:val="00EC458B"/>
    <w:rsid w:val="00EC5469"/>
    <w:rsid w:val="00EC5C95"/>
    <w:rsid w:val="00EC662A"/>
    <w:rsid w:val="00EC73E9"/>
    <w:rsid w:val="00EC7C77"/>
    <w:rsid w:val="00ED09E7"/>
    <w:rsid w:val="00ED14DF"/>
    <w:rsid w:val="00ED1531"/>
    <w:rsid w:val="00ED1873"/>
    <w:rsid w:val="00ED1D8A"/>
    <w:rsid w:val="00ED1F9F"/>
    <w:rsid w:val="00ED2EE5"/>
    <w:rsid w:val="00ED3111"/>
    <w:rsid w:val="00ED3126"/>
    <w:rsid w:val="00ED4F2C"/>
    <w:rsid w:val="00ED59DA"/>
    <w:rsid w:val="00ED6B75"/>
    <w:rsid w:val="00ED6F8F"/>
    <w:rsid w:val="00ED766B"/>
    <w:rsid w:val="00EE0CFF"/>
    <w:rsid w:val="00EE2CA1"/>
    <w:rsid w:val="00EE34B8"/>
    <w:rsid w:val="00EE36CB"/>
    <w:rsid w:val="00EE395F"/>
    <w:rsid w:val="00EE396E"/>
    <w:rsid w:val="00EE5E1A"/>
    <w:rsid w:val="00EE5E29"/>
    <w:rsid w:val="00EE6D4A"/>
    <w:rsid w:val="00EE7A75"/>
    <w:rsid w:val="00EF1930"/>
    <w:rsid w:val="00EF1EE1"/>
    <w:rsid w:val="00EF26E4"/>
    <w:rsid w:val="00EF2DC1"/>
    <w:rsid w:val="00EF3112"/>
    <w:rsid w:val="00EF4204"/>
    <w:rsid w:val="00EF4C0C"/>
    <w:rsid w:val="00EF4C43"/>
    <w:rsid w:val="00EF4E11"/>
    <w:rsid w:val="00EF5041"/>
    <w:rsid w:val="00EF5651"/>
    <w:rsid w:val="00EF705E"/>
    <w:rsid w:val="00EF70D4"/>
    <w:rsid w:val="00EF780E"/>
    <w:rsid w:val="00EF788C"/>
    <w:rsid w:val="00F00141"/>
    <w:rsid w:val="00F01092"/>
    <w:rsid w:val="00F02C16"/>
    <w:rsid w:val="00F02DD5"/>
    <w:rsid w:val="00F036AC"/>
    <w:rsid w:val="00F03D84"/>
    <w:rsid w:val="00F041DF"/>
    <w:rsid w:val="00F0538A"/>
    <w:rsid w:val="00F05CC9"/>
    <w:rsid w:val="00F0616C"/>
    <w:rsid w:val="00F06D83"/>
    <w:rsid w:val="00F0769F"/>
    <w:rsid w:val="00F07FA6"/>
    <w:rsid w:val="00F106B7"/>
    <w:rsid w:val="00F10C73"/>
    <w:rsid w:val="00F10EFB"/>
    <w:rsid w:val="00F11D33"/>
    <w:rsid w:val="00F1362C"/>
    <w:rsid w:val="00F14CDD"/>
    <w:rsid w:val="00F15167"/>
    <w:rsid w:val="00F15514"/>
    <w:rsid w:val="00F15BF1"/>
    <w:rsid w:val="00F15CFE"/>
    <w:rsid w:val="00F15FEB"/>
    <w:rsid w:val="00F168BB"/>
    <w:rsid w:val="00F16EB0"/>
    <w:rsid w:val="00F201E7"/>
    <w:rsid w:val="00F21251"/>
    <w:rsid w:val="00F21837"/>
    <w:rsid w:val="00F21C7E"/>
    <w:rsid w:val="00F21FDC"/>
    <w:rsid w:val="00F2270C"/>
    <w:rsid w:val="00F22F2D"/>
    <w:rsid w:val="00F233AC"/>
    <w:rsid w:val="00F25EA0"/>
    <w:rsid w:val="00F25EA1"/>
    <w:rsid w:val="00F2690E"/>
    <w:rsid w:val="00F27077"/>
    <w:rsid w:val="00F27A16"/>
    <w:rsid w:val="00F301D5"/>
    <w:rsid w:val="00F30ADF"/>
    <w:rsid w:val="00F3124E"/>
    <w:rsid w:val="00F31345"/>
    <w:rsid w:val="00F313D9"/>
    <w:rsid w:val="00F31438"/>
    <w:rsid w:val="00F31C2D"/>
    <w:rsid w:val="00F3207D"/>
    <w:rsid w:val="00F323E8"/>
    <w:rsid w:val="00F32A15"/>
    <w:rsid w:val="00F341AF"/>
    <w:rsid w:val="00F37229"/>
    <w:rsid w:val="00F40885"/>
    <w:rsid w:val="00F41B89"/>
    <w:rsid w:val="00F42E0E"/>
    <w:rsid w:val="00F43815"/>
    <w:rsid w:val="00F43ABA"/>
    <w:rsid w:val="00F4430E"/>
    <w:rsid w:val="00F443C7"/>
    <w:rsid w:val="00F44AD0"/>
    <w:rsid w:val="00F44DA2"/>
    <w:rsid w:val="00F4502D"/>
    <w:rsid w:val="00F45088"/>
    <w:rsid w:val="00F471B1"/>
    <w:rsid w:val="00F47DEE"/>
    <w:rsid w:val="00F50EDA"/>
    <w:rsid w:val="00F513A0"/>
    <w:rsid w:val="00F521D5"/>
    <w:rsid w:val="00F52F0F"/>
    <w:rsid w:val="00F53363"/>
    <w:rsid w:val="00F54B10"/>
    <w:rsid w:val="00F55237"/>
    <w:rsid w:val="00F56FAE"/>
    <w:rsid w:val="00F57360"/>
    <w:rsid w:val="00F57867"/>
    <w:rsid w:val="00F5786C"/>
    <w:rsid w:val="00F57940"/>
    <w:rsid w:val="00F5794E"/>
    <w:rsid w:val="00F60F95"/>
    <w:rsid w:val="00F62D94"/>
    <w:rsid w:val="00F63173"/>
    <w:rsid w:val="00F63BB7"/>
    <w:rsid w:val="00F65EC5"/>
    <w:rsid w:val="00F66B0F"/>
    <w:rsid w:val="00F66CCE"/>
    <w:rsid w:val="00F66F1E"/>
    <w:rsid w:val="00F700A0"/>
    <w:rsid w:val="00F71BB5"/>
    <w:rsid w:val="00F71EDB"/>
    <w:rsid w:val="00F7240D"/>
    <w:rsid w:val="00F734B0"/>
    <w:rsid w:val="00F73EBA"/>
    <w:rsid w:val="00F74AEA"/>
    <w:rsid w:val="00F74D62"/>
    <w:rsid w:val="00F753B6"/>
    <w:rsid w:val="00F75DA1"/>
    <w:rsid w:val="00F764A1"/>
    <w:rsid w:val="00F76E6F"/>
    <w:rsid w:val="00F76E89"/>
    <w:rsid w:val="00F7707B"/>
    <w:rsid w:val="00F778A4"/>
    <w:rsid w:val="00F779B5"/>
    <w:rsid w:val="00F80596"/>
    <w:rsid w:val="00F80DAB"/>
    <w:rsid w:val="00F8124D"/>
    <w:rsid w:val="00F8173E"/>
    <w:rsid w:val="00F821FA"/>
    <w:rsid w:val="00F8293F"/>
    <w:rsid w:val="00F82BC0"/>
    <w:rsid w:val="00F834C1"/>
    <w:rsid w:val="00F8372F"/>
    <w:rsid w:val="00F843DF"/>
    <w:rsid w:val="00F845A0"/>
    <w:rsid w:val="00F85424"/>
    <w:rsid w:val="00F8548B"/>
    <w:rsid w:val="00F85BBF"/>
    <w:rsid w:val="00F85E95"/>
    <w:rsid w:val="00F85EB4"/>
    <w:rsid w:val="00F86667"/>
    <w:rsid w:val="00F869EF"/>
    <w:rsid w:val="00F86EBE"/>
    <w:rsid w:val="00F87532"/>
    <w:rsid w:val="00F87A68"/>
    <w:rsid w:val="00F9000E"/>
    <w:rsid w:val="00F90257"/>
    <w:rsid w:val="00F908C9"/>
    <w:rsid w:val="00F90BBF"/>
    <w:rsid w:val="00F91C3A"/>
    <w:rsid w:val="00F91F09"/>
    <w:rsid w:val="00F91FDF"/>
    <w:rsid w:val="00F92650"/>
    <w:rsid w:val="00F931C2"/>
    <w:rsid w:val="00F93423"/>
    <w:rsid w:val="00F93545"/>
    <w:rsid w:val="00F93C11"/>
    <w:rsid w:val="00F956D9"/>
    <w:rsid w:val="00F95CFF"/>
    <w:rsid w:val="00FA0E76"/>
    <w:rsid w:val="00FA1463"/>
    <w:rsid w:val="00FA15F5"/>
    <w:rsid w:val="00FA2466"/>
    <w:rsid w:val="00FA327F"/>
    <w:rsid w:val="00FA50F4"/>
    <w:rsid w:val="00FA5555"/>
    <w:rsid w:val="00FA56F7"/>
    <w:rsid w:val="00FA5F56"/>
    <w:rsid w:val="00FA60C1"/>
    <w:rsid w:val="00FB77A2"/>
    <w:rsid w:val="00FB7FC4"/>
    <w:rsid w:val="00FC029C"/>
    <w:rsid w:val="00FC0B31"/>
    <w:rsid w:val="00FC0C2F"/>
    <w:rsid w:val="00FC1567"/>
    <w:rsid w:val="00FC1DDC"/>
    <w:rsid w:val="00FC2A09"/>
    <w:rsid w:val="00FC40A0"/>
    <w:rsid w:val="00FC44A9"/>
    <w:rsid w:val="00FC4D61"/>
    <w:rsid w:val="00FC515D"/>
    <w:rsid w:val="00FC6AF4"/>
    <w:rsid w:val="00FC6C22"/>
    <w:rsid w:val="00FC6F28"/>
    <w:rsid w:val="00FC7247"/>
    <w:rsid w:val="00FC7ACC"/>
    <w:rsid w:val="00FC7D80"/>
    <w:rsid w:val="00FD020A"/>
    <w:rsid w:val="00FD0B67"/>
    <w:rsid w:val="00FD0E48"/>
    <w:rsid w:val="00FD1D3A"/>
    <w:rsid w:val="00FD4814"/>
    <w:rsid w:val="00FD7C8E"/>
    <w:rsid w:val="00FE3BA0"/>
    <w:rsid w:val="00FE3F20"/>
    <w:rsid w:val="00FE564A"/>
    <w:rsid w:val="00FE66EB"/>
    <w:rsid w:val="00FE74ED"/>
    <w:rsid w:val="00FE7604"/>
    <w:rsid w:val="00FF095C"/>
    <w:rsid w:val="00FF0CA2"/>
    <w:rsid w:val="00FF1A56"/>
    <w:rsid w:val="00FF1BFA"/>
    <w:rsid w:val="00FF21BD"/>
    <w:rsid w:val="00FF228F"/>
    <w:rsid w:val="00FF2FCD"/>
    <w:rsid w:val="00FF32C8"/>
    <w:rsid w:val="00FF3814"/>
    <w:rsid w:val="00FF3CA2"/>
    <w:rsid w:val="00FF6565"/>
    <w:rsid w:val="00FF6896"/>
    <w:rsid w:val="00FF6EF2"/>
    <w:rsid w:val="00FF6FAE"/>
    <w:rsid w:val="0112191B"/>
    <w:rsid w:val="011F2F16"/>
    <w:rsid w:val="012208D2"/>
    <w:rsid w:val="01302121"/>
    <w:rsid w:val="0138038C"/>
    <w:rsid w:val="01414187"/>
    <w:rsid w:val="014238E1"/>
    <w:rsid w:val="0150134A"/>
    <w:rsid w:val="0163556C"/>
    <w:rsid w:val="016448F0"/>
    <w:rsid w:val="0182217F"/>
    <w:rsid w:val="01834300"/>
    <w:rsid w:val="01A34FB9"/>
    <w:rsid w:val="01CA2D58"/>
    <w:rsid w:val="01DE2EB4"/>
    <w:rsid w:val="02300819"/>
    <w:rsid w:val="02615BD9"/>
    <w:rsid w:val="026479C2"/>
    <w:rsid w:val="02665FCB"/>
    <w:rsid w:val="029319FF"/>
    <w:rsid w:val="02955A20"/>
    <w:rsid w:val="02A34382"/>
    <w:rsid w:val="02AE7686"/>
    <w:rsid w:val="02BB4CA1"/>
    <w:rsid w:val="02C941BD"/>
    <w:rsid w:val="02D1729F"/>
    <w:rsid w:val="02E74E3E"/>
    <w:rsid w:val="030674EE"/>
    <w:rsid w:val="032339F0"/>
    <w:rsid w:val="032E26E8"/>
    <w:rsid w:val="033E56EE"/>
    <w:rsid w:val="03485583"/>
    <w:rsid w:val="034F0116"/>
    <w:rsid w:val="03536510"/>
    <w:rsid w:val="0366433A"/>
    <w:rsid w:val="036C2CE0"/>
    <w:rsid w:val="039B0EAE"/>
    <w:rsid w:val="03B260A2"/>
    <w:rsid w:val="03C05801"/>
    <w:rsid w:val="03C93FB1"/>
    <w:rsid w:val="03DD3016"/>
    <w:rsid w:val="03EA21EB"/>
    <w:rsid w:val="03EE24CC"/>
    <w:rsid w:val="040C5B04"/>
    <w:rsid w:val="041079DB"/>
    <w:rsid w:val="04116461"/>
    <w:rsid w:val="0414607B"/>
    <w:rsid w:val="041E099F"/>
    <w:rsid w:val="04204289"/>
    <w:rsid w:val="044E2746"/>
    <w:rsid w:val="04523255"/>
    <w:rsid w:val="048518E3"/>
    <w:rsid w:val="049847BC"/>
    <w:rsid w:val="049A2B1F"/>
    <w:rsid w:val="04A14596"/>
    <w:rsid w:val="04B253A1"/>
    <w:rsid w:val="04D73B3C"/>
    <w:rsid w:val="04F442F4"/>
    <w:rsid w:val="05066ED6"/>
    <w:rsid w:val="050A6518"/>
    <w:rsid w:val="050B504C"/>
    <w:rsid w:val="05346422"/>
    <w:rsid w:val="05351A9B"/>
    <w:rsid w:val="055519B7"/>
    <w:rsid w:val="055E5536"/>
    <w:rsid w:val="05771AF7"/>
    <w:rsid w:val="058651FE"/>
    <w:rsid w:val="0591166A"/>
    <w:rsid w:val="05BD451E"/>
    <w:rsid w:val="05D341F1"/>
    <w:rsid w:val="05E65C7E"/>
    <w:rsid w:val="05EC44BF"/>
    <w:rsid w:val="05F21771"/>
    <w:rsid w:val="0625263A"/>
    <w:rsid w:val="066A62D9"/>
    <w:rsid w:val="068B5D46"/>
    <w:rsid w:val="06AE1F5A"/>
    <w:rsid w:val="06B7055C"/>
    <w:rsid w:val="06B9083D"/>
    <w:rsid w:val="06BD40B5"/>
    <w:rsid w:val="06FB37E4"/>
    <w:rsid w:val="071C569F"/>
    <w:rsid w:val="072C0C86"/>
    <w:rsid w:val="07803BBA"/>
    <w:rsid w:val="07871245"/>
    <w:rsid w:val="078967C4"/>
    <w:rsid w:val="079F708A"/>
    <w:rsid w:val="07C47BAA"/>
    <w:rsid w:val="07E42EE5"/>
    <w:rsid w:val="07E8496D"/>
    <w:rsid w:val="080122CA"/>
    <w:rsid w:val="082C5493"/>
    <w:rsid w:val="08374DFC"/>
    <w:rsid w:val="08431E2B"/>
    <w:rsid w:val="08445FD2"/>
    <w:rsid w:val="08447644"/>
    <w:rsid w:val="08500702"/>
    <w:rsid w:val="085F6DFB"/>
    <w:rsid w:val="08627BA0"/>
    <w:rsid w:val="087A21AB"/>
    <w:rsid w:val="087B3FDD"/>
    <w:rsid w:val="08B50873"/>
    <w:rsid w:val="08C372E1"/>
    <w:rsid w:val="08CD3922"/>
    <w:rsid w:val="08CD4531"/>
    <w:rsid w:val="08D2249A"/>
    <w:rsid w:val="08D54BD8"/>
    <w:rsid w:val="08D61A94"/>
    <w:rsid w:val="08E75AAC"/>
    <w:rsid w:val="08F1550E"/>
    <w:rsid w:val="08FB5C33"/>
    <w:rsid w:val="0905246F"/>
    <w:rsid w:val="09195144"/>
    <w:rsid w:val="092B0ED6"/>
    <w:rsid w:val="092C4325"/>
    <w:rsid w:val="093207B6"/>
    <w:rsid w:val="093223B1"/>
    <w:rsid w:val="093E7689"/>
    <w:rsid w:val="09477A19"/>
    <w:rsid w:val="095167B2"/>
    <w:rsid w:val="09572DC3"/>
    <w:rsid w:val="09740A02"/>
    <w:rsid w:val="097C432A"/>
    <w:rsid w:val="098F1CFB"/>
    <w:rsid w:val="09955D63"/>
    <w:rsid w:val="09981AD1"/>
    <w:rsid w:val="099F0E33"/>
    <w:rsid w:val="09F441B9"/>
    <w:rsid w:val="09F71617"/>
    <w:rsid w:val="0A077147"/>
    <w:rsid w:val="0A1343FA"/>
    <w:rsid w:val="0A274A0B"/>
    <w:rsid w:val="0A457DF7"/>
    <w:rsid w:val="0A5C40F8"/>
    <w:rsid w:val="0A5F6DF8"/>
    <w:rsid w:val="0A9061A2"/>
    <w:rsid w:val="0AAA1320"/>
    <w:rsid w:val="0AB11F18"/>
    <w:rsid w:val="0AB401A9"/>
    <w:rsid w:val="0ABB310A"/>
    <w:rsid w:val="0AC31B8F"/>
    <w:rsid w:val="0ACE4E73"/>
    <w:rsid w:val="0AF369C3"/>
    <w:rsid w:val="0AF50172"/>
    <w:rsid w:val="0AF67A4A"/>
    <w:rsid w:val="0AFF12CC"/>
    <w:rsid w:val="0B396CCE"/>
    <w:rsid w:val="0B3B6231"/>
    <w:rsid w:val="0B3E391A"/>
    <w:rsid w:val="0B423E8B"/>
    <w:rsid w:val="0B4B56EE"/>
    <w:rsid w:val="0B5F300A"/>
    <w:rsid w:val="0B6B369B"/>
    <w:rsid w:val="0B9B296F"/>
    <w:rsid w:val="0BA96710"/>
    <w:rsid w:val="0BB864CE"/>
    <w:rsid w:val="0BC4368F"/>
    <w:rsid w:val="0BE84C12"/>
    <w:rsid w:val="0C18211F"/>
    <w:rsid w:val="0C1C5B5B"/>
    <w:rsid w:val="0C205F15"/>
    <w:rsid w:val="0C283BFB"/>
    <w:rsid w:val="0C2F2A18"/>
    <w:rsid w:val="0C2F4738"/>
    <w:rsid w:val="0C6135BB"/>
    <w:rsid w:val="0C7E6B33"/>
    <w:rsid w:val="0C9B59FD"/>
    <w:rsid w:val="0C9C4BB8"/>
    <w:rsid w:val="0C9F0346"/>
    <w:rsid w:val="0CB36DF7"/>
    <w:rsid w:val="0CD540A8"/>
    <w:rsid w:val="0CF34463"/>
    <w:rsid w:val="0D061918"/>
    <w:rsid w:val="0D3D6EC5"/>
    <w:rsid w:val="0D602116"/>
    <w:rsid w:val="0D684483"/>
    <w:rsid w:val="0D746202"/>
    <w:rsid w:val="0D7F666F"/>
    <w:rsid w:val="0D8C5A82"/>
    <w:rsid w:val="0D9F1E5C"/>
    <w:rsid w:val="0DB00150"/>
    <w:rsid w:val="0DC33446"/>
    <w:rsid w:val="0DCA3D27"/>
    <w:rsid w:val="0DD744F9"/>
    <w:rsid w:val="0DE06F93"/>
    <w:rsid w:val="0DE12683"/>
    <w:rsid w:val="0DE34EA2"/>
    <w:rsid w:val="0E037117"/>
    <w:rsid w:val="0E180366"/>
    <w:rsid w:val="0E247FFD"/>
    <w:rsid w:val="0E2B44D5"/>
    <w:rsid w:val="0E360769"/>
    <w:rsid w:val="0E5601D5"/>
    <w:rsid w:val="0E5821C5"/>
    <w:rsid w:val="0E60716A"/>
    <w:rsid w:val="0E71130D"/>
    <w:rsid w:val="0E722A3D"/>
    <w:rsid w:val="0E8A4B25"/>
    <w:rsid w:val="0E8A78DE"/>
    <w:rsid w:val="0EA162F8"/>
    <w:rsid w:val="0EC85053"/>
    <w:rsid w:val="0ECA22CD"/>
    <w:rsid w:val="0ECF1CBC"/>
    <w:rsid w:val="0ED64C87"/>
    <w:rsid w:val="0ED71E51"/>
    <w:rsid w:val="0EDD21E0"/>
    <w:rsid w:val="0EF60741"/>
    <w:rsid w:val="0F070A91"/>
    <w:rsid w:val="0F1314CF"/>
    <w:rsid w:val="0F2B45EA"/>
    <w:rsid w:val="0F874C2B"/>
    <w:rsid w:val="0F8E3B9D"/>
    <w:rsid w:val="0F933E8C"/>
    <w:rsid w:val="0F98591D"/>
    <w:rsid w:val="0F99216E"/>
    <w:rsid w:val="0F9E58BA"/>
    <w:rsid w:val="0FB3379F"/>
    <w:rsid w:val="0FB615BC"/>
    <w:rsid w:val="0FD34720"/>
    <w:rsid w:val="0FDD0387"/>
    <w:rsid w:val="0FF13EEF"/>
    <w:rsid w:val="0FF96C15"/>
    <w:rsid w:val="102531A7"/>
    <w:rsid w:val="104E69A4"/>
    <w:rsid w:val="10660E21"/>
    <w:rsid w:val="106952D0"/>
    <w:rsid w:val="108F1E42"/>
    <w:rsid w:val="109775FF"/>
    <w:rsid w:val="10AF21A3"/>
    <w:rsid w:val="10BB7B8A"/>
    <w:rsid w:val="10C7659D"/>
    <w:rsid w:val="10DE48B4"/>
    <w:rsid w:val="10F77C09"/>
    <w:rsid w:val="11167338"/>
    <w:rsid w:val="1143332A"/>
    <w:rsid w:val="114A2CAB"/>
    <w:rsid w:val="116E68A6"/>
    <w:rsid w:val="11776B14"/>
    <w:rsid w:val="11A25647"/>
    <w:rsid w:val="11AB794F"/>
    <w:rsid w:val="11FA3D9D"/>
    <w:rsid w:val="12074767"/>
    <w:rsid w:val="12170AB5"/>
    <w:rsid w:val="12200472"/>
    <w:rsid w:val="12304E2C"/>
    <w:rsid w:val="123D72A1"/>
    <w:rsid w:val="124C69D4"/>
    <w:rsid w:val="12581B9A"/>
    <w:rsid w:val="1275541F"/>
    <w:rsid w:val="128A4A46"/>
    <w:rsid w:val="128C210F"/>
    <w:rsid w:val="12AA3A50"/>
    <w:rsid w:val="12BC6A60"/>
    <w:rsid w:val="12C918EA"/>
    <w:rsid w:val="12CF75E2"/>
    <w:rsid w:val="12E01970"/>
    <w:rsid w:val="12FF36C1"/>
    <w:rsid w:val="13370639"/>
    <w:rsid w:val="1338620F"/>
    <w:rsid w:val="1343071C"/>
    <w:rsid w:val="134609ED"/>
    <w:rsid w:val="1354775D"/>
    <w:rsid w:val="137B5887"/>
    <w:rsid w:val="137C3CAA"/>
    <w:rsid w:val="13912FAE"/>
    <w:rsid w:val="13940F09"/>
    <w:rsid w:val="139A1381"/>
    <w:rsid w:val="139F14E3"/>
    <w:rsid w:val="13B01026"/>
    <w:rsid w:val="13B348D4"/>
    <w:rsid w:val="13C34B79"/>
    <w:rsid w:val="13CF09A2"/>
    <w:rsid w:val="13E73FB9"/>
    <w:rsid w:val="141922B4"/>
    <w:rsid w:val="14216D6A"/>
    <w:rsid w:val="142925FB"/>
    <w:rsid w:val="14365042"/>
    <w:rsid w:val="144100B0"/>
    <w:rsid w:val="1447158E"/>
    <w:rsid w:val="14651332"/>
    <w:rsid w:val="148420BB"/>
    <w:rsid w:val="14AA1684"/>
    <w:rsid w:val="14B63B72"/>
    <w:rsid w:val="14E65440"/>
    <w:rsid w:val="14ED7A94"/>
    <w:rsid w:val="14F26618"/>
    <w:rsid w:val="14F93D02"/>
    <w:rsid w:val="14F96FEF"/>
    <w:rsid w:val="14FA4EA7"/>
    <w:rsid w:val="15043FED"/>
    <w:rsid w:val="15113B40"/>
    <w:rsid w:val="15134C0D"/>
    <w:rsid w:val="151E3AEF"/>
    <w:rsid w:val="15536F04"/>
    <w:rsid w:val="155A5C62"/>
    <w:rsid w:val="155E2E04"/>
    <w:rsid w:val="15675C77"/>
    <w:rsid w:val="15724561"/>
    <w:rsid w:val="15804528"/>
    <w:rsid w:val="158832E6"/>
    <w:rsid w:val="15C21146"/>
    <w:rsid w:val="15CB2503"/>
    <w:rsid w:val="15CC5773"/>
    <w:rsid w:val="15D95B72"/>
    <w:rsid w:val="162474E9"/>
    <w:rsid w:val="16380DCE"/>
    <w:rsid w:val="163E4E59"/>
    <w:rsid w:val="16475ADB"/>
    <w:rsid w:val="167B495E"/>
    <w:rsid w:val="167D4052"/>
    <w:rsid w:val="167D4BF4"/>
    <w:rsid w:val="16B30C8F"/>
    <w:rsid w:val="16B61BA3"/>
    <w:rsid w:val="16E66FE4"/>
    <w:rsid w:val="170A09C8"/>
    <w:rsid w:val="172933C5"/>
    <w:rsid w:val="175E6DB6"/>
    <w:rsid w:val="176E5A02"/>
    <w:rsid w:val="17805A20"/>
    <w:rsid w:val="17A505F3"/>
    <w:rsid w:val="17B527FD"/>
    <w:rsid w:val="17BA3B7A"/>
    <w:rsid w:val="17D0204B"/>
    <w:rsid w:val="17E83D0C"/>
    <w:rsid w:val="17E9480B"/>
    <w:rsid w:val="18300C57"/>
    <w:rsid w:val="18581E4A"/>
    <w:rsid w:val="18797EFB"/>
    <w:rsid w:val="187C04EE"/>
    <w:rsid w:val="187C7B76"/>
    <w:rsid w:val="18A77DEB"/>
    <w:rsid w:val="18B602F2"/>
    <w:rsid w:val="18DE6B05"/>
    <w:rsid w:val="18E840A0"/>
    <w:rsid w:val="18F07754"/>
    <w:rsid w:val="194B4807"/>
    <w:rsid w:val="194F661B"/>
    <w:rsid w:val="19541811"/>
    <w:rsid w:val="195923E5"/>
    <w:rsid w:val="199270CD"/>
    <w:rsid w:val="19BA0ECB"/>
    <w:rsid w:val="19EC6151"/>
    <w:rsid w:val="19F21204"/>
    <w:rsid w:val="19F519B8"/>
    <w:rsid w:val="1A035B31"/>
    <w:rsid w:val="1A1F514B"/>
    <w:rsid w:val="1A315133"/>
    <w:rsid w:val="1A435D80"/>
    <w:rsid w:val="1A812F62"/>
    <w:rsid w:val="1A85667C"/>
    <w:rsid w:val="1A8B0D30"/>
    <w:rsid w:val="1A9031D9"/>
    <w:rsid w:val="1AB952F2"/>
    <w:rsid w:val="1ABA229C"/>
    <w:rsid w:val="1AC173A1"/>
    <w:rsid w:val="1ACE754C"/>
    <w:rsid w:val="1AD96C8E"/>
    <w:rsid w:val="1ADA0C33"/>
    <w:rsid w:val="1AF05213"/>
    <w:rsid w:val="1B093B09"/>
    <w:rsid w:val="1B12264D"/>
    <w:rsid w:val="1B1E1F88"/>
    <w:rsid w:val="1B317556"/>
    <w:rsid w:val="1B460BD3"/>
    <w:rsid w:val="1B5A2549"/>
    <w:rsid w:val="1B5D6B4F"/>
    <w:rsid w:val="1B5F3E8B"/>
    <w:rsid w:val="1B6D3C35"/>
    <w:rsid w:val="1B70758A"/>
    <w:rsid w:val="1B756E53"/>
    <w:rsid w:val="1B8E2991"/>
    <w:rsid w:val="1B946FA5"/>
    <w:rsid w:val="1B950B83"/>
    <w:rsid w:val="1B9C58FE"/>
    <w:rsid w:val="1BB5795E"/>
    <w:rsid w:val="1BBD2CAD"/>
    <w:rsid w:val="1BC340D4"/>
    <w:rsid w:val="1C221CB4"/>
    <w:rsid w:val="1C3A7D6D"/>
    <w:rsid w:val="1C591F9E"/>
    <w:rsid w:val="1C5A4127"/>
    <w:rsid w:val="1C5E3356"/>
    <w:rsid w:val="1C657954"/>
    <w:rsid w:val="1C861E18"/>
    <w:rsid w:val="1CD7671F"/>
    <w:rsid w:val="1CDF439E"/>
    <w:rsid w:val="1CEA5A33"/>
    <w:rsid w:val="1CEE46B8"/>
    <w:rsid w:val="1CF65B5D"/>
    <w:rsid w:val="1D1D4B31"/>
    <w:rsid w:val="1D251FBB"/>
    <w:rsid w:val="1D3F5102"/>
    <w:rsid w:val="1D7975D1"/>
    <w:rsid w:val="1D8400A5"/>
    <w:rsid w:val="1D865E06"/>
    <w:rsid w:val="1D8D63E6"/>
    <w:rsid w:val="1DA91E61"/>
    <w:rsid w:val="1DE354AB"/>
    <w:rsid w:val="1DF775AC"/>
    <w:rsid w:val="1DFB1CF8"/>
    <w:rsid w:val="1DFE21D5"/>
    <w:rsid w:val="1E321866"/>
    <w:rsid w:val="1E470475"/>
    <w:rsid w:val="1E5C1CBB"/>
    <w:rsid w:val="1E921C0E"/>
    <w:rsid w:val="1E955421"/>
    <w:rsid w:val="1EA04198"/>
    <w:rsid w:val="1EC04224"/>
    <w:rsid w:val="1EC252A1"/>
    <w:rsid w:val="1ED21D0F"/>
    <w:rsid w:val="1EF3713C"/>
    <w:rsid w:val="1F0309FD"/>
    <w:rsid w:val="1F120952"/>
    <w:rsid w:val="1F283E13"/>
    <w:rsid w:val="1F6C1473"/>
    <w:rsid w:val="1F917253"/>
    <w:rsid w:val="1F921C9A"/>
    <w:rsid w:val="1FA47DB6"/>
    <w:rsid w:val="1FAF2F2B"/>
    <w:rsid w:val="1FB50A2F"/>
    <w:rsid w:val="1FD26A62"/>
    <w:rsid w:val="1FE9741C"/>
    <w:rsid w:val="1FED4497"/>
    <w:rsid w:val="1FFE216F"/>
    <w:rsid w:val="201A0990"/>
    <w:rsid w:val="202009F9"/>
    <w:rsid w:val="202106B7"/>
    <w:rsid w:val="202923D3"/>
    <w:rsid w:val="202C2442"/>
    <w:rsid w:val="203B1024"/>
    <w:rsid w:val="2059127D"/>
    <w:rsid w:val="206E6F16"/>
    <w:rsid w:val="2078148E"/>
    <w:rsid w:val="2088656D"/>
    <w:rsid w:val="208F5995"/>
    <w:rsid w:val="20934012"/>
    <w:rsid w:val="20B10CF1"/>
    <w:rsid w:val="20B37077"/>
    <w:rsid w:val="20BB0E6D"/>
    <w:rsid w:val="20C51DDE"/>
    <w:rsid w:val="20D106E8"/>
    <w:rsid w:val="20E61156"/>
    <w:rsid w:val="20F13D0A"/>
    <w:rsid w:val="20F75104"/>
    <w:rsid w:val="21036BD7"/>
    <w:rsid w:val="210468D2"/>
    <w:rsid w:val="21240FE4"/>
    <w:rsid w:val="21244824"/>
    <w:rsid w:val="21396180"/>
    <w:rsid w:val="213C2050"/>
    <w:rsid w:val="213C41FB"/>
    <w:rsid w:val="2162371F"/>
    <w:rsid w:val="216269C9"/>
    <w:rsid w:val="216B791C"/>
    <w:rsid w:val="21710D0E"/>
    <w:rsid w:val="21765610"/>
    <w:rsid w:val="21876BA9"/>
    <w:rsid w:val="218A07E5"/>
    <w:rsid w:val="21991531"/>
    <w:rsid w:val="219A68A0"/>
    <w:rsid w:val="21A15FB1"/>
    <w:rsid w:val="21C42B5B"/>
    <w:rsid w:val="21C53CDE"/>
    <w:rsid w:val="21D4739D"/>
    <w:rsid w:val="21DF43BC"/>
    <w:rsid w:val="21E72FA2"/>
    <w:rsid w:val="21EE27C8"/>
    <w:rsid w:val="21EE715B"/>
    <w:rsid w:val="220A0340"/>
    <w:rsid w:val="220B489D"/>
    <w:rsid w:val="221308E3"/>
    <w:rsid w:val="22230D44"/>
    <w:rsid w:val="22263337"/>
    <w:rsid w:val="222C1A2B"/>
    <w:rsid w:val="223043D9"/>
    <w:rsid w:val="22334D9D"/>
    <w:rsid w:val="2242250F"/>
    <w:rsid w:val="2258444A"/>
    <w:rsid w:val="22604086"/>
    <w:rsid w:val="22722C45"/>
    <w:rsid w:val="22737BBE"/>
    <w:rsid w:val="227F4BD5"/>
    <w:rsid w:val="228106F5"/>
    <w:rsid w:val="229C36C2"/>
    <w:rsid w:val="22A95E23"/>
    <w:rsid w:val="22AF4A49"/>
    <w:rsid w:val="22B5326A"/>
    <w:rsid w:val="22C722C9"/>
    <w:rsid w:val="22E81E15"/>
    <w:rsid w:val="22E82B34"/>
    <w:rsid w:val="22F1404A"/>
    <w:rsid w:val="22F43FD7"/>
    <w:rsid w:val="2306277E"/>
    <w:rsid w:val="231719E1"/>
    <w:rsid w:val="231B7C27"/>
    <w:rsid w:val="23305B2F"/>
    <w:rsid w:val="233B31A5"/>
    <w:rsid w:val="233E6A15"/>
    <w:rsid w:val="23423B50"/>
    <w:rsid w:val="234359B8"/>
    <w:rsid w:val="234B3F1F"/>
    <w:rsid w:val="234C7E3C"/>
    <w:rsid w:val="234D046A"/>
    <w:rsid w:val="234D5BC4"/>
    <w:rsid w:val="23565E6B"/>
    <w:rsid w:val="236053B6"/>
    <w:rsid w:val="237B02A5"/>
    <w:rsid w:val="23887489"/>
    <w:rsid w:val="238919E0"/>
    <w:rsid w:val="23921C1D"/>
    <w:rsid w:val="23BD2F4E"/>
    <w:rsid w:val="23DB00FF"/>
    <w:rsid w:val="23E13E85"/>
    <w:rsid w:val="2405287D"/>
    <w:rsid w:val="24147C09"/>
    <w:rsid w:val="24165D30"/>
    <w:rsid w:val="242B7378"/>
    <w:rsid w:val="247F71C8"/>
    <w:rsid w:val="2485335C"/>
    <w:rsid w:val="24BC043F"/>
    <w:rsid w:val="24BD7C70"/>
    <w:rsid w:val="24BF1116"/>
    <w:rsid w:val="24C35911"/>
    <w:rsid w:val="24D057F7"/>
    <w:rsid w:val="24E253FA"/>
    <w:rsid w:val="251F341D"/>
    <w:rsid w:val="252704FE"/>
    <w:rsid w:val="255B6BCE"/>
    <w:rsid w:val="256F7FA5"/>
    <w:rsid w:val="25877D0E"/>
    <w:rsid w:val="259D613A"/>
    <w:rsid w:val="25A96360"/>
    <w:rsid w:val="25C64080"/>
    <w:rsid w:val="25D04673"/>
    <w:rsid w:val="25DE1A71"/>
    <w:rsid w:val="25E77856"/>
    <w:rsid w:val="260D12F4"/>
    <w:rsid w:val="261D39B4"/>
    <w:rsid w:val="262144EE"/>
    <w:rsid w:val="26234878"/>
    <w:rsid w:val="262B7E81"/>
    <w:rsid w:val="26370400"/>
    <w:rsid w:val="26437DE2"/>
    <w:rsid w:val="26594FC7"/>
    <w:rsid w:val="266D6480"/>
    <w:rsid w:val="266F2CB1"/>
    <w:rsid w:val="2678641B"/>
    <w:rsid w:val="267E0485"/>
    <w:rsid w:val="26B12B03"/>
    <w:rsid w:val="26E22522"/>
    <w:rsid w:val="26E536E1"/>
    <w:rsid w:val="26FE30D2"/>
    <w:rsid w:val="2716609E"/>
    <w:rsid w:val="27357624"/>
    <w:rsid w:val="273F7DB8"/>
    <w:rsid w:val="27440DA4"/>
    <w:rsid w:val="276A3855"/>
    <w:rsid w:val="2786017C"/>
    <w:rsid w:val="2786419B"/>
    <w:rsid w:val="2788761C"/>
    <w:rsid w:val="27922922"/>
    <w:rsid w:val="27A745B3"/>
    <w:rsid w:val="27B94C2F"/>
    <w:rsid w:val="27CD49FA"/>
    <w:rsid w:val="27ED3021"/>
    <w:rsid w:val="28123CE0"/>
    <w:rsid w:val="281514E9"/>
    <w:rsid w:val="28425477"/>
    <w:rsid w:val="28470B5B"/>
    <w:rsid w:val="28475904"/>
    <w:rsid w:val="285E0D94"/>
    <w:rsid w:val="28800DEE"/>
    <w:rsid w:val="288C0346"/>
    <w:rsid w:val="28911EF7"/>
    <w:rsid w:val="28995B9F"/>
    <w:rsid w:val="289E1EA6"/>
    <w:rsid w:val="28A6110E"/>
    <w:rsid w:val="28A76CF7"/>
    <w:rsid w:val="28CB791E"/>
    <w:rsid w:val="28D26D2F"/>
    <w:rsid w:val="28D56E12"/>
    <w:rsid w:val="28EA218B"/>
    <w:rsid w:val="28F06A91"/>
    <w:rsid w:val="28F9594D"/>
    <w:rsid w:val="29065BD9"/>
    <w:rsid w:val="290E4E0A"/>
    <w:rsid w:val="29123801"/>
    <w:rsid w:val="29220A38"/>
    <w:rsid w:val="293A53CF"/>
    <w:rsid w:val="295B585A"/>
    <w:rsid w:val="295C5CDC"/>
    <w:rsid w:val="297325D3"/>
    <w:rsid w:val="298C43BA"/>
    <w:rsid w:val="29994191"/>
    <w:rsid w:val="299B7D4D"/>
    <w:rsid w:val="29B105FF"/>
    <w:rsid w:val="29C17055"/>
    <w:rsid w:val="29D178C8"/>
    <w:rsid w:val="29E752A5"/>
    <w:rsid w:val="29ED4E40"/>
    <w:rsid w:val="2A1C2CB5"/>
    <w:rsid w:val="2A4A7C51"/>
    <w:rsid w:val="2A4E0A63"/>
    <w:rsid w:val="2A7031D9"/>
    <w:rsid w:val="2A707647"/>
    <w:rsid w:val="2A850B47"/>
    <w:rsid w:val="2A9502FC"/>
    <w:rsid w:val="2A955252"/>
    <w:rsid w:val="2AB0176D"/>
    <w:rsid w:val="2AB22707"/>
    <w:rsid w:val="2ABA4938"/>
    <w:rsid w:val="2B192D20"/>
    <w:rsid w:val="2B2502A8"/>
    <w:rsid w:val="2B513EE0"/>
    <w:rsid w:val="2B5831EE"/>
    <w:rsid w:val="2B5B2C72"/>
    <w:rsid w:val="2B5F0378"/>
    <w:rsid w:val="2B5F1114"/>
    <w:rsid w:val="2B68513E"/>
    <w:rsid w:val="2BBB0122"/>
    <w:rsid w:val="2BC10A83"/>
    <w:rsid w:val="2BC45300"/>
    <w:rsid w:val="2BD80468"/>
    <w:rsid w:val="2BE40548"/>
    <w:rsid w:val="2BF7058C"/>
    <w:rsid w:val="2BFA59BC"/>
    <w:rsid w:val="2BFD34BE"/>
    <w:rsid w:val="2C0229A5"/>
    <w:rsid w:val="2C282B07"/>
    <w:rsid w:val="2C2D60AE"/>
    <w:rsid w:val="2C325E7B"/>
    <w:rsid w:val="2C7147FF"/>
    <w:rsid w:val="2C9A00F2"/>
    <w:rsid w:val="2CA00B5C"/>
    <w:rsid w:val="2CAC0BA4"/>
    <w:rsid w:val="2CAD4C6E"/>
    <w:rsid w:val="2CAE6A38"/>
    <w:rsid w:val="2CBE22CD"/>
    <w:rsid w:val="2CC355A4"/>
    <w:rsid w:val="2CDE22B1"/>
    <w:rsid w:val="2D005BE6"/>
    <w:rsid w:val="2D0214C4"/>
    <w:rsid w:val="2D0E3814"/>
    <w:rsid w:val="2D112D09"/>
    <w:rsid w:val="2D1A0815"/>
    <w:rsid w:val="2D590310"/>
    <w:rsid w:val="2D5B5591"/>
    <w:rsid w:val="2D682C20"/>
    <w:rsid w:val="2D6E2BD3"/>
    <w:rsid w:val="2D6F5E19"/>
    <w:rsid w:val="2D724A70"/>
    <w:rsid w:val="2D82044E"/>
    <w:rsid w:val="2D87377C"/>
    <w:rsid w:val="2D934B8F"/>
    <w:rsid w:val="2D961ACD"/>
    <w:rsid w:val="2DA84651"/>
    <w:rsid w:val="2DCB2AB7"/>
    <w:rsid w:val="2DED56B2"/>
    <w:rsid w:val="2E011062"/>
    <w:rsid w:val="2E0301B0"/>
    <w:rsid w:val="2E530ED7"/>
    <w:rsid w:val="2E5E6EA5"/>
    <w:rsid w:val="2E7824A5"/>
    <w:rsid w:val="2E96548B"/>
    <w:rsid w:val="2EA25498"/>
    <w:rsid w:val="2EB542FF"/>
    <w:rsid w:val="2EBA117F"/>
    <w:rsid w:val="2EC709EE"/>
    <w:rsid w:val="2ED536E7"/>
    <w:rsid w:val="2EDA16D8"/>
    <w:rsid w:val="2EDD16AB"/>
    <w:rsid w:val="2EFD56D2"/>
    <w:rsid w:val="2F011F14"/>
    <w:rsid w:val="2F04478B"/>
    <w:rsid w:val="2F2062E4"/>
    <w:rsid w:val="2F2E3CA0"/>
    <w:rsid w:val="2F2F768D"/>
    <w:rsid w:val="2F353C34"/>
    <w:rsid w:val="2F37464A"/>
    <w:rsid w:val="2F397D87"/>
    <w:rsid w:val="2F3E70A3"/>
    <w:rsid w:val="2F7825EA"/>
    <w:rsid w:val="2F8617E1"/>
    <w:rsid w:val="2F987A7F"/>
    <w:rsid w:val="2FB658A1"/>
    <w:rsid w:val="2FCB6153"/>
    <w:rsid w:val="2FF70266"/>
    <w:rsid w:val="2FF80F42"/>
    <w:rsid w:val="30050159"/>
    <w:rsid w:val="300637A7"/>
    <w:rsid w:val="300C1554"/>
    <w:rsid w:val="30246735"/>
    <w:rsid w:val="30266851"/>
    <w:rsid w:val="3039556F"/>
    <w:rsid w:val="3066229D"/>
    <w:rsid w:val="306D464D"/>
    <w:rsid w:val="309A7B54"/>
    <w:rsid w:val="30B0109C"/>
    <w:rsid w:val="30B91101"/>
    <w:rsid w:val="30B942B3"/>
    <w:rsid w:val="30C32B55"/>
    <w:rsid w:val="30D3354A"/>
    <w:rsid w:val="30EC0D52"/>
    <w:rsid w:val="30EF2987"/>
    <w:rsid w:val="30FD7C68"/>
    <w:rsid w:val="31026B01"/>
    <w:rsid w:val="310F3721"/>
    <w:rsid w:val="311B47D5"/>
    <w:rsid w:val="311B726D"/>
    <w:rsid w:val="311C7A23"/>
    <w:rsid w:val="312A11CD"/>
    <w:rsid w:val="312C77E2"/>
    <w:rsid w:val="313A1B42"/>
    <w:rsid w:val="31511AB5"/>
    <w:rsid w:val="31567CB3"/>
    <w:rsid w:val="317D3BE1"/>
    <w:rsid w:val="318D6703"/>
    <w:rsid w:val="31E209FB"/>
    <w:rsid w:val="31FB2F84"/>
    <w:rsid w:val="321B4FD3"/>
    <w:rsid w:val="321D3B8C"/>
    <w:rsid w:val="32453782"/>
    <w:rsid w:val="3247222B"/>
    <w:rsid w:val="32547DF0"/>
    <w:rsid w:val="325956B9"/>
    <w:rsid w:val="32890CCB"/>
    <w:rsid w:val="32AA767E"/>
    <w:rsid w:val="32AF2254"/>
    <w:rsid w:val="32BC287E"/>
    <w:rsid w:val="32BE3F3C"/>
    <w:rsid w:val="32C15316"/>
    <w:rsid w:val="32EF55DE"/>
    <w:rsid w:val="32F00812"/>
    <w:rsid w:val="32F90EF4"/>
    <w:rsid w:val="33111455"/>
    <w:rsid w:val="331C7088"/>
    <w:rsid w:val="3324089D"/>
    <w:rsid w:val="3329567A"/>
    <w:rsid w:val="33326F1C"/>
    <w:rsid w:val="3345729F"/>
    <w:rsid w:val="334F7F56"/>
    <w:rsid w:val="33554199"/>
    <w:rsid w:val="33680836"/>
    <w:rsid w:val="33706F41"/>
    <w:rsid w:val="337A5A55"/>
    <w:rsid w:val="339348FA"/>
    <w:rsid w:val="33951976"/>
    <w:rsid w:val="339727F5"/>
    <w:rsid w:val="339C50F4"/>
    <w:rsid w:val="33AE3CC8"/>
    <w:rsid w:val="33B20288"/>
    <w:rsid w:val="33B81A8B"/>
    <w:rsid w:val="33CB4DC3"/>
    <w:rsid w:val="33F2577B"/>
    <w:rsid w:val="34401266"/>
    <w:rsid w:val="34411056"/>
    <w:rsid w:val="34586F65"/>
    <w:rsid w:val="34694561"/>
    <w:rsid w:val="34967503"/>
    <w:rsid w:val="349D2509"/>
    <w:rsid w:val="34A3481A"/>
    <w:rsid w:val="34AE120C"/>
    <w:rsid w:val="34D3463C"/>
    <w:rsid w:val="34D5547B"/>
    <w:rsid w:val="34E30BDD"/>
    <w:rsid w:val="34E40CFE"/>
    <w:rsid w:val="34F505E3"/>
    <w:rsid w:val="34F761CE"/>
    <w:rsid w:val="34F844D6"/>
    <w:rsid w:val="34FB07A1"/>
    <w:rsid w:val="350E4126"/>
    <w:rsid w:val="35197FC1"/>
    <w:rsid w:val="35560893"/>
    <w:rsid w:val="357177D5"/>
    <w:rsid w:val="35876761"/>
    <w:rsid w:val="359404E2"/>
    <w:rsid w:val="359C2CD4"/>
    <w:rsid w:val="35A24E2F"/>
    <w:rsid w:val="35A71808"/>
    <w:rsid w:val="35C85F83"/>
    <w:rsid w:val="35D15585"/>
    <w:rsid w:val="360411B4"/>
    <w:rsid w:val="361417EB"/>
    <w:rsid w:val="361D62A1"/>
    <w:rsid w:val="36355CBB"/>
    <w:rsid w:val="36385BF1"/>
    <w:rsid w:val="363D4383"/>
    <w:rsid w:val="365D152B"/>
    <w:rsid w:val="365F43A3"/>
    <w:rsid w:val="366C62DD"/>
    <w:rsid w:val="366D5380"/>
    <w:rsid w:val="36725D47"/>
    <w:rsid w:val="36782F3C"/>
    <w:rsid w:val="3685025C"/>
    <w:rsid w:val="369E15F0"/>
    <w:rsid w:val="36AB279E"/>
    <w:rsid w:val="36B004A0"/>
    <w:rsid w:val="36B85A4E"/>
    <w:rsid w:val="36F13B12"/>
    <w:rsid w:val="37134B52"/>
    <w:rsid w:val="371E5D22"/>
    <w:rsid w:val="372121DF"/>
    <w:rsid w:val="372B210B"/>
    <w:rsid w:val="37306023"/>
    <w:rsid w:val="37313D2C"/>
    <w:rsid w:val="374163DD"/>
    <w:rsid w:val="37430507"/>
    <w:rsid w:val="374A12DF"/>
    <w:rsid w:val="374A30BC"/>
    <w:rsid w:val="37600231"/>
    <w:rsid w:val="37664190"/>
    <w:rsid w:val="377F290C"/>
    <w:rsid w:val="3784093B"/>
    <w:rsid w:val="378A1E96"/>
    <w:rsid w:val="37941217"/>
    <w:rsid w:val="379B75D1"/>
    <w:rsid w:val="37AC222A"/>
    <w:rsid w:val="37AE0A94"/>
    <w:rsid w:val="37B4708C"/>
    <w:rsid w:val="37DE1449"/>
    <w:rsid w:val="37E24028"/>
    <w:rsid w:val="37EB5470"/>
    <w:rsid w:val="37EB7D13"/>
    <w:rsid w:val="37FE666B"/>
    <w:rsid w:val="381060BA"/>
    <w:rsid w:val="382B04F1"/>
    <w:rsid w:val="38446DC9"/>
    <w:rsid w:val="38455DBC"/>
    <w:rsid w:val="386D158E"/>
    <w:rsid w:val="387C378D"/>
    <w:rsid w:val="38894669"/>
    <w:rsid w:val="388F09BA"/>
    <w:rsid w:val="38912FC4"/>
    <w:rsid w:val="389429B3"/>
    <w:rsid w:val="38952379"/>
    <w:rsid w:val="38A5230D"/>
    <w:rsid w:val="38A91EED"/>
    <w:rsid w:val="38AD22A4"/>
    <w:rsid w:val="38D652E6"/>
    <w:rsid w:val="38D91B47"/>
    <w:rsid w:val="38E06C42"/>
    <w:rsid w:val="38F33622"/>
    <w:rsid w:val="39117598"/>
    <w:rsid w:val="391C05D5"/>
    <w:rsid w:val="392379A4"/>
    <w:rsid w:val="393450E6"/>
    <w:rsid w:val="39470B37"/>
    <w:rsid w:val="395F7388"/>
    <w:rsid w:val="39750026"/>
    <w:rsid w:val="39945C97"/>
    <w:rsid w:val="39956C9F"/>
    <w:rsid w:val="39B02EA0"/>
    <w:rsid w:val="39DC0289"/>
    <w:rsid w:val="39DF662B"/>
    <w:rsid w:val="39E90F56"/>
    <w:rsid w:val="39EC67E1"/>
    <w:rsid w:val="39ED7687"/>
    <w:rsid w:val="3A3045CD"/>
    <w:rsid w:val="3A475BA8"/>
    <w:rsid w:val="3A595B13"/>
    <w:rsid w:val="3A63179A"/>
    <w:rsid w:val="3A6E44B2"/>
    <w:rsid w:val="3A706196"/>
    <w:rsid w:val="3A752DA1"/>
    <w:rsid w:val="3A7941F2"/>
    <w:rsid w:val="3A8A2640"/>
    <w:rsid w:val="3A8B5B19"/>
    <w:rsid w:val="3A920F5E"/>
    <w:rsid w:val="3A986380"/>
    <w:rsid w:val="3AA06EA0"/>
    <w:rsid w:val="3AA73EB8"/>
    <w:rsid w:val="3AAC5D7F"/>
    <w:rsid w:val="3AB03436"/>
    <w:rsid w:val="3ABE3730"/>
    <w:rsid w:val="3AD22154"/>
    <w:rsid w:val="3AD8545B"/>
    <w:rsid w:val="3B1079A8"/>
    <w:rsid w:val="3B2105AF"/>
    <w:rsid w:val="3B214B18"/>
    <w:rsid w:val="3B215271"/>
    <w:rsid w:val="3B2563B8"/>
    <w:rsid w:val="3B2B2792"/>
    <w:rsid w:val="3B355475"/>
    <w:rsid w:val="3B3A78C9"/>
    <w:rsid w:val="3B48557D"/>
    <w:rsid w:val="3B503782"/>
    <w:rsid w:val="3B6A11D9"/>
    <w:rsid w:val="3B6D095B"/>
    <w:rsid w:val="3B734E00"/>
    <w:rsid w:val="3B8D6650"/>
    <w:rsid w:val="3B920518"/>
    <w:rsid w:val="3B9A1742"/>
    <w:rsid w:val="3BA66548"/>
    <w:rsid w:val="3BCA623D"/>
    <w:rsid w:val="3BCC1754"/>
    <w:rsid w:val="3BF57D50"/>
    <w:rsid w:val="3BF76A14"/>
    <w:rsid w:val="3C14532A"/>
    <w:rsid w:val="3C407FA0"/>
    <w:rsid w:val="3C8D6050"/>
    <w:rsid w:val="3C9C65D8"/>
    <w:rsid w:val="3C9D03EA"/>
    <w:rsid w:val="3CB83C4E"/>
    <w:rsid w:val="3CCA6FB6"/>
    <w:rsid w:val="3CCF7384"/>
    <w:rsid w:val="3CEA797A"/>
    <w:rsid w:val="3D044DD5"/>
    <w:rsid w:val="3D17341B"/>
    <w:rsid w:val="3D2D54A1"/>
    <w:rsid w:val="3D61623F"/>
    <w:rsid w:val="3D715A15"/>
    <w:rsid w:val="3D846133"/>
    <w:rsid w:val="3DB51543"/>
    <w:rsid w:val="3DBB5AFC"/>
    <w:rsid w:val="3DE67508"/>
    <w:rsid w:val="3E1E3D20"/>
    <w:rsid w:val="3E385015"/>
    <w:rsid w:val="3E545274"/>
    <w:rsid w:val="3E615D5C"/>
    <w:rsid w:val="3E7C3033"/>
    <w:rsid w:val="3E941C5E"/>
    <w:rsid w:val="3EB30DA9"/>
    <w:rsid w:val="3EBE20E4"/>
    <w:rsid w:val="3EC72EF5"/>
    <w:rsid w:val="3EC9426F"/>
    <w:rsid w:val="3ED277E4"/>
    <w:rsid w:val="3ED530D7"/>
    <w:rsid w:val="3ED57D42"/>
    <w:rsid w:val="3EF72792"/>
    <w:rsid w:val="3F03191F"/>
    <w:rsid w:val="3F045CC1"/>
    <w:rsid w:val="3F0819EA"/>
    <w:rsid w:val="3F1C0992"/>
    <w:rsid w:val="3F1C6083"/>
    <w:rsid w:val="3F342A05"/>
    <w:rsid w:val="3F554D3A"/>
    <w:rsid w:val="3F6F2D6A"/>
    <w:rsid w:val="3F8A0576"/>
    <w:rsid w:val="3F9422D9"/>
    <w:rsid w:val="3FAA26B9"/>
    <w:rsid w:val="3FC479AE"/>
    <w:rsid w:val="3FC817A0"/>
    <w:rsid w:val="3FDA79C7"/>
    <w:rsid w:val="3FDC20FC"/>
    <w:rsid w:val="3FF468CF"/>
    <w:rsid w:val="4015085E"/>
    <w:rsid w:val="402522F2"/>
    <w:rsid w:val="40287827"/>
    <w:rsid w:val="402C0648"/>
    <w:rsid w:val="40320BF0"/>
    <w:rsid w:val="40493799"/>
    <w:rsid w:val="40685F07"/>
    <w:rsid w:val="40774298"/>
    <w:rsid w:val="4079299C"/>
    <w:rsid w:val="408231F0"/>
    <w:rsid w:val="409F529D"/>
    <w:rsid w:val="40B72AA0"/>
    <w:rsid w:val="40D45B6B"/>
    <w:rsid w:val="40E85864"/>
    <w:rsid w:val="41165106"/>
    <w:rsid w:val="41172175"/>
    <w:rsid w:val="41227E15"/>
    <w:rsid w:val="412E6D6D"/>
    <w:rsid w:val="41411847"/>
    <w:rsid w:val="414517E9"/>
    <w:rsid w:val="414B634F"/>
    <w:rsid w:val="415150AD"/>
    <w:rsid w:val="4166799B"/>
    <w:rsid w:val="417D3B8C"/>
    <w:rsid w:val="418106BC"/>
    <w:rsid w:val="41942A6F"/>
    <w:rsid w:val="419845BE"/>
    <w:rsid w:val="419B4F7D"/>
    <w:rsid w:val="41B50CFB"/>
    <w:rsid w:val="41B8786E"/>
    <w:rsid w:val="41C15915"/>
    <w:rsid w:val="41C6238C"/>
    <w:rsid w:val="41CC0465"/>
    <w:rsid w:val="41CC64E1"/>
    <w:rsid w:val="41EA2AA4"/>
    <w:rsid w:val="41F335F1"/>
    <w:rsid w:val="42164909"/>
    <w:rsid w:val="42195497"/>
    <w:rsid w:val="422D6CEA"/>
    <w:rsid w:val="42321034"/>
    <w:rsid w:val="42393866"/>
    <w:rsid w:val="425D60B5"/>
    <w:rsid w:val="427555EA"/>
    <w:rsid w:val="427718F8"/>
    <w:rsid w:val="427E07A6"/>
    <w:rsid w:val="427F2D29"/>
    <w:rsid w:val="4280527B"/>
    <w:rsid w:val="429F25DD"/>
    <w:rsid w:val="42AA7731"/>
    <w:rsid w:val="42B00AE5"/>
    <w:rsid w:val="42BE061C"/>
    <w:rsid w:val="42CB39F7"/>
    <w:rsid w:val="42CB4434"/>
    <w:rsid w:val="42D46CCE"/>
    <w:rsid w:val="42E6418B"/>
    <w:rsid w:val="4323060C"/>
    <w:rsid w:val="43261C87"/>
    <w:rsid w:val="432F63FE"/>
    <w:rsid w:val="4346344F"/>
    <w:rsid w:val="436A4283"/>
    <w:rsid w:val="436B6208"/>
    <w:rsid w:val="436F0868"/>
    <w:rsid w:val="43714121"/>
    <w:rsid w:val="437B1291"/>
    <w:rsid w:val="437D10FC"/>
    <w:rsid w:val="43934454"/>
    <w:rsid w:val="43BF002A"/>
    <w:rsid w:val="43E75BE6"/>
    <w:rsid w:val="442029D9"/>
    <w:rsid w:val="442D5BD5"/>
    <w:rsid w:val="442F14B2"/>
    <w:rsid w:val="442F7B38"/>
    <w:rsid w:val="444F0360"/>
    <w:rsid w:val="44626140"/>
    <w:rsid w:val="446478B9"/>
    <w:rsid w:val="446B1BA4"/>
    <w:rsid w:val="44840EEB"/>
    <w:rsid w:val="448C10A7"/>
    <w:rsid w:val="448C565E"/>
    <w:rsid w:val="448D529C"/>
    <w:rsid w:val="44A9330A"/>
    <w:rsid w:val="44C57378"/>
    <w:rsid w:val="44F072B6"/>
    <w:rsid w:val="44F735EB"/>
    <w:rsid w:val="44FF6ABD"/>
    <w:rsid w:val="450358CE"/>
    <w:rsid w:val="45091698"/>
    <w:rsid w:val="450D534A"/>
    <w:rsid w:val="45126002"/>
    <w:rsid w:val="451C4570"/>
    <w:rsid w:val="451C7BB5"/>
    <w:rsid w:val="452E3ECE"/>
    <w:rsid w:val="4544703A"/>
    <w:rsid w:val="45470142"/>
    <w:rsid w:val="454B74D1"/>
    <w:rsid w:val="454F2A1E"/>
    <w:rsid w:val="455E46B0"/>
    <w:rsid w:val="459C654A"/>
    <w:rsid w:val="45A87413"/>
    <w:rsid w:val="45C2168A"/>
    <w:rsid w:val="45C83AB0"/>
    <w:rsid w:val="45CB270B"/>
    <w:rsid w:val="45E72B46"/>
    <w:rsid w:val="46152310"/>
    <w:rsid w:val="46443966"/>
    <w:rsid w:val="46544A62"/>
    <w:rsid w:val="465F6A9A"/>
    <w:rsid w:val="46795A90"/>
    <w:rsid w:val="46815E1E"/>
    <w:rsid w:val="469D286C"/>
    <w:rsid w:val="46A44D6F"/>
    <w:rsid w:val="46A51DEA"/>
    <w:rsid w:val="46BA0F5F"/>
    <w:rsid w:val="46C463C9"/>
    <w:rsid w:val="46D5187E"/>
    <w:rsid w:val="470A62B1"/>
    <w:rsid w:val="47302BA5"/>
    <w:rsid w:val="47306FD2"/>
    <w:rsid w:val="47364047"/>
    <w:rsid w:val="47524729"/>
    <w:rsid w:val="47602663"/>
    <w:rsid w:val="47651FF1"/>
    <w:rsid w:val="4769369E"/>
    <w:rsid w:val="476F44C5"/>
    <w:rsid w:val="47797F73"/>
    <w:rsid w:val="478B6FB2"/>
    <w:rsid w:val="47911E91"/>
    <w:rsid w:val="4793424A"/>
    <w:rsid w:val="47963098"/>
    <w:rsid w:val="47A06AC4"/>
    <w:rsid w:val="47A86FDD"/>
    <w:rsid w:val="47BC245D"/>
    <w:rsid w:val="47C34E35"/>
    <w:rsid w:val="47D37AEF"/>
    <w:rsid w:val="47F04DCA"/>
    <w:rsid w:val="47FD17E6"/>
    <w:rsid w:val="47FF5C6D"/>
    <w:rsid w:val="4846403E"/>
    <w:rsid w:val="48472AF4"/>
    <w:rsid w:val="484E1E31"/>
    <w:rsid w:val="488D3544"/>
    <w:rsid w:val="48A70ED8"/>
    <w:rsid w:val="48A71918"/>
    <w:rsid w:val="48CE3362"/>
    <w:rsid w:val="48D572A7"/>
    <w:rsid w:val="4903412D"/>
    <w:rsid w:val="49126014"/>
    <w:rsid w:val="491A53DA"/>
    <w:rsid w:val="492B448B"/>
    <w:rsid w:val="492E3458"/>
    <w:rsid w:val="49406D44"/>
    <w:rsid w:val="49436066"/>
    <w:rsid w:val="494C3F30"/>
    <w:rsid w:val="494F258A"/>
    <w:rsid w:val="49530A97"/>
    <w:rsid w:val="49571371"/>
    <w:rsid w:val="495A119B"/>
    <w:rsid w:val="49622D20"/>
    <w:rsid w:val="49697FA0"/>
    <w:rsid w:val="496D651B"/>
    <w:rsid w:val="497225C0"/>
    <w:rsid w:val="498C4807"/>
    <w:rsid w:val="49A9114C"/>
    <w:rsid w:val="49BF1AC7"/>
    <w:rsid w:val="49CB4DFB"/>
    <w:rsid w:val="49E862C8"/>
    <w:rsid w:val="49FB749D"/>
    <w:rsid w:val="4A036E10"/>
    <w:rsid w:val="4A2134B8"/>
    <w:rsid w:val="4A2A611D"/>
    <w:rsid w:val="4A4D5BCC"/>
    <w:rsid w:val="4A7B2993"/>
    <w:rsid w:val="4A7E31F9"/>
    <w:rsid w:val="4A854FF7"/>
    <w:rsid w:val="4AA7471B"/>
    <w:rsid w:val="4AB026E4"/>
    <w:rsid w:val="4ABA0CF9"/>
    <w:rsid w:val="4ADB5AEF"/>
    <w:rsid w:val="4B044EA1"/>
    <w:rsid w:val="4B0E1388"/>
    <w:rsid w:val="4B1831FD"/>
    <w:rsid w:val="4B1A5857"/>
    <w:rsid w:val="4B247433"/>
    <w:rsid w:val="4B352D10"/>
    <w:rsid w:val="4B405F24"/>
    <w:rsid w:val="4B411504"/>
    <w:rsid w:val="4B432971"/>
    <w:rsid w:val="4B4A644B"/>
    <w:rsid w:val="4B4B7537"/>
    <w:rsid w:val="4B6762D4"/>
    <w:rsid w:val="4B884BE2"/>
    <w:rsid w:val="4B941653"/>
    <w:rsid w:val="4BA45E9D"/>
    <w:rsid w:val="4BA60A40"/>
    <w:rsid w:val="4BA664FE"/>
    <w:rsid w:val="4BC07F44"/>
    <w:rsid w:val="4BD96738"/>
    <w:rsid w:val="4C022C09"/>
    <w:rsid w:val="4C0C0F04"/>
    <w:rsid w:val="4C111625"/>
    <w:rsid w:val="4C2D4E88"/>
    <w:rsid w:val="4C30272D"/>
    <w:rsid w:val="4C355474"/>
    <w:rsid w:val="4C38272B"/>
    <w:rsid w:val="4C46366D"/>
    <w:rsid w:val="4C5636F2"/>
    <w:rsid w:val="4C6F3656"/>
    <w:rsid w:val="4CA732FB"/>
    <w:rsid w:val="4CA92672"/>
    <w:rsid w:val="4CAA4FC8"/>
    <w:rsid w:val="4CC367F8"/>
    <w:rsid w:val="4CD77E62"/>
    <w:rsid w:val="4CDF29DE"/>
    <w:rsid w:val="4CEE2ECE"/>
    <w:rsid w:val="4D070FDE"/>
    <w:rsid w:val="4D19690D"/>
    <w:rsid w:val="4D2514F1"/>
    <w:rsid w:val="4D661188"/>
    <w:rsid w:val="4D6B0D20"/>
    <w:rsid w:val="4D6F5508"/>
    <w:rsid w:val="4D78752C"/>
    <w:rsid w:val="4D835D31"/>
    <w:rsid w:val="4D9E44E1"/>
    <w:rsid w:val="4DCF48CC"/>
    <w:rsid w:val="4DF01756"/>
    <w:rsid w:val="4E0179A0"/>
    <w:rsid w:val="4E113146"/>
    <w:rsid w:val="4E1A2011"/>
    <w:rsid w:val="4E2A1718"/>
    <w:rsid w:val="4E2D1241"/>
    <w:rsid w:val="4E3369C4"/>
    <w:rsid w:val="4E347FF5"/>
    <w:rsid w:val="4E5321F4"/>
    <w:rsid w:val="4E5729D2"/>
    <w:rsid w:val="4E603A4E"/>
    <w:rsid w:val="4EB45310"/>
    <w:rsid w:val="4EB94A63"/>
    <w:rsid w:val="4EC64B0C"/>
    <w:rsid w:val="4EDB0B01"/>
    <w:rsid w:val="4EE17896"/>
    <w:rsid w:val="4F026112"/>
    <w:rsid w:val="4F065E8C"/>
    <w:rsid w:val="4F1A7936"/>
    <w:rsid w:val="4F392132"/>
    <w:rsid w:val="4F541322"/>
    <w:rsid w:val="4F5F4242"/>
    <w:rsid w:val="4F6021D7"/>
    <w:rsid w:val="4F69495C"/>
    <w:rsid w:val="4F6F4563"/>
    <w:rsid w:val="4F880ED6"/>
    <w:rsid w:val="4F9B2C66"/>
    <w:rsid w:val="4FAC5942"/>
    <w:rsid w:val="4FB72918"/>
    <w:rsid w:val="4FBC2C45"/>
    <w:rsid w:val="4FC36260"/>
    <w:rsid w:val="4FC56DA3"/>
    <w:rsid w:val="4FD54299"/>
    <w:rsid w:val="4FE505B2"/>
    <w:rsid w:val="5021213E"/>
    <w:rsid w:val="503228FE"/>
    <w:rsid w:val="50343846"/>
    <w:rsid w:val="503E28F3"/>
    <w:rsid w:val="508E2914"/>
    <w:rsid w:val="50B27A2D"/>
    <w:rsid w:val="50B67110"/>
    <w:rsid w:val="50BD272D"/>
    <w:rsid w:val="50CD193D"/>
    <w:rsid w:val="50E37745"/>
    <w:rsid w:val="50F001D8"/>
    <w:rsid w:val="50FB1CE6"/>
    <w:rsid w:val="510078B2"/>
    <w:rsid w:val="511018BE"/>
    <w:rsid w:val="5112428C"/>
    <w:rsid w:val="51125E52"/>
    <w:rsid w:val="511A3E3E"/>
    <w:rsid w:val="51257FDD"/>
    <w:rsid w:val="512A1D61"/>
    <w:rsid w:val="513A0C5F"/>
    <w:rsid w:val="5148475C"/>
    <w:rsid w:val="514B2A0C"/>
    <w:rsid w:val="514C1E9C"/>
    <w:rsid w:val="516974B7"/>
    <w:rsid w:val="51802259"/>
    <w:rsid w:val="518B7DF1"/>
    <w:rsid w:val="51A77379"/>
    <w:rsid w:val="51CB0FA3"/>
    <w:rsid w:val="51CC3A8A"/>
    <w:rsid w:val="51CD255F"/>
    <w:rsid w:val="51F255BE"/>
    <w:rsid w:val="51FC57C5"/>
    <w:rsid w:val="52073716"/>
    <w:rsid w:val="520C1FC6"/>
    <w:rsid w:val="522A5E4E"/>
    <w:rsid w:val="522D0140"/>
    <w:rsid w:val="52306708"/>
    <w:rsid w:val="52322922"/>
    <w:rsid w:val="52407164"/>
    <w:rsid w:val="525A0942"/>
    <w:rsid w:val="525F0F66"/>
    <w:rsid w:val="526A6BCF"/>
    <w:rsid w:val="52714710"/>
    <w:rsid w:val="52723AF7"/>
    <w:rsid w:val="527E78EA"/>
    <w:rsid w:val="52A26101"/>
    <w:rsid w:val="52B5564B"/>
    <w:rsid w:val="52B62A52"/>
    <w:rsid w:val="52C141E1"/>
    <w:rsid w:val="52C43D84"/>
    <w:rsid w:val="52D20327"/>
    <w:rsid w:val="52E319A1"/>
    <w:rsid w:val="52EE22F0"/>
    <w:rsid w:val="530C26F2"/>
    <w:rsid w:val="53171E14"/>
    <w:rsid w:val="53236841"/>
    <w:rsid w:val="5329052F"/>
    <w:rsid w:val="532C4202"/>
    <w:rsid w:val="533A5988"/>
    <w:rsid w:val="535D1AC5"/>
    <w:rsid w:val="536A49AA"/>
    <w:rsid w:val="53804A85"/>
    <w:rsid w:val="538E3F0D"/>
    <w:rsid w:val="539021B2"/>
    <w:rsid w:val="53AC0406"/>
    <w:rsid w:val="53AC14CD"/>
    <w:rsid w:val="53B15B82"/>
    <w:rsid w:val="53B77C2E"/>
    <w:rsid w:val="53BF203C"/>
    <w:rsid w:val="53BF6B81"/>
    <w:rsid w:val="53C134D2"/>
    <w:rsid w:val="53CA5E74"/>
    <w:rsid w:val="53CD7DBE"/>
    <w:rsid w:val="53E56FD9"/>
    <w:rsid w:val="53EE672B"/>
    <w:rsid w:val="53EF2477"/>
    <w:rsid w:val="53F470B8"/>
    <w:rsid w:val="54093BD3"/>
    <w:rsid w:val="54097C23"/>
    <w:rsid w:val="540B6611"/>
    <w:rsid w:val="541C04DD"/>
    <w:rsid w:val="54265BC7"/>
    <w:rsid w:val="54370DDF"/>
    <w:rsid w:val="547923AC"/>
    <w:rsid w:val="547B5E94"/>
    <w:rsid w:val="54846758"/>
    <w:rsid w:val="549345CA"/>
    <w:rsid w:val="549E6E2C"/>
    <w:rsid w:val="54AF0540"/>
    <w:rsid w:val="54D6736F"/>
    <w:rsid w:val="54D83E7C"/>
    <w:rsid w:val="54EA549F"/>
    <w:rsid w:val="54EF7473"/>
    <w:rsid w:val="54F068E4"/>
    <w:rsid w:val="54F07698"/>
    <w:rsid w:val="55180DD2"/>
    <w:rsid w:val="551B0A55"/>
    <w:rsid w:val="552369D3"/>
    <w:rsid w:val="556027E5"/>
    <w:rsid w:val="556E7474"/>
    <w:rsid w:val="55863EE9"/>
    <w:rsid w:val="559710FA"/>
    <w:rsid w:val="55AC03E1"/>
    <w:rsid w:val="55B53494"/>
    <w:rsid w:val="55C26BC6"/>
    <w:rsid w:val="55FA702D"/>
    <w:rsid w:val="561C2E9B"/>
    <w:rsid w:val="56590F01"/>
    <w:rsid w:val="567049F6"/>
    <w:rsid w:val="567A79EA"/>
    <w:rsid w:val="56931E0F"/>
    <w:rsid w:val="569651C2"/>
    <w:rsid w:val="569B134D"/>
    <w:rsid w:val="56A815A0"/>
    <w:rsid w:val="56CD7632"/>
    <w:rsid w:val="56E76EC7"/>
    <w:rsid w:val="56EA5851"/>
    <w:rsid w:val="56F513AA"/>
    <w:rsid w:val="56FB0A12"/>
    <w:rsid w:val="56FD414B"/>
    <w:rsid w:val="570F0772"/>
    <w:rsid w:val="57102454"/>
    <w:rsid w:val="57211138"/>
    <w:rsid w:val="57582AA1"/>
    <w:rsid w:val="57675EF0"/>
    <w:rsid w:val="576D575D"/>
    <w:rsid w:val="57733938"/>
    <w:rsid w:val="57AA2368"/>
    <w:rsid w:val="57AB1B14"/>
    <w:rsid w:val="57B8567A"/>
    <w:rsid w:val="57BB47FC"/>
    <w:rsid w:val="57C92B11"/>
    <w:rsid w:val="57D97B29"/>
    <w:rsid w:val="57F32056"/>
    <w:rsid w:val="57FF49A2"/>
    <w:rsid w:val="58006282"/>
    <w:rsid w:val="5815664D"/>
    <w:rsid w:val="582D6B5B"/>
    <w:rsid w:val="5839557B"/>
    <w:rsid w:val="583C27FB"/>
    <w:rsid w:val="584874A1"/>
    <w:rsid w:val="585E7475"/>
    <w:rsid w:val="58AE3D7E"/>
    <w:rsid w:val="58B51453"/>
    <w:rsid w:val="58B715B5"/>
    <w:rsid w:val="58BC3E75"/>
    <w:rsid w:val="58C70840"/>
    <w:rsid w:val="58C937C8"/>
    <w:rsid w:val="58D554AB"/>
    <w:rsid w:val="58E50EFC"/>
    <w:rsid w:val="58E929AE"/>
    <w:rsid w:val="59065668"/>
    <w:rsid w:val="59076573"/>
    <w:rsid w:val="590D5BBC"/>
    <w:rsid w:val="592E7F78"/>
    <w:rsid w:val="59626F91"/>
    <w:rsid w:val="59647E42"/>
    <w:rsid w:val="59676B73"/>
    <w:rsid w:val="597B6167"/>
    <w:rsid w:val="59A53D44"/>
    <w:rsid w:val="59AA5C4B"/>
    <w:rsid w:val="59B23EFE"/>
    <w:rsid w:val="59E50E58"/>
    <w:rsid w:val="59EA0197"/>
    <w:rsid w:val="59ED662C"/>
    <w:rsid w:val="59F81A1A"/>
    <w:rsid w:val="5A0D2160"/>
    <w:rsid w:val="5A2064C6"/>
    <w:rsid w:val="5A2A2E8C"/>
    <w:rsid w:val="5A325A5A"/>
    <w:rsid w:val="5A5D3E75"/>
    <w:rsid w:val="5A6565A1"/>
    <w:rsid w:val="5A685878"/>
    <w:rsid w:val="5A6C02C1"/>
    <w:rsid w:val="5A7E3864"/>
    <w:rsid w:val="5A7F4903"/>
    <w:rsid w:val="5AAB587F"/>
    <w:rsid w:val="5AB1411B"/>
    <w:rsid w:val="5ABD5E24"/>
    <w:rsid w:val="5ACC7B70"/>
    <w:rsid w:val="5ACE0DDF"/>
    <w:rsid w:val="5AD771F7"/>
    <w:rsid w:val="5AEF4207"/>
    <w:rsid w:val="5AF535EB"/>
    <w:rsid w:val="5B3A0B7A"/>
    <w:rsid w:val="5B4B7AE2"/>
    <w:rsid w:val="5B5A29AF"/>
    <w:rsid w:val="5BCA5FCA"/>
    <w:rsid w:val="5BCE4A11"/>
    <w:rsid w:val="5BD026C9"/>
    <w:rsid w:val="5BD77157"/>
    <w:rsid w:val="5BD96E75"/>
    <w:rsid w:val="5BEF15D7"/>
    <w:rsid w:val="5C057423"/>
    <w:rsid w:val="5C195511"/>
    <w:rsid w:val="5C652675"/>
    <w:rsid w:val="5C924B8C"/>
    <w:rsid w:val="5C9A2AE0"/>
    <w:rsid w:val="5CA149CC"/>
    <w:rsid w:val="5CAF6E95"/>
    <w:rsid w:val="5CB2652E"/>
    <w:rsid w:val="5CC620DE"/>
    <w:rsid w:val="5CD249F2"/>
    <w:rsid w:val="5CDA4C73"/>
    <w:rsid w:val="5CEE3762"/>
    <w:rsid w:val="5CF513AD"/>
    <w:rsid w:val="5D00199D"/>
    <w:rsid w:val="5D1054A0"/>
    <w:rsid w:val="5D4452A1"/>
    <w:rsid w:val="5D476A77"/>
    <w:rsid w:val="5D6C7F36"/>
    <w:rsid w:val="5D8A02FB"/>
    <w:rsid w:val="5D982A6D"/>
    <w:rsid w:val="5DA279CA"/>
    <w:rsid w:val="5DA35C40"/>
    <w:rsid w:val="5E1A2AC3"/>
    <w:rsid w:val="5E2D46E5"/>
    <w:rsid w:val="5E711788"/>
    <w:rsid w:val="5E843B25"/>
    <w:rsid w:val="5E8F5D53"/>
    <w:rsid w:val="5E911415"/>
    <w:rsid w:val="5EA9083C"/>
    <w:rsid w:val="5EA9605F"/>
    <w:rsid w:val="5EAA766D"/>
    <w:rsid w:val="5EAD3F62"/>
    <w:rsid w:val="5EC125F5"/>
    <w:rsid w:val="5ED32BAF"/>
    <w:rsid w:val="5EDA47F2"/>
    <w:rsid w:val="5EDE652B"/>
    <w:rsid w:val="5EDF0CAD"/>
    <w:rsid w:val="5EDF25E7"/>
    <w:rsid w:val="5EE04CBC"/>
    <w:rsid w:val="5F037DFB"/>
    <w:rsid w:val="5F1C7435"/>
    <w:rsid w:val="5F2D4151"/>
    <w:rsid w:val="5F3A1A5D"/>
    <w:rsid w:val="5F3C49D4"/>
    <w:rsid w:val="5F4134CF"/>
    <w:rsid w:val="5F4D52DD"/>
    <w:rsid w:val="5F887624"/>
    <w:rsid w:val="5F8E736A"/>
    <w:rsid w:val="5FB55E98"/>
    <w:rsid w:val="5FB86C10"/>
    <w:rsid w:val="5FDB0893"/>
    <w:rsid w:val="5FDC76FC"/>
    <w:rsid w:val="600D4A85"/>
    <w:rsid w:val="603330F1"/>
    <w:rsid w:val="60376C02"/>
    <w:rsid w:val="603E14FF"/>
    <w:rsid w:val="60492C0C"/>
    <w:rsid w:val="60551410"/>
    <w:rsid w:val="605612C3"/>
    <w:rsid w:val="60563F89"/>
    <w:rsid w:val="60647DCA"/>
    <w:rsid w:val="60707ACD"/>
    <w:rsid w:val="608A1809"/>
    <w:rsid w:val="609A2B6D"/>
    <w:rsid w:val="60A309AF"/>
    <w:rsid w:val="60C22AD0"/>
    <w:rsid w:val="60D9586D"/>
    <w:rsid w:val="60E73346"/>
    <w:rsid w:val="60EF4B26"/>
    <w:rsid w:val="60F04BB5"/>
    <w:rsid w:val="60FE5EA2"/>
    <w:rsid w:val="610A13A7"/>
    <w:rsid w:val="612226C4"/>
    <w:rsid w:val="61252FAC"/>
    <w:rsid w:val="612F1D57"/>
    <w:rsid w:val="61314570"/>
    <w:rsid w:val="616C49A0"/>
    <w:rsid w:val="61793D8A"/>
    <w:rsid w:val="61850986"/>
    <w:rsid w:val="618727A2"/>
    <w:rsid w:val="61C56E2C"/>
    <w:rsid w:val="61CC02C1"/>
    <w:rsid w:val="61D63C7D"/>
    <w:rsid w:val="61E360E9"/>
    <w:rsid w:val="61E756E7"/>
    <w:rsid w:val="61F6117C"/>
    <w:rsid w:val="62006649"/>
    <w:rsid w:val="62103E43"/>
    <w:rsid w:val="623512CD"/>
    <w:rsid w:val="624178E3"/>
    <w:rsid w:val="624C77CD"/>
    <w:rsid w:val="624D47A1"/>
    <w:rsid w:val="62534489"/>
    <w:rsid w:val="62574F2E"/>
    <w:rsid w:val="626F1569"/>
    <w:rsid w:val="6270543A"/>
    <w:rsid w:val="627E0BE3"/>
    <w:rsid w:val="627F07BD"/>
    <w:rsid w:val="62A77E37"/>
    <w:rsid w:val="62AB2961"/>
    <w:rsid w:val="62AE7DEB"/>
    <w:rsid w:val="62B3004A"/>
    <w:rsid w:val="62B32A57"/>
    <w:rsid w:val="62B82E4B"/>
    <w:rsid w:val="62B933FF"/>
    <w:rsid w:val="62C71EEA"/>
    <w:rsid w:val="62CA3CF3"/>
    <w:rsid w:val="62CB02BE"/>
    <w:rsid w:val="62D249FE"/>
    <w:rsid w:val="62D55F69"/>
    <w:rsid w:val="62E95404"/>
    <w:rsid w:val="631700D4"/>
    <w:rsid w:val="631B3641"/>
    <w:rsid w:val="63272D34"/>
    <w:rsid w:val="6329468E"/>
    <w:rsid w:val="633104BF"/>
    <w:rsid w:val="63344C8C"/>
    <w:rsid w:val="63406FA0"/>
    <w:rsid w:val="63422482"/>
    <w:rsid w:val="6354280F"/>
    <w:rsid w:val="637E1458"/>
    <w:rsid w:val="63830D67"/>
    <w:rsid w:val="6397440A"/>
    <w:rsid w:val="6399419D"/>
    <w:rsid w:val="63A85922"/>
    <w:rsid w:val="63BC1F35"/>
    <w:rsid w:val="63CC4E6D"/>
    <w:rsid w:val="63D56E9A"/>
    <w:rsid w:val="63F250F6"/>
    <w:rsid w:val="63F47C4B"/>
    <w:rsid w:val="642D519E"/>
    <w:rsid w:val="642E3F9E"/>
    <w:rsid w:val="6434721D"/>
    <w:rsid w:val="64401C27"/>
    <w:rsid w:val="64447D76"/>
    <w:rsid w:val="64454FFA"/>
    <w:rsid w:val="644D7A26"/>
    <w:rsid w:val="64544684"/>
    <w:rsid w:val="645B4CA0"/>
    <w:rsid w:val="647F3C1A"/>
    <w:rsid w:val="64982142"/>
    <w:rsid w:val="64A04154"/>
    <w:rsid w:val="64A924D7"/>
    <w:rsid w:val="64C32263"/>
    <w:rsid w:val="64C55238"/>
    <w:rsid w:val="64E75A10"/>
    <w:rsid w:val="64E75A79"/>
    <w:rsid w:val="64EC5FE1"/>
    <w:rsid w:val="64EE6891"/>
    <w:rsid w:val="6513216A"/>
    <w:rsid w:val="65160BB3"/>
    <w:rsid w:val="652957F4"/>
    <w:rsid w:val="655F35E5"/>
    <w:rsid w:val="65740ADB"/>
    <w:rsid w:val="65846352"/>
    <w:rsid w:val="659323E2"/>
    <w:rsid w:val="659457AC"/>
    <w:rsid w:val="65A171F7"/>
    <w:rsid w:val="65A33DB8"/>
    <w:rsid w:val="65D85EA0"/>
    <w:rsid w:val="65DB6D7D"/>
    <w:rsid w:val="65EB5CDF"/>
    <w:rsid w:val="66022A59"/>
    <w:rsid w:val="660C0020"/>
    <w:rsid w:val="66170C30"/>
    <w:rsid w:val="66216D3C"/>
    <w:rsid w:val="6626531D"/>
    <w:rsid w:val="663435A5"/>
    <w:rsid w:val="663D0F20"/>
    <w:rsid w:val="664015F0"/>
    <w:rsid w:val="664A5A2B"/>
    <w:rsid w:val="665A4696"/>
    <w:rsid w:val="66710754"/>
    <w:rsid w:val="667A66B3"/>
    <w:rsid w:val="6688244E"/>
    <w:rsid w:val="669C2E44"/>
    <w:rsid w:val="66B245BD"/>
    <w:rsid w:val="66C41C61"/>
    <w:rsid w:val="66E82255"/>
    <w:rsid w:val="66F13D37"/>
    <w:rsid w:val="67207C91"/>
    <w:rsid w:val="67353772"/>
    <w:rsid w:val="673B294E"/>
    <w:rsid w:val="67596C99"/>
    <w:rsid w:val="675A3075"/>
    <w:rsid w:val="6776045D"/>
    <w:rsid w:val="67971A1E"/>
    <w:rsid w:val="67A909B1"/>
    <w:rsid w:val="67B2720A"/>
    <w:rsid w:val="67CA756C"/>
    <w:rsid w:val="682A3996"/>
    <w:rsid w:val="683337E5"/>
    <w:rsid w:val="683F5F75"/>
    <w:rsid w:val="68445FCA"/>
    <w:rsid w:val="685238EB"/>
    <w:rsid w:val="68823C24"/>
    <w:rsid w:val="688359BD"/>
    <w:rsid w:val="68A04D85"/>
    <w:rsid w:val="68BC3405"/>
    <w:rsid w:val="68C60E8D"/>
    <w:rsid w:val="68D63646"/>
    <w:rsid w:val="68ED3738"/>
    <w:rsid w:val="69043564"/>
    <w:rsid w:val="690A1540"/>
    <w:rsid w:val="691068BB"/>
    <w:rsid w:val="69406613"/>
    <w:rsid w:val="69462ED6"/>
    <w:rsid w:val="69625A20"/>
    <w:rsid w:val="697C0F1D"/>
    <w:rsid w:val="697C2086"/>
    <w:rsid w:val="69A10807"/>
    <w:rsid w:val="69BB5A17"/>
    <w:rsid w:val="69D56B39"/>
    <w:rsid w:val="69ED7BA5"/>
    <w:rsid w:val="6A155CC4"/>
    <w:rsid w:val="6A2826EC"/>
    <w:rsid w:val="6A2E3B80"/>
    <w:rsid w:val="6A2F664E"/>
    <w:rsid w:val="6A37372D"/>
    <w:rsid w:val="6A4224DF"/>
    <w:rsid w:val="6A501516"/>
    <w:rsid w:val="6A59682F"/>
    <w:rsid w:val="6A6537F6"/>
    <w:rsid w:val="6A7A7445"/>
    <w:rsid w:val="6A7B3A90"/>
    <w:rsid w:val="6A816917"/>
    <w:rsid w:val="6A9C692E"/>
    <w:rsid w:val="6A9D1690"/>
    <w:rsid w:val="6AAB6E79"/>
    <w:rsid w:val="6AB53E88"/>
    <w:rsid w:val="6ACB5CA7"/>
    <w:rsid w:val="6ADC09C2"/>
    <w:rsid w:val="6AE15129"/>
    <w:rsid w:val="6AE76B89"/>
    <w:rsid w:val="6AEB6165"/>
    <w:rsid w:val="6AF30E60"/>
    <w:rsid w:val="6AF40E19"/>
    <w:rsid w:val="6B065077"/>
    <w:rsid w:val="6B0F3DE7"/>
    <w:rsid w:val="6B120990"/>
    <w:rsid w:val="6B1463FB"/>
    <w:rsid w:val="6B1A292E"/>
    <w:rsid w:val="6B1F106C"/>
    <w:rsid w:val="6B2B6349"/>
    <w:rsid w:val="6B33416B"/>
    <w:rsid w:val="6B376D78"/>
    <w:rsid w:val="6B3A272B"/>
    <w:rsid w:val="6B417567"/>
    <w:rsid w:val="6B5037FF"/>
    <w:rsid w:val="6B7A6ABF"/>
    <w:rsid w:val="6B890726"/>
    <w:rsid w:val="6B8E1F19"/>
    <w:rsid w:val="6BB111A0"/>
    <w:rsid w:val="6BB21B39"/>
    <w:rsid w:val="6BBD0052"/>
    <w:rsid w:val="6BCB6A5B"/>
    <w:rsid w:val="6BCF27B3"/>
    <w:rsid w:val="6BD04B3B"/>
    <w:rsid w:val="6BD46CB4"/>
    <w:rsid w:val="6BD52A0B"/>
    <w:rsid w:val="6BE120C8"/>
    <w:rsid w:val="6BFA652D"/>
    <w:rsid w:val="6BFA7568"/>
    <w:rsid w:val="6C1718E1"/>
    <w:rsid w:val="6C28255A"/>
    <w:rsid w:val="6C490767"/>
    <w:rsid w:val="6C610636"/>
    <w:rsid w:val="6C666885"/>
    <w:rsid w:val="6C7F057D"/>
    <w:rsid w:val="6C89151A"/>
    <w:rsid w:val="6C9E34DE"/>
    <w:rsid w:val="6C9F390B"/>
    <w:rsid w:val="6CA172E8"/>
    <w:rsid w:val="6CA54D7D"/>
    <w:rsid w:val="6CD64DDA"/>
    <w:rsid w:val="6CE53C0D"/>
    <w:rsid w:val="6CF34418"/>
    <w:rsid w:val="6CF370A0"/>
    <w:rsid w:val="6D0529BF"/>
    <w:rsid w:val="6D1808E6"/>
    <w:rsid w:val="6D2D0C03"/>
    <w:rsid w:val="6D3C6B4D"/>
    <w:rsid w:val="6D4172C4"/>
    <w:rsid w:val="6D85768A"/>
    <w:rsid w:val="6D9037D6"/>
    <w:rsid w:val="6D996456"/>
    <w:rsid w:val="6DAB2821"/>
    <w:rsid w:val="6DB720C7"/>
    <w:rsid w:val="6DCB2732"/>
    <w:rsid w:val="6DF86915"/>
    <w:rsid w:val="6DF92DFA"/>
    <w:rsid w:val="6E055599"/>
    <w:rsid w:val="6E0F34F3"/>
    <w:rsid w:val="6E1105C4"/>
    <w:rsid w:val="6E124717"/>
    <w:rsid w:val="6E3F615F"/>
    <w:rsid w:val="6E41645E"/>
    <w:rsid w:val="6E5C6EDE"/>
    <w:rsid w:val="6E691AA5"/>
    <w:rsid w:val="6E9D5610"/>
    <w:rsid w:val="6EA30438"/>
    <w:rsid w:val="6EA91544"/>
    <w:rsid w:val="6EAE1417"/>
    <w:rsid w:val="6ED8587C"/>
    <w:rsid w:val="6EF0690B"/>
    <w:rsid w:val="6EF83C3E"/>
    <w:rsid w:val="6EFF1B78"/>
    <w:rsid w:val="6F0404FA"/>
    <w:rsid w:val="6F1F6075"/>
    <w:rsid w:val="6F4A0DA1"/>
    <w:rsid w:val="6F5109BC"/>
    <w:rsid w:val="6F526AB4"/>
    <w:rsid w:val="6F621BEE"/>
    <w:rsid w:val="6F717435"/>
    <w:rsid w:val="6F7E1906"/>
    <w:rsid w:val="6F875C2D"/>
    <w:rsid w:val="6F9C0483"/>
    <w:rsid w:val="6F9D101A"/>
    <w:rsid w:val="6FB379A6"/>
    <w:rsid w:val="6FD72685"/>
    <w:rsid w:val="6FDF29B6"/>
    <w:rsid w:val="6FE51A15"/>
    <w:rsid w:val="6FEA5837"/>
    <w:rsid w:val="70017CCB"/>
    <w:rsid w:val="7023747B"/>
    <w:rsid w:val="70263ACD"/>
    <w:rsid w:val="70361724"/>
    <w:rsid w:val="70551BB2"/>
    <w:rsid w:val="70741BD3"/>
    <w:rsid w:val="708818CF"/>
    <w:rsid w:val="70BC4E97"/>
    <w:rsid w:val="70C7082B"/>
    <w:rsid w:val="70DF0209"/>
    <w:rsid w:val="70FA552F"/>
    <w:rsid w:val="70FE5B4D"/>
    <w:rsid w:val="71014B74"/>
    <w:rsid w:val="710B6091"/>
    <w:rsid w:val="710F4674"/>
    <w:rsid w:val="71343D2D"/>
    <w:rsid w:val="71394CC1"/>
    <w:rsid w:val="71822BD9"/>
    <w:rsid w:val="71845B93"/>
    <w:rsid w:val="71876DEA"/>
    <w:rsid w:val="718F43F1"/>
    <w:rsid w:val="719E1A51"/>
    <w:rsid w:val="71A74EEB"/>
    <w:rsid w:val="71A87B6E"/>
    <w:rsid w:val="71B04175"/>
    <w:rsid w:val="71B20419"/>
    <w:rsid w:val="71B27292"/>
    <w:rsid w:val="71B33319"/>
    <w:rsid w:val="71BA4B8F"/>
    <w:rsid w:val="71D635C3"/>
    <w:rsid w:val="71EC4C76"/>
    <w:rsid w:val="72224C23"/>
    <w:rsid w:val="72385EA4"/>
    <w:rsid w:val="72451A93"/>
    <w:rsid w:val="72552769"/>
    <w:rsid w:val="72747035"/>
    <w:rsid w:val="72753B55"/>
    <w:rsid w:val="72794E03"/>
    <w:rsid w:val="72846BA9"/>
    <w:rsid w:val="72950DCC"/>
    <w:rsid w:val="729A7A52"/>
    <w:rsid w:val="72B972C1"/>
    <w:rsid w:val="72BC1EAA"/>
    <w:rsid w:val="72BC2F30"/>
    <w:rsid w:val="72CF6BEC"/>
    <w:rsid w:val="72DD0955"/>
    <w:rsid w:val="73056E57"/>
    <w:rsid w:val="7310122E"/>
    <w:rsid w:val="731422C3"/>
    <w:rsid w:val="732E7DF8"/>
    <w:rsid w:val="733467F0"/>
    <w:rsid w:val="736370A1"/>
    <w:rsid w:val="73757A37"/>
    <w:rsid w:val="73A23752"/>
    <w:rsid w:val="73B1351E"/>
    <w:rsid w:val="73B85330"/>
    <w:rsid w:val="73BC5781"/>
    <w:rsid w:val="73C507CB"/>
    <w:rsid w:val="73D6584B"/>
    <w:rsid w:val="73E537D3"/>
    <w:rsid w:val="73E6452B"/>
    <w:rsid w:val="73EF5050"/>
    <w:rsid w:val="73F9121C"/>
    <w:rsid w:val="73FC4E6E"/>
    <w:rsid w:val="740E5001"/>
    <w:rsid w:val="743671A6"/>
    <w:rsid w:val="744225DD"/>
    <w:rsid w:val="74553C57"/>
    <w:rsid w:val="745800F9"/>
    <w:rsid w:val="746774CB"/>
    <w:rsid w:val="746C7B16"/>
    <w:rsid w:val="747A6AF2"/>
    <w:rsid w:val="74A30BAD"/>
    <w:rsid w:val="74C6671C"/>
    <w:rsid w:val="74E9542C"/>
    <w:rsid w:val="75097AD4"/>
    <w:rsid w:val="750E10B8"/>
    <w:rsid w:val="751332AB"/>
    <w:rsid w:val="75185D48"/>
    <w:rsid w:val="75205642"/>
    <w:rsid w:val="75367F48"/>
    <w:rsid w:val="753F2D5F"/>
    <w:rsid w:val="754826C2"/>
    <w:rsid w:val="754E3F08"/>
    <w:rsid w:val="755014C8"/>
    <w:rsid w:val="75793162"/>
    <w:rsid w:val="757936C8"/>
    <w:rsid w:val="75944695"/>
    <w:rsid w:val="75B43877"/>
    <w:rsid w:val="75C66B36"/>
    <w:rsid w:val="75C914AD"/>
    <w:rsid w:val="75D76843"/>
    <w:rsid w:val="75EA6540"/>
    <w:rsid w:val="75F1795E"/>
    <w:rsid w:val="75FF2D0E"/>
    <w:rsid w:val="75FF6656"/>
    <w:rsid w:val="761C6E57"/>
    <w:rsid w:val="762E6571"/>
    <w:rsid w:val="76573032"/>
    <w:rsid w:val="766666BC"/>
    <w:rsid w:val="76792F3A"/>
    <w:rsid w:val="76A610EE"/>
    <w:rsid w:val="76AF677E"/>
    <w:rsid w:val="76B7086E"/>
    <w:rsid w:val="76B736B7"/>
    <w:rsid w:val="76C15C76"/>
    <w:rsid w:val="76C64351"/>
    <w:rsid w:val="76C71890"/>
    <w:rsid w:val="77241A6B"/>
    <w:rsid w:val="773F41A9"/>
    <w:rsid w:val="774C22C3"/>
    <w:rsid w:val="77530157"/>
    <w:rsid w:val="77542243"/>
    <w:rsid w:val="77575D2B"/>
    <w:rsid w:val="777B2294"/>
    <w:rsid w:val="77900853"/>
    <w:rsid w:val="77950EAD"/>
    <w:rsid w:val="779B4438"/>
    <w:rsid w:val="779C26B6"/>
    <w:rsid w:val="77A100AA"/>
    <w:rsid w:val="77A96CD8"/>
    <w:rsid w:val="77B061BB"/>
    <w:rsid w:val="77C221C1"/>
    <w:rsid w:val="77E073F3"/>
    <w:rsid w:val="78016047"/>
    <w:rsid w:val="780B325C"/>
    <w:rsid w:val="782212F5"/>
    <w:rsid w:val="78247EAB"/>
    <w:rsid w:val="782826D5"/>
    <w:rsid w:val="782A0C8C"/>
    <w:rsid w:val="783762E4"/>
    <w:rsid w:val="784A0154"/>
    <w:rsid w:val="784C4C90"/>
    <w:rsid w:val="78753090"/>
    <w:rsid w:val="78801F87"/>
    <w:rsid w:val="78810444"/>
    <w:rsid w:val="789D5E8F"/>
    <w:rsid w:val="78A35A31"/>
    <w:rsid w:val="78AB204B"/>
    <w:rsid w:val="78AE40DF"/>
    <w:rsid w:val="78C63AAB"/>
    <w:rsid w:val="78D572D2"/>
    <w:rsid w:val="78E10978"/>
    <w:rsid w:val="78EE4BAD"/>
    <w:rsid w:val="78F77774"/>
    <w:rsid w:val="7909761B"/>
    <w:rsid w:val="7925433C"/>
    <w:rsid w:val="793D4228"/>
    <w:rsid w:val="794A3B6E"/>
    <w:rsid w:val="79663137"/>
    <w:rsid w:val="79677EEE"/>
    <w:rsid w:val="797D3548"/>
    <w:rsid w:val="7985491F"/>
    <w:rsid w:val="79B701CB"/>
    <w:rsid w:val="79D83FC3"/>
    <w:rsid w:val="79DC5886"/>
    <w:rsid w:val="79EC7B93"/>
    <w:rsid w:val="7A036E58"/>
    <w:rsid w:val="7A0C1B6F"/>
    <w:rsid w:val="7A135A2B"/>
    <w:rsid w:val="7A195D17"/>
    <w:rsid w:val="7A1A08DB"/>
    <w:rsid w:val="7A1F7BE7"/>
    <w:rsid w:val="7A3B0F72"/>
    <w:rsid w:val="7A4D033D"/>
    <w:rsid w:val="7A566C68"/>
    <w:rsid w:val="7A6D07BC"/>
    <w:rsid w:val="7A704E84"/>
    <w:rsid w:val="7A744FEF"/>
    <w:rsid w:val="7A766BFB"/>
    <w:rsid w:val="7A7F438C"/>
    <w:rsid w:val="7AE0459D"/>
    <w:rsid w:val="7AF07C08"/>
    <w:rsid w:val="7AF20B29"/>
    <w:rsid w:val="7B151AFE"/>
    <w:rsid w:val="7B1B279A"/>
    <w:rsid w:val="7B422F28"/>
    <w:rsid w:val="7B4F5191"/>
    <w:rsid w:val="7B8422B1"/>
    <w:rsid w:val="7B8A657C"/>
    <w:rsid w:val="7B945489"/>
    <w:rsid w:val="7B9D4D18"/>
    <w:rsid w:val="7B9E50D5"/>
    <w:rsid w:val="7BA31DE9"/>
    <w:rsid w:val="7BBF049D"/>
    <w:rsid w:val="7BD94BB8"/>
    <w:rsid w:val="7BED5C8D"/>
    <w:rsid w:val="7C03757B"/>
    <w:rsid w:val="7C076CAA"/>
    <w:rsid w:val="7C1228FF"/>
    <w:rsid w:val="7C1A431D"/>
    <w:rsid w:val="7C497D59"/>
    <w:rsid w:val="7C517165"/>
    <w:rsid w:val="7C621D62"/>
    <w:rsid w:val="7C740E92"/>
    <w:rsid w:val="7C860B4D"/>
    <w:rsid w:val="7C884383"/>
    <w:rsid w:val="7CAB51CD"/>
    <w:rsid w:val="7CAD0B62"/>
    <w:rsid w:val="7CC7774B"/>
    <w:rsid w:val="7CCB431C"/>
    <w:rsid w:val="7CD2239C"/>
    <w:rsid w:val="7CE3152E"/>
    <w:rsid w:val="7D0178E0"/>
    <w:rsid w:val="7D310876"/>
    <w:rsid w:val="7D5C55BE"/>
    <w:rsid w:val="7D674DCD"/>
    <w:rsid w:val="7D685B33"/>
    <w:rsid w:val="7D7A42FE"/>
    <w:rsid w:val="7D7D0BCF"/>
    <w:rsid w:val="7D8A2990"/>
    <w:rsid w:val="7D9732EA"/>
    <w:rsid w:val="7D9C5293"/>
    <w:rsid w:val="7DA25DD7"/>
    <w:rsid w:val="7DAA61C6"/>
    <w:rsid w:val="7DBC7985"/>
    <w:rsid w:val="7DCB6F01"/>
    <w:rsid w:val="7DE400F2"/>
    <w:rsid w:val="7E0045D3"/>
    <w:rsid w:val="7E077E73"/>
    <w:rsid w:val="7E145BAD"/>
    <w:rsid w:val="7E3C6878"/>
    <w:rsid w:val="7E864B18"/>
    <w:rsid w:val="7E9C79F7"/>
    <w:rsid w:val="7E9D60E5"/>
    <w:rsid w:val="7E9F6C49"/>
    <w:rsid w:val="7EA825A8"/>
    <w:rsid w:val="7EB252F0"/>
    <w:rsid w:val="7EB85AFE"/>
    <w:rsid w:val="7EC84334"/>
    <w:rsid w:val="7EC85E06"/>
    <w:rsid w:val="7ECB2B90"/>
    <w:rsid w:val="7EDB4DAF"/>
    <w:rsid w:val="7EE67F67"/>
    <w:rsid w:val="7EF72041"/>
    <w:rsid w:val="7F10049D"/>
    <w:rsid w:val="7F18132C"/>
    <w:rsid w:val="7F3D44E7"/>
    <w:rsid w:val="7F6562D0"/>
    <w:rsid w:val="7F7C412E"/>
    <w:rsid w:val="7F84413C"/>
    <w:rsid w:val="7F945B31"/>
    <w:rsid w:val="7F962333"/>
    <w:rsid w:val="7F971245"/>
    <w:rsid w:val="7F9D00DB"/>
    <w:rsid w:val="7FA87AF7"/>
    <w:rsid w:val="7FB35775"/>
    <w:rsid w:val="7FCC03FF"/>
    <w:rsid w:val="7FCC49F0"/>
    <w:rsid w:val="7FE16FB9"/>
    <w:rsid w:val="7FEB760C"/>
    <w:rsid w:val="7FF426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semiHidden="0" w:name="Placeholder Text"/>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textAlignment w:val="baseline"/>
    </w:pPr>
    <w:rPr>
      <w:rFonts w:ascii="Times New Roman" w:hAnsi="Times New Roman" w:eastAsia="宋体" w:cstheme="minorBidi"/>
      <w:kern w:val="2"/>
      <w:sz w:val="24"/>
      <w:szCs w:val="22"/>
      <w:lang w:val="en-US" w:eastAsia="zh-CN" w:bidi="ar-SA"/>
    </w:rPr>
  </w:style>
  <w:style w:type="paragraph" w:styleId="2">
    <w:name w:val="heading 1"/>
    <w:basedOn w:val="1"/>
    <w:next w:val="1"/>
    <w:link w:val="74"/>
    <w:qFormat/>
    <w:uiPriority w:val="9"/>
    <w:pPr>
      <w:keepNext/>
      <w:keepLines/>
      <w:pageBreakBefore/>
      <w:jc w:val="center"/>
      <w:outlineLvl w:val="0"/>
    </w:pPr>
    <w:rPr>
      <w:b/>
      <w:bCs/>
      <w:kern w:val="44"/>
      <w:sz w:val="32"/>
      <w:szCs w:val="44"/>
    </w:rPr>
  </w:style>
  <w:style w:type="paragraph" w:styleId="3">
    <w:name w:val="heading 2"/>
    <w:basedOn w:val="1"/>
    <w:next w:val="1"/>
    <w:link w:val="52"/>
    <w:unhideWhenUsed/>
    <w:qFormat/>
    <w:uiPriority w:val="9"/>
    <w:pPr>
      <w:keepNext/>
      <w:keepLines/>
      <w:tabs>
        <w:tab w:val="left" w:pos="0"/>
      </w:tabs>
      <w:jc w:val="center"/>
      <w:outlineLvl w:val="1"/>
    </w:pPr>
    <w:rPr>
      <w:rFonts w:cstheme="majorBidi"/>
      <w:b/>
      <w:bCs/>
      <w:sz w:val="28"/>
      <w:szCs w:val="32"/>
    </w:rPr>
  </w:style>
  <w:style w:type="paragraph" w:styleId="4">
    <w:name w:val="heading 3"/>
    <w:basedOn w:val="1"/>
    <w:next w:val="1"/>
    <w:link w:val="161"/>
    <w:unhideWhenUsed/>
    <w:qFormat/>
    <w:uiPriority w:val="9"/>
    <w:pPr>
      <w:keepLines/>
      <w:tabs>
        <w:tab w:val="left" w:pos="0"/>
        <w:tab w:val="left" w:pos="567"/>
        <w:tab w:val="left" w:pos="709"/>
      </w:tabs>
      <w:outlineLvl w:val="2"/>
    </w:pPr>
    <w:rPr>
      <w:bCs/>
      <w:szCs w:val="32"/>
    </w:rPr>
  </w:style>
  <w:style w:type="paragraph" w:styleId="5">
    <w:name w:val="heading 4"/>
    <w:basedOn w:val="1"/>
    <w:next w:val="1"/>
    <w:link w:val="54"/>
    <w:unhideWhenUsed/>
    <w:qFormat/>
    <w:uiPriority w:val="9"/>
    <w:pPr>
      <w:keepLines/>
      <w:outlineLvl w:val="3"/>
    </w:pPr>
    <w:rPr>
      <w:rFonts w:cstheme="majorBidi"/>
      <w:bCs/>
      <w:szCs w:val="28"/>
    </w:rPr>
  </w:style>
  <w:style w:type="paragraph" w:styleId="6">
    <w:name w:val="heading 5"/>
    <w:basedOn w:val="1"/>
    <w:next w:val="1"/>
    <w:link w:val="55"/>
    <w:unhideWhenUsed/>
    <w:qFormat/>
    <w:uiPriority w:val="9"/>
    <w:pPr>
      <w:keepNext/>
      <w:keepLines/>
      <w:numPr>
        <w:ilvl w:val="4"/>
        <w:numId w:val="1"/>
      </w:numPr>
      <w:spacing w:before="280" w:after="290" w:line="376" w:lineRule="auto"/>
      <w:ind w:firstLine="0"/>
      <w:outlineLvl w:val="4"/>
    </w:pPr>
    <w:rPr>
      <w:b/>
      <w:bCs/>
      <w:szCs w:val="28"/>
    </w:rPr>
  </w:style>
  <w:style w:type="paragraph" w:styleId="7">
    <w:name w:val="heading 6"/>
    <w:basedOn w:val="1"/>
    <w:next w:val="1"/>
    <w:link w:val="56"/>
    <w:unhideWhenUsed/>
    <w:qFormat/>
    <w:uiPriority w:val="9"/>
    <w:pPr>
      <w:keepNext/>
      <w:keepLines/>
      <w:numPr>
        <w:ilvl w:val="5"/>
        <w:numId w:val="1"/>
      </w:numPr>
      <w:spacing w:before="240" w:after="64" w:line="320" w:lineRule="auto"/>
      <w:ind w:firstLine="0"/>
      <w:outlineLvl w:val="5"/>
    </w:pPr>
    <w:rPr>
      <w:rFonts w:asciiTheme="majorHAnsi" w:hAnsiTheme="majorHAnsi" w:eastAsiaTheme="majorEastAsia" w:cstheme="majorBidi"/>
      <w:b/>
      <w:bCs/>
      <w:szCs w:val="24"/>
    </w:rPr>
  </w:style>
  <w:style w:type="paragraph" w:styleId="8">
    <w:name w:val="heading 7"/>
    <w:basedOn w:val="1"/>
    <w:next w:val="1"/>
    <w:link w:val="57"/>
    <w:unhideWhenUsed/>
    <w:qFormat/>
    <w:uiPriority w:val="9"/>
    <w:pPr>
      <w:keepNext/>
      <w:keepLines/>
      <w:numPr>
        <w:ilvl w:val="6"/>
        <w:numId w:val="1"/>
      </w:numPr>
      <w:spacing w:before="240" w:after="64" w:line="320" w:lineRule="auto"/>
      <w:ind w:firstLine="0"/>
      <w:outlineLvl w:val="6"/>
    </w:pPr>
    <w:rPr>
      <w:b/>
      <w:bCs/>
      <w:szCs w:val="24"/>
    </w:rPr>
  </w:style>
  <w:style w:type="paragraph" w:styleId="9">
    <w:name w:val="heading 8"/>
    <w:basedOn w:val="1"/>
    <w:next w:val="1"/>
    <w:link w:val="58"/>
    <w:unhideWhenUsed/>
    <w:qFormat/>
    <w:uiPriority w:val="9"/>
    <w:pPr>
      <w:keepNext/>
      <w:keepLines/>
      <w:numPr>
        <w:ilvl w:val="7"/>
        <w:numId w:val="1"/>
      </w:numPr>
      <w:spacing w:before="240" w:after="64" w:line="320" w:lineRule="auto"/>
      <w:ind w:firstLine="0"/>
      <w:outlineLvl w:val="7"/>
    </w:pPr>
    <w:rPr>
      <w:rFonts w:asciiTheme="majorHAnsi" w:hAnsiTheme="majorHAnsi" w:eastAsiaTheme="majorEastAsia" w:cstheme="majorBidi"/>
      <w:szCs w:val="24"/>
    </w:rPr>
  </w:style>
  <w:style w:type="paragraph" w:styleId="10">
    <w:name w:val="heading 9"/>
    <w:basedOn w:val="1"/>
    <w:next w:val="1"/>
    <w:link w:val="59"/>
    <w:unhideWhenUsed/>
    <w:qFormat/>
    <w:uiPriority w:val="9"/>
    <w:pPr>
      <w:keepNext/>
      <w:keepLines/>
      <w:numPr>
        <w:ilvl w:val="8"/>
        <w:numId w:val="1"/>
      </w:numPr>
      <w:spacing w:before="240" w:after="64" w:line="320" w:lineRule="auto"/>
      <w:ind w:firstLine="0"/>
      <w:outlineLvl w:val="8"/>
    </w:pPr>
    <w:rPr>
      <w:rFonts w:asciiTheme="majorHAnsi" w:hAnsiTheme="majorHAnsi" w:eastAsiaTheme="majorEastAsia" w:cstheme="majorBidi"/>
      <w:sz w:val="21"/>
      <w:szCs w:val="21"/>
    </w:rPr>
  </w:style>
  <w:style w:type="character" w:default="1" w:styleId="41">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textAlignment w:val="auto"/>
    </w:pPr>
    <w:rPr>
      <w:rFonts w:asciiTheme="minorHAnsi" w:hAnsiTheme="minorHAnsi"/>
      <w:sz w:val="21"/>
    </w:rPr>
  </w:style>
  <w:style w:type="paragraph" w:styleId="12">
    <w:name w:val="caption"/>
    <w:basedOn w:val="1"/>
    <w:next w:val="1"/>
    <w:link w:val="178"/>
    <w:unhideWhenUsed/>
    <w:qFormat/>
    <w:uiPriority w:val="35"/>
    <w:pPr>
      <w:jc w:val="center"/>
    </w:pPr>
    <w:rPr>
      <w:rFonts w:cstheme="majorBidi"/>
      <w:b/>
      <w:sz w:val="21"/>
      <w:szCs w:val="20"/>
    </w:rPr>
  </w:style>
  <w:style w:type="paragraph" w:styleId="13">
    <w:name w:val="Document Map"/>
    <w:basedOn w:val="1"/>
    <w:link w:val="65"/>
    <w:unhideWhenUsed/>
    <w:qFormat/>
    <w:uiPriority w:val="99"/>
    <w:pPr>
      <w:ind w:firstLine="1040"/>
    </w:pPr>
    <w:rPr>
      <w:rFonts w:ascii="宋体" w:cs="Times New Roman"/>
      <w:kern w:val="0"/>
      <w:sz w:val="18"/>
      <w:szCs w:val="18"/>
    </w:rPr>
  </w:style>
  <w:style w:type="paragraph" w:styleId="14">
    <w:name w:val="toa heading"/>
    <w:basedOn w:val="1"/>
    <w:next w:val="1"/>
    <w:qFormat/>
    <w:uiPriority w:val="0"/>
    <w:pPr>
      <w:spacing w:before="120"/>
    </w:pPr>
    <w:rPr>
      <w:rFonts w:ascii="Arial" w:hAnsi="Arial"/>
    </w:rPr>
  </w:style>
  <w:style w:type="paragraph" w:styleId="15">
    <w:name w:val="annotation text"/>
    <w:basedOn w:val="1"/>
    <w:link w:val="60"/>
    <w:unhideWhenUsed/>
    <w:qFormat/>
    <w:uiPriority w:val="99"/>
    <w:pPr>
      <w:spacing w:line="240" w:lineRule="auto"/>
      <w:jc w:val="left"/>
      <w:textAlignment w:val="auto"/>
    </w:pPr>
    <w:rPr>
      <w:rFonts w:cs="Times New Roman"/>
      <w:sz w:val="21"/>
      <w:szCs w:val="24"/>
    </w:rPr>
  </w:style>
  <w:style w:type="paragraph" w:styleId="16">
    <w:name w:val="Body Text"/>
    <w:basedOn w:val="1"/>
    <w:link w:val="62"/>
    <w:qFormat/>
    <w:uiPriority w:val="0"/>
    <w:pPr>
      <w:textAlignment w:val="auto"/>
    </w:pPr>
    <w:rPr>
      <w:rFonts w:eastAsia="仿宋" w:cs="Times New Roman"/>
      <w:kern w:val="0"/>
      <w:szCs w:val="24"/>
      <w:lang w:val="zh-CN"/>
    </w:rPr>
  </w:style>
  <w:style w:type="paragraph" w:styleId="17">
    <w:name w:val="Body Text Indent"/>
    <w:basedOn w:val="1"/>
    <w:qFormat/>
    <w:uiPriority w:val="0"/>
    <w:pPr>
      <w:ind w:firstLine="482"/>
    </w:pPr>
    <w:rPr>
      <w:rFonts w:ascii="宋体" w:hAnsi="宋体"/>
    </w:rPr>
  </w:style>
  <w:style w:type="paragraph" w:styleId="18">
    <w:name w:val="HTML Address"/>
    <w:basedOn w:val="1"/>
    <w:link w:val="172"/>
    <w:unhideWhenUsed/>
    <w:qFormat/>
    <w:uiPriority w:val="99"/>
    <w:pPr>
      <w:ind w:firstLine="602"/>
    </w:pPr>
    <w:rPr>
      <w:i/>
    </w:rPr>
  </w:style>
  <w:style w:type="paragraph" w:styleId="19">
    <w:name w:val="toc 5"/>
    <w:basedOn w:val="1"/>
    <w:next w:val="1"/>
    <w:link w:val="173"/>
    <w:unhideWhenUsed/>
    <w:qFormat/>
    <w:uiPriority w:val="39"/>
    <w:pPr>
      <w:spacing w:line="240" w:lineRule="auto"/>
      <w:ind w:left="1680" w:leftChars="800"/>
      <w:textAlignment w:val="auto"/>
    </w:pPr>
    <w:rPr>
      <w:rFonts w:asciiTheme="minorHAnsi" w:hAnsiTheme="minorHAnsi"/>
      <w:sz w:val="21"/>
    </w:rPr>
  </w:style>
  <w:style w:type="paragraph" w:styleId="20">
    <w:name w:val="toc 3"/>
    <w:basedOn w:val="1"/>
    <w:next w:val="1"/>
    <w:unhideWhenUsed/>
    <w:qFormat/>
    <w:uiPriority w:val="39"/>
    <w:pPr>
      <w:ind w:left="840" w:leftChars="400"/>
    </w:pPr>
  </w:style>
  <w:style w:type="paragraph" w:styleId="21">
    <w:name w:val="Plain Text"/>
    <w:basedOn w:val="1"/>
    <w:link w:val="66"/>
    <w:qFormat/>
    <w:uiPriority w:val="0"/>
    <w:pPr>
      <w:spacing w:line="240" w:lineRule="auto"/>
    </w:pPr>
    <w:rPr>
      <w:rFonts w:ascii="宋体" w:hAnsi="Courier New" w:cs="Courier New"/>
      <w:szCs w:val="21"/>
    </w:rPr>
  </w:style>
  <w:style w:type="paragraph" w:styleId="22">
    <w:name w:val="toc 8"/>
    <w:basedOn w:val="1"/>
    <w:next w:val="1"/>
    <w:unhideWhenUsed/>
    <w:qFormat/>
    <w:uiPriority w:val="39"/>
    <w:pPr>
      <w:spacing w:line="240" w:lineRule="auto"/>
      <w:ind w:left="2940" w:leftChars="1400"/>
      <w:textAlignment w:val="auto"/>
    </w:pPr>
    <w:rPr>
      <w:rFonts w:asciiTheme="minorHAnsi" w:hAnsiTheme="minorHAnsi"/>
      <w:sz w:val="21"/>
    </w:rPr>
  </w:style>
  <w:style w:type="paragraph" w:styleId="23">
    <w:name w:val="Date"/>
    <w:basedOn w:val="1"/>
    <w:next w:val="1"/>
    <w:link w:val="67"/>
    <w:unhideWhenUsed/>
    <w:qFormat/>
    <w:uiPriority w:val="99"/>
    <w:pPr>
      <w:ind w:left="100" w:leftChars="2500"/>
    </w:pPr>
  </w:style>
  <w:style w:type="paragraph" w:styleId="24">
    <w:name w:val="Body Text Indent 2"/>
    <w:basedOn w:val="1"/>
    <w:qFormat/>
    <w:uiPriority w:val="0"/>
    <w:pPr>
      <w:tabs>
        <w:tab w:val="left" w:pos="360"/>
      </w:tabs>
      <w:spacing w:line="480" w:lineRule="auto"/>
      <w:ind w:firstLine="2"/>
    </w:pPr>
    <w:rPr>
      <w:rFonts w:ascii="宋体" w:hAnsi="宋体"/>
    </w:rPr>
  </w:style>
  <w:style w:type="paragraph" w:styleId="25">
    <w:name w:val="Balloon Text"/>
    <w:basedOn w:val="1"/>
    <w:link w:val="68"/>
    <w:unhideWhenUsed/>
    <w:qFormat/>
    <w:uiPriority w:val="99"/>
    <w:pPr>
      <w:spacing w:line="240" w:lineRule="auto"/>
    </w:pPr>
    <w:rPr>
      <w:sz w:val="18"/>
      <w:szCs w:val="18"/>
    </w:rPr>
  </w:style>
  <w:style w:type="paragraph" w:styleId="26">
    <w:name w:val="footer"/>
    <w:basedOn w:val="1"/>
    <w:link w:val="69"/>
    <w:unhideWhenUsed/>
    <w:qFormat/>
    <w:uiPriority w:val="99"/>
    <w:pPr>
      <w:tabs>
        <w:tab w:val="center" w:pos="4153"/>
        <w:tab w:val="right" w:pos="8306"/>
      </w:tabs>
      <w:snapToGrid w:val="0"/>
      <w:spacing w:line="240" w:lineRule="auto"/>
      <w:jc w:val="left"/>
    </w:pPr>
    <w:rPr>
      <w:sz w:val="18"/>
      <w:szCs w:val="18"/>
    </w:rPr>
  </w:style>
  <w:style w:type="paragraph" w:styleId="27">
    <w:name w:val="header"/>
    <w:basedOn w:val="1"/>
    <w:link w:val="70"/>
    <w:unhideWhenUsed/>
    <w:qFormat/>
    <w:uiPriority w:val="99"/>
    <w:pPr>
      <w:tabs>
        <w:tab w:val="center" w:pos="4153"/>
        <w:tab w:val="right" w:pos="8306"/>
      </w:tabs>
      <w:snapToGrid w:val="0"/>
      <w:spacing w:line="240" w:lineRule="auto"/>
      <w:jc w:val="center"/>
    </w:pPr>
    <w:rPr>
      <w:sz w:val="18"/>
      <w:szCs w:val="18"/>
    </w:rPr>
  </w:style>
  <w:style w:type="paragraph" w:styleId="28">
    <w:name w:val="toc 1"/>
    <w:basedOn w:val="1"/>
    <w:next w:val="1"/>
    <w:unhideWhenUsed/>
    <w:qFormat/>
    <w:uiPriority w:val="39"/>
    <w:pPr>
      <w:ind w:firstLine="200"/>
    </w:pPr>
    <w:rPr>
      <w:b/>
    </w:rPr>
  </w:style>
  <w:style w:type="paragraph" w:styleId="29">
    <w:name w:val="toc 4"/>
    <w:basedOn w:val="1"/>
    <w:next w:val="1"/>
    <w:unhideWhenUsed/>
    <w:qFormat/>
    <w:uiPriority w:val="39"/>
    <w:pPr>
      <w:spacing w:line="240" w:lineRule="auto"/>
      <w:ind w:left="1260" w:leftChars="600"/>
      <w:textAlignment w:val="auto"/>
    </w:pPr>
    <w:rPr>
      <w:rFonts w:asciiTheme="minorHAnsi" w:hAnsiTheme="minorHAnsi"/>
      <w:sz w:val="21"/>
    </w:rPr>
  </w:style>
  <w:style w:type="paragraph" w:styleId="30">
    <w:name w:val="Subtitle"/>
    <w:basedOn w:val="1"/>
    <w:next w:val="1"/>
    <w:link w:val="71"/>
    <w:qFormat/>
    <w:uiPriority w:val="11"/>
    <w:pPr>
      <w:spacing w:before="240" w:after="60" w:line="312" w:lineRule="auto"/>
      <w:jc w:val="center"/>
      <w:outlineLvl w:val="1"/>
    </w:pPr>
    <w:rPr>
      <w:rFonts w:ascii="Cambria" w:hAnsi="Cambria" w:cs="Times New Roman"/>
      <w:b/>
      <w:bCs/>
      <w:kern w:val="28"/>
      <w:sz w:val="32"/>
      <w:szCs w:val="32"/>
    </w:rPr>
  </w:style>
  <w:style w:type="paragraph" w:styleId="31">
    <w:name w:val="toc 6"/>
    <w:basedOn w:val="1"/>
    <w:next w:val="1"/>
    <w:unhideWhenUsed/>
    <w:qFormat/>
    <w:uiPriority w:val="39"/>
    <w:pPr>
      <w:spacing w:line="240" w:lineRule="auto"/>
      <w:ind w:left="2100" w:leftChars="1000"/>
      <w:textAlignment w:val="auto"/>
    </w:pPr>
    <w:rPr>
      <w:rFonts w:asciiTheme="minorHAnsi" w:hAnsiTheme="minorHAnsi"/>
      <w:sz w:val="21"/>
    </w:rPr>
  </w:style>
  <w:style w:type="paragraph" w:styleId="32">
    <w:name w:val="toc 2"/>
    <w:basedOn w:val="1"/>
    <w:next w:val="1"/>
    <w:unhideWhenUsed/>
    <w:qFormat/>
    <w:uiPriority w:val="39"/>
    <w:pPr>
      <w:ind w:left="420" w:leftChars="200"/>
    </w:pPr>
  </w:style>
  <w:style w:type="paragraph" w:styleId="33">
    <w:name w:val="toc 9"/>
    <w:basedOn w:val="1"/>
    <w:next w:val="1"/>
    <w:unhideWhenUsed/>
    <w:qFormat/>
    <w:uiPriority w:val="39"/>
    <w:pPr>
      <w:spacing w:line="240" w:lineRule="auto"/>
      <w:ind w:left="3360" w:leftChars="1600"/>
      <w:textAlignment w:val="auto"/>
    </w:pPr>
    <w:rPr>
      <w:rFonts w:asciiTheme="minorHAnsi" w:hAnsiTheme="minorHAnsi"/>
      <w:sz w:val="21"/>
    </w:rPr>
  </w:style>
  <w:style w:type="paragraph" w:styleId="34">
    <w:name w:val="HTML Preformatted"/>
    <w:basedOn w:val="1"/>
    <w:link w:val="7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textAlignment w:val="auto"/>
    </w:pPr>
    <w:rPr>
      <w:rFonts w:ascii="宋体" w:hAnsi="宋体" w:cs="Times New Roman"/>
      <w:kern w:val="0"/>
      <w:szCs w:val="24"/>
      <w:lang w:val="zh-CN"/>
    </w:rPr>
  </w:style>
  <w:style w:type="paragraph" w:styleId="35">
    <w:name w:val="Normal (Web)"/>
    <w:basedOn w:val="1"/>
    <w:unhideWhenUsed/>
    <w:qFormat/>
    <w:uiPriority w:val="99"/>
    <w:pPr>
      <w:spacing w:before="100" w:beforeAutospacing="1" w:after="100" w:afterAutospacing="1"/>
      <w:jc w:val="left"/>
    </w:pPr>
    <w:rPr>
      <w:kern w:val="0"/>
    </w:rPr>
  </w:style>
  <w:style w:type="paragraph" w:styleId="36">
    <w:name w:val="annotation subject"/>
    <w:basedOn w:val="15"/>
    <w:next w:val="15"/>
    <w:link w:val="61"/>
    <w:unhideWhenUsed/>
    <w:qFormat/>
    <w:uiPriority w:val="99"/>
    <w:rPr>
      <w:b/>
      <w:bCs/>
    </w:rPr>
  </w:style>
  <w:style w:type="paragraph" w:styleId="37">
    <w:name w:val="Body Text First Indent"/>
    <w:basedOn w:val="16"/>
    <w:link w:val="63"/>
    <w:unhideWhenUsed/>
    <w:qFormat/>
    <w:uiPriority w:val="99"/>
    <w:pPr>
      <w:spacing w:after="120"/>
      <w:ind w:firstLine="420" w:firstLineChars="100"/>
      <w:textAlignment w:val="baseline"/>
    </w:pPr>
    <w:rPr>
      <w:rFonts w:eastAsia="宋体" w:cstheme="minorBidi"/>
      <w:kern w:val="2"/>
      <w:szCs w:val="22"/>
      <w:lang w:val="en-US"/>
    </w:rPr>
  </w:style>
  <w:style w:type="table" w:styleId="39">
    <w:name w:val="Table Grid"/>
    <w:basedOn w:val="3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40">
    <w:name w:val="Light Shading"/>
    <w:basedOn w:val="38"/>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42">
    <w:name w:val="Strong"/>
    <w:basedOn w:val="41"/>
    <w:qFormat/>
    <w:uiPriority w:val="22"/>
    <w:rPr>
      <w:b/>
      <w:bCs/>
    </w:rPr>
  </w:style>
  <w:style w:type="character" w:styleId="43">
    <w:name w:val="page number"/>
    <w:basedOn w:val="41"/>
    <w:qFormat/>
    <w:uiPriority w:val="0"/>
  </w:style>
  <w:style w:type="character" w:styleId="44">
    <w:name w:val="FollowedHyperlink"/>
    <w:basedOn w:val="41"/>
    <w:unhideWhenUsed/>
    <w:qFormat/>
    <w:uiPriority w:val="99"/>
    <w:rPr>
      <w:color w:val="800080" w:themeColor="followedHyperlink"/>
      <w:u w:val="single"/>
      <w14:textFill>
        <w14:solidFill>
          <w14:schemeClr w14:val="folHlink"/>
        </w14:solidFill>
      </w14:textFill>
    </w:rPr>
  </w:style>
  <w:style w:type="character" w:styleId="45">
    <w:name w:val="Emphasis"/>
    <w:basedOn w:val="41"/>
    <w:qFormat/>
    <w:uiPriority w:val="20"/>
    <w:rPr>
      <w:color w:val="CC0000"/>
      <w:sz w:val="24"/>
      <w:szCs w:val="24"/>
    </w:rPr>
  </w:style>
  <w:style w:type="character" w:styleId="46">
    <w:name w:val="Hyperlink"/>
    <w:basedOn w:val="41"/>
    <w:unhideWhenUsed/>
    <w:qFormat/>
    <w:uiPriority w:val="99"/>
    <w:rPr>
      <w:color w:val="0000FF" w:themeColor="hyperlink"/>
      <w:u w:val="single"/>
      <w14:textFill>
        <w14:solidFill>
          <w14:schemeClr w14:val="hlink"/>
        </w14:solidFill>
      </w14:textFill>
    </w:rPr>
  </w:style>
  <w:style w:type="character" w:styleId="47">
    <w:name w:val="annotation reference"/>
    <w:basedOn w:val="41"/>
    <w:unhideWhenUsed/>
    <w:qFormat/>
    <w:uiPriority w:val="99"/>
    <w:rPr>
      <w:sz w:val="21"/>
      <w:szCs w:val="21"/>
    </w:rPr>
  </w:style>
  <w:style w:type="character" w:customStyle="1" w:styleId="48">
    <w:name w:val="标题 1 Char"/>
    <w:qFormat/>
    <w:uiPriority w:val="9"/>
    <w:rPr>
      <w:rFonts w:ascii="Times New Roman" w:hAnsi="Times New Roman"/>
      <w:b/>
      <w:bCs/>
      <w:kern w:val="44"/>
      <w:sz w:val="44"/>
      <w:szCs w:val="44"/>
    </w:rPr>
  </w:style>
  <w:style w:type="character" w:customStyle="1" w:styleId="49">
    <w:name w:val="标题 2 Char"/>
    <w:qFormat/>
    <w:uiPriority w:val="9"/>
    <w:rPr>
      <w:rFonts w:ascii="Calibri Light" w:hAnsi="Calibri Light"/>
      <w:b/>
      <w:bCs/>
      <w:sz w:val="32"/>
      <w:szCs w:val="32"/>
    </w:rPr>
  </w:style>
  <w:style w:type="character" w:customStyle="1" w:styleId="50">
    <w:name w:val="标题 3 字符"/>
    <w:basedOn w:val="41"/>
    <w:qFormat/>
    <w:uiPriority w:val="9"/>
    <w:rPr>
      <w:rFonts w:cstheme="minorBidi"/>
      <w:bCs/>
      <w:kern w:val="2"/>
      <w:sz w:val="28"/>
      <w:szCs w:val="32"/>
    </w:rPr>
  </w:style>
  <w:style w:type="character" w:customStyle="1" w:styleId="51">
    <w:name w:val="标题 1 字符1"/>
    <w:basedOn w:val="41"/>
    <w:qFormat/>
    <w:uiPriority w:val="9"/>
    <w:rPr>
      <w:rFonts w:ascii="Times New Roman" w:hAnsi="Times New Roman" w:eastAsia="宋体"/>
      <w:b/>
      <w:bCs/>
      <w:kern w:val="44"/>
      <w:sz w:val="32"/>
      <w:szCs w:val="44"/>
    </w:rPr>
  </w:style>
  <w:style w:type="character" w:customStyle="1" w:styleId="52">
    <w:name w:val="标题 2 字符"/>
    <w:basedOn w:val="41"/>
    <w:link w:val="3"/>
    <w:qFormat/>
    <w:uiPriority w:val="9"/>
    <w:rPr>
      <w:rFonts w:ascii="Times New Roman" w:hAnsi="Times New Roman" w:eastAsia="宋体" w:cstheme="majorBidi"/>
      <w:b/>
      <w:bCs/>
      <w:kern w:val="2"/>
      <w:sz w:val="28"/>
      <w:szCs w:val="32"/>
    </w:rPr>
  </w:style>
  <w:style w:type="character" w:customStyle="1" w:styleId="53">
    <w:name w:val="标题 3 Char1"/>
    <w:basedOn w:val="41"/>
    <w:qFormat/>
    <w:uiPriority w:val="9"/>
    <w:rPr>
      <w:rFonts w:ascii="Times New Roman" w:hAnsi="Times New Roman" w:eastAsia="宋体"/>
      <w:bCs/>
      <w:kern w:val="2"/>
      <w:sz w:val="24"/>
      <w:szCs w:val="32"/>
    </w:rPr>
  </w:style>
  <w:style w:type="character" w:customStyle="1" w:styleId="54">
    <w:name w:val="标题 4 字符"/>
    <w:basedOn w:val="41"/>
    <w:link w:val="5"/>
    <w:qFormat/>
    <w:uiPriority w:val="9"/>
    <w:rPr>
      <w:rFonts w:eastAsia="宋体" w:cstheme="majorBidi"/>
      <w:bCs/>
      <w:kern w:val="2"/>
      <w:sz w:val="28"/>
      <w:szCs w:val="28"/>
    </w:rPr>
  </w:style>
  <w:style w:type="character" w:customStyle="1" w:styleId="55">
    <w:name w:val="标题 5 字符"/>
    <w:basedOn w:val="41"/>
    <w:link w:val="6"/>
    <w:qFormat/>
    <w:uiPriority w:val="9"/>
    <w:rPr>
      <w:rFonts w:ascii="Times New Roman" w:hAnsi="Times New Roman" w:eastAsia="宋体"/>
      <w:b/>
      <w:bCs/>
      <w:kern w:val="2"/>
      <w:sz w:val="24"/>
      <w:szCs w:val="28"/>
    </w:rPr>
  </w:style>
  <w:style w:type="character" w:customStyle="1" w:styleId="56">
    <w:name w:val="标题 6 字符"/>
    <w:basedOn w:val="41"/>
    <w:link w:val="7"/>
    <w:qFormat/>
    <w:uiPriority w:val="9"/>
    <w:rPr>
      <w:rFonts w:asciiTheme="majorHAnsi" w:hAnsiTheme="majorHAnsi" w:eastAsiaTheme="majorEastAsia" w:cstheme="majorBidi"/>
      <w:b/>
      <w:bCs/>
      <w:kern w:val="2"/>
      <w:sz w:val="24"/>
      <w:szCs w:val="24"/>
    </w:rPr>
  </w:style>
  <w:style w:type="character" w:customStyle="1" w:styleId="57">
    <w:name w:val="标题 7 字符"/>
    <w:basedOn w:val="41"/>
    <w:link w:val="8"/>
    <w:qFormat/>
    <w:uiPriority w:val="9"/>
    <w:rPr>
      <w:rFonts w:ascii="Times New Roman" w:hAnsi="Times New Roman" w:eastAsia="宋体"/>
      <w:b/>
      <w:bCs/>
      <w:kern w:val="2"/>
      <w:sz w:val="24"/>
      <w:szCs w:val="24"/>
    </w:rPr>
  </w:style>
  <w:style w:type="character" w:customStyle="1" w:styleId="58">
    <w:name w:val="标题 8 字符"/>
    <w:basedOn w:val="41"/>
    <w:link w:val="9"/>
    <w:qFormat/>
    <w:uiPriority w:val="9"/>
    <w:rPr>
      <w:rFonts w:asciiTheme="majorHAnsi" w:hAnsiTheme="majorHAnsi" w:eastAsiaTheme="majorEastAsia" w:cstheme="majorBidi"/>
      <w:kern w:val="2"/>
      <w:sz w:val="24"/>
      <w:szCs w:val="24"/>
    </w:rPr>
  </w:style>
  <w:style w:type="character" w:customStyle="1" w:styleId="59">
    <w:name w:val="标题 9 字符"/>
    <w:basedOn w:val="41"/>
    <w:link w:val="10"/>
    <w:qFormat/>
    <w:uiPriority w:val="9"/>
    <w:rPr>
      <w:rFonts w:asciiTheme="majorHAnsi" w:hAnsiTheme="majorHAnsi" w:eastAsiaTheme="majorEastAsia" w:cstheme="majorBidi"/>
      <w:kern w:val="2"/>
      <w:sz w:val="21"/>
      <w:szCs w:val="21"/>
    </w:rPr>
  </w:style>
  <w:style w:type="character" w:customStyle="1" w:styleId="60">
    <w:name w:val="批注文字 字符"/>
    <w:basedOn w:val="41"/>
    <w:link w:val="15"/>
    <w:semiHidden/>
    <w:qFormat/>
    <w:uiPriority w:val="0"/>
    <w:rPr>
      <w:kern w:val="2"/>
      <w:sz w:val="21"/>
      <w:szCs w:val="24"/>
    </w:rPr>
  </w:style>
  <w:style w:type="character" w:customStyle="1" w:styleId="61">
    <w:name w:val="批注主题 字符"/>
    <w:basedOn w:val="60"/>
    <w:link w:val="36"/>
    <w:qFormat/>
    <w:uiPriority w:val="99"/>
    <w:rPr>
      <w:b/>
      <w:bCs/>
      <w:kern w:val="2"/>
      <w:sz w:val="21"/>
      <w:szCs w:val="24"/>
    </w:rPr>
  </w:style>
  <w:style w:type="character" w:customStyle="1" w:styleId="62">
    <w:name w:val="正文文本 字符"/>
    <w:basedOn w:val="41"/>
    <w:link w:val="16"/>
    <w:qFormat/>
    <w:uiPriority w:val="0"/>
    <w:rPr>
      <w:rFonts w:eastAsia="仿宋"/>
      <w:sz w:val="28"/>
      <w:szCs w:val="24"/>
      <w:lang w:val="zh-CN" w:eastAsia="zh-CN"/>
    </w:rPr>
  </w:style>
  <w:style w:type="character" w:customStyle="1" w:styleId="63">
    <w:name w:val="正文文本首行缩进 字符"/>
    <w:basedOn w:val="62"/>
    <w:link w:val="37"/>
    <w:qFormat/>
    <w:uiPriority w:val="99"/>
    <w:rPr>
      <w:rFonts w:eastAsia="仿宋" w:cstheme="minorBidi"/>
      <w:kern w:val="2"/>
      <w:sz w:val="24"/>
      <w:szCs w:val="22"/>
      <w:lang w:val="zh-CN" w:eastAsia="zh-CN"/>
    </w:rPr>
  </w:style>
  <w:style w:type="character" w:customStyle="1" w:styleId="64">
    <w:name w:val="题注 字符"/>
    <w:qFormat/>
    <w:uiPriority w:val="35"/>
    <w:rPr>
      <w:rFonts w:eastAsia="宋体" w:cstheme="majorBidi"/>
      <w:b/>
      <w:kern w:val="2"/>
      <w:sz w:val="21"/>
    </w:rPr>
  </w:style>
  <w:style w:type="character" w:customStyle="1" w:styleId="65">
    <w:name w:val="文档结构图 字符1"/>
    <w:link w:val="13"/>
    <w:semiHidden/>
    <w:qFormat/>
    <w:uiPriority w:val="99"/>
    <w:rPr>
      <w:rFonts w:ascii="宋体"/>
      <w:sz w:val="18"/>
      <w:szCs w:val="18"/>
    </w:rPr>
  </w:style>
  <w:style w:type="character" w:customStyle="1" w:styleId="66">
    <w:name w:val="纯文本 字符"/>
    <w:basedOn w:val="41"/>
    <w:link w:val="21"/>
    <w:qFormat/>
    <w:uiPriority w:val="0"/>
    <w:rPr>
      <w:rFonts w:ascii="宋体" w:hAnsi="Courier New" w:eastAsia="宋体" w:cs="Courier New"/>
      <w:sz w:val="24"/>
      <w:szCs w:val="21"/>
    </w:rPr>
  </w:style>
  <w:style w:type="character" w:customStyle="1" w:styleId="67">
    <w:name w:val="日期 字符"/>
    <w:basedOn w:val="41"/>
    <w:link w:val="23"/>
    <w:semiHidden/>
    <w:qFormat/>
    <w:uiPriority w:val="99"/>
    <w:rPr>
      <w:rFonts w:eastAsiaTheme="minorEastAsia" w:cstheme="minorBidi"/>
      <w:kern w:val="2"/>
      <w:sz w:val="24"/>
      <w:szCs w:val="22"/>
    </w:rPr>
  </w:style>
  <w:style w:type="character" w:customStyle="1" w:styleId="68">
    <w:name w:val="批注框文本 字符"/>
    <w:basedOn w:val="41"/>
    <w:link w:val="25"/>
    <w:semiHidden/>
    <w:qFormat/>
    <w:uiPriority w:val="99"/>
    <w:rPr>
      <w:rFonts w:ascii="Times New Roman" w:hAnsi="Times New Roman"/>
      <w:sz w:val="18"/>
      <w:szCs w:val="18"/>
    </w:rPr>
  </w:style>
  <w:style w:type="character" w:customStyle="1" w:styleId="69">
    <w:name w:val="页脚 字符"/>
    <w:basedOn w:val="41"/>
    <w:link w:val="26"/>
    <w:qFormat/>
    <w:uiPriority w:val="99"/>
    <w:rPr>
      <w:rFonts w:ascii="Times New Roman" w:hAnsi="Times New Roman"/>
      <w:sz w:val="18"/>
      <w:szCs w:val="18"/>
    </w:rPr>
  </w:style>
  <w:style w:type="character" w:customStyle="1" w:styleId="70">
    <w:name w:val="页眉 字符"/>
    <w:basedOn w:val="41"/>
    <w:link w:val="27"/>
    <w:qFormat/>
    <w:uiPriority w:val="99"/>
    <w:rPr>
      <w:rFonts w:cstheme="minorBidi"/>
      <w:kern w:val="2"/>
      <w:sz w:val="18"/>
      <w:szCs w:val="18"/>
    </w:rPr>
  </w:style>
  <w:style w:type="character" w:customStyle="1" w:styleId="71">
    <w:name w:val="副标题 字符1"/>
    <w:basedOn w:val="41"/>
    <w:link w:val="30"/>
    <w:qFormat/>
    <w:uiPriority w:val="99"/>
    <w:rPr>
      <w:rFonts w:ascii="Cambria" w:hAnsi="Cambria" w:eastAsia="宋体" w:cs="Cambria"/>
      <w:b/>
      <w:bCs/>
      <w:kern w:val="28"/>
      <w:sz w:val="32"/>
      <w:szCs w:val="32"/>
    </w:rPr>
  </w:style>
  <w:style w:type="character" w:customStyle="1" w:styleId="72">
    <w:name w:val="HTML 预设格式 字符"/>
    <w:basedOn w:val="41"/>
    <w:link w:val="34"/>
    <w:semiHidden/>
    <w:qFormat/>
    <w:uiPriority w:val="99"/>
    <w:rPr>
      <w:rFonts w:ascii="宋体" w:hAnsi="宋体"/>
      <w:sz w:val="24"/>
      <w:szCs w:val="24"/>
      <w:lang w:val="zh-CN" w:eastAsia="zh-CN"/>
    </w:rPr>
  </w:style>
  <w:style w:type="character" w:customStyle="1" w:styleId="73">
    <w:name w:val="标题 4 Char"/>
    <w:qFormat/>
    <w:uiPriority w:val="9"/>
    <w:rPr>
      <w:rFonts w:ascii="Times New Roman" w:hAnsi="Times New Roman" w:eastAsia="黑体"/>
      <w:bCs/>
      <w:sz w:val="24"/>
      <w:szCs w:val="28"/>
    </w:rPr>
  </w:style>
  <w:style w:type="character" w:customStyle="1" w:styleId="74">
    <w:name w:val="标题 1 字符"/>
    <w:basedOn w:val="41"/>
    <w:link w:val="2"/>
    <w:qFormat/>
    <w:uiPriority w:val="9"/>
    <w:rPr>
      <w:rFonts w:ascii="Times New Roman" w:hAnsi="Times New Roman" w:eastAsia="宋体" w:cstheme="minorBidi"/>
      <w:b/>
      <w:bCs/>
      <w:kern w:val="44"/>
      <w:sz w:val="32"/>
      <w:szCs w:val="44"/>
    </w:rPr>
  </w:style>
  <w:style w:type="character" w:customStyle="1" w:styleId="75">
    <w:name w:val="标题 3 字符1"/>
    <w:basedOn w:val="41"/>
    <w:qFormat/>
    <w:uiPriority w:val="9"/>
    <w:rPr>
      <w:rFonts w:cstheme="minorBidi"/>
      <w:bCs/>
      <w:kern w:val="2"/>
      <w:sz w:val="28"/>
      <w:szCs w:val="32"/>
    </w:rPr>
  </w:style>
  <w:style w:type="table" w:customStyle="1" w:styleId="76">
    <w:name w:val="浅色底纹1"/>
    <w:basedOn w:val="38"/>
    <w:qFormat/>
    <w:uiPriority w:val="60"/>
    <w:rPr>
      <w:color w:val="000000" w:themeColor="text1" w:themeShade="BF"/>
    </w:rPr>
    <w:tblPr>
      <w:tblBorders>
        <w:top w:val="single" w:color="000000" w:themeColor="text1" w:sz="12" w:space="0"/>
        <w:bottom w:val="single" w:color="000000" w:themeColor="text1" w:sz="12"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77">
    <w:name w:val="列出段落1"/>
    <w:basedOn w:val="1"/>
    <w:qFormat/>
    <w:uiPriority w:val="34"/>
    <w:pPr>
      <w:ind w:firstLine="420"/>
    </w:pPr>
  </w:style>
  <w:style w:type="character" w:customStyle="1" w:styleId="78">
    <w:name w:val="不明显强调1"/>
    <w:basedOn w:val="41"/>
    <w:qFormat/>
    <w:uiPriority w:val="19"/>
    <w:rPr>
      <w:i/>
      <w:iCs/>
      <w:color w:val="808080" w:themeColor="text1" w:themeTint="80"/>
      <w14:textFill>
        <w14:solidFill>
          <w14:schemeClr w14:val="tx1">
            <w14:lumMod w14:val="50000"/>
            <w14:lumOff w14:val="50000"/>
          </w14:schemeClr>
        </w14:solidFill>
      </w14:textFill>
    </w:rPr>
  </w:style>
  <w:style w:type="paragraph" w:customStyle="1" w:styleId="79">
    <w:name w:val="无间隔1"/>
    <w:qFormat/>
    <w:uiPriority w:val="1"/>
    <w:pPr>
      <w:widowControl w:val="0"/>
      <w:jc w:val="center"/>
    </w:pPr>
    <w:rPr>
      <w:rFonts w:ascii="Times New Roman" w:hAnsi="Times New Roman" w:eastAsiaTheme="minorEastAsia" w:cstheme="minorBidi"/>
      <w:kern w:val="2"/>
      <w:sz w:val="21"/>
      <w:szCs w:val="22"/>
      <w:lang w:val="en-US" w:eastAsia="zh-CN" w:bidi="ar-SA"/>
    </w:rPr>
  </w:style>
  <w:style w:type="paragraph" w:customStyle="1" w:styleId="80">
    <w:name w:val="TOC 标题1"/>
    <w:basedOn w:val="2"/>
    <w:next w:val="1"/>
    <w:unhideWhenUsed/>
    <w:qFormat/>
    <w:uiPriority w:val="39"/>
    <w:pPr>
      <w:widowControl/>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table" w:customStyle="1" w:styleId="81">
    <w:name w:val="清单表 7 彩色1"/>
    <w:basedOn w:val="3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82">
    <w:name w:val="Char Char Char Char Char Char Char Char Char Char Char Char Char Char Char Char Char Char Char"/>
    <w:basedOn w:val="1"/>
    <w:link w:val="83"/>
    <w:qFormat/>
    <w:uiPriority w:val="0"/>
    <w:pPr>
      <w:widowControl/>
      <w:spacing w:after="160" w:line="240" w:lineRule="exact"/>
      <w:jc w:val="left"/>
    </w:pPr>
    <w:rPr>
      <w:rFonts w:ascii="Arial" w:hAnsi="Arial" w:eastAsia="Times New Roman" w:cs="Verdana"/>
      <w:b/>
      <w:kern w:val="0"/>
      <w:szCs w:val="24"/>
      <w:lang w:eastAsia="en-US"/>
    </w:rPr>
  </w:style>
  <w:style w:type="character" w:customStyle="1" w:styleId="83">
    <w:name w:val="Char Char Char Char Char Char Char Char Char Char Char Char Char Char Char Char Char Char Char Char"/>
    <w:link w:val="82"/>
    <w:qFormat/>
    <w:uiPriority w:val="0"/>
    <w:rPr>
      <w:rFonts w:ascii="Arial" w:hAnsi="Arial" w:eastAsia="Times New Roman" w:cs="Verdana"/>
      <w:b/>
      <w:kern w:val="0"/>
      <w:szCs w:val="24"/>
      <w:lang w:eastAsia="en-US"/>
    </w:rPr>
  </w:style>
  <w:style w:type="paragraph" w:customStyle="1" w:styleId="84">
    <w:name w:val="图"/>
    <w:basedOn w:val="12"/>
    <w:link w:val="85"/>
    <w:qFormat/>
    <w:uiPriority w:val="0"/>
    <w:pPr>
      <w:spacing w:afterLines="50"/>
    </w:pPr>
    <w:rPr>
      <w:rFonts w:eastAsia="黑体"/>
    </w:rPr>
  </w:style>
  <w:style w:type="character" w:customStyle="1" w:styleId="85">
    <w:name w:val="图 Char"/>
    <w:link w:val="84"/>
    <w:qFormat/>
    <w:uiPriority w:val="0"/>
    <w:rPr>
      <w:rFonts w:eastAsia="黑体"/>
      <w:sz w:val="21"/>
    </w:rPr>
  </w:style>
  <w:style w:type="paragraph" w:customStyle="1" w:styleId="86">
    <w:name w:val="表"/>
    <w:basedOn w:val="84"/>
    <w:link w:val="87"/>
    <w:qFormat/>
    <w:uiPriority w:val="0"/>
    <w:pPr>
      <w:adjustRightInd w:val="0"/>
      <w:snapToGrid w:val="0"/>
      <w:spacing w:afterLines="0"/>
    </w:pPr>
    <w:rPr>
      <w:rFonts w:eastAsia="宋体"/>
      <w:b w:val="0"/>
    </w:rPr>
  </w:style>
  <w:style w:type="character" w:customStyle="1" w:styleId="87">
    <w:name w:val="表 Char"/>
    <w:link w:val="86"/>
    <w:qFormat/>
    <w:uiPriority w:val="0"/>
    <w:rPr>
      <w:rFonts w:eastAsia="宋体"/>
      <w:sz w:val="21"/>
    </w:rPr>
  </w:style>
  <w:style w:type="paragraph" w:customStyle="1" w:styleId="88">
    <w:name w:val="Char Char Char Char Char Char Char Char Char Char Char Char Char Char Char Char Char Char Char1"/>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89">
    <w:name w:val="列出段落2"/>
    <w:basedOn w:val="1"/>
    <w:qFormat/>
    <w:uiPriority w:val="0"/>
    <w:pPr>
      <w:ind w:firstLine="420"/>
    </w:pPr>
  </w:style>
  <w:style w:type="table" w:customStyle="1" w:styleId="90">
    <w:name w:val="无格式表格 21"/>
    <w:basedOn w:val="3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91">
    <w:name w:val="样式1"/>
    <w:basedOn w:val="38"/>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92">
    <w:name w:val="表格文字"/>
    <w:basedOn w:val="1"/>
    <w:link w:val="93"/>
    <w:qFormat/>
    <w:uiPriority w:val="0"/>
    <w:pPr>
      <w:spacing w:line="240" w:lineRule="auto"/>
      <w:jc w:val="center"/>
    </w:pPr>
    <w:rPr>
      <w:sz w:val="21"/>
    </w:rPr>
  </w:style>
  <w:style w:type="character" w:customStyle="1" w:styleId="93">
    <w:name w:val="表格文字 Char"/>
    <w:basedOn w:val="41"/>
    <w:link w:val="92"/>
    <w:qFormat/>
    <w:uiPriority w:val="0"/>
    <w:rPr>
      <w:rFonts w:eastAsia="宋体" w:cstheme="minorBidi"/>
      <w:kern w:val="2"/>
      <w:sz w:val="21"/>
      <w:szCs w:val="22"/>
    </w:rPr>
  </w:style>
  <w:style w:type="table" w:customStyle="1" w:styleId="94">
    <w:name w:val="网格型1"/>
    <w:basedOn w:val="38"/>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2"/>
    <w:basedOn w:val="3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3"/>
    <w:basedOn w:val="38"/>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无间隔2"/>
    <w:qFormat/>
    <w:uiPriority w:val="1"/>
    <w:pPr>
      <w:widowControl w:val="0"/>
      <w:spacing w:line="360" w:lineRule="auto"/>
      <w:jc w:val="center"/>
    </w:pPr>
    <w:rPr>
      <w:rFonts w:ascii="Times New Roman" w:hAnsi="Times New Roman" w:eastAsiaTheme="minorEastAsia" w:cstheme="minorBidi"/>
      <w:kern w:val="2"/>
      <w:sz w:val="24"/>
      <w:szCs w:val="22"/>
      <w:lang w:val="en-US" w:eastAsia="zh-CN" w:bidi="ar-SA"/>
    </w:rPr>
  </w:style>
  <w:style w:type="paragraph" w:customStyle="1" w:styleId="98">
    <w:name w:val="标题5"/>
    <w:basedOn w:val="5"/>
    <w:qFormat/>
    <w:uiPriority w:val="0"/>
  </w:style>
  <w:style w:type="paragraph" w:customStyle="1" w:styleId="99">
    <w:name w:val="标题一"/>
    <w:basedOn w:val="1"/>
    <w:link w:val="100"/>
    <w:qFormat/>
    <w:uiPriority w:val="0"/>
    <w:pPr>
      <w:jc w:val="center"/>
      <w:outlineLvl w:val="0"/>
    </w:pPr>
    <w:rPr>
      <w:rFonts w:asciiTheme="minorHAnsi" w:hAnsiTheme="minorHAnsi"/>
      <w:sz w:val="32"/>
    </w:rPr>
  </w:style>
  <w:style w:type="character" w:customStyle="1" w:styleId="100">
    <w:name w:val="标题一 Char"/>
    <w:basedOn w:val="41"/>
    <w:link w:val="99"/>
    <w:qFormat/>
    <w:uiPriority w:val="0"/>
    <w:rPr>
      <w:kern w:val="2"/>
      <w:sz w:val="32"/>
      <w:szCs w:val="22"/>
    </w:rPr>
  </w:style>
  <w:style w:type="paragraph" w:customStyle="1" w:styleId="101">
    <w:name w:val="标题三"/>
    <w:basedOn w:val="1"/>
    <w:link w:val="102"/>
    <w:qFormat/>
    <w:uiPriority w:val="0"/>
    <w:pPr>
      <w:spacing w:line="360" w:lineRule="exact"/>
      <w:jc w:val="left"/>
      <w:outlineLvl w:val="2"/>
    </w:pPr>
    <w:rPr>
      <w:rFonts w:ascii="Calibri Light" w:hAnsi="Calibri Light"/>
      <w:sz w:val="21"/>
    </w:rPr>
  </w:style>
  <w:style w:type="character" w:customStyle="1" w:styleId="102">
    <w:name w:val="标题三 Char"/>
    <w:basedOn w:val="41"/>
    <w:link w:val="101"/>
    <w:qFormat/>
    <w:uiPriority w:val="0"/>
    <w:rPr>
      <w:rFonts w:ascii="Calibri Light" w:hAnsi="Calibri Light"/>
      <w:kern w:val="2"/>
      <w:sz w:val="21"/>
      <w:szCs w:val="22"/>
    </w:rPr>
  </w:style>
  <w:style w:type="paragraph" w:customStyle="1" w:styleId="103">
    <w:name w:val="正文内容"/>
    <w:basedOn w:val="1"/>
    <w:link w:val="104"/>
    <w:qFormat/>
    <w:uiPriority w:val="0"/>
    <w:pPr>
      <w:autoSpaceDE w:val="0"/>
      <w:autoSpaceDN w:val="0"/>
      <w:adjustRightInd w:val="0"/>
      <w:ind w:firstLine="200"/>
    </w:pPr>
    <w:rPr>
      <w:rFonts w:cs="宋体"/>
      <w:kern w:val="0"/>
      <w:szCs w:val="21"/>
    </w:rPr>
  </w:style>
  <w:style w:type="character" w:customStyle="1" w:styleId="104">
    <w:name w:val="正文内容 Char"/>
    <w:basedOn w:val="41"/>
    <w:link w:val="103"/>
    <w:qFormat/>
    <w:uiPriority w:val="0"/>
    <w:rPr>
      <w:rFonts w:eastAsia="宋体" w:cs="宋体"/>
      <w:sz w:val="28"/>
      <w:szCs w:val="21"/>
    </w:rPr>
  </w:style>
  <w:style w:type="paragraph" w:customStyle="1" w:styleId="105">
    <w:name w:val="中间"/>
    <w:basedOn w:val="101"/>
    <w:link w:val="106"/>
    <w:qFormat/>
    <w:uiPriority w:val="0"/>
    <w:pPr>
      <w:spacing w:line="240" w:lineRule="auto"/>
      <w:jc w:val="center"/>
      <w:outlineLvl w:val="9"/>
    </w:pPr>
    <w:rPr>
      <w:rFonts w:ascii="Times New Roman" w:hAnsi="Times New Roman"/>
      <w:sz w:val="28"/>
    </w:rPr>
  </w:style>
  <w:style w:type="character" w:customStyle="1" w:styleId="106">
    <w:name w:val="中间 字符"/>
    <w:basedOn w:val="102"/>
    <w:link w:val="105"/>
    <w:qFormat/>
    <w:uiPriority w:val="0"/>
    <w:rPr>
      <w:rFonts w:ascii="Calibri Light" w:hAnsi="Calibri Light" w:cstheme="minorBidi"/>
      <w:kern w:val="2"/>
      <w:sz w:val="28"/>
      <w:szCs w:val="22"/>
    </w:rPr>
  </w:style>
  <w:style w:type="paragraph" w:customStyle="1" w:styleId="107">
    <w:name w:val="图表标题"/>
    <w:basedOn w:val="103"/>
    <w:link w:val="108"/>
    <w:qFormat/>
    <w:uiPriority w:val="0"/>
    <w:pPr>
      <w:ind w:firstLine="0"/>
      <w:jc w:val="center"/>
    </w:pPr>
    <w:rPr>
      <w:b/>
    </w:rPr>
  </w:style>
  <w:style w:type="character" w:customStyle="1" w:styleId="108">
    <w:name w:val="图表标题 Char"/>
    <w:basedOn w:val="104"/>
    <w:link w:val="107"/>
    <w:qFormat/>
    <w:uiPriority w:val="0"/>
    <w:rPr>
      <w:rFonts w:eastAsia="宋体" w:cs="宋体"/>
      <w:b/>
      <w:sz w:val="28"/>
      <w:szCs w:val="21"/>
    </w:rPr>
  </w:style>
  <w:style w:type="paragraph" w:customStyle="1" w:styleId="109">
    <w:name w:val="表中文字"/>
    <w:basedOn w:val="103"/>
    <w:link w:val="110"/>
    <w:qFormat/>
    <w:uiPriority w:val="0"/>
    <w:pPr>
      <w:jc w:val="center"/>
    </w:pPr>
  </w:style>
  <w:style w:type="character" w:customStyle="1" w:styleId="110">
    <w:name w:val="表中文字 Char"/>
    <w:basedOn w:val="104"/>
    <w:link w:val="109"/>
    <w:qFormat/>
    <w:uiPriority w:val="0"/>
    <w:rPr>
      <w:rFonts w:ascii="Times New Roman" w:hAnsi="Times New Roman" w:eastAsia="宋体" w:cs="宋体"/>
      <w:sz w:val="21"/>
      <w:szCs w:val="21"/>
    </w:rPr>
  </w:style>
  <w:style w:type="paragraph" w:customStyle="1" w:styleId="111">
    <w:name w:val="标题二（副本）"/>
    <w:basedOn w:val="1"/>
    <w:link w:val="112"/>
    <w:qFormat/>
    <w:uiPriority w:val="0"/>
    <w:pPr>
      <w:jc w:val="center"/>
      <w:outlineLvl w:val="1"/>
    </w:pPr>
    <w:rPr>
      <w:rFonts w:asciiTheme="minorHAnsi" w:hAnsiTheme="minorHAnsi"/>
    </w:rPr>
  </w:style>
  <w:style w:type="character" w:customStyle="1" w:styleId="112">
    <w:name w:val="标题二（副本） Char"/>
    <w:basedOn w:val="41"/>
    <w:link w:val="111"/>
    <w:qFormat/>
    <w:uiPriority w:val="0"/>
    <w:rPr>
      <w:kern w:val="2"/>
      <w:sz w:val="28"/>
      <w:szCs w:val="22"/>
    </w:rPr>
  </w:style>
  <w:style w:type="paragraph" w:customStyle="1" w:styleId="113">
    <w:name w:val="（新）标题四"/>
    <w:basedOn w:val="1"/>
    <w:link w:val="114"/>
    <w:qFormat/>
    <w:uiPriority w:val="0"/>
    <w:pPr>
      <w:autoSpaceDE w:val="0"/>
      <w:autoSpaceDN w:val="0"/>
      <w:adjustRightInd w:val="0"/>
      <w:ind w:firstLine="422"/>
    </w:pPr>
    <w:rPr>
      <w:rFonts w:cs="Times New Roman"/>
      <w:b/>
      <w:color w:val="000000"/>
      <w:kern w:val="0"/>
      <w:sz w:val="21"/>
      <w:szCs w:val="21"/>
    </w:rPr>
  </w:style>
  <w:style w:type="character" w:customStyle="1" w:styleId="114">
    <w:name w:val="（新）标题四 Char"/>
    <w:link w:val="113"/>
    <w:qFormat/>
    <w:uiPriority w:val="0"/>
    <w:rPr>
      <w:rFonts w:ascii="Times New Roman" w:hAnsi="Times New Roman" w:eastAsia="宋体" w:cs="Times New Roman"/>
      <w:b/>
      <w:color w:val="000000"/>
      <w:sz w:val="21"/>
      <w:szCs w:val="21"/>
    </w:rPr>
  </w:style>
  <w:style w:type="paragraph" w:customStyle="1" w:styleId="115">
    <w:name w:val="Char Char Char Char Char Char Char Char Char Char Char Char Char Char Char Char Char Char Char2"/>
    <w:basedOn w:val="1"/>
    <w:qFormat/>
    <w:uiPriority w:val="0"/>
    <w:pPr>
      <w:widowControl/>
      <w:spacing w:after="160" w:line="240" w:lineRule="exact"/>
      <w:jc w:val="left"/>
    </w:pPr>
    <w:rPr>
      <w:rFonts w:ascii="Arial" w:hAnsi="Arial" w:eastAsia="Times New Roman" w:cs="Verdana"/>
      <w:b/>
      <w:kern w:val="0"/>
      <w:szCs w:val="24"/>
      <w:lang w:eastAsia="en-US"/>
    </w:rPr>
  </w:style>
  <w:style w:type="paragraph" w:customStyle="1" w:styleId="116">
    <w:name w:val="列出段落3"/>
    <w:basedOn w:val="1"/>
    <w:qFormat/>
    <w:uiPriority w:val="99"/>
    <w:pPr>
      <w:ind w:firstLine="420"/>
    </w:pPr>
  </w:style>
  <w:style w:type="character" w:customStyle="1" w:styleId="117">
    <w:name w:val="font11"/>
    <w:basedOn w:val="41"/>
    <w:qFormat/>
    <w:uiPriority w:val="0"/>
    <w:rPr>
      <w:rFonts w:ascii="Arial" w:hAnsi="Arial" w:cs="Arial"/>
      <w:color w:val="000000"/>
      <w:sz w:val="22"/>
      <w:szCs w:val="22"/>
      <w:u w:val="none"/>
    </w:rPr>
  </w:style>
  <w:style w:type="character" w:customStyle="1" w:styleId="118">
    <w:name w:val="font01"/>
    <w:basedOn w:val="41"/>
    <w:qFormat/>
    <w:uiPriority w:val="0"/>
    <w:rPr>
      <w:rFonts w:ascii="font-weight : 400" w:hAnsi="font-weight : 400" w:eastAsia="font-weight : 400" w:cs="font-weight : 400"/>
      <w:color w:val="000000"/>
      <w:sz w:val="22"/>
      <w:szCs w:val="22"/>
      <w:u w:val="none"/>
    </w:rPr>
  </w:style>
  <w:style w:type="character" w:customStyle="1" w:styleId="119">
    <w:name w:val="font31"/>
    <w:basedOn w:val="41"/>
    <w:qFormat/>
    <w:uiPriority w:val="0"/>
    <w:rPr>
      <w:rFonts w:hint="default" w:ascii="Times New Roman" w:hAnsi="Times New Roman" w:cs="Times New Roman"/>
      <w:color w:val="000000"/>
      <w:sz w:val="22"/>
      <w:szCs w:val="22"/>
      <w:u w:val="none"/>
      <w:vertAlign w:val="subscript"/>
    </w:rPr>
  </w:style>
  <w:style w:type="paragraph" w:customStyle="1" w:styleId="120">
    <w:name w:val="公式4字符"/>
    <w:basedOn w:val="121"/>
    <w:qFormat/>
    <w:uiPriority w:val="0"/>
    <w:pPr>
      <w:adjustRightInd w:val="0"/>
      <w:snapToGrid w:val="0"/>
      <w:ind w:firstLine="400" w:firstLineChars="400"/>
      <w:jc w:val="left"/>
    </w:pPr>
    <w:rPr>
      <w:kern w:val="0"/>
    </w:rPr>
  </w:style>
  <w:style w:type="paragraph" w:customStyle="1" w:styleId="121">
    <w:name w:val="_Style 2"/>
    <w:basedOn w:val="1"/>
    <w:qFormat/>
    <w:uiPriority w:val="34"/>
    <w:pPr>
      <w:ind w:firstLine="420"/>
    </w:pPr>
  </w:style>
  <w:style w:type="character" w:customStyle="1" w:styleId="122">
    <w:name w:val="font21"/>
    <w:basedOn w:val="41"/>
    <w:qFormat/>
    <w:uiPriority w:val="0"/>
    <w:rPr>
      <w:rFonts w:hint="default" w:ascii="Times New Roman" w:hAnsi="Times New Roman" w:cs="Times New Roman"/>
      <w:color w:val="000000"/>
      <w:sz w:val="24"/>
      <w:szCs w:val="24"/>
      <w:u w:val="none"/>
      <w:vertAlign w:val="subscript"/>
    </w:rPr>
  </w:style>
  <w:style w:type="paragraph" w:customStyle="1" w:styleId="123">
    <w:name w:val="Normal_30_2"/>
    <w:qFormat/>
    <w:uiPriority w:val="0"/>
    <w:pPr>
      <w:spacing w:before="120" w:after="240" w:line="360" w:lineRule="auto"/>
      <w:jc w:val="both"/>
    </w:pPr>
    <w:rPr>
      <w:rFonts w:ascii="Times New Roman" w:hAnsi="Times New Roman" w:eastAsia="宋体" w:cs="Calibri"/>
      <w:sz w:val="22"/>
      <w:szCs w:val="22"/>
      <w:lang w:val="ru-RU" w:eastAsia="en-US" w:bidi="ar-SA"/>
    </w:rPr>
  </w:style>
  <w:style w:type="paragraph" w:customStyle="1" w:styleId="124">
    <w:name w:val="Normal_33_2"/>
    <w:qFormat/>
    <w:uiPriority w:val="0"/>
    <w:pPr>
      <w:spacing w:before="120" w:after="240" w:line="360" w:lineRule="auto"/>
      <w:jc w:val="both"/>
    </w:pPr>
    <w:rPr>
      <w:rFonts w:ascii="Times New Roman" w:hAnsi="Times New Roman" w:eastAsia="宋体" w:cs="Calibri"/>
      <w:sz w:val="22"/>
      <w:szCs w:val="22"/>
      <w:lang w:val="ru-RU" w:eastAsia="en-US" w:bidi="ar-SA"/>
    </w:rPr>
  </w:style>
  <w:style w:type="paragraph" w:customStyle="1" w:styleId="125">
    <w:name w:val="Normal_34_2"/>
    <w:qFormat/>
    <w:uiPriority w:val="0"/>
    <w:pPr>
      <w:spacing w:before="120" w:after="240" w:line="360" w:lineRule="auto"/>
      <w:jc w:val="both"/>
    </w:pPr>
    <w:rPr>
      <w:rFonts w:ascii="Times New Roman" w:hAnsi="Times New Roman" w:eastAsia="宋体" w:cs="Calibri"/>
      <w:sz w:val="22"/>
      <w:szCs w:val="22"/>
      <w:lang w:val="ru-RU" w:eastAsia="en-US" w:bidi="ar-SA"/>
    </w:rPr>
  </w:style>
  <w:style w:type="character" w:customStyle="1" w:styleId="126">
    <w:name w:val="副标题 字符"/>
    <w:qFormat/>
    <w:uiPriority w:val="0"/>
    <w:rPr>
      <w:rFonts w:ascii="Cambria" w:hAnsi="Cambria" w:cs="Times New Roman" w:eastAsiaTheme="minorEastAsia"/>
      <w:b/>
      <w:bCs/>
      <w:kern w:val="28"/>
      <w:sz w:val="32"/>
      <w:szCs w:val="32"/>
    </w:rPr>
  </w:style>
  <w:style w:type="paragraph" w:customStyle="1" w:styleId="127">
    <w:name w:val="p0"/>
    <w:basedOn w:val="1"/>
    <w:qFormat/>
    <w:uiPriority w:val="0"/>
    <w:pPr>
      <w:widowControl/>
    </w:pPr>
    <w:rPr>
      <w:kern w:val="0"/>
      <w:szCs w:val="21"/>
    </w:rPr>
  </w:style>
  <w:style w:type="paragraph" w:customStyle="1" w:styleId="128">
    <w:name w:val="TOC 标题2"/>
    <w:basedOn w:val="2"/>
    <w:next w:val="1"/>
    <w:unhideWhenUsed/>
    <w:qFormat/>
    <w:uiPriority w:val="39"/>
    <w:pPr>
      <w:pageBreakBefore w:val="0"/>
      <w:spacing w:line="578" w:lineRule="auto"/>
      <w:ind w:firstLine="1040" w:firstLineChars="200"/>
      <w:jc w:val="both"/>
      <w:outlineLvl w:val="9"/>
    </w:pPr>
    <w:rPr>
      <w:b w:val="0"/>
      <w:sz w:val="44"/>
    </w:rPr>
  </w:style>
  <w:style w:type="character" w:customStyle="1" w:styleId="129">
    <w:name w:val="占位符文本1"/>
    <w:basedOn w:val="41"/>
    <w:semiHidden/>
    <w:qFormat/>
    <w:uiPriority w:val="99"/>
    <w:rPr>
      <w:color w:val="808080"/>
    </w:rPr>
  </w:style>
  <w:style w:type="paragraph" w:customStyle="1" w:styleId="130">
    <w:name w:val="列出段落4"/>
    <w:basedOn w:val="1"/>
    <w:qFormat/>
    <w:uiPriority w:val="34"/>
    <w:pPr>
      <w:spacing w:line="240" w:lineRule="auto"/>
      <w:ind w:firstLine="420"/>
      <w:textAlignment w:val="auto"/>
    </w:pPr>
    <w:rPr>
      <w:rFonts w:cs="Times New Roman"/>
      <w:sz w:val="21"/>
      <w:szCs w:val="24"/>
    </w:rPr>
  </w:style>
  <w:style w:type="paragraph" w:customStyle="1" w:styleId="131">
    <w:name w:val="Char Char Char Char Char Char Char"/>
    <w:basedOn w:val="1"/>
    <w:qFormat/>
    <w:uiPriority w:val="0"/>
    <w:pPr>
      <w:widowControl/>
      <w:spacing w:after="160" w:line="240" w:lineRule="exact"/>
      <w:jc w:val="left"/>
      <w:textAlignment w:val="auto"/>
    </w:pPr>
    <w:rPr>
      <w:rFonts w:ascii="Arial" w:hAnsi="Arial" w:eastAsia="Times New Roman" w:cs="Verdana"/>
      <w:b/>
      <w:kern w:val="0"/>
      <w:szCs w:val="21"/>
      <w:lang w:eastAsia="en-US"/>
    </w:rPr>
  </w:style>
  <w:style w:type="paragraph" w:customStyle="1" w:styleId="1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33">
    <w:name w:val="List Paragraph"/>
    <w:basedOn w:val="1"/>
    <w:link w:val="134"/>
    <w:qFormat/>
    <w:uiPriority w:val="34"/>
  </w:style>
  <w:style w:type="character" w:customStyle="1" w:styleId="134">
    <w:name w:val="列表段落 字符"/>
    <w:link w:val="133"/>
    <w:qFormat/>
    <w:uiPriority w:val="34"/>
  </w:style>
  <w:style w:type="character" w:customStyle="1" w:styleId="135">
    <w:name w:val="op_dict_text2"/>
    <w:basedOn w:val="41"/>
    <w:qFormat/>
    <w:uiPriority w:val="0"/>
  </w:style>
  <w:style w:type="character" w:customStyle="1" w:styleId="136">
    <w:name w:val="页眉 Char"/>
    <w:qFormat/>
    <w:uiPriority w:val="99"/>
    <w:rPr>
      <w:rFonts w:ascii="Times New Roman" w:hAnsi="Times New Roman"/>
      <w:sz w:val="18"/>
      <w:szCs w:val="18"/>
    </w:rPr>
  </w:style>
  <w:style w:type="character" w:customStyle="1" w:styleId="137">
    <w:name w:val="页脚 Char"/>
    <w:qFormat/>
    <w:uiPriority w:val="99"/>
    <w:rPr>
      <w:rFonts w:ascii="Times New Roman" w:hAnsi="Times New Roman"/>
      <w:sz w:val="18"/>
      <w:szCs w:val="18"/>
    </w:rPr>
  </w:style>
  <w:style w:type="character" w:customStyle="1" w:styleId="138">
    <w:name w:val="批注文字 Char"/>
    <w:qFormat/>
    <w:uiPriority w:val="99"/>
    <w:rPr>
      <w:rFonts w:ascii="Times New Roman" w:hAnsi="Times New Roman"/>
      <w:szCs w:val="24"/>
    </w:rPr>
  </w:style>
  <w:style w:type="character" w:customStyle="1" w:styleId="139">
    <w:name w:val="批注框文本 Char"/>
    <w:semiHidden/>
    <w:qFormat/>
    <w:uiPriority w:val="99"/>
    <w:rPr>
      <w:rFonts w:ascii="Times New Roman" w:hAnsi="Times New Roman"/>
      <w:sz w:val="18"/>
      <w:szCs w:val="18"/>
    </w:rPr>
  </w:style>
  <w:style w:type="character" w:customStyle="1" w:styleId="140">
    <w:name w:val="文档结构图 字符"/>
    <w:basedOn w:val="41"/>
    <w:semiHidden/>
    <w:qFormat/>
    <w:uiPriority w:val="99"/>
    <w:rPr>
      <w:rFonts w:ascii="宋体" w:cstheme="minorBidi"/>
      <w:kern w:val="2"/>
      <w:sz w:val="18"/>
      <w:szCs w:val="18"/>
    </w:rPr>
  </w:style>
  <w:style w:type="character" w:customStyle="1" w:styleId="141">
    <w:name w:val="批注主题 Char"/>
    <w:semiHidden/>
    <w:qFormat/>
    <w:uiPriority w:val="99"/>
    <w:rPr>
      <w:rFonts w:ascii="Times New Roman" w:hAnsi="Times New Roman"/>
      <w:b/>
      <w:bCs/>
      <w:sz w:val="24"/>
      <w:szCs w:val="24"/>
    </w:rPr>
  </w:style>
  <w:style w:type="paragraph" w:customStyle="1" w:styleId="142">
    <w:name w:val="修订1"/>
    <w:hidden/>
    <w:semiHidden/>
    <w:qFormat/>
    <w:uiPriority w:val="99"/>
    <w:rPr>
      <w:rFonts w:ascii="Times New Roman" w:hAnsi="Times New Roman" w:eastAsia="宋体" w:cs="Times New Roman"/>
      <w:kern w:val="2"/>
      <w:sz w:val="24"/>
      <w:szCs w:val="22"/>
      <w:lang w:val="en-US" w:eastAsia="zh-CN" w:bidi="ar-SA"/>
    </w:rPr>
  </w:style>
  <w:style w:type="character" w:customStyle="1" w:styleId="143">
    <w:name w:val="doc_title"/>
    <w:basedOn w:val="41"/>
    <w:qFormat/>
    <w:uiPriority w:val="0"/>
  </w:style>
  <w:style w:type="character" w:customStyle="1" w:styleId="144">
    <w:name w:val="src"/>
    <w:basedOn w:val="41"/>
    <w:qFormat/>
    <w:uiPriority w:val="0"/>
  </w:style>
  <w:style w:type="character" w:customStyle="1" w:styleId="145">
    <w:name w:val="apple-converted-space"/>
    <w:basedOn w:val="41"/>
    <w:qFormat/>
    <w:uiPriority w:val="0"/>
  </w:style>
  <w:style w:type="character" w:customStyle="1" w:styleId="146">
    <w:name w:val="纯文本 Char"/>
    <w:qFormat/>
    <w:uiPriority w:val="0"/>
    <w:rPr>
      <w:rFonts w:ascii="宋体" w:hAnsi="Courier New" w:cs="Courier New"/>
      <w:sz w:val="21"/>
      <w:szCs w:val="21"/>
    </w:rPr>
  </w:style>
  <w:style w:type="paragraph" w:customStyle="1" w:styleId="147">
    <w:name w:val="修订2"/>
    <w:semiHidden/>
    <w:qFormat/>
    <w:uiPriority w:val="99"/>
    <w:rPr>
      <w:rFonts w:ascii="Times New Roman" w:hAnsi="Times New Roman" w:eastAsia="宋体" w:cs="Times New Roman"/>
      <w:kern w:val="2"/>
      <w:sz w:val="24"/>
      <w:szCs w:val="22"/>
      <w:lang w:val="en-US" w:eastAsia="zh-CN" w:bidi="ar-SA"/>
    </w:rPr>
  </w:style>
  <w:style w:type="table" w:customStyle="1" w:styleId="148">
    <w:name w:val="网格型11"/>
    <w:basedOn w:val="38"/>
    <w:qFormat/>
    <w:uiPriority w:val="5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图名表名"/>
    <w:next w:val="18"/>
    <w:qFormat/>
    <w:uiPriority w:val="0"/>
    <w:pPr>
      <w:spacing w:line="360" w:lineRule="exact"/>
      <w:jc w:val="center"/>
    </w:pPr>
    <w:rPr>
      <w:rFonts w:ascii="Calibri" w:hAnsi="Calibri" w:eastAsiaTheme="minorEastAsia" w:cstheme="minorBidi"/>
      <w:b/>
      <w:sz w:val="21"/>
      <w:szCs w:val="22"/>
      <w:lang w:val="en-US" w:eastAsia="zh-CN" w:bidi="ar-SA"/>
    </w:rPr>
  </w:style>
  <w:style w:type="paragraph" w:customStyle="1" w:styleId="150">
    <w:name w:val="注"/>
    <w:basedOn w:val="149"/>
    <w:qFormat/>
    <w:uiPriority w:val="0"/>
    <w:pPr>
      <w:jc w:val="left"/>
    </w:pPr>
    <w:rPr>
      <w:rFonts w:eastAsia="宋体"/>
    </w:rPr>
  </w:style>
  <w:style w:type="paragraph" w:customStyle="1" w:styleId="151">
    <w:name w:val="m正文"/>
    <w:basedOn w:val="1"/>
    <w:qFormat/>
    <w:uiPriority w:val="0"/>
    <w:pPr>
      <w:ind w:firstLine="420"/>
    </w:pPr>
    <w:rPr>
      <w:rFonts w:ascii="黑体" w:hAnsi="黑体" w:eastAsia="黑体"/>
      <w:szCs w:val="21"/>
    </w:rPr>
  </w:style>
  <w:style w:type="paragraph" w:customStyle="1" w:styleId="152">
    <w:name w:val="二级无"/>
    <w:basedOn w:val="153"/>
    <w:qFormat/>
    <w:uiPriority w:val="0"/>
    <w:pPr>
      <w:spacing w:beforeLines="0" w:afterLines="0"/>
    </w:pPr>
    <w:rPr>
      <w:rFonts w:ascii="宋体" w:eastAsia="宋体"/>
    </w:rPr>
  </w:style>
  <w:style w:type="paragraph" w:customStyle="1" w:styleId="153">
    <w:name w:val="二级条标题"/>
    <w:basedOn w:val="154"/>
    <w:next w:val="155"/>
    <w:qFormat/>
    <w:uiPriority w:val="0"/>
    <w:pPr>
      <w:numPr>
        <w:ilvl w:val="0"/>
        <w:numId w:val="0"/>
      </w:numPr>
      <w:spacing w:before="50" w:after="50"/>
      <w:outlineLvl w:val="3"/>
    </w:pPr>
  </w:style>
  <w:style w:type="paragraph" w:customStyle="1" w:styleId="154">
    <w:name w:val="一级条标题"/>
    <w:next w:val="155"/>
    <w:qFormat/>
    <w:uiPriority w:val="0"/>
    <w:pPr>
      <w:numPr>
        <w:ilvl w:val="1"/>
        <w:numId w:val="2"/>
      </w:numPr>
      <w:spacing w:beforeLines="50" w:afterLines="50"/>
      <w:outlineLvl w:val="2"/>
    </w:pPr>
    <w:rPr>
      <w:rFonts w:ascii="黑体" w:hAnsi="Times New Roman" w:eastAsia="黑体" w:cs="Times New Roman"/>
      <w:sz w:val="21"/>
      <w:szCs w:val="21"/>
      <w:lang w:val="en-US" w:eastAsia="zh-CN" w:bidi="ar-SA"/>
    </w:rPr>
  </w:style>
  <w:style w:type="paragraph" w:customStyle="1" w:styleId="155">
    <w:name w:val="段"/>
    <w:qFormat/>
    <w:uiPriority w:val="0"/>
    <w:pPr>
      <w:tabs>
        <w:tab w:val="center" w:pos="4201"/>
        <w:tab w:val="right" w:leader="dot" w:pos="9298"/>
      </w:tabs>
      <w:autoSpaceDE w:val="0"/>
      <w:autoSpaceDN w:val="0"/>
      <w:ind w:firstLine="420" w:firstLineChars="200"/>
      <w:jc w:val="both"/>
    </w:pPr>
    <w:rPr>
      <w:rFonts w:ascii="Times New Roman" w:hAnsi="Times New Roman" w:eastAsia="宋体" w:cs="Times New Roman"/>
      <w:sz w:val="21"/>
      <w:szCs w:val="22"/>
      <w:lang w:val="en-US" w:eastAsia="zh-CN" w:bidi="ar-SA"/>
    </w:rPr>
  </w:style>
  <w:style w:type="paragraph" w:customStyle="1" w:styleId="156">
    <w:name w:val="图名"/>
    <w:basedOn w:val="1"/>
    <w:next w:val="1"/>
    <w:qFormat/>
    <w:uiPriority w:val="0"/>
    <w:pPr>
      <w:jc w:val="center"/>
    </w:pPr>
    <w:rPr>
      <w:rFonts w:ascii="黑体" w:hAnsi="黑体" w:eastAsia="黑体"/>
    </w:rPr>
  </w:style>
  <w:style w:type="paragraph" w:customStyle="1" w:styleId="157">
    <w:name w:val="正文图标题"/>
    <w:next w:val="155"/>
    <w:qFormat/>
    <w:uiPriority w:val="0"/>
    <w:pPr>
      <w:numPr>
        <w:ilvl w:val="0"/>
        <w:numId w:val="3"/>
      </w:numPr>
      <w:spacing w:beforeLines="50" w:afterLines="50"/>
      <w:ind w:left="0"/>
      <w:jc w:val="center"/>
    </w:pPr>
    <w:rPr>
      <w:rFonts w:ascii="黑体" w:hAnsi="Times New Roman" w:eastAsia="黑体" w:cs="Times New Roman"/>
      <w:sz w:val="21"/>
      <w:szCs w:val="22"/>
      <w:lang w:val="en-US" w:eastAsia="zh-CN" w:bidi="ar-SA"/>
    </w:rPr>
  </w:style>
  <w:style w:type="paragraph" w:customStyle="1" w:styleId="158">
    <w:name w:val="字母编号列项（一级）"/>
    <w:qFormat/>
    <w:uiPriority w:val="0"/>
    <w:pPr>
      <w:numPr>
        <w:ilvl w:val="0"/>
        <w:numId w:val="4"/>
      </w:numPr>
      <w:jc w:val="both"/>
    </w:pPr>
    <w:rPr>
      <w:rFonts w:ascii="宋体" w:hAnsi="Times New Roman" w:eastAsia="宋体" w:cs="Times New Roman"/>
      <w:sz w:val="21"/>
      <w:szCs w:val="22"/>
      <w:lang w:val="en-US" w:eastAsia="zh-CN" w:bidi="ar-SA"/>
    </w:rPr>
  </w:style>
  <w:style w:type="paragraph" w:customStyle="1" w:styleId="159">
    <w:name w:val="正文1"/>
    <w:qFormat/>
    <w:uiPriority w:val="0"/>
    <w:pPr>
      <w:spacing w:line="360" w:lineRule="auto"/>
      <w:ind w:firstLine="560" w:firstLineChars="200"/>
    </w:pPr>
    <w:rPr>
      <w:rFonts w:ascii="Times New Roman" w:hAnsi="Times New Roman" w:eastAsia="宋体" w:cs="Arial"/>
      <w:kern w:val="44"/>
      <w:sz w:val="28"/>
      <w:szCs w:val="28"/>
      <w:lang w:val="en-US" w:eastAsia="zh-CN" w:bidi="ar-SA"/>
    </w:rPr>
  </w:style>
  <w:style w:type="character" w:styleId="160">
    <w:name w:val="Placeholder Text"/>
    <w:basedOn w:val="41"/>
    <w:unhideWhenUsed/>
    <w:qFormat/>
    <w:uiPriority w:val="99"/>
    <w:rPr>
      <w:color w:val="808080"/>
    </w:rPr>
  </w:style>
  <w:style w:type="character" w:customStyle="1" w:styleId="161">
    <w:name w:val="标题 3 字符2"/>
    <w:basedOn w:val="41"/>
    <w:link w:val="4"/>
    <w:qFormat/>
    <w:uiPriority w:val="9"/>
    <w:rPr>
      <w:rFonts w:ascii="Times New Roman" w:hAnsi="Times New Roman" w:eastAsia="宋体" w:cstheme="minorBidi"/>
      <w:bCs/>
      <w:kern w:val="2"/>
      <w:sz w:val="28"/>
      <w:szCs w:val="32"/>
    </w:rPr>
  </w:style>
  <w:style w:type="paragraph" w:customStyle="1" w:styleId="162">
    <w:name w:val="m图"/>
    <w:basedOn w:val="1"/>
    <w:next w:val="1"/>
    <w:qFormat/>
    <w:uiPriority w:val="0"/>
    <w:pPr>
      <w:adjustRightInd w:val="0"/>
      <w:snapToGrid w:val="0"/>
      <w:spacing w:beforeLines="50" w:line="240" w:lineRule="auto"/>
      <w:jc w:val="center"/>
      <w:textAlignment w:val="auto"/>
    </w:pPr>
    <w:rPr>
      <w:rFonts w:cs="Times New Roman"/>
      <w:sz w:val="21"/>
      <w:szCs w:val="24"/>
    </w:rPr>
  </w:style>
  <w:style w:type="paragraph" w:customStyle="1" w:styleId="163">
    <w:name w:val="m分图名"/>
    <w:qFormat/>
    <w:uiPriority w:val="0"/>
    <w:pPr>
      <w:adjustRightInd w:val="0"/>
      <w:jc w:val="center"/>
    </w:pPr>
    <w:rPr>
      <w:rFonts w:ascii="Times New Roman" w:hAnsi="Times New Roman" w:eastAsia="宋体" w:cs="Times New Roman"/>
      <w:kern w:val="2"/>
      <w:sz w:val="18"/>
      <w:szCs w:val="24"/>
      <w:lang w:val="en-US" w:eastAsia="zh-CN" w:bidi="ar-SA"/>
    </w:rPr>
  </w:style>
  <w:style w:type="paragraph" w:customStyle="1" w:styleId="164">
    <w:name w:val="m图名"/>
    <w:basedOn w:val="1"/>
    <w:qFormat/>
    <w:uiPriority w:val="0"/>
    <w:pPr>
      <w:adjustRightInd w:val="0"/>
      <w:spacing w:afterLines="50" w:line="240" w:lineRule="auto"/>
      <w:jc w:val="center"/>
      <w:textAlignment w:val="auto"/>
    </w:pPr>
    <w:rPr>
      <w:rFonts w:cs="Times New Roman"/>
      <w:sz w:val="18"/>
      <w:szCs w:val="24"/>
    </w:rPr>
  </w:style>
  <w:style w:type="table" w:customStyle="1" w:styleId="165">
    <w:name w:val="Table Grid1"/>
    <w:basedOn w:val="38"/>
    <w:qFormat/>
    <w:uiPriority w:val="59"/>
    <w:pPr>
      <w:spacing w:after="160" w:line="259"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6">
    <w:name w:val="font41"/>
    <w:basedOn w:val="41"/>
    <w:qFormat/>
    <w:uiPriority w:val="0"/>
    <w:rPr>
      <w:rFonts w:hint="default" w:ascii="Times New Roman" w:hAnsi="Times New Roman" w:cs="Times New Roman"/>
      <w:color w:val="000000"/>
      <w:sz w:val="24"/>
      <w:szCs w:val="24"/>
      <w:u w:val="none"/>
    </w:rPr>
  </w:style>
  <w:style w:type="paragraph" w:customStyle="1" w:styleId="167">
    <w:name w:val="修订3"/>
    <w:hidden/>
    <w:semiHidden/>
    <w:qFormat/>
    <w:uiPriority w:val="99"/>
    <w:rPr>
      <w:rFonts w:ascii="Times New Roman" w:hAnsi="Times New Roman" w:eastAsia="宋体" w:cstheme="minorBidi"/>
      <w:kern w:val="2"/>
      <w:sz w:val="24"/>
      <w:szCs w:val="22"/>
      <w:lang w:val="en-US" w:eastAsia="zh-CN" w:bidi="ar-SA"/>
    </w:rPr>
  </w:style>
  <w:style w:type="paragraph" w:customStyle="1" w:styleId="168">
    <w:name w:val="TOC 标题3"/>
    <w:basedOn w:val="2"/>
    <w:next w:val="1"/>
    <w:unhideWhenUsed/>
    <w:qFormat/>
    <w:uiPriority w:val="39"/>
    <w:pPr>
      <w:pageBreakBefore w:val="0"/>
      <w:widowControl/>
      <w:spacing w:before="240" w:line="259" w:lineRule="auto"/>
      <w:jc w:val="left"/>
      <w:textAlignment w:val="auto"/>
      <w:outlineLvl w:val="9"/>
    </w:pPr>
    <w:rPr>
      <w:rFonts w:asciiTheme="majorHAnsi" w:hAnsiTheme="majorHAnsi" w:eastAsiaTheme="majorEastAsia" w:cstheme="majorBidi"/>
      <w:b w:val="0"/>
      <w:bCs w:val="0"/>
      <w:color w:val="376092" w:themeColor="accent1" w:themeShade="BF"/>
      <w:kern w:val="0"/>
      <w:szCs w:val="32"/>
    </w:rPr>
  </w:style>
  <w:style w:type="paragraph" w:customStyle="1" w:styleId="169">
    <w:name w:val="图片"/>
    <w:link w:val="170"/>
    <w:qFormat/>
    <w:uiPriority w:val="0"/>
    <w:pPr>
      <w:jc w:val="center"/>
    </w:pPr>
    <w:rPr>
      <w:rFonts w:ascii="Cambria Math" w:hAnsi="Cambria Math" w:eastAsiaTheme="minorEastAsia" w:cstheme="minorBidi"/>
      <w:kern w:val="2"/>
      <w:sz w:val="21"/>
      <w:szCs w:val="21"/>
      <w:lang w:val="en-US" w:eastAsia="zh-CN" w:bidi="ar-SA"/>
    </w:rPr>
  </w:style>
  <w:style w:type="character" w:customStyle="1" w:styleId="170">
    <w:name w:val="图片 Char"/>
    <w:basedOn w:val="41"/>
    <w:link w:val="169"/>
    <w:qFormat/>
    <w:uiPriority w:val="0"/>
    <w:rPr>
      <w:rFonts w:ascii="Cambria Math" w:hAnsi="Cambria Math" w:eastAsiaTheme="minorEastAsia" w:cstheme="minorBidi"/>
      <w:kern w:val="2"/>
      <w:sz w:val="21"/>
      <w:szCs w:val="21"/>
    </w:rPr>
  </w:style>
  <w:style w:type="character" w:customStyle="1" w:styleId="171">
    <w:name w:val="题注 Char"/>
    <w:qFormat/>
    <w:uiPriority w:val="35"/>
    <w:rPr>
      <w:rFonts w:eastAsia="宋体" w:cstheme="majorBidi"/>
      <w:b/>
      <w:kern w:val="2"/>
      <w:sz w:val="21"/>
    </w:rPr>
  </w:style>
  <w:style w:type="character" w:customStyle="1" w:styleId="172">
    <w:name w:val="HTML 地址 字符"/>
    <w:link w:val="18"/>
    <w:qFormat/>
    <w:uiPriority w:val="99"/>
    <w:rPr>
      <w:i/>
    </w:rPr>
  </w:style>
  <w:style w:type="character" w:customStyle="1" w:styleId="173">
    <w:name w:val="TOC 5 字符"/>
    <w:link w:val="19"/>
    <w:qFormat/>
    <w:uiPriority w:val="39"/>
    <w:rPr>
      <w:rFonts w:asciiTheme="minorHAnsi" w:hAnsiTheme="minorHAnsi"/>
      <w:sz w:val="21"/>
    </w:rPr>
  </w:style>
  <w:style w:type="paragraph" w:customStyle="1" w:styleId="174">
    <w:name w:val="列出段落5"/>
    <w:basedOn w:val="1"/>
    <w:qFormat/>
    <w:uiPriority w:val="0"/>
    <w:pPr>
      <w:spacing w:line="400" w:lineRule="exact"/>
      <w:ind w:firstLine="420"/>
      <w:textAlignment w:val="auto"/>
    </w:pPr>
    <w:rPr>
      <w:rFonts w:cs="Times New Roman"/>
      <w:szCs w:val="24"/>
    </w:rPr>
  </w:style>
  <w:style w:type="paragraph" w:customStyle="1" w:styleId="175">
    <w:name w:val="修订4"/>
    <w:hidden/>
    <w:semiHidden/>
    <w:qFormat/>
    <w:uiPriority w:val="99"/>
    <w:rPr>
      <w:rFonts w:ascii="Times New Roman" w:hAnsi="Times New Roman" w:eastAsia="宋体" w:cstheme="minorBidi"/>
      <w:kern w:val="2"/>
      <w:sz w:val="24"/>
      <w:szCs w:val="22"/>
      <w:lang w:val="en-US" w:eastAsia="zh-CN" w:bidi="ar-SA"/>
    </w:rPr>
  </w:style>
  <w:style w:type="paragraph" w:customStyle="1" w:styleId="176">
    <w:name w:val="修订5"/>
    <w:hidden/>
    <w:semiHidden/>
    <w:qFormat/>
    <w:uiPriority w:val="99"/>
    <w:rPr>
      <w:rFonts w:ascii="Times New Roman" w:hAnsi="Times New Roman" w:eastAsia="宋体" w:cstheme="minorBidi"/>
      <w:kern w:val="2"/>
      <w:sz w:val="24"/>
      <w:szCs w:val="22"/>
      <w:lang w:val="en-US" w:eastAsia="zh-CN" w:bidi="ar-SA"/>
    </w:rPr>
  </w:style>
  <w:style w:type="paragraph" w:customStyle="1" w:styleId="177">
    <w:name w:val="修订6"/>
    <w:hidden/>
    <w:semiHidden/>
    <w:qFormat/>
    <w:uiPriority w:val="99"/>
    <w:rPr>
      <w:rFonts w:ascii="Times New Roman" w:hAnsi="Times New Roman" w:eastAsia="宋体" w:cstheme="minorBidi"/>
      <w:kern w:val="2"/>
      <w:sz w:val="24"/>
      <w:szCs w:val="22"/>
      <w:lang w:val="en-US" w:eastAsia="zh-CN" w:bidi="ar-SA"/>
    </w:rPr>
  </w:style>
  <w:style w:type="character" w:customStyle="1" w:styleId="178">
    <w:name w:val="题注 字符1"/>
    <w:link w:val="12"/>
    <w:qFormat/>
    <w:uiPriority w:val="35"/>
    <w:rPr>
      <w:rFonts w:eastAsia="宋体" w:cstheme="majorBidi"/>
      <w:b/>
      <w:kern w:val="2"/>
      <w:sz w:val="21"/>
    </w:rPr>
  </w:style>
  <w:style w:type="paragraph" w:customStyle="1" w:styleId="179">
    <w:name w:val="修订7"/>
    <w:hidden/>
    <w:semiHidden/>
    <w:qFormat/>
    <w:uiPriority w:val="99"/>
    <w:rPr>
      <w:rFonts w:ascii="Times New Roman" w:hAnsi="Times New Roman" w:eastAsia="宋体" w:cstheme="minorBidi"/>
      <w:kern w:val="2"/>
      <w:sz w:val="24"/>
      <w:szCs w:val="22"/>
      <w:lang w:val="en-US" w:eastAsia="zh-CN" w:bidi="ar-SA"/>
    </w:rPr>
  </w:style>
  <w:style w:type="paragraph" w:customStyle="1" w:styleId="180">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181">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82">
    <w:name w:val="章标题"/>
    <w:next w:val="155"/>
    <w:qFormat/>
    <w:uiPriority w:val="0"/>
    <w:pPr>
      <w:spacing w:beforeLines="100" w:afterLines="100"/>
      <w:jc w:val="both"/>
      <w:outlineLvl w:val="1"/>
    </w:pPr>
    <w:rPr>
      <w:rFonts w:ascii="黑体" w:hAnsi="Times New Roman" w:eastAsia="黑体" w:cs="Times New Roman"/>
      <w:sz w:val="21"/>
      <w:lang w:val="en-US" w:eastAsia="zh-CN" w:bidi="ar-SA"/>
    </w:rPr>
  </w:style>
  <w:style w:type="paragraph" w:customStyle="1" w:styleId="183">
    <w:name w:val="三级条标题"/>
    <w:basedOn w:val="153"/>
    <w:next w:val="155"/>
    <w:qFormat/>
    <w:uiPriority w:val="0"/>
    <w:pPr>
      <w:outlineLvl w:val="4"/>
    </w:pPr>
  </w:style>
  <w:style w:type="paragraph" w:customStyle="1" w:styleId="184">
    <w:name w:val="四级条标题"/>
    <w:basedOn w:val="183"/>
    <w:next w:val="155"/>
    <w:qFormat/>
    <w:uiPriority w:val="0"/>
    <w:pPr>
      <w:outlineLvl w:val="5"/>
    </w:pPr>
  </w:style>
  <w:style w:type="paragraph" w:customStyle="1" w:styleId="185">
    <w:name w:val="五级条标题"/>
    <w:basedOn w:val="184"/>
    <w:next w:val="155"/>
    <w:qFormat/>
    <w:uiPriority w:val="0"/>
    <w:pPr>
      <w:outlineLvl w:val="6"/>
    </w:pPr>
  </w:style>
  <w:style w:type="paragraph" w:customStyle="1" w:styleId="186">
    <w:name w:val="修订8"/>
    <w:hidden/>
    <w:semiHidden/>
    <w:qFormat/>
    <w:uiPriority w:val="99"/>
    <w:rPr>
      <w:rFonts w:ascii="Times New Roman" w:hAnsi="Times New Roman" w:eastAsia="宋体" w:cstheme="minorBidi"/>
      <w:kern w:val="2"/>
      <w:sz w:val="24"/>
      <w:szCs w:val="22"/>
      <w:lang w:val="en-US" w:eastAsia="zh-CN" w:bidi="ar-SA"/>
    </w:rPr>
  </w:style>
  <w:style w:type="paragraph" w:customStyle="1" w:styleId="187">
    <w:name w:val="(文字) (文字)"/>
    <w:basedOn w:val="1"/>
    <w:qFormat/>
    <w:uiPriority w:val="0"/>
    <w:rPr>
      <w:rFonts w:cs="Times New Roman"/>
      <w:szCs w:val="24"/>
    </w:rPr>
  </w:style>
  <w:style w:type="paragraph" w:customStyle="1" w:styleId="188">
    <w:name w:val="Table Paragraph"/>
    <w:basedOn w:val="1"/>
    <w:qFormat/>
    <w:uiPriority w:val="1"/>
  </w:style>
  <w:style w:type="paragraph" w:customStyle="1" w:styleId="189">
    <w:name w:val="Body text|1"/>
    <w:basedOn w:val="1"/>
    <w:qFormat/>
    <w:uiPriority w:val="0"/>
    <w:pPr>
      <w:spacing w:line="444" w:lineRule="auto"/>
      <w:ind w:firstLine="400"/>
    </w:pPr>
    <w:rPr>
      <w:rFonts w:ascii="宋体" w:hAnsi="宋体" w:cs="宋体"/>
      <w:sz w:val="22"/>
      <w:lang w:val="zh-TW" w:eastAsia="zh-TW" w:bidi="zh-TW"/>
    </w:rPr>
  </w:style>
  <w:style w:type="paragraph" w:customStyle="1" w:styleId="190">
    <w:name w:val="Other|1"/>
    <w:basedOn w:val="1"/>
    <w:qFormat/>
    <w:uiPriority w:val="0"/>
    <w:pPr>
      <w:spacing w:line="444" w:lineRule="auto"/>
      <w:ind w:firstLine="400"/>
    </w:pPr>
    <w:rPr>
      <w:rFonts w:ascii="宋体" w:hAnsi="宋体" w:cs="宋体"/>
      <w:sz w:val="22"/>
      <w:lang w:val="zh-TW" w:eastAsia="zh-TW" w:bidi="zh-TW"/>
    </w:rPr>
  </w:style>
  <w:style w:type="paragraph" w:customStyle="1" w:styleId="191">
    <w:name w:val="Table caption|1"/>
    <w:basedOn w:val="1"/>
    <w:qFormat/>
    <w:uiPriority w:val="0"/>
    <w:pPr>
      <w:jc w:val="center"/>
    </w:pPr>
    <w:rPr>
      <w:rFonts w:ascii="宋体" w:hAnsi="宋体" w:cs="宋体"/>
      <w:sz w:val="22"/>
      <w:lang w:val="zh-TW" w:eastAsia="zh-TW" w:bidi="zh-TW"/>
    </w:rPr>
  </w:style>
  <w:style w:type="paragraph" w:customStyle="1" w:styleId="192">
    <w:name w:val="样式2"/>
    <w:basedOn w:val="1"/>
    <w:qFormat/>
    <w:uiPriority w:val="0"/>
    <w:pPr>
      <w:adjustRightInd w:val="0"/>
      <w:spacing w:line="480" w:lineRule="atLeast"/>
      <w:jc w:val="left"/>
    </w:pPr>
    <w:rPr>
      <w:rFonts w:eastAsia="长城仿宋"/>
      <w:b/>
      <w:spacing w:val="10"/>
      <w:kern w:val="28"/>
    </w:rPr>
  </w:style>
  <w:style w:type="paragraph" w:customStyle="1" w:styleId="193">
    <w:name w:val="正文文字"/>
    <w:basedOn w:val="1"/>
    <w:qFormat/>
    <w:uiPriority w:val="0"/>
    <w:pPr>
      <w:spacing w:line="240" w:lineRule="auto"/>
      <w:textAlignment w:val="auto"/>
    </w:pPr>
    <w:rPr>
      <w:rFonts w:cs="Times New Roman"/>
      <w:sz w:val="28"/>
      <w:szCs w:val="28"/>
    </w:rPr>
  </w:style>
  <w:style w:type="paragraph" w:customStyle="1" w:styleId="194">
    <w:name w:val="+正文"/>
    <w:basedOn w:val="1"/>
    <w:qFormat/>
    <w:uiPriority w:val="99"/>
    <w:pPr>
      <w:widowControl/>
      <w:ind w:firstLine="200"/>
      <w:jc w:val="left"/>
    </w:pPr>
    <w:rPr>
      <w:rFonts w:ascii="Calibri" w:hAnsi="Calibri"/>
      <w:kern w:val="0"/>
      <w:szCs w:val="28"/>
      <w:lang w:val="zh-CN" w:eastAsia="en-US" w:bidi="en-US"/>
    </w:rPr>
  </w:style>
  <w:style w:type="paragraph" w:customStyle="1" w:styleId="195">
    <w:name w:val="简单回函地址"/>
    <w:basedOn w:val="1"/>
    <w:qFormat/>
    <w:uiPriority w:val="0"/>
    <w:rPr>
      <w:szCs w:val="24"/>
    </w:rPr>
  </w:style>
  <w:style w:type="table" w:customStyle="1" w:styleId="196">
    <w:name w:val="网格型4"/>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一级标题"/>
    <w:basedOn w:val="2"/>
    <w:qFormat/>
    <w:uiPriority w:val="0"/>
    <w:pPr>
      <w:spacing w:line="480" w:lineRule="auto"/>
    </w:pPr>
    <w:rPr>
      <w:rFonts w:ascii="等线" w:hAnsi="等线" w:cs="Times New Roman"/>
      <w:b w:val="0"/>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6.wmf"/><Relationship Id="rId55" Type="http://schemas.openxmlformats.org/officeDocument/2006/relationships/oleObject" Target="embeddings/oleObject18.bin"/><Relationship Id="rId54" Type="http://schemas.openxmlformats.org/officeDocument/2006/relationships/image" Target="media/image25.wmf"/><Relationship Id="rId53" Type="http://schemas.openxmlformats.org/officeDocument/2006/relationships/oleObject" Target="embeddings/oleObject17.bin"/><Relationship Id="rId52" Type="http://schemas.openxmlformats.org/officeDocument/2006/relationships/image" Target="media/image24.wmf"/><Relationship Id="rId51" Type="http://schemas.openxmlformats.org/officeDocument/2006/relationships/oleObject" Target="embeddings/oleObject16.bin"/><Relationship Id="rId50" Type="http://schemas.openxmlformats.org/officeDocument/2006/relationships/image" Target="media/image23.wmf"/><Relationship Id="rId5" Type="http://schemas.openxmlformats.org/officeDocument/2006/relationships/header" Target="header3.xml"/><Relationship Id="rId49" Type="http://schemas.openxmlformats.org/officeDocument/2006/relationships/oleObject" Target="embeddings/oleObject15.bin"/><Relationship Id="rId48" Type="http://schemas.openxmlformats.org/officeDocument/2006/relationships/image" Target="media/image22.wmf"/><Relationship Id="rId47" Type="http://schemas.openxmlformats.org/officeDocument/2006/relationships/oleObject" Target="embeddings/oleObject14.bin"/><Relationship Id="rId46" Type="http://schemas.openxmlformats.org/officeDocument/2006/relationships/image" Target="media/image21.wmf"/><Relationship Id="rId45" Type="http://schemas.openxmlformats.org/officeDocument/2006/relationships/oleObject" Target="embeddings/oleObject13.bin"/><Relationship Id="rId44" Type="http://schemas.openxmlformats.org/officeDocument/2006/relationships/image" Target="media/image20.wmf"/><Relationship Id="rId43" Type="http://schemas.openxmlformats.org/officeDocument/2006/relationships/oleObject" Target="embeddings/oleObject12.bin"/><Relationship Id="rId42" Type="http://schemas.openxmlformats.org/officeDocument/2006/relationships/image" Target="media/image19.wmf"/><Relationship Id="rId41" Type="http://schemas.openxmlformats.org/officeDocument/2006/relationships/oleObject" Target="embeddings/oleObject11.bin"/><Relationship Id="rId40" Type="http://schemas.openxmlformats.org/officeDocument/2006/relationships/image" Target="media/image18.wmf"/><Relationship Id="rId4" Type="http://schemas.openxmlformats.org/officeDocument/2006/relationships/header" Target="header2.xml"/><Relationship Id="rId39" Type="http://schemas.openxmlformats.org/officeDocument/2006/relationships/oleObject" Target="embeddings/oleObject10.bin"/><Relationship Id="rId38" Type="http://schemas.openxmlformats.org/officeDocument/2006/relationships/image" Target="media/image17.wmf"/><Relationship Id="rId37" Type="http://schemas.openxmlformats.org/officeDocument/2006/relationships/oleObject" Target="embeddings/oleObject9.bin"/><Relationship Id="rId36" Type="http://schemas.openxmlformats.org/officeDocument/2006/relationships/image" Target="media/image16.wmf"/><Relationship Id="rId35" Type="http://schemas.openxmlformats.org/officeDocument/2006/relationships/oleObject" Target="embeddings/oleObject8.bin"/><Relationship Id="rId34" Type="http://schemas.openxmlformats.org/officeDocument/2006/relationships/image" Target="media/image15.wmf"/><Relationship Id="rId33" Type="http://schemas.openxmlformats.org/officeDocument/2006/relationships/oleObject" Target="embeddings/oleObject7.bin"/><Relationship Id="rId32" Type="http://schemas.openxmlformats.org/officeDocument/2006/relationships/image" Target="media/image14.wmf"/><Relationship Id="rId31" Type="http://schemas.openxmlformats.org/officeDocument/2006/relationships/oleObject" Target="embeddings/oleObject6.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2.wmf"/><Relationship Id="rId27" Type="http://schemas.openxmlformats.org/officeDocument/2006/relationships/oleObject" Target="embeddings/oleObject4.bin"/><Relationship Id="rId26" Type="http://schemas.openxmlformats.org/officeDocument/2006/relationships/image" Target="media/image11.wmf"/><Relationship Id="rId25" Type="http://schemas.openxmlformats.org/officeDocument/2006/relationships/oleObject" Target="embeddings/oleObject3.bin"/><Relationship Id="rId24" Type="http://schemas.openxmlformats.org/officeDocument/2006/relationships/image" Target="media/image10.wmf"/><Relationship Id="rId23" Type="http://schemas.openxmlformats.org/officeDocument/2006/relationships/oleObject" Target="embeddings/oleObject2.bin"/><Relationship Id="rId22" Type="http://schemas.openxmlformats.org/officeDocument/2006/relationships/image" Target="media/image9.wmf"/><Relationship Id="rId21" Type="http://schemas.openxmlformats.org/officeDocument/2006/relationships/oleObject" Target="embeddings/oleObject1.bin"/><Relationship Id="rId20" Type="http://schemas.openxmlformats.org/officeDocument/2006/relationships/image" Target="file:///C:\Users\ADMINI~1\AppData\Local\Temp\ksohtml\wpsED3C.tmp.png"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emf"/><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1"/>
    <customShpInfo spid="_x0000_s2049"/>
    <customShpInfo spid="_x0000_s1026" textRotate="1"/>
    <customShpInfo spid="_x0000_s2054"/>
    <customShpInfo spid="_x0000_s2052"/>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922B6A-CE70-409D-BAD5-C5065D43FE72}">
  <ds:schemaRefs/>
</ds:datastoreItem>
</file>

<file path=docProps/app.xml><?xml version="1.0" encoding="utf-8"?>
<Properties xmlns="http://schemas.openxmlformats.org/officeDocument/2006/extended-properties" xmlns:vt="http://schemas.openxmlformats.org/officeDocument/2006/docPropsVTypes">
  <Template>Normal</Template>
  <Company>Bmedi</Company>
  <Pages>91</Pages>
  <Words>43400</Words>
  <Characters>48416</Characters>
  <Lines>497</Lines>
  <Paragraphs>140</Paragraphs>
  <TotalTime>1</TotalTime>
  <ScaleCrop>false</ScaleCrop>
  <LinksUpToDate>false</LinksUpToDate>
  <CharactersWithSpaces>51434</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2021-05-06T17:15:00Z</dcterms:created>
  <dc:creator>user</dc:creator>
  <cp:lastModifiedBy>漓漓</cp:lastModifiedBy>
  <cp:lastPrinted>2020-04-23T08:01:00Z</cp:lastPrinted>
  <dcterms:modified xsi:type="dcterms:W3CDTF">2022-05-30T06:44:26Z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RubyTemplateID" linkTarget="0">
    <vt:lpwstr>6</vt:lpwstr>
  </property>
  <property fmtid="{D5CDD505-2E9C-101B-9397-08002B2CF9AE}" pid="4" name="ICV">
    <vt:lpwstr>2C9F6ADA085F42FFA55260A167679050</vt:lpwstr>
  </property>
</Properties>
</file>