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cs="仿宋_GB2312"/>
          <w:b w:val="0"/>
          <w:bCs w:val="0"/>
          <w:sz w:val="32"/>
          <w:szCs w:val="32"/>
          <w:lang w:val="en-US" w:eastAsia="zh-CN"/>
        </w:rPr>
        <w:t>1</w:t>
      </w:r>
      <w:bookmarkStart w:id="0" w:name="_GoBack"/>
      <w:bookmarkEnd w:id="0"/>
    </w:p>
    <w:p>
      <w:pPr>
        <w:pStyle w:val="2"/>
        <w:rPr>
          <w:rFonts w:hint="default"/>
          <w:lang w:val="en-US" w:eastAsia="zh-CN"/>
        </w:rPr>
      </w:pPr>
    </w:p>
    <w:p>
      <w:pPr>
        <w:jc w:val="center"/>
        <w:rPr>
          <w:rFonts w:hint="eastAsia" w:ascii="方正小标宋简体" w:hAnsi="方正小标宋简体" w:eastAsia="方正小标宋简体" w:cs="方正小标宋简体"/>
          <w:b w:val="0"/>
          <w:bCs w:val="0"/>
          <w:sz w:val="44"/>
          <w:szCs w:val="36"/>
          <w:lang w:eastAsia="zh-CN"/>
        </w:rPr>
      </w:pPr>
      <w:r>
        <w:rPr>
          <w:rFonts w:hint="eastAsia" w:ascii="方正小标宋简体" w:hAnsi="方正小标宋简体" w:eastAsia="方正小标宋简体" w:cs="方正小标宋简体"/>
          <w:b w:val="0"/>
          <w:bCs w:val="0"/>
          <w:sz w:val="44"/>
          <w:szCs w:val="36"/>
          <w:lang w:val="en-US" w:eastAsia="zh-CN"/>
        </w:rPr>
        <w:t>已获住房城乡建设部认定的生产基地名单</w:t>
      </w:r>
    </w:p>
    <w:tbl>
      <w:tblPr>
        <w:tblStyle w:val="3"/>
        <w:tblpPr w:leftFromText="180" w:rightFromText="180" w:vertAnchor="text" w:horzAnchor="page" w:tblpX="1717" w:tblpY="311"/>
        <w:tblOverlap w:val="never"/>
        <w:tblW w:w="13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5476"/>
        <w:gridCol w:w="2066"/>
        <w:gridCol w:w="1967"/>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trPr>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highlight w:val="none"/>
                <w:vertAlign w:val="baseline"/>
                <w:lang w:val="en-US" w:eastAsia="zh-CN"/>
              </w:rPr>
            </w:pPr>
            <w:r>
              <w:rPr>
                <w:rFonts w:hint="eastAsia" w:ascii="黑体" w:hAnsi="黑体" w:eastAsia="黑体" w:cs="黑体"/>
                <w:color w:val="auto"/>
                <w:sz w:val="28"/>
                <w:szCs w:val="28"/>
                <w:highlight w:val="none"/>
                <w:vertAlign w:val="baseline"/>
                <w:lang w:val="en-US" w:eastAsia="zh-CN"/>
              </w:rPr>
              <w:t>示范批次</w:t>
            </w:r>
          </w:p>
        </w:tc>
        <w:tc>
          <w:tcPr>
            <w:tcW w:w="5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highlight w:val="none"/>
                <w:vertAlign w:val="baseline"/>
                <w:lang w:eastAsia="zh-CN"/>
              </w:rPr>
            </w:pPr>
            <w:r>
              <w:rPr>
                <w:rFonts w:hint="eastAsia" w:ascii="黑体" w:hAnsi="黑体" w:eastAsia="黑体" w:cs="黑体"/>
                <w:color w:val="auto"/>
                <w:sz w:val="28"/>
                <w:szCs w:val="28"/>
                <w:highlight w:val="none"/>
                <w:vertAlign w:val="baseline"/>
                <w:lang w:eastAsia="zh-CN"/>
              </w:rPr>
              <w:t>生产基地名称</w:t>
            </w:r>
          </w:p>
        </w:tc>
        <w:tc>
          <w:tcPr>
            <w:tcW w:w="2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highlight w:val="none"/>
                <w:vertAlign w:val="baseline"/>
                <w:lang w:eastAsia="zh-CN"/>
              </w:rPr>
            </w:pPr>
            <w:r>
              <w:rPr>
                <w:rFonts w:hint="eastAsia" w:ascii="黑体" w:hAnsi="黑体" w:eastAsia="黑体" w:cs="黑体"/>
                <w:color w:val="auto"/>
                <w:sz w:val="28"/>
                <w:szCs w:val="28"/>
                <w:highlight w:val="none"/>
                <w:vertAlign w:val="baseline"/>
                <w:lang w:eastAsia="zh-CN"/>
              </w:rPr>
              <w:t>所属地市</w:t>
            </w:r>
          </w:p>
        </w:tc>
        <w:tc>
          <w:tcPr>
            <w:tcW w:w="1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highlight w:val="none"/>
                <w:vertAlign w:val="baseline"/>
                <w:lang w:eastAsia="zh-CN"/>
              </w:rPr>
            </w:pPr>
            <w:r>
              <w:rPr>
                <w:rFonts w:hint="eastAsia" w:ascii="黑体" w:hAnsi="黑体" w:eastAsia="黑体" w:cs="黑体"/>
                <w:color w:val="auto"/>
                <w:sz w:val="28"/>
                <w:szCs w:val="28"/>
                <w:highlight w:val="none"/>
                <w:vertAlign w:val="baseline"/>
                <w:lang w:eastAsia="zh-CN"/>
              </w:rPr>
              <w:t>批准部门</w:t>
            </w:r>
          </w:p>
        </w:tc>
        <w:tc>
          <w:tcPr>
            <w:tcW w:w="29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highlight w:val="none"/>
                <w:vertAlign w:val="baseline"/>
                <w:lang w:eastAsia="zh-CN"/>
              </w:rPr>
            </w:pPr>
            <w:r>
              <w:rPr>
                <w:rFonts w:hint="eastAsia" w:ascii="黑体" w:hAnsi="黑体" w:eastAsia="黑体" w:cs="黑体"/>
                <w:color w:val="auto"/>
                <w:sz w:val="28"/>
                <w:szCs w:val="28"/>
                <w:highlight w:val="none"/>
                <w:vertAlign w:val="baseline"/>
                <w:lang w:eastAsia="zh-CN"/>
              </w:rPr>
              <w:t>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60"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r>
              <w:rPr>
                <w:rFonts w:hint="eastAsia" w:ascii="仿宋_GB2312" w:hAnsi="仿宋_GB2312" w:eastAsia="仿宋_GB2312" w:cs="仿宋_GB2312"/>
                <w:color w:val="auto"/>
                <w:sz w:val="28"/>
                <w:szCs w:val="28"/>
                <w:highlight w:val="none"/>
                <w:vertAlign w:val="baseline"/>
                <w:lang w:eastAsia="zh-CN"/>
              </w:rPr>
              <w:t>第一批</w:t>
            </w: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广东省建筑设计研究院</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广州市</w:t>
            </w:r>
          </w:p>
        </w:tc>
        <w:tc>
          <w:tcPr>
            <w:tcW w:w="1967"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住房城乡建设部办公厅</w:t>
            </w:r>
          </w:p>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住房城乡建设部办公厅关于认定第一批装配式建筑示范城市和产业基地的函</w:t>
            </w:r>
            <w:r>
              <w:rPr>
                <w:rFonts w:hint="eastAsia" w:cs="仿宋_GB2312"/>
                <w:color w:val="auto"/>
                <w:sz w:val="28"/>
                <w:szCs w:val="28"/>
                <w:highlight w:val="none"/>
                <w:vertAlign w:val="baseline"/>
                <w:lang w:val="en-US" w:eastAsia="zh-CN"/>
              </w:rPr>
              <w:t>（</w:t>
            </w:r>
            <w:r>
              <w:rPr>
                <w:rFonts w:hint="eastAsia" w:ascii="仿宋_GB2312" w:hAnsi="仿宋_GB2312" w:eastAsia="仿宋_GB2312" w:cs="仿宋_GB2312"/>
                <w:color w:val="auto"/>
                <w:sz w:val="28"/>
                <w:szCs w:val="28"/>
                <w:highlight w:val="none"/>
                <w:vertAlign w:val="baseline"/>
                <w:lang w:val="en-US" w:eastAsia="zh-CN"/>
              </w:rPr>
              <w:t>建办科函</w:t>
            </w:r>
            <w:r>
              <w:rPr>
                <w:rFonts w:hint="eastAsia" w:cs="仿宋_GB2312"/>
                <w:color w:val="auto"/>
                <w:sz w:val="28"/>
                <w:szCs w:val="28"/>
                <w:highlight w:val="none"/>
                <w:vertAlign w:val="baseline"/>
                <w:lang w:val="en-US" w:eastAsia="zh-CN"/>
              </w:rPr>
              <w:t>〔2017〕</w:t>
            </w:r>
            <w:r>
              <w:rPr>
                <w:rFonts w:hint="eastAsia" w:ascii="仿宋_GB2312" w:hAnsi="仿宋_GB2312" w:eastAsia="仿宋_GB2312" w:cs="仿宋_GB2312"/>
                <w:color w:val="auto"/>
                <w:sz w:val="28"/>
                <w:szCs w:val="28"/>
                <w:highlight w:val="none"/>
                <w:vertAlign w:val="baseline"/>
                <w:lang w:val="en-US" w:eastAsia="zh-CN"/>
              </w:rPr>
              <w:t>771号</w:t>
            </w:r>
            <w:r>
              <w:rPr>
                <w:rFonts w:hint="eastAsia" w:cs="仿宋_GB2312"/>
                <w:color w:val="auto"/>
                <w:sz w:val="28"/>
                <w:szCs w:val="28"/>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广州机施建设集团有限公司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cs="仿宋_GB2312"/>
                <w:color w:val="auto"/>
                <w:sz w:val="28"/>
                <w:szCs w:val="28"/>
                <w:highlight w:val="none"/>
                <w:vertAlign w:val="baseline"/>
                <w:lang w:val="en-US" w:eastAsia="zh-CN"/>
              </w:rPr>
              <w:t>广州市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中国建筑第四工程局有限公司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cs="仿宋_GB2312"/>
                <w:color w:val="auto"/>
                <w:sz w:val="28"/>
                <w:szCs w:val="28"/>
                <w:highlight w:val="none"/>
                <w:vertAlign w:val="baseline"/>
                <w:lang w:val="en-US" w:eastAsia="zh-CN"/>
              </w:rPr>
              <w:t>广州市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广州市白云化工实业有限公司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8"/>
                <w:szCs w:val="28"/>
                <w:lang w:eastAsia="zh-CN"/>
              </w:rPr>
            </w:pPr>
            <w:r>
              <w:rPr>
                <w:rFonts w:hint="eastAsia" w:cs="仿宋_GB2312"/>
                <w:color w:val="auto"/>
                <w:sz w:val="28"/>
                <w:szCs w:val="28"/>
                <w:highlight w:val="none"/>
                <w:vertAlign w:val="baseline"/>
                <w:lang w:val="en-US" w:eastAsia="zh-CN"/>
              </w:rPr>
              <w:t>广州市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cs="仿宋_GB2312"/>
                <w:color w:val="auto"/>
                <w:sz w:val="28"/>
                <w:szCs w:val="28"/>
                <w:highlight w:val="none"/>
                <w:vertAlign w:val="baseline"/>
                <w:lang w:val="en-US"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广东建远建筑装配工业有限公司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广州市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6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广东省建筑科学研究院集团股份有限公司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cs="仿宋_GB2312"/>
                <w:color w:val="auto"/>
                <w:sz w:val="28"/>
                <w:szCs w:val="28"/>
                <w:highlight w:val="none"/>
                <w:vertAlign w:val="baseline"/>
                <w:lang w:val="en-US" w:eastAsia="zh-CN"/>
              </w:rPr>
              <w:t>广州市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深圳市华阳国际工程设计股份有限公司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深圳华森建筑与工程设计顾问有限公司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筑博设计股份有限公司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0" w:type="dxa"/>
            <w:vMerge w:val="continue"/>
            <w:tcBorders>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深圳市鹏城建筑集团有限公司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0"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r>
              <w:rPr>
                <w:rFonts w:hint="eastAsia" w:ascii="仿宋_GB2312" w:hAnsi="仿宋_GB2312" w:eastAsia="仿宋_GB2312" w:cs="仿宋_GB2312"/>
                <w:color w:val="auto"/>
                <w:sz w:val="28"/>
                <w:szCs w:val="28"/>
                <w:highlight w:val="none"/>
                <w:vertAlign w:val="baseline"/>
                <w:lang w:eastAsia="zh-CN"/>
              </w:rPr>
              <w:t>第一批</w:t>
            </w: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eastAsia="zh-CN"/>
              </w:rPr>
              <w:t>中建钢构有限公司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深圳市</w:t>
            </w:r>
          </w:p>
        </w:tc>
        <w:tc>
          <w:tcPr>
            <w:tcW w:w="1967" w:type="dxa"/>
            <w:vMerge w:val="restart"/>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住房城乡建设部办公厅</w:t>
            </w:r>
          </w:p>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p>
        </w:tc>
        <w:tc>
          <w:tcPr>
            <w:tcW w:w="2917" w:type="dxa"/>
            <w:vMerge w:val="restart"/>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ascii="仿宋_GB2312" w:hAnsi="仿宋_GB2312" w:eastAsia="仿宋_GB2312" w:cs="仿宋_GB2312"/>
                <w:color w:val="auto"/>
                <w:sz w:val="28"/>
                <w:szCs w:val="28"/>
                <w:highlight w:val="none"/>
                <w:vertAlign w:val="baseline"/>
                <w:lang w:val="en-US" w:eastAsia="zh-CN"/>
              </w:rPr>
              <w:t>住房城乡建设部办公厅关于认定第一批装配式建筑示范城市和产业基地的函</w:t>
            </w:r>
            <w:r>
              <w:rPr>
                <w:rFonts w:hint="eastAsia" w:cs="仿宋_GB2312"/>
                <w:color w:val="auto"/>
                <w:sz w:val="28"/>
                <w:szCs w:val="28"/>
                <w:highlight w:val="none"/>
                <w:vertAlign w:val="baseline"/>
                <w:lang w:val="en-US" w:eastAsia="zh-CN"/>
              </w:rPr>
              <w:t>（</w:t>
            </w:r>
            <w:r>
              <w:rPr>
                <w:rFonts w:hint="eastAsia" w:ascii="仿宋_GB2312" w:hAnsi="仿宋_GB2312" w:eastAsia="仿宋_GB2312" w:cs="仿宋_GB2312"/>
                <w:color w:val="auto"/>
                <w:sz w:val="28"/>
                <w:szCs w:val="28"/>
                <w:highlight w:val="none"/>
                <w:vertAlign w:val="baseline"/>
                <w:lang w:val="en-US" w:eastAsia="zh-CN"/>
              </w:rPr>
              <w:t>建办科函</w:t>
            </w:r>
            <w:r>
              <w:rPr>
                <w:rFonts w:hint="eastAsia" w:cs="仿宋_GB2312"/>
                <w:color w:val="auto"/>
                <w:sz w:val="28"/>
                <w:szCs w:val="28"/>
                <w:highlight w:val="none"/>
                <w:vertAlign w:val="baseline"/>
                <w:lang w:val="en-US" w:eastAsia="zh-CN"/>
              </w:rPr>
              <w:t>〔2017〕</w:t>
            </w:r>
            <w:r>
              <w:rPr>
                <w:rFonts w:hint="eastAsia" w:ascii="仿宋_GB2312" w:hAnsi="仿宋_GB2312" w:eastAsia="仿宋_GB2312" w:cs="仿宋_GB2312"/>
                <w:color w:val="auto"/>
                <w:sz w:val="28"/>
                <w:szCs w:val="28"/>
                <w:highlight w:val="none"/>
                <w:vertAlign w:val="baseline"/>
                <w:lang w:val="en-US" w:eastAsia="zh-CN"/>
              </w:rPr>
              <w:t>771号</w:t>
            </w:r>
            <w:r>
              <w:rPr>
                <w:rFonts w:hint="eastAsia" w:cs="仿宋_GB2312"/>
                <w:color w:val="auto"/>
                <w:sz w:val="28"/>
                <w:szCs w:val="28"/>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深圳市嘉达高科产业发展有限公司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中建国际投资（中国）有限公司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中建科技有限公司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万科企业股份有限公司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0" w:type="dxa"/>
            <w:vMerge w:val="continue"/>
            <w:tcBorders>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color w:val="auto"/>
                <w:kern w:val="0"/>
                <w:sz w:val="28"/>
                <w:szCs w:val="28"/>
                <w:highlight w:val="no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碧桂园控股有限公司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eastAsia="zh-CN"/>
              </w:rPr>
            </w:pPr>
            <w:r>
              <w:rPr>
                <w:rFonts w:hint="eastAsia" w:cs="仿宋_GB2312"/>
                <w:color w:val="auto"/>
                <w:sz w:val="28"/>
                <w:szCs w:val="28"/>
                <w:highlight w:val="none"/>
                <w:vertAlign w:val="baseline"/>
                <w:lang w:val="en-US" w:eastAsia="zh-CN"/>
              </w:rPr>
              <w:t>佛山市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c>
          <w:tcPr>
            <w:tcW w:w="2917" w:type="dxa"/>
            <w:vMerge w:val="continue"/>
            <w:tcBorders>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360"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第二批</w:t>
            </w: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华南理工大学建筑设计研究院有限公司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广州市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住房和城乡建设部办公厅关于认定第二批装配式建筑范例城市和产业基地的通知(建办标函〔2020〕470号）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香港华艺设计顾问（深圳）有限公司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深圳市建筑科学研究院股份有限公司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深圳市广胜达建设有限公司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0"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深圳金鑫绿建股份有限公司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深圳市</w:t>
            </w:r>
          </w:p>
        </w:tc>
        <w:tc>
          <w:tcPr>
            <w:tcW w:w="196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continue"/>
            <w:tcBorders>
              <w:left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60" w:type="dxa"/>
            <w:vMerge w:val="continue"/>
            <w:tcBorders>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547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vertAlign w:val="baseline"/>
                <w:lang w:val="en-US" w:eastAsia="zh-CN"/>
              </w:rPr>
              <w:t>广东莲田金属工程建筑有限公司</w:t>
            </w:r>
          </w:p>
        </w:tc>
        <w:tc>
          <w:tcPr>
            <w:tcW w:w="20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r>
              <w:rPr>
                <w:rFonts w:hint="eastAsia" w:cs="仿宋_GB2312"/>
                <w:color w:val="auto"/>
                <w:sz w:val="28"/>
                <w:szCs w:val="28"/>
                <w:highlight w:val="none"/>
                <w:vertAlign w:val="baseline"/>
                <w:lang w:val="en-US" w:eastAsia="zh-CN"/>
              </w:rPr>
              <w:t>广州市</w:t>
            </w:r>
          </w:p>
        </w:tc>
        <w:tc>
          <w:tcPr>
            <w:tcW w:w="1967" w:type="dxa"/>
            <w:vMerge w:val="continue"/>
            <w:tcBorders>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c>
          <w:tcPr>
            <w:tcW w:w="2917" w:type="dxa"/>
            <w:vMerge w:val="continue"/>
            <w:tcBorders>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highlight w:val="none"/>
                <w:vertAlign w:val="baseline"/>
                <w:lang w:val="en-US" w:eastAsia="zh-CN"/>
              </w:rPr>
            </w:pPr>
          </w:p>
        </w:tc>
      </w:tr>
    </w:tbl>
    <w:p>
      <w:pPr>
        <w:tabs>
          <w:tab w:val="left" w:pos="9215"/>
        </w:tabs>
        <w:bidi w:val="0"/>
        <w:jc w:val="left"/>
        <w:rPr>
          <w:rFonts w:hint="eastAsia" w:eastAsia="仿宋_GB2312"/>
          <w:lang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2D6D94"/>
    <w:rsid w:val="33295FB7"/>
    <w:rsid w:val="423F5425"/>
    <w:rsid w:val="4A047918"/>
    <w:rsid w:val="56B4153E"/>
    <w:rsid w:val="5C5E4EF3"/>
    <w:rsid w:val="62E54C39"/>
    <w:rsid w:val="66AF4335"/>
    <w:rsid w:val="6C5645FD"/>
    <w:rsid w:val="734714CD"/>
    <w:rsid w:val="7EFE8059"/>
    <w:rsid w:val="FDDC3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left="0" w:leftChars="0" w:firstLine="0" w:firstLineChars="0"/>
      <w:jc w:val="left"/>
    </w:pPr>
    <w:rPr>
      <w:rFonts w:ascii="仿宋_GB2312" w:hAnsi="仿宋_GB2312" w:eastAsia="仿宋_GB2312" w:cs="Times New Roman"/>
      <w:kern w:val="2"/>
      <w:sz w:val="32"/>
      <w:szCs w:val="24"/>
      <w:lang w:val="en-US" w:eastAsia="zh-CN" w:bidi="ar-SA"/>
    </w:rPr>
  </w:style>
  <w:style w:type="paragraph" w:styleId="2">
    <w:name w:val="heading 3"/>
    <w:basedOn w:val="1"/>
    <w:next w:val="1"/>
    <w:qFormat/>
    <w:uiPriority w:val="0"/>
    <w:pPr>
      <w:keepNext/>
      <w:keepLines/>
      <w:spacing w:beforeLines="0" w:beforeAutospacing="0" w:afterLines="0" w:afterAutospacing="0" w:line="600" w:lineRule="exact"/>
      <w:outlineLvl w:val="2"/>
    </w:pPr>
    <w:rPr>
      <w:rFonts w:ascii="Calibri" w:hAnsi="Calibri" w:eastAsia="楷体_GB2312" w:cs="Times New Roman"/>
      <w:b/>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仿宋_GB2312" w:eastAsia="仿宋_GB2312" w:cs="仿宋_GB2312"/>
      <w:color w:val="000000"/>
      <w:sz w:val="24"/>
      <w:szCs w:val="24"/>
      <w:u w:val="none"/>
    </w:rPr>
  </w:style>
  <w:style w:type="character" w:customStyle="1" w:styleId="7">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2020-12-24T18:43:00Z</dcterms:created>
  <dc:creator>jzt</dc:creator>
  <cp:lastModifiedBy>szj</cp:lastModifiedBy>
  <cp:lastPrinted>2020-12-24T20:17:00Z</cp:lastPrinted>
  <dcterms:modified xsi:type="dcterms:W3CDTF">2022-06-07T15:06:03Z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ribbonExt">
    <vt:lpwstr>{"WPSExtOfficeTab":{"OnGetEnabled":false,"OnGetVisible":false}}</vt:lpwstr>
  </property>
</Properties>
</file>