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ED28C" w14:textId="48083017" w:rsidR="00731F0F" w:rsidRPr="00731F0F" w:rsidRDefault="00731F0F" w:rsidP="00731F0F">
      <w:pPr>
        <w:jc w:val="right"/>
        <w:rPr>
          <w:rFonts w:ascii="仿宋" w:eastAsia="仿宋" w:hAnsi="仿宋"/>
          <w:sz w:val="30"/>
          <w:szCs w:val="30"/>
        </w:rPr>
      </w:pPr>
      <w:r w:rsidRPr="00731F0F">
        <w:rPr>
          <w:rFonts w:ascii="仿宋" w:eastAsia="仿宋" w:hAnsi="仿宋" w:hint="eastAsia"/>
          <w:sz w:val="30"/>
          <w:szCs w:val="30"/>
        </w:rPr>
        <w:t>建科〔</w:t>
      </w:r>
      <w:r w:rsidRPr="00731F0F">
        <w:rPr>
          <w:rFonts w:ascii="仿宋" w:eastAsia="仿宋" w:hAnsi="仿宋"/>
          <w:sz w:val="30"/>
          <w:szCs w:val="30"/>
        </w:rPr>
        <w:t>2020〕95号</w:t>
      </w:r>
    </w:p>
    <w:p w14:paraId="75D2019E" w14:textId="664DDB31" w:rsidR="00731F0F" w:rsidRPr="00731F0F" w:rsidRDefault="00731F0F" w:rsidP="00731F0F">
      <w:pPr>
        <w:jc w:val="center"/>
        <w:rPr>
          <w:rFonts w:ascii="宋体" w:eastAsia="宋体" w:hAnsi="宋体"/>
          <w:b/>
          <w:bCs/>
          <w:sz w:val="40"/>
          <w:szCs w:val="44"/>
        </w:rPr>
      </w:pPr>
      <w:r w:rsidRPr="00731F0F">
        <w:rPr>
          <w:rFonts w:ascii="宋体" w:eastAsia="宋体" w:hAnsi="宋体" w:hint="eastAsia"/>
          <w:b/>
          <w:bCs/>
          <w:sz w:val="40"/>
          <w:szCs w:val="44"/>
        </w:rPr>
        <w:t>住房和城乡建设部</w:t>
      </w:r>
      <w:r w:rsidRPr="00731F0F">
        <w:rPr>
          <w:rFonts w:ascii="宋体" w:eastAsia="宋体" w:hAnsi="宋体"/>
          <w:b/>
          <w:bCs/>
          <w:sz w:val="40"/>
          <w:szCs w:val="44"/>
        </w:rPr>
        <w:t xml:space="preserve"> 体育总局关于</w:t>
      </w:r>
    </w:p>
    <w:p w14:paraId="26103AB9" w14:textId="3288815B" w:rsidR="007012B5" w:rsidRPr="00731F0F" w:rsidRDefault="00731F0F" w:rsidP="00731F0F">
      <w:pPr>
        <w:jc w:val="center"/>
        <w:rPr>
          <w:rFonts w:ascii="宋体" w:eastAsia="宋体" w:hAnsi="宋体"/>
          <w:b/>
          <w:bCs/>
          <w:sz w:val="40"/>
          <w:szCs w:val="44"/>
        </w:rPr>
      </w:pPr>
      <w:r w:rsidRPr="00731F0F">
        <w:rPr>
          <w:rFonts w:ascii="宋体" w:eastAsia="宋体" w:hAnsi="宋体" w:hint="eastAsia"/>
          <w:b/>
          <w:bCs/>
          <w:sz w:val="40"/>
          <w:szCs w:val="44"/>
        </w:rPr>
        <w:t>全面推进城市社区足球场地设施建设的意见</w:t>
      </w:r>
    </w:p>
    <w:p w14:paraId="39D7418C" w14:textId="3F5D60A0" w:rsidR="00731F0F" w:rsidRDefault="00731F0F" w:rsidP="00731F0F"/>
    <w:p w14:paraId="7C50AA5F" w14:textId="77777777" w:rsidR="00731F0F" w:rsidRDefault="00731F0F" w:rsidP="00731F0F">
      <w:pPr>
        <w:rPr>
          <w:rFonts w:hint="eastAsia"/>
        </w:rPr>
      </w:pPr>
    </w:p>
    <w:p w14:paraId="0B705697" w14:textId="626AF7CD" w:rsidR="00731F0F" w:rsidRPr="00731F0F" w:rsidRDefault="00731F0F" w:rsidP="00731F0F">
      <w:pPr>
        <w:rPr>
          <w:rFonts w:ascii="仿宋" w:eastAsia="仿宋" w:hAnsi="仿宋" w:hint="eastAsia"/>
          <w:sz w:val="30"/>
          <w:szCs w:val="30"/>
        </w:rPr>
      </w:pPr>
      <w:r w:rsidRPr="00731F0F">
        <w:rPr>
          <w:rFonts w:ascii="仿宋" w:eastAsia="仿宋" w:hAnsi="仿宋" w:hint="eastAsia"/>
          <w:sz w:val="30"/>
          <w:szCs w:val="30"/>
        </w:rPr>
        <w:t>各省、自治区住房和城乡建设厅、体育局，直辖市住房和城乡建设（管）委、体育局，新疆生产建设兵团住房和城乡建设局、体育局：</w:t>
      </w:r>
    </w:p>
    <w:p w14:paraId="4D37B499" w14:textId="3CB1599A" w:rsidR="00731F0F" w:rsidRPr="00731F0F" w:rsidRDefault="00731F0F" w:rsidP="00731F0F">
      <w:pPr>
        <w:rPr>
          <w:rFonts w:ascii="仿宋" w:eastAsia="仿宋" w:hAnsi="仿宋" w:hint="eastAsia"/>
          <w:sz w:val="30"/>
          <w:szCs w:val="30"/>
        </w:rPr>
      </w:pPr>
      <w:r w:rsidRPr="00731F0F">
        <w:rPr>
          <w:rFonts w:ascii="仿宋" w:eastAsia="仿宋" w:hAnsi="仿宋" w:hint="eastAsia"/>
          <w:sz w:val="30"/>
          <w:szCs w:val="30"/>
        </w:rPr>
        <w:t xml:space="preserve">　　建设城市社区足球场地设施是增加社区活动场地，推动社区足球发展，促进群众体育蓬勃开展的基本保障。</w:t>
      </w:r>
      <w:r w:rsidRPr="00731F0F">
        <w:rPr>
          <w:rFonts w:ascii="仿宋" w:eastAsia="仿宋" w:hAnsi="仿宋"/>
          <w:sz w:val="30"/>
          <w:szCs w:val="30"/>
        </w:rPr>
        <w:t>2019年4月以来，住房和城乡建设部、体育总局指导武汉、大连等9个试点城市探索建设了一批非标准、非规则社区足球场地设施，积累了可复制可推广的经验。为贯彻落实党中央、国务院关于足球改革发展的决策部署，推动实施全民健身计划、健康中国行动，全面推进城市社区足球场地设施建设工作，现提出如下意见。</w:t>
      </w:r>
    </w:p>
    <w:p w14:paraId="53FE97A1" w14:textId="7AC73286" w:rsidR="00731F0F" w:rsidRPr="00731F0F" w:rsidRDefault="00731F0F" w:rsidP="00731F0F">
      <w:pPr>
        <w:rPr>
          <w:rFonts w:ascii="仿宋" w:eastAsia="仿宋" w:hAnsi="仿宋" w:hint="eastAsia"/>
          <w:sz w:val="30"/>
          <w:szCs w:val="30"/>
        </w:rPr>
      </w:pPr>
      <w:r w:rsidRPr="00731F0F">
        <w:rPr>
          <w:rFonts w:ascii="仿宋" w:eastAsia="仿宋" w:hAnsi="仿宋" w:hint="eastAsia"/>
          <w:sz w:val="30"/>
          <w:szCs w:val="30"/>
        </w:rPr>
        <w:t xml:space="preserve">　　一、总体要求</w:t>
      </w:r>
    </w:p>
    <w:p w14:paraId="06B0416F" w14:textId="46EA26C1" w:rsidR="00731F0F" w:rsidRPr="00731F0F" w:rsidRDefault="00731F0F" w:rsidP="00731F0F">
      <w:pPr>
        <w:rPr>
          <w:rFonts w:ascii="仿宋" w:eastAsia="仿宋" w:hAnsi="仿宋" w:hint="eastAsia"/>
          <w:sz w:val="30"/>
          <w:szCs w:val="30"/>
        </w:rPr>
      </w:pPr>
      <w:r w:rsidRPr="00731F0F">
        <w:rPr>
          <w:rFonts w:ascii="仿宋" w:eastAsia="仿宋" w:hAnsi="仿宋" w:hint="eastAsia"/>
          <w:sz w:val="30"/>
          <w:szCs w:val="30"/>
        </w:rPr>
        <w:t xml:space="preserve">　　（一）指导思想。以习近平新时代中国特色社会主义思想为指导，全面贯彻党的十九大和十九届二中、三中、四中、五中全会精神，坚持以人民为中心，贯彻新发展理念，落实《国务院办公厅关于加强全民健身场地设施建设发展群众体育的意见》《中国足球改革发展总体方案》《中国足球中长期发展规划（</w:t>
      </w:r>
      <w:r w:rsidRPr="00731F0F">
        <w:rPr>
          <w:rFonts w:ascii="仿宋" w:eastAsia="仿宋" w:hAnsi="仿宋"/>
          <w:sz w:val="30"/>
          <w:szCs w:val="30"/>
        </w:rPr>
        <w:t>2016—2050年）》，以城市生态修复功能完善、城镇老旧小区改造、完整居住社区建设等城市更新工作为契机，将社区足球场地设施建设</w:t>
      </w:r>
      <w:r w:rsidRPr="00731F0F">
        <w:rPr>
          <w:rFonts w:ascii="仿宋" w:eastAsia="仿宋" w:hAnsi="仿宋"/>
          <w:sz w:val="30"/>
          <w:szCs w:val="30"/>
        </w:rPr>
        <w:lastRenderedPageBreak/>
        <w:t>作为重要民生工程和促进全民健身的基础性工程，以解决实际问题，满足社区居民体育健身需要为出发点，调动全社会力量共</w:t>
      </w:r>
      <w:r w:rsidRPr="00731F0F">
        <w:rPr>
          <w:rFonts w:ascii="仿宋" w:eastAsia="仿宋" w:hAnsi="仿宋" w:hint="eastAsia"/>
          <w:sz w:val="30"/>
          <w:szCs w:val="30"/>
        </w:rPr>
        <w:t>同参与，抓紧补齐社区体育设施短板，推动城市高质量发展，为振兴足球事业、建设体育强国打下坚实基础。</w:t>
      </w:r>
    </w:p>
    <w:p w14:paraId="2C30D269" w14:textId="1FDD9F7E" w:rsidR="00731F0F" w:rsidRPr="00731F0F" w:rsidRDefault="00731F0F" w:rsidP="00731F0F">
      <w:pPr>
        <w:rPr>
          <w:rFonts w:ascii="仿宋" w:eastAsia="仿宋" w:hAnsi="仿宋" w:hint="eastAsia"/>
          <w:sz w:val="30"/>
          <w:szCs w:val="30"/>
        </w:rPr>
      </w:pPr>
      <w:r w:rsidRPr="00731F0F">
        <w:rPr>
          <w:rFonts w:ascii="仿宋" w:eastAsia="仿宋" w:hAnsi="仿宋" w:hint="eastAsia"/>
          <w:sz w:val="30"/>
          <w:szCs w:val="30"/>
        </w:rPr>
        <w:t xml:space="preserve">　　（二）总体目标。</w:t>
      </w:r>
    </w:p>
    <w:p w14:paraId="1909D229" w14:textId="143C7566" w:rsidR="00731F0F" w:rsidRPr="00731F0F" w:rsidRDefault="00731F0F" w:rsidP="00731F0F">
      <w:pPr>
        <w:rPr>
          <w:rFonts w:ascii="仿宋" w:eastAsia="仿宋" w:hAnsi="仿宋" w:hint="eastAsia"/>
          <w:sz w:val="30"/>
          <w:szCs w:val="30"/>
        </w:rPr>
      </w:pPr>
      <w:r w:rsidRPr="00731F0F">
        <w:rPr>
          <w:rFonts w:ascii="仿宋" w:eastAsia="仿宋" w:hAnsi="仿宋" w:hint="eastAsia"/>
          <w:sz w:val="30"/>
          <w:szCs w:val="30"/>
        </w:rPr>
        <w:t xml:space="preserve">　　</w:t>
      </w:r>
      <w:r w:rsidRPr="00731F0F">
        <w:rPr>
          <w:rFonts w:ascii="仿宋" w:eastAsia="仿宋" w:hAnsi="仿宋"/>
          <w:sz w:val="30"/>
          <w:szCs w:val="30"/>
        </w:rPr>
        <w:t>2025年，地级及以上城市建立健全社区足球场地设施建设工作机制和管理模式，按照完整居住社区建设标准，实现新建居住社区内至少配建一片非标准足球场地设施，既有城市社区因地制宜配建社区足球场地设施。</w:t>
      </w:r>
    </w:p>
    <w:p w14:paraId="546A20AF" w14:textId="6E708E9D" w:rsidR="00731F0F" w:rsidRPr="00731F0F" w:rsidRDefault="00731F0F" w:rsidP="00731F0F">
      <w:pPr>
        <w:rPr>
          <w:rFonts w:ascii="仿宋" w:eastAsia="仿宋" w:hAnsi="仿宋" w:hint="eastAsia"/>
          <w:sz w:val="30"/>
          <w:szCs w:val="30"/>
        </w:rPr>
      </w:pPr>
      <w:r w:rsidRPr="00731F0F">
        <w:rPr>
          <w:rFonts w:ascii="仿宋" w:eastAsia="仿宋" w:hAnsi="仿宋" w:hint="eastAsia"/>
          <w:sz w:val="30"/>
          <w:szCs w:val="30"/>
        </w:rPr>
        <w:t xml:space="preserve">　　</w:t>
      </w:r>
      <w:r w:rsidRPr="00731F0F">
        <w:rPr>
          <w:rFonts w:ascii="仿宋" w:eastAsia="仿宋" w:hAnsi="仿宋"/>
          <w:sz w:val="30"/>
          <w:szCs w:val="30"/>
        </w:rPr>
        <w:t>2035年，地级及以上城市社区实现足球场地设施全覆盖，具备条件的城市街道、街区内配建一片标准足球场地设施。</w:t>
      </w:r>
    </w:p>
    <w:p w14:paraId="44AF4B37" w14:textId="6F1BFE97" w:rsidR="00731F0F" w:rsidRPr="00731F0F" w:rsidRDefault="00731F0F" w:rsidP="00731F0F">
      <w:pPr>
        <w:rPr>
          <w:rFonts w:ascii="仿宋" w:eastAsia="仿宋" w:hAnsi="仿宋" w:hint="eastAsia"/>
          <w:sz w:val="30"/>
          <w:szCs w:val="30"/>
        </w:rPr>
      </w:pPr>
      <w:r w:rsidRPr="00731F0F">
        <w:rPr>
          <w:rFonts w:ascii="仿宋" w:eastAsia="仿宋" w:hAnsi="仿宋" w:hint="eastAsia"/>
          <w:sz w:val="30"/>
          <w:szCs w:val="30"/>
        </w:rPr>
        <w:t xml:space="preserve">　　二、夯实基础工作，统筹谋划社区足球场地设施建设</w:t>
      </w:r>
    </w:p>
    <w:p w14:paraId="6206B387" w14:textId="2002D3E1" w:rsidR="00731F0F" w:rsidRPr="00731F0F" w:rsidRDefault="00731F0F" w:rsidP="00731F0F">
      <w:pPr>
        <w:rPr>
          <w:rFonts w:ascii="仿宋" w:eastAsia="仿宋" w:hAnsi="仿宋" w:hint="eastAsia"/>
          <w:sz w:val="30"/>
          <w:szCs w:val="30"/>
        </w:rPr>
      </w:pPr>
      <w:r w:rsidRPr="00731F0F">
        <w:rPr>
          <w:rFonts w:ascii="仿宋" w:eastAsia="仿宋" w:hAnsi="仿宋" w:hint="eastAsia"/>
          <w:sz w:val="30"/>
          <w:szCs w:val="30"/>
        </w:rPr>
        <w:t xml:space="preserve">　　（三）加强组织领导。提高政治站位，从推进足球改革发展、贯彻全民健身国家战略、实施健康中国行动的高度，推进社区足球场地设施建设。各省级住房和城乡建设、体育主管部门要指导城市结合城镇老旧小区改造、全民健身场地设施建设等工作，建立社区足球场地设施建设推进机制，确定工作目标和重点任务，逐项抓好任务落实。城市住房和城乡建设、体育主管部门要争取将社区足球场地设施建设列入本地重要民生工程、城市更新重点项目，建立政府部门协调机制，明确任务分工，完善支持激励政策，充分发挥区（县）政府、街道和社区的积极性，共同推进社区足球场地设施建设。</w:t>
      </w:r>
    </w:p>
    <w:p w14:paraId="55AB7DBD" w14:textId="27871D4E" w:rsidR="00731F0F" w:rsidRPr="00731F0F" w:rsidRDefault="00731F0F" w:rsidP="00731F0F">
      <w:pPr>
        <w:rPr>
          <w:rFonts w:ascii="仿宋" w:eastAsia="仿宋" w:hAnsi="仿宋" w:hint="eastAsia"/>
          <w:sz w:val="30"/>
          <w:szCs w:val="30"/>
        </w:rPr>
      </w:pPr>
      <w:r w:rsidRPr="00731F0F">
        <w:rPr>
          <w:rFonts w:ascii="仿宋" w:eastAsia="仿宋" w:hAnsi="仿宋" w:hint="eastAsia"/>
          <w:sz w:val="30"/>
          <w:szCs w:val="30"/>
        </w:rPr>
        <w:lastRenderedPageBreak/>
        <w:t xml:space="preserve">　　（四）科学制定方案计划。客观评估社区足球场地设施建设、布局和使用情况，摸清家底，找准短板。根据社区人口数量、群众需求、建设条件、服务半径等，因地制宜制定工作方案和实施计划，科学合理确定社区足球场地设施布局和建设要求，明确行动目标、重点任务和建设时序。</w:t>
      </w:r>
    </w:p>
    <w:p w14:paraId="3848D8A3" w14:textId="057C0684" w:rsidR="00731F0F" w:rsidRPr="00731F0F" w:rsidRDefault="00731F0F" w:rsidP="00731F0F">
      <w:pPr>
        <w:rPr>
          <w:rFonts w:ascii="仿宋" w:eastAsia="仿宋" w:hAnsi="仿宋" w:hint="eastAsia"/>
          <w:sz w:val="30"/>
          <w:szCs w:val="30"/>
        </w:rPr>
      </w:pPr>
      <w:r w:rsidRPr="00731F0F">
        <w:rPr>
          <w:rFonts w:ascii="仿宋" w:eastAsia="仿宋" w:hAnsi="仿宋" w:hint="eastAsia"/>
          <w:sz w:val="30"/>
          <w:szCs w:val="30"/>
        </w:rPr>
        <w:t xml:space="preserve">　　（五）简化建设项目审批程序。城市住房和城乡建设、体育主管部门要加强与发展改革、生态环境、自然资源、文化、水务、园林、城市管理等部门的沟通协调，探索创新城市社区足球场地设施建设项目审批机制，针对社区足球场地设施建设项目审批“周期长、困难多、协同差”等问题，结合工程建设项目审批制度改革，简化审批程序，优化审批流程，推行审批事项清单制和告知承诺制，提高社区足球场地设施建设项目审批效率。</w:t>
      </w:r>
    </w:p>
    <w:p w14:paraId="2037D47C" w14:textId="0212ACE1" w:rsidR="00731F0F" w:rsidRPr="00731F0F" w:rsidRDefault="00731F0F" w:rsidP="00731F0F">
      <w:pPr>
        <w:rPr>
          <w:rFonts w:ascii="仿宋" w:eastAsia="仿宋" w:hAnsi="仿宋" w:hint="eastAsia"/>
          <w:sz w:val="30"/>
          <w:szCs w:val="30"/>
        </w:rPr>
      </w:pPr>
      <w:r w:rsidRPr="00731F0F">
        <w:rPr>
          <w:rFonts w:ascii="仿宋" w:eastAsia="仿宋" w:hAnsi="仿宋" w:hint="eastAsia"/>
          <w:sz w:val="30"/>
          <w:szCs w:val="30"/>
        </w:rPr>
        <w:t xml:space="preserve">　　三、充分挖潜资源，破解社区足球场地设施选址建设难题</w:t>
      </w:r>
    </w:p>
    <w:p w14:paraId="4CD49C54" w14:textId="217EECB0" w:rsidR="00731F0F" w:rsidRPr="00731F0F" w:rsidRDefault="00731F0F" w:rsidP="00731F0F">
      <w:pPr>
        <w:rPr>
          <w:rFonts w:ascii="仿宋" w:eastAsia="仿宋" w:hAnsi="仿宋" w:hint="eastAsia"/>
          <w:sz w:val="30"/>
          <w:szCs w:val="30"/>
        </w:rPr>
      </w:pPr>
      <w:r w:rsidRPr="00731F0F">
        <w:rPr>
          <w:rFonts w:ascii="仿宋" w:eastAsia="仿宋" w:hAnsi="仿宋" w:hint="eastAsia"/>
          <w:sz w:val="30"/>
          <w:szCs w:val="30"/>
        </w:rPr>
        <w:t xml:space="preserve">　　（六）严格执行建设标准。按照《城市居住区规划设计标准》《完整居住社区建设标准（试行）》要求，参照《城市社区足球场地设施建设技术指南》和《城市社区足球场地设施建设试点示范图集》（从住房和城乡建设部门户网站下载），合理配套建设社区足球场地设施。新建住宅项目要严格执行配套建设标准和规定，确保社区足球场地设施与住宅同步规划、同步建设、同步验收和同步交付。</w:t>
      </w:r>
    </w:p>
    <w:p w14:paraId="6A6885D4" w14:textId="1D4AD137" w:rsidR="00731F0F" w:rsidRPr="00731F0F" w:rsidRDefault="00731F0F" w:rsidP="00731F0F">
      <w:pPr>
        <w:rPr>
          <w:rFonts w:ascii="仿宋" w:eastAsia="仿宋" w:hAnsi="仿宋" w:hint="eastAsia"/>
          <w:sz w:val="30"/>
          <w:szCs w:val="30"/>
        </w:rPr>
      </w:pPr>
      <w:r w:rsidRPr="00731F0F">
        <w:rPr>
          <w:rFonts w:ascii="仿宋" w:eastAsia="仿宋" w:hAnsi="仿宋" w:hint="eastAsia"/>
          <w:sz w:val="30"/>
          <w:szCs w:val="30"/>
        </w:rPr>
        <w:t xml:space="preserve">　　（七）复合利用存量资源。充分挖潜利用现有场地资源，在群众身边“因地建场”。紧密结合城市生态修复功能完善、城镇</w:t>
      </w:r>
      <w:r w:rsidRPr="00731F0F">
        <w:rPr>
          <w:rFonts w:ascii="仿宋" w:eastAsia="仿宋" w:hAnsi="仿宋" w:hint="eastAsia"/>
          <w:sz w:val="30"/>
          <w:szCs w:val="30"/>
        </w:rPr>
        <w:lastRenderedPageBreak/>
        <w:t>老旧小区改造、完整居住社区建设等城市更新工作，在征得居民同意的前提下，通过租赁、购置、置换和改造等方式，合理利用具备条件的城市空闲地、边角地、公园绿地、城市路桥附属用地、厂房、建筑屋顶等空间资源，建设改造社区足球场地设施。</w:t>
      </w:r>
    </w:p>
    <w:p w14:paraId="0ECD0B8E" w14:textId="5A48FB14" w:rsidR="00731F0F" w:rsidRPr="00731F0F" w:rsidRDefault="00731F0F" w:rsidP="00731F0F">
      <w:pPr>
        <w:rPr>
          <w:rFonts w:ascii="仿宋" w:eastAsia="仿宋" w:hAnsi="仿宋" w:hint="eastAsia"/>
          <w:sz w:val="30"/>
          <w:szCs w:val="30"/>
        </w:rPr>
      </w:pPr>
      <w:r w:rsidRPr="00731F0F">
        <w:rPr>
          <w:rFonts w:ascii="仿宋" w:eastAsia="仿宋" w:hAnsi="仿宋" w:hint="eastAsia"/>
          <w:sz w:val="30"/>
          <w:szCs w:val="30"/>
        </w:rPr>
        <w:t xml:space="preserve">　　（八）灵活建设场地设施。结合场地条件，灵活建设各类永久性或临时性社区足球场地设施。既有城市社区用地空间紧张的，要因地制宜推动与其他体育项目场地复合利用、综合设置，满足社区居民多样化运动需求。不具备标准足球场地设施建设条件的，鼓励在确保场地安全性的前提下，灵活建设非标准、非规则社区足球场地设施。鼓励推进相邻社区及周边地区联动建设，加强体育设施共建共享。</w:t>
      </w:r>
    </w:p>
    <w:p w14:paraId="39DF65CB" w14:textId="3CD50EC6" w:rsidR="00731F0F" w:rsidRPr="00731F0F" w:rsidRDefault="00731F0F" w:rsidP="00731F0F">
      <w:pPr>
        <w:rPr>
          <w:rFonts w:ascii="仿宋" w:eastAsia="仿宋" w:hAnsi="仿宋" w:hint="eastAsia"/>
          <w:sz w:val="30"/>
          <w:szCs w:val="30"/>
        </w:rPr>
      </w:pPr>
      <w:r w:rsidRPr="00731F0F">
        <w:rPr>
          <w:rFonts w:ascii="仿宋" w:eastAsia="仿宋" w:hAnsi="仿宋" w:hint="eastAsia"/>
          <w:sz w:val="30"/>
          <w:szCs w:val="30"/>
        </w:rPr>
        <w:t xml:space="preserve">　　（九）积极推行适宜技术。注重社区足球场地设施、建筑材料的多样性、适宜性、经济性和环保性。结合足球场地位置、地势、气候和土壤条件，设计场地形式、选择场地材质，科学设计场地排水、喷灌、围挡、照明和标识等，做到安全、便民、实用。</w:t>
      </w:r>
    </w:p>
    <w:p w14:paraId="1B4AD59F" w14:textId="54A499F8" w:rsidR="00731F0F" w:rsidRPr="00731F0F" w:rsidRDefault="00731F0F" w:rsidP="00731F0F">
      <w:pPr>
        <w:rPr>
          <w:rFonts w:ascii="仿宋" w:eastAsia="仿宋" w:hAnsi="仿宋" w:hint="eastAsia"/>
          <w:sz w:val="30"/>
          <w:szCs w:val="30"/>
        </w:rPr>
      </w:pPr>
      <w:r w:rsidRPr="00731F0F">
        <w:rPr>
          <w:rFonts w:ascii="仿宋" w:eastAsia="仿宋" w:hAnsi="仿宋" w:hint="eastAsia"/>
          <w:sz w:val="30"/>
          <w:szCs w:val="30"/>
        </w:rPr>
        <w:t xml:space="preserve">　　四、健全管理体制，完善社区足球场地设施运营维护机制</w:t>
      </w:r>
    </w:p>
    <w:p w14:paraId="7BDFF866" w14:textId="49B3A958" w:rsidR="00731F0F" w:rsidRPr="00731F0F" w:rsidRDefault="00731F0F" w:rsidP="00731F0F">
      <w:pPr>
        <w:rPr>
          <w:rFonts w:ascii="仿宋" w:eastAsia="仿宋" w:hAnsi="仿宋" w:hint="eastAsia"/>
          <w:sz w:val="30"/>
          <w:szCs w:val="30"/>
        </w:rPr>
      </w:pPr>
      <w:r w:rsidRPr="00731F0F">
        <w:rPr>
          <w:rFonts w:ascii="仿宋" w:eastAsia="仿宋" w:hAnsi="仿宋" w:hint="eastAsia"/>
          <w:sz w:val="30"/>
          <w:szCs w:val="30"/>
        </w:rPr>
        <w:t xml:space="preserve">　　（十）探索运营维护模式。积极探索建立社区足球场地设施运营维护长效机制，明确运营维护主体、责任和权益。可按照属地管理原则，由用地权属单位、所在地街道等委托专业机构、物业公司、社区组织参与社区足球场地设施运营维护，保障足球场地设施功能和服务水平，提高足球场地设施的使用效率和寿命。</w:t>
      </w:r>
    </w:p>
    <w:p w14:paraId="49229562" w14:textId="0C745E2D" w:rsidR="00731F0F" w:rsidRPr="00731F0F" w:rsidRDefault="00731F0F" w:rsidP="00731F0F">
      <w:pPr>
        <w:rPr>
          <w:rFonts w:ascii="仿宋" w:eastAsia="仿宋" w:hAnsi="仿宋" w:hint="eastAsia"/>
          <w:sz w:val="30"/>
          <w:szCs w:val="30"/>
        </w:rPr>
      </w:pPr>
      <w:r w:rsidRPr="00731F0F">
        <w:rPr>
          <w:rFonts w:ascii="仿宋" w:eastAsia="仿宋" w:hAnsi="仿宋" w:hint="eastAsia"/>
          <w:sz w:val="30"/>
          <w:szCs w:val="30"/>
        </w:rPr>
        <w:t xml:space="preserve">　　（十一）坚持共建共治共享。探索多元化资金筹措机制，鼓</w:t>
      </w:r>
      <w:r w:rsidRPr="00731F0F">
        <w:rPr>
          <w:rFonts w:ascii="仿宋" w:eastAsia="仿宋" w:hAnsi="仿宋" w:hint="eastAsia"/>
          <w:sz w:val="30"/>
          <w:szCs w:val="30"/>
        </w:rPr>
        <w:lastRenderedPageBreak/>
        <w:t>励政企联动，以公建民营、民办公助等多种形式吸引社会资本建设运营社区足球场地设施。增加对社区足球场地设施建设资金投入，通过财政补助、体育彩票公益金、开发性金融等多种渠道对社区足球场地设施建设予以资金支持。坚持公益为主，让社区居民用得起足球场地，共享优质的公共体育服务。</w:t>
      </w:r>
    </w:p>
    <w:p w14:paraId="29602571" w14:textId="674DA994" w:rsidR="00731F0F" w:rsidRPr="00731F0F" w:rsidRDefault="00731F0F" w:rsidP="00731F0F">
      <w:pPr>
        <w:rPr>
          <w:rFonts w:ascii="仿宋" w:eastAsia="仿宋" w:hAnsi="仿宋" w:hint="eastAsia"/>
          <w:sz w:val="30"/>
          <w:szCs w:val="30"/>
        </w:rPr>
      </w:pPr>
      <w:r w:rsidRPr="00731F0F">
        <w:rPr>
          <w:rFonts w:ascii="仿宋" w:eastAsia="仿宋" w:hAnsi="仿宋" w:hint="eastAsia"/>
          <w:sz w:val="30"/>
          <w:szCs w:val="30"/>
        </w:rPr>
        <w:t xml:space="preserve">　　（十二）推动场地高效利用。充分利用互联网、大数据等信息化技术，提升社区足球场地设施智能化管理水平。鼓励有条件的地方建设智慧社区、智慧足球场地设施服务系统，提供线上、线下服务，提高场地利用和管理效率。探索在保证正常教学秩序和教学安全的前提下，逐步推动校园足球场地设施在节假日、课余时间向学生和社会开放，建立学校和社区场地资源共享机制。</w:t>
      </w:r>
    </w:p>
    <w:p w14:paraId="6F26438C" w14:textId="296F8CAD" w:rsidR="00731F0F" w:rsidRPr="00731F0F" w:rsidRDefault="00731F0F" w:rsidP="00731F0F">
      <w:pPr>
        <w:rPr>
          <w:rFonts w:ascii="仿宋" w:eastAsia="仿宋" w:hAnsi="仿宋" w:hint="eastAsia"/>
          <w:sz w:val="30"/>
          <w:szCs w:val="30"/>
        </w:rPr>
      </w:pPr>
      <w:r w:rsidRPr="00731F0F">
        <w:rPr>
          <w:rFonts w:ascii="仿宋" w:eastAsia="仿宋" w:hAnsi="仿宋" w:hint="eastAsia"/>
          <w:sz w:val="30"/>
          <w:szCs w:val="30"/>
        </w:rPr>
        <w:t xml:space="preserve">　　（十三）营造社区足球氛围。围绕社区足球场地设施有效使用，积极培育发展社区居民身边的健身组织，广泛开展各类体育比赛，推动形成全民健身、全民参与足球运动的良好氛围，让更多的社区居民热爱运动、享受足球，弘扬中华体育精神，培养团结协作、顽强拼搏、昂扬向上的精神风貌。</w:t>
      </w:r>
    </w:p>
    <w:p w14:paraId="00A43EBD" w14:textId="46C6682C" w:rsidR="00731F0F" w:rsidRPr="00731F0F" w:rsidRDefault="00731F0F" w:rsidP="00731F0F">
      <w:pPr>
        <w:ind w:firstLine="420"/>
        <w:rPr>
          <w:rFonts w:ascii="仿宋" w:eastAsia="仿宋" w:hAnsi="仿宋"/>
          <w:sz w:val="30"/>
          <w:szCs w:val="30"/>
        </w:rPr>
      </w:pPr>
      <w:r w:rsidRPr="00731F0F">
        <w:rPr>
          <w:rFonts w:ascii="仿宋" w:eastAsia="仿宋" w:hAnsi="仿宋" w:hint="eastAsia"/>
          <w:sz w:val="30"/>
          <w:szCs w:val="30"/>
        </w:rPr>
        <w:t>各省级住房和城乡建设、体育主管部门要加强对本地区城市社区足球场地设施建设工作的组织领导，指导城市建立工作计划、工作台账和考核机制，推进各类社区足球场地设施建设，确保足球场地设施建设质量和使用安全。住房和城乡建设部、体育总局将加强对各地工作的监督指导。</w:t>
      </w:r>
    </w:p>
    <w:p w14:paraId="7D8A8968" w14:textId="77777777" w:rsidR="00731F0F" w:rsidRPr="00731F0F" w:rsidRDefault="00731F0F" w:rsidP="00731F0F">
      <w:pPr>
        <w:ind w:firstLine="420"/>
        <w:rPr>
          <w:rFonts w:ascii="仿宋" w:eastAsia="仿宋" w:hAnsi="仿宋" w:hint="eastAsia"/>
          <w:sz w:val="30"/>
          <w:szCs w:val="30"/>
        </w:rPr>
      </w:pPr>
    </w:p>
    <w:p w14:paraId="2F93701A" w14:textId="77777777" w:rsidR="00731F0F" w:rsidRPr="00731F0F" w:rsidRDefault="00731F0F" w:rsidP="00731F0F">
      <w:pPr>
        <w:rPr>
          <w:rFonts w:ascii="仿宋" w:eastAsia="仿宋" w:hAnsi="仿宋"/>
          <w:sz w:val="30"/>
          <w:szCs w:val="30"/>
        </w:rPr>
      </w:pPr>
    </w:p>
    <w:p w14:paraId="11D7AC13" w14:textId="772DB55C" w:rsidR="00731F0F" w:rsidRPr="00731F0F" w:rsidRDefault="00731F0F" w:rsidP="00731F0F">
      <w:pPr>
        <w:jc w:val="right"/>
        <w:rPr>
          <w:rFonts w:ascii="仿宋" w:eastAsia="仿宋" w:hAnsi="仿宋"/>
          <w:sz w:val="30"/>
          <w:szCs w:val="30"/>
        </w:rPr>
      </w:pPr>
      <w:r w:rsidRPr="00731F0F">
        <w:rPr>
          <w:rFonts w:ascii="仿宋" w:eastAsia="仿宋" w:hAnsi="仿宋" w:hint="eastAsia"/>
          <w:sz w:val="30"/>
          <w:szCs w:val="30"/>
        </w:rPr>
        <w:t>住房和城乡建设部</w:t>
      </w:r>
    </w:p>
    <w:p w14:paraId="19F11F9C" w14:textId="46405BA7" w:rsidR="00731F0F" w:rsidRPr="00731F0F" w:rsidRDefault="00731F0F" w:rsidP="00731F0F">
      <w:pPr>
        <w:jc w:val="right"/>
        <w:rPr>
          <w:rFonts w:ascii="仿宋" w:eastAsia="仿宋" w:hAnsi="仿宋"/>
          <w:sz w:val="30"/>
          <w:szCs w:val="30"/>
        </w:rPr>
      </w:pPr>
      <w:r w:rsidRPr="00731F0F">
        <w:rPr>
          <w:rFonts w:ascii="仿宋" w:eastAsia="仿宋" w:hAnsi="仿宋"/>
          <w:sz w:val="30"/>
          <w:szCs w:val="30"/>
        </w:rPr>
        <w:t>体 育 总 局</w:t>
      </w:r>
    </w:p>
    <w:p w14:paraId="52565AD1" w14:textId="2E08F713" w:rsidR="00731F0F" w:rsidRPr="00731F0F" w:rsidRDefault="00731F0F" w:rsidP="00731F0F">
      <w:pPr>
        <w:jc w:val="right"/>
        <w:rPr>
          <w:rFonts w:ascii="仿宋" w:eastAsia="仿宋" w:hAnsi="仿宋"/>
          <w:sz w:val="30"/>
          <w:szCs w:val="30"/>
        </w:rPr>
      </w:pPr>
      <w:r w:rsidRPr="00731F0F">
        <w:rPr>
          <w:rFonts w:ascii="仿宋" w:eastAsia="仿宋" w:hAnsi="仿宋"/>
          <w:sz w:val="30"/>
          <w:szCs w:val="30"/>
        </w:rPr>
        <w:t>2020年11月24日</w:t>
      </w:r>
    </w:p>
    <w:p w14:paraId="55E6F823" w14:textId="77777777" w:rsidR="00731F0F" w:rsidRPr="00731F0F" w:rsidRDefault="00731F0F" w:rsidP="00731F0F">
      <w:pPr>
        <w:rPr>
          <w:rFonts w:ascii="仿宋" w:eastAsia="仿宋" w:hAnsi="仿宋"/>
          <w:sz w:val="30"/>
          <w:szCs w:val="30"/>
        </w:rPr>
      </w:pPr>
    </w:p>
    <w:p w14:paraId="18CA4C5B" w14:textId="77777777" w:rsidR="00731F0F" w:rsidRPr="00731F0F" w:rsidRDefault="00731F0F" w:rsidP="00731F0F">
      <w:pPr>
        <w:rPr>
          <w:rFonts w:ascii="仿宋" w:eastAsia="仿宋" w:hAnsi="仿宋"/>
          <w:sz w:val="30"/>
          <w:szCs w:val="30"/>
        </w:rPr>
      </w:pPr>
    </w:p>
    <w:p w14:paraId="4E7E81FE" w14:textId="28FB72D7" w:rsidR="00731F0F" w:rsidRPr="00731F0F" w:rsidRDefault="00731F0F" w:rsidP="00731F0F">
      <w:pPr>
        <w:rPr>
          <w:rFonts w:ascii="仿宋" w:eastAsia="仿宋" w:hAnsi="仿宋" w:hint="eastAsia"/>
          <w:sz w:val="30"/>
          <w:szCs w:val="30"/>
        </w:rPr>
      </w:pPr>
      <w:r w:rsidRPr="00731F0F">
        <w:rPr>
          <w:rFonts w:ascii="仿宋" w:eastAsia="仿宋" w:hAnsi="仿宋" w:hint="eastAsia"/>
          <w:sz w:val="30"/>
          <w:szCs w:val="30"/>
        </w:rPr>
        <w:t>（此件公开发布）</w:t>
      </w:r>
    </w:p>
    <w:sectPr w:rsidR="00731F0F" w:rsidRPr="00731F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0F"/>
    <w:rsid w:val="007012B5"/>
    <w:rsid w:val="00731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C5DE"/>
  <w15:chartTrackingRefBased/>
  <w15:docId w15:val="{19B70DF5-8A9B-472E-957E-3F40C0D6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81693">
      <w:bodyDiv w:val="1"/>
      <w:marLeft w:val="0"/>
      <w:marRight w:val="0"/>
      <w:marTop w:val="0"/>
      <w:marBottom w:val="0"/>
      <w:divBdr>
        <w:top w:val="none" w:sz="0" w:space="0" w:color="auto"/>
        <w:left w:val="none" w:sz="0" w:space="0" w:color="auto"/>
        <w:bottom w:val="none" w:sz="0" w:space="0" w:color="auto"/>
        <w:right w:val="none" w:sz="0" w:space="0" w:color="auto"/>
      </w:divBdr>
    </w:div>
    <w:div w:id="107940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jdb</dc:creator>
  <cp:keywords/>
  <dc:description/>
  <cp:lastModifiedBy>jdb</cp:lastModifiedBy>
  <cp:revision>1</cp:revision>
  <dcterms:created xsi:type="dcterms:W3CDTF">2022-03-11T09:52:00Z</dcterms:created>
  <dcterms:modified xsi:type="dcterms:W3CDTF">2022-03-11T09:57:00Z</dcterms:modified>
</cp:coreProperties>
</file>